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613B1" w14:textId="77777777" w:rsidR="00493E1C" w:rsidRDefault="00493E1C" w:rsidP="00493E1C">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39BFC85" wp14:editId="523343D2">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B67FF69" w14:textId="77777777" w:rsidR="00493E1C" w:rsidRPr="00265B8C" w:rsidRDefault="00493E1C" w:rsidP="00493E1C">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junio marzooctuptiembre´TOEagosto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9BFC85"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B67FF69" w14:textId="77777777" w:rsidR="00493E1C" w:rsidRPr="00265B8C" w:rsidRDefault="00493E1C" w:rsidP="00493E1C">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5CBE1CF4" w14:textId="77777777" w:rsidR="00493E1C" w:rsidRDefault="00493E1C" w:rsidP="00493E1C">
      <w:pPr>
        <w:tabs>
          <w:tab w:val="left" w:pos="8789"/>
        </w:tabs>
        <w:ind w:right="51"/>
        <w:jc w:val="center"/>
        <w:rPr>
          <w:b/>
          <w:sz w:val="28"/>
        </w:rPr>
      </w:pPr>
    </w:p>
    <w:p w14:paraId="0469AA90" w14:textId="77777777" w:rsidR="00493E1C" w:rsidRPr="00723AEE" w:rsidRDefault="00493E1C" w:rsidP="00493E1C">
      <w:pPr>
        <w:jc w:val="center"/>
        <w:outlineLvl w:val="0"/>
        <w:rPr>
          <w:b/>
          <w:sz w:val="26"/>
          <w:szCs w:val="26"/>
        </w:rPr>
      </w:pPr>
    </w:p>
    <w:p w14:paraId="64C11BB2" w14:textId="77777777" w:rsidR="00493E1C" w:rsidRPr="004151CC" w:rsidRDefault="00493E1C" w:rsidP="00493E1C">
      <w:pPr>
        <w:jc w:val="center"/>
        <w:outlineLvl w:val="0"/>
        <w:rPr>
          <w:b/>
          <w:sz w:val="28"/>
          <w:szCs w:val="28"/>
        </w:rPr>
      </w:pPr>
      <w:r w:rsidRPr="00907F60">
        <w:rPr>
          <w:b/>
          <w:sz w:val="28"/>
          <w:szCs w:val="28"/>
        </w:rPr>
        <w:t>INDICADORES DE</w:t>
      </w:r>
      <w:r>
        <w:rPr>
          <w:b/>
          <w:sz w:val="28"/>
          <w:szCs w:val="28"/>
        </w:rPr>
        <w:t xml:space="preserve"> EXPECTATIVAS EMPRESARIALES</w:t>
      </w:r>
    </w:p>
    <w:p w14:paraId="5F505D25" w14:textId="77777777" w:rsidR="00493E1C" w:rsidRDefault="00493E1C" w:rsidP="00493E1C">
      <w:pPr>
        <w:jc w:val="center"/>
        <w:outlineLvl w:val="0"/>
        <w:rPr>
          <w:b/>
          <w:sz w:val="26"/>
          <w:szCs w:val="26"/>
        </w:rPr>
      </w:pPr>
      <w:r>
        <w:rPr>
          <w:b/>
          <w:sz w:val="26"/>
          <w:szCs w:val="26"/>
        </w:rPr>
        <w:t xml:space="preserve">CIFRAS DURANTE ABRIL </w:t>
      </w:r>
      <w:r w:rsidRPr="004151CC">
        <w:rPr>
          <w:b/>
          <w:sz w:val="26"/>
          <w:szCs w:val="26"/>
        </w:rPr>
        <w:t xml:space="preserve">DE </w:t>
      </w:r>
      <w:r>
        <w:rPr>
          <w:b/>
          <w:sz w:val="26"/>
          <w:szCs w:val="26"/>
        </w:rPr>
        <w:t>2020</w:t>
      </w:r>
    </w:p>
    <w:p w14:paraId="29123A58" w14:textId="77777777" w:rsidR="00493E1C" w:rsidRPr="00474C09" w:rsidRDefault="00493E1C" w:rsidP="00493E1C">
      <w:pPr>
        <w:jc w:val="center"/>
        <w:outlineLvl w:val="0"/>
        <w:rPr>
          <w:b/>
          <w:i/>
          <w:szCs w:val="26"/>
        </w:rPr>
      </w:pPr>
      <w:r w:rsidRPr="00474C09">
        <w:rPr>
          <w:b/>
          <w:i/>
          <w:szCs w:val="26"/>
        </w:rPr>
        <w:t>(Cifras desestacionalizadas)</w:t>
      </w:r>
    </w:p>
    <w:p w14:paraId="3B551D02" w14:textId="77777777" w:rsidR="00493E1C" w:rsidRPr="000C4AFB" w:rsidRDefault="00493E1C" w:rsidP="00493E1C">
      <w:pPr>
        <w:spacing w:before="240"/>
        <w:ind w:left="-567" w:right="-567"/>
        <w:rPr>
          <w:bCs/>
        </w:rPr>
      </w:pPr>
      <w:r w:rsidRPr="000C4AFB">
        <w:rPr>
          <w:bCs/>
        </w:rPr>
        <w:t>El INEGI da a conocer las Expectativas Empresariales (EE) constituidas por la opinión del directivo empresarial, correspondientes al cuarto mes del año en curso.  Las EE se elaboran con los resultados de la Encuesta Mensual de Opinión Empresarial (EMOE), las cuales permiten conocer, casi inmediatamente después de terminado el mes de referencia, la opinión de los directivos sobre el comportamiento de variables relevantes de los sectores Industrias Manufactureras, Construcción, Comercio y de los Servicios Privados no Financieros</w:t>
      </w:r>
      <w:r w:rsidRPr="000C4AFB">
        <w:rPr>
          <w:bCs/>
          <w:vertAlign w:val="superscript"/>
        </w:rPr>
        <w:footnoteReference w:id="1"/>
      </w:r>
      <w:r w:rsidRPr="000C4AFB">
        <w:rPr>
          <w:bCs/>
        </w:rPr>
        <w:t xml:space="preserve">. </w:t>
      </w:r>
    </w:p>
    <w:p w14:paraId="4B46A3CD" w14:textId="77777777" w:rsidR="00493E1C" w:rsidRPr="000C4AFB" w:rsidRDefault="00493E1C" w:rsidP="00493E1C">
      <w:pPr>
        <w:spacing w:before="120"/>
        <w:ind w:left="-567" w:right="-567"/>
        <w:rPr>
          <w:bCs/>
        </w:rPr>
      </w:pPr>
      <w:r w:rsidRPr="000C4AFB">
        <w:rPr>
          <w:bCs/>
        </w:rPr>
        <w:t>En su comparación mensual y con datos ajustados por estacionalidad</w:t>
      </w:r>
      <w:r w:rsidRPr="000C4AFB">
        <w:rPr>
          <w:bCs/>
          <w:vertAlign w:val="superscript"/>
        </w:rPr>
        <w:footnoteReference w:id="2"/>
      </w:r>
      <w:r w:rsidRPr="000C4AFB">
        <w:rPr>
          <w:bCs/>
        </w:rPr>
        <w:t>, las Expectativas Empresariales en el sector Manufacturero fueron desfavorables en abril de 2020 frente a las de marzo pasado: las de la Producción se redujeron (</w:t>
      </w:r>
      <w:r w:rsidRPr="000C4AFB">
        <w:rPr>
          <w:bCs/>
        </w:rPr>
        <w:noBreakHyphen/>
        <w:t>)10.4 puntos, las de las Exportaciones (</w:t>
      </w:r>
      <w:r w:rsidRPr="000C4AFB">
        <w:rPr>
          <w:bCs/>
        </w:rPr>
        <w:noBreakHyphen/>
        <w:t>)9.3 puntos, las de Capacidad de planta utilizada (</w:t>
      </w:r>
      <w:r w:rsidRPr="000C4AFB">
        <w:rPr>
          <w:bCs/>
        </w:rPr>
        <w:noBreakHyphen/>
        <w:t>)8 puntos y las de la Demanda nacional de sus productos cayeron (</w:t>
      </w:r>
      <w:r w:rsidRPr="000C4AFB">
        <w:rPr>
          <w:bCs/>
        </w:rPr>
        <w:noBreakHyphen/>
        <w:t>)6.5 puntos.</w:t>
      </w:r>
    </w:p>
    <w:p w14:paraId="7006D3A6" w14:textId="77777777" w:rsidR="00493E1C" w:rsidRPr="00637BEA" w:rsidRDefault="00493E1C" w:rsidP="00493E1C">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14:paraId="50F281E3" w14:textId="77777777" w:rsidR="00493E1C" w:rsidRPr="00637BEA" w:rsidRDefault="00493E1C" w:rsidP="00493E1C">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4"/>
        <w:gridCol w:w="927"/>
        <w:gridCol w:w="948"/>
        <w:gridCol w:w="938"/>
        <w:gridCol w:w="609"/>
        <w:gridCol w:w="1142"/>
      </w:tblGrid>
      <w:tr w:rsidR="00493E1C" w:rsidRPr="00637BEA" w14:paraId="533FBEAB" w14:textId="77777777" w:rsidTr="004E2AAB">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026DC19A" w14:textId="77777777" w:rsidR="00493E1C" w:rsidRPr="009E60BE" w:rsidRDefault="00493E1C" w:rsidP="004E2AAB">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7A8E625" w14:textId="77777777" w:rsidR="00493E1C" w:rsidRPr="00812DAD" w:rsidRDefault="00493E1C" w:rsidP="004E2AAB">
            <w:pPr>
              <w:ind w:left="-108" w:right="-82"/>
              <w:jc w:val="center"/>
              <w:rPr>
                <w:spacing w:val="-4"/>
                <w:sz w:val="18"/>
                <w:szCs w:val="18"/>
              </w:rPr>
            </w:pPr>
            <w:r>
              <w:rPr>
                <w:spacing w:val="-4"/>
                <w:sz w:val="18"/>
                <w:szCs w:val="18"/>
              </w:rPr>
              <w:t>Abril</w:t>
            </w:r>
            <w:r>
              <w:rPr>
                <w:spacing w:val="-4"/>
                <w:sz w:val="18"/>
                <w:szCs w:val="18"/>
              </w:rPr>
              <w:br/>
              <w:t>de 2020</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591F1EF" w14:textId="77777777" w:rsidR="00493E1C" w:rsidRPr="00812DAD" w:rsidRDefault="00493E1C" w:rsidP="004E2AAB">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w:t>
            </w:r>
            <w:r w:rsidRPr="00812DAD">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3AFB3C29" w14:textId="77777777" w:rsidR="00493E1C" w:rsidRPr="00812DAD" w:rsidRDefault="00493E1C" w:rsidP="004E2AAB">
            <w:pPr>
              <w:tabs>
                <w:tab w:val="center" w:pos="3348"/>
              </w:tabs>
              <w:ind w:left="-84" w:right="-99"/>
              <w:jc w:val="center"/>
              <w:rPr>
                <w:spacing w:val="-4"/>
                <w:sz w:val="18"/>
                <w:szCs w:val="18"/>
              </w:rPr>
            </w:pPr>
            <w:r w:rsidRPr="00812DAD">
              <w:rPr>
                <w:spacing w:val="-4"/>
                <w:sz w:val="18"/>
                <w:szCs w:val="18"/>
              </w:rPr>
              <w:t xml:space="preserve">Número de meses consecutivos por </w:t>
            </w:r>
            <w:r>
              <w:rPr>
                <w:spacing w:val="-4"/>
                <w:sz w:val="18"/>
                <w:szCs w:val="18"/>
              </w:rPr>
              <w:br/>
            </w:r>
            <w:r w:rsidRPr="00812DAD">
              <w:rPr>
                <w:spacing w:val="-4"/>
                <w:sz w:val="18"/>
                <w:szCs w:val="18"/>
              </w:rPr>
              <w:t>arriba o por debajo</w:t>
            </w:r>
            <w:r>
              <w:rPr>
                <w:spacing w:val="-4"/>
                <w:sz w:val="18"/>
                <w:szCs w:val="18"/>
              </w:rPr>
              <w:br/>
            </w:r>
            <w:r w:rsidRPr="00812DAD">
              <w:rPr>
                <w:spacing w:val="-4"/>
                <w:sz w:val="18"/>
                <w:szCs w:val="18"/>
              </w:rPr>
              <w:t xml:space="preserve"> del umbral de </w:t>
            </w:r>
            <w:r>
              <w:rPr>
                <w:spacing w:val="-4"/>
                <w:sz w:val="18"/>
                <w:szCs w:val="18"/>
              </w:rPr>
              <w:br/>
            </w:r>
            <w:r w:rsidRPr="00812DAD">
              <w:rPr>
                <w:spacing w:val="-4"/>
                <w:sz w:val="18"/>
                <w:szCs w:val="18"/>
              </w:rPr>
              <w:t>50 puntos</w:t>
            </w:r>
          </w:p>
        </w:tc>
      </w:tr>
      <w:tr w:rsidR="00493E1C" w:rsidRPr="00637BEA" w14:paraId="22E2F215" w14:textId="77777777" w:rsidTr="004E2AAB">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4F8294CA" w14:textId="77777777" w:rsidR="00493E1C" w:rsidRPr="009E60BE" w:rsidRDefault="00493E1C" w:rsidP="004E2AAB">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5F92EE16" w14:textId="77777777" w:rsidR="00493E1C" w:rsidRPr="00812DAD" w:rsidRDefault="00493E1C" w:rsidP="004E2AAB">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22C4A0A1" w14:textId="77777777" w:rsidR="00493E1C" w:rsidRDefault="00493E1C" w:rsidP="004E2AAB">
            <w:pPr>
              <w:ind w:left="-106" w:right="-95"/>
              <w:jc w:val="center"/>
              <w:rPr>
                <w:spacing w:val="-4"/>
                <w:sz w:val="18"/>
                <w:szCs w:val="18"/>
              </w:rPr>
            </w:pPr>
            <w:r w:rsidRPr="00812DAD">
              <w:rPr>
                <w:spacing w:val="-4"/>
                <w:sz w:val="18"/>
                <w:szCs w:val="18"/>
              </w:rPr>
              <w:t>M</w:t>
            </w:r>
            <w:r>
              <w:rPr>
                <w:spacing w:val="-4"/>
                <w:sz w:val="18"/>
                <w:szCs w:val="18"/>
              </w:rPr>
              <w:t>es</w:t>
            </w:r>
          </w:p>
          <w:p w14:paraId="6C5303C6" w14:textId="77777777" w:rsidR="00493E1C" w:rsidRPr="00812DAD" w:rsidRDefault="00493E1C" w:rsidP="004E2AAB">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C4A11D" w14:textId="77777777" w:rsidR="00493E1C" w:rsidRPr="00812DAD" w:rsidRDefault="00493E1C" w:rsidP="004E2AAB">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5D65BBD0" w14:textId="77777777" w:rsidR="00493E1C" w:rsidRPr="0039544E" w:rsidRDefault="00493E1C" w:rsidP="004E2AAB">
            <w:pPr>
              <w:tabs>
                <w:tab w:val="center" w:pos="3348"/>
              </w:tabs>
              <w:ind w:left="-84" w:right="-99"/>
              <w:jc w:val="center"/>
              <w:rPr>
                <w:sz w:val="18"/>
                <w:szCs w:val="18"/>
              </w:rPr>
            </w:pPr>
          </w:p>
        </w:tc>
      </w:tr>
      <w:tr w:rsidR="00493E1C" w:rsidRPr="00892F41" w14:paraId="68D5C0FA" w14:textId="77777777" w:rsidTr="004E2AAB">
        <w:trPr>
          <w:jc w:val="center"/>
        </w:trPr>
        <w:tc>
          <w:tcPr>
            <w:tcW w:w="2430" w:type="pct"/>
            <w:tcBorders>
              <w:top w:val="nil"/>
              <w:left w:val="single" w:sz="4" w:space="0" w:color="404040"/>
              <w:bottom w:val="nil"/>
              <w:right w:val="single" w:sz="4" w:space="0" w:color="404040"/>
            </w:tcBorders>
            <w:shd w:val="clear" w:color="auto" w:fill="auto"/>
            <w:vAlign w:val="bottom"/>
          </w:tcPr>
          <w:p w14:paraId="776DC919" w14:textId="77777777" w:rsidR="00493E1C" w:rsidRPr="000C4AFB" w:rsidRDefault="00493E1C" w:rsidP="004E2AAB">
            <w:pPr>
              <w:widowControl w:val="0"/>
              <w:spacing w:before="20" w:after="20"/>
              <w:ind w:left="57"/>
              <w:contextualSpacing/>
              <w:jc w:val="left"/>
              <w:rPr>
                <w:sz w:val="18"/>
                <w:szCs w:val="18"/>
                <w:lang w:val="es-MX"/>
              </w:rPr>
            </w:pPr>
            <w:r>
              <w:rPr>
                <w:sz w:val="18"/>
                <w:szCs w:val="18"/>
                <w:lang w:val="es-MX"/>
              </w:rPr>
              <w:t xml:space="preserve">a)  </w:t>
            </w:r>
            <w:r w:rsidRPr="000C4AFB">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49C8AA22" w14:textId="77777777" w:rsidR="00493E1C" w:rsidRPr="00260161" w:rsidRDefault="00493E1C" w:rsidP="004E2AAB">
            <w:pPr>
              <w:tabs>
                <w:tab w:val="decimal" w:pos="396"/>
              </w:tabs>
              <w:jc w:val="left"/>
              <w:rPr>
                <w:sz w:val="18"/>
                <w:szCs w:val="18"/>
                <w:lang w:val="es-MX" w:eastAsia="es-MX"/>
              </w:rPr>
            </w:pPr>
            <w:r>
              <w:rPr>
                <w:color w:val="000000"/>
                <w:sz w:val="18"/>
                <w:szCs w:val="18"/>
              </w:rPr>
              <w:t>39.7</w:t>
            </w:r>
          </w:p>
        </w:tc>
        <w:tc>
          <w:tcPr>
            <w:tcW w:w="534" w:type="pct"/>
            <w:tcBorders>
              <w:top w:val="single" w:sz="4" w:space="0" w:color="404040"/>
              <w:left w:val="single" w:sz="4" w:space="0" w:color="404040"/>
              <w:bottom w:val="nil"/>
              <w:right w:val="nil"/>
            </w:tcBorders>
            <w:shd w:val="clear" w:color="auto" w:fill="auto"/>
            <w:vAlign w:val="center"/>
          </w:tcPr>
          <w:p w14:paraId="3233C37A" w14:textId="77777777" w:rsidR="00493E1C" w:rsidRPr="00260161" w:rsidRDefault="00493E1C" w:rsidP="004E2AAB">
            <w:pPr>
              <w:tabs>
                <w:tab w:val="left" w:pos="91"/>
                <w:tab w:val="decimal" w:pos="502"/>
              </w:tabs>
              <w:jc w:val="left"/>
              <w:rPr>
                <w:sz w:val="18"/>
                <w:szCs w:val="18"/>
              </w:rPr>
            </w:pPr>
            <w:r>
              <w:rPr>
                <w:color w:val="000000"/>
                <w:sz w:val="18"/>
                <w:szCs w:val="18"/>
              </w:rPr>
              <w:tab/>
              <w:t>(-)</w:t>
            </w:r>
            <w:r>
              <w:rPr>
                <w:color w:val="000000"/>
                <w:sz w:val="18"/>
                <w:szCs w:val="18"/>
              </w:rPr>
              <w:tab/>
              <w:t>10.4</w:t>
            </w:r>
          </w:p>
        </w:tc>
        <w:tc>
          <w:tcPr>
            <w:tcW w:w="528" w:type="pct"/>
            <w:tcBorders>
              <w:top w:val="single" w:sz="4" w:space="0" w:color="404040"/>
              <w:left w:val="nil"/>
              <w:bottom w:val="nil"/>
              <w:right w:val="single" w:sz="4" w:space="0" w:color="404040"/>
            </w:tcBorders>
            <w:shd w:val="clear" w:color="auto" w:fill="auto"/>
            <w:vAlign w:val="center"/>
          </w:tcPr>
          <w:p w14:paraId="06DEF318" w14:textId="77777777" w:rsidR="00493E1C" w:rsidRPr="00260161" w:rsidRDefault="00493E1C" w:rsidP="004E2AAB">
            <w:pPr>
              <w:tabs>
                <w:tab w:val="left" w:pos="44"/>
                <w:tab w:val="decimal" w:pos="464"/>
              </w:tabs>
              <w:jc w:val="left"/>
              <w:rPr>
                <w:sz w:val="18"/>
                <w:szCs w:val="18"/>
              </w:rPr>
            </w:pPr>
            <w:r>
              <w:rPr>
                <w:color w:val="000000"/>
                <w:sz w:val="18"/>
                <w:szCs w:val="18"/>
              </w:rPr>
              <w:tab/>
              <w:t>(-)</w:t>
            </w:r>
            <w:r>
              <w:rPr>
                <w:color w:val="000000"/>
                <w:sz w:val="18"/>
                <w:szCs w:val="18"/>
              </w:rPr>
              <w:tab/>
              <w:t>13.2</w:t>
            </w:r>
          </w:p>
        </w:tc>
        <w:tc>
          <w:tcPr>
            <w:tcW w:w="343" w:type="pct"/>
            <w:tcBorders>
              <w:top w:val="nil"/>
              <w:left w:val="single" w:sz="4" w:space="0" w:color="404040"/>
              <w:bottom w:val="nil"/>
              <w:right w:val="nil"/>
            </w:tcBorders>
            <w:shd w:val="clear" w:color="auto" w:fill="auto"/>
            <w:vAlign w:val="center"/>
          </w:tcPr>
          <w:p w14:paraId="3220960B" w14:textId="77777777" w:rsidR="00493E1C" w:rsidRPr="00260161" w:rsidRDefault="00493E1C" w:rsidP="004E2AAB">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2728F1EC" w14:textId="77777777" w:rsidR="00493E1C" w:rsidRPr="00B06089" w:rsidRDefault="00493E1C" w:rsidP="004E2AAB">
            <w:pPr>
              <w:rPr>
                <w:sz w:val="18"/>
                <w:szCs w:val="18"/>
              </w:rPr>
            </w:pPr>
            <w:r>
              <w:rPr>
                <w:sz w:val="18"/>
                <w:szCs w:val="18"/>
              </w:rPr>
              <w:t>Por debajo</w:t>
            </w:r>
          </w:p>
        </w:tc>
      </w:tr>
      <w:tr w:rsidR="00493E1C" w:rsidRPr="00892F41" w14:paraId="33531587" w14:textId="77777777" w:rsidTr="004E2AAB">
        <w:trPr>
          <w:jc w:val="center"/>
        </w:trPr>
        <w:tc>
          <w:tcPr>
            <w:tcW w:w="2430" w:type="pct"/>
            <w:tcBorders>
              <w:top w:val="nil"/>
              <w:left w:val="single" w:sz="4" w:space="0" w:color="404040"/>
              <w:bottom w:val="nil"/>
              <w:right w:val="single" w:sz="4" w:space="0" w:color="404040"/>
            </w:tcBorders>
            <w:shd w:val="clear" w:color="auto" w:fill="auto"/>
            <w:vAlign w:val="bottom"/>
          </w:tcPr>
          <w:p w14:paraId="6B591348" w14:textId="77777777" w:rsidR="00493E1C" w:rsidRPr="000C4AFB" w:rsidRDefault="00493E1C" w:rsidP="004E2AAB">
            <w:pPr>
              <w:widowControl w:val="0"/>
              <w:spacing w:before="20" w:after="20"/>
              <w:ind w:left="56"/>
              <w:contextualSpacing/>
              <w:jc w:val="left"/>
              <w:rPr>
                <w:sz w:val="18"/>
                <w:szCs w:val="18"/>
                <w:lang w:val="es-MX"/>
              </w:rPr>
            </w:pPr>
            <w:r>
              <w:rPr>
                <w:sz w:val="18"/>
                <w:szCs w:val="18"/>
                <w:lang w:val="es-MX"/>
              </w:rPr>
              <w:t xml:space="preserve">b)  </w:t>
            </w:r>
            <w:r w:rsidRPr="000C4AFB">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5345908A" w14:textId="77777777" w:rsidR="00493E1C" w:rsidRPr="00260161" w:rsidRDefault="00493E1C" w:rsidP="004E2AAB">
            <w:pPr>
              <w:tabs>
                <w:tab w:val="decimal" w:pos="396"/>
              </w:tabs>
              <w:jc w:val="left"/>
              <w:rPr>
                <w:sz w:val="18"/>
                <w:szCs w:val="18"/>
              </w:rPr>
            </w:pPr>
            <w:r>
              <w:rPr>
                <w:color w:val="000000"/>
                <w:sz w:val="18"/>
                <w:szCs w:val="18"/>
              </w:rPr>
              <w:t>37.5</w:t>
            </w:r>
          </w:p>
        </w:tc>
        <w:tc>
          <w:tcPr>
            <w:tcW w:w="534" w:type="pct"/>
            <w:tcBorders>
              <w:top w:val="nil"/>
              <w:left w:val="single" w:sz="4" w:space="0" w:color="404040"/>
              <w:bottom w:val="nil"/>
              <w:right w:val="nil"/>
            </w:tcBorders>
            <w:shd w:val="clear" w:color="auto" w:fill="auto"/>
            <w:vAlign w:val="center"/>
          </w:tcPr>
          <w:p w14:paraId="2EC6E0D1" w14:textId="77777777" w:rsidR="00493E1C" w:rsidRPr="00260161" w:rsidRDefault="00493E1C" w:rsidP="004E2AAB">
            <w:pPr>
              <w:tabs>
                <w:tab w:val="left" w:pos="91"/>
                <w:tab w:val="decimal" w:pos="502"/>
              </w:tabs>
              <w:jc w:val="left"/>
              <w:rPr>
                <w:sz w:val="18"/>
                <w:szCs w:val="18"/>
              </w:rPr>
            </w:pPr>
            <w:r>
              <w:rPr>
                <w:color w:val="000000"/>
                <w:sz w:val="18"/>
                <w:szCs w:val="18"/>
              </w:rPr>
              <w:tab/>
              <w:t>(-)</w:t>
            </w:r>
            <w:r>
              <w:rPr>
                <w:color w:val="000000"/>
                <w:sz w:val="18"/>
                <w:szCs w:val="18"/>
              </w:rPr>
              <w:tab/>
              <w:t>8.0</w:t>
            </w:r>
          </w:p>
        </w:tc>
        <w:tc>
          <w:tcPr>
            <w:tcW w:w="528" w:type="pct"/>
            <w:tcBorders>
              <w:top w:val="nil"/>
              <w:left w:val="nil"/>
              <w:bottom w:val="nil"/>
              <w:right w:val="single" w:sz="4" w:space="0" w:color="404040"/>
            </w:tcBorders>
            <w:shd w:val="clear" w:color="auto" w:fill="auto"/>
            <w:vAlign w:val="center"/>
          </w:tcPr>
          <w:p w14:paraId="1EAB6DDF" w14:textId="77777777" w:rsidR="00493E1C" w:rsidRPr="00260161" w:rsidRDefault="00493E1C" w:rsidP="004E2AAB">
            <w:pPr>
              <w:tabs>
                <w:tab w:val="left" w:pos="44"/>
                <w:tab w:val="decimal" w:pos="464"/>
              </w:tabs>
              <w:jc w:val="left"/>
              <w:rPr>
                <w:sz w:val="18"/>
                <w:szCs w:val="18"/>
              </w:rPr>
            </w:pPr>
            <w:r>
              <w:rPr>
                <w:color w:val="000000"/>
                <w:sz w:val="18"/>
                <w:szCs w:val="18"/>
              </w:rPr>
              <w:tab/>
              <w:t>(-)</w:t>
            </w:r>
            <w:r>
              <w:rPr>
                <w:color w:val="000000"/>
                <w:sz w:val="18"/>
                <w:szCs w:val="18"/>
              </w:rPr>
              <w:tab/>
              <w:t>14.0</w:t>
            </w:r>
          </w:p>
        </w:tc>
        <w:tc>
          <w:tcPr>
            <w:tcW w:w="343" w:type="pct"/>
            <w:tcBorders>
              <w:top w:val="nil"/>
              <w:left w:val="single" w:sz="4" w:space="0" w:color="404040"/>
              <w:bottom w:val="nil"/>
              <w:right w:val="nil"/>
            </w:tcBorders>
            <w:shd w:val="clear" w:color="auto" w:fill="auto"/>
            <w:vAlign w:val="center"/>
          </w:tcPr>
          <w:p w14:paraId="31A2C37A" w14:textId="77777777" w:rsidR="00493E1C" w:rsidRPr="00260161" w:rsidRDefault="00493E1C" w:rsidP="004E2AAB">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4C31F364" w14:textId="77777777" w:rsidR="00493E1C" w:rsidRPr="00B06089" w:rsidRDefault="00493E1C" w:rsidP="004E2AAB">
            <w:pPr>
              <w:rPr>
                <w:sz w:val="18"/>
                <w:szCs w:val="18"/>
              </w:rPr>
            </w:pPr>
            <w:r w:rsidRPr="00B06089">
              <w:rPr>
                <w:sz w:val="18"/>
                <w:szCs w:val="18"/>
              </w:rPr>
              <w:t xml:space="preserve">Por </w:t>
            </w:r>
            <w:r>
              <w:rPr>
                <w:sz w:val="18"/>
                <w:szCs w:val="18"/>
              </w:rPr>
              <w:t>debajo</w:t>
            </w:r>
          </w:p>
        </w:tc>
      </w:tr>
      <w:tr w:rsidR="00493E1C" w:rsidRPr="00892F41" w14:paraId="4602F0C7" w14:textId="77777777" w:rsidTr="004E2AAB">
        <w:trPr>
          <w:jc w:val="center"/>
        </w:trPr>
        <w:tc>
          <w:tcPr>
            <w:tcW w:w="2430" w:type="pct"/>
            <w:tcBorders>
              <w:top w:val="nil"/>
              <w:left w:val="single" w:sz="4" w:space="0" w:color="404040"/>
              <w:bottom w:val="nil"/>
              <w:right w:val="single" w:sz="4" w:space="0" w:color="404040"/>
            </w:tcBorders>
            <w:shd w:val="clear" w:color="auto" w:fill="auto"/>
            <w:vAlign w:val="bottom"/>
          </w:tcPr>
          <w:p w14:paraId="156D997D" w14:textId="77777777" w:rsidR="00493E1C" w:rsidRPr="000C4AFB" w:rsidRDefault="00493E1C" w:rsidP="004E2AAB">
            <w:pPr>
              <w:widowControl w:val="0"/>
              <w:spacing w:before="20" w:after="20"/>
              <w:ind w:left="56"/>
              <w:contextualSpacing/>
              <w:jc w:val="left"/>
              <w:rPr>
                <w:sz w:val="18"/>
                <w:szCs w:val="18"/>
                <w:lang w:val="es-MX"/>
              </w:rPr>
            </w:pPr>
            <w:r>
              <w:rPr>
                <w:sz w:val="18"/>
                <w:szCs w:val="18"/>
                <w:lang w:val="es-MX"/>
              </w:rPr>
              <w:t xml:space="preserve">c)  </w:t>
            </w:r>
            <w:r w:rsidRPr="000C4AFB">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28A601CA" w14:textId="77777777" w:rsidR="00493E1C" w:rsidRPr="00260161" w:rsidRDefault="00493E1C" w:rsidP="004E2AAB">
            <w:pPr>
              <w:tabs>
                <w:tab w:val="decimal" w:pos="396"/>
              </w:tabs>
              <w:jc w:val="left"/>
              <w:rPr>
                <w:sz w:val="18"/>
                <w:szCs w:val="18"/>
              </w:rPr>
            </w:pPr>
            <w:r>
              <w:rPr>
                <w:color w:val="000000"/>
                <w:sz w:val="18"/>
                <w:szCs w:val="18"/>
              </w:rPr>
              <w:t>39.7</w:t>
            </w:r>
          </w:p>
        </w:tc>
        <w:tc>
          <w:tcPr>
            <w:tcW w:w="534" w:type="pct"/>
            <w:tcBorders>
              <w:top w:val="nil"/>
              <w:left w:val="single" w:sz="4" w:space="0" w:color="404040"/>
              <w:bottom w:val="nil"/>
              <w:right w:val="nil"/>
            </w:tcBorders>
            <w:shd w:val="clear" w:color="auto" w:fill="auto"/>
            <w:vAlign w:val="center"/>
          </w:tcPr>
          <w:p w14:paraId="039F70C3" w14:textId="77777777" w:rsidR="00493E1C" w:rsidRPr="00260161" w:rsidRDefault="00493E1C" w:rsidP="004E2AAB">
            <w:pPr>
              <w:tabs>
                <w:tab w:val="left" w:pos="91"/>
                <w:tab w:val="decimal" w:pos="502"/>
              </w:tabs>
              <w:jc w:val="left"/>
              <w:rPr>
                <w:sz w:val="18"/>
                <w:szCs w:val="18"/>
              </w:rPr>
            </w:pPr>
            <w:r>
              <w:rPr>
                <w:color w:val="000000"/>
                <w:sz w:val="18"/>
                <w:szCs w:val="18"/>
              </w:rPr>
              <w:tab/>
              <w:t>(-)</w:t>
            </w:r>
            <w:r>
              <w:rPr>
                <w:color w:val="000000"/>
                <w:sz w:val="18"/>
                <w:szCs w:val="18"/>
              </w:rPr>
              <w:tab/>
              <w:t>6.5</w:t>
            </w:r>
          </w:p>
        </w:tc>
        <w:tc>
          <w:tcPr>
            <w:tcW w:w="528" w:type="pct"/>
            <w:tcBorders>
              <w:top w:val="nil"/>
              <w:left w:val="nil"/>
              <w:bottom w:val="nil"/>
              <w:right w:val="single" w:sz="4" w:space="0" w:color="404040"/>
            </w:tcBorders>
            <w:shd w:val="clear" w:color="auto" w:fill="auto"/>
            <w:vAlign w:val="center"/>
          </w:tcPr>
          <w:p w14:paraId="16B59C2B" w14:textId="77777777" w:rsidR="00493E1C" w:rsidRPr="00260161" w:rsidRDefault="00493E1C" w:rsidP="004E2AAB">
            <w:pPr>
              <w:tabs>
                <w:tab w:val="left" w:pos="44"/>
                <w:tab w:val="decimal" w:pos="464"/>
              </w:tabs>
              <w:jc w:val="left"/>
              <w:rPr>
                <w:sz w:val="18"/>
                <w:szCs w:val="18"/>
              </w:rPr>
            </w:pPr>
            <w:r>
              <w:rPr>
                <w:color w:val="000000"/>
                <w:sz w:val="18"/>
                <w:szCs w:val="18"/>
              </w:rPr>
              <w:tab/>
              <w:t>(-)</w:t>
            </w:r>
            <w:r>
              <w:rPr>
                <w:color w:val="000000"/>
                <w:sz w:val="18"/>
                <w:szCs w:val="18"/>
              </w:rPr>
              <w:tab/>
              <w:t>11.1</w:t>
            </w:r>
          </w:p>
        </w:tc>
        <w:tc>
          <w:tcPr>
            <w:tcW w:w="343" w:type="pct"/>
            <w:tcBorders>
              <w:top w:val="nil"/>
              <w:left w:val="single" w:sz="4" w:space="0" w:color="404040"/>
              <w:bottom w:val="nil"/>
              <w:right w:val="nil"/>
            </w:tcBorders>
            <w:shd w:val="clear" w:color="auto" w:fill="auto"/>
            <w:vAlign w:val="center"/>
          </w:tcPr>
          <w:p w14:paraId="5034E15B" w14:textId="77777777" w:rsidR="00493E1C" w:rsidRPr="00260161" w:rsidRDefault="00493E1C" w:rsidP="004E2AAB">
            <w:pPr>
              <w:jc w:val="right"/>
              <w:rPr>
                <w:sz w:val="18"/>
                <w:szCs w:val="18"/>
              </w:rPr>
            </w:pPr>
            <w:r>
              <w:rPr>
                <w:sz w:val="18"/>
                <w:szCs w:val="18"/>
              </w:rPr>
              <w:t>4</w:t>
            </w:r>
          </w:p>
        </w:tc>
        <w:tc>
          <w:tcPr>
            <w:tcW w:w="643" w:type="pct"/>
            <w:tcBorders>
              <w:top w:val="nil"/>
              <w:left w:val="nil"/>
              <w:bottom w:val="nil"/>
              <w:right w:val="single" w:sz="4" w:space="0" w:color="404040"/>
            </w:tcBorders>
            <w:shd w:val="clear" w:color="auto" w:fill="auto"/>
            <w:vAlign w:val="center"/>
          </w:tcPr>
          <w:p w14:paraId="17B641B1" w14:textId="77777777" w:rsidR="00493E1C" w:rsidRPr="00B06089" w:rsidRDefault="00493E1C" w:rsidP="004E2AAB">
            <w:pPr>
              <w:rPr>
                <w:sz w:val="18"/>
                <w:szCs w:val="18"/>
              </w:rPr>
            </w:pPr>
            <w:r w:rsidRPr="00B06089">
              <w:rPr>
                <w:sz w:val="18"/>
                <w:szCs w:val="18"/>
              </w:rPr>
              <w:t xml:space="preserve">Por </w:t>
            </w:r>
            <w:r>
              <w:rPr>
                <w:sz w:val="18"/>
                <w:szCs w:val="18"/>
              </w:rPr>
              <w:t>debajo</w:t>
            </w:r>
          </w:p>
        </w:tc>
      </w:tr>
      <w:tr w:rsidR="00493E1C" w:rsidRPr="00892F41" w14:paraId="6147E251" w14:textId="77777777" w:rsidTr="004E2AAB">
        <w:trPr>
          <w:jc w:val="center"/>
        </w:trPr>
        <w:tc>
          <w:tcPr>
            <w:tcW w:w="2430" w:type="pct"/>
            <w:tcBorders>
              <w:top w:val="nil"/>
              <w:left w:val="single" w:sz="4" w:space="0" w:color="404040"/>
              <w:bottom w:val="nil"/>
              <w:right w:val="single" w:sz="4" w:space="0" w:color="404040"/>
            </w:tcBorders>
            <w:shd w:val="clear" w:color="auto" w:fill="auto"/>
            <w:vAlign w:val="bottom"/>
          </w:tcPr>
          <w:p w14:paraId="79DBD516" w14:textId="77777777" w:rsidR="00493E1C" w:rsidRPr="000C4AFB" w:rsidRDefault="00493E1C" w:rsidP="004E2AAB">
            <w:pPr>
              <w:widowControl w:val="0"/>
              <w:spacing w:before="20" w:after="20"/>
              <w:ind w:left="56"/>
              <w:contextualSpacing/>
              <w:jc w:val="left"/>
              <w:rPr>
                <w:sz w:val="18"/>
                <w:szCs w:val="18"/>
                <w:lang w:val="es-MX"/>
              </w:rPr>
            </w:pPr>
            <w:r>
              <w:rPr>
                <w:sz w:val="18"/>
                <w:szCs w:val="18"/>
                <w:lang w:val="es-MX"/>
              </w:rPr>
              <w:t xml:space="preserve">d)  </w:t>
            </w:r>
            <w:r w:rsidRPr="000C4AFB">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018AA22F" w14:textId="77777777" w:rsidR="00493E1C" w:rsidRPr="00260161" w:rsidRDefault="00493E1C" w:rsidP="004E2AAB">
            <w:pPr>
              <w:tabs>
                <w:tab w:val="decimal" w:pos="396"/>
              </w:tabs>
              <w:jc w:val="left"/>
              <w:rPr>
                <w:sz w:val="18"/>
                <w:szCs w:val="18"/>
              </w:rPr>
            </w:pPr>
            <w:r>
              <w:rPr>
                <w:color w:val="000000"/>
                <w:sz w:val="18"/>
                <w:szCs w:val="18"/>
              </w:rPr>
              <w:t>36.3</w:t>
            </w:r>
          </w:p>
        </w:tc>
        <w:tc>
          <w:tcPr>
            <w:tcW w:w="534" w:type="pct"/>
            <w:tcBorders>
              <w:top w:val="nil"/>
              <w:left w:val="single" w:sz="4" w:space="0" w:color="404040"/>
              <w:bottom w:val="nil"/>
              <w:right w:val="nil"/>
            </w:tcBorders>
            <w:shd w:val="clear" w:color="auto" w:fill="auto"/>
            <w:vAlign w:val="center"/>
          </w:tcPr>
          <w:p w14:paraId="3E7C9BD9" w14:textId="77777777" w:rsidR="00493E1C" w:rsidRPr="00260161" w:rsidRDefault="00493E1C" w:rsidP="004E2AAB">
            <w:pPr>
              <w:tabs>
                <w:tab w:val="left" w:pos="91"/>
                <w:tab w:val="decimal" w:pos="502"/>
              </w:tabs>
              <w:jc w:val="left"/>
              <w:rPr>
                <w:sz w:val="18"/>
                <w:szCs w:val="18"/>
              </w:rPr>
            </w:pPr>
            <w:r>
              <w:rPr>
                <w:color w:val="000000"/>
                <w:sz w:val="18"/>
                <w:szCs w:val="18"/>
              </w:rPr>
              <w:tab/>
              <w:t>(-)</w:t>
            </w:r>
            <w:r>
              <w:rPr>
                <w:color w:val="000000"/>
                <w:sz w:val="18"/>
                <w:szCs w:val="18"/>
              </w:rPr>
              <w:tab/>
              <w:t>9.3</w:t>
            </w:r>
          </w:p>
        </w:tc>
        <w:tc>
          <w:tcPr>
            <w:tcW w:w="528" w:type="pct"/>
            <w:tcBorders>
              <w:top w:val="nil"/>
              <w:left w:val="nil"/>
              <w:bottom w:val="nil"/>
              <w:right w:val="single" w:sz="4" w:space="0" w:color="404040"/>
            </w:tcBorders>
            <w:shd w:val="clear" w:color="auto" w:fill="auto"/>
            <w:vAlign w:val="center"/>
          </w:tcPr>
          <w:p w14:paraId="4D73A534" w14:textId="77777777" w:rsidR="00493E1C" w:rsidRPr="00260161" w:rsidRDefault="00493E1C" w:rsidP="004E2AAB">
            <w:pPr>
              <w:tabs>
                <w:tab w:val="left" w:pos="44"/>
                <w:tab w:val="decimal" w:pos="464"/>
              </w:tabs>
              <w:jc w:val="left"/>
              <w:rPr>
                <w:sz w:val="18"/>
                <w:szCs w:val="18"/>
              </w:rPr>
            </w:pPr>
            <w:r>
              <w:rPr>
                <w:color w:val="000000"/>
                <w:sz w:val="18"/>
                <w:szCs w:val="18"/>
              </w:rPr>
              <w:tab/>
              <w:t>(-)</w:t>
            </w:r>
            <w:r>
              <w:rPr>
                <w:color w:val="000000"/>
                <w:sz w:val="18"/>
                <w:szCs w:val="18"/>
              </w:rPr>
              <w:tab/>
              <w:t>16.8</w:t>
            </w:r>
          </w:p>
        </w:tc>
        <w:tc>
          <w:tcPr>
            <w:tcW w:w="343" w:type="pct"/>
            <w:tcBorders>
              <w:top w:val="nil"/>
              <w:left w:val="single" w:sz="4" w:space="0" w:color="404040"/>
              <w:bottom w:val="nil"/>
              <w:right w:val="nil"/>
            </w:tcBorders>
            <w:shd w:val="clear" w:color="auto" w:fill="auto"/>
            <w:vAlign w:val="center"/>
          </w:tcPr>
          <w:p w14:paraId="6895AB3B" w14:textId="77777777" w:rsidR="00493E1C" w:rsidRPr="00260161" w:rsidRDefault="00493E1C" w:rsidP="004E2AAB">
            <w:pPr>
              <w:jc w:val="right"/>
              <w:rPr>
                <w:sz w:val="18"/>
                <w:szCs w:val="18"/>
              </w:rPr>
            </w:pPr>
            <w:r>
              <w:rPr>
                <w:sz w:val="18"/>
                <w:szCs w:val="18"/>
              </w:rPr>
              <w:t>4</w:t>
            </w:r>
          </w:p>
        </w:tc>
        <w:tc>
          <w:tcPr>
            <w:tcW w:w="643" w:type="pct"/>
            <w:tcBorders>
              <w:top w:val="nil"/>
              <w:left w:val="nil"/>
              <w:bottom w:val="nil"/>
              <w:right w:val="single" w:sz="4" w:space="0" w:color="404040"/>
            </w:tcBorders>
            <w:shd w:val="clear" w:color="auto" w:fill="auto"/>
            <w:vAlign w:val="center"/>
          </w:tcPr>
          <w:p w14:paraId="50D6F37D" w14:textId="77777777" w:rsidR="00493E1C" w:rsidRPr="00B06089" w:rsidRDefault="00493E1C" w:rsidP="004E2AAB">
            <w:pPr>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493E1C" w:rsidRPr="00892F41" w14:paraId="21C2B56E" w14:textId="77777777" w:rsidTr="004E2AAB">
        <w:trPr>
          <w:jc w:val="center"/>
        </w:trPr>
        <w:tc>
          <w:tcPr>
            <w:tcW w:w="2430" w:type="pct"/>
            <w:tcBorders>
              <w:top w:val="nil"/>
              <w:left w:val="single" w:sz="4" w:space="0" w:color="404040"/>
              <w:bottom w:val="nil"/>
              <w:right w:val="single" w:sz="4" w:space="0" w:color="404040"/>
            </w:tcBorders>
            <w:shd w:val="clear" w:color="auto" w:fill="auto"/>
            <w:vAlign w:val="bottom"/>
          </w:tcPr>
          <w:p w14:paraId="1DC22A73" w14:textId="77777777" w:rsidR="00493E1C" w:rsidRPr="000C4AFB" w:rsidRDefault="00493E1C" w:rsidP="004E2AAB">
            <w:pPr>
              <w:widowControl w:val="0"/>
              <w:spacing w:before="20" w:after="20"/>
              <w:ind w:left="56"/>
              <w:contextualSpacing/>
              <w:jc w:val="left"/>
              <w:rPr>
                <w:sz w:val="18"/>
                <w:szCs w:val="18"/>
                <w:lang w:val="es-MX"/>
              </w:rPr>
            </w:pPr>
            <w:r>
              <w:rPr>
                <w:sz w:val="18"/>
                <w:szCs w:val="18"/>
                <w:lang w:val="es-MX"/>
              </w:rPr>
              <w:t xml:space="preserve">e)  </w:t>
            </w:r>
            <w:r w:rsidRPr="000C4AFB">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14:paraId="3CE33C45" w14:textId="77777777" w:rsidR="00493E1C" w:rsidRPr="00260161" w:rsidRDefault="00493E1C" w:rsidP="004E2AAB">
            <w:pPr>
              <w:tabs>
                <w:tab w:val="decimal" w:pos="396"/>
              </w:tabs>
              <w:jc w:val="left"/>
              <w:rPr>
                <w:sz w:val="18"/>
                <w:szCs w:val="18"/>
              </w:rPr>
            </w:pPr>
            <w:r>
              <w:rPr>
                <w:color w:val="000000"/>
                <w:sz w:val="18"/>
                <w:szCs w:val="18"/>
              </w:rPr>
              <w:t>46.2</w:t>
            </w:r>
          </w:p>
        </w:tc>
        <w:tc>
          <w:tcPr>
            <w:tcW w:w="534" w:type="pct"/>
            <w:tcBorders>
              <w:top w:val="nil"/>
              <w:left w:val="single" w:sz="4" w:space="0" w:color="404040"/>
              <w:bottom w:val="nil"/>
              <w:right w:val="nil"/>
            </w:tcBorders>
            <w:shd w:val="clear" w:color="auto" w:fill="auto"/>
            <w:vAlign w:val="center"/>
          </w:tcPr>
          <w:p w14:paraId="748BE945" w14:textId="77777777" w:rsidR="00493E1C" w:rsidRPr="00260161" w:rsidRDefault="00493E1C" w:rsidP="004E2AAB">
            <w:pPr>
              <w:tabs>
                <w:tab w:val="left" w:pos="91"/>
                <w:tab w:val="decimal" w:pos="502"/>
              </w:tabs>
              <w:jc w:val="left"/>
              <w:rPr>
                <w:sz w:val="18"/>
                <w:szCs w:val="18"/>
              </w:rPr>
            </w:pPr>
            <w:r>
              <w:rPr>
                <w:color w:val="000000"/>
                <w:sz w:val="18"/>
                <w:szCs w:val="18"/>
              </w:rPr>
              <w:tab/>
              <w:t>(-)</w:t>
            </w:r>
            <w:r>
              <w:rPr>
                <w:color w:val="000000"/>
                <w:sz w:val="18"/>
                <w:szCs w:val="18"/>
              </w:rPr>
              <w:tab/>
              <w:t>2.0</w:t>
            </w:r>
          </w:p>
        </w:tc>
        <w:tc>
          <w:tcPr>
            <w:tcW w:w="528" w:type="pct"/>
            <w:tcBorders>
              <w:top w:val="nil"/>
              <w:left w:val="nil"/>
              <w:bottom w:val="nil"/>
              <w:right w:val="single" w:sz="4" w:space="0" w:color="404040"/>
            </w:tcBorders>
            <w:shd w:val="clear" w:color="auto" w:fill="auto"/>
            <w:vAlign w:val="center"/>
          </w:tcPr>
          <w:p w14:paraId="368103D6" w14:textId="77777777" w:rsidR="00493E1C" w:rsidRPr="00260161" w:rsidRDefault="00493E1C" w:rsidP="004E2AAB">
            <w:pPr>
              <w:tabs>
                <w:tab w:val="left" w:pos="44"/>
                <w:tab w:val="decimal" w:pos="464"/>
              </w:tabs>
              <w:jc w:val="left"/>
              <w:rPr>
                <w:sz w:val="18"/>
                <w:szCs w:val="18"/>
              </w:rPr>
            </w:pPr>
            <w:r>
              <w:rPr>
                <w:color w:val="000000"/>
                <w:sz w:val="18"/>
                <w:szCs w:val="18"/>
              </w:rPr>
              <w:tab/>
              <w:t>(-)</w:t>
            </w:r>
            <w:r>
              <w:rPr>
                <w:color w:val="000000"/>
                <w:sz w:val="18"/>
                <w:szCs w:val="18"/>
              </w:rPr>
              <w:tab/>
              <w:t>4.0</w:t>
            </w:r>
          </w:p>
        </w:tc>
        <w:tc>
          <w:tcPr>
            <w:tcW w:w="343" w:type="pct"/>
            <w:tcBorders>
              <w:top w:val="nil"/>
              <w:left w:val="single" w:sz="4" w:space="0" w:color="404040"/>
              <w:bottom w:val="nil"/>
              <w:right w:val="nil"/>
            </w:tcBorders>
            <w:shd w:val="clear" w:color="auto" w:fill="auto"/>
            <w:vAlign w:val="center"/>
          </w:tcPr>
          <w:p w14:paraId="0E7D07AE" w14:textId="77777777" w:rsidR="00493E1C" w:rsidRPr="00260161" w:rsidRDefault="00493E1C" w:rsidP="004E2AAB">
            <w:pPr>
              <w:jc w:val="right"/>
              <w:rPr>
                <w:sz w:val="18"/>
                <w:szCs w:val="18"/>
              </w:rPr>
            </w:pPr>
            <w:r>
              <w:rPr>
                <w:sz w:val="18"/>
                <w:szCs w:val="18"/>
              </w:rPr>
              <w:t>6</w:t>
            </w:r>
          </w:p>
        </w:tc>
        <w:tc>
          <w:tcPr>
            <w:tcW w:w="643" w:type="pct"/>
            <w:tcBorders>
              <w:top w:val="nil"/>
              <w:left w:val="nil"/>
              <w:bottom w:val="nil"/>
              <w:right w:val="single" w:sz="4" w:space="0" w:color="404040"/>
            </w:tcBorders>
            <w:shd w:val="clear" w:color="auto" w:fill="auto"/>
            <w:vAlign w:val="center"/>
          </w:tcPr>
          <w:p w14:paraId="6D9C5701" w14:textId="77777777" w:rsidR="00493E1C" w:rsidRPr="00B06089" w:rsidRDefault="00493E1C" w:rsidP="004E2AAB">
            <w:pPr>
              <w:rPr>
                <w:sz w:val="18"/>
                <w:szCs w:val="18"/>
              </w:rPr>
            </w:pPr>
            <w:r w:rsidRPr="00B06089">
              <w:rPr>
                <w:sz w:val="18"/>
                <w:szCs w:val="18"/>
              </w:rPr>
              <w:t xml:space="preserve">Por </w:t>
            </w:r>
            <w:r>
              <w:rPr>
                <w:sz w:val="18"/>
                <w:szCs w:val="18"/>
              </w:rPr>
              <w:t>debajo</w:t>
            </w:r>
          </w:p>
        </w:tc>
      </w:tr>
      <w:tr w:rsidR="00493E1C" w:rsidRPr="000123F8" w14:paraId="3551FFC9" w14:textId="77777777" w:rsidTr="004E2AAB">
        <w:trPr>
          <w:jc w:val="center"/>
        </w:trPr>
        <w:tc>
          <w:tcPr>
            <w:tcW w:w="2430" w:type="pct"/>
            <w:tcBorders>
              <w:top w:val="nil"/>
              <w:left w:val="single" w:sz="4" w:space="0" w:color="404040"/>
              <w:bottom w:val="nil"/>
              <w:right w:val="single" w:sz="4" w:space="0" w:color="404040"/>
            </w:tcBorders>
            <w:shd w:val="clear" w:color="auto" w:fill="auto"/>
          </w:tcPr>
          <w:p w14:paraId="45B6FE60" w14:textId="77777777" w:rsidR="00493E1C" w:rsidRPr="000C4AFB" w:rsidRDefault="00493E1C" w:rsidP="004E2AAB">
            <w:pPr>
              <w:widowControl w:val="0"/>
              <w:spacing w:before="20" w:after="20"/>
              <w:ind w:left="56"/>
              <w:contextualSpacing/>
              <w:jc w:val="left"/>
              <w:rPr>
                <w:sz w:val="18"/>
                <w:szCs w:val="18"/>
                <w:lang w:val="es-MX"/>
              </w:rPr>
            </w:pPr>
            <w:r>
              <w:rPr>
                <w:sz w:val="18"/>
                <w:szCs w:val="18"/>
                <w:lang w:val="es-MX"/>
              </w:rPr>
              <w:t xml:space="preserve">f)   </w:t>
            </w:r>
            <w:r w:rsidRPr="000C4AFB">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14:paraId="1849724F" w14:textId="77777777" w:rsidR="00493E1C" w:rsidRPr="00260161" w:rsidRDefault="00493E1C" w:rsidP="004E2AAB">
            <w:pPr>
              <w:tabs>
                <w:tab w:val="decimal" w:pos="396"/>
              </w:tabs>
              <w:jc w:val="left"/>
              <w:rPr>
                <w:sz w:val="18"/>
                <w:szCs w:val="18"/>
              </w:rPr>
            </w:pPr>
            <w:r>
              <w:rPr>
                <w:color w:val="000000"/>
                <w:sz w:val="18"/>
                <w:szCs w:val="18"/>
              </w:rPr>
              <w:t>46.8</w:t>
            </w:r>
          </w:p>
        </w:tc>
        <w:tc>
          <w:tcPr>
            <w:tcW w:w="534" w:type="pct"/>
            <w:tcBorders>
              <w:top w:val="nil"/>
              <w:left w:val="single" w:sz="4" w:space="0" w:color="404040"/>
              <w:bottom w:val="nil"/>
              <w:right w:val="nil"/>
            </w:tcBorders>
            <w:shd w:val="clear" w:color="auto" w:fill="auto"/>
            <w:vAlign w:val="center"/>
          </w:tcPr>
          <w:p w14:paraId="54B2F479" w14:textId="77777777" w:rsidR="00493E1C" w:rsidRPr="00260161" w:rsidRDefault="00493E1C" w:rsidP="004E2AAB">
            <w:pPr>
              <w:tabs>
                <w:tab w:val="left" w:pos="91"/>
                <w:tab w:val="decimal" w:pos="502"/>
              </w:tabs>
              <w:jc w:val="left"/>
              <w:rPr>
                <w:sz w:val="18"/>
                <w:szCs w:val="18"/>
              </w:rPr>
            </w:pPr>
            <w:r>
              <w:rPr>
                <w:color w:val="000000"/>
                <w:sz w:val="18"/>
                <w:szCs w:val="18"/>
              </w:rPr>
              <w:tab/>
              <w:t>(-)</w:t>
            </w:r>
            <w:r>
              <w:rPr>
                <w:color w:val="000000"/>
                <w:sz w:val="18"/>
                <w:szCs w:val="18"/>
              </w:rPr>
              <w:tab/>
              <w:t>4.2</w:t>
            </w:r>
          </w:p>
        </w:tc>
        <w:tc>
          <w:tcPr>
            <w:tcW w:w="528" w:type="pct"/>
            <w:tcBorders>
              <w:top w:val="nil"/>
              <w:left w:val="nil"/>
              <w:bottom w:val="nil"/>
              <w:right w:val="single" w:sz="4" w:space="0" w:color="404040"/>
            </w:tcBorders>
            <w:shd w:val="clear" w:color="auto" w:fill="auto"/>
            <w:vAlign w:val="center"/>
          </w:tcPr>
          <w:p w14:paraId="7059B380" w14:textId="77777777" w:rsidR="00493E1C" w:rsidRPr="00260161" w:rsidRDefault="00493E1C" w:rsidP="004E2AAB">
            <w:pPr>
              <w:tabs>
                <w:tab w:val="left" w:pos="44"/>
                <w:tab w:val="decimal" w:pos="464"/>
              </w:tabs>
              <w:jc w:val="left"/>
              <w:rPr>
                <w:sz w:val="18"/>
                <w:szCs w:val="18"/>
              </w:rPr>
            </w:pPr>
            <w:r>
              <w:rPr>
                <w:color w:val="000000"/>
                <w:sz w:val="18"/>
                <w:szCs w:val="18"/>
              </w:rPr>
              <w:tab/>
              <w:t>(-)</w:t>
            </w:r>
            <w:r>
              <w:rPr>
                <w:color w:val="000000"/>
                <w:sz w:val="18"/>
                <w:szCs w:val="18"/>
              </w:rPr>
              <w:tab/>
              <w:t>5.4</w:t>
            </w:r>
          </w:p>
        </w:tc>
        <w:tc>
          <w:tcPr>
            <w:tcW w:w="343" w:type="pct"/>
            <w:tcBorders>
              <w:top w:val="nil"/>
              <w:left w:val="single" w:sz="4" w:space="0" w:color="404040"/>
              <w:bottom w:val="nil"/>
              <w:right w:val="nil"/>
            </w:tcBorders>
            <w:shd w:val="clear" w:color="auto" w:fill="auto"/>
            <w:vAlign w:val="center"/>
          </w:tcPr>
          <w:p w14:paraId="3C4824C5" w14:textId="77777777" w:rsidR="00493E1C" w:rsidRPr="00260161" w:rsidRDefault="00493E1C" w:rsidP="004E2AAB">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36B7695E" w14:textId="77777777" w:rsidR="00493E1C" w:rsidRPr="00B06089" w:rsidRDefault="00493E1C" w:rsidP="004E2AAB">
            <w:pPr>
              <w:rPr>
                <w:sz w:val="18"/>
                <w:szCs w:val="18"/>
              </w:rPr>
            </w:pPr>
            <w:r w:rsidRPr="00B06089">
              <w:rPr>
                <w:sz w:val="18"/>
                <w:szCs w:val="18"/>
              </w:rPr>
              <w:t xml:space="preserve">Por </w:t>
            </w:r>
            <w:r>
              <w:rPr>
                <w:sz w:val="18"/>
                <w:szCs w:val="18"/>
              </w:rPr>
              <w:t>debajo</w:t>
            </w:r>
          </w:p>
        </w:tc>
      </w:tr>
      <w:tr w:rsidR="00493E1C" w:rsidRPr="000123F8" w14:paraId="1A9E2034" w14:textId="77777777" w:rsidTr="004E2AAB">
        <w:trPr>
          <w:trHeight w:val="70"/>
          <w:jc w:val="center"/>
        </w:trPr>
        <w:tc>
          <w:tcPr>
            <w:tcW w:w="2430" w:type="pct"/>
            <w:tcBorders>
              <w:top w:val="nil"/>
              <w:left w:val="single" w:sz="4" w:space="0" w:color="404040"/>
              <w:bottom w:val="nil"/>
              <w:right w:val="single" w:sz="4" w:space="0" w:color="404040"/>
            </w:tcBorders>
            <w:shd w:val="clear" w:color="auto" w:fill="auto"/>
          </w:tcPr>
          <w:p w14:paraId="25CE842F" w14:textId="77777777" w:rsidR="00493E1C" w:rsidRPr="000C4AFB" w:rsidRDefault="00493E1C" w:rsidP="004E2AAB">
            <w:pPr>
              <w:widowControl w:val="0"/>
              <w:spacing w:before="20" w:after="20"/>
              <w:ind w:left="56"/>
              <w:contextualSpacing/>
              <w:jc w:val="left"/>
              <w:rPr>
                <w:sz w:val="18"/>
                <w:szCs w:val="18"/>
                <w:lang w:val="es-MX"/>
              </w:rPr>
            </w:pPr>
            <w:r>
              <w:rPr>
                <w:sz w:val="18"/>
                <w:szCs w:val="18"/>
                <w:lang w:val="es-MX"/>
              </w:rPr>
              <w:t xml:space="preserve">g)  </w:t>
            </w:r>
            <w:r w:rsidRPr="000C4AFB">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14:paraId="7EB1C175" w14:textId="77777777" w:rsidR="00493E1C" w:rsidRPr="00260161" w:rsidRDefault="00493E1C" w:rsidP="004E2AAB">
            <w:pPr>
              <w:tabs>
                <w:tab w:val="decimal" w:pos="396"/>
              </w:tabs>
              <w:jc w:val="left"/>
              <w:rPr>
                <w:sz w:val="18"/>
                <w:szCs w:val="18"/>
              </w:rPr>
            </w:pPr>
            <w:r>
              <w:rPr>
                <w:color w:val="000000"/>
                <w:sz w:val="18"/>
                <w:szCs w:val="18"/>
              </w:rPr>
              <w:t>46.0</w:t>
            </w:r>
          </w:p>
        </w:tc>
        <w:tc>
          <w:tcPr>
            <w:tcW w:w="534" w:type="pct"/>
            <w:tcBorders>
              <w:top w:val="nil"/>
              <w:left w:val="single" w:sz="4" w:space="0" w:color="404040"/>
              <w:bottom w:val="nil"/>
              <w:right w:val="nil"/>
            </w:tcBorders>
            <w:shd w:val="clear" w:color="auto" w:fill="auto"/>
            <w:vAlign w:val="center"/>
          </w:tcPr>
          <w:p w14:paraId="0457A32A" w14:textId="77777777" w:rsidR="00493E1C" w:rsidRPr="00260161" w:rsidRDefault="00493E1C" w:rsidP="004E2AAB">
            <w:pPr>
              <w:tabs>
                <w:tab w:val="left" w:pos="91"/>
                <w:tab w:val="decimal" w:pos="502"/>
              </w:tabs>
              <w:jc w:val="left"/>
              <w:rPr>
                <w:sz w:val="18"/>
                <w:szCs w:val="18"/>
              </w:rPr>
            </w:pPr>
            <w:r>
              <w:rPr>
                <w:color w:val="000000"/>
                <w:sz w:val="18"/>
                <w:szCs w:val="18"/>
              </w:rPr>
              <w:tab/>
              <w:t>(-)</w:t>
            </w:r>
            <w:r>
              <w:rPr>
                <w:color w:val="000000"/>
                <w:sz w:val="18"/>
                <w:szCs w:val="18"/>
              </w:rPr>
              <w:tab/>
              <w:t>3.7</w:t>
            </w:r>
          </w:p>
        </w:tc>
        <w:tc>
          <w:tcPr>
            <w:tcW w:w="528" w:type="pct"/>
            <w:tcBorders>
              <w:top w:val="nil"/>
              <w:left w:val="nil"/>
              <w:bottom w:val="nil"/>
              <w:right w:val="single" w:sz="4" w:space="0" w:color="404040"/>
            </w:tcBorders>
            <w:shd w:val="clear" w:color="auto" w:fill="auto"/>
            <w:vAlign w:val="center"/>
          </w:tcPr>
          <w:p w14:paraId="311B26E6" w14:textId="77777777" w:rsidR="00493E1C" w:rsidRPr="00260161" w:rsidRDefault="00493E1C" w:rsidP="004E2AAB">
            <w:pPr>
              <w:tabs>
                <w:tab w:val="left" w:pos="44"/>
                <w:tab w:val="decimal" w:pos="464"/>
              </w:tabs>
              <w:jc w:val="left"/>
              <w:rPr>
                <w:sz w:val="18"/>
                <w:szCs w:val="18"/>
              </w:rPr>
            </w:pPr>
            <w:r>
              <w:rPr>
                <w:color w:val="000000"/>
                <w:sz w:val="18"/>
                <w:szCs w:val="18"/>
              </w:rPr>
              <w:tab/>
              <w:t>(-)</w:t>
            </w:r>
            <w:r>
              <w:rPr>
                <w:color w:val="000000"/>
                <w:sz w:val="18"/>
                <w:szCs w:val="18"/>
              </w:rPr>
              <w:tab/>
              <w:t>4.8</w:t>
            </w:r>
          </w:p>
        </w:tc>
        <w:tc>
          <w:tcPr>
            <w:tcW w:w="343" w:type="pct"/>
            <w:tcBorders>
              <w:top w:val="nil"/>
              <w:left w:val="single" w:sz="4" w:space="0" w:color="404040"/>
              <w:bottom w:val="nil"/>
              <w:right w:val="nil"/>
            </w:tcBorders>
            <w:shd w:val="clear" w:color="auto" w:fill="auto"/>
            <w:vAlign w:val="center"/>
          </w:tcPr>
          <w:p w14:paraId="79B01892" w14:textId="77777777" w:rsidR="00493E1C" w:rsidRPr="00260161" w:rsidRDefault="00493E1C" w:rsidP="004E2AAB">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73ABA321" w14:textId="77777777" w:rsidR="00493E1C" w:rsidRPr="00B06089" w:rsidRDefault="00493E1C" w:rsidP="004E2AAB">
            <w:pPr>
              <w:rPr>
                <w:sz w:val="18"/>
                <w:szCs w:val="18"/>
              </w:rPr>
            </w:pPr>
            <w:r>
              <w:rPr>
                <w:sz w:val="18"/>
                <w:szCs w:val="18"/>
              </w:rPr>
              <w:t>Por debajo</w:t>
            </w:r>
          </w:p>
        </w:tc>
      </w:tr>
      <w:tr w:rsidR="00493E1C" w:rsidRPr="000123F8" w14:paraId="1827AF03" w14:textId="77777777" w:rsidTr="004E2AAB">
        <w:trPr>
          <w:jc w:val="center"/>
        </w:trPr>
        <w:tc>
          <w:tcPr>
            <w:tcW w:w="2430" w:type="pct"/>
            <w:tcBorders>
              <w:top w:val="nil"/>
              <w:left w:val="single" w:sz="4" w:space="0" w:color="404040"/>
              <w:bottom w:val="nil"/>
              <w:right w:val="single" w:sz="4" w:space="0" w:color="404040"/>
            </w:tcBorders>
            <w:shd w:val="clear" w:color="auto" w:fill="auto"/>
          </w:tcPr>
          <w:p w14:paraId="3F461E11" w14:textId="77777777" w:rsidR="00493E1C" w:rsidRPr="000C4AFB" w:rsidRDefault="00493E1C" w:rsidP="004E2AAB">
            <w:pPr>
              <w:widowControl w:val="0"/>
              <w:spacing w:before="20" w:after="20"/>
              <w:ind w:left="56"/>
              <w:contextualSpacing/>
              <w:jc w:val="left"/>
              <w:rPr>
                <w:sz w:val="18"/>
                <w:szCs w:val="18"/>
                <w:lang w:val="es-MX"/>
              </w:rPr>
            </w:pPr>
            <w:r>
              <w:rPr>
                <w:sz w:val="18"/>
                <w:szCs w:val="18"/>
                <w:lang w:val="es-MX"/>
              </w:rPr>
              <w:t xml:space="preserve">h)  </w:t>
            </w:r>
            <w:r w:rsidRPr="000C4AFB">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14:paraId="7FFC4E56" w14:textId="77777777" w:rsidR="00493E1C" w:rsidRPr="00260161" w:rsidRDefault="00493E1C" w:rsidP="004E2AAB">
            <w:pPr>
              <w:tabs>
                <w:tab w:val="decimal" w:pos="396"/>
              </w:tabs>
              <w:jc w:val="left"/>
              <w:rPr>
                <w:sz w:val="18"/>
                <w:szCs w:val="18"/>
              </w:rPr>
            </w:pPr>
            <w:r>
              <w:rPr>
                <w:color w:val="000000"/>
                <w:sz w:val="18"/>
                <w:szCs w:val="18"/>
              </w:rPr>
              <w:t>54.1</w:t>
            </w:r>
          </w:p>
        </w:tc>
        <w:tc>
          <w:tcPr>
            <w:tcW w:w="534" w:type="pct"/>
            <w:tcBorders>
              <w:top w:val="nil"/>
              <w:left w:val="single" w:sz="4" w:space="0" w:color="404040"/>
              <w:bottom w:val="nil"/>
              <w:right w:val="nil"/>
            </w:tcBorders>
            <w:shd w:val="clear" w:color="auto" w:fill="auto"/>
            <w:vAlign w:val="center"/>
          </w:tcPr>
          <w:p w14:paraId="0D56231F" w14:textId="77777777" w:rsidR="00493E1C" w:rsidRPr="00260161" w:rsidRDefault="00493E1C" w:rsidP="004E2AAB">
            <w:pPr>
              <w:tabs>
                <w:tab w:val="decimal" w:pos="502"/>
              </w:tabs>
              <w:jc w:val="left"/>
              <w:rPr>
                <w:sz w:val="18"/>
                <w:szCs w:val="18"/>
              </w:rPr>
            </w:pPr>
            <w:r>
              <w:rPr>
                <w:color w:val="000000"/>
                <w:sz w:val="18"/>
                <w:szCs w:val="18"/>
              </w:rPr>
              <w:t>1.1</w:t>
            </w:r>
          </w:p>
        </w:tc>
        <w:tc>
          <w:tcPr>
            <w:tcW w:w="528" w:type="pct"/>
            <w:tcBorders>
              <w:top w:val="nil"/>
              <w:left w:val="nil"/>
              <w:bottom w:val="nil"/>
              <w:right w:val="single" w:sz="4" w:space="0" w:color="404040"/>
            </w:tcBorders>
            <w:shd w:val="clear" w:color="auto" w:fill="auto"/>
            <w:vAlign w:val="center"/>
          </w:tcPr>
          <w:p w14:paraId="3C8E02B3" w14:textId="77777777" w:rsidR="00493E1C" w:rsidRPr="00260161" w:rsidRDefault="00493E1C" w:rsidP="004E2AAB">
            <w:pPr>
              <w:tabs>
                <w:tab w:val="decimal" w:pos="464"/>
              </w:tabs>
              <w:jc w:val="left"/>
              <w:rPr>
                <w:sz w:val="18"/>
                <w:szCs w:val="18"/>
              </w:rPr>
            </w:pPr>
            <w:r>
              <w:rPr>
                <w:color w:val="000000"/>
                <w:sz w:val="18"/>
                <w:szCs w:val="18"/>
              </w:rPr>
              <w:t>0.0</w:t>
            </w:r>
          </w:p>
        </w:tc>
        <w:tc>
          <w:tcPr>
            <w:tcW w:w="343" w:type="pct"/>
            <w:tcBorders>
              <w:top w:val="nil"/>
              <w:left w:val="single" w:sz="4" w:space="0" w:color="404040"/>
              <w:bottom w:val="nil"/>
              <w:right w:val="nil"/>
            </w:tcBorders>
            <w:shd w:val="clear" w:color="auto" w:fill="auto"/>
            <w:vAlign w:val="center"/>
          </w:tcPr>
          <w:p w14:paraId="2F0A6DD6" w14:textId="77777777" w:rsidR="00493E1C" w:rsidRPr="00260161" w:rsidRDefault="00493E1C" w:rsidP="004E2AAB">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3E24784B" w14:textId="77777777" w:rsidR="00493E1C" w:rsidRPr="00B06089" w:rsidRDefault="00493E1C" w:rsidP="004E2AAB">
            <w:pPr>
              <w:rPr>
                <w:sz w:val="18"/>
                <w:szCs w:val="18"/>
              </w:rPr>
            </w:pPr>
            <w:r w:rsidRPr="00B06089">
              <w:rPr>
                <w:sz w:val="18"/>
                <w:szCs w:val="18"/>
              </w:rPr>
              <w:t>Por arriba</w:t>
            </w:r>
          </w:p>
        </w:tc>
      </w:tr>
      <w:tr w:rsidR="00493E1C" w:rsidRPr="005E2BD6" w14:paraId="5A29A749" w14:textId="77777777" w:rsidTr="004E2AAB">
        <w:trPr>
          <w:jc w:val="center"/>
        </w:trPr>
        <w:tc>
          <w:tcPr>
            <w:tcW w:w="2430" w:type="pct"/>
            <w:tcBorders>
              <w:top w:val="nil"/>
              <w:left w:val="single" w:sz="4" w:space="0" w:color="404040"/>
              <w:bottom w:val="single" w:sz="4" w:space="0" w:color="404040"/>
              <w:right w:val="single" w:sz="4" w:space="0" w:color="404040"/>
            </w:tcBorders>
            <w:shd w:val="clear" w:color="auto" w:fill="auto"/>
          </w:tcPr>
          <w:p w14:paraId="4571D0CB" w14:textId="77777777" w:rsidR="00493E1C" w:rsidRPr="000C4AFB" w:rsidRDefault="00493E1C" w:rsidP="004E2AAB">
            <w:pPr>
              <w:widowControl w:val="0"/>
              <w:spacing w:before="20" w:after="20"/>
              <w:ind w:left="56"/>
              <w:contextualSpacing/>
              <w:jc w:val="left"/>
              <w:rPr>
                <w:sz w:val="18"/>
                <w:szCs w:val="18"/>
                <w:lang w:val="es-MX"/>
              </w:rPr>
            </w:pPr>
            <w:r>
              <w:rPr>
                <w:sz w:val="18"/>
                <w:szCs w:val="18"/>
                <w:lang w:val="es-MX"/>
              </w:rPr>
              <w:t xml:space="preserve">i)   </w:t>
            </w:r>
            <w:r w:rsidRPr="000C4AFB">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3A63D942" w14:textId="77777777" w:rsidR="00493E1C" w:rsidRPr="00260161" w:rsidRDefault="00493E1C" w:rsidP="004E2AAB">
            <w:pPr>
              <w:tabs>
                <w:tab w:val="decimal" w:pos="396"/>
              </w:tabs>
              <w:jc w:val="left"/>
              <w:rPr>
                <w:sz w:val="18"/>
                <w:szCs w:val="18"/>
              </w:rPr>
            </w:pPr>
            <w:r>
              <w:rPr>
                <w:color w:val="000000"/>
                <w:sz w:val="18"/>
                <w:szCs w:val="18"/>
              </w:rPr>
              <w:t>54.7</w:t>
            </w:r>
          </w:p>
        </w:tc>
        <w:tc>
          <w:tcPr>
            <w:tcW w:w="534" w:type="pct"/>
            <w:tcBorders>
              <w:top w:val="nil"/>
              <w:left w:val="single" w:sz="4" w:space="0" w:color="404040"/>
              <w:bottom w:val="single" w:sz="4" w:space="0" w:color="404040"/>
              <w:right w:val="nil"/>
            </w:tcBorders>
            <w:shd w:val="clear" w:color="auto" w:fill="auto"/>
            <w:vAlign w:val="center"/>
          </w:tcPr>
          <w:p w14:paraId="239286D4" w14:textId="77777777" w:rsidR="00493E1C" w:rsidRPr="00260161" w:rsidRDefault="00493E1C" w:rsidP="004E2AAB">
            <w:pPr>
              <w:tabs>
                <w:tab w:val="decimal" w:pos="502"/>
              </w:tabs>
              <w:jc w:val="left"/>
              <w:rPr>
                <w:sz w:val="18"/>
                <w:szCs w:val="18"/>
              </w:rPr>
            </w:pPr>
            <w:r>
              <w:rPr>
                <w:color w:val="000000"/>
                <w:sz w:val="18"/>
                <w:szCs w:val="18"/>
              </w:rPr>
              <w:t>0.7</w:t>
            </w:r>
          </w:p>
        </w:tc>
        <w:tc>
          <w:tcPr>
            <w:tcW w:w="528" w:type="pct"/>
            <w:tcBorders>
              <w:top w:val="nil"/>
              <w:left w:val="nil"/>
              <w:bottom w:val="single" w:sz="4" w:space="0" w:color="404040"/>
              <w:right w:val="single" w:sz="4" w:space="0" w:color="404040"/>
            </w:tcBorders>
            <w:shd w:val="clear" w:color="auto" w:fill="auto"/>
            <w:vAlign w:val="center"/>
          </w:tcPr>
          <w:p w14:paraId="474B424A" w14:textId="77777777" w:rsidR="00493E1C" w:rsidRPr="00260161" w:rsidRDefault="00493E1C" w:rsidP="004E2AAB">
            <w:pPr>
              <w:tabs>
                <w:tab w:val="decimal" w:pos="464"/>
              </w:tabs>
              <w:jc w:val="left"/>
              <w:rPr>
                <w:sz w:val="18"/>
                <w:szCs w:val="18"/>
              </w:rPr>
            </w:pPr>
            <w:r>
              <w:rPr>
                <w:color w:val="000000"/>
                <w:sz w:val="18"/>
                <w:szCs w:val="18"/>
              </w:rPr>
              <w:t>0.5</w:t>
            </w:r>
          </w:p>
        </w:tc>
        <w:tc>
          <w:tcPr>
            <w:tcW w:w="343" w:type="pct"/>
            <w:tcBorders>
              <w:top w:val="nil"/>
              <w:left w:val="single" w:sz="4" w:space="0" w:color="404040"/>
              <w:bottom w:val="single" w:sz="4" w:space="0" w:color="404040"/>
              <w:right w:val="nil"/>
            </w:tcBorders>
            <w:shd w:val="clear" w:color="auto" w:fill="auto"/>
            <w:vAlign w:val="center"/>
          </w:tcPr>
          <w:p w14:paraId="2D3AF178" w14:textId="77777777" w:rsidR="00493E1C" w:rsidRPr="00260161" w:rsidRDefault="00493E1C" w:rsidP="004E2AAB">
            <w:pPr>
              <w:jc w:val="right"/>
              <w:rPr>
                <w:sz w:val="18"/>
                <w:szCs w:val="18"/>
              </w:rPr>
            </w:pPr>
            <w:r w:rsidRPr="00260161">
              <w:rPr>
                <w:sz w:val="18"/>
                <w:szCs w:val="18"/>
              </w:rPr>
              <w:t>17</w:t>
            </w:r>
            <w:r>
              <w:rPr>
                <w:sz w:val="18"/>
                <w:szCs w:val="18"/>
              </w:rPr>
              <w:t>2</w:t>
            </w:r>
          </w:p>
        </w:tc>
        <w:tc>
          <w:tcPr>
            <w:tcW w:w="643" w:type="pct"/>
            <w:tcBorders>
              <w:top w:val="nil"/>
              <w:left w:val="nil"/>
              <w:bottom w:val="single" w:sz="4" w:space="0" w:color="404040"/>
              <w:right w:val="single" w:sz="4" w:space="0" w:color="404040"/>
            </w:tcBorders>
            <w:shd w:val="clear" w:color="auto" w:fill="auto"/>
            <w:vAlign w:val="center"/>
          </w:tcPr>
          <w:p w14:paraId="494E413D" w14:textId="77777777" w:rsidR="00493E1C" w:rsidRPr="00B06089" w:rsidRDefault="00493E1C" w:rsidP="004E2AAB">
            <w:pPr>
              <w:rPr>
                <w:sz w:val="18"/>
                <w:szCs w:val="18"/>
              </w:rPr>
            </w:pPr>
            <w:r w:rsidRPr="00B06089">
              <w:rPr>
                <w:sz w:val="18"/>
                <w:szCs w:val="18"/>
              </w:rPr>
              <w:t>Por arriba</w:t>
            </w:r>
          </w:p>
        </w:tc>
      </w:tr>
    </w:tbl>
    <w:p w14:paraId="0B038B77" w14:textId="77777777" w:rsidR="00493E1C" w:rsidRDefault="00493E1C" w:rsidP="00853939">
      <w:pPr>
        <w:widowControl w:val="0"/>
        <w:spacing w:before="20"/>
        <w:ind w:left="700" w:right="142"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220A15F2" w14:textId="77777777" w:rsidR="00493E1C" w:rsidRDefault="00493E1C" w:rsidP="00493E1C">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77F8A3DA" w14:textId="77777777" w:rsidR="00493E1C" w:rsidRDefault="00493E1C" w:rsidP="00493E1C">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18B2D237" w14:textId="77777777" w:rsidR="00493E1C" w:rsidRDefault="00493E1C" w:rsidP="00493E1C">
      <w:pPr>
        <w:keepNext/>
        <w:keepLines/>
        <w:widowControl w:val="0"/>
        <w:spacing w:before="360"/>
        <w:jc w:val="center"/>
        <w:outlineLvl w:val="0"/>
        <w:rPr>
          <w:b/>
          <w:smallCaps/>
          <w:sz w:val="22"/>
          <w:lang w:val="es-MX"/>
        </w:rPr>
      </w:pPr>
    </w:p>
    <w:p w14:paraId="1F3750BD" w14:textId="77777777" w:rsidR="00493E1C" w:rsidRDefault="00493E1C" w:rsidP="00493E1C">
      <w:pPr>
        <w:spacing w:before="360"/>
        <w:ind w:left="-567" w:right="-567"/>
        <w:rPr>
          <w:bCs/>
        </w:rPr>
      </w:pPr>
    </w:p>
    <w:p w14:paraId="28212473" w14:textId="77777777" w:rsidR="00493E1C" w:rsidRDefault="00493E1C" w:rsidP="00493E1C">
      <w:pPr>
        <w:spacing w:before="360"/>
        <w:ind w:left="-567" w:right="-567"/>
        <w:rPr>
          <w:bCs/>
        </w:rPr>
      </w:pPr>
    </w:p>
    <w:p w14:paraId="1A8015B0" w14:textId="77777777" w:rsidR="00493E1C" w:rsidRPr="00B313C1" w:rsidRDefault="00493E1C" w:rsidP="00493E1C">
      <w:pPr>
        <w:spacing w:before="120"/>
        <w:ind w:left="-567" w:right="-567"/>
        <w:rPr>
          <w:bCs/>
        </w:rPr>
      </w:pPr>
      <w:r w:rsidRPr="00B313C1">
        <w:rPr>
          <w:bCs/>
        </w:rPr>
        <w:t>Las EE del sector de la Construcción disminuyeron: las expectativas referidas al Valor de las obras ejecutadas como subcontratista y al Valor de las obras ejecutadas como contratista principal retrocedieron (</w:t>
      </w:r>
      <w:r w:rsidRPr="00B313C1">
        <w:rPr>
          <w:bCs/>
        </w:rPr>
        <w:noBreakHyphen/>
        <w:t>)7.4 y (</w:t>
      </w:r>
      <w:r w:rsidRPr="00B313C1">
        <w:rPr>
          <w:bCs/>
        </w:rPr>
        <w:noBreakHyphen/>
        <w:t>)5.8 puntos, respectivamente, y las del Personal ocupado total (</w:t>
      </w:r>
      <w:r w:rsidRPr="00B313C1">
        <w:rPr>
          <w:bCs/>
        </w:rPr>
        <w:noBreakHyphen/>
        <w:t>)3.4 puntos durante abril de este año con relación a las del mes precedente.</w:t>
      </w:r>
    </w:p>
    <w:p w14:paraId="3ECCC679" w14:textId="77777777" w:rsidR="00493E1C" w:rsidRPr="00637BEA" w:rsidRDefault="00493E1C" w:rsidP="00493E1C">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construcción</w:t>
      </w:r>
    </w:p>
    <w:p w14:paraId="50E6D903" w14:textId="77777777" w:rsidR="00493E1C" w:rsidRDefault="00493E1C" w:rsidP="00493E1C">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841" w:type="pct"/>
        <w:tblInd w:w="-5" w:type="dxa"/>
        <w:tblLayout w:type="fixed"/>
        <w:tblLook w:val="04A0" w:firstRow="1" w:lastRow="0" w:firstColumn="1" w:lastColumn="0" w:noHBand="0" w:noVBand="1"/>
      </w:tblPr>
      <w:tblGrid>
        <w:gridCol w:w="4390"/>
        <w:gridCol w:w="924"/>
        <w:gridCol w:w="847"/>
        <w:gridCol w:w="847"/>
        <w:gridCol w:w="471"/>
        <w:gridCol w:w="1158"/>
      </w:tblGrid>
      <w:tr w:rsidR="00493E1C" w:rsidRPr="00637BEA" w14:paraId="3201ABD3" w14:textId="77777777" w:rsidTr="004E2AAB">
        <w:trPr>
          <w:trHeight w:val="518"/>
          <w:tblHeader/>
        </w:trPr>
        <w:tc>
          <w:tcPr>
            <w:tcW w:w="4390" w:type="dxa"/>
            <w:vMerge w:val="restart"/>
            <w:tcBorders>
              <w:top w:val="single" w:sz="4" w:space="0" w:color="404040"/>
              <w:left w:val="single" w:sz="4" w:space="0" w:color="404040"/>
              <w:right w:val="single" w:sz="4" w:space="0" w:color="404040"/>
            </w:tcBorders>
            <w:shd w:val="clear" w:color="auto" w:fill="CCCCFF"/>
            <w:vAlign w:val="center"/>
          </w:tcPr>
          <w:p w14:paraId="432025C0" w14:textId="77777777" w:rsidR="00493E1C" w:rsidRPr="00812DAD" w:rsidRDefault="00493E1C" w:rsidP="004E2AAB">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924" w:type="dxa"/>
            <w:vMerge w:val="restart"/>
            <w:tcBorders>
              <w:top w:val="single" w:sz="4" w:space="0" w:color="404040"/>
              <w:left w:val="single" w:sz="4" w:space="0" w:color="404040"/>
              <w:right w:val="single" w:sz="4" w:space="0" w:color="404040"/>
            </w:tcBorders>
            <w:shd w:val="clear" w:color="auto" w:fill="CCCCFF"/>
            <w:vAlign w:val="center"/>
          </w:tcPr>
          <w:p w14:paraId="4355128A" w14:textId="77777777" w:rsidR="00493E1C" w:rsidRPr="00812DAD" w:rsidRDefault="00493E1C" w:rsidP="004E2AAB">
            <w:pPr>
              <w:ind w:left="-108" w:right="-82"/>
              <w:jc w:val="center"/>
              <w:rPr>
                <w:spacing w:val="-4"/>
                <w:sz w:val="18"/>
                <w:szCs w:val="18"/>
              </w:rPr>
            </w:pPr>
            <w:r>
              <w:rPr>
                <w:spacing w:val="-4"/>
                <w:sz w:val="18"/>
                <w:szCs w:val="18"/>
              </w:rPr>
              <w:t>Abril</w:t>
            </w:r>
            <w:r w:rsidRPr="00812DAD">
              <w:rPr>
                <w:spacing w:val="-4"/>
                <w:sz w:val="18"/>
                <w:szCs w:val="18"/>
              </w:rPr>
              <w:br/>
            </w:r>
            <w:r>
              <w:rPr>
                <w:spacing w:val="-4"/>
                <w:sz w:val="18"/>
                <w:szCs w:val="18"/>
              </w:rPr>
              <w:t xml:space="preserve">de </w:t>
            </w:r>
            <w:r w:rsidRPr="00812DAD">
              <w:rPr>
                <w:spacing w:val="-4"/>
                <w:sz w:val="18"/>
                <w:szCs w:val="18"/>
              </w:rPr>
              <w:t>20</w:t>
            </w:r>
            <w:r>
              <w:rPr>
                <w:spacing w:val="-4"/>
                <w:sz w:val="18"/>
                <w:szCs w:val="18"/>
              </w:rPr>
              <w:t>20</w:t>
            </w:r>
          </w:p>
        </w:tc>
        <w:tc>
          <w:tcPr>
            <w:tcW w:w="1694"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1B4FF2B" w14:textId="77777777" w:rsidR="00493E1C" w:rsidRPr="00812DAD" w:rsidRDefault="00493E1C" w:rsidP="004E2AAB">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1629" w:type="dxa"/>
            <w:gridSpan w:val="2"/>
            <w:vMerge w:val="restart"/>
            <w:tcBorders>
              <w:top w:val="single" w:sz="4" w:space="0" w:color="404040"/>
              <w:left w:val="single" w:sz="4" w:space="0" w:color="404040"/>
              <w:right w:val="single" w:sz="4" w:space="0" w:color="404040"/>
            </w:tcBorders>
            <w:shd w:val="clear" w:color="auto" w:fill="CCCCFF"/>
            <w:vAlign w:val="center"/>
          </w:tcPr>
          <w:p w14:paraId="07ADCF98" w14:textId="77777777" w:rsidR="00493E1C" w:rsidRPr="00812DAD" w:rsidRDefault="00493E1C" w:rsidP="004E2AAB">
            <w:pPr>
              <w:tabs>
                <w:tab w:val="center" w:pos="3348"/>
              </w:tabs>
              <w:ind w:left="-84" w:right="-99"/>
              <w:jc w:val="center"/>
              <w:rPr>
                <w:spacing w:val="-4"/>
                <w:sz w:val="18"/>
                <w:szCs w:val="18"/>
              </w:rPr>
            </w:pPr>
            <w:r w:rsidRPr="00812DAD">
              <w:rPr>
                <w:spacing w:val="-4"/>
                <w:sz w:val="18"/>
                <w:szCs w:val="18"/>
              </w:rPr>
              <w:t xml:space="preserve">Número de meses consecutivos por </w:t>
            </w:r>
            <w:r>
              <w:rPr>
                <w:spacing w:val="-4"/>
                <w:sz w:val="18"/>
                <w:szCs w:val="18"/>
              </w:rPr>
              <w:br/>
            </w:r>
            <w:r w:rsidRPr="00812DAD">
              <w:rPr>
                <w:spacing w:val="-4"/>
                <w:sz w:val="18"/>
                <w:szCs w:val="18"/>
              </w:rPr>
              <w:t xml:space="preserve">arriba o por debajo </w:t>
            </w:r>
            <w:r>
              <w:rPr>
                <w:spacing w:val="-4"/>
                <w:sz w:val="18"/>
                <w:szCs w:val="18"/>
              </w:rPr>
              <w:br/>
            </w:r>
            <w:r w:rsidRPr="00812DAD">
              <w:rPr>
                <w:spacing w:val="-4"/>
                <w:sz w:val="18"/>
                <w:szCs w:val="18"/>
              </w:rPr>
              <w:t xml:space="preserve">del umbral de </w:t>
            </w:r>
            <w:r>
              <w:rPr>
                <w:spacing w:val="-4"/>
                <w:sz w:val="18"/>
                <w:szCs w:val="18"/>
              </w:rPr>
              <w:br/>
            </w:r>
            <w:r w:rsidRPr="00812DAD">
              <w:rPr>
                <w:spacing w:val="-4"/>
                <w:sz w:val="18"/>
                <w:szCs w:val="18"/>
              </w:rPr>
              <w:t>50 puntos</w:t>
            </w:r>
          </w:p>
        </w:tc>
      </w:tr>
      <w:tr w:rsidR="00493E1C" w:rsidRPr="00637BEA" w14:paraId="7B90DAC3" w14:textId="77777777" w:rsidTr="004E2AAB">
        <w:trPr>
          <w:trHeight w:val="517"/>
          <w:tblHeader/>
        </w:trPr>
        <w:tc>
          <w:tcPr>
            <w:tcW w:w="4390" w:type="dxa"/>
            <w:vMerge/>
            <w:tcBorders>
              <w:left w:val="single" w:sz="4" w:space="0" w:color="404040"/>
              <w:bottom w:val="single" w:sz="4" w:space="0" w:color="404040"/>
              <w:right w:val="single" w:sz="4" w:space="0" w:color="404040"/>
            </w:tcBorders>
            <w:shd w:val="clear" w:color="auto" w:fill="CCCCFF"/>
            <w:vAlign w:val="center"/>
          </w:tcPr>
          <w:p w14:paraId="05297A93" w14:textId="77777777" w:rsidR="00493E1C" w:rsidRPr="00812DAD" w:rsidRDefault="00493E1C" w:rsidP="004E2AAB">
            <w:pPr>
              <w:widowControl w:val="0"/>
              <w:tabs>
                <w:tab w:val="left" w:pos="708"/>
                <w:tab w:val="center" w:pos="3348"/>
              </w:tabs>
              <w:ind w:firstLine="307"/>
              <w:jc w:val="left"/>
              <w:rPr>
                <w:spacing w:val="-4"/>
                <w:sz w:val="18"/>
                <w:szCs w:val="18"/>
              </w:rPr>
            </w:pPr>
          </w:p>
        </w:tc>
        <w:tc>
          <w:tcPr>
            <w:tcW w:w="924" w:type="dxa"/>
            <w:vMerge/>
            <w:tcBorders>
              <w:left w:val="single" w:sz="4" w:space="0" w:color="404040"/>
              <w:bottom w:val="single" w:sz="4" w:space="0" w:color="404040"/>
              <w:right w:val="single" w:sz="4" w:space="0" w:color="404040"/>
            </w:tcBorders>
            <w:shd w:val="clear" w:color="auto" w:fill="CCCCFF"/>
            <w:vAlign w:val="center"/>
          </w:tcPr>
          <w:p w14:paraId="2350005E" w14:textId="77777777" w:rsidR="00493E1C" w:rsidRDefault="00493E1C" w:rsidP="004E2AAB">
            <w:pPr>
              <w:ind w:left="-108" w:right="-82"/>
              <w:jc w:val="center"/>
              <w:rPr>
                <w:sz w:val="18"/>
                <w:szCs w:val="18"/>
              </w:rPr>
            </w:pPr>
          </w:p>
        </w:tc>
        <w:tc>
          <w:tcPr>
            <w:tcW w:w="84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F2ADB02" w14:textId="77777777" w:rsidR="00493E1C" w:rsidRPr="00812DAD" w:rsidRDefault="00493E1C" w:rsidP="004E2AAB">
            <w:pPr>
              <w:ind w:left="-106" w:right="-95"/>
              <w:jc w:val="center"/>
              <w:rPr>
                <w:spacing w:val="-4"/>
                <w:sz w:val="18"/>
                <w:szCs w:val="18"/>
              </w:rPr>
            </w:pPr>
            <w:r w:rsidRPr="00812DAD">
              <w:rPr>
                <w:spacing w:val="-4"/>
                <w:sz w:val="18"/>
                <w:szCs w:val="18"/>
              </w:rPr>
              <w:t>Mes</w:t>
            </w:r>
            <w:r>
              <w:rPr>
                <w:spacing w:val="-4"/>
                <w:sz w:val="18"/>
                <w:szCs w:val="18"/>
              </w:rPr>
              <w:br/>
            </w:r>
            <w:r w:rsidRPr="00812DAD">
              <w:rPr>
                <w:spacing w:val="-4"/>
                <w:sz w:val="18"/>
                <w:szCs w:val="18"/>
              </w:rPr>
              <w:t>previo</w:t>
            </w:r>
          </w:p>
        </w:tc>
        <w:tc>
          <w:tcPr>
            <w:tcW w:w="84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A20B2CB" w14:textId="77777777" w:rsidR="00493E1C" w:rsidRPr="00812DAD" w:rsidRDefault="00493E1C" w:rsidP="004E2AAB">
            <w:pPr>
              <w:ind w:left="-106" w:right="-95"/>
              <w:jc w:val="center"/>
              <w:rPr>
                <w:spacing w:val="-4"/>
                <w:sz w:val="18"/>
                <w:szCs w:val="18"/>
              </w:rPr>
            </w:pPr>
            <w:r w:rsidRPr="00812DAD">
              <w:rPr>
                <w:spacing w:val="-4"/>
                <w:sz w:val="18"/>
                <w:szCs w:val="18"/>
              </w:rPr>
              <w:t>Mismo mes del año anterior</w:t>
            </w:r>
          </w:p>
        </w:tc>
        <w:tc>
          <w:tcPr>
            <w:tcW w:w="1629" w:type="dxa"/>
            <w:gridSpan w:val="2"/>
            <w:vMerge/>
            <w:tcBorders>
              <w:left w:val="single" w:sz="4" w:space="0" w:color="404040"/>
              <w:bottom w:val="single" w:sz="4" w:space="0" w:color="404040"/>
              <w:right w:val="single" w:sz="4" w:space="0" w:color="404040"/>
            </w:tcBorders>
            <w:shd w:val="clear" w:color="auto" w:fill="CCCCFF"/>
            <w:vAlign w:val="center"/>
          </w:tcPr>
          <w:p w14:paraId="1377F223" w14:textId="77777777" w:rsidR="00493E1C" w:rsidRPr="0039544E" w:rsidRDefault="00493E1C" w:rsidP="004E2AAB">
            <w:pPr>
              <w:tabs>
                <w:tab w:val="center" w:pos="3348"/>
              </w:tabs>
              <w:ind w:left="-84" w:right="-99"/>
              <w:jc w:val="center"/>
              <w:rPr>
                <w:sz w:val="18"/>
                <w:szCs w:val="18"/>
              </w:rPr>
            </w:pPr>
          </w:p>
        </w:tc>
      </w:tr>
      <w:tr w:rsidR="00493E1C" w:rsidRPr="00892F41" w14:paraId="3BB254D0" w14:textId="77777777" w:rsidTr="004E2AAB">
        <w:tc>
          <w:tcPr>
            <w:tcW w:w="4390" w:type="dxa"/>
            <w:tcBorders>
              <w:top w:val="nil"/>
              <w:left w:val="single" w:sz="4" w:space="0" w:color="404040"/>
              <w:bottom w:val="nil"/>
              <w:right w:val="single" w:sz="4" w:space="0" w:color="404040"/>
            </w:tcBorders>
            <w:shd w:val="clear" w:color="auto" w:fill="auto"/>
            <w:vAlign w:val="bottom"/>
          </w:tcPr>
          <w:p w14:paraId="7F2577ED" w14:textId="77777777" w:rsidR="00493E1C" w:rsidRPr="00B313C1" w:rsidRDefault="00493E1C" w:rsidP="004E2AAB">
            <w:pPr>
              <w:widowControl w:val="0"/>
              <w:spacing w:before="20" w:after="20"/>
              <w:ind w:left="29"/>
              <w:contextualSpacing/>
              <w:jc w:val="left"/>
              <w:rPr>
                <w:spacing w:val="-4"/>
                <w:sz w:val="18"/>
                <w:szCs w:val="18"/>
                <w:lang w:val="es-MX"/>
              </w:rPr>
            </w:pPr>
            <w:r>
              <w:rPr>
                <w:spacing w:val="-4"/>
                <w:sz w:val="18"/>
                <w:szCs w:val="18"/>
                <w:lang w:val="es-MX"/>
              </w:rPr>
              <w:t xml:space="preserve">a)  </w:t>
            </w:r>
            <w:r w:rsidRPr="00B313C1">
              <w:rPr>
                <w:spacing w:val="-4"/>
                <w:sz w:val="18"/>
                <w:szCs w:val="18"/>
                <w:lang w:val="es-MX"/>
              </w:rPr>
              <w:t>Valor de las obras ejecutadas como contratista principal</w:t>
            </w:r>
          </w:p>
        </w:tc>
        <w:tc>
          <w:tcPr>
            <w:tcW w:w="924" w:type="dxa"/>
            <w:tcBorders>
              <w:top w:val="nil"/>
              <w:left w:val="single" w:sz="4" w:space="0" w:color="404040"/>
              <w:bottom w:val="nil"/>
              <w:right w:val="single" w:sz="4" w:space="0" w:color="404040"/>
            </w:tcBorders>
            <w:shd w:val="clear" w:color="auto" w:fill="auto"/>
            <w:vAlign w:val="center"/>
          </w:tcPr>
          <w:p w14:paraId="5B76C07F" w14:textId="77777777" w:rsidR="00493E1C" w:rsidRPr="006D2DE0" w:rsidRDefault="00493E1C" w:rsidP="004E2AAB">
            <w:pPr>
              <w:tabs>
                <w:tab w:val="decimal" w:pos="390"/>
              </w:tabs>
              <w:jc w:val="left"/>
              <w:rPr>
                <w:sz w:val="18"/>
                <w:szCs w:val="18"/>
                <w:lang w:val="es-MX" w:eastAsia="es-MX"/>
              </w:rPr>
            </w:pPr>
            <w:r>
              <w:rPr>
                <w:color w:val="000000"/>
                <w:sz w:val="18"/>
                <w:szCs w:val="18"/>
              </w:rPr>
              <w:t>39.1</w:t>
            </w:r>
          </w:p>
        </w:tc>
        <w:tc>
          <w:tcPr>
            <w:tcW w:w="847" w:type="dxa"/>
            <w:tcBorders>
              <w:top w:val="single" w:sz="4" w:space="0" w:color="404040"/>
              <w:left w:val="single" w:sz="4" w:space="0" w:color="404040"/>
              <w:bottom w:val="nil"/>
              <w:right w:val="nil"/>
            </w:tcBorders>
            <w:shd w:val="clear" w:color="auto" w:fill="auto"/>
            <w:vAlign w:val="center"/>
          </w:tcPr>
          <w:p w14:paraId="75C3BCA6" w14:textId="77777777" w:rsidR="00493E1C" w:rsidRPr="006D2DE0" w:rsidRDefault="00493E1C" w:rsidP="004E2AAB">
            <w:pPr>
              <w:tabs>
                <w:tab w:val="left" w:pos="33"/>
                <w:tab w:val="decimal" w:pos="378"/>
              </w:tabs>
              <w:jc w:val="left"/>
              <w:rPr>
                <w:sz w:val="18"/>
                <w:szCs w:val="18"/>
              </w:rPr>
            </w:pPr>
            <w:r>
              <w:rPr>
                <w:color w:val="000000"/>
                <w:sz w:val="18"/>
                <w:szCs w:val="18"/>
              </w:rPr>
              <w:tab/>
              <w:t>(-)</w:t>
            </w:r>
            <w:r>
              <w:rPr>
                <w:color w:val="000000"/>
                <w:sz w:val="18"/>
                <w:szCs w:val="18"/>
              </w:rPr>
              <w:tab/>
              <w:t>5.8</w:t>
            </w:r>
          </w:p>
        </w:tc>
        <w:tc>
          <w:tcPr>
            <w:tcW w:w="847" w:type="dxa"/>
            <w:tcBorders>
              <w:top w:val="single" w:sz="4" w:space="0" w:color="404040"/>
              <w:left w:val="nil"/>
              <w:bottom w:val="nil"/>
              <w:right w:val="single" w:sz="4" w:space="0" w:color="404040"/>
            </w:tcBorders>
            <w:shd w:val="clear" w:color="auto" w:fill="auto"/>
            <w:vAlign w:val="center"/>
          </w:tcPr>
          <w:p w14:paraId="71291773" w14:textId="77777777" w:rsidR="00493E1C" w:rsidRPr="006D2DE0" w:rsidRDefault="00493E1C" w:rsidP="004E2AAB">
            <w:pPr>
              <w:tabs>
                <w:tab w:val="left" w:pos="44"/>
                <w:tab w:val="decimal" w:pos="459"/>
              </w:tabs>
              <w:jc w:val="left"/>
              <w:rPr>
                <w:sz w:val="18"/>
                <w:szCs w:val="18"/>
              </w:rPr>
            </w:pPr>
            <w:r>
              <w:rPr>
                <w:color w:val="000000"/>
                <w:sz w:val="18"/>
                <w:szCs w:val="18"/>
              </w:rPr>
              <w:tab/>
              <w:t>(-)</w:t>
            </w:r>
            <w:r>
              <w:rPr>
                <w:color w:val="000000"/>
                <w:sz w:val="18"/>
                <w:szCs w:val="18"/>
              </w:rPr>
              <w:tab/>
              <w:t>18.1</w:t>
            </w:r>
          </w:p>
        </w:tc>
        <w:tc>
          <w:tcPr>
            <w:tcW w:w="471" w:type="dxa"/>
            <w:tcBorders>
              <w:top w:val="nil"/>
              <w:left w:val="single" w:sz="4" w:space="0" w:color="404040"/>
              <w:bottom w:val="nil"/>
              <w:right w:val="nil"/>
            </w:tcBorders>
            <w:shd w:val="clear" w:color="auto" w:fill="auto"/>
            <w:vAlign w:val="center"/>
          </w:tcPr>
          <w:p w14:paraId="50758D63" w14:textId="77777777" w:rsidR="00493E1C" w:rsidRPr="006D2DE0" w:rsidRDefault="00493E1C" w:rsidP="004E2AAB">
            <w:pPr>
              <w:jc w:val="right"/>
              <w:rPr>
                <w:sz w:val="18"/>
                <w:szCs w:val="18"/>
              </w:rPr>
            </w:pPr>
            <w:r>
              <w:rPr>
                <w:sz w:val="18"/>
                <w:szCs w:val="18"/>
              </w:rPr>
              <w:t>6</w:t>
            </w:r>
          </w:p>
        </w:tc>
        <w:tc>
          <w:tcPr>
            <w:tcW w:w="1158" w:type="dxa"/>
            <w:tcBorders>
              <w:top w:val="nil"/>
              <w:left w:val="nil"/>
              <w:bottom w:val="nil"/>
              <w:right w:val="single" w:sz="4" w:space="0" w:color="404040"/>
            </w:tcBorders>
            <w:shd w:val="clear" w:color="auto" w:fill="auto"/>
            <w:vAlign w:val="center"/>
          </w:tcPr>
          <w:p w14:paraId="48BDFD7C" w14:textId="77777777" w:rsidR="00493E1C" w:rsidRPr="00385445" w:rsidRDefault="00493E1C" w:rsidP="004E2AAB">
            <w:pPr>
              <w:rPr>
                <w:sz w:val="18"/>
                <w:szCs w:val="18"/>
              </w:rPr>
            </w:pPr>
            <w:r w:rsidRPr="00385445">
              <w:rPr>
                <w:sz w:val="18"/>
                <w:szCs w:val="18"/>
              </w:rPr>
              <w:t xml:space="preserve">Por </w:t>
            </w:r>
            <w:r>
              <w:rPr>
                <w:sz w:val="18"/>
                <w:szCs w:val="18"/>
              </w:rPr>
              <w:t>de</w:t>
            </w:r>
            <w:r w:rsidRPr="00385445">
              <w:rPr>
                <w:sz w:val="18"/>
                <w:szCs w:val="18"/>
              </w:rPr>
              <w:t>b</w:t>
            </w:r>
            <w:r>
              <w:rPr>
                <w:sz w:val="18"/>
                <w:szCs w:val="18"/>
              </w:rPr>
              <w:t>ajo</w:t>
            </w:r>
          </w:p>
        </w:tc>
      </w:tr>
      <w:tr w:rsidR="00493E1C" w:rsidRPr="00892F41" w14:paraId="0FADBE2F" w14:textId="77777777" w:rsidTr="004E2AAB">
        <w:tc>
          <w:tcPr>
            <w:tcW w:w="4390" w:type="dxa"/>
            <w:tcBorders>
              <w:top w:val="nil"/>
              <w:left w:val="single" w:sz="4" w:space="0" w:color="404040"/>
              <w:bottom w:val="nil"/>
              <w:right w:val="single" w:sz="4" w:space="0" w:color="404040"/>
            </w:tcBorders>
            <w:shd w:val="clear" w:color="auto" w:fill="auto"/>
            <w:vAlign w:val="bottom"/>
          </w:tcPr>
          <w:p w14:paraId="436C9670" w14:textId="77777777" w:rsidR="00493E1C" w:rsidRPr="00B313C1" w:rsidRDefault="00493E1C" w:rsidP="004E2AAB">
            <w:pPr>
              <w:widowControl w:val="0"/>
              <w:spacing w:before="20" w:after="20"/>
              <w:ind w:left="29"/>
              <w:contextualSpacing/>
              <w:jc w:val="left"/>
              <w:rPr>
                <w:spacing w:val="-4"/>
                <w:sz w:val="18"/>
                <w:szCs w:val="18"/>
                <w:lang w:val="es-MX"/>
              </w:rPr>
            </w:pPr>
            <w:r>
              <w:rPr>
                <w:spacing w:val="-4"/>
                <w:sz w:val="18"/>
                <w:szCs w:val="18"/>
                <w:lang w:val="es-MX"/>
              </w:rPr>
              <w:t xml:space="preserve">b)  </w:t>
            </w:r>
            <w:r w:rsidRPr="00B313C1">
              <w:rPr>
                <w:spacing w:val="-4"/>
                <w:sz w:val="18"/>
                <w:szCs w:val="18"/>
                <w:lang w:val="es-MX"/>
              </w:rPr>
              <w:t>Valor de las obras ejecutadas como subcontratista</w:t>
            </w:r>
          </w:p>
        </w:tc>
        <w:tc>
          <w:tcPr>
            <w:tcW w:w="924" w:type="dxa"/>
            <w:tcBorders>
              <w:top w:val="nil"/>
              <w:left w:val="single" w:sz="4" w:space="0" w:color="404040"/>
              <w:bottom w:val="nil"/>
              <w:right w:val="single" w:sz="4" w:space="0" w:color="404040"/>
            </w:tcBorders>
            <w:shd w:val="clear" w:color="auto" w:fill="auto"/>
            <w:vAlign w:val="center"/>
          </w:tcPr>
          <w:p w14:paraId="37D42F97" w14:textId="77777777" w:rsidR="00493E1C" w:rsidRPr="006D2DE0" w:rsidRDefault="00493E1C" w:rsidP="004E2AAB">
            <w:pPr>
              <w:tabs>
                <w:tab w:val="decimal" w:pos="390"/>
              </w:tabs>
              <w:jc w:val="left"/>
              <w:rPr>
                <w:sz w:val="18"/>
                <w:szCs w:val="18"/>
              </w:rPr>
            </w:pPr>
            <w:r>
              <w:rPr>
                <w:color w:val="000000"/>
                <w:sz w:val="18"/>
                <w:szCs w:val="18"/>
              </w:rPr>
              <w:t>36.4</w:t>
            </w:r>
          </w:p>
        </w:tc>
        <w:tc>
          <w:tcPr>
            <w:tcW w:w="847" w:type="dxa"/>
            <w:tcBorders>
              <w:top w:val="nil"/>
              <w:left w:val="single" w:sz="4" w:space="0" w:color="404040"/>
              <w:bottom w:val="nil"/>
              <w:right w:val="nil"/>
            </w:tcBorders>
            <w:shd w:val="clear" w:color="auto" w:fill="auto"/>
            <w:vAlign w:val="center"/>
          </w:tcPr>
          <w:p w14:paraId="623272B8" w14:textId="77777777" w:rsidR="00493E1C" w:rsidRPr="006D2DE0" w:rsidRDefault="00493E1C" w:rsidP="004E2AAB">
            <w:pPr>
              <w:tabs>
                <w:tab w:val="left" w:pos="33"/>
                <w:tab w:val="decimal" w:pos="378"/>
              </w:tabs>
              <w:jc w:val="left"/>
              <w:rPr>
                <w:sz w:val="18"/>
                <w:szCs w:val="18"/>
              </w:rPr>
            </w:pPr>
            <w:r>
              <w:rPr>
                <w:color w:val="000000"/>
                <w:sz w:val="18"/>
                <w:szCs w:val="18"/>
              </w:rPr>
              <w:tab/>
              <w:t>(-)</w:t>
            </w:r>
            <w:r>
              <w:rPr>
                <w:color w:val="000000"/>
                <w:sz w:val="18"/>
                <w:szCs w:val="18"/>
              </w:rPr>
              <w:tab/>
              <w:t>7.4</w:t>
            </w:r>
          </w:p>
        </w:tc>
        <w:tc>
          <w:tcPr>
            <w:tcW w:w="847" w:type="dxa"/>
            <w:tcBorders>
              <w:top w:val="nil"/>
              <w:left w:val="nil"/>
              <w:bottom w:val="nil"/>
              <w:right w:val="single" w:sz="4" w:space="0" w:color="404040"/>
            </w:tcBorders>
            <w:shd w:val="clear" w:color="auto" w:fill="auto"/>
            <w:vAlign w:val="center"/>
          </w:tcPr>
          <w:p w14:paraId="4467E5E5" w14:textId="77777777" w:rsidR="00493E1C" w:rsidRPr="006D2DE0" w:rsidRDefault="00493E1C" w:rsidP="004E2AAB">
            <w:pPr>
              <w:tabs>
                <w:tab w:val="left" w:pos="44"/>
                <w:tab w:val="decimal" w:pos="459"/>
              </w:tabs>
              <w:jc w:val="left"/>
              <w:rPr>
                <w:sz w:val="18"/>
                <w:szCs w:val="18"/>
              </w:rPr>
            </w:pPr>
            <w:r>
              <w:rPr>
                <w:color w:val="000000"/>
                <w:sz w:val="18"/>
                <w:szCs w:val="18"/>
              </w:rPr>
              <w:tab/>
              <w:t>(-)</w:t>
            </w:r>
            <w:r>
              <w:rPr>
                <w:color w:val="000000"/>
                <w:sz w:val="18"/>
                <w:szCs w:val="18"/>
              </w:rPr>
              <w:tab/>
              <w:t>17.1</w:t>
            </w:r>
          </w:p>
        </w:tc>
        <w:tc>
          <w:tcPr>
            <w:tcW w:w="471" w:type="dxa"/>
            <w:tcBorders>
              <w:top w:val="nil"/>
              <w:left w:val="single" w:sz="4" w:space="0" w:color="404040"/>
              <w:bottom w:val="nil"/>
              <w:right w:val="nil"/>
            </w:tcBorders>
            <w:shd w:val="clear" w:color="auto" w:fill="auto"/>
            <w:vAlign w:val="center"/>
          </w:tcPr>
          <w:p w14:paraId="60EB4EFE" w14:textId="77777777" w:rsidR="00493E1C" w:rsidRPr="006D2DE0" w:rsidRDefault="00493E1C" w:rsidP="004E2AAB">
            <w:pPr>
              <w:jc w:val="right"/>
              <w:rPr>
                <w:sz w:val="18"/>
                <w:szCs w:val="18"/>
              </w:rPr>
            </w:pPr>
            <w:r>
              <w:rPr>
                <w:sz w:val="18"/>
                <w:szCs w:val="18"/>
              </w:rPr>
              <w:t>7</w:t>
            </w:r>
          </w:p>
        </w:tc>
        <w:tc>
          <w:tcPr>
            <w:tcW w:w="1158" w:type="dxa"/>
            <w:tcBorders>
              <w:top w:val="nil"/>
              <w:left w:val="nil"/>
              <w:bottom w:val="nil"/>
              <w:right w:val="single" w:sz="4" w:space="0" w:color="404040"/>
            </w:tcBorders>
            <w:shd w:val="clear" w:color="auto" w:fill="auto"/>
            <w:vAlign w:val="center"/>
          </w:tcPr>
          <w:p w14:paraId="3E424715" w14:textId="77777777" w:rsidR="00493E1C" w:rsidRPr="00385445" w:rsidRDefault="00493E1C" w:rsidP="004E2AAB">
            <w:pPr>
              <w:rPr>
                <w:sz w:val="18"/>
                <w:szCs w:val="18"/>
              </w:rPr>
            </w:pPr>
            <w:r w:rsidRPr="00385445">
              <w:rPr>
                <w:sz w:val="18"/>
                <w:szCs w:val="18"/>
              </w:rPr>
              <w:t>Por debajo</w:t>
            </w:r>
          </w:p>
        </w:tc>
      </w:tr>
      <w:tr w:rsidR="00493E1C" w:rsidRPr="00892F41" w14:paraId="22A209DD" w14:textId="77777777" w:rsidTr="004E2AAB">
        <w:tc>
          <w:tcPr>
            <w:tcW w:w="4390" w:type="dxa"/>
            <w:tcBorders>
              <w:top w:val="nil"/>
              <w:left w:val="single" w:sz="4" w:space="0" w:color="404040"/>
              <w:bottom w:val="nil"/>
              <w:right w:val="single" w:sz="4" w:space="0" w:color="404040"/>
            </w:tcBorders>
            <w:shd w:val="clear" w:color="auto" w:fill="auto"/>
            <w:vAlign w:val="bottom"/>
          </w:tcPr>
          <w:p w14:paraId="1765C47A" w14:textId="77777777" w:rsidR="00493E1C" w:rsidRPr="00B313C1" w:rsidRDefault="00493E1C" w:rsidP="004E2AAB">
            <w:pPr>
              <w:widowControl w:val="0"/>
              <w:spacing w:before="20" w:after="20"/>
              <w:ind w:left="29"/>
              <w:contextualSpacing/>
              <w:jc w:val="left"/>
              <w:rPr>
                <w:spacing w:val="-4"/>
                <w:sz w:val="18"/>
                <w:szCs w:val="18"/>
                <w:lang w:val="es-MX"/>
              </w:rPr>
            </w:pPr>
            <w:r>
              <w:rPr>
                <w:spacing w:val="-4"/>
                <w:sz w:val="18"/>
                <w:szCs w:val="18"/>
                <w:lang w:val="es-MX"/>
              </w:rPr>
              <w:t xml:space="preserve">c)  </w:t>
            </w:r>
            <w:r w:rsidRPr="00B313C1">
              <w:rPr>
                <w:spacing w:val="-4"/>
                <w:sz w:val="18"/>
                <w:szCs w:val="18"/>
                <w:lang w:val="es-MX"/>
              </w:rPr>
              <w:t>Total de contratos y subcontratos</w:t>
            </w:r>
          </w:p>
        </w:tc>
        <w:tc>
          <w:tcPr>
            <w:tcW w:w="924" w:type="dxa"/>
            <w:tcBorders>
              <w:top w:val="nil"/>
              <w:left w:val="single" w:sz="4" w:space="0" w:color="404040"/>
              <w:bottom w:val="nil"/>
              <w:right w:val="single" w:sz="4" w:space="0" w:color="404040"/>
            </w:tcBorders>
            <w:shd w:val="clear" w:color="auto" w:fill="auto"/>
            <w:vAlign w:val="center"/>
          </w:tcPr>
          <w:p w14:paraId="362F4706" w14:textId="77777777" w:rsidR="00493E1C" w:rsidRPr="006D2DE0" w:rsidRDefault="00493E1C" w:rsidP="004E2AAB">
            <w:pPr>
              <w:tabs>
                <w:tab w:val="decimal" w:pos="390"/>
              </w:tabs>
              <w:jc w:val="left"/>
              <w:rPr>
                <w:sz w:val="18"/>
                <w:szCs w:val="18"/>
              </w:rPr>
            </w:pPr>
            <w:r>
              <w:rPr>
                <w:color w:val="000000"/>
                <w:sz w:val="18"/>
                <w:szCs w:val="18"/>
              </w:rPr>
              <w:t>47.3</w:t>
            </w:r>
          </w:p>
        </w:tc>
        <w:tc>
          <w:tcPr>
            <w:tcW w:w="847" w:type="dxa"/>
            <w:tcBorders>
              <w:top w:val="nil"/>
              <w:left w:val="single" w:sz="4" w:space="0" w:color="404040"/>
              <w:bottom w:val="nil"/>
              <w:right w:val="nil"/>
            </w:tcBorders>
            <w:shd w:val="clear" w:color="auto" w:fill="auto"/>
            <w:vAlign w:val="center"/>
          </w:tcPr>
          <w:p w14:paraId="4EC48EB1" w14:textId="77777777" w:rsidR="00493E1C" w:rsidRPr="006D2DE0" w:rsidRDefault="00493E1C" w:rsidP="004E2AAB">
            <w:pPr>
              <w:tabs>
                <w:tab w:val="left" w:pos="33"/>
                <w:tab w:val="decimal" w:pos="378"/>
              </w:tabs>
              <w:jc w:val="left"/>
              <w:rPr>
                <w:sz w:val="18"/>
                <w:szCs w:val="18"/>
              </w:rPr>
            </w:pPr>
            <w:r>
              <w:rPr>
                <w:color w:val="000000"/>
                <w:sz w:val="18"/>
                <w:szCs w:val="18"/>
              </w:rPr>
              <w:tab/>
              <w:t>(-)</w:t>
            </w:r>
            <w:r>
              <w:rPr>
                <w:color w:val="000000"/>
                <w:sz w:val="18"/>
                <w:szCs w:val="18"/>
              </w:rPr>
              <w:tab/>
              <w:t>1.9</w:t>
            </w:r>
          </w:p>
        </w:tc>
        <w:tc>
          <w:tcPr>
            <w:tcW w:w="847" w:type="dxa"/>
            <w:tcBorders>
              <w:top w:val="nil"/>
              <w:left w:val="nil"/>
              <w:bottom w:val="nil"/>
              <w:right w:val="single" w:sz="4" w:space="0" w:color="404040"/>
            </w:tcBorders>
            <w:shd w:val="clear" w:color="auto" w:fill="auto"/>
            <w:vAlign w:val="center"/>
          </w:tcPr>
          <w:p w14:paraId="65A2EA26" w14:textId="77777777" w:rsidR="00493E1C" w:rsidRPr="006D2DE0" w:rsidRDefault="00493E1C" w:rsidP="004E2AAB">
            <w:pPr>
              <w:tabs>
                <w:tab w:val="left" w:pos="44"/>
                <w:tab w:val="decimal" w:pos="459"/>
              </w:tabs>
              <w:jc w:val="left"/>
              <w:rPr>
                <w:sz w:val="18"/>
                <w:szCs w:val="18"/>
              </w:rPr>
            </w:pPr>
            <w:r>
              <w:rPr>
                <w:color w:val="000000"/>
                <w:sz w:val="18"/>
                <w:szCs w:val="18"/>
              </w:rPr>
              <w:tab/>
              <w:t>(-)</w:t>
            </w:r>
            <w:r>
              <w:rPr>
                <w:color w:val="000000"/>
                <w:sz w:val="18"/>
                <w:szCs w:val="18"/>
              </w:rPr>
              <w:tab/>
              <w:t>4.7</w:t>
            </w:r>
          </w:p>
        </w:tc>
        <w:tc>
          <w:tcPr>
            <w:tcW w:w="471" w:type="dxa"/>
            <w:tcBorders>
              <w:top w:val="nil"/>
              <w:left w:val="single" w:sz="4" w:space="0" w:color="404040"/>
              <w:bottom w:val="nil"/>
              <w:right w:val="nil"/>
            </w:tcBorders>
            <w:shd w:val="clear" w:color="auto" w:fill="auto"/>
            <w:vAlign w:val="center"/>
          </w:tcPr>
          <w:p w14:paraId="35FDA971" w14:textId="77777777" w:rsidR="00493E1C" w:rsidRPr="006D2DE0" w:rsidRDefault="00493E1C" w:rsidP="004E2AAB">
            <w:pPr>
              <w:jc w:val="right"/>
              <w:rPr>
                <w:sz w:val="18"/>
                <w:szCs w:val="18"/>
              </w:rPr>
            </w:pPr>
            <w:r>
              <w:rPr>
                <w:sz w:val="18"/>
                <w:szCs w:val="18"/>
              </w:rPr>
              <w:t>5</w:t>
            </w:r>
          </w:p>
        </w:tc>
        <w:tc>
          <w:tcPr>
            <w:tcW w:w="1158" w:type="dxa"/>
            <w:tcBorders>
              <w:top w:val="nil"/>
              <w:left w:val="nil"/>
              <w:bottom w:val="nil"/>
              <w:right w:val="single" w:sz="4" w:space="0" w:color="404040"/>
            </w:tcBorders>
            <w:shd w:val="clear" w:color="auto" w:fill="auto"/>
            <w:vAlign w:val="center"/>
          </w:tcPr>
          <w:p w14:paraId="5F5A34A2" w14:textId="77777777" w:rsidR="00493E1C" w:rsidRPr="00385445" w:rsidRDefault="00493E1C" w:rsidP="004E2AAB">
            <w:pPr>
              <w:rPr>
                <w:sz w:val="18"/>
                <w:szCs w:val="18"/>
              </w:rPr>
            </w:pPr>
            <w:r w:rsidRPr="00385445">
              <w:rPr>
                <w:sz w:val="18"/>
                <w:szCs w:val="18"/>
              </w:rPr>
              <w:t xml:space="preserve">Por </w:t>
            </w:r>
            <w:r>
              <w:rPr>
                <w:sz w:val="18"/>
                <w:szCs w:val="18"/>
              </w:rPr>
              <w:t>debajo</w:t>
            </w:r>
          </w:p>
        </w:tc>
      </w:tr>
      <w:tr w:rsidR="00493E1C" w:rsidRPr="00892F41" w14:paraId="1D66CA9F" w14:textId="77777777" w:rsidTr="004E2AAB">
        <w:tc>
          <w:tcPr>
            <w:tcW w:w="4390" w:type="dxa"/>
            <w:tcBorders>
              <w:top w:val="nil"/>
              <w:left w:val="single" w:sz="4" w:space="0" w:color="404040"/>
              <w:bottom w:val="single" w:sz="4" w:space="0" w:color="auto"/>
              <w:right w:val="single" w:sz="4" w:space="0" w:color="404040"/>
            </w:tcBorders>
            <w:shd w:val="clear" w:color="auto" w:fill="auto"/>
            <w:vAlign w:val="bottom"/>
          </w:tcPr>
          <w:p w14:paraId="3D61230D" w14:textId="77777777" w:rsidR="00493E1C" w:rsidRPr="00B313C1" w:rsidRDefault="00493E1C" w:rsidP="004E2AAB">
            <w:pPr>
              <w:widowControl w:val="0"/>
              <w:spacing w:before="20" w:after="20"/>
              <w:ind w:left="29"/>
              <w:contextualSpacing/>
              <w:jc w:val="left"/>
              <w:rPr>
                <w:spacing w:val="-4"/>
                <w:sz w:val="18"/>
                <w:szCs w:val="18"/>
                <w:lang w:val="es-MX"/>
              </w:rPr>
            </w:pPr>
            <w:r>
              <w:rPr>
                <w:spacing w:val="-4"/>
                <w:sz w:val="18"/>
                <w:szCs w:val="18"/>
                <w:lang w:val="es-MX"/>
              </w:rPr>
              <w:t xml:space="preserve">d)  </w:t>
            </w:r>
            <w:r w:rsidRPr="00B313C1">
              <w:rPr>
                <w:spacing w:val="-4"/>
                <w:sz w:val="18"/>
                <w:szCs w:val="18"/>
                <w:lang w:val="es-MX"/>
              </w:rPr>
              <w:t>Personal ocupado total</w:t>
            </w:r>
          </w:p>
        </w:tc>
        <w:tc>
          <w:tcPr>
            <w:tcW w:w="924" w:type="dxa"/>
            <w:tcBorders>
              <w:top w:val="nil"/>
              <w:left w:val="single" w:sz="4" w:space="0" w:color="404040"/>
              <w:bottom w:val="single" w:sz="4" w:space="0" w:color="auto"/>
              <w:right w:val="single" w:sz="4" w:space="0" w:color="404040"/>
            </w:tcBorders>
            <w:shd w:val="clear" w:color="auto" w:fill="auto"/>
            <w:vAlign w:val="center"/>
          </w:tcPr>
          <w:p w14:paraId="528A734D" w14:textId="77777777" w:rsidR="00493E1C" w:rsidRPr="006D2DE0" w:rsidRDefault="00493E1C" w:rsidP="004E2AAB">
            <w:pPr>
              <w:tabs>
                <w:tab w:val="decimal" w:pos="390"/>
              </w:tabs>
              <w:jc w:val="left"/>
              <w:rPr>
                <w:sz w:val="18"/>
                <w:szCs w:val="18"/>
              </w:rPr>
            </w:pPr>
            <w:r>
              <w:rPr>
                <w:color w:val="000000"/>
                <w:sz w:val="18"/>
                <w:szCs w:val="18"/>
              </w:rPr>
              <w:t>42.8</w:t>
            </w:r>
          </w:p>
        </w:tc>
        <w:tc>
          <w:tcPr>
            <w:tcW w:w="847" w:type="dxa"/>
            <w:tcBorders>
              <w:top w:val="nil"/>
              <w:left w:val="single" w:sz="4" w:space="0" w:color="404040"/>
              <w:bottom w:val="single" w:sz="4" w:space="0" w:color="auto"/>
              <w:right w:val="nil"/>
            </w:tcBorders>
            <w:shd w:val="clear" w:color="auto" w:fill="auto"/>
            <w:vAlign w:val="center"/>
          </w:tcPr>
          <w:p w14:paraId="2476390D" w14:textId="77777777" w:rsidR="00493E1C" w:rsidRPr="006D2DE0" w:rsidRDefault="00493E1C" w:rsidP="004E2AAB">
            <w:pPr>
              <w:tabs>
                <w:tab w:val="left" w:pos="33"/>
                <w:tab w:val="decimal" w:pos="378"/>
              </w:tabs>
              <w:jc w:val="left"/>
              <w:rPr>
                <w:sz w:val="18"/>
                <w:szCs w:val="18"/>
              </w:rPr>
            </w:pPr>
            <w:r>
              <w:rPr>
                <w:color w:val="000000"/>
                <w:sz w:val="18"/>
                <w:szCs w:val="18"/>
              </w:rPr>
              <w:tab/>
              <w:t>(-)</w:t>
            </w:r>
            <w:r>
              <w:rPr>
                <w:color w:val="000000"/>
                <w:sz w:val="18"/>
                <w:szCs w:val="18"/>
              </w:rPr>
              <w:tab/>
              <w:t>3.4</w:t>
            </w:r>
          </w:p>
        </w:tc>
        <w:tc>
          <w:tcPr>
            <w:tcW w:w="847" w:type="dxa"/>
            <w:tcBorders>
              <w:top w:val="nil"/>
              <w:left w:val="nil"/>
              <w:bottom w:val="single" w:sz="4" w:space="0" w:color="auto"/>
              <w:right w:val="single" w:sz="4" w:space="0" w:color="404040"/>
            </w:tcBorders>
            <w:shd w:val="clear" w:color="auto" w:fill="auto"/>
            <w:vAlign w:val="center"/>
          </w:tcPr>
          <w:p w14:paraId="667766A9" w14:textId="77777777" w:rsidR="00493E1C" w:rsidRPr="006D2DE0" w:rsidRDefault="00493E1C" w:rsidP="004E2AAB">
            <w:pPr>
              <w:tabs>
                <w:tab w:val="left" w:pos="44"/>
                <w:tab w:val="decimal" w:pos="459"/>
              </w:tabs>
              <w:jc w:val="left"/>
              <w:rPr>
                <w:sz w:val="18"/>
                <w:szCs w:val="18"/>
              </w:rPr>
            </w:pPr>
            <w:r>
              <w:rPr>
                <w:color w:val="000000"/>
                <w:sz w:val="18"/>
                <w:szCs w:val="18"/>
              </w:rPr>
              <w:tab/>
              <w:t>(-)</w:t>
            </w:r>
            <w:r>
              <w:rPr>
                <w:color w:val="000000"/>
                <w:sz w:val="18"/>
                <w:szCs w:val="18"/>
              </w:rPr>
              <w:tab/>
              <w:t>6.8</w:t>
            </w:r>
          </w:p>
        </w:tc>
        <w:tc>
          <w:tcPr>
            <w:tcW w:w="471" w:type="dxa"/>
            <w:tcBorders>
              <w:top w:val="nil"/>
              <w:left w:val="single" w:sz="4" w:space="0" w:color="404040"/>
              <w:bottom w:val="single" w:sz="4" w:space="0" w:color="auto"/>
              <w:right w:val="nil"/>
            </w:tcBorders>
            <w:shd w:val="clear" w:color="auto" w:fill="auto"/>
            <w:vAlign w:val="center"/>
          </w:tcPr>
          <w:p w14:paraId="0DAA516A" w14:textId="77777777" w:rsidR="00493E1C" w:rsidRPr="006D2DE0" w:rsidRDefault="00493E1C" w:rsidP="004E2AAB">
            <w:pPr>
              <w:jc w:val="right"/>
              <w:rPr>
                <w:sz w:val="18"/>
                <w:szCs w:val="18"/>
              </w:rPr>
            </w:pPr>
            <w:r w:rsidRPr="006D2DE0">
              <w:rPr>
                <w:sz w:val="18"/>
                <w:szCs w:val="18"/>
              </w:rPr>
              <w:t>2</w:t>
            </w:r>
            <w:r>
              <w:rPr>
                <w:sz w:val="18"/>
                <w:szCs w:val="18"/>
              </w:rPr>
              <w:t>5</w:t>
            </w:r>
          </w:p>
        </w:tc>
        <w:tc>
          <w:tcPr>
            <w:tcW w:w="1158" w:type="dxa"/>
            <w:tcBorders>
              <w:top w:val="nil"/>
              <w:left w:val="nil"/>
              <w:bottom w:val="single" w:sz="4" w:space="0" w:color="auto"/>
              <w:right w:val="single" w:sz="4" w:space="0" w:color="404040"/>
            </w:tcBorders>
            <w:shd w:val="clear" w:color="auto" w:fill="auto"/>
            <w:vAlign w:val="center"/>
          </w:tcPr>
          <w:p w14:paraId="5A021830" w14:textId="77777777" w:rsidR="00493E1C" w:rsidRPr="00385445" w:rsidRDefault="00493E1C" w:rsidP="004E2AAB">
            <w:pPr>
              <w:rPr>
                <w:sz w:val="18"/>
                <w:szCs w:val="18"/>
              </w:rPr>
            </w:pPr>
            <w:r w:rsidRPr="00385445">
              <w:rPr>
                <w:sz w:val="18"/>
                <w:szCs w:val="18"/>
              </w:rPr>
              <w:t>Por debajo</w:t>
            </w:r>
          </w:p>
        </w:tc>
      </w:tr>
    </w:tbl>
    <w:p w14:paraId="0B77FFCB" w14:textId="77777777" w:rsidR="00493E1C" w:rsidRDefault="00493E1C" w:rsidP="00493E1C">
      <w:pPr>
        <w:widowControl w:val="0"/>
        <w:spacing w:before="20"/>
        <w:ind w:left="700" w:right="284" w:hanging="558"/>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159CD3E8" w14:textId="77777777" w:rsidR="00493E1C" w:rsidRDefault="00493E1C" w:rsidP="00493E1C">
      <w:pPr>
        <w:widowControl w:val="0"/>
        <w:spacing w:before="20"/>
        <w:ind w:left="700" w:right="25" w:hanging="558"/>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3C7A37DC" w14:textId="77777777" w:rsidR="00493E1C" w:rsidRDefault="00493E1C" w:rsidP="00493E1C">
      <w:pPr>
        <w:widowControl w:val="0"/>
        <w:spacing w:before="20"/>
        <w:ind w:left="700" w:right="25" w:hanging="558"/>
        <w:rPr>
          <w:sz w:val="14"/>
          <w:szCs w:val="14"/>
          <w:lang w:val="es-MX"/>
        </w:rPr>
      </w:pPr>
      <w:r>
        <w:rPr>
          <w:sz w:val="14"/>
          <w:szCs w:val="14"/>
          <w:lang w:val="es-MX"/>
        </w:rPr>
        <w:t>Fuente:</w:t>
      </w:r>
      <w:r>
        <w:rPr>
          <w:sz w:val="14"/>
          <w:szCs w:val="14"/>
          <w:lang w:val="es-MX"/>
        </w:rPr>
        <w:tab/>
        <w:t>INEGI.</w:t>
      </w:r>
    </w:p>
    <w:p w14:paraId="37BDBED3" w14:textId="77777777" w:rsidR="00493E1C" w:rsidRDefault="00493E1C" w:rsidP="00493E1C">
      <w:pPr>
        <w:spacing w:before="240"/>
        <w:ind w:left="-567" w:right="-567"/>
        <w:rPr>
          <w:b/>
        </w:rPr>
      </w:pPr>
    </w:p>
    <w:p w14:paraId="054E7E92" w14:textId="77777777" w:rsidR="00493E1C" w:rsidRPr="00B313C1" w:rsidRDefault="00493E1C" w:rsidP="00493E1C">
      <w:pPr>
        <w:spacing w:before="240"/>
        <w:ind w:left="-567" w:right="-567"/>
        <w:rPr>
          <w:bCs/>
        </w:rPr>
      </w:pPr>
      <w:r w:rsidRPr="00B313C1">
        <w:rPr>
          <w:bCs/>
        </w:rPr>
        <w:t>En el sector Comercio, la apreciación sobre las Ventas netas descendió (</w:t>
      </w:r>
      <w:r w:rsidRPr="00B313C1">
        <w:rPr>
          <w:bCs/>
        </w:rPr>
        <w:noBreakHyphen/>
        <w:t>)19 puntos y la de las Compras netas (</w:t>
      </w:r>
      <w:r w:rsidRPr="00B313C1">
        <w:rPr>
          <w:bCs/>
        </w:rPr>
        <w:noBreakHyphen/>
        <w:t>)11.9 puntos en el cuarto mes de 2020 respecto al mes inmediato anterior.</w:t>
      </w:r>
    </w:p>
    <w:p w14:paraId="2F5A5951" w14:textId="77777777" w:rsidR="00493E1C" w:rsidRPr="00637BEA" w:rsidRDefault="00493E1C" w:rsidP="00493E1C">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comercio</w:t>
      </w:r>
    </w:p>
    <w:p w14:paraId="38214DB2" w14:textId="77777777" w:rsidR="00493E1C" w:rsidRPr="00637BEA" w:rsidRDefault="00493E1C" w:rsidP="00493E1C">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170"/>
        <w:gridCol w:w="947"/>
        <w:gridCol w:w="995"/>
        <w:gridCol w:w="995"/>
        <w:gridCol w:w="538"/>
        <w:gridCol w:w="1189"/>
      </w:tblGrid>
      <w:tr w:rsidR="00493E1C" w:rsidRPr="00637BEA" w14:paraId="3A7BFC89" w14:textId="77777777" w:rsidTr="004E2AA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0AE7443" w14:textId="77777777" w:rsidR="00493E1C" w:rsidRPr="009E60BE" w:rsidRDefault="00493E1C" w:rsidP="004E2AAB">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FAF1CEE" w14:textId="77777777" w:rsidR="00493E1C" w:rsidRPr="00315FA1" w:rsidRDefault="00493E1C" w:rsidP="004E2AAB">
            <w:pPr>
              <w:ind w:left="-108" w:right="-82"/>
              <w:jc w:val="center"/>
              <w:rPr>
                <w:spacing w:val="-4"/>
                <w:sz w:val="18"/>
                <w:szCs w:val="18"/>
              </w:rPr>
            </w:pPr>
            <w:r>
              <w:rPr>
                <w:spacing w:val="-4"/>
                <w:sz w:val="18"/>
                <w:szCs w:val="18"/>
              </w:rPr>
              <w:t>Abril</w:t>
            </w:r>
            <w:r w:rsidRPr="00315FA1">
              <w:rPr>
                <w:spacing w:val="-4"/>
                <w:sz w:val="18"/>
                <w:szCs w:val="18"/>
              </w:rPr>
              <w:br/>
              <w:t>de 20</w:t>
            </w:r>
            <w:r>
              <w:rPr>
                <w:spacing w:val="-4"/>
                <w:sz w:val="18"/>
                <w:szCs w:val="18"/>
              </w:rPr>
              <w:t>20</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BF5DA90" w14:textId="77777777" w:rsidR="00493E1C" w:rsidRPr="00315FA1" w:rsidRDefault="00493E1C" w:rsidP="004E2AAB">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en </w:t>
            </w:r>
            <w:r w:rsidRPr="00315FA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11CE82C8" w14:textId="77777777" w:rsidR="00493E1C" w:rsidRPr="00315FA1" w:rsidRDefault="00493E1C" w:rsidP="004E2AAB">
            <w:pPr>
              <w:tabs>
                <w:tab w:val="center" w:pos="3348"/>
              </w:tabs>
              <w:ind w:left="-84" w:right="-99"/>
              <w:jc w:val="center"/>
              <w:rPr>
                <w:spacing w:val="-4"/>
                <w:sz w:val="18"/>
                <w:szCs w:val="18"/>
              </w:rPr>
            </w:pPr>
            <w:r w:rsidRPr="00315FA1">
              <w:rPr>
                <w:spacing w:val="-4"/>
                <w:sz w:val="18"/>
                <w:szCs w:val="18"/>
              </w:rPr>
              <w:t xml:space="preserve">Número de meses consecutivos por </w:t>
            </w:r>
            <w:r>
              <w:rPr>
                <w:spacing w:val="-4"/>
                <w:sz w:val="18"/>
                <w:szCs w:val="18"/>
              </w:rPr>
              <w:br/>
            </w:r>
            <w:r w:rsidRPr="00315FA1">
              <w:rPr>
                <w:spacing w:val="-4"/>
                <w:sz w:val="18"/>
                <w:szCs w:val="18"/>
              </w:rPr>
              <w:t xml:space="preserve">arriba o por debajo </w:t>
            </w:r>
            <w:r>
              <w:rPr>
                <w:spacing w:val="-4"/>
                <w:sz w:val="18"/>
                <w:szCs w:val="18"/>
              </w:rPr>
              <w:br/>
            </w:r>
            <w:r w:rsidRPr="00315FA1">
              <w:rPr>
                <w:spacing w:val="-4"/>
                <w:sz w:val="18"/>
                <w:szCs w:val="18"/>
              </w:rPr>
              <w:t xml:space="preserve">del umbral de </w:t>
            </w:r>
            <w:r>
              <w:rPr>
                <w:spacing w:val="-4"/>
                <w:sz w:val="18"/>
                <w:szCs w:val="18"/>
              </w:rPr>
              <w:br/>
            </w:r>
            <w:r w:rsidRPr="00315FA1">
              <w:rPr>
                <w:spacing w:val="-4"/>
                <w:sz w:val="18"/>
                <w:szCs w:val="18"/>
              </w:rPr>
              <w:t>50 puntos</w:t>
            </w:r>
          </w:p>
        </w:tc>
      </w:tr>
      <w:tr w:rsidR="00493E1C" w:rsidRPr="00637BEA" w14:paraId="75CE8FD2" w14:textId="77777777" w:rsidTr="004E2AA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4193F15B" w14:textId="77777777" w:rsidR="00493E1C" w:rsidRPr="009E60BE" w:rsidRDefault="00493E1C" w:rsidP="004E2AAB">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639F04E0" w14:textId="77777777" w:rsidR="00493E1C" w:rsidRDefault="00493E1C" w:rsidP="004E2AAB">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68AF6E4" w14:textId="77777777" w:rsidR="00493E1C" w:rsidRPr="00315FA1" w:rsidRDefault="00493E1C" w:rsidP="004E2AAB">
            <w:pPr>
              <w:ind w:left="-106" w:right="-95"/>
              <w:jc w:val="center"/>
              <w:rPr>
                <w:spacing w:val="-4"/>
                <w:sz w:val="18"/>
                <w:szCs w:val="18"/>
              </w:rPr>
            </w:pPr>
            <w:r>
              <w:rPr>
                <w:spacing w:val="-4"/>
                <w:sz w:val="18"/>
                <w:szCs w:val="18"/>
              </w:rPr>
              <w:t>Mes</w:t>
            </w:r>
            <w:r>
              <w:rPr>
                <w:spacing w:val="-4"/>
                <w:sz w:val="18"/>
                <w:szCs w:val="18"/>
              </w:rPr>
              <w:br/>
            </w:r>
            <w:r w:rsidRPr="00315FA1">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C2E69C8" w14:textId="77777777" w:rsidR="00493E1C" w:rsidRPr="00315FA1" w:rsidRDefault="00493E1C" w:rsidP="004E2AAB">
            <w:pPr>
              <w:ind w:left="-106" w:right="-95"/>
              <w:jc w:val="center"/>
              <w:rPr>
                <w:spacing w:val="-4"/>
                <w:sz w:val="18"/>
                <w:szCs w:val="18"/>
              </w:rPr>
            </w:pPr>
            <w:r w:rsidRPr="00315FA1">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1B9D1F82" w14:textId="77777777" w:rsidR="00493E1C" w:rsidRPr="0039544E" w:rsidRDefault="00493E1C" w:rsidP="004E2AAB">
            <w:pPr>
              <w:tabs>
                <w:tab w:val="center" w:pos="3348"/>
              </w:tabs>
              <w:ind w:left="-84" w:right="-99"/>
              <w:jc w:val="center"/>
              <w:rPr>
                <w:sz w:val="18"/>
                <w:szCs w:val="18"/>
              </w:rPr>
            </w:pPr>
          </w:p>
        </w:tc>
      </w:tr>
      <w:tr w:rsidR="00493E1C" w:rsidRPr="00892F41" w14:paraId="45939842" w14:textId="77777777" w:rsidTr="004E2AAB">
        <w:trPr>
          <w:jc w:val="center"/>
        </w:trPr>
        <w:tc>
          <w:tcPr>
            <w:tcW w:w="4420" w:type="dxa"/>
            <w:tcBorders>
              <w:top w:val="nil"/>
              <w:left w:val="single" w:sz="4" w:space="0" w:color="404040"/>
              <w:bottom w:val="nil"/>
              <w:right w:val="single" w:sz="4" w:space="0" w:color="404040"/>
            </w:tcBorders>
            <w:shd w:val="clear" w:color="auto" w:fill="auto"/>
            <w:vAlign w:val="bottom"/>
          </w:tcPr>
          <w:p w14:paraId="10706414" w14:textId="77777777" w:rsidR="00493E1C" w:rsidRPr="00B313C1" w:rsidRDefault="00493E1C" w:rsidP="004E2AAB">
            <w:pPr>
              <w:widowControl w:val="0"/>
              <w:spacing w:before="20" w:after="20"/>
              <w:ind w:left="29"/>
              <w:contextualSpacing/>
              <w:jc w:val="left"/>
              <w:rPr>
                <w:sz w:val="18"/>
                <w:szCs w:val="18"/>
                <w:lang w:val="es-MX"/>
              </w:rPr>
            </w:pPr>
            <w:r>
              <w:rPr>
                <w:sz w:val="18"/>
                <w:szCs w:val="18"/>
                <w:lang w:val="es-MX"/>
              </w:rPr>
              <w:t xml:space="preserve">a)  </w:t>
            </w:r>
            <w:r w:rsidRPr="00B313C1">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42BBFF40" w14:textId="77777777" w:rsidR="00493E1C" w:rsidRPr="00FF5523" w:rsidRDefault="00493E1C" w:rsidP="004E2AAB">
            <w:pPr>
              <w:tabs>
                <w:tab w:val="decimal" w:pos="409"/>
              </w:tabs>
              <w:jc w:val="left"/>
              <w:rPr>
                <w:sz w:val="18"/>
                <w:szCs w:val="18"/>
                <w:lang w:val="es-MX" w:eastAsia="es-MX"/>
              </w:rPr>
            </w:pPr>
            <w:r>
              <w:rPr>
                <w:color w:val="000000"/>
                <w:sz w:val="18"/>
                <w:szCs w:val="18"/>
              </w:rPr>
              <w:t>31.4</w:t>
            </w:r>
          </w:p>
        </w:tc>
        <w:tc>
          <w:tcPr>
            <w:tcW w:w="1043" w:type="dxa"/>
            <w:tcBorders>
              <w:top w:val="single" w:sz="4" w:space="0" w:color="404040"/>
              <w:left w:val="single" w:sz="4" w:space="0" w:color="404040"/>
              <w:bottom w:val="nil"/>
              <w:right w:val="nil"/>
            </w:tcBorders>
            <w:shd w:val="clear" w:color="auto" w:fill="auto"/>
            <w:vAlign w:val="center"/>
          </w:tcPr>
          <w:p w14:paraId="413C05A1" w14:textId="77777777" w:rsidR="00493E1C" w:rsidRPr="00FF5523" w:rsidRDefault="00493E1C" w:rsidP="004E2AAB">
            <w:pPr>
              <w:tabs>
                <w:tab w:val="left" w:pos="61"/>
                <w:tab w:val="decimal" w:pos="480"/>
              </w:tabs>
              <w:jc w:val="left"/>
              <w:rPr>
                <w:sz w:val="18"/>
                <w:szCs w:val="18"/>
              </w:rPr>
            </w:pPr>
            <w:r>
              <w:rPr>
                <w:color w:val="000000"/>
                <w:sz w:val="18"/>
                <w:szCs w:val="18"/>
              </w:rPr>
              <w:tab/>
              <w:t>(-)</w:t>
            </w:r>
            <w:r>
              <w:rPr>
                <w:color w:val="000000"/>
                <w:sz w:val="18"/>
                <w:szCs w:val="18"/>
              </w:rPr>
              <w:tab/>
              <w:t>19.0</w:t>
            </w:r>
          </w:p>
        </w:tc>
        <w:tc>
          <w:tcPr>
            <w:tcW w:w="1043" w:type="dxa"/>
            <w:tcBorders>
              <w:top w:val="single" w:sz="4" w:space="0" w:color="404040"/>
              <w:left w:val="nil"/>
              <w:bottom w:val="nil"/>
              <w:right w:val="single" w:sz="4" w:space="0" w:color="404040"/>
            </w:tcBorders>
            <w:shd w:val="clear" w:color="auto" w:fill="auto"/>
            <w:vAlign w:val="center"/>
          </w:tcPr>
          <w:p w14:paraId="36B0C0FD" w14:textId="77777777" w:rsidR="00493E1C" w:rsidRPr="00FF5523" w:rsidRDefault="00493E1C" w:rsidP="004E2AAB">
            <w:pPr>
              <w:tabs>
                <w:tab w:val="left" w:pos="61"/>
                <w:tab w:val="decimal" w:pos="469"/>
              </w:tabs>
              <w:jc w:val="left"/>
              <w:rPr>
                <w:sz w:val="18"/>
                <w:szCs w:val="18"/>
              </w:rPr>
            </w:pPr>
            <w:r>
              <w:rPr>
                <w:color w:val="000000"/>
                <w:sz w:val="18"/>
                <w:szCs w:val="18"/>
              </w:rPr>
              <w:tab/>
              <w:t>(-)</w:t>
            </w:r>
            <w:r>
              <w:rPr>
                <w:color w:val="000000"/>
                <w:sz w:val="18"/>
                <w:szCs w:val="18"/>
              </w:rPr>
              <w:tab/>
              <w:t>23.3</w:t>
            </w:r>
          </w:p>
        </w:tc>
        <w:tc>
          <w:tcPr>
            <w:tcW w:w="557" w:type="dxa"/>
            <w:tcBorders>
              <w:top w:val="nil"/>
              <w:left w:val="single" w:sz="4" w:space="0" w:color="404040"/>
              <w:bottom w:val="nil"/>
              <w:right w:val="nil"/>
            </w:tcBorders>
            <w:shd w:val="clear" w:color="auto" w:fill="auto"/>
            <w:vAlign w:val="center"/>
          </w:tcPr>
          <w:p w14:paraId="35E87909" w14:textId="77777777" w:rsidR="00493E1C" w:rsidRPr="00FF5523" w:rsidRDefault="00493E1C" w:rsidP="004E2AAB">
            <w:pPr>
              <w:jc w:val="right"/>
              <w:rPr>
                <w:sz w:val="18"/>
                <w:szCs w:val="18"/>
              </w:rPr>
            </w:pPr>
            <w:r>
              <w:rPr>
                <w:sz w:val="18"/>
                <w:szCs w:val="18"/>
              </w:rPr>
              <w:t>1</w:t>
            </w:r>
          </w:p>
        </w:tc>
        <w:tc>
          <w:tcPr>
            <w:tcW w:w="1249" w:type="dxa"/>
            <w:tcBorders>
              <w:top w:val="nil"/>
              <w:left w:val="nil"/>
              <w:bottom w:val="nil"/>
              <w:right w:val="single" w:sz="4" w:space="0" w:color="404040"/>
            </w:tcBorders>
            <w:shd w:val="clear" w:color="auto" w:fill="auto"/>
            <w:vAlign w:val="center"/>
          </w:tcPr>
          <w:p w14:paraId="327820EB" w14:textId="77777777" w:rsidR="00493E1C" w:rsidRPr="00BB7BF9" w:rsidRDefault="00493E1C" w:rsidP="004E2AAB">
            <w:pPr>
              <w:rPr>
                <w:sz w:val="18"/>
                <w:szCs w:val="18"/>
              </w:rPr>
            </w:pPr>
            <w:r w:rsidRPr="00BB7BF9">
              <w:rPr>
                <w:sz w:val="18"/>
                <w:szCs w:val="18"/>
              </w:rPr>
              <w:t xml:space="preserve">Por </w:t>
            </w:r>
            <w:r>
              <w:rPr>
                <w:sz w:val="18"/>
                <w:szCs w:val="18"/>
              </w:rPr>
              <w:t>debajo</w:t>
            </w:r>
          </w:p>
        </w:tc>
      </w:tr>
      <w:tr w:rsidR="00493E1C" w:rsidRPr="00892F41" w14:paraId="40597171" w14:textId="77777777" w:rsidTr="004E2AAB">
        <w:trPr>
          <w:jc w:val="center"/>
        </w:trPr>
        <w:tc>
          <w:tcPr>
            <w:tcW w:w="4420" w:type="dxa"/>
            <w:tcBorders>
              <w:top w:val="nil"/>
              <w:left w:val="single" w:sz="4" w:space="0" w:color="404040"/>
              <w:bottom w:val="nil"/>
              <w:right w:val="single" w:sz="4" w:space="0" w:color="404040"/>
            </w:tcBorders>
            <w:shd w:val="clear" w:color="auto" w:fill="auto"/>
            <w:vAlign w:val="bottom"/>
          </w:tcPr>
          <w:p w14:paraId="4A45015B" w14:textId="77777777" w:rsidR="00493E1C" w:rsidRPr="00B313C1" w:rsidRDefault="00493E1C" w:rsidP="004E2AAB">
            <w:pPr>
              <w:widowControl w:val="0"/>
              <w:spacing w:before="20" w:after="20"/>
              <w:ind w:left="29"/>
              <w:contextualSpacing/>
              <w:jc w:val="left"/>
              <w:rPr>
                <w:sz w:val="18"/>
                <w:szCs w:val="18"/>
                <w:lang w:val="es-MX"/>
              </w:rPr>
            </w:pPr>
            <w:r>
              <w:rPr>
                <w:sz w:val="18"/>
                <w:szCs w:val="18"/>
                <w:lang w:val="es-MX"/>
              </w:rPr>
              <w:t xml:space="preserve">b)  </w:t>
            </w:r>
            <w:r w:rsidRPr="00B313C1">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5451D0AE" w14:textId="77777777" w:rsidR="00493E1C" w:rsidRPr="00FF5523" w:rsidRDefault="00493E1C" w:rsidP="004E2AAB">
            <w:pPr>
              <w:tabs>
                <w:tab w:val="decimal" w:pos="409"/>
              </w:tabs>
              <w:jc w:val="left"/>
              <w:rPr>
                <w:sz w:val="18"/>
                <w:szCs w:val="18"/>
              </w:rPr>
            </w:pPr>
            <w:r>
              <w:rPr>
                <w:color w:val="000000"/>
                <w:sz w:val="18"/>
                <w:szCs w:val="18"/>
              </w:rPr>
              <w:t>38.2</w:t>
            </w:r>
          </w:p>
        </w:tc>
        <w:tc>
          <w:tcPr>
            <w:tcW w:w="1043" w:type="dxa"/>
            <w:tcBorders>
              <w:top w:val="nil"/>
              <w:left w:val="single" w:sz="4" w:space="0" w:color="404040"/>
              <w:bottom w:val="nil"/>
              <w:right w:val="nil"/>
            </w:tcBorders>
            <w:shd w:val="clear" w:color="auto" w:fill="auto"/>
            <w:vAlign w:val="center"/>
          </w:tcPr>
          <w:p w14:paraId="61BF8E22" w14:textId="77777777" w:rsidR="00493E1C" w:rsidRPr="00FF5523" w:rsidRDefault="00493E1C" w:rsidP="004E2AAB">
            <w:pPr>
              <w:tabs>
                <w:tab w:val="left" w:pos="61"/>
                <w:tab w:val="decimal" w:pos="480"/>
              </w:tabs>
              <w:jc w:val="left"/>
              <w:rPr>
                <w:sz w:val="18"/>
                <w:szCs w:val="18"/>
              </w:rPr>
            </w:pPr>
            <w:r>
              <w:rPr>
                <w:color w:val="000000"/>
                <w:sz w:val="18"/>
                <w:szCs w:val="18"/>
              </w:rPr>
              <w:tab/>
              <w:t>(-)</w:t>
            </w:r>
            <w:r>
              <w:rPr>
                <w:color w:val="000000"/>
                <w:sz w:val="18"/>
                <w:szCs w:val="18"/>
              </w:rPr>
              <w:tab/>
              <w:t>5.4</w:t>
            </w:r>
          </w:p>
        </w:tc>
        <w:tc>
          <w:tcPr>
            <w:tcW w:w="1043" w:type="dxa"/>
            <w:tcBorders>
              <w:top w:val="nil"/>
              <w:left w:val="nil"/>
              <w:bottom w:val="nil"/>
              <w:right w:val="single" w:sz="4" w:space="0" w:color="404040"/>
            </w:tcBorders>
            <w:shd w:val="clear" w:color="auto" w:fill="auto"/>
            <w:vAlign w:val="center"/>
          </w:tcPr>
          <w:p w14:paraId="0CBC8FE9" w14:textId="77777777" w:rsidR="00493E1C" w:rsidRPr="00FF5523" w:rsidRDefault="00493E1C" w:rsidP="004E2AAB">
            <w:pPr>
              <w:tabs>
                <w:tab w:val="left" w:pos="61"/>
                <w:tab w:val="decimal" w:pos="469"/>
              </w:tabs>
              <w:jc w:val="left"/>
              <w:rPr>
                <w:sz w:val="18"/>
                <w:szCs w:val="18"/>
              </w:rPr>
            </w:pPr>
            <w:r>
              <w:rPr>
                <w:color w:val="000000"/>
                <w:sz w:val="18"/>
                <w:szCs w:val="18"/>
              </w:rPr>
              <w:tab/>
              <w:t>(-)</w:t>
            </w:r>
            <w:r>
              <w:rPr>
                <w:color w:val="000000"/>
                <w:sz w:val="18"/>
                <w:szCs w:val="18"/>
              </w:rPr>
              <w:tab/>
              <w:t>18.0</w:t>
            </w:r>
          </w:p>
        </w:tc>
        <w:tc>
          <w:tcPr>
            <w:tcW w:w="557" w:type="dxa"/>
            <w:tcBorders>
              <w:top w:val="nil"/>
              <w:left w:val="single" w:sz="4" w:space="0" w:color="404040"/>
              <w:bottom w:val="nil"/>
              <w:right w:val="nil"/>
            </w:tcBorders>
            <w:shd w:val="clear" w:color="auto" w:fill="auto"/>
            <w:vAlign w:val="center"/>
          </w:tcPr>
          <w:p w14:paraId="38E9A427" w14:textId="77777777" w:rsidR="00493E1C" w:rsidRPr="00FF5523" w:rsidRDefault="00493E1C" w:rsidP="004E2AAB">
            <w:pPr>
              <w:jc w:val="right"/>
              <w:rPr>
                <w:sz w:val="18"/>
                <w:szCs w:val="18"/>
              </w:rPr>
            </w:pPr>
            <w:r>
              <w:rPr>
                <w:sz w:val="18"/>
                <w:szCs w:val="18"/>
              </w:rPr>
              <w:t>3</w:t>
            </w:r>
          </w:p>
        </w:tc>
        <w:tc>
          <w:tcPr>
            <w:tcW w:w="1249" w:type="dxa"/>
            <w:tcBorders>
              <w:top w:val="nil"/>
              <w:left w:val="nil"/>
              <w:bottom w:val="nil"/>
              <w:right w:val="single" w:sz="4" w:space="0" w:color="404040"/>
            </w:tcBorders>
            <w:shd w:val="clear" w:color="auto" w:fill="auto"/>
            <w:vAlign w:val="center"/>
          </w:tcPr>
          <w:p w14:paraId="764B4315" w14:textId="77777777" w:rsidR="00493E1C" w:rsidRPr="00BB7BF9" w:rsidRDefault="00493E1C" w:rsidP="004E2AAB">
            <w:pPr>
              <w:rPr>
                <w:sz w:val="18"/>
                <w:szCs w:val="18"/>
              </w:rPr>
            </w:pPr>
            <w:r>
              <w:rPr>
                <w:sz w:val="18"/>
                <w:szCs w:val="18"/>
              </w:rPr>
              <w:t>Por debajo</w:t>
            </w:r>
          </w:p>
        </w:tc>
      </w:tr>
      <w:tr w:rsidR="00493E1C" w:rsidRPr="00892F41" w14:paraId="301339B9" w14:textId="77777777" w:rsidTr="004E2AAB">
        <w:trPr>
          <w:jc w:val="center"/>
        </w:trPr>
        <w:tc>
          <w:tcPr>
            <w:tcW w:w="4420" w:type="dxa"/>
            <w:tcBorders>
              <w:top w:val="nil"/>
              <w:left w:val="single" w:sz="4" w:space="0" w:color="404040"/>
              <w:bottom w:val="nil"/>
              <w:right w:val="single" w:sz="4" w:space="0" w:color="404040"/>
            </w:tcBorders>
            <w:shd w:val="clear" w:color="auto" w:fill="auto"/>
            <w:vAlign w:val="bottom"/>
          </w:tcPr>
          <w:p w14:paraId="4261DCC9" w14:textId="77777777" w:rsidR="00493E1C" w:rsidRPr="00B313C1" w:rsidRDefault="00493E1C" w:rsidP="004E2AAB">
            <w:pPr>
              <w:widowControl w:val="0"/>
              <w:spacing w:before="20" w:after="20"/>
              <w:ind w:left="29"/>
              <w:contextualSpacing/>
              <w:jc w:val="left"/>
              <w:rPr>
                <w:sz w:val="18"/>
                <w:szCs w:val="18"/>
                <w:lang w:val="es-MX"/>
              </w:rPr>
            </w:pPr>
            <w:r>
              <w:rPr>
                <w:sz w:val="18"/>
                <w:szCs w:val="18"/>
                <w:lang w:val="es-MX"/>
              </w:rPr>
              <w:t xml:space="preserve">c)  </w:t>
            </w:r>
            <w:r w:rsidRPr="00B313C1">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3F5FD19A" w14:textId="77777777" w:rsidR="00493E1C" w:rsidRPr="00FF5523" w:rsidRDefault="00493E1C" w:rsidP="004E2AAB">
            <w:pPr>
              <w:tabs>
                <w:tab w:val="decimal" w:pos="409"/>
              </w:tabs>
              <w:jc w:val="left"/>
              <w:rPr>
                <w:sz w:val="18"/>
                <w:szCs w:val="18"/>
              </w:rPr>
            </w:pPr>
            <w:r>
              <w:rPr>
                <w:color w:val="000000"/>
                <w:sz w:val="18"/>
                <w:szCs w:val="18"/>
              </w:rPr>
              <w:t>38.4</w:t>
            </w:r>
          </w:p>
        </w:tc>
        <w:tc>
          <w:tcPr>
            <w:tcW w:w="1043" w:type="dxa"/>
            <w:tcBorders>
              <w:top w:val="nil"/>
              <w:left w:val="single" w:sz="4" w:space="0" w:color="404040"/>
              <w:bottom w:val="nil"/>
              <w:right w:val="nil"/>
            </w:tcBorders>
            <w:shd w:val="clear" w:color="auto" w:fill="auto"/>
            <w:vAlign w:val="center"/>
          </w:tcPr>
          <w:p w14:paraId="59F8DED4" w14:textId="77777777" w:rsidR="00493E1C" w:rsidRPr="00FF5523" w:rsidRDefault="00493E1C" w:rsidP="004E2AAB">
            <w:pPr>
              <w:tabs>
                <w:tab w:val="left" w:pos="61"/>
                <w:tab w:val="decimal" w:pos="480"/>
              </w:tabs>
              <w:jc w:val="left"/>
              <w:rPr>
                <w:sz w:val="18"/>
                <w:szCs w:val="18"/>
              </w:rPr>
            </w:pPr>
            <w:r>
              <w:rPr>
                <w:color w:val="000000"/>
                <w:sz w:val="18"/>
                <w:szCs w:val="18"/>
              </w:rPr>
              <w:tab/>
              <w:t>(-)</w:t>
            </w:r>
            <w:r>
              <w:rPr>
                <w:color w:val="000000"/>
                <w:sz w:val="18"/>
                <w:szCs w:val="18"/>
              </w:rPr>
              <w:tab/>
              <w:t>11.9</w:t>
            </w:r>
          </w:p>
        </w:tc>
        <w:tc>
          <w:tcPr>
            <w:tcW w:w="1043" w:type="dxa"/>
            <w:tcBorders>
              <w:top w:val="nil"/>
              <w:left w:val="nil"/>
              <w:bottom w:val="nil"/>
              <w:right w:val="single" w:sz="4" w:space="0" w:color="404040"/>
            </w:tcBorders>
            <w:shd w:val="clear" w:color="auto" w:fill="auto"/>
            <w:vAlign w:val="center"/>
          </w:tcPr>
          <w:p w14:paraId="3B895BB5" w14:textId="77777777" w:rsidR="00493E1C" w:rsidRPr="00FF5523" w:rsidRDefault="00493E1C" w:rsidP="004E2AAB">
            <w:pPr>
              <w:tabs>
                <w:tab w:val="left" w:pos="61"/>
                <w:tab w:val="decimal" w:pos="469"/>
              </w:tabs>
              <w:jc w:val="left"/>
              <w:rPr>
                <w:sz w:val="18"/>
                <w:szCs w:val="18"/>
              </w:rPr>
            </w:pPr>
            <w:r>
              <w:rPr>
                <w:color w:val="000000"/>
                <w:sz w:val="18"/>
                <w:szCs w:val="18"/>
              </w:rPr>
              <w:tab/>
              <w:t>(-)</w:t>
            </w:r>
            <w:r>
              <w:rPr>
                <w:color w:val="000000"/>
                <w:sz w:val="18"/>
                <w:szCs w:val="18"/>
              </w:rPr>
              <w:tab/>
              <w:t>21.8</w:t>
            </w:r>
          </w:p>
        </w:tc>
        <w:tc>
          <w:tcPr>
            <w:tcW w:w="557" w:type="dxa"/>
            <w:tcBorders>
              <w:top w:val="nil"/>
              <w:left w:val="single" w:sz="4" w:space="0" w:color="404040"/>
              <w:bottom w:val="nil"/>
              <w:right w:val="nil"/>
            </w:tcBorders>
            <w:shd w:val="clear" w:color="auto" w:fill="auto"/>
            <w:vAlign w:val="center"/>
          </w:tcPr>
          <w:p w14:paraId="1F900FCA" w14:textId="77777777" w:rsidR="00493E1C" w:rsidRPr="00FF5523" w:rsidRDefault="00493E1C" w:rsidP="004E2AAB">
            <w:pPr>
              <w:jc w:val="right"/>
              <w:rPr>
                <w:sz w:val="18"/>
                <w:szCs w:val="18"/>
              </w:rPr>
            </w:pPr>
            <w:r>
              <w:rPr>
                <w:sz w:val="18"/>
                <w:szCs w:val="18"/>
              </w:rPr>
              <w:t>1</w:t>
            </w:r>
          </w:p>
        </w:tc>
        <w:tc>
          <w:tcPr>
            <w:tcW w:w="1249" w:type="dxa"/>
            <w:tcBorders>
              <w:top w:val="nil"/>
              <w:left w:val="nil"/>
              <w:bottom w:val="nil"/>
              <w:right w:val="single" w:sz="4" w:space="0" w:color="404040"/>
            </w:tcBorders>
            <w:shd w:val="clear" w:color="auto" w:fill="auto"/>
            <w:vAlign w:val="center"/>
          </w:tcPr>
          <w:p w14:paraId="74BA7479" w14:textId="77777777" w:rsidR="00493E1C" w:rsidRPr="00BB7BF9" w:rsidRDefault="00493E1C" w:rsidP="004E2AAB">
            <w:pPr>
              <w:rPr>
                <w:sz w:val="18"/>
                <w:szCs w:val="18"/>
              </w:rPr>
            </w:pPr>
            <w:r>
              <w:rPr>
                <w:sz w:val="18"/>
                <w:szCs w:val="18"/>
              </w:rPr>
              <w:t>Por debajo</w:t>
            </w:r>
          </w:p>
        </w:tc>
      </w:tr>
      <w:tr w:rsidR="00493E1C" w:rsidRPr="00892F41" w14:paraId="35E284E4" w14:textId="77777777" w:rsidTr="004E2AAB">
        <w:trPr>
          <w:jc w:val="center"/>
        </w:trPr>
        <w:tc>
          <w:tcPr>
            <w:tcW w:w="4420" w:type="dxa"/>
            <w:tcBorders>
              <w:top w:val="nil"/>
              <w:left w:val="single" w:sz="4" w:space="0" w:color="404040"/>
              <w:bottom w:val="nil"/>
              <w:right w:val="single" w:sz="4" w:space="0" w:color="404040"/>
            </w:tcBorders>
            <w:shd w:val="clear" w:color="auto" w:fill="auto"/>
            <w:vAlign w:val="bottom"/>
          </w:tcPr>
          <w:p w14:paraId="6C9A3A1B" w14:textId="77777777" w:rsidR="00493E1C" w:rsidRPr="00B313C1" w:rsidRDefault="00493E1C" w:rsidP="004E2AAB">
            <w:pPr>
              <w:widowControl w:val="0"/>
              <w:spacing w:before="20" w:after="20"/>
              <w:ind w:left="29"/>
              <w:contextualSpacing/>
              <w:jc w:val="left"/>
              <w:rPr>
                <w:sz w:val="18"/>
                <w:szCs w:val="18"/>
                <w:lang w:val="es-MX"/>
              </w:rPr>
            </w:pPr>
            <w:r>
              <w:rPr>
                <w:sz w:val="18"/>
                <w:szCs w:val="18"/>
                <w:lang w:val="es-MX"/>
              </w:rPr>
              <w:t xml:space="preserve">d)  </w:t>
            </w:r>
            <w:r w:rsidRPr="00B313C1">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73B41E15" w14:textId="77777777" w:rsidR="00493E1C" w:rsidRPr="00FF5523" w:rsidRDefault="00493E1C" w:rsidP="004E2AAB">
            <w:pPr>
              <w:tabs>
                <w:tab w:val="decimal" w:pos="409"/>
              </w:tabs>
              <w:jc w:val="left"/>
              <w:rPr>
                <w:sz w:val="18"/>
                <w:szCs w:val="18"/>
              </w:rPr>
            </w:pPr>
            <w:r>
              <w:rPr>
                <w:color w:val="000000"/>
                <w:sz w:val="18"/>
                <w:szCs w:val="18"/>
              </w:rPr>
              <w:t>44.0</w:t>
            </w:r>
          </w:p>
        </w:tc>
        <w:tc>
          <w:tcPr>
            <w:tcW w:w="1043" w:type="dxa"/>
            <w:tcBorders>
              <w:top w:val="nil"/>
              <w:left w:val="single" w:sz="4" w:space="0" w:color="404040"/>
              <w:bottom w:val="nil"/>
              <w:right w:val="nil"/>
            </w:tcBorders>
            <w:shd w:val="clear" w:color="auto" w:fill="auto"/>
            <w:vAlign w:val="center"/>
          </w:tcPr>
          <w:p w14:paraId="5FF30AA1" w14:textId="77777777" w:rsidR="00493E1C" w:rsidRPr="00FF5523" w:rsidRDefault="00493E1C" w:rsidP="004E2AAB">
            <w:pPr>
              <w:tabs>
                <w:tab w:val="left" w:pos="61"/>
                <w:tab w:val="decimal" w:pos="480"/>
              </w:tabs>
              <w:jc w:val="left"/>
              <w:rPr>
                <w:sz w:val="18"/>
                <w:szCs w:val="18"/>
              </w:rPr>
            </w:pPr>
            <w:r>
              <w:rPr>
                <w:color w:val="000000"/>
                <w:sz w:val="18"/>
                <w:szCs w:val="18"/>
              </w:rPr>
              <w:tab/>
              <w:t>(-)</w:t>
            </w:r>
            <w:r>
              <w:rPr>
                <w:color w:val="000000"/>
                <w:sz w:val="18"/>
                <w:szCs w:val="18"/>
              </w:rPr>
              <w:tab/>
              <w:t>5.1</w:t>
            </w:r>
          </w:p>
        </w:tc>
        <w:tc>
          <w:tcPr>
            <w:tcW w:w="1043" w:type="dxa"/>
            <w:tcBorders>
              <w:top w:val="nil"/>
              <w:left w:val="nil"/>
              <w:bottom w:val="nil"/>
              <w:right w:val="single" w:sz="4" w:space="0" w:color="404040"/>
            </w:tcBorders>
            <w:shd w:val="clear" w:color="auto" w:fill="auto"/>
            <w:vAlign w:val="center"/>
          </w:tcPr>
          <w:p w14:paraId="09EBBE33" w14:textId="77777777" w:rsidR="00493E1C" w:rsidRPr="00FF5523" w:rsidRDefault="00493E1C" w:rsidP="004E2AAB">
            <w:pPr>
              <w:tabs>
                <w:tab w:val="left" w:pos="61"/>
                <w:tab w:val="decimal" w:pos="469"/>
              </w:tabs>
              <w:jc w:val="left"/>
              <w:rPr>
                <w:sz w:val="18"/>
                <w:szCs w:val="18"/>
              </w:rPr>
            </w:pPr>
            <w:r>
              <w:rPr>
                <w:color w:val="000000"/>
                <w:sz w:val="18"/>
                <w:szCs w:val="18"/>
              </w:rPr>
              <w:tab/>
              <w:t>(-)</w:t>
            </w:r>
            <w:r>
              <w:rPr>
                <w:color w:val="000000"/>
                <w:sz w:val="18"/>
                <w:szCs w:val="18"/>
              </w:rPr>
              <w:tab/>
              <w:t>9.8</w:t>
            </w:r>
          </w:p>
        </w:tc>
        <w:tc>
          <w:tcPr>
            <w:tcW w:w="557" w:type="dxa"/>
            <w:tcBorders>
              <w:top w:val="nil"/>
              <w:left w:val="single" w:sz="4" w:space="0" w:color="404040"/>
              <w:bottom w:val="nil"/>
              <w:right w:val="nil"/>
            </w:tcBorders>
            <w:shd w:val="clear" w:color="auto" w:fill="auto"/>
            <w:vAlign w:val="center"/>
          </w:tcPr>
          <w:p w14:paraId="33EC59BC" w14:textId="77777777" w:rsidR="00493E1C" w:rsidRPr="00FF5523" w:rsidRDefault="00493E1C" w:rsidP="004E2AAB">
            <w:pPr>
              <w:jc w:val="right"/>
              <w:rPr>
                <w:sz w:val="18"/>
                <w:szCs w:val="18"/>
              </w:rPr>
            </w:pPr>
            <w:r>
              <w:rPr>
                <w:sz w:val="18"/>
                <w:szCs w:val="18"/>
              </w:rPr>
              <w:t>2</w:t>
            </w:r>
          </w:p>
        </w:tc>
        <w:tc>
          <w:tcPr>
            <w:tcW w:w="1249" w:type="dxa"/>
            <w:tcBorders>
              <w:top w:val="nil"/>
              <w:left w:val="nil"/>
              <w:bottom w:val="nil"/>
              <w:right w:val="single" w:sz="4" w:space="0" w:color="404040"/>
            </w:tcBorders>
            <w:shd w:val="clear" w:color="auto" w:fill="auto"/>
            <w:vAlign w:val="center"/>
          </w:tcPr>
          <w:p w14:paraId="0D3B4569" w14:textId="77777777" w:rsidR="00493E1C" w:rsidRPr="00BB7BF9" w:rsidRDefault="00493E1C" w:rsidP="004E2AAB">
            <w:pPr>
              <w:rPr>
                <w:sz w:val="18"/>
                <w:szCs w:val="18"/>
              </w:rPr>
            </w:pPr>
            <w:r w:rsidRPr="00BB7BF9">
              <w:rPr>
                <w:sz w:val="18"/>
                <w:szCs w:val="18"/>
              </w:rPr>
              <w:t xml:space="preserve">Por </w:t>
            </w:r>
            <w:r>
              <w:rPr>
                <w:sz w:val="18"/>
                <w:szCs w:val="18"/>
              </w:rPr>
              <w:t>debajo</w:t>
            </w:r>
          </w:p>
        </w:tc>
      </w:tr>
      <w:tr w:rsidR="00493E1C" w:rsidRPr="00892F41" w14:paraId="2B7F9C46" w14:textId="77777777" w:rsidTr="004E2AAB">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4E10FE10" w14:textId="77777777" w:rsidR="00493E1C" w:rsidRPr="00B313C1" w:rsidRDefault="00493E1C" w:rsidP="004E2AAB">
            <w:pPr>
              <w:widowControl w:val="0"/>
              <w:spacing w:before="20" w:after="20"/>
              <w:ind w:left="29"/>
              <w:contextualSpacing/>
              <w:jc w:val="left"/>
              <w:rPr>
                <w:sz w:val="18"/>
                <w:szCs w:val="18"/>
                <w:lang w:val="es-MX"/>
              </w:rPr>
            </w:pPr>
            <w:r>
              <w:rPr>
                <w:sz w:val="18"/>
                <w:szCs w:val="18"/>
                <w:lang w:val="es-MX"/>
              </w:rPr>
              <w:t xml:space="preserve">e)  </w:t>
            </w:r>
            <w:r w:rsidRPr="00B313C1">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7CEF807A" w14:textId="77777777" w:rsidR="00493E1C" w:rsidRPr="00FF5523" w:rsidRDefault="00493E1C" w:rsidP="004E2AAB">
            <w:pPr>
              <w:tabs>
                <w:tab w:val="decimal" w:pos="409"/>
              </w:tabs>
              <w:jc w:val="left"/>
              <w:rPr>
                <w:sz w:val="18"/>
                <w:szCs w:val="18"/>
              </w:rPr>
            </w:pPr>
            <w:r>
              <w:rPr>
                <w:color w:val="000000"/>
                <w:sz w:val="18"/>
                <w:szCs w:val="18"/>
              </w:rPr>
              <w:t>44.3</w:t>
            </w:r>
          </w:p>
        </w:tc>
        <w:tc>
          <w:tcPr>
            <w:tcW w:w="1043" w:type="dxa"/>
            <w:tcBorders>
              <w:top w:val="nil"/>
              <w:left w:val="single" w:sz="4" w:space="0" w:color="404040"/>
              <w:bottom w:val="single" w:sz="4" w:space="0" w:color="404040"/>
              <w:right w:val="nil"/>
            </w:tcBorders>
            <w:shd w:val="clear" w:color="auto" w:fill="auto"/>
            <w:vAlign w:val="center"/>
          </w:tcPr>
          <w:p w14:paraId="0B20D244" w14:textId="77777777" w:rsidR="00493E1C" w:rsidRPr="00FF5523" w:rsidRDefault="00493E1C" w:rsidP="004E2AAB">
            <w:pPr>
              <w:tabs>
                <w:tab w:val="left" w:pos="61"/>
                <w:tab w:val="decimal" w:pos="480"/>
              </w:tabs>
              <w:jc w:val="left"/>
              <w:rPr>
                <w:sz w:val="18"/>
                <w:szCs w:val="18"/>
              </w:rPr>
            </w:pPr>
            <w:r>
              <w:rPr>
                <w:color w:val="000000"/>
                <w:sz w:val="18"/>
                <w:szCs w:val="18"/>
              </w:rPr>
              <w:tab/>
              <w:t>(-)</w:t>
            </w:r>
            <w:r>
              <w:rPr>
                <w:color w:val="000000"/>
                <w:sz w:val="18"/>
                <w:szCs w:val="18"/>
              </w:rPr>
              <w:tab/>
              <w:t>2.9</w:t>
            </w:r>
          </w:p>
        </w:tc>
        <w:tc>
          <w:tcPr>
            <w:tcW w:w="1043" w:type="dxa"/>
            <w:tcBorders>
              <w:top w:val="nil"/>
              <w:left w:val="nil"/>
              <w:bottom w:val="single" w:sz="4" w:space="0" w:color="404040"/>
              <w:right w:val="single" w:sz="4" w:space="0" w:color="404040"/>
            </w:tcBorders>
            <w:shd w:val="clear" w:color="auto" w:fill="auto"/>
            <w:vAlign w:val="center"/>
          </w:tcPr>
          <w:p w14:paraId="052F3D9E" w14:textId="77777777" w:rsidR="00493E1C" w:rsidRPr="00FF5523" w:rsidRDefault="00493E1C" w:rsidP="004E2AAB">
            <w:pPr>
              <w:tabs>
                <w:tab w:val="left" w:pos="61"/>
                <w:tab w:val="decimal" w:pos="469"/>
              </w:tabs>
              <w:jc w:val="left"/>
              <w:rPr>
                <w:sz w:val="18"/>
                <w:szCs w:val="18"/>
              </w:rPr>
            </w:pPr>
            <w:r>
              <w:rPr>
                <w:color w:val="000000"/>
                <w:sz w:val="18"/>
                <w:szCs w:val="18"/>
              </w:rPr>
              <w:tab/>
              <w:t>(-)</w:t>
            </w:r>
            <w:r>
              <w:rPr>
                <w:color w:val="000000"/>
                <w:sz w:val="18"/>
                <w:szCs w:val="18"/>
              </w:rPr>
              <w:tab/>
              <w:t>14.0</w:t>
            </w:r>
          </w:p>
        </w:tc>
        <w:tc>
          <w:tcPr>
            <w:tcW w:w="557" w:type="dxa"/>
            <w:tcBorders>
              <w:top w:val="nil"/>
              <w:left w:val="single" w:sz="4" w:space="0" w:color="404040"/>
              <w:bottom w:val="single" w:sz="4" w:space="0" w:color="auto"/>
              <w:right w:val="nil"/>
            </w:tcBorders>
            <w:shd w:val="clear" w:color="auto" w:fill="auto"/>
            <w:vAlign w:val="center"/>
          </w:tcPr>
          <w:p w14:paraId="005B91BF" w14:textId="77777777" w:rsidR="00493E1C" w:rsidRPr="00FF5523" w:rsidRDefault="00493E1C" w:rsidP="004E2AAB">
            <w:pPr>
              <w:jc w:val="right"/>
              <w:rPr>
                <w:sz w:val="18"/>
                <w:szCs w:val="18"/>
              </w:rPr>
            </w:pPr>
            <w:r>
              <w:rPr>
                <w:sz w:val="18"/>
                <w:szCs w:val="18"/>
              </w:rPr>
              <w:t>2</w:t>
            </w:r>
          </w:p>
        </w:tc>
        <w:tc>
          <w:tcPr>
            <w:tcW w:w="1249" w:type="dxa"/>
            <w:tcBorders>
              <w:top w:val="nil"/>
              <w:left w:val="nil"/>
              <w:bottom w:val="single" w:sz="4" w:space="0" w:color="auto"/>
              <w:right w:val="single" w:sz="4" w:space="0" w:color="404040"/>
            </w:tcBorders>
            <w:shd w:val="clear" w:color="auto" w:fill="auto"/>
            <w:vAlign w:val="center"/>
          </w:tcPr>
          <w:p w14:paraId="53F2FA77" w14:textId="77777777" w:rsidR="00493E1C" w:rsidRPr="00BB7BF9" w:rsidRDefault="00493E1C" w:rsidP="004E2AAB">
            <w:pPr>
              <w:rPr>
                <w:sz w:val="18"/>
                <w:szCs w:val="18"/>
              </w:rPr>
            </w:pPr>
            <w:r w:rsidRPr="00BB7BF9">
              <w:rPr>
                <w:sz w:val="18"/>
                <w:szCs w:val="18"/>
              </w:rPr>
              <w:t>P</w:t>
            </w:r>
            <w:r>
              <w:rPr>
                <w:sz w:val="18"/>
                <w:szCs w:val="18"/>
              </w:rPr>
              <w:t>or debajo</w:t>
            </w:r>
          </w:p>
        </w:tc>
      </w:tr>
    </w:tbl>
    <w:p w14:paraId="599AE0A7" w14:textId="77777777" w:rsidR="00493E1C" w:rsidRDefault="00493E1C" w:rsidP="00A13E3A">
      <w:pPr>
        <w:widowControl w:val="0"/>
        <w:spacing w:before="20"/>
        <w:ind w:left="700" w:right="142"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25A93B7D" w14:textId="77777777" w:rsidR="00493E1C" w:rsidRDefault="00493E1C" w:rsidP="00493E1C">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685BF590" w14:textId="77777777" w:rsidR="00493E1C" w:rsidRDefault="00493E1C" w:rsidP="00493E1C">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2AE87645" w14:textId="77777777" w:rsidR="00493E1C" w:rsidRDefault="00493E1C" w:rsidP="00493E1C">
      <w:pPr>
        <w:pStyle w:val="p0"/>
      </w:pPr>
    </w:p>
    <w:p w14:paraId="330E108E" w14:textId="77777777" w:rsidR="00493E1C" w:rsidRDefault="00493E1C" w:rsidP="00493E1C">
      <w:pPr>
        <w:pStyle w:val="p0"/>
      </w:pPr>
    </w:p>
    <w:p w14:paraId="3D9DE91C" w14:textId="77777777" w:rsidR="00493E1C" w:rsidRDefault="00493E1C" w:rsidP="00493E1C">
      <w:pPr>
        <w:pStyle w:val="p0"/>
      </w:pPr>
    </w:p>
    <w:p w14:paraId="6E04A29F" w14:textId="77777777" w:rsidR="00493E1C" w:rsidRDefault="00493E1C" w:rsidP="00493E1C">
      <w:pPr>
        <w:pStyle w:val="p0"/>
      </w:pPr>
    </w:p>
    <w:p w14:paraId="42DFAA98" w14:textId="77777777" w:rsidR="00493E1C" w:rsidRDefault="00493E1C" w:rsidP="00493E1C">
      <w:pPr>
        <w:spacing w:before="240"/>
        <w:ind w:left="-567" w:right="-567" w:hanging="1134"/>
        <w:rPr>
          <w:b/>
          <w:color w:val="201F1E"/>
          <w:sz w:val="22"/>
          <w:szCs w:val="22"/>
          <w:bdr w:val="none" w:sz="0" w:space="0" w:color="auto" w:frame="1"/>
        </w:rPr>
      </w:pPr>
      <w:r>
        <w:rPr>
          <w:b/>
          <w:color w:val="201F1E"/>
          <w:sz w:val="22"/>
          <w:szCs w:val="22"/>
          <w:bdr w:val="none" w:sz="0" w:space="0" w:color="auto" w:frame="1"/>
        </w:rPr>
        <w:tab/>
      </w:r>
    </w:p>
    <w:p w14:paraId="19A05460" w14:textId="77777777" w:rsidR="00493E1C" w:rsidRPr="007D54B1" w:rsidRDefault="00493E1C" w:rsidP="00643B28">
      <w:pPr>
        <w:ind w:left="-567" w:right="-567" w:hanging="1134"/>
        <w:rPr>
          <w:bCs/>
        </w:rPr>
      </w:pPr>
      <w:r>
        <w:rPr>
          <w:b/>
          <w:color w:val="201F1E"/>
          <w:sz w:val="22"/>
          <w:szCs w:val="22"/>
          <w:bdr w:val="none" w:sz="0" w:space="0" w:color="auto" w:frame="1"/>
        </w:rPr>
        <w:tab/>
      </w:r>
      <w:r w:rsidRPr="007D54B1">
        <w:rPr>
          <w:bCs/>
          <w:color w:val="201F1E"/>
          <w:bdr w:val="none" w:sz="0" w:space="0" w:color="auto" w:frame="1"/>
        </w:rPr>
        <w:t>De acuerdo con lo publicado por el INEGI en su Comunicado de Prensa del 31 de marzo de 2020, en el cual se dieron a conocer las medidas extraordinarias que tomó el Instituto por el estado de emergencia sanitaria originada por el COVID-19, la captación de la EMOE correspondiente al mes de abril de 2020 se realizó en los tiempos establecidos mediante Internet y asistencia telefónica con el fin de evitar el contacto presencial</w:t>
      </w:r>
      <w:r w:rsidRPr="007D54B1">
        <w:rPr>
          <w:rStyle w:val="Refdenotaalpie"/>
          <w:bCs/>
        </w:rPr>
        <w:footnoteReference w:id="3"/>
      </w:r>
      <w:r w:rsidRPr="007D54B1">
        <w:rPr>
          <w:bCs/>
          <w:color w:val="201F1E"/>
          <w:bdr w:val="none" w:sz="0" w:space="0" w:color="auto" w:frame="1"/>
        </w:rPr>
        <w:t>.</w:t>
      </w:r>
    </w:p>
    <w:p w14:paraId="36D1A178" w14:textId="77777777" w:rsidR="00493E1C" w:rsidRPr="007D54B1" w:rsidRDefault="00493E1C" w:rsidP="00493E1C">
      <w:pPr>
        <w:pStyle w:val="p0"/>
        <w:ind w:left="-283" w:right="-567" w:hanging="1418"/>
        <w:rPr>
          <w:bCs/>
        </w:rPr>
      </w:pPr>
    </w:p>
    <w:p w14:paraId="232C5415" w14:textId="77777777" w:rsidR="00493E1C" w:rsidRDefault="00493E1C" w:rsidP="00493E1C">
      <w:pPr>
        <w:pStyle w:val="p01"/>
        <w:keepLines w:val="0"/>
        <w:tabs>
          <w:tab w:val="left" w:pos="3261"/>
        </w:tabs>
        <w:spacing w:before="0"/>
        <w:ind w:left="1418"/>
        <w:mirrorIndents/>
        <w:outlineLvl w:val="0"/>
        <w:rPr>
          <w:rFonts w:ascii="Arial" w:hAnsi="Arial" w:cs="Arial"/>
          <w:b/>
          <w:color w:val="000000"/>
          <w:szCs w:val="24"/>
        </w:rPr>
      </w:pPr>
    </w:p>
    <w:p w14:paraId="76A27B26" w14:textId="77777777" w:rsidR="00493E1C" w:rsidRDefault="00493E1C" w:rsidP="00493E1C">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Pr>
          <w:rFonts w:ascii="Arial" w:hAnsi="Arial" w:cs="Arial"/>
          <w:b/>
          <w:color w:val="000000"/>
          <w:szCs w:val="24"/>
        </w:rPr>
        <w:tab/>
      </w:r>
    </w:p>
    <w:p w14:paraId="525B529F" w14:textId="77777777" w:rsidR="00493E1C" w:rsidRPr="003B1ACA" w:rsidRDefault="00493E1C" w:rsidP="00493E1C">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147D744F" w14:textId="77777777" w:rsidR="00493E1C" w:rsidRDefault="00493E1C" w:rsidP="00493E1C">
      <w:pPr>
        <w:jc w:val="center"/>
      </w:pPr>
    </w:p>
    <w:p w14:paraId="2BE3A64F" w14:textId="77777777" w:rsidR="00493E1C" w:rsidRDefault="00493E1C" w:rsidP="00493E1C">
      <w:pPr>
        <w:pStyle w:val="bullet"/>
        <w:tabs>
          <w:tab w:val="left" w:pos="8789"/>
        </w:tabs>
        <w:spacing w:before="0"/>
        <w:ind w:left="0" w:right="51" w:firstLine="0"/>
        <w:jc w:val="center"/>
        <w:rPr>
          <w:rFonts w:cs="Arial"/>
          <w:szCs w:val="24"/>
        </w:rPr>
      </w:pPr>
    </w:p>
    <w:p w14:paraId="576FF399" w14:textId="77777777" w:rsidR="00493E1C" w:rsidRDefault="00493E1C" w:rsidP="00493E1C">
      <w:pPr>
        <w:pStyle w:val="bullet"/>
        <w:tabs>
          <w:tab w:val="left" w:pos="8789"/>
        </w:tabs>
        <w:spacing w:before="0"/>
        <w:ind w:left="0" w:right="51" w:firstLine="0"/>
        <w:jc w:val="center"/>
        <w:rPr>
          <w:rFonts w:cs="Arial"/>
          <w:szCs w:val="24"/>
        </w:rPr>
      </w:pPr>
    </w:p>
    <w:p w14:paraId="7CE118AF" w14:textId="77777777" w:rsidR="00493E1C" w:rsidRDefault="00493E1C" w:rsidP="00493E1C">
      <w:pPr>
        <w:pStyle w:val="bullet"/>
        <w:tabs>
          <w:tab w:val="left" w:pos="8789"/>
        </w:tabs>
        <w:spacing w:before="0"/>
        <w:ind w:left="0" w:right="51" w:firstLine="0"/>
        <w:jc w:val="center"/>
        <w:rPr>
          <w:rFonts w:cs="Arial"/>
          <w:sz w:val="22"/>
          <w:szCs w:val="22"/>
        </w:rPr>
      </w:pPr>
    </w:p>
    <w:p w14:paraId="627CE530" w14:textId="77777777" w:rsidR="00493E1C" w:rsidRDefault="00493E1C" w:rsidP="00493E1C">
      <w:pPr>
        <w:pStyle w:val="bullet"/>
        <w:tabs>
          <w:tab w:val="left" w:pos="8789"/>
        </w:tabs>
        <w:spacing w:before="0"/>
        <w:ind w:left="0" w:right="51" w:firstLine="0"/>
        <w:jc w:val="center"/>
        <w:rPr>
          <w:rFonts w:cs="Arial"/>
          <w:sz w:val="22"/>
          <w:szCs w:val="22"/>
        </w:rPr>
      </w:pPr>
    </w:p>
    <w:p w14:paraId="6C7146C4" w14:textId="77777777" w:rsidR="00493E1C" w:rsidRDefault="00493E1C" w:rsidP="00493E1C">
      <w:pPr>
        <w:pStyle w:val="bullet"/>
        <w:tabs>
          <w:tab w:val="left" w:pos="8789"/>
        </w:tabs>
        <w:spacing w:before="0"/>
        <w:ind w:left="0" w:right="51" w:firstLine="0"/>
        <w:jc w:val="center"/>
        <w:rPr>
          <w:rFonts w:cs="Arial"/>
          <w:sz w:val="22"/>
          <w:szCs w:val="22"/>
        </w:rPr>
      </w:pPr>
    </w:p>
    <w:p w14:paraId="50B4AF5C" w14:textId="77777777" w:rsidR="00493E1C" w:rsidRDefault="00493E1C" w:rsidP="00493E1C">
      <w:pPr>
        <w:pStyle w:val="bullet"/>
        <w:tabs>
          <w:tab w:val="left" w:pos="8789"/>
        </w:tabs>
        <w:spacing w:before="0"/>
        <w:ind w:left="0" w:right="51" w:firstLine="0"/>
        <w:jc w:val="center"/>
        <w:rPr>
          <w:rFonts w:cs="Arial"/>
          <w:sz w:val="22"/>
          <w:szCs w:val="22"/>
        </w:rPr>
      </w:pPr>
    </w:p>
    <w:p w14:paraId="3EB83477" w14:textId="77777777" w:rsidR="00493E1C" w:rsidRDefault="00493E1C" w:rsidP="00493E1C">
      <w:pPr>
        <w:pStyle w:val="bullet"/>
        <w:tabs>
          <w:tab w:val="left" w:pos="8789"/>
        </w:tabs>
        <w:spacing w:before="0"/>
        <w:ind w:left="0" w:right="51" w:firstLine="0"/>
        <w:jc w:val="center"/>
        <w:rPr>
          <w:rFonts w:cs="Arial"/>
          <w:sz w:val="22"/>
          <w:szCs w:val="22"/>
        </w:rPr>
      </w:pPr>
    </w:p>
    <w:p w14:paraId="3BC17D1E" w14:textId="77777777" w:rsidR="00493E1C" w:rsidRDefault="00493E1C" w:rsidP="00493E1C">
      <w:pPr>
        <w:pStyle w:val="bullet"/>
        <w:tabs>
          <w:tab w:val="left" w:pos="8789"/>
        </w:tabs>
        <w:spacing w:before="0"/>
        <w:ind w:left="0" w:right="51" w:firstLine="0"/>
        <w:jc w:val="center"/>
        <w:rPr>
          <w:rFonts w:cs="Arial"/>
          <w:sz w:val="22"/>
          <w:szCs w:val="22"/>
        </w:rPr>
      </w:pPr>
    </w:p>
    <w:p w14:paraId="08E9B11B" w14:textId="77777777" w:rsidR="00493E1C" w:rsidRDefault="00493E1C" w:rsidP="00493E1C">
      <w:pPr>
        <w:pStyle w:val="bullet"/>
        <w:tabs>
          <w:tab w:val="left" w:pos="8789"/>
        </w:tabs>
        <w:spacing w:before="0"/>
        <w:ind w:left="0" w:right="51" w:firstLine="0"/>
        <w:jc w:val="center"/>
        <w:rPr>
          <w:rFonts w:cs="Arial"/>
          <w:sz w:val="22"/>
          <w:szCs w:val="22"/>
        </w:rPr>
      </w:pPr>
    </w:p>
    <w:p w14:paraId="083C1E0C" w14:textId="77777777" w:rsidR="00493E1C" w:rsidRDefault="00493E1C" w:rsidP="00493E1C">
      <w:pPr>
        <w:pStyle w:val="bullet"/>
        <w:tabs>
          <w:tab w:val="left" w:pos="8789"/>
        </w:tabs>
        <w:spacing w:before="0"/>
        <w:ind w:left="0" w:right="51" w:firstLine="0"/>
        <w:jc w:val="center"/>
        <w:rPr>
          <w:rFonts w:cs="Arial"/>
          <w:sz w:val="22"/>
          <w:szCs w:val="22"/>
        </w:rPr>
      </w:pPr>
    </w:p>
    <w:p w14:paraId="05595F8C" w14:textId="77777777" w:rsidR="00493E1C" w:rsidRDefault="00493E1C" w:rsidP="00493E1C">
      <w:pPr>
        <w:pStyle w:val="bullet"/>
        <w:tabs>
          <w:tab w:val="left" w:pos="8789"/>
        </w:tabs>
        <w:spacing w:before="0"/>
        <w:ind w:left="0" w:right="51" w:firstLine="0"/>
        <w:jc w:val="center"/>
        <w:rPr>
          <w:rFonts w:cs="Arial"/>
          <w:sz w:val="22"/>
          <w:szCs w:val="22"/>
        </w:rPr>
      </w:pPr>
    </w:p>
    <w:p w14:paraId="50B31F47" w14:textId="77777777" w:rsidR="00493E1C" w:rsidRDefault="00493E1C" w:rsidP="00493E1C">
      <w:pPr>
        <w:pStyle w:val="bullet"/>
        <w:tabs>
          <w:tab w:val="left" w:pos="8789"/>
        </w:tabs>
        <w:spacing w:before="0"/>
        <w:ind w:left="0" w:right="51" w:firstLine="0"/>
        <w:jc w:val="center"/>
        <w:rPr>
          <w:rFonts w:cs="Arial"/>
          <w:sz w:val="22"/>
          <w:szCs w:val="22"/>
        </w:rPr>
      </w:pPr>
    </w:p>
    <w:p w14:paraId="02C3C116" w14:textId="77777777" w:rsidR="00493E1C" w:rsidRPr="003001BE" w:rsidRDefault="00493E1C" w:rsidP="00493E1C">
      <w:pPr>
        <w:pStyle w:val="bullet"/>
        <w:tabs>
          <w:tab w:val="left" w:pos="8789"/>
        </w:tabs>
        <w:spacing w:before="0"/>
        <w:ind w:left="0" w:right="51" w:firstLine="0"/>
        <w:jc w:val="center"/>
        <w:rPr>
          <w:rFonts w:cs="Arial"/>
          <w:sz w:val="22"/>
          <w:szCs w:val="22"/>
        </w:rPr>
      </w:pPr>
    </w:p>
    <w:p w14:paraId="2AD317C0" w14:textId="77777777" w:rsidR="00493E1C" w:rsidRPr="007D54B1" w:rsidRDefault="00493E1C" w:rsidP="00493E1C">
      <w:pPr>
        <w:pStyle w:val="NormalWeb"/>
        <w:spacing w:before="0" w:beforeAutospacing="0" w:after="0" w:afterAutospacing="0"/>
        <w:ind w:left="-426" w:right="-518"/>
        <w:contextualSpacing/>
        <w:jc w:val="center"/>
        <w:rPr>
          <w:rFonts w:ascii="Arial" w:hAnsi="Arial" w:cs="Arial"/>
          <w:sz w:val="20"/>
          <w:szCs w:val="20"/>
        </w:rPr>
      </w:pPr>
      <w:r w:rsidRPr="007D54B1">
        <w:rPr>
          <w:rFonts w:ascii="Arial" w:hAnsi="Arial" w:cs="Arial"/>
          <w:sz w:val="20"/>
          <w:szCs w:val="20"/>
        </w:rPr>
        <w:t xml:space="preserve">Para consultas de medios y periodistas, contactar a: </w:t>
      </w:r>
      <w:hyperlink r:id="rId8" w:history="1">
        <w:r w:rsidRPr="007D54B1">
          <w:rPr>
            <w:rStyle w:val="Hipervnculo"/>
            <w:rFonts w:ascii="Arial" w:hAnsi="Arial" w:cs="Arial"/>
            <w:sz w:val="20"/>
            <w:szCs w:val="20"/>
          </w:rPr>
          <w:t>comunicacionsocial@inegi.org.mx</w:t>
        </w:r>
      </w:hyperlink>
      <w:r w:rsidRPr="007D54B1">
        <w:rPr>
          <w:rFonts w:ascii="Arial" w:hAnsi="Arial" w:cs="Arial"/>
          <w:sz w:val="20"/>
          <w:szCs w:val="20"/>
        </w:rPr>
        <w:t xml:space="preserve"> </w:t>
      </w:r>
    </w:p>
    <w:p w14:paraId="7F42E169" w14:textId="77777777" w:rsidR="00493E1C" w:rsidRPr="007D54B1" w:rsidRDefault="00493E1C" w:rsidP="00493E1C">
      <w:pPr>
        <w:pStyle w:val="NormalWeb"/>
        <w:spacing w:before="0" w:beforeAutospacing="0" w:after="0" w:afterAutospacing="0"/>
        <w:ind w:left="-426" w:right="-518"/>
        <w:contextualSpacing/>
        <w:jc w:val="center"/>
        <w:rPr>
          <w:rFonts w:ascii="Arial" w:hAnsi="Arial" w:cs="Arial"/>
          <w:sz w:val="20"/>
          <w:szCs w:val="20"/>
        </w:rPr>
      </w:pPr>
      <w:r w:rsidRPr="007D54B1">
        <w:rPr>
          <w:rFonts w:ascii="Arial" w:hAnsi="Arial" w:cs="Arial"/>
          <w:sz w:val="20"/>
          <w:szCs w:val="20"/>
        </w:rPr>
        <w:t>o llamar al teléfono (55) 52-78-10-00, exts. 1134, 1260 y 1241.</w:t>
      </w:r>
    </w:p>
    <w:p w14:paraId="43CE86FC" w14:textId="77777777" w:rsidR="00493E1C" w:rsidRPr="007D54B1" w:rsidRDefault="00493E1C" w:rsidP="00493E1C">
      <w:pPr>
        <w:ind w:left="-426" w:right="-518"/>
        <w:contextualSpacing/>
        <w:jc w:val="center"/>
        <w:rPr>
          <w:sz w:val="20"/>
          <w:szCs w:val="20"/>
        </w:rPr>
      </w:pPr>
    </w:p>
    <w:p w14:paraId="651D458A" w14:textId="77777777" w:rsidR="00493E1C" w:rsidRPr="007D54B1" w:rsidRDefault="00493E1C" w:rsidP="00493E1C">
      <w:pPr>
        <w:ind w:left="-426" w:right="-518"/>
        <w:contextualSpacing/>
        <w:jc w:val="center"/>
        <w:rPr>
          <w:sz w:val="20"/>
          <w:szCs w:val="20"/>
        </w:rPr>
      </w:pPr>
      <w:r w:rsidRPr="007D54B1">
        <w:rPr>
          <w:sz w:val="20"/>
          <w:szCs w:val="20"/>
        </w:rPr>
        <w:t>Dirección de Atención a Medios / Dirección General Adjunta de Comunicación</w:t>
      </w:r>
    </w:p>
    <w:p w14:paraId="2F01B0BA" w14:textId="77777777" w:rsidR="00493E1C" w:rsidRPr="007D54B1" w:rsidRDefault="00493E1C" w:rsidP="00493E1C">
      <w:pPr>
        <w:ind w:left="-426" w:right="-518"/>
        <w:contextualSpacing/>
        <w:jc w:val="center"/>
        <w:rPr>
          <w:sz w:val="20"/>
          <w:szCs w:val="20"/>
        </w:rPr>
      </w:pPr>
    </w:p>
    <w:p w14:paraId="6EE59121" w14:textId="77777777" w:rsidR="00493E1C" w:rsidRPr="008F0992" w:rsidRDefault="00493E1C" w:rsidP="00493E1C">
      <w:pPr>
        <w:ind w:left="-425" w:right="-516"/>
        <w:contextualSpacing/>
        <w:jc w:val="center"/>
        <w:rPr>
          <w:noProof/>
          <w:lang w:eastAsia="es-MX"/>
        </w:rPr>
      </w:pPr>
      <w:r w:rsidRPr="00FF1218">
        <w:rPr>
          <w:noProof/>
          <w:lang w:val="es-MX" w:eastAsia="es-MX"/>
        </w:rPr>
        <w:drawing>
          <wp:inline distT="0" distB="0" distL="0" distR="0" wp14:anchorId="13BDB066" wp14:editId="6F24FC1D">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8E8D42D" wp14:editId="1720B511">
            <wp:extent cx="365760" cy="365760"/>
            <wp:effectExtent l="0" t="0" r="0" b="0"/>
            <wp:docPr id="14" name="Imagen 1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CCF043F" wp14:editId="0CE2D223">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4A435BE" wp14:editId="5AAEC098">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D1F69BF" wp14:editId="3928BF1F">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7FD9CB7" w14:textId="77777777" w:rsidR="00493E1C" w:rsidRDefault="00493E1C" w:rsidP="00493E1C">
      <w:pPr>
        <w:pStyle w:val="bullet"/>
        <w:tabs>
          <w:tab w:val="left" w:pos="8789"/>
        </w:tabs>
        <w:spacing w:before="0"/>
        <w:ind w:left="0" w:right="51" w:firstLine="0"/>
        <w:jc w:val="center"/>
        <w:rPr>
          <w:rFonts w:cs="Arial"/>
          <w:szCs w:val="24"/>
        </w:rPr>
      </w:pPr>
    </w:p>
    <w:p w14:paraId="577210E4" w14:textId="77777777" w:rsidR="00493E1C" w:rsidRPr="00DC15BF" w:rsidRDefault="00493E1C" w:rsidP="00493E1C">
      <w:pPr>
        <w:rPr>
          <w:sz w:val="18"/>
          <w:szCs w:val="18"/>
        </w:rPr>
        <w:sectPr w:rsidR="00493E1C" w:rsidRPr="00DC15BF" w:rsidSect="003903C0">
          <w:headerReference w:type="even" r:id="rId19"/>
          <w:headerReference w:type="default" r:id="rId20"/>
          <w:footerReference w:type="even" r:id="rId21"/>
          <w:footerReference w:type="default" r:id="rId22"/>
          <w:headerReference w:type="first" r:id="rId23"/>
          <w:footerReference w:type="first" r:id="rId24"/>
          <w:endnotePr>
            <w:numFmt w:val="decimal"/>
          </w:endnotePr>
          <w:pgSz w:w="12242" w:h="15842"/>
          <w:pgMar w:top="723" w:right="1610" w:bottom="1134" w:left="1701" w:header="340" w:footer="340" w:gutter="0"/>
          <w:cols w:space="720"/>
          <w:docGrid w:linePitch="360"/>
        </w:sectPr>
      </w:pPr>
    </w:p>
    <w:p w14:paraId="4DFED0C5" w14:textId="77777777" w:rsidR="00493E1C" w:rsidRDefault="00493E1C" w:rsidP="00493E1C">
      <w:pPr>
        <w:spacing w:before="240"/>
        <w:contextualSpacing/>
        <w:jc w:val="center"/>
        <w:outlineLvl w:val="0"/>
        <w:rPr>
          <w:b/>
          <w:sz w:val="28"/>
          <w:szCs w:val="28"/>
        </w:rPr>
      </w:pPr>
      <w:r>
        <w:rPr>
          <w:b/>
          <w:sz w:val="28"/>
          <w:szCs w:val="28"/>
        </w:rPr>
        <w:lastRenderedPageBreak/>
        <w:t xml:space="preserve">  </w:t>
      </w:r>
      <w:r w:rsidRPr="00E751CD">
        <w:rPr>
          <w:b/>
          <w:sz w:val="28"/>
          <w:szCs w:val="28"/>
        </w:rPr>
        <w:t>NOTA TÉCNICA</w:t>
      </w:r>
    </w:p>
    <w:p w14:paraId="568A3AD7" w14:textId="77777777" w:rsidR="00A46C32" w:rsidRPr="004151CC" w:rsidRDefault="00A46C32" w:rsidP="00C841C5">
      <w:pPr>
        <w:jc w:val="center"/>
        <w:outlineLvl w:val="0"/>
        <w:rPr>
          <w:b/>
          <w:sz w:val="28"/>
          <w:szCs w:val="28"/>
        </w:rPr>
      </w:pPr>
      <w:r w:rsidRPr="00907F60">
        <w:rPr>
          <w:b/>
          <w:sz w:val="28"/>
          <w:szCs w:val="28"/>
        </w:rPr>
        <w:t>INDICADORES DE</w:t>
      </w:r>
      <w:r>
        <w:rPr>
          <w:b/>
          <w:sz w:val="28"/>
          <w:szCs w:val="28"/>
        </w:rPr>
        <w:t xml:space="preserve"> EXPECTATIVAS EMPRESARIALES</w:t>
      </w:r>
    </w:p>
    <w:p w14:paraId="10003328" w14:textId="031E4508" w:rsidR="00A46C32" w:rsidRDefault="00F018E3" w:rsidP="007E523C">
      <w:pPr>
        <w:jc w:val="center"/>
        <w:outlineLvl w:val="0"/>
        <w:rPr>
          <w:b/>
          <w:sz w:val="26"/>
          <w:szCs w:val="26"/>
        </w:rPr>
      </w:pPr>
      <w:r>
        <w:rPr>
          <w:b/>
          <w:sz w:val="26"/>
          <w:szCs w:val="26"/>
        </w:rPr>
        <w:t xml:space="preserve">CIFRAS DURANTE </w:t>
      </w:r>
      <w:r w:rsidR="001E054E">
        <w:rPr>
          <w:b/>
          <w:sz w:val="26"/>
          <w:szCs w:val="26"/>
        </w:rPr>
        <w:t>ABRIL</w:t>
      </w:r>
      <w:r w:rsidR="00A46C32">
        <w:rPr>
          <w:b/>
          <w:sz w:val="26"/>
          <w:szCs w:val="26"/>
        </w:rPr>
        <w:t xml:space="preserve"> </w:t>
      </w:r>
      <w:r w:rsidR="00A46C32" w:rsidRPr="004151CC">
        <w:rPr>
          <w:b/>
          <w:sz w:val="26"/>
          <w:szCs w:val="26"/>
        </w:rPr>
        <w:t xml:space="preserve">DE </w:t>
      </w:r>
      <w:r w:rsidR="000F1AA6">
        <w:rPr>
          <w:b/>
          <w:sz w:val="26"/>
          <w:szCs w:val="26"/>
        </w:rPr>
        <w:t>20</w:t>
      </w:r>
      <w:r w:rsidR="00D23692">
        <w:rPr>
          <w:b/>
          <w:sz w:val="26"/>
          <w:szCs w:val="26"/>
        </w:rPr>
        <w:t>20</w:t>
      </w:r>
    </w:p>
    <w:p w14:paraId="72B75254" w14:textId="77777777" w:rsidR="00940318" w:rsidRPr="00474C09" w:rsidRDefault="00940318" w:rsidP="007E523C">
      <w:pPr>
        <w:jc w:val="center"/>
        <w:outlineLvl w:val="0"/>
        <w:rPr>
          <w:b/>
          <w:i/>
          <w:szCs w:val="26"/>
        </w:rPr>
      </w:pPr>
      <w:r w:rsidRPr="00474C09">
        <w:rPr>
          <w:b/>
          <w:i/>
          <w:szCs w:val="26"/>
        </w:rPr>
        <w:t>(</w:t>
      </w:r>
      <w:r w:rsidR="00474C09" w:rsidRPr="00474C09">
        <w:rPr>
          <w:b/>
          <w:i/>
          <w:szCs w:val="26"/>
        </w:rPr>
        <w:t xml:space="preserve">Cifras </w:t>
      </w:r>
      <w:r w:rsidRPr="00474C09">
        <w:rPr>
          <w:b/>
          <w:i/>
          <w:szCs w:val="26"/>
        </w:rPr>
        <w:t>desestacionalizad</w:t>
      </w:r>
      <w:r w:rsidR="00474C09" w:rsidRPr="00474C09">
        <w:rPr>
          <w:b/>
          <w:i/>
          <w:szCs w:val="26"/>
        </w:rPr>
        <w:t>a</w:t>
      </w:r>
      <w:r w:rsidRPr="00474C09">
        <w:rPr>
          <w:b/>
          <w:i/>
          <w:szCs w:val="26"/>
        </w:rPr>
        <w:t>s)</w:t>
      </w:r>
    </w:p>
    <w:p w14:paraId="657FF41F" w14:textId="253F8BDE" w:rsidR="00C841C5" w:rsidRPr="007E523C" w:rsidRDefault="00C841C5" w:rsidP="007E523C">
      <w:pPr>
        <w:jc w:val="center"/>
        <w:rPr>
          <w:b/>
          <w:sz w:val="16"/>
          <w:szCs w:val="16"/>
        </w:rPr>
      </w:pPr>
    </w:p>
    <w:p w14:paraId="78C53DD9" w14:textId="77777777" w:rsidR="00A46C32" w:rsidRDefault="00A46C32" w:rsidP="007E523C">
      <w:pPr>
        <w:keepNext/>
        <w:keepLines/>
        <w:widowControl w:val="0"/>
      </w:pPr>
      <w:r w:rsidRPr="004B5DBC">
        <w:t>El Ins</w:t>
      </w:r>
      <w:r>
        <w:t xml:space="preserve">tituto Nacional de Estadística y </w:t>
      </w:r>
      <w:r w:rsidRPr="004B5DBC">
        <w:t xml:space="preserve">Geografía da a conocer </w:t>
      </w:r>
      <w:r>
        <w:t xml:space="preserve">las Expectativas Empresariales (EE) </w:t>
      </w:r>
      <w:r w:rsidRPr="006A1E53">
        <w:t>constituid</w:t>
      </w:r>
      <w:r>
        <w:t>as</w:t>
      </w:r>
      <w:r w:rsidRPr="006A1E53">
        <w:t xml:space="preserve"> por la opinión del directivo empresarial </w:t>
      </w:r>
      <w:r w:rsidRPr="009E60BE">
        <w:t>de</w:t>
      </w:r>
      <w:r w:rsidR="0070016D">
        <w:t xml:space="preserve"> </w:t>
      </w:r>
      <w:r w:rsidRPr="009E60BE">
        <w:t>l</w:t>
      </w:r>
      <w:r w:rsidR="0070016D">
        <w:t>os</w:t>
      </w:r>
      <w:r w:rsidRPr="009E60BE">
        <w:t xml:space="preserve"> sector</w:t>
      </w:r>
      <w:r w:rsidR="0070016D">
        <w:t xml:space="preserve">es </w:t>
      </w:r>
      <w:r w:rsidR="00C841C5">
        <w:t>i</w:t>
      </w:r>
      <w:r w:rsidR="0070016D">
        <w:t>ndustrias</w:t>
      </w:r>
      <w:r w:rsidRPr="009E60BE">
        <w:t xml:space="preserve"> manufacturer</w:t>
      </w:r>
      <w:r w:rsidR="0070016D">
        <w:t>as</w:t>
      </w:r>
      <w:r w:rsidRPr="009E60BE">
        <w:t>, de la construcción</w:t>
      </w:r>
      <w:r w:rsidR="00DC0118">
        <w:t xml:space="preserve">, </w:t>
      </w:r>
      <w:r w:rsidRPr="009E60BE">
        <w:t>del comercio</w:t>
      </w:r>
      <w:r w:rsidR="00DC0118">
        <w:t xml:space="preserve"> y de los servicios privados no financieros</w:t>
      </w:r>
      <w:r w:rsidRPr="009E60BE">
        <w:t xml:space="preserve"> sobre la situación que presenta su empresa con relación a variables puntuales (en los establecimientos manufactureros sobre la producción, </w:t>
      </w:r>
      <w:r w:rsidR="0070016D">
        <w:t xml:space="preserve">capacidad de planta </w:t>
      </w:r>
      <w:r w:rsidRPr="009E60BE">
        <w:t>utiliza</w:t>
      </w:r>
      <w:r w:rsidR="0070016D">
        <w:t>da</w:t>
      </w:r>
      <w:r w:rsidRPr="009E60BE">
        <w:t>, demanda nacional de sus productos, exportaciones, personal ocupado</w:t>
      </w:r>
      <w:r w:rsidR="002A4CB2">
        <w:t xml:space="preserve"> total</w:t>
      </w:r>
      <w:r w:rsidRPr="009E60BE">
        <w:t xml:space="preserve">, inversión en planta y equipo, inventarios de productos terminados, precios de venta y precios de insumos; en la construcción sobre </w:t>
      </w:r>
      <w:r>
        <w:t xml:space="preserve">el valor de las </w:t>
      </w:r>
      <w:r w:rsidRPr="009E60BE">
        <w:t xml:space="preserve">obras ejecutadas como contratista principal, </w:t>
      </w:r>
      <w:r>
        <w:t xml:space="preserve">valor de las </w:t>
      </w:r>
      <w:r w:rsidRPr="009E60BE">
        <w:t>obras ejecutadas como subcontratista, total de contratos y subcontratos, y personal ocupado</w:t>
      </w:r>
      <w:r w:rsidR="002A4CB2">
        <w:t xml:space="preserve"> total</w:t>
      </w:r>
      <w:r w:rsidR="009F087D">
        <w:t>;</w:t>
      </w:r>
      <w:r w:rsidRPr="009E60BE">
        <w:t xml:space="preserve"> en el comercio sobre ventas</w:t>
      </w:r>
      <w:r>
        <w:t xml:space="preserve"> netas</w:t>
      </w:r>
      <w:r w:rsidRPr="009E60BE">
        <w:t>, ingresos por consignación y/o comisión, compras</w:t>
      </w:r>
      <w:r>
        <w:t xml:space="preserve"> netas</w:t>
      </w:r>
      <w:r w:rsidRPr="009E60BE">
        <w:t>, inventario</w:t>
      </w:r>
      <w:r>
        <w:t>s</w:t>
      </w:r>
      <w:r w:rsidRPr="009E60BE">
        <w:t xml:space="preserve"> de mercancías y personal ocupado</w:t>
      </w:r>
      <w:r w:rsidR="002A4CB2">
        <w:t xml:space="preserve"> total</w:t>
      </w:r>
      <w:r w:rsidR="009F087D" w:rsidRPr="00C841C5">
        <w:t>, y en los servicios privados no financieros</w:t>
      </w:r>
      <w:r w:rsidR="002A4CB2" w:rsidRPr="00C841C5">
        <w:t xml:space="preserve"> sobre los i</w:t>
      </w:r>
      <w:r w:rsidR="009F087D" w:rsidRPr="00C841C5">
        <w:t>ngresos por la prestación de servicios</w:t>
      </w:r>
      <w:r w:rsidR="002A4CB2" w:rsidRPr="00C841C5">
        <w:t>, d</w:t>
      </w:r>
      <w:r w:rsidR="009F087D" w:rsidRPr="00C841C5">
        <w:t>emanda nacional</w:t>
      </w:r>
      <w:r w:rsidR="00C841C5">
        <w:t xml:space="preserve"> de servicios</w:t>
      </w:r>
      <w:r w:rsidR="002A4CB2" w:rsidRPr="00C841C5">
        <w:t>, g</w:t>
      </w:r>
      <w:r w:rsidR="009F087D" w:rsidRPr="00C841C5">
        <w:t>astos por consumo de bienes y servicios</w:t>
      </w:r>
      <w:r w:rsidR="002A4CB2" w:rsidRPr="00C841C5">
        <w:t>, y p</w:t>
      </w:r>
      <w:r w:rsidR="009F087D" w:rsidRPr="00C841C5">
        <w:t>ersonal ocupado total</w:t>
      </w:r>
      <w:r w:rsidR="00DC0118" w:rsidRPr="00C841C5">
        <w:t>)</w:t>
      </w:r>
      <w:r w:rsidRPr="00C841C5">
        <w:t>.</w:t>
      </w:r>
      <w:r>
        <w:t xml:space="preserve"> </w:t>
      </w:r>
    </w:p>
    <w:p w14:paraId="41E29FF3" w14:textId="77777777" w:rsidR="00A46C32" w:rsidRDefault="00A46C32" w:rsidP="00125AA4">
      <w:pPr>
        <w:keepNext/>
        <w:keepLines/>
        <w:widowControl w:val="0"/>
        <w:spacing w:before="240"/>
      </w:pPr>
      <w:r>
        <w:t>La</w:t>
      </w:r>
      <w:r w:rsidRPr="009E60BE">
        <w:t xml:space="preserve"> periodicidad </w:t>
      </w:r>
      <w:r>
        <w:t xml:space="preserve">de estos indicadores </w:t>
      </w:r>
      <w:r w:rsidRPr="009E60BE">
        <w:t>es mensual y se elabora con base e</w:t>
      </w:r>
      <w:r w:rsidRPr="004B5DBC">
        <w:t>n los resultados de la Encuesta Mensual</w:t>
      </w:r>
      <w:r>
        <w:t xml:space="preserve"> de Opinión Empresarial (EMOE).</w:t>
      </w:r>
    </w:p>
    <w:p w14:paraId="2E1EF955" w14:textId="0B6EC85C" w:rsidR="00A46C32" w:rsidRPr="00051C3C" w:rsidRDefault="00A46C32" w:rsidP="00125AA4">
      <w:pPr>
        <w:keepNext/>
        <w:keepLines/>
        <w:widowControl w:val="0"/>
        <w:spacing w:before="240"/>
      </w:pPr>
      <w:r w:rsidRPr="00335742">
        <w:rPr>
          <w:u w:val="single"/>
        </w:rPr>
        <w:t>En su comparación mensual</w:t>
      </w:r>
      <w:r w:rsidR="00906F7E" w:rsidRPr="00906F7E">
        <w:t>,</w:t>
      </w:r>
      <w:r w:rsidR="006B4BD5" w:rsidRPr="006B4BD5">
        <w:t xml:space="preserve"> </w:t>
      </w:r>
      <w:r>
        <w:t xml:space="preserve">las </w:t>
      </w:r>
      <w:r>
        <w:rPr>
          <w:b/>
        </w:rPr>
        <w:t xml:space="preserve">Expectativas </w:t>
      </w:r>
      <w:r w:rsidRPr="00D36749">
        <w:rPr>
          <w:b/>
        </w:rPr>
        <w:t xml:space="preserve">Empresariales </w:t>
      </w:r>
      <w:r w:rsidR="00335742" w:rsidRPr="00D36749">
        <w:rPr>
          <w:b/>
        </w:rPr>
        <w:t>del S</w:t>
      </w:r>
      <w:r w:rsidRPr="00D36749">
        <w:rPr>
          <w:b/>
        </w:rPr>
        <w:t>ector</w:t>
      </w:r>
      <w:r w:rsidRPr="00335742">
        <w:rPr>
          <w:b/>
        </w:rPr>
        <w:t xml:space="preserve"> Manufacturero</w:t>
      </w:r>
      <w:r>
        <w:t xml:space="preserve"> </w:t>
      </w:r>
      <w:r w:rsidR="009D143B">
        <w:t xml:space="preserve">durante </w:t>
      </w:r>
      <w:r w:rsidR="001E054E">
        <w:t>abril</w:t>
      </w:r>
      <w:r w:rsidR="002945D9">
        <w:t xml:space="preserve"> d</w:t>
      </w:r>
      <w:r w:rsidR="004335A5">
        <w:t>e</w:t>
      </w:r>
      <w:r w:rsidR="001E054E">
        <w:t xml:space="preserve"> 2020</w:t>
      </w:r>
      <w:r w:rsidR="002945D9">
        <w:t xml:space="preserve"> reportaron</w:t>
      </w:r>
      <w:r w:rsidR="00070B70">
        <w:t xml:space="preserve"> </w:t>
      </w:r>
      <w:r w:rsidRPr="00051C3C">
        <w:t>el siguiente comportamiento</w:t>
      </w:r>
      <w:r w:rsidR="006B4BD5">
        <w:t>, con cifras desestacionalizadas</w:t>
      </w:r>
      <w:r w:rsidRPr="00051C3C">
        <w:t>:</w:t>
      </w:r>
    </w:p>
    <w:p w14:paraId="754FF35D" w14:textId="77777777" w:rsidR="00A46C32" w:rsidRPr="00637BEA" w:rsidRDefault="00A46C32" w:rsidP="00125AA4">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14:paraId="17382D8D" w14:textId="77777777" w:rsidR="00A46C32" w:rsidRPr="00637BEA" w:rsidRDefault="00A46C32" w:rsidP="00A46C3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641"/>
        <w:gridCol w:w="1203"/>
      </w:tblGrid>
      <w:tr w:rsidR="003355C9" w:rsidRPr="00637BEA"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9E60BE" w:rsidRDefault="003355C9" w:rsidP="00877F30">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5D694245" w:rsidR="003355C9" w:rsidRPr="00812DAD" w:rsidRDefault="001E054E" w:rsidP="00C8701F">
            <w:pPr>
              <w:ind w:left="-108" w:right="-82"/>
              <w:jc w:val="center"/>
              <w:rPr>
                <w:spacing w:val="-4"/>
                <w:sz w:val="18"/>
                <w:szCs w:val="18"/>
              </w:rPr>
            </w:pPr>
            <w:r>
              <w:rPr>
                <w:spacing w:val="-4"/>
                <w:sz w:val="18"/>
                <w:szCs w:val="18"/>
              </w:rPr>
              <w:t>Abril</w:t>
            </w:r>
            <w:r w:rsidR="00C8701F">
              <w:rPr>
                <w:spacing w:val="-4"/>
                <w:sz w:val="18"/>
                <w:szCs w:val="18"/>
              </w:rPr>
              <w:br/>
              <w:t>de 2020</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812DAD" w:rsidRDefault="003355C9" w:rsidP="001B1EDC">
            <w:pPr>
              <w:ind w:left="-106" w:right="-95"/>
              <w:jc w:val="center"/>
              <w:rPr>
                <w:spacing w:val="-4"/>
                <w:sz w:val="18"/>
                <w:szCs w:val="18"/>
              </w:rPr>
            </w:pPr>
            <w:r w:rsidRPr="00812DAD">
              <w:rPr>
                <w:spacing w:val="-4"/>
                <w:sz w:val="18"/>
                <w:szCs w:val="18"/>
              </w:rPr>
              <w:t>Diferencia</w:t>
            </w:r>
            <w:r w:rsidR="00D36749" w:rsidRPr="00812DAD">
              <w:rPr>
                <w:spacing w:val="-4"/>
                <w:sz w:val="18"/>
                <w:szCs w:val="18"/>
              </w:rPr>
              <w:t>s</w:t>
            </w:r>
            <w:r w:rsidR="00D36749" w:rsidRPr="00812DAD">
              <w:rPr>
                <w:spacing w:val="-4"/>
                <w:sz w:val="18"/>
                <w:szCs w:val="18"/>
                <w:vertAlign w:val="superscript"/>
                <w:lang w:val="es-MX"/>
              </w:rPr>
              <w:t>1/</w:t>
            </w:r>
            <w:r w:rsidR="00D36749" w:rsidRPr="00812DAD">
              <w:rPr>
                <w:spacing w:val="-4"/>
                <w:sz w:val="18"/>
                <w:szCs w:val="18"/>
              </w:rPr>
              <w:t xml:space="preserve"> </w:t>
            </w:r>
            <w:r w:rsidR="001B1EDC" w:rsidRPr="00812DAD">
              <w:rPr>
                <w:spacing w:val="-4"/>
                <w:sz w:val="18"/>
                <w:szCs w:val="18"/>
              </w:rPr>
              <w:t>en</w:t>
            </w:r>
            <w:r w:rsidR="001B1EDC" w:rsidRPr="00812DAD">
              <w:rPr>
                <w:spacing w:val="-4"/>
                <w:sz w:val="18"/>
                <w:szCs w:val="18"/>
              </w:rPr>
              <w:br/>
              <w:t xml:space="preserve">puntos </w:t>
            </w:r>
            <w:r w:rsidR="00D36749" w:rsidRPr="00812DAD">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812DAD" w:rsidRDefault="003355C9" w:rsidP="00D76DC5">
            <w:pPr>
              <w:tabs>
                <w:tab w:val="center" w:pos="3348"/>
              </w:tabs>
              <w:ind w:left="-84" w:right="-99"/>
              <w:jc w:val="center"/>
              <w:rPr>
                <w:spacing w:val="-4"/>
                <w:sz w:val="18"/>
                <w:szCs w:val="18"/>
              </w:rPr>
            </w:pPr>
            <w:r w:rsidRPr="00812DAD">
              <w:rPr>
                <w:spacing w:val="-4"/>
                <w:sz w:val="18"/>
                <w:szCs w:val="18"/>
              </w:rPr>
              <w:t xml:space="preserve">Número de meses consecutivos por </w:t>
            </w:r>
            <w:r w:rsidR="008804EB">
              <w:rPr>
                <w:spacing w:val="-4"/>
                <w:sz w:val="18"/>
                <w:szCs w:val="18"/>
              </w:rPr>
              <w:br/>
            </w:r>
            <w:r w:rsidRPr="00812DAD">
              <w:rPr>
                <w:spacing w:val="-4"/>
                <w:sz w:val="18"/>
                <w:szCs w:val="18"/>
              </w:rPr>
              <w:t>arriba o por debajo</w:t>
            </w:r>
            <w:r w:rsidR="008804EB">
              <w:rPr>
                <w:spacing w:val="-4"/>
                <w:sz w:val="18"/>
                <w:szCs w:val="18"/>
              </w:rPr>
              <w:br/>
            </w:r>
            <w:r w:rsidRPr="00812DAD">
              <w:rPr>
                <w:spacing w:val="-4"/>
                <w:sz w:val="18"/>
                <w:szCs w:val="18"/>
              </w:rPr>
              <w:t xml:space="preserve"> del umbral de </w:t>
            </w:r>
            <w:r w:rsidR="008804EB">
              <w:rPr>
                <w:spacing w:val="-4"/>
                <w:sz w:val="18"/>
                <w:szCs w:val="18"/>
              </w:rPr>
              <w:br/>
            </w:r>
            <w:r w:rsidRPr="00812DAD">
              <w:rPr>
                <w:spacing w:val="-4"/>
                <w:sz w:val="18"/>
                <w:szCs w:val="18"/>
              </w:rPr>
              <w:t>50 puntos</w:t>
            </w:r>
          </w:p>
        </w:tc>
      </w:tr>
      <w:tr w:rsidR="00812DAD" w:rsidRPr="00637BEA" w14:paraId="30F2FCBB" w14:textId="77777777" w:rsidTr="00AB72B3">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9E60BE"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812DAD"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5166403" w14:textId="77777777" w:rsidR="0045475C" w:rsidRDefault="0045475C" w:rsidP="0045475C">
            <w:pPr>
              <w:ind w:left="-106" w:right="-95"/>
              <w:jc w:val="center"/>
              <w:rPr>
                <w:spacing w:val="-4"/>
                <w:sz w:val="18"/>
                <w:szCs w:val="18"/>
              </w:rPr>
            </w:pPr>
            <w:r w:rsidRPr="00812DAD">
              <w:rPr>
                <w:spacing w:val="-4"/>
                <w:sz w:val="18"/>
                <w:szCs w:val="18"/>
              </w:rPr>
              <w:t>M</w:t>
            </w:r>
            <w:r>
              <w:rPr>
                <w:spacing w:val="-4"/>
                <w:sz w:val="18"/>
                <w:szCs w:val="18"/>
              </w:rPr>
              <w:t>es</w:t>
            </w:r>
          </w:p>
          <w:p w14:paraId="470787FA" w14:textId="77777777" w:rsidR="00D36749" w:rsidRPr="00812DAD" w:rsidRDefault="0045475C" w:rsidP="0045475C">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6F86734" w14:textId="77777777" w:rsidR="003355C9" w:rsidRPr="00812DAD" w:rsidRDefault="00D36749" w:rsidP="00D36749">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39544E" w:rsidRDefault="003355C9" w:rsidP="00D76DC5">
            <w:pPr>
              <w:tabs>
                <w:tab w:val="center" w:pos="3348"/>
              </w:tabs>
              <w:ind w:left="-84" w:right="-99"/>
              <w:jc w:val="center"/>
              <w:rPr>
                <w:sz w:val="18"/>
                <w:szCs w:val="18"/>
              </w:rPr>
            </w:pPr>
          </w:p>
        </w:tc>
      </w:tr>
      <w:tr w:rsidR="00792DE4" w:rsidRPr="00892F41" w14:paraId="1D3A7F78" w14:textId="77777777" w:rsidTr="00792DE4">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7777777" w:rsidR="00792DE4" w:rsidRPr="0039544E" w:rsidRDefault="00792DE4" w:rsidP="00792DE4">
            <w:pPr>
              <w:pStyle w:val="Prrafodelista"/>
              <w:widowControl w:val="0"/>
              <w:numPr>
                <w:ilvl w:val="0"/>
                <w:numId w:val="9"/>
              </w:numPr>
              <w:spacing w:before="20" w:after="20"/>
              <w:ind w:left="323" w:hanging="266"/>
              <w:contextualSpacing/>
              <w:jc w:val="left"/>
              <w:rPr>
                <w:sz w:val="18"/>
                <w:szCs w:val="18"/>
                <w:lang w:val="es-MX"/>
              </w:rPr>
            </w:pPr>
            <w:r w:rsidRPr="0039544E">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5C59C87F" w14:textId="0DF766B0" w:rsidR="00792DE4" w:rsidRPr="00260161" w:rsidRDefault="00792DE4" w:rsidP="00244641">
            <w:pPr>
              <w:tabs>
                <w:tab w:val="decimal" w:pos="396"/>
              </w:tabs>
              <w:jc w:val="left"/>
              <w:rPr>
                <w:sz w:val="18"/>
                <w:szCs w:val="18"/>
                <w:lang w:val="es-MX" w:eastAsia="es-MX"/>
              </w:rPr>
            </w:pPr>
            <w:r>
              <w:rPr>
                <w:color w:val="000000"/>
                <w:sz w:val="18"/>
                <w:szCs w:val="18"/>
              </w:rPr>
              <w:t>39.7</w:t>
            </w:r>
          </w:p>
        </w:tc>
        <w:tc>
          <w:tcPr>
            <w:tcW w:w="534" w:type="pct"/>
            <w:tcBorders>
              <w:top w:val="single" w:sz="4" w:space="0" w:color="404040"/>
              <w:left w:val="single" w:sz="4" w:space="0" w:color="404040"/>
              <w:bottom w:val="nil"/>
              <w:right w:val="nil"/>
            </w:tcBorders>
            <w:shd w:val="clear" w:color="auto" w:fill="auto"/>
            <w:vAlign w:val="center"/>
          </w:tcPr>
          <w:p w14:paraId="7B6DA459" w14:textId="17293B64" w:rsidR="00792DE4" w:rsidRPr="00260161" w:rsidRDefault="00792DE4" w:rsidP="00244641">
            <w:pPr>
              <w:tabs>
                <w:tab w:val="left" w:pos="91"/>
                <w:tab w:val="decimal" w:pos="502"/>
              </w:tabs>
              <w:jc w:val="left"/>
              <w:rPr>
                <w:sz w:val="18"/>
                <w:szCs w:val="18"/>
              </w:rPr>
            </w:pPr>
            <w:r>
              <w:rPr>
                <w:color w:val="000000"/>
                <w:sz w:val="18"/>
                <w:szCs w:val="18"/>
              </w:rPr>
              <w:tab/>
              <w:t>(-)</w:t>
            </w:r>
            <w:r>
              <w:rPr>
                <w:color w:val="000000"/>
                <w:sz w:val="18"/>
                <w:szCs w:val="18"/>
              </w:rPr>
              <w:tab/>
              <w:t>10.4</w:t>
            </w:r>
          </w:p>
        </w:tc>
        <w:tc>
          <w:tcPr>
            <w:tcW w:w="528" w:type="pct"/>
            <w:tcBorders>
              <w:top w:val="single" w:sz="4" w:space="0" w:color="404040"/>
              <w:left w:val="nil"/>
              <w:bottom w:val="nil"/>
              <w:right w:val="single" w:sz="4" w:space="0" w:color="404040"/>
            </w:tcBorders>
            <w:shd w:val="clear" w:color="auto" w:fill="auto"/>
            <w:vAlign w:val="center"/>
          </w:tcPr>
          <w:p w14:paraId="3846DFF8" w14:textId="34E91918" w:rsidR="00792DE4" w:rsidRPr="00260161" w:rsidRDefault="00792DE4" w:rsidP="00244641">
            <w:pPr>
              <w:tabs>
                <w:tab w:val="left" w:pos="44"/>
                <w:tab w:val="decimal" w:pos="464"/>
              </w:tabs>
              <w:jc w:val="left"/>
              <w:rPr>
                <w:sz w:val="18"/>
                <w:szCs w:val="18"/>
              </w:rPr>
            </w:pPr>
            <w:r>
              <w:rPr>
                <w:color w:val="000000"/>
                <w:sz w:val="18"/>
                <w:szCs w:val="18"/>
              </w:rPr>
              <w:tab/>
              <w:t>(-)</w:t>
            </w:r>
            <w:r>
              <w:rPr>
                <w:color w:val="000000"/>
                <w:sz w:val="18"/>
                <w:szCs w:val="18"/>
              </w:rPr>
              <w:tab/>
              <w:t>13.2</w:t>
            </w:r>
          </w:p>
        </w:tc>
        <w:tc>
          <w:tcPr>
            <w:tcW w:w="343" w:type="pct"/>
            <w:tcBorders>
              <w:top w:val="nil"/>
              <w:left w:val="single" w:sz="4" w:space="0" w:color="404040"/>
              <w:bottom w:val="nil"/>
              <w:right w:val="nil"/>
            </w:tcBorders>
            <w:shd w:val="clear" w:color="auto" w:fill="auto"/>
            <w:vAlign w:val="center"/>
          </w:tcPr>
          <w:p w14:paraId="120B0DD4" w14:textId="51000C0D" w:rsidR="00792DE4" w:rsidRPr="00260161" w:rsidRDefault="00792DE4" w:rsidP="00792DE4">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4D1E4499" w14:textId="4A5AA3CF" w:rsidR="00792DE4" w:rsidRPr="00B06089" w:rsidRDefault="00792DE4" w:rsidP="00792DE4">
            <w:pPr>
              <w:rPr>
                <w:sz w:val="18"/>
                <w:szCs w:val="18"/>
              </w:rPr>
            </w:pPr>
            <w:r>
              <w:rPr>
                <w:sz w:val="18"/>
                <w:szCs w:val="18"/>
              </w:rPr>
              <w:t>Por debajo</w:t>
            </w:r>
          </w:p>
        </w:tc>
      </w:tr>
      <w:tr w:rsidR="00792DE4" w:rsidRPr="00892F41" w14:paraId="23211B31" w14:textId="77777777" w:rsidTr="00792DE4">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77777777" w:rsidR="00792DE4" w:rsidRPr="0039544E" w:rsidRDefault="00792DE4" w:rsidP="00792DE4">
            <w:pPr>
              <w:pStyle w:val="Prrafodelista"/>
              <w:widowControl w:val="0"/>
              <w:numPr>
                <w:ilvl w:val="0"/>
                <w:numId w:val="9"/>
              </w:numPr>
              <w:spacing w:before="20" w:after="20"/>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522" w:type="pct"/>
            <w:tcBorders>
              <w:top w:val="nil"/>
              <w:left w:val="single" w:sz="4" w:space="0" w:color="404040"/>
              <w:bottom w:val="nil"/>
              <w:right w:val="single" w:sz="4" w:space="0" w:color="404040"/>
            </w:tcBorders>
            <w:shd w:val="clear" w:color="auto" w:fill="auto"/>
            <w:vAlign w:val="center"/>
          </w:tcPr>
          <w:p w14:paraId="6A4C86C4" w14:textId="7C661021" w:rsidR="00792DE4" w:rsidRPr="00260161" w:rsidRDefault="00792DE4" w:rsidP="00244641">
            <w:pPr>
              <w:tabs>
                <w:tab w:val="decimal" w:pos="396"/>
              </w:tabs>
              <w:jc w:val="left"/>
              <w:rPr>
                <w:sz w:val="18"/>
                <w:szCs w:val="18"/>
              </w:rPr>
            </w:pPr>
            <w:r>
              <w:rPr>
                <w:color w:val="000000"/>
                <w:sz w:val="18"/>
                <w:szCs w:val="18"/>
              </w:rPr>
              <w:t>37.5</w:t>
            </w:r>
          </w:p>
        </w:tc>
        <w:tc>
          <w:tcPr>
            <w:tcW w:w="534" w:type="pct"/>
            <w:tcBorders>
              <w:top w:val="nil"/>
              <w:left w:val="single" w:sz="4" w:space="0" w:color="404040"/>
              <w:bottom w:val="nil"/>
              <w:right w:val="nil"/>
            </w:tcBorders>
            <w:shd w:val="clear" w:color="auto" w:fill="auto"/>
            <w:vAlign w:val="center"/>
          </w:tcPr>
          <w:p w14:paraId="14DAEFA9" w14:textId="2B4A8192" w:rsidR="00792DE4" w:rsidRPr="00260161" w:rsidRDefault="00792DE4" w:rsidP="00244641">
            <w:pPr>
              <w:tabs>
                <w:tab w:val="left" w:pos="91"/>
                <w:tab w:val="decimal" w:pos="502"/>
              </w:tabs>
              <w:jc w:val="left"/>
              <w:rPr>
                <w:sz w:val="18"/>
                <w:szCs w:val="18"/>
              </w:rPr>
            </w:pPr>
            <w:r>
              <w:rPr>
                <w:color w:val="000000"/>
                <w:sz w:val="18"/>
                <w:szCs w:val="18"/>
              </w:rPr>
              <w:tab/>
              <w:t>(-)</w:t>
            </w:r>
            <w:r>
              <w:rPr>
                <w:color w:val="000000"/>
                <w:sz w:val="18"/>
                <w:szCs w:val="18"/>
              </w:rPr>
              <w:tab/>
              <w:t>8.0</w:t>
            </w:r>
          </w:p>
        </w:tc>
        <w:tc>
          <w:tcPr>
            <w:tcW w:w="528" w:type="pct"/>
            <w:tcBorders>
              <w:top w:val="nil"/>
              <w:left w:val="nil"/>
              <w:bottom w:val="nil"/>
              <w:right w:val="single" w:sz="4" w:space="0" w:color="404040"/>
            </w:tcBorders>
            <w:shd w:val="clear" w:color="auto" w:fill="auto"/>
            <w:vAlign w:val="center"/>
          </w:tcPr>
          <w:p w14:paraId="2E28F3CC" w14:textId="59168796" w:rsidR="00792DE4" w:rsidRPr="00260161" w:rsidRDefault="00792DE4" w:rsidP="00244641">
            <w:pPr>
              <w:tabs>
                <w:tab w:val="left" w:pos="44"/>
                <w:tab w:val="decimal" w:pos="464"/>
              </w:tabs>
              <w:jc w:val="left"/>
              <w:rPr>
                <w:sz w:val="18"/>
                <w:szCs w:val="18"/>
              </w:rPr>
            </w:pPr>
            <w:r>
              <w:rPr>
                <w:color w:val="000000"/>
                <w:sz w:val="18"/>
                <w:szCs w:val="18"/>
              </w:rPr>
              <w:tab/>
              <w:t>(-)</w:t>
            </w:r>
            <w:r>
              <w:rPr>
                <w:color w:val="000000"/>
                <w:sz w:val="18"/>
                <w:szCs w:val="18"/>
              </w:rPr>
              <w:tab/>
              <w:t>14.0</w:t>
            </w:r>
          </w:p>
        </w:tc>
        <w:tc>
          <w:tcPr>
            <w:tcW w:w="343" w:type="pct"/>
            <w:tcBorders>
              <w:top w:val="nil"/>
              <w:left w:val="single" w:sz="4" w:space="0" w:color="404040"/>
              <w:bottom w:val="nil"/>
              <w:right w:val="nil"/>
            </w:tcBorders>
            <w:shd w:val="clear" w:color="auto" w:fill="auto"/>
            <w:vAlign w:val="center"/>
          </w:tcPr>
          <w:p w14:paraId="741DA4EF" w14:textId="5E56C013" w:rsidR="00792DE4" w:rsidRPr="00260161" w:rsidRDefault="00792DE4" w:rsidP="00792DE4">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304D5E22" w14:textId="67BB76BB" w:rsidR="00792DE4" w:rsidRPr="00B06089" w:rsidRDefault="00792DE4" w:rsidP="00792DE4">
            <w:pPr>
              <w:rPr>
                <w:sz w:val="18"/>
                <w:szCs w:val="18"/>
              </w:rPr>
            </w:pPr>
            <w:r w:rsidRPr="00B06089">
              <w:rPr>
                <w:sz w:val="18"/>
                <w:szCs w:val="18"/>
              </w:rPr>
              <w:t xml:space="preserve">Por </w:t>
            </w:r>
            <w:r>
              <w:rPr>
                <w:sz w:val="18"/>
                <w:szCs w:val="18"/>
              </w:rPr>
              <w:t>debajo</w:t>
            </w:r>
          </w:p>
        </w:tc>
      </w:tr>
      <w:tr w:rsidR="00792DE4" w:rsidRPr="00892F41" w14:paraId="1E114D5A" w14:textId="77777777" w:rsidTr="00792DE4">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77777777" w:rsidR="00792DE4" w:rsidRPr="0039544E" w:rsidRDefault="00792DE4" w:rsidP="00792DE4">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 xml:space="preserve">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51691CF9" w:rsidR="00792DE4" w:rsidRPr="00260161" w:rsidRDefault="00792DE4" w:rsidP="00244641">
            <w:pPr>
              <w:tabs>
                <w:tab w:val="decimal" w:pos="396"/>
              </w:tabs>
              <w:jc w:val="left"/>
              <w:rPr>
                <w:sz w:val="18"/>
                <w:szCs w:val="18"/>
              </w:rPr>
            </w:pPr>
            <w:r>
              <w:rPr>
                <w:color w:val="000000"/>
                <w:sz w:val="18"/>
                <w:szCs w:val="18"/>
              </w:rPr>
              <w:t>39.7</w:t>
            </w:r>
          </w:p>
        </w:tc>
        <w:tc>
          <w:tcPr>
            <w:tcW w:w="534" w:type="pct"/>
            <w:tcBorders>
              <w:top w:val="nil"/>
              <w:left w:val="single" w:sz="4" w:space="0" w:color="404040"/>
              <w:bottom w:val="nil"/>
              <w:right w:val="nil"/>
            </w:tcBorders>
            <w:shd w:val="clear" w:color="auto" w:fill="auto"/>
            <w:vAlign w:val="center"/>
          </w:tcPr>
          <w:p w14:paraId="210884AC" w14:textId="03F2C3D9" w:rsidR="00792DE4" w:rsidRPr="00260161" w:rsidRDefault="00792DE4" w:rsidP="00244641">
            <w:pPr>
              <w:tabs>
                <w:tab w:val="left" w:pos="91"/>
                <w:tab w:val="decimal" w:pos="502"/>
              </w:tabs>
              <w:jc w:val="left"/>
              <w:rPr>
                <w:sz w:val="18"/>
                <w:szCs w:val="18"/>
              </w:rPr>
            </w:pPr>
            <w:r>
              <w:rPr>
                <w:color w:val="000000"/>
                <w:sz w:val="18"/>
                <w:szCs w:val="18"/>
              </w:rPr>
              <w:tab/>
              <w:t>(-)</w:t>
            </w:r>
            <w:r>
              <w:rPr>
                <w:color w:val="000000"/>
                <w:sz w:val="18"/>
                <w:szCs w:val="18"/>
              </w:rPr>
              <w:tab/>
              <w:t>6.5</w:t>
            </w:r>
          </w:p>
        </w:tc>
        <w:tc>
          <w:tcPr>
            <w:tcW w:w="528" w:type="pct"/>
            <w:tcBorders>
              <w:top w:val="nil"/>
              <w:left w:val="nil"/>
              <w:bottom w:val="nil"/>
              <w:right w:val="single" w:sz="4" w:space="0" w:color="404040"/>
            </w:tcBorders>
            <w:shd w:val="clear" w:color="auto" w:fill="auto"/>
            <w:vAlign w:val="center"/>
          </w:tcPr>
          <w:p w14:paraId="5ED66C76" w14:textId="7F1DB5C0" w:rsidR="00792DE4" w:rsidRPr="00260161" w:rsidRDefault="00792DE4" w:rsidP="00244641">
            <w:pPr>
              <w:tabs>
                <w:tab w:val="left" w:pos="44"/>
                <w:tab w:val="decimal" w:pos="464"/>
              </w:tabs>
              <w:jc w:val="left"/>
              <w:rPr>
                <w:sz w:val="18"/>
                <w:szCs w:val="18"/>
              </w:rPr>
            </w:pPr>
            <w:r>
              <w:rPr>
                <w:color w:val="000000"/>
                <w:sz w:val="18"/>
                <w:szCs w:val="18"/>
              </w:rPr>
              <w:tab/>
              <w:t>(-)</w:t>
            </w:r>
            <w:r>
              <w:rPr>
                <w:color w:val="000000"/>
                <w:sz w:val="18"/>
                <w:szCs w:val="18"/>
              </w:rPr>
              <w:tab/>
              <w:t>11.1</w:t>
            </w:r>
          </w:p>
        </w:tc>
        <w:tc>
          <w:tcPr>
            <w:tcW w:w="343" w:type="pct"/>
            <w:tcBorders>
              <w:top w:val="nil"/>
              <w:left w:val="single" w:sz="4" w:space="0" w:color="404040"/>
              <w:bottom w:val="nil"/>
              <w:right w:val="nil"/>
            </w:tcBorders>
            <w:shd w:val="clear" w:color="auto" w:fill="auto"/>
            <w:vAlign w:val="center"/>
          </w:tcPr>
          <w:p w14:paraId="630BCAA0" w14:textId="43E06133" w:rsidR="00792DE4" w:rsidRPr="00260161" w:rsidRDefault="00792DE4" w:rsidP="00792DE4">
            <w:pPr>
              <w:jc w:val="right"/>
              <w:rPr>
                <w:sz w:val="18"/>
                <w:szCs w:val="18"/>
              </w:rPr>
            </w:pPr>
            <w:r>
              <w:rPr>
                <w:sz w:val="18"/>
                <w:szCs w:val="18"/>
              </w:rPr>
              <w:t>4</w:t>
            </w:r>
          </w:p>
        </w:tc>
        <w:tc>
          <w:tcPr>
            <w:tcW w:w="643" w:type="pct"/>
            <w:tcBorders>
              <w:top w:val="nil"/>
              <w:left w:val="nil"/>
              <w:bottom w:val="nil"/>
              <w:right w:val="single" w:sz="4" w:space="0" w:color="404040"/>
            </w:tcBorders>
            <w:shd w:val="clear" w:color="auto" w:fill="auto"/>
            <w:vAlign w:val="center"/>
          </w:tcPr>
          <w:p w14:paraId="56693B35" w14:textId="6FBE0052" w:rsidR="00792DE4" w:rsidRPr="00B06089" w:rsidRDefault="00792DE4" w:rsidP="00792DE4">
            <w:pPr>
              <w:rPr>
                <w:sz w:val="18"/>
                <w:szCs w:val="18"/>
              </w:rPr>
            </w:pPr>
            <w:r w:rsidRPr="00B06089">
              <w:rPr>
                <w:sz w:val="18"/>
                <w:szCs w:val="18"/>
              </w:rPr>
              <w:t xml:space="preserve">Por </w:t>
            </w:r>
            <w:r>
              <w:rPr>
                <w:sz w:val="18"/>
                <w:szCs w:val="18"/>
              </w:rPr>
              <w:t>debajo</w:t>
            </w:r>
          </w:p>
        </w:tc>
      </w:tr>
      <w:tr w:rsidR="00792DE4" w:rsidRPr="00892F41" w14:paraId="6103F29C" w14:textId="77777777" w:rsidTr="00792DE4">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77777777" w:rsidR="00792DE4" w:rsidRPr="0039544E" w:rsidRDefault="00792DE4" w:rsidP="00792DE4">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5D08C026" w:rsidR="00792DE4" w:rsidRPr="00260161" w:rsidRDefault="00792DE4" w:rsidP="00244641">
            <w:pPr>
              <w:tabs>
                <w:tab w:val="decimal" w:pos="396"/>
              </w:tabs>
              <w:jc w:val="left"/>
              <w:rPr>
                <w:sz w:val="18"/>
                <w:szCs w:val="18"/>
              </w:rPr>
            </w:pPr>
            <w:r>
              <w:rPr>
                <w:color w:val="000000"/>
                <w:sz w:val="18"/>
                <w:szCs w:val="18"/>
              </w:rPr>
              <w:t>36.3</w:t>
            </w:r>
          </w:p>
        </w:tc>
        <w:tc>
          <w:tcPr>
            <w:tcW w:w="534" w:type="pct"/>
            <w:tcBorders>
              <w:top w:val="nil"/>
              <w:left w:val="single" w:sz="4" w:space="0" w:color="404040"/>
              <w:bottom w:val="nil"/>
              <w:right w:val="nil"/>
            </w:tcBorders>
            <w:shd w:val="clear" w:color="auto" w:fill="auto"/>
            <w:vAlign w:val="center"/>
          </w:tcPr>
          <w:p w14:paraId="334AA22E" w14:textId="740056DA" w:rsidR="00792DE4" w:rsidRPr="00260161" w:rsidRDefault="00792DE4" w:rsidP="00244641">
            <w:pPr>
              <w:tabs>
                <w:tab w:val="left" w:pos="91"/>
                <w:tab w:val="decimal" w:pos="502"/>
              </w:tabs>
              <w:jc w:val="left"/>
              <w:rPr>
                <w:sz w:val="18"/>
                <w:szCs w:val="18"/>
              </w:rPr>
            </w:pPr>
            <w:r>
              <w:rPr>
                <w:color w:val="000000"/>
                <w:sz w:val="18"/>
                <w:szCs w:val="18"/>
              </w:rPr>
              <w:tab/>
              <w:t>(-)</w:t>
            </w:r>
            <w:r>
              <w:rPr>
                <w:color w:val="000000"/>
                <w:sz w:val="18"/>
                <w:szCs w:val="18"/>
              </w:rPr>
              <w:tab/>
              <w:t>9.3</w:t>
            </w:r>
          </w:p>
        </w:tc>
        <w:tc>
          <w:tcPr>
            <w:tcW w:w="528" w:type="pct"/>
            <w:tcBorders>
              <w:top w:val="nil"/>
              <w:left w:val="nil"/>
              <w:bottom w:val="nil"/>
              <w:right w:val="single" w:sz="4" w:space="0" w:color="404040"/>
            </w:tcBorders>
            <w:shd w:val="clear" w:color="auto" w:fill="auto"/>
            <w:vAlign w:val="center"/>
          </w:tcPr>
          <w:p w14:paraId="513C9A1F" w14:textId="3D333E1E" w:rsidR="00792DE4" w:rsidRPr="00260161" w:rsidRDefault="00792DE4" w:rsidP="00244641">
            <w:pPr>
              <w:tabs>
                <w:tab w:val="left" w:pos="44"/>
                <w:tab w:val="decimal" w:pos="464"/>
              </w:tabs>
              <w:jc w:val="left"/>
              <w:rPr>
                <w:sz w:val="18"/>
                <w:szCs w:val="18"/>
              </w:rPr>
            </w:pPr>
            <w:r>
              <w:rPr>
                <w:color w:val="000000"/>
                <w:sz w:val="18"/>
                <w:szCs w:val="18"/>
              </w:rPr>
              <w:tab/>
              <w:t>(-)</w:t>
            </w:r>
            <w:r>
              <w:rPr>
                <w:color w:val="000000"/>
                <w:sz w:val="18"/>
                <w:szCs w:val="18"/>
              </w:rPr>
              <w:tab/>
              <w:t>16.8</w:t>
            </w:r>
          </w:p>
        </w:tc>
        <w:tc>
          <w:tcPr>
            <w:tcW w:w="343" w:type="pct"/>
            <w:tcBorders>
              <w:top w:val="nil"/>
              <w:left w:val="single" w:sz="4" w:space="0" w:color="404040"/>
              <w:bottom w:val="nil"/>
              <w:right w:val="nil"/>
            </w:tcBorders>
            <w:shd w:val="clear" w:color="auto" w:fill="auto"/>
            <w:vAlign w:val="center"/>
          </w:tcPr>
          <w:p w14:paraId="1CF1882E" w14:textId="4FCA42A5" w:rsidR="00792DE4" w:rsidRPr="00260161" w:rsidRDefault="00792DE4" w:rsidP="00792DE4">
            <w:pPr>
              <w:jc w:val="right"/>
              <w:rPr>
                <w:sz w:val="18"/>
                <w:szCs w:val="18"/>
              </w:rPr>
            </w:pPr>
            <w:r>
              <w:rPr>
                <w:sz w:val="18"/>
                <w:szCs w:val="18"/>
              </w:rPr>
              <w:t>4</w:t>
            </w:r>
          </w:p>
        </w:tc>
        <w:tc>
          <w:tcPr>
            <w:tcW w:w="643" w:type="pct"/>
            <w:tcBorders>
              <w:top w:val="nil"/>
              <w:left w:val="nil"/>
              <w:bottom w:val="nil"/>
              <w:right w:val="single" w:sz="4" w:space="0" w:color="404040"/>
            </w:tcBorders>
            <w:shd w:val="clear" w:color="auto" w:fill="auto"/>
            <w:vAlign w:val="center"/>
          </w:tcPr>
          <w:p w14:paraId="79021C48" w14:textId="77777777" w:rsidR="00792DE4" w:rsidRPr="00B06089" w:rsidRDefault="00792DE4" w:rsidP="00792DE4">
            <w:pPr>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792DE4" w:rsidRPr="00892F41" w14:paraId="35E17B0C" w14:textId="77777777" w:rsidTr="00792DE4">
        <w:trPr>
          <w:jc w:val="center"/>
        </w:trPr>
        <w:tc>
          <w:tcPr>
            <w:tcW w:w="2430" w:type="pct"/>
            <w:tcBorders>
              <w:top w:val="nil"/>
              <w:left w:val="single" w:sz="4" w:space="0" w:color="404040"/>
              <w:bottom w:val="nil"/>
              <w:right w:val="single" w:sz="4" w:space="0" w:color="404040"/>
            </w:tcBorders>
            <w:shd w:val="clear" w:color="auto" w:fill="auto"/>
            <w:vAlign w:val="bottom"/>
          </w:tcPr>
          <w:p w14:paraId="6F7F3FA2" w14:textId="77777777" w:rsidR="00792DE4" w:rsidRPr="0039544E" w:rsidRDefault="00792DE4" w:rsidP="00792DE4">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522" w:type="pct"/>
            <w:tcBorders>
              <w:top w:val="nil"/>
              <w:left w:val="single" w:sz="4" w:space="0" w:color="404040"/>
              <w:bottom w:val="nil"/>
              <w:right w:val="single" w:sz="4" w:space="0" w:color="404040"/>
            </w:tcBorders>
            <w:shd w:val="clear" w:color="auto" w:fill="auto"/>
            <w:vAlign w:val="center"/>
          </w:tcPr>
          <w:p w14:paraId="7FB91871" w14:textId="1E829DE2" w:rsidR="00792DE4" w:rsidRPr="00260161" w:rsidRDefault="00792DE4" w:rsidP="00244641">
            <w:pPr>
              <w:tabs>
                <w:tab w:val="decimal" w:pos="396"/>
              </w:tabs>
              <w:jc w:val="left"/>
              <w:rPr>
                <w:sz w:val="18"/>
                <w:szCs w:val="18"/>
              </w:rPr>
            </w:pPr>
            <w:r>
              <w:rPr>
                <w:color w:val="000000"/>
                <w:sz w:val="18"/>
                <w:szCs w:val="18"/>
              </w:rPr>
              <w:t>46.2</w:t>
            </w:r>
          </w:p>
        </w:tc>
        <w:tc>
          <w:tcPr>
            <w:tcW w:w="534" w:type="pct"/>
            <w:tcBorders>
              <w:top w:val="nil"/>
              <w:left w:val="single" w:sz="4" w:space="0" w:color="404040"/>
              <w:bottom w:val="nil"/>
              <w:right w:val="nil"/>
            </w:tcBorders>
            <w:shd w:val="clear" w:color="auto" w:fill="auto"/>
            <w:vAlign w:val="center"/>
          </w:tcPr>
          <w:p w14:paraId="7AEBAB25" w14:textId="28DDDAF2" w:rsidR="00792DE4" w:rsidRPr="00260161" w:rsidRDefault="00792DE4" w:rsidP="00244641">
            <w:pPr>
              <w:tabs>
                <w:tab w:val="left" w:pos="91"/>
                <w:tab w:val="decimal" w:pos="502"/>
              </w:tabs>
              <w:jc w:val="left"/>
              <w:rPr>
                <w:sz w:val="18"/>
                <w:szCs w:val="18"/>
              </w:rPr>
            </w:pPr>
            <w:r>
              <w:rPr>
                <w:color w:val="000000"/>
                <w:sz w:val="18"/>
                <w:szCs w:val="18"/>
              </w:rPr>
              <w:tab/>
              <w:t>(-)</w:t>
            </w:r>
            <w:r>
              <w:rPr>
                <w:color w:val="000000"/>
                <w:sz w:val="18"/>
                <w:szCs w:val="18"/>
              </w:rPr>
              <w:tab/>
              <w:t>2.0</w:t>
            </w:r>
          </w:p>
        </w:tc>
        <w:tc>
          <w:tcPr>
            <w:tcW w:w="528" w:type="pct"/>
            <w:tcBorders>
              <w:top w:val="nil"/>
              <w:left w:val="nil"/>
              <w:bottom w:val="nil"/>
              <w:right w:val="single" w:sz="4" w:space="0" w:color="404040"/>
            </w:tcBorders>
            <w:shd w:val="clear" w:color="auto" w:fill="auto"/>
            <w:vAlign w:val="center"/>
          </w:tcPr>
          <w:p w14:paraId="3E11B3A3" w14:textId="47E2654B" w:rsidR="00792DE4" w:rsidRPr="00260161" w:rsidRDefault="00792DE4" w:rsidP="00244641">
            <w:pPr>
              <w:tabs>
                <w:tab w:val="left" w:pos="44"/>
                <w:tab w:val="decimal" w:pos="464"/>
              </w:tabs>
              <w:jc w:val="left"/>
              <w:rPr>
                <w:sz w:val="18"/>
                <w:szCs w:val="18"/>
              </w:rPr>
            </w:pPr>
            <w:r>
              <w:rPr>
                <w:color w:val="000000"/>
                <w:sz w:val="18"/>
                <w:szCs w:val="18"/>
              </w:rPr>
              <w:tab/>
              <w:t>(-)</w:t>
            </w:r>
            <w:r>
              <w:rPr>
                <w:color w:val="000000"/>
                <w:sz w:val="18"/>
                <w:szCs w:val="18"/>
              </w:rPr>
              <w:tab/>
              <w:t>4.0</w:t>
            </w:r>
          </w:p>
        </w:tc>
        <w:tc>
          <w:tcPr>
            <w:tcW w:w="343" w:type="pct"/>
            <w:tcBorders>
              <w:top w:val="nil"/>
              <w:left w:val="single" w:sz="4" w:space="0" w:color="404040"/>
              <w:bottom w:val="nil"/>
              <w:right w:val="nil"/>
            </w:tcBorders>
            <w:shd w:val="clear" w:color="auto" w:fill="auto"/>
            <w:vAlign w:val="center"/>
          </w:tcPr>
          <w:p w14:paraId="48253E2B" w14:textId="437E3411" w:rsidR="00792DE4" w:rsidRPr="00260161" w:rsidRDefault="00792DE4" w:rsidP="00792DE4">
            <w:pPr>
              <w:jc w:val="right"/>
              <w:rPr>
                <w:sz w:val="18"/>
                <w:szCs w:val="18"/>
              </w:rPr>
            </w:pPr>
            <w:r>
              <w:rPr>
                <w:sz w:val="18"/>
                <w:szCs w:val="18"/>
              </w:rPr>
              <w:t>6</w:t>
            </w:r>
          </w:p>
        </w:tc>
        <w:tc>
          <w:tcPr>
            <w:tcW w:w="643" w:type="pct"/>
            <w:tcBorders>
              <w:top w:val="nil"/>
              <w:left w:val="nil"/>
              <w:bottom w:val="nil"/>
              <w:right w:val="single" w:sz="4" w:space="0" w:color="404040"/>
            </w:tcBorders>
            <w:shd w:val="clear" w:color="auto" w:fill="auto"/>
            <w:vAlign w:val="center"/>
          </w:tcPr>
          <w:p w14:paraId="57CEDC2C" w14:textId="77777777" w:rsidR="00792DE4" w:rsidRPr="00B06089" w:rsidRDefault="00792DE4" w:rsidP="00792DE4">
            <w:pPr>
              <w:rPr>
                <w:sz w:val="18"/>
                <w:szCs w:val="18"/>
              </w:rPr>
            </w:pPr>
            <w:r w:rsidRPr="00B06089">
              <w:rPr>
                <w:sz w:val="18"/>
                <w:szCs w:val="18"/>
              </w:rPr>
              <w:t xml:space="preserve">Por </w:t>
            </w:r>
            <w:r>
              <w:rPr>
                <w:sz w:val="18"/>
                <w:szCs w:val="18"/>
              </w:rPr>
              <w:t>debajo</w:t>
            </w:r>
          </w:p>
        </w:tc>
      </w:tr>
      <w:tr w:rsidR="00792DE4" w:rsidRPr="000123F8" w14:paraId="5FC26CB9" w14:textId="77777777" w:rsidTr="00792DE4">
        <w:trPr>
          <w:jc w:val="center"/>
        </w:trPr>
        <w:tc>
          <w:tcPr>
            <w:tcW w:w="2430" w:type="pct"/>
            <w:tcBorders>
              <w:top w:val="nil"/>
              <w:left w:val="single" w:sz="4" w:space="0" w:color="404040"/>
              <w:bottom w:val="nil"/>
              <w:right w:val="single" w:sz="4" w:space="0" w:color="404040"/>
            </w:tcBorders>
            <w:shd w:val="clear" w:color="auto" w:fill="auto"/>
          </w:tcPr>
          <w:p w14:paraId="263A46E4" w14:textId="77777777" w:rsidR="00792DE4" w:rsidRPr="0039544E" w:rsidRDefault="00792DE4" w:rsidP="00792DE4">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14:paraId="24BE4FE7" w14:textId="1416CC71" w:rsidR="00792DE4" w:rsidRPr="00260161" w:rsidRDefault="00792DE4" w:rsidP="00244641">
            <w:pPr>
              <w:tabs>
                <w:tab w:val="decimal" w:pos="396"/>
              </w:tabs>
              <w:jc w:val="left"/>
              <w:rPr>
                <w:sz w:val="18"/>
                <w:szCs w:val="18"/>
              </w:rPr>
            </w:pPr>
            <w:r>
              <w:rPr>
                <w:color w:val="000000"/>
                <w:sz w:val="18"/>
                <w:szCs w:val="18"/>
              </w:rPr>
              <w:t>46.8</w:t>
            </w:r>
          </w:p>
        </w:tc>
        <w:tc>
          <w:tcPr>
            <w:tcW w:w="534" w:type="pct"/>
            <w:tcBorders>
              <w:top w:val="nil"/>
              <w:left w:val="single" w:sz="4" w:space="0" w:color="404040"/>
              <w:bottom w:val="nil"/>
              <w:right w:val="nil"/>
            </w:tcBorders>
            <w:shd w:val="clear" w:color="auto" w:fill="auto"/>
            <w:vAlign w:val="center"/>
          </w:tcPr>
          <w:p w14:paraId="340C17CD" w14:textId="7442600B" w:rsidR="00792DE4" w:rsidRPr="00260161" w:rsidRDefault="00792DE4" w:rsidP="00244641">
            <w:pPr>
              <w:tabs>
                <w:tab w:val="left" w:pos="91"/>
                <w:tab w:val="decimal" w:pos="502"/>
              </w:tabs>
              <w:jc w:val="left"/>
              <w:rPr>
                <w:sz w:val="18"/>
                <w:szCs w:val="18"/>
              </w:rPr>
            </w:pPr>
            <w:r>
              <w:rPr>
                <w:color w:val="000000"/>
                <w:sz w:val="18"/>
                <w:szCs w:val="18"/>
              </w:rPr>
              <w:tab/>
              <w:t>(-)</w:t>
            </w:r>
            <w:r>
              <w:rPr>
                <w:color w:val="000000"/>
                <w:sz w:val="18"/>
                <w:szCs w:val="18"/>
              </w:rPr>
              <w:tab/>
              <w:t>4.2</w:t>
            </w:r>
          </w:p>
        </w:tc>
        <w:tc>
          <w:tcPr>
            <w:tcW w:w="528" w:type="pct"/>
            <w:tcBorders>
              <w:top w:val="nil"/>
              <w:left w:val="nil"/>
              <w:bottom w:val="nil"/>
              <w:right w:val="single" w:sz="4" w:space="0" w:color="404040"/>
            </w:tcBorders>
            <w:shd w:val="clear" w:color="auto" w:fill="auto"/>
            <w:vAlign w:val="center"/>
          </w:tcPr>
          <w:p w14:paraId="4EF9E6DE" w14:textId="04786ABF" w:rsidR="00792DE4" w:rsidRPr="00260161" w:rsidRDefault="00792DE4" w:rsidP="00244641">
            <w:pPr>
              <w:tabs>
                <w:tab w:val="left" w:pos="44"/>
                <w:tab w:val="decimal" w:pos="464"/>
              </w:tabs>
              <w:jc w:val="left"/>
              <w:rPr>
                <w:sz w:val="18"/>
                <w:szCs w:val="18"/>
              </w:rPr>
            </w:pPr>
            <w:r>
              <w:rPr>
                <w:color w:val="000000"/>
                <w:sz w:val="18"/>
                <w:szCs w:val="18"/>
              </w:rPr>
              <w:tab/>
              <w:t>(-)</w:t>
            </w:r>
            <w:r>
              <w:rPr>
                <w:color w:val="000000"/>
                <w:sz w:val="18"/>
                <w:szCs w:val="18"/>
              </w:rPr>
              <w:tab/>
              <w:t>5.4</w:t>
            </w:r>
          </w:p>
        </w:tc>
        <w:tc>
          <w:tcPr>
            <w:tcW w:w="343" w:type="pct"/>
            <w:tcBorders>
              <w:top w:val="nil"/>
              <w:left w:val="single" w:sz="4" w:space="0" w:color="404040"/>
              <w:bottom w:val="nil"/>
              <w:right w:val="nil"/>
            </w:tcBorders>
            <w:shd w:val="clear" w:color="auto" w:fill="auto"/>
            <w:vAlign w:val="center"/>
          </w:tcPr>
          <w:p w14:paraId="641AB2DB" w14:textId="5651CC85" w:rsidR="00792DE4" w:rsidRPr="00260161" w:rsidRDefault="00792DE4" w:rsidP="00792DE4">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6F4C5E16" w14:textId="6BA99B59" w:rsidR="00792DE4" w:rsidRPr="00B06089" w:rsidRDefault="00792DE4" w:rsidP="00792DE4">
            <w:pPr>
              <w:rPr>
                <w:sz w:val="18"/>
                <w:szCs w:val="18"/>
              </w:rPr>
            </w:pPr>
            <w:r w:rsidRPr="00B06089">
              <w:rPr>
                <w:sz w:val="18"/>
                <w:szCs w:val="18"/>
              </w:rPr>
              <w:t xml:space="preserve">Por </w:t>
            </w:r>
            <w:r>
              <w:rPr>
                <w:sz w:val="18"/>
                <w:szCs w:val="18"/>
              </w:rPr>
              <w:t>debajo</w:t>
            </w:r>
          </w:p>
        </w:tc>
      </w:tr>
      <w:tr w:rsidR="00792DE4" w:rsidRPr="000123F8" w14:paraId="6189F6A4" w14:textId="77777777" w:rsidTr="00792DE4">
        <w:trPr>
          <w:trHeight w:val="70"/>
          <w:jc w:val="center"/>
        </w:trPr>
        <w:tc>
          <w:tcPr>
            <w:tcW w:w="2430" w:type="pct"/>
            <w:tcBorders>
              <w:top w:val="nil"/>
              <w:left w:val="single" w:sz="4" w:space="0" w:color="404040"/>
              <w:bottom w:val="nil"/>
              <w:right w:val="single" w:sz="4" w:space="0" w:color="404040"/>
            </w:tcBorders>
            <w:shd w:val="clear" w:color="auto" w:fill="auto"/>
          </w:tcPr>
          <w:p w14:paraId="40D1E36D" w14:textId="77777777" w:rsidR="00792DE4" w:rsidRPr="0039544E" w:rsidRDefault="00792DE4" w:rsidP="00792DE4">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14:paraId="4F0EADDB" w14:textId="77D28A39" w:rsidR="00792DE4" w:rsidRPr="00260161" w:rsidRDefault="00792DE4" w:rsidP="00244641">
            <w:pPr>
              <w:tabs>
                <w:tab w:val="decimal" w:pos="396"/>
              </w:tabs>
              <w:jc w:val="left"/>
              <w:rPr>
                <w:sz w:val="18"/>
                <w:szCs w:val="18"/>
              </w:rPr>
            </w:pPr>
            <w:r>
              <w:rPr>
                <w:color w:val="000000"/>
                <w:sz w:val="18"/>
                <w:szCs w:val="18"/>
              </w:rPr>
              <w:t>46.0</w:t>
            </w:r>
          </w:p>
        </w:tc>
        <w:tc>
          <w:tcPr>
            <w:tcW w:w="534" w:type="pct"/>
            <w:tcBorders>
              <w:top w:val="nil"/>
              <w:left w:val="single" w:sz="4" w:space="0" w:color="404040"/>
              <w:bottom w:val="nil"/>
              <w:right w:val="nil"/>
            </w:tcBorders>
            <w:shd w:val="clear" w:color="auto" w:fill="auto"/>
            <w:vAlign w:val="center"/>
          </w:tcPr>
          <w:p w14:paraId="01307B8F" w14:textId="1786725A" w:rsidR="00792DE4" w:rsidRPr="00260161" w:rsidRDefault="00792DE4" w:rsidP="00244641">
            <w:pPr>
              <w:tabs>
                <w:tab w:val="left" w:pos="91"/>
                <w:tab w:val="decimal" w:pos="502"/>
              </w:tabs>
              <w:jc w:val="left"/>
              <w:rPr>
                <w:sz w:val="18"/>
                <w:szCs w:val="18"/>
              </w:rPr>
            </w:pPr>
            <w:r>
              <w:rPr>
                <w:color w:val="000000"/>
                <w:sz w:val="18"/>
                <w:szCs w:val="18"/>
              </w:rPr>
              <w:tab/>
              <w:t>(-)</w:t>
            </w:r>
            <w:r>
              <w:rPr>
                <w:color w:val="000000"/>
                <w:sz w:val="18"/>
                <w:szCs w:val="18"/>
              </w:rPr>
              <w:tab/>
              <w:t>3.7</w:t>
            </w:r>
          </w:p>
        </w:tc>
        <w:tc>
          <w:tcPr>
            <w:tcW w:w="528" w:type="pct"/>
            <w:tcBorders>
              <w:top w:val="nil"/>
              <w:left w:val="nil"/>
              <w:bottom w:val="nil"/>
              <w:right w:val="single" w:sz="4" w:space="0" w:color="404040"/>
            </w:tcBorders>
            <w:shd w:val="clear" w:color="auto" w:fill="auto"/>
            <w:vAlign w:val="center"/>
          </w:tcPr>
          <w:p w14:paraId="3C00DDFD" w14:textId="20C66C45" w:rsidR="00792DE4" w:rsidRPr="00260161" w:rsidRDefault="00792DE4" w:rsidP="00244641">
            <w:pPr>
              <w:tabs>
                <w:tab w:val="left" w:pos="44"/>
                <w:tab w:val="decimal" w:pos="464"/>
              </w:tabs>
              <w:jc w:val="left"/>
              <w:rPr>
                <w:sz w:val="18"/>
                <w:szCs w:val="18"/>
              </w:rPr>
            </w:pPr>
            <w:r>
              <w:rPr>
                <w:color w:val="000000"/>
                <w:sz w:val="18"/>
                <w:szCs w:val="18"/>
              </w:rPr>
              <w:tab/>
              <w:t>(-)</w:t>
            </w:r>
            <w:r>
              <w:rPr>
                <w:color w:val="000000"/>
                <w:sz w:val="18"/>
                <w:szCs w:val="18"/>
              </w:rPr>
              <w:tab/>
              <w:t>4.8</w:t>
            </w:r>
          </w:p>
        </w:tc>
        <w:tc>
          <w:tcPr>
            <w:tcW w:w="343" w:type="pct"/>
            <w:tcBorders>
              <w:top w:val="nil"/>
              <w:left w:val="single" w:sz="4" w:space="0" w:color="404040"/>
              <w:bottom w:val="nil"/>
              <w:right w:val="nil"/>
            </w:tcBorders>
            <w:shd w:val="clear" w:color="auto" w:fill="auto"/>
            <w:vAlign w:val="center"/>
          </w:tcPr>
          <w:p w14:paraId="0850FFDE" w14:textId="0429EE76" w:rsidR="00792DE4" w:rsidRPr="00260161" w:rsidRDefault="00792DE4" w:rsidP="00792DE4">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26749522" w14:textId="41B38C44" w:rsidR="00792DE4" w:rsidRPr="00B06089" w:rsidRDefault="00792DE4" w:rsidP="00792DE4">
            <w:pPr>
              <w:rPr>
                <w:sz w:val="18"/>
                <w:szCs w:val="18"/>
              </w:rPr>
            </w:pPr>
            <w:r>
              <w:rPr>
                <w:sz w:val="18"/>
                <w:szCs w:val="18"/>
              </w:rPr>
              <w:t>Por debajo</w:t>
            </w:r>
          </w:p>
        </w:tc>
      </w:tr>
      <w:tr w:rsidR="00792DE4" w:rsidRPr="000123F8" w14:paraId="6FCC8027" w14:textId="77777777" w:rsidTr="00792DE4">
        <w:trPr>
          <w:jc w:val="center"/>
        </w:trPr>
        <w:tc>
          <w:tcPr>
            <w:tcW w:w="2430" w:type="pct"/>
            <w:tcBorders>
              <w:top w:val="nil"/>
              <w:left w:val="single" w:sz="4" w:space="0" w:color="404040"/>
              <w:bottom w:val="nil"/>
              <w:right w:val="single" w:sz="4" w:space="0" w:color="404040"/>
            </w:tcBorders>
            <w:shd w:val="clear" w:color="auto" w:fill="auto"/>
          </w:tcPr>
          <w:p w14:paraId="04C7E1C0" w14:textId="77777777" w:rsidR="00792DE4" w:rsidRPr="0039544E" w:rsidRDefault="00792DE4" w:rsidP="00792DE4">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14:paraId="032C3302" w14:textId="2A39395A" w:rsidR="00792DE4" w:rsidRPr="00260161" w:rsidRDefault="00792DE4" w:rsidP="00244641">
            <w:pPr>
              <w:tabs>
                <w:tab w:val="decimal" w:pos="396"/>
              </w:tabs>
              <w:jc w:val="left"/>
              <w:rPr>
                <w:sz w:val="18"/>
                <w:szCs w:val="18"/>
              </w:rPr>
            </w:pPr>
            <w:r>
              <w:rPr>
                <w:color w:val="000000"/>
                <w:sz w:val="18"/>
                <w:szCs w:val="18"/>
              </w:rPr>
              <w:t>54.1</w:t>
            </w:r>
          </w:p>
        </w:tc>
        <w:tc>
          <w:tcPr>
            <w:tcW w:w="534" w:type="pct"/>
            <w:tcBorders>
              <w:top w:val="nil"/>
              <w:left w:val="single" w:sz="4" w:space="0" w:color="404040"/>
              <w:bottom w:val="nil"/>
              <w:right w:val="nil"/>
            </w:tcBorders>
            <w:shd w:val="clear" w:color="auto" w:fill="auto"/>
            <w:vAlign w:val="center"/>
          </w:tcPr>
          <w:p w14:paraId="51AD864D" w14:textId="449CB071" w:rsidR="00792DE4" w:rsidRPr="00260161" w:rsidRDefault="00792DE4" w:rsidP="00792DE4">
            <w:pPr>
              <w:tabs>
                <w:tab w:val="decimal" w:pos="502"/>
              </w:tabs>
              <w:jc w:val="left"/>
              <w:rPr>
                <w:sz w:val="18"/>
                <w:szCs w:val="18"/>
              </w:rPr>
            </w:pPr>
            <w:r>
              <w:rPr>
                <w:color w:val="000000"/>
                <w:sz w:val="18"/>
                <w:szCs w:val="18"/>
              </w:rPr>
              <w:t>1.1</w:t>
            </w:r>
          </w:p>
        </w:tc>
        <w:tc>
          <w:tcPr>
            <w:tcW w:w="528" w:type="pct"/>
            <w:tcBorders>
              <w:top w:val="nil"/>
              <w:left w:val="nil"/>
              <w:bottom w:val="nil"/>
              <w:right w:val="single" w:sz="4" w:space="0" w:color="404040"/>
            </w:tcBorders>
            <w:shd w:val="clear" w:color="auto" w:fill="auto"/>
            <w:vAlign w:val="center"/>
          </w:tcPr>
          <w:p w14:paraId="0906291F" w14:textId="3ACCB559" w:rsidR="00792DE4" w:rsidRPr="00260161" w:rsidRDefault="00792DE4" w:rsidP="00244641">
            <w:pPr>
              <w:tabs>
                <w:tab w:val="decimal" w:pos="464"/>
              </w:tabs>
              <w:jc w:val="left"/>
              <w:rPr>
                <w:sz w:val="18"/>
                <w:szCs w:val="18"/>
              </w:rPr>
            </w:pPr>
            <w:r>
              <w:rPr>
                <w:color w:val="000000"/>
                <w:sz w:val="18"/>
                <w:szCs w:val="18"/>
              </w:rPr>
              <w:t>0.0</w:t>
            </w:r>
          </w:p>
        </w:tc>
        <w:tc>
          <w:tcPr>
            <w:tcW w:w="343" w:type="pct"/>
            <w:tcBorders>
              <w:top w:val="nil"/>
              <w:left w:val="single" w:sz="4" w:space="0" w:color="404040"/>
              <w:bottom w:val="nil"/>
              <w:right w:val="nil"/>
            </w:tcBorders>
            <w:shd w:val="clear" w:color="auto" w:fill="auto"/>
            <w:vAlign w:val="center"/>
          </w:tcPr>
          <w:p w14:paraId="4C643904" w14:textId="7332181E" w:rsidR="00792DE4" w:rsidRPr="00260161" w:rsidRDefault="00792DE4" w:rsidP="00792DE4">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3BEC357B" w14:textId="77777777" w:rsidR="00792DE4" w:rsidRPr="00B06089" w:rsidRDefault="00792DE4" w:rsidP="00792DE4">
            <w:pPr>
              <w:rPr>
                <w:sz w:val="18"/>
                <w:szCs w:val="18"/>
              </w:rPr>
            </w:pPr>
            <w:r w:rsidRPr="00B06089">
              <w:rPr>
                <w:sz w:val="18"/>
                <w:szCs w:val="18"/>
              </w:rPr>
              <w:t>Por arriba</w:t>
            </w:r>
          </w:p>
        </w:tc>
      </w:tr>
      <w:tr w:rsidR="00792DE4" w:rsidRPr="005E2BD6" w14:paraId="7EE6A2EA" w14:textId="77777777" w:rsidTr="00792DE4">
        <w:trPr>
          <w:jc w:val="center"/>
        </w:trPr>
        <w:tc>
          <w:tcPr>
            <w:tcW w:w="2430" w:type="pct"/>
            <w:tcBorders>
              <w:top w:val="nil"/>
              <w:left w:val="single" w:sz="4" w:space="0" w:color="404040"/>
              <w:bottom w:val="single" w:sz="4" w:space="0" w:color="404040"/>
              <w:right w:val="single" w:sz="4" w:space="0" w:color="404040"/>
            </w:tcBorders>
            <w:shd w:val="clear" w:color="auto" w:fill="auto"/>
          </w:tcPr>
          <w:p w14:paraId="135D5B85" w14:textId="77777777" w:rsidR="00792DE4" w:rsidRPr="0039544E" w:rsidRDefault="00792DE4" w:rsidP="00792DE4">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8CC0D3" w14:textId="2FA4648D" w:rsidR="00792DE4" w:rsidRPr="00260161" w:rsidRDefault="00792DE4" w:rsidP="00244641">
            <w:pPr>
              <w:tabs>
                <w:tab w:val="decimal" w:pos="396"/>
              </w:tabs>
              <w:jc w:val="left"/>
              <w:rPr>
                <w:sz w:val="18"/>
                <w:szCs w:val="18"/>
              </w:rPr>
            </w:pPr>
            <w:r>
              <w:rPr>
                <w:color w:val="000000"/>
                <w:sz w:val="18"/>
                <w:szCs w:val="18"/>
              </w:rPr>
              <w:t>54.7</w:t>
            </w:r>
          </w:p>
        </w:tc>
        <w:tc>
          <w:tcPr>
            <w:tcW w:w="534" w:type="pct"/>
            <w:tcBorders>
              <w:top w:val="nil"/>
              <w:left w:val="single" w:sz="4" w:space="0" w:color="404040"/>
              <w:bottom w:val="single" w:sz="4" w:space="0" w:color="404040"/>
              <w:right w:val="nil"/>
            </w:tcBorders>
            <w:shd w:val="clear" w:color="auto" w:fill="auto"/>
            <w:vAlign w:val="center"/>
          </w:tcPr>
          <w:p w14:paraId="55CE51BE" w14:textId="63452DD8" w:rsidR="00792DE4" w:rsidRPr="00260161" w:rsidRDefault="00792DE4" w:rsidP="00792DE4">
            <w:pPr>
              <w:tabs>
                <w:tab w:val="decimal" w:pos="502"/>
              </w:tabs>
              <w:jc w:val="left"/>
              <w:rPr>
                <w:sz w:val="18"/>
                <w:szCs w:val="18"/>
              </w:rPr>
            </w:pPr>
            <w:r>
              <w:rPr>
                <w:color w:val="000000"/>
                <w:sz w:val="18"/>
                <w:szCs w:val="18"/>
              </w:rPr>
              <w:t>0.7</w:t>
            </w:r>
          </w:p>
        </w:tc>
        <w:tc>
          <w:tcPr>
            <w:tcW w:w="528" w:type="pct"/>
            <w:tcBorders>
              <w:top w:val="nil"/>
              <w:left w:val="nil"/>
              <w:bottom w:val="single" w:sz="4" w:space="0" w:color="404040"/>
              <w:right w:val="single" w:sz="4" w:space="0" w:color="404040"/>
            </w:tcBorders>
            <w:shd w:val="clear" w:color="auto" w:fill="auto"/>
            <w:vAlign w:val="center"/>
          </w:tcPr>
          <w:p w14:paraId="6722BFDC" w14:textId="4BDD21A4" w:rsidR="00792DE4" w:rsidRPr="00260161" w:rsidRDefault="00792DE4" w:rsidP="00244641">
            <w:pPr>
              <w:tabs>
                <w:tab w:val="decimal" w:pos="464"/>
              </w:tabs>
              <w:jc w:val="left"/>
              <w:rPr>
                <w:sz w:val="18"/>
                <w:szCs w:val="18"/>
              </w:rPr>
            </w:pPr>
            <w:r>
              <w:rPr>
                <w:color w:val="000000"/>
                <w:sz w:val="18"/>
                <w:szCs w:val="18"/>
              </w:rPr>
              <w:t>0.5</w:t>
            </w:r>
          </w:p>
        </w:tc>
        <w:tc>
          <w:tcPr>
            <w:tcW w:w="343" w:type="pct"/>
            <w:tcBorders>
              <w:top w:val="nil"/>
              <w:left w:val="single" w:sz="4" w:space="0" w:color="404040"/>
              <w:bottom w:val="single" w:sz="4" w:space="0" w:color="404040"/>
              <w:right w:val="nil"/>
            </w:tcBorders>
            <w:shd w:val="clear" w:color="auto" w:fill="auto"/>
            <w:vAlign w:val="center"/>
          </w:tcPr>
          <w:p w14:paraId="3B2752F5" w14:textId="5E783C05" w:rsidR="00792DE4" w:rsidRPr="00260161" w:rsidRDefault="00792DE4" w:rsidP="00792DE4">
            <w:pPr>
              <w:jc w:val="right"/>
              <w:rPr>
                <w:sz w:val="18"/>
                <w:szCs w:val="18"/>
              </w:rPr>
            </w:pPr>
            <w:r w:rsidRPr="00260161">
              <w:rPr>
                <w:sz w:val="18"/>
                <w:szCs w:val="18"/>
              </w:rPr>
              <w:t>17</w:t>
            </w:r>
            <w:r>
              <w:rPr>
                <w:sz w:val="18"/>
                <w:szCs w:val="18"/>
              </w:rPr>
              <w:t>2</w:t>
            </w:r>
          </w:p>
        </w:tc>
        <w:tc>
          <w:tcPr>
            <w:tcW w:w="643" w:type="pct"/>
            <w:tcBorders>
              <w:top w:val="nil"/>
              <w:left w:val="nil"/>
              <w:bottom w:val="single" w:sz="4" w:space="0" w:color="404040"/>
              <w:right w:val="single" w:sz="4" w:space="0" w:color="404040"/>
            </w:tcBorders>
            <w:shd w:val="clear" w:color="auto" w:fill="auto"/>
            <w:vAlign w:val="center"/>
          </w:tcPr>
          <w:p w14:paraId="6EA65A64" w14:textId="77777777" w:rsidR="00792DE4" w:rsidRPr="00B06089" w:rsidRDefault="00792DE4" w:rsidP="00792DE4">
            <w:pPr>
              <w:rPr>
                <w:sz w:val="18"/>
                <w:szCs w:val="18"/>
              </w:rPr>
            </w:pPr>
            <w:r w:rsidRPr="00B06089">
              <w:rPr>
                <w:sz w:val="18"/>
                <w:szCs w:val="18"/>
              </w:rPr>
              <w:t>Por arriba</w:t>
            </w:r>
          </w:p>
        </w:tc>
      </w:tr>
    </w:tbl>
    <w:p w14:paraId="7104DD1F" w14:textId="77777777" w:rsidR="00A46C32" w:rsidRDefault="00A46C32" w:rsidP="00A46C32">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62A3E0AD" w14:textId="77777777" w:rsidR="00A46C32" w:rsidRDefault="00A46C32" w:rsidP="00A46C32">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3EF34C6" w14:textId="77777777" w:rsidR="00A46C32" w:rsidRDefault="00A46C32" w:rsidP="00A46C32">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4AC8674C" w14:textId="6D8FBF8D" w:rsidR="00A46C32" w:rsidRPr="00ED0B68" w:rsidRDefault="00A46C32" w:rsidP="002947DA">
      <w:pPr>
        <w:pStyle w:val="Textoindependiente2"/>
        <w:keepNext/>
        <w:keepLines/>
        <w:widowControl w:val="0"/>
        <w:ind w:right="0"/>
        <w:jc w:val="center"/>
        <w:rPr>
          <w:b/>
          <w:smallCaps/>
          <w:sz w:val="22"/>
          <w:szCs w:val="20"/>
          <w:lang w:val="es-MX"/>
        </w:rPr>
      </w:pPr>
      <w:r>
        <w:rPr>
          <w:b/>
          <w:smallCaps/>
          <w:sz w:val="22"/>
          <w:szCs w:val="20"/>
          <w:lang w:val="es-MX"/>
        </w:rPr>
        <w:lastRenderedPageBreak/>
        <w:t>Expectativas empresariales</w:t>
      </w:r>
      <w:r w:rsidRPr="00ED0B68">
        <w:rPr>
          <w:b/>
          <w:smallCaps/>
          <w:sz w:val="22"/>
          <w:szCs w:val="20"/>
          <w:lang w:val="es-MX"/>
        </w:rPr>
        <w:t xml:space="preserve"> </w:t>
      </w:r>
      <w:r w:rsidR="00335742">
        <w:rPr>
          <w:b/>
          <w:smallCaps/>
          <w:sz w:val="22"/>
          <w:szCs w:val="20"/>
          <w:lang w:val="es-MX"/>
        </w:rPr>
        <w:t xml:space="preserve">del sector manufacturero </w:t>
      </w:r>
      <w:r w:rsidR="00DC31E4">
        <w:rPr>
          <w:b/>
          <w:smallCaps/>
          <w:sz w:val="22"/>
          <w:szCs w:val="20"/>
          <w:lang w:val="es-MX"/>
        </w:rPr>
        <w:t>a</w:t>
      </w:r>
      <w:r w:rsidR="001E054E">
        <w:rPr>
          <w:b/>
          <w:smallCaps/>
          <w:sz w:val="22"/>
          <w:szCs w:val="20"/>
          <w:lang w:val="es-MX"/>
        </w:rPr>
        <w:t xml:space="preserve">l mes de abril </w:t>
      </w:r>
      <w:r w:rsidRPr="00ED0B68">
        <w:rPr>
          <w:b/>
          <w:smallCaps/>
          <w:sz w:val="22"/>
          <w:szCs w:val="20"/>
          <w:lang w:val="es-MX"/>
        </w:rPr>
        <w:t xml:space="preserve">de </w:t>
      </w:r>
      <w:r w:rsidR="0070192F">
        <w:rPr>
          <w:b/>
          <w:smallCaps/>
          <w:sz w:val="22"/>
          <w:szCs w:val="20"/>
          <w:lang w:val="es-MX"/>
        </w:rPr>
        <w:t>20</w:t>
      </w:r>
      <w:r w:rsidR="00C8701F">
        <w:rPr>
          <w:b/>
          <w:smallCaps/>
          <w:sz w:val="22"/>
          <w:szCs w:val="20"/>
          <w:lang w:val="es-MX"/>
        </w:rPr>
        <w:t>20</w:t>
      </w:r>
    </w:p>
    <w:p w14:paraId="052FA083" w14:textId="77777777" w:rsidR="00A46C32" w:rsidRDefault="00A46C32" w:rsidP="002947DA">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7F345D" w14:paraId="08E5285B" w14:textId="77777777" w:rsidTr="00CC1C5B">
        <w:trPr>
          <w:trHeight w:val="1871"/>
          <w:jc w:val="center"/>
        </w:trPr>
        <w:tc>
          <w:tcPr>
            <w:tcW w:w="5305" w:type="dxa"/>
          </w:tcPr>
          <w:p w14:paraId="0F2D6329" w14:textId="73D5E637" w:rsidR="000C1EFB" w:rsidRPr="007F345D" w:rsidRDefault="00CF2CAF" w:rsidP="00A6587D">
            <w:pPr>
              <w:pStyle w:val="p0"/>
              <w:spacing w:before="0"/>
              <w:rPr>
                <w:color w:val="auto"/>
                <w:sz w:val="16"/>
                <w:szCs w:val="16"/>
                <w:lang w:val="es-MX"/>
              </w:rPr>
            </w:pPr>
            <w:r>
              <w:rPr>
                <w:noProof/>
                <w:lang w:val="es-MX" w:eastAsia="es-MX"/>
              </w:rPr>
              <w:drawing>
                <wp:inline distT="0" distB="0" distL="0" distR="0" wp14:anchorId="46AB2E9A" wp14:editId="62B62296">
                  <wp:extent cx="3274165"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304" w:type="dxa"/>
          </w:tcPr>
          <w:p w14:paraId="5B41DDC1" w14:textId="0EB4A53A" w:rsidR="000C1EFB" w:rsidRPr="007F345D" w:rsidRDefault="000A2874" w:rsidP="00A6587D">
            <w:pPr>
              <w:pStyle w:val="p0"/>
              <w:spacing w:before="0"/>
              <w:rPr>
                <w:color w:val="auto"/>
                <w:sz w:val="16"/>
                <w:szCs w:val="16"/>
                <w:lang w:val="es-MX"/>
              </w:rPr>
            </w:pPr>
            <w:r>
              <w:rPr>
                <w:noProof/>
                <w:lang w:val="es-MX" w:eastAsia="es-MX"/>
              </w:rPr>
              <w:drawing>
                <wp:inline distT="0" distB="0" distL="0" distR="0" wp14:anchorId="108B30D9" wp14:editId="2F828F3E">
                  <wp:extent cx="3274165" cy="1153772"/>
                  <wp:effectExtent l="0" t="0" r="0" b="8890"/>
                  <wp:docPr id="18" name="Gráfico 1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0C1EFB" w:rsidRPr="008B6A18" w14:paraId="177F5B1B" w14:textId="77777777" w:rsidTr="00A6587D">
        <w:tblPrEx>
          <w:tblCellMar>
            <w:left w:w="28" w:type="dxa"/>
            <w:right w:w="28" w:type="dxa"/>
          </w:tblCellMar>
        </w:tblPrEx>
        <w:trPr>
          <w:jc w:val="center"/>
        </w:trPr>
        <w:tc>
          <w:tcPr>
            <w:tcW w:w="5305" w:type="dxa"/>
          </w:tcPr>
          <w:p w14:paraId="5A49EC78" w14:textId="77777777" w:rsidR="000C1EFB" w:rsidRPr="008B6A18" w:rsidRDefault="000C1EFB" w:rsidP="00A6587D">
            <w:pPr>
              <w:pStyle w:val="p0"/>
              <w:spacing w:before="0"/>
              <w:rPr>
                <w:noProof/>
                <w:color w:val="auto"/>
                <w:sz w:val="10"/>
                <w:szCs w:val="10"/>
                <w:lang w:val="es-MX" w:eastAsia="es-MX"/>
              </w:rPr>
            </w:pPr>
          </w:p>
        </w:tc>
        <w:tc>
          <w:tcPr>
            <w:tcW w:w="5304" w:type="dxa"/>
          </w:tcPr>
          <w:p w14:paraId="6101A763" w14:textId="77777777" w:rsidR="000C1EFB" w:rsidRPr="008B6A18" w:rsidRDefault="000C1EFB" w:rsidP="00A6587D">
            <w:pPr>
              <w:pStyle w:val="p0"/>
              <w:spacing w:before="0"/>
              <w:rPr>
                <w:noProof/>
                <w:color w:val="auto"/>
                <w:sz w:val="10"/>
                <w:szCs w:val="10"/>
                <w:lang w:val="es-MX" w:eastAsia="es-MX"/>
              </w:rPr>
            </w:pPr>
          </w:p>
        </w:tc>
      </w:tr>
      <w:tr w:rsidR="000C1EFB" w:rsidRPr="007F345D" w14:paraId="5796326F" w14:textId="77777777" w:rsidTr="00CC1C5B">
        <w:trPr>
          <w:trHeight w:val="1871"/>
          <w:jc w:val="center"/>
        </w:trPr>
        <w:tc>
          <w:tcPr>
            <w:tcW w:w="5305" w:type="dxa"/>
          </w:tcPr>
          <w:p w14:paraId="0BD6E1FE" w14:textId="28FFBCBF" w:rsidR="000C1EFB" w:rsidRPr="007F345D" w:rsidRDefault="00CF2CAF" w:rsidP="00A6587D">
            <w:pPr>
              <w:pStyle w:val="p0"/>
              <w:spacing w:before="0"/>
              <w:rPr>
                <w:color w:val="auto"/>
                <w:sz w:val="16"/>
                <w:szCs w:val="16"/>
                <w:lang w:val="es-MX"/>
              </w:rPr>
            </w:pPr>
            <w:r>
              <w:rPr>
                <w:noProof/>
                <w:lang w:val="es-MX" w:eastAsia="es-MX"/>
              </w:rPr>
              <w:drawing>
                <wp:inline distT="0" distB="0" distL="0" distR="0" wp14:anchorId="026D7211" wp14:editId="6147EB1A">
                  <wp:extent cx="3240000" cy="1152000"/>
                  <wp:effectExtent l="0" t="0" r="0" b="0"/>
                  <wp:docPr id="11" name="Gráfico 1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304" w:type="dxa"/>
          </w:tcPr>
          <w:p w14:paraId="4DA8962E" w14:textId="4A2C118F" w:rsidR="000C1EFB" w:rsidRPr="007F345D" w:rsidRDefault="00CF2CAF" w:rsidP="00A6587D">
            <w:pPr>
              <w:pStyle w:val="p0"/>
              <w:spacing w:before="0"/>
              <w:rPr>
                <w:color w:val="auto"/>
                <w:sz w:val="16"/>
                <w:szCs w:val="16"/>
                <w:lang w:val="es-MX"/>
              </w:rPr>
            </w:pPr>
            <w:r>
              <w:rPr>
                <w:noProof/>
                <w:lang w:val="es-MX" w:eastAsia="es-MX"/>
              </w:rPr>
              <w:drawing>
                <wp:inline distT="0" distB="0" distL="0" distR="0" wp14:anchorId="38397584" wp14:editId="4877C022">
                  <wp:extent cx="3274165" cy="1152000"/>
                  <wp:effectExtent l="0" t="0" r="0" b="0"/>
                  <wp:docPr id="13" name="Gráfico 1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0C1EFB" w:rsidRPr="00EA3BC1" w14:paraId="326346FB" w14:textId="77777777" w:rsidTr="00A6587D">
        <w:tblPrEx>
          <w:tblCellMar>
            <w:left w:w="28" w:type="dxa"/>
            <w:right w:w="28" w:type="dxa"/>
          </w:tblCellMar>
        </w:tblPrEx>
        <w:trPr>
          <w:jc w:val="center"/>
        </w:trPr>
        <w:tc>
          <w:tcPr>
            <w:tcW w:w="5305" w:type="dxa"/>
          </w:tcPr>
          <w:p w14:paraId="3819B05B" w14:textId="77777777" w:rsidR="000C1EFB" w:rsidRPr="00EA3BC1" w:rsidRDefault="000C1EFB" w:rsidP="00A6587D">
            <w:pPr>
              <w:pStyle w:val="p0"/>
              <w:spacing w:before="0"/>
              <w:rPr>
                <w:noProof/>
                <w:color w:val="auto"/>
                <w:sz w:val="10"/>
                <w:szCs w:val="10"/>
                <w:lang w:val="es-MX" w:eastAsia="es-MX"/>
              </w:rPr>
            </w:pPr>
          </w:p>
        </w:tc>
        <w:tc>
          <w:tcPr>
            <w:tcW w:w="5304" w:type="dxa"/>
          </w:tcPr>
          <w:p w14:paraId="4C8F5957" w14:textId="77777777" w:rsidR="000C1EFB" w:rsidRPr="00EA3BC1" w:rsidRDefault="000C1EFB" w:rsidP="00A6587D">
            <w:pPr>
              <w:pStyle w:val="p0"/>
              <w:spacing w:before="0"/>
              <w:rPr>
                <w:noProof/>
                <w:color w:val="auto"/>
                <w:sz w:val="10"/>
                <w:szCs w:val="10"/>
                <w:lang w:val="es-MX" w:eastAsia="es-MX"/>
              </w:rPr>
            </w:pPr>
          </w:p>
        </w:tc>
      </w:tr>
      <w:tr w:rsidR="000C1EFB" w:rsidRPr="007F345D" w14:paraId="34012D2A" w14:textId="77777777" w:rsidTr="00FC0745">
        <w:trPr>
          <w:trHeight w:val="1871"/>
          <w:jc w:val="center"/>
        </w:trPr>
        <w:tc>
          <w:tcPr>
            <w:tcW w:w="5305" w:type="dxa"/>
          </w:tcPr>
          <w:p w14:paraId="25A6E600" w14:textId="6087EA75" w:rsidR="000C1EFB" w:rsidRPr="007F345D" w:rsidRDefault="00015C92" w:rsidP="00A6587D">
            <w:pPr>
              <w:pStyle w:val="p0"/>
              <w:spacing w:before="0"/>
              <w:rPr>
                <w:noProof/>
                <w:color w:val="auto"/>
                <w:sz w:val="16"/>
                <w:szCs w:val="16"/>
                <w:lang w:val="es-MX" w:eastAsia="es-MX"/>
              </w:rPr>
            </w:pPr>
            <w:r>
              <w:rPr>
                <w:noProof/>
                <w:lang w:val="es-MX" w:eastAsia="es-MX"/>
              </w:rPr>
              <w:drawing>
                <wp:inline distT="0" distB="0" distL="0" distR="0" wp14:anchorId="19C8D116" wp14:editId="6AF8B3DE">
                  <wp:extent cx="3274165" cy="1152000"/>
                  <wp:effectExtent l="0" t="0" r="0" b="0"/>
                  <wp:docPr id="3" name="Gráfico 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304" w:type="dxa"/>
          </w:tcPr>
          <w:p w14:paraId="0ED2472C" w14:textId="2B069118" w:rsidR="000C1EFB" w:rsidRPr="007F345D" w:rsidRDefault="00837406" w:rsidP="00A6587D">
            <w:pPr>
              <w:pStyle w:val="p0"/>
              <w:spacing w:before="0"/>
              <w:rPr>
                <w:noProof/>
                <w:color w:val="auto"/>
                <w:sz w:val="16"/>
                <w:szCs w:val="16"/>
                <w:lang w:val="es-MX" w:eastAsia="es-MX"/>
              </w:rPr>
            </w:pPr>
            <w:r>
              <w:rPr>
                <w:noProof/>
                <w:lang w:val="es-MX" w:eastAsia="es-MX"/>
              </w:rPr>
              <w:drawing>
                <wp:inline distT="0" distB="0" distL="0" distR="0" wp14:anchorId="3961F719" wp14:editId="18998DCF">
                  <wp:extent cx="3274165" cy="1152000"/>
                  <wp:effectExtent l="0" t="0" r="0" b="0"/>
                  <wp:docPr id="15" name="Gráfico 1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0C1EFB" w:rsidRPr="00EA3BC1" w14:paraId="2653C958" w14:textId="77777777" w:rsidTr="00A6587D">
        <w:tblPrEx>
          <w:tblCellMar>
            <w:left w:w="28" w:type="dxa"/>
            <w:right w:w="28" w:type="dxa"/>
          </w:tblCellMar>
        </w:tblPrEx>
        <w:trPr>
          <w:jc w:val="center"/>
        </w:trPr>
        <w:tc>
          <w:tcPr>
            <w:tcW w:w="5305" w:type="dxa"/>
          </w:tcPr>
          <w:p w14:paraId="2C2E775B" w14:textId="77777777" w:rsidR="000C1EFB" w:rsidRPr="00EA3BC1" w:rsidRDefault="000C1EFB" w:rsidP="00A6587D">
            <w:pPr>
              <w:pStyle w:val="p0"/>
              <w:spacing w:before="0"/>
              <w:rPr>
                <w:noProof/>
                <w:color w:val="auto"/>
                <w:sz w:val="10"/>
                <w:szCs w:val="10"/>
                <w:lang w:val="es-MX" w:eastAsia="es-MX"/>
              </w:rPr>
            </w:pPr>
          </w:p>
        </w:tc>
        <w:tc>
          <w:tcPr>
            <w:tcW w:w="5304" w:type="dxa"/>
          </w:tcPr>
          <w:p w14:paraId="0DA5A266" w14:textId="77777777" w:rsidR="000C1EFB" w:rsidRPr="00EA3BC1" w:rsidRDefault="000C1EFB" w:rsidP="00A6587D">
            <w:pPr>
              <w:pStyle w:val="p0"/>
              <w:spacing w:before="0"/>
              <w:rPr>
                <w:noProof/>
                <w:color w:val="auto"/>
                <w:sz w:val="10"/>
                <w:szCs w:val="10"/>
                <w:lang w:val="es-MX" w:eastAsia="es-MX"/>
              </w:rPr>
            </w:pPr>
          </w:p>
        </w:tc>
      </w:tr>
      <w:tr w:rsidR="000C1EFB" w:rsidRPr="007F345D" w14:paraId="030B88A6" w14:textId="77777777" w:rsidTr="00FC0745">
        <w:trPr>
          <w:trHeight w:val="1871"/>
          <w:jc w:val="center"/>
        </w:trPr>
        <w:tc>
          <w:tcPr>
            <w:tcW w:w="5305" w:type="dxa"/>
          </w:tcPr>
          <w:p w14:paraId="776007D6" w14:textId="12ABB829" w:rsidR="000C1EFB" w:rsidRPr="007F345D" w:rsidRDefault="00015C92" w:rsidP="00A6587D">
            <w:pPr>
              <w:pStyle w:val="p0"/>
              <w:spacing w:before="0"/>
              <w:rPr>
                <w:noProof/>
                <w:color w:val="auto"/>
                <w:sz w:val="16"/>
                <w:szCs w:val="16"/>
                <w:lang w:val="es-MX" w:eastAsia="es-MX"/>
              </w:rPr>
            </w:pPr>
            <w:r>
              <w:rPr>
                <w:noProof/>
                <w:lang w:val="es-MX" w:eastAsia="es-MX"/>
              </w:rPr>
              <w:drawing>
                <wp:inline distT="0" distB="0" distL="0" distR="0" wp14:anchorId="4924F61F" wp14:editId="44429913">
                  <wp:extent cx="3274165" cy="1152000"/>
                  <wp:effectExtent l="0" t="0" r="0" b="0"/>
                  <wp:docPr id="4" name="Gráfico 4">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304" w:type="dxa"/>
          </w:tcPr>
          <w:p w14:paraId="3A1998E6" w14:textId="3E1E47CD" w:rsidR="000C1EFB" w:rsidRPr="007F345D" w:rsidRDefault="00837406" w:rsidP="00A6587D">
            <w:pPr>
              <w:pStyle w:val="p0"/>
              <w:spacing w:before="0"/>
              <w:rPr>
                <w:noProof/>
                <w:color w:val="auto"/>
                <w:sz w:val="16"/>
                <w:szCs w:val="16"/>
                <w:lang w:val="es-MX" w:eastAsia="es-MX"/>
              </w:rPr>
            </w:pPr>
            <w:r>
              <w:rPr>
                <w:noProof/>
                <w:lang w:val="es-MX" w:eastAsia="es-MX"/>
              </w:rPr>
              <w:drawing>
                <wp:inline distT="0" distB="0" distL="0" distR="0" wp14:anchorId="34A94FD1" wp14:editId="379C1014">
                  <wp:extent cx="3274165" cy="1152000"/>
                  <wp:effectExtent l="0" t="0" r="0" b="0"/>
                  <wp:docPr id="17" name="Gráfico 17">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9C3FF5" w:rsidRPr="009C3FF5" w14:paraId="6AEDDB45" w14:textId="77777777" w:rsidTr="009C3FF5">
        <w:trPr>
          <w:jc w:val="center"/>
        </w:trPr>
        <w:tc>
          <w:tcPr>
            <w:tcW w:w="10609" w:type="dxa"/>
            <w:gridSpan w:val="2"/>
          </w:tcPr>
          <w:p w14:paraId="6C85FAA7" w14:textId="77777777" w:rsidR="009C3FF5" w:rsidRPr="00F23A11" w:rsidRDefault="009C3FF5" w:rsidP="00A6587D">
            <w:pPr>
              <w:pStyle w:val="p0"/>
              <w:spacing w:before="0"/>
              <w:jc w:val="center"/>
              <w:rPr>
                <w:noProof/>
                <w:color w:val="auto"/>
                <w:sz w:val="10"/>
                <w:szCs w:val="10"/>
                <w:lang w:val="es-MX" w:eastAsia="es-MX"/>
              </w:rPr>
            </w:pPr>
          </w:p>
        </w:tc>
      </w:tr>
      <w:tr w:rsidR="00961C96" w:rsidRPr="00EA3BC1" w14:paraId="59512BD6" w14:textId="77777777" w:rsidTr="00FC0745">
        <w:trPr>
          <w:trHeight w:val="1871"/>
          <w:jc w:val="center"/>
        </w:trPr>
        <w:tc>
          <w:tcPr>
            <w:tcW w:w="10609" w:type="dxa"/>
            <w:gridSpan w:val="2"/>
          </w:tcPr>
          <w:p w14:paraId="4201C78C" w14:textId="0116301E" w:rsidR="00961C96" w:rsidRPr="00EA3BC1" w:rsidRDefault="000A2874" w:rsidP="00A6587D">
            <w:pPr>
              <w:pStyle w:val="p0"/>
              <w:spacing w:before="0"/>
              <w:jc w:val="center"/>
              <w:rPr>
                <w:noProof/>
                <w:color w:val="auto"/>
                <w:sz w:val="10"/>
                <w:szCs w:val="10"/>
                <w:lang w:val="es-MX" w:eastAsia="es-MX"/>
              </w:rPr>
            </w:pPr>
            <w:r>
              <w:rPr>
                <w:noProof/>
                <w:lang w:val="es-MX" w:eastAsia="es-MX"/>
              </w:rPr>
              <w:drawing>
                <wp:inline distT="0" distB="0" distL="0" distR="0" wp14:anchorId="320470AF" wp14:editId="450C324F">
                  <wp:extent cx="3274165" cy="1152000"/>
                  <wp:effectExtent l="0" t="0" r="0" b="0"/>
                  <wp:docPr id="19" name="Gráfico 19">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1A0B92C0" w14:textId="77777777" w:rsidR="001B1EDC" w:rsidRDefault="001B1EDC" w:rsidP="001B1EDC">
      <w:pPr>
        <w:widowControl w:val="0"/>
        <w:spacing w:before="20"/>
        <w:ind w:left="588" w:right="25" w:hanging="588"/>
        <w:rPr>
          <w:sz w:val="14"/>
          <w:szCs w:val="14"/>
          <w:lang w:val="es-MX"/>
        </w:rPr>
      </w:pPr>
      <w:r>
        <w:rPr>
          <w:sz w:val="14"/>
          <w:szCs w:val="14"/>
          <w:lang w:val="es-MX"/>
        </w:rPr>
        <w:t>Fuente:</w:t>
      </w:r>
      <w:r>
        <w:rPr>
          <w:sz w:val="14"/>
          <w:szCs w:val="14"/>
          <w:lang w:val="es-MX"/>
        </w:rPr>
        <w:tab/>
        <w:t>INEGI.</w:t>
      </w:r>
    </w:p>
    <w:p w14:paraId="490999B4" w14:textId="3DF1EFF4" w:rsidR="00BB7B85" w:rsidRDefault="00BB7B85" w:rsidP="00BB7B85">
      <w:pPr>
        <w:keepNext/>
        <w:keepLines/>
        <w:widowControl w:val="0"/>
        <w:spacing w:before="600"/>
        <w:outlineLvl w:val="0"/>
        <w:rPr>
          <w:b/>
          <w:smallCaps/>
          <w:sz w:val="22"/>
          <w:lang w:val="es-MX"/>
        </w:rPr>
      </w:pPr>
      <w:r>
        <w:lastRenderedPageBreak/>
        <w:t xml:space="preserve">Las </w:t>
      </w:r>
      <w:r>
        <w:rPr>
          <w:b/>
        </w:rPr>
        <w:t xml:space="preserve">Expectativas </w:t>
      </w:r>
      <w:r w:rsidRPr="00D36749">
        <w:rPr>
          <w:b/>
        </w:rPr>
        <w:t xml:space="preserve">Empresariales </w:t>
      </w:r>
      <w:r w:rsidR="00961C96" w:rsidRPr="00D36749">
        <w:rPr>
          <w:b/>
        </w:rPr>
        <w:t>del</w:t>
      </w:r>
      <w:r w:rsidR="00961C96">
        <w:t xml:space="preserve"> </w:t>
      </w:r>
      <w:r w:rsidR="00961C96" w:rsidRPr="00961C96">
        <w:rPr>
          <w:b/>
        </w:rPr>
        <w:t>S</w:t>
      </w:r>
      <w:r w:rsidR="009C4C14" w:rsidRPr="00961C96">
        <w:rPr>
          <w:b/>
        </w:rPr>
        <w:t>ector Construcción</w:t>
      </w:r>
      <w:r w:rsidR="0062691F">
        <w:t xml:space="preserve"> </w:t>
      </w:r>
      <w:r w:rsidR="002300D2">
        <w:t>en</w:t>
      </w:r>
      <w:r w:rsidR="00FD74D9">
        <w:t xml:space="preserve"> el </w:t>
      </w:r>
      <w:r w:rsidR="001E054E">
        <w:t>cua</w:t>
      </w:r>
      <w:r w:rsidR="004335A5">
        <w:t>r</w:t>
      </w:r>
      <w:r w:rsidR="001E054E">
        <w:t>to</w:t>
      </w:r>
      <w:r w:rsidR="00FD74D9">
        <w:t xml:space="preserve"> mes de </w:t>
      </w:r>
      <w:r w:rsidR="001E054E">
        <w:t>este año</w:t>
      </w:r>
      <w:r w:rsidR="004C6065">
        <w:t xml:space="preserve"> </w:t>
      </w:r>
      <w:r w:rsidR="00B44277">
        <w:t xml:space="preserve">con </w:t>
      </w:r>
      <w:r w:rsidR="00961C96">
        <w:t>datos ajustados por estacionalidad</w:t>
      </w:r>
      <w:r w:rsidR="006D1E9C">
        <w:t>,</w:t>
      </w:r>
      <w:r w:rsidR="009C4C14">
        <w:t xml:space="preserve"> </w:t>
      </w:r>
      <w:r w:rsidR="00FD74D9">
        <w:t>observaron</w:t>
      </w:r>
      <w:r w:rsidRPr="00051C3C">
        <w:t xml:space="preserve"> el siguiente comportamiento</w:t>
      </w:r>
      <w:r>
        <w:t>:</w:t>
      </w:r>
    </w:p>
    <w:p w14:paraId="105A72F3" w14:textId="77777777" w:rsidR="00840D75" w:rsidRPr="00637BEA" w:rsidRDefault="00840D75" w:rsidP="00B02406">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construcción</w:t>
      </w:r>
    </w:p>
    <w:p w14:paraId="78F87E9C" w14:textId="77777777" w:rsidR="00840D75" w:rsidRDefault="00840D75" w:rsidP="00840D7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637BEA"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812DAD" w:rsidRDefault="009C3FF5" w:rsidP="00D76DC5">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62AF4F6F" w:rsidR="009C3FF5" w:rsidRPr="00812DAD" w:rsidRDefault="001E054E" w:rsidP="00C8701F">
            <w:pPr>
              <w:ind w:left="-108" w:right="-82"/>
              <w:jc w:val="center"/>
              <w:rPr>
                <w:spacing w:val="-4"/>
                <w:sz w:val="18"/>
                <w:szCs w:val="18"/>
              </w:rPr>
            </w:pPr>
            <w:r>
              <w:rPr>
                <w:spacing w:val="-4"/>
                <w:sz w:val="18"/>
                <w:szCs w:val="18"/>
              </w:rPr>
              <w:t>Abril</w:t>
            </w:r>
            <w:r w:rsidR="00FA2618" w:rsidRPr="00812DAD">
              <w:rPr>
                <w:spacing w:val="-4"/>
                <w:sz w:val="18"/>
                <w:szCs w:val="18"/>
              </w:rPr>
              <w:br/>
            </w:r>
            <w:r w:rsidR="00FA2618">
              <w:rPr>
                <w:spacing w:val="-4"/>
                <w:sz w:val="18"/>
                <w:szCs w:val="18"/>
              </w:rPr>
              <w:t xml:space="preserve">de </w:t>
            </w:r>
            <w:r w:rsidR="009C3FF5" w:rsidRPr="00812DAD">
              <w:rPr>
                <w:spacing w:val="-4"/>
                <w:sz w:val="18"/>
                <w:szCs w:val="18"/>
              </w:rPr>
              <w:t>20</w:t>
            </w:r>
            <w:r w:rsidR="00C8701F">
              <w:rPr>
                <w:spacing w:val="-4"/>
                <w:sz w:val="18"/>
                <w:szCs w:val="18"/>
              </w:rPr>
              <w:t>20</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812DAD" w:rsidRDefault="009C3FF5" w:rsidP="001B1EDC">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812DAD" w:rsidRDefault="009C3FF5" w:rsidP="00FF4518">
            <w:pPr>
              <w:tabs>
                <w:tab w:val="center" w:pos="3348"/>
              </w:tabs>
              <w:ind w:left="-84" w:right="-99"/>
              <w:jc w:val="center"/>
              <w:rPr>
                <w:spacing w:val="-4"/>
                <w:sz w:val="18"/>
                <w:szCs w:val="18"/>
              </w:rPr>
            </w:pPr>
            <w:r w:rsidRPr="00812DAD">
              <w:rPr>
                <w:spacing w:val="-4"/>
                <w:sz w:val="18"/>
                <w:szCs w:val="18"/>
              </w:rPr>
              <w:t xml:space="preserve">Número de meses consecutivos por </w:t>
            </w:r>
            <w:r w:rsidR="008804EB">
              <w:rPr>
                <w:spacing w:val="-4"/>
                <w:sz w:val="18"/>
                <w:szCs w:val="18"/>
              </w:rPr>
              <w:br/>
            </w:r>
            <w:r w:rsidRPr="00812DAD">
              <w:rPr>
                <w:spacing w:val="-4"/>
                <w:sz w:val="18"/>
                <w:szCs w:val="18"/>
              </w:rPr>
              <w:t xml:space="preserve">arriba o por debajo </w:t>
            </w:r>
            <w:r w:rsidR="008804EB">
              <w:rPr>
                <w:spacing w:val="-4"/>
                <w:sz w:val="18"/>
                <w:szCs w:val="18"/>
              </w:rPr>
              <w:br/>
            </w:r>
            <w:r w:rsidRPr="00812DAD">
              <w:rPr>
                <w:spacing w:val="-4"/>
                <w:sz w:val="18"/>
                <w:szCs w:val="18"/>
              </w:rPr>
              <w:t xml:space="preserve">del umbral de </w:t>
            </w:r>
            <w:r w:rsidR="008804EB">
              <w:rPr>
                <w:spacing w:val="-4"/>
                <w:sz w:val="18"/>
                <w:szCs w:val="18"/>
              </w:rPr>
              <w:br/>
            </w:r>
            <w:r w:rsidRPr="00812DAD">
              <w:rPr>
                <w:spacing w:val="-4"/>
                <w:sz w:val="18"/>
                <w:szCs w:val="18"/>
              </w:rPr>
              <w:t>50 puntos</w:t>
            </w:r>
          </w:p>
        </w:tc>
      </w:tr>
      <w:tr w:rsidR="00FF4518" w:rsidRPr="00637BEA" w14:paraId="0967D2A3" w14:textId="77777777" w:rsidTr="008804EB">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812DAD"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812DAD" w:rsidRDefault="00812DAD" w:rsidP="00CF593A">
            <w:pPr>
              <w:ind w:left="-106" w:right="-95"/>
              <w:jc w:val="center"/>
              <w:rPr>
                <w:spacing w:val="-4"/>
                <w:sz w:val="18"/>
                <w:szCs w:val="18"/>
              </w:rPr>
            </w:pPr>
            <w:r w:rsidRPr="00812DAD">
              <w:rPr>
                <w:spacing w:val="-4"/>
                <w:sz w:val="18"/>
                <w:szCs w:val="18"/>
              </w:rPr>
              <w:t>Mes</w:t>
            </w:r>
            <w:r w:rsidR="00CF593A">
              <w:rPr>
                <w:spacing w:val="-4"/>
                <w:sz w:val="18"/>
                <w:szCs w:val="18"/>
              </w:rPr>
              <w:br/>
            </w:r>
            <w:r w:rsidRPr="00812DAD">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812DAD" w:rsidRDefault="00812DAD" w:rsidP="00FF4518">
            <w:pPr>
              <w:ind w:left="-106" w:right="-95"/>
              <w:jc w:val="center"/>
              <w:rPr>
                <w:spacing w:val="-4"/>
                <w:sz w:val="18"/>
                <w:szCs w:val="18"/>
              </w:rPr>
            </w:pPr>
            <w:r w:rsidRPr="00812DAD">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39544E" w:rsidRDefault="00812DAD" w:rsidP="00D36749">
            <w:pPr>
              <w:tabs>
                <w:tab w:val="center" w:pos="3348"/>
              </w:tabs>
              <w:ind w:left="-84" w:right="-99"/>
              <w:jc w:val="center"/>
              <w:rPr>
                <w:sz w:val="18"/>
                <w:szCs w:val="18"/>
              </w:rPr>
            </w:pPr>
          </w:p>
        </w:tc>
      </w:tr>
      <w:tr w:rsidR="00244641" w:rsidRPr="00892F41" w14:paraId="36FDCC7D" w14:textId="77777777" w:rsidTr="00244641">
        <w:tc>
          <w:tcPr>
            <w:tcW w:w="4815" w:type="dxa"/>
            <w:tcBorders>
              <w:top w:val="nil"/>
              <w:left w:val="single" w:sz="4" w:space="0" w:color="404040"/>
              <w:bottom w:val="nil"/>
              <w:right w:val="single" w:sz="4" w:space="0" w:color="404040"/>
            </w:tcBorders>
            <w:shd w:val="clear" w:color="auto" w:fill="auto"/>
            <w:vAlign w:val="bottom"/>
          </w:tcPr>
          <w:p w14:paraId="6F086F09" w14:textId="77777777" w:rsidR="00244641" w:rsidRPr="00812DAD" w:rsidRDefault="00244641" w:rsidP="00244641">
            <w:pPr>
              <w:pStyle w:val="Prrafodelista"/>
              <w:widowControl w:val="0"/>
              <w:numPr>
                <w:ilvl w:val="0"/>
                <w:numId w:val="14"/>
              </w:numPr>
              <w:spacing w:before="20" w:after="20"/>
              <w:ind w:left="313" w:hanging="284"/>
              <w:contextualSpacing/>
              <w:jc w:val="left"/>
              <w:rPr>
                <w:spacing w:val="-4"/>
                <w:sz w:val="18"/>
                <w:szCs w:val="18"/>
                <w:lang w:val="es-MX"/>
              </w:rPr>
            </w:pPr>
            <w:r w:rsidRPr="00812DAD">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08F48BC8" w:rsidR="00244641" w:rsidRPr="006D2DE0" w:rsidRDefault="00244641" w:rsidP="00244641">
            <w:pPr>
              <w:tabs>
                <w:tab w:val="decimal" w:pos="390"/>
              </w:tabs>
              <w:jc w:val="left"/>
              <w:rPr>
                <w:sz w:val="18"/>
                <w:szCs w:val="18"/>
                <w:lang w:val="es-MX" w:eastAsia="es-MX"/>
              </w:rPr>
            </w:pPr>
            <w:r>
              <w:rPr>
                <w:color w:val="000000"/>
                <w:sz w:val="18"/>
                <w:szCs w:val="18"/>
              </w:rPr>
              <w:t>39.1</w:t>
            </w:r>
          </w:p>
        </w:tc>
        <w:tc>
          <w:tcPr>
            <w:tcW w:w="908" w:type="dxa"/>
            <w:tcBorders>
              <w:top w:val="single" w:sz="4" w:space="0" w:color="404040"/>
              <w:left w:val="single" w:sz="4" w:space="0" w:color="404040"/>
              <w:bottom w:val="nil"/>
              <w:right w:val="nil"/>
            </w:tcBorders>
            <w:shd w:val="clear" w:color="auto" w:fill="auto"/>
            <w:vAlign w:val="center"/>
          </w:tcPr>
          <w:p w14:paraId="4537FC81" w14:textId="38E82A74" w:rsidR="00244641" w:rsidRPr="006D2DE0" w:rsidRDefault="00244641" w:rsidP="00626BAD">
            <w:pPr>
              <w:tabs>
                <w:tab w:val="left" w:pos="33"/>
                <w:tab w:val="decimal" w:pos="378"/>
              </w:tabs>
              <w:jc w:val="left"/>
              <w:rPr>
                <w:sz w:val="18"/>
                <w:szCs w:val="18"/>
              </w:rPr>
            </w:pPr>
            <w:r>
              <w:rPr>
                <w:color w:val="000000"/>
                <w:sz w:val="18"/>
                <w:szCs w:val="18"/>
              </w:rPr>
              <w:tab/>
              <w:t>(-)</w:t>
            </w:r>
            <w:r>
              <w:rPr>
                <w:color w:val="000000"/>
                <w:sz w:val="18"/>
                <w:szCs w:val="18"/>
              </w:rPr>
              <w:tab/>
              <w:t>5.8</w:t>
            </w:r>
          </w:p>
        </w:tc>
        <w:tc>
          <w:tcPr>
            <w:tcW w:w="908" w:type="dxa"/>
            <w:tcBorders>
              <w:top w:val="single" w:sz="4" w:space="0" w:color="404040"/>
              <w:left w:val="nil"/>
              <w:bottom w:val="nil"/>
              <w:right w:val="single" w:sz="4" w:space="0" w:color="404040"/>
            </w:tcBorders>
            <w:shd w:val="clear" w:color="auto" w:fill="auto"/>
            <w:vAlign w:val="center"/>
          </w:tcPr>
          <w:p w14:paraId="0FDEC4D2" w14:textId="5BA869F6" w:rsidR="00244641" w:rsidRPr="006D2DE0" w:rsidRDefault="00244641" w:rsidP="00626BAD">
            <w:pPr>
              <w:tabs>
                <w:tab w:val="left" w:pos="44"/>
                <w:tab w:val="decimal" w:pos="459"/>
              </w:tabs>
              <w:jc w:val="left"/>
              <w:rPr>
                <w:sz w:val="18"/>
                <w:szCs w:val="18"/>
              </w:rPr>
            </w:pPr>
            <w:r>
              <w:rPr>
                <w:color w:val="000000"/>
                <w:sz w:val="18"/>
                <w:szCs w:val="18"/>
              </w:rPr>
              <w:tab/>
              <w:t>(-)</w:t>
            </w:r>
            <w:r>
              <w:rPr>
                <w:color w:val="000000"/>
                <w:sz w:val="18"/>
                <w:szCs w:val="18"/>
              </w:rPr>
              <w:tab/>
              <w:t>18.1</w:t>
            </w:r>
          </w:p>
        </w:tc>
        <w:tc>
          <w:tcPr>
            <w:tcW w:w="494" w:type="dxa"/>
            <w:tcBorders>
              <w:top w:val="nil"/>
              <w:left w:val="single" w:sz="4" w:space="0" w:color="404040"/>
              <w:bottom w:val="nil"/>
              <w:right w:val="nil"/>
            </w:tcBorders>
            <w:shd w:val="clear" w:color="auto" w:fill="auto"/>
            <w:vAlign w:val="center"/>
          </w:tcPr>
          <w:p w14:paraId="70316B9A" w14:textId="0B7C281D" w:rsidR="00244641" w:rsidRPr="006D2DE0" w:rsidRDefault="00244641" w:rsidP="00244641">
            <w:pPr>
              <w:jc w:val="right"/>
              <w:rPr>
                <w:sz w:val="18"/>
                <w:szCs w:val="18"/>
              </w:rPr>
            </w:pPr>
            <w:r>
              <w:rPr>
                <w:sz w:val="18"/>
                <w:szCs w:val="18"/>
              </w:rPr>
              <w:t>6</w:t>
            </w:r>
          </w:p>
        </w:tc>
        <w:tc>
          <w:tcPr>
            <w:tcW w:w="1250" w:type="dxa"/>
            <w:tcBorders>
              <w:top w:val="nil"/>
              <w:left w:val="nil"/>
              <w:bottom w:val="nil"/>
              <w:right w:val="single" w:sz="4" w:space="0" w:color="404040"/>
            </w:tcBorders>
            <w:shd w:val="clear" w:color="auto" w:fill="auto"/>
            <w:vAlign w:val="center"/>
          </w:tcPr>
          <w:p w14:paraId="32F9DF71" w14:textId="77777777" w:rsidR="00244641" w:rsidRPr="00385445" w:rsidRDefault="00244641" w:rsidP="00244641">
            <w:pPr>
              <w:rPr>
                <w:sz w:val="18"/>
                <w:szCs w:val="18"/>
              </w:rPr>
            </w:pPr>
            <w:r w:rsidRPr="00385445">
              <w:rPr>
                <w:sz w:val="18"/>
                <w:szCs w:val="18"/>
              </w:rPr>
              <w:t xml:space="preserve">Por </w:t>
            </w:r>
            <w:r>
              <w:rPr>
                <w:sz w:val="18"/>
                <w:szCs w:val="18"/>
              </w:rPr>
              <w:t>de</w:t>
            </w:r>
            <w:r w:rsidRPr="00385445">
              <w:rPr>
                <w:sz w:val="18"/>
                <w:szCs w:val="18"/>
              </w:rPr>
              <w:t>b</w:t>
            </w:r>
            <w:r>
              <w:rPr>
                <w:sz w:val="18"/>
                <w:szCs w:val="18"/>
              </w:rPr>
              <w:t>ajo</w:t>
            </w:r>
          </w:p>
        </w:tc>
      </w:tr>
      <w:tr w:rsidR="00244641" w:rsidRPr="00892F41" w14:paraId="7D2AAA7E" w14:textId="77777777" w:rsidTr="00244641">
        <w:tc>
          <w:tcPr>
            <w:tcW w:w="4815" w:type="dxa"/>
            <w:tcBorders>
              <w:top w:val="nil"/>
              <w:left w:val="single" w:sz="4" w:space="0" w:color="404040"/>
              <w:bottom w:val="nil"/>
              <w:right w:val="single" w:sz="4" w:space="0" w:color="404040"/>
            </w:tcBorders>
            <w:shd w:val="clear" w:color="auto" w:fill="auto"/>
            <w:vAlign w:val="bottom"/>
          </w:tcPr>
          <w:p w14:paraId="419ABA77" w14:textId="77777777" w:rsidR="00244641" w:rsidRPr="00812DAD" w:rsidRDefault="00244641" w:rsidP="00244641">
            <w:pPr>
              <w:pStyle w:val="Prrafodelista"/>
              <w:widowControl w:val="0"/>
              <w:numPr>
                <w:ilvl w:val="0"/>
                <w:numId w:val="14"/>
              </w:numPr>
              <w:spacing w:before="20" w:after="20"/>
              <w:ind w:left="313" w:hanging="284"/>
              <w:contextualSpacing/>
              <w:jc w:val="left"/>
              <w:rPr>
                <w:spacing w:val="-4"/>
                <w:sz w:val="18"/>
                <w:szCs w:val="18"/>
                <w:lang w:val="es-MX"/>
              </w:rPr>
            </w:pPr>
            <w:r w:rsidRPr="00812DAD">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2B4744A8" w:rsidR="00244641" w:rsidRPr="006D2DE0" w:rsidRDefault="00244641" w:rsidP="00244641">
            <w:pPr>
              <w:tabs>
                <w:tab w:val="decimal" w:pos="390"/>
              </w:tabs>
              <w:jc w:val="left"/>
              <w:rPr>
                <w:sz w:val="18"/>
                <w:szCs w:val="18"/>
              </w:rPr>
            </w:pPr>
            <w:r>
              <w:rPr>
                <w:color w:val="000000"/>
                <w:sz w:val="18"/>
                <w:szCs w:val="18"/>
              </w:rPr>
              <w:t>36.4</w:t>
            </w:r>
          </w:p>
        </w:tc>
        <w:tc>
          <w:tcPr>
            <w:tcW w:w="908" w:type="dxa"/>
            <w:tcBorders>
              <w:top w:val="nil"/>
              <w:left w:val="single" w:sz="4" w:space="0" w:color="404040"/>
              <w:bottom w:val="nil"/>
              <w:right w:val="nil"/>
            </w:tcBorders>
            <w:shd w:val="clear" w:color="auto" w:fill="auto"/>
            <w:vAlign w:val="center"/>
          </w:tcPr>
          <w:p w14:paraId="07BAD8AE" w14:textId="0135ED1F" w:rsidR="00244641" w:rsidRPr="006D2DE0" w:rsidRDefault="00244641" w:rsidP="00626BAD">
            <w:pPr>
              <w:tabs>
                <w:tab w:val="left" w:pos="33"/>
                <w:tab w:val="decimal" w:pos="378"/>
              </w:tabs>
              <w:jc w:val="left"/>
              <w:rPr>
                <w:sz w:val="18"/>
                <w:szCs w:val="18"/>
              </w:rPr>
            </w:pPr>
            <w:r>
              <w:rPr>
                <w:color w:val="000000"/>
                <w:sz w:val="18"/>
                <w:szCs w:val="18"/>
              </w:rPr>
              <w:tab/>
              <w:t>(-)</w:t>
            </w:r>
            <w:r>
              <w:rPr>
                <w:color w:val="000000"/>
                <w:sz w:val="18"/>
                <w:szCs w:val="18"/>
              </w:rPr>
              <w:tab/>
              <w:t>7.4</w:t>
            </w:r>
          </w:p>
        </w:tc>
        <w:tc>
          <w:tcPr>
            <w:tcW w:w="908" w:type="dxa"/>
            <w:tcBorders>
              <w:top w:val="nil"/>
              <w:left w:val="nil"/>
              <w:bottom w:val="nil"/>
              <w:right w:val="single" w:sz="4" w:space="0" w:color="404040"/>
            </w:tcBorders>
            <w:shd w:val="clear" w:color="auto" w:fill="auto"/>
            <w:vAlign w:val="center"/>
          </w:tcPr>
          <w:p w14:paraId="26173ACB" w14:textId="16DF537A" w:rsidR="00244641" w:rsidRPr="006D2DE0" w:rsidRDefault="00244641" w:rsidP="00626BAD">
            <w:pPr>
              <w:tabs>
                <w:tab w:val="left" w:pos="44"/>
                <w:tab w:val="decimal" w:pos="459"/>
              </w:tabs>
              <w:jc w:val="left"/>
              <w:rPr>
                <w:sz w:val="18"/>
                <w:szCs w:val="18"/>
              </w:rPr>
            </w:pPr>
            <w:r>
              <w:rPr>
                <w:color w:val="000000"/>
                <w:sz w:val="18"/>
                <w:szCs w:val="18"/>
              </w:rPr>
              <w:tab/>
              <w:t>(-)</w:t>
            </w:r>
            <w:r>
              <w:rPr>
                <w:color w:val="000000"/>
                <w:sz w:val="18"/>
                <w:szCs w:val="18"/>
              </w:rPr>
              <w:tab/>
              <w:t>17.1</w:t>
            </w:r>
          </w:p>
        </w:tc>
        <w:tc>
          <w:tcPr>
            <w:tcW w:w="494" w:type="dxa"/>
            <w:tcBorders>
              <w:top w:val="nil"/>
              <w:left w:val="single" w:sz="4" w:space="0" w:color="404040"/>
              <w:bottom w:val="nil"/>
              <w:right w:val="nil"/>
            </w:tcBorders>
            <w:shd w:val="clear" w:color="auto" w:fill="auto"/>
            <w:vAlign w:val="center"/>
          </w:tcPr>
          <w:p w14:paraId="64373E55" w14:textId="087A4726" w:rsidR="00244641" w:rsidRPr="006D2DE0" w:rsidRDefault="00244641" w:rsidP="00244641">
            <w:pPr>
              <w:jc w:val="right"/>
              <w:rPr>
                <w:sz w:val="18"/>
                <w:szCs w:val="18"/>
              </w:rPr>
            </w:pPr>
            <w:r>
              <w:rPr>
                <w:sz w:val="18"/>
                <w:szCs w:val="18"/>
              </w:rPr>
              <w:t>7</w:t>
            </w:r>
          </w:p>
        </w:tc>
        <w:tc>
          <w:tcPr>
            <w:tcW w:w="1250" w:type="dxa"/>
            <w:tcBorders>
              <w:top w:val="nil"/>
              <w:left w:val="nil"/>
              <w:bottom w:val="nil"/>
              <w:right w:val="single" w:sz="4" w:space="0" w:color="404040"/>
            </w:tcBorders>
            <w:shd w:val="clear" w:color="auto" w:fill="auto"/>
            <w:vAlign w:val="center"/>
          </w:tcPr>
          <w:p w14:paraId="365F32BF" w14:textId="77777777" w:rsidR="00244641" w:rsidRPr="00385445" w:rsidRDefault="00244641" w:rsidP="00244641">
            <w:pPr>
              <w:rPr>
                <w:sz w:val="18"/>
                <w:szCs w:val="18"/>
              </w:rPr>
            </w:pPr>
            <w:r w:rsidRPr="00385445">
              <w:rPr>
                <w:sz w:val="18"/>
                <w:szCs w:val="18"/>
              </w:rPr>
              <w:t>Por debajo</w:t>
            </w:r>
          </w:p>
        </w:tc>
      </w:tr>
      <w:tr w:rsidR="00244641" w:rsidRPr="00892F41" w14:paraId="67253F9C" w14:textId="77777777" w:rsidTr="00244641">
        <w:tc>
          <w:tcPr>
            <w:tcW w:w="4815" w:type="dxa"/>
            <w:tcBorders>
              <w:top w:val="nil"/>
              <w:left w:val="single" w:sz="4" w:space="0" w:color="404040"/>
              <w:bottom w:val="nil"/>
              <w:right w:val="single" w:sz="4" w:space="0" w:color="404040"/>
            </w:tcBorders>
            <w:shd w:val="clear" w:color="auto" w:fill="auto"/>
            <w:vAlign w:val="bottom"/>
          </w:tcPr>
          <w:p w14:paraId="68DB8D32" w14:textId="77777777" w:rsidR="00244641" w:rsidRPr="00812DAD" w:rsidRDefault="00244641" w:rsidP="00244641">
            <w:pPr>
              <w:pStyle w:val="Prrafodelista"/>
              <w:widowControl w:val="0"/>
              <w:numPr>
                <w:ilvl w:val="0"/>
                <w:numId w:val="14"/>
              </w:numPr>
              <w:spacing w:before="20" w:after="20"/>
              <w:ind w:left="313" w:hanging="284"/>
              <w:contextualSpacing/>
              <w:jc w:val="left"/>
              <w:rPr>
                <w:spacing w:val="-4"/>
                <w:sz w:val="18"/>
                <w:szCs w:val="18"/>
                <w:lang w:val="es-MX"/>
              </w:rPr>
            </w:pPr>
            <w:r w:rsidRPr="00812DAD">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3ACB69CD" w:rsidR="00244641" w:rsidRPr="006D2DE0" w:rsidRDefault="00244641" w:rsidP="00244641">
            <w:pPr>
              <w:tabs>
                <w:tab w:val="decimal" w:pos="390"/>
              </w:tabs>
              <w:jc w:val="left"/>
              <w:rPr>
                <w:sz w:val="18"/>
                <w:szCs w:val="18"/>
              </w:rPr>
            </w:pPr>
            <w:r>
              <w:rPr>
                <w:color w:val="000000"/>
                <w:sz w:val="18"/>
                <w:szCs w:val="18"/>
              </w:rPr>
              <w:t>47.3</w:t>
            </w:r>
          </w:p>
        </w:tc>
        <w:tc>
          <w:tcPr>
            <w:tcW w:w="908" w:type="dxa"/>
            <w:tcBorders>
              <w:top w:val="nil"/>
              <w:left w:val="single" w:sz="4" w:space="0" w:color="404040"/>
              <w:bottom w:val="nil"/>
              <w:right w:val="nil"/>
            </w:tcBorders>
            <w:shd w:val="clear" w:color="auto" w:fill="auto"/>
            <w:vAlign w:val="center"/>
          </w:tcPr>
          <w:p w14:paraId="1842FF46" w14:textId="5506A2E9" w:rsidR="00244641" w:rsidRPr="006D2DE0" w:rsidRDefault="00244641" w:rsidP="00626BAD">
            <w:pPr>
              <w:tabs>
                <w:tab w:val="left" w:pos="33"/>
                <w:tab w:val="decimal" w:pos="378"/>
              </w:tabs>
              <w:jc w:val="left"/>
              <w:rPr>
                <w:sz w:val="18"/>
                <w:szCs w:val="18"/>
              </w:rPr>
            </w:pPr>
            <w:r>
              <w:rPr>
                <w:color w:val="000000"/>
                <w:sz w:val="18"/>
                <w:szCs w:val="18"/>
              </w:rPr>
              <w:tab/>
              <w:t>(-)</w:t>
            </w:r>
            <w:r>
              <w:rPr>
                <w:color w:val="000000"/>
                <w:sz w:val="18"/>
                <w:szCs w:val="18"/>
              </w:rPr>
              <w:tab/>
              <w:t>1.9</w:t>
            </w:r>
          </w:p>
        </w:tc>
        <w:tc>
          <w:tcPr>
            <w:tcW w:w="908" w:type="dxa"/>
            <w:tcBorders>
              <w:top w:val="nil"/>
              <w:left w:val="nil"/>
              <w:bottom w:val="nil"/>
              <w:right w:val="single" w:sz="4" w:space="0" w:color="404040"/>
            </w:tcBorders>
            <w:shd w:val="clear" w:color="auto" w:fill="auto"/>
            <w:vAlign w:val="center"/>
          </w:tcPr>
          <w:p w14:paraId="5D47EBBB" w14:textId="17AD24D8" w:rsidR="00244641" w:rsidRPr="006D2DE0" w:rsidRDefault="00244641" w:rsidP="00626BAD">
            <w:pPr>
              <w:tabs>
                <w:tab w:val="left" w:pos="44"/>
                <w:tab w:val="decimal" w:pos="459"/>
              </w:tabs>
              <w:jc w:val="left"/>
              <w:rPr>
                <w:sz w:val="18"/>
                <w:szCs w:val="18"/>
              </w:rPr>
            </w:pPr>
            <w:r>
              <w:rPr>
                <w:color w:val="000000"/>
                <w:sz w:val="18"/>
                <w:szCs w:val="18"/>
              </w:rPr>
              <w:tab/>
              <w:t>(-)</w:t>
            </w:r>
            <w:r>
              <w:rPr>
                <w:color w:val="000000"/>
                <w:sz w:val="18"/>
                <w:szCs w:val="18"/>
              </w:rPr>
              <w:tab/>
              <w:t>4.7</w:t>
            </w:r>
          </w:p>
        </w:tc>
        <w:tc>
          <w:tcPr>
            <w:tcW w:w="494" w:type="dxa"/>
            <w:tcBorders>
              <w:top w:val="nil"/>
              <w:left w:val="single" w:sz="4" w:space="0" w:color="404040"/>
              <w:bottom w:val="nil"/>
              <w:right w:val="nil"/>
            </w:tcBorders>
            <w:shd w:val="clear" w:color="auto" w:fill="auto"/>
            <w:vAlign w:val="center"/>
          </w:tcPr>
          <w:p w14:paraId="2B2B53D4" w14:textId="12427691" w:rsidR="00244641" w:rsidRPr="006D2DE0" w:rsidRDefault="00244641" w:rsidP="00244641">
            <w:pPr>
              <w:jc w:val="right"/>
              <w:rPr>
                <w:sz w:val="18"/>
                <w:szCs w:val="18"/>
              </w:rPr>
            </w:pPr>
            <w:r>
              <w:rPr>
                <w:sz w:val="18"/>
                <w:szCs w:val="18"/>
              </w:rPr>
              <w:t>5</w:t>
            </w:r>
          </w:p>
        </w:tc>
        <w:tc>
          <w:tcPr>
            <w:tcW w:w="1250" w:type="dxa"/>
            <w:tcBorders>
              <w:top w:val="nil"/>
              <w:left w:val="nil"/>
              <w:bottom w:val="nil"/>
              <w:right w:val="single" w:sz="4" w:space="0" w:color="404040"/>
            </w:tcBorders>
            <w:shd w:val="clear" w:color="auto" w:fill="auto"/>
            <w:vAlign w:val="center"/>
          </w:tcPr>
          <w:p w14:paraId="383BBF43" w14:textId="45702A91" w:rsidR="00244641" w:rsidRPr="00385445" w:rsidRDefault="00244641" w:rsidP="00244641">
            <w:pPr>
              <w:rPr>
                <w:sz w:val="18"/>
                <w:szCs w:val="18"/>
              </w:rPr>
            </w:pPr>
            <w:r w:rsidRPr="00385445">
              <w:rPr>
                <w:sz w:val="18"/>
                <w:szCs w:val="18"/>
              </w:rPr>
              <w:t xml:space="preserve">Por </w:t>
            </w:r>
            <w:r>
              <w:rPr>
                <w:sz w:val="18"/>
                <w:szCs w:val="18"/>
              </w:rPr>
              <w:t>debajo</w:t>
            </w:r>
          </w:p>
        </w:tc>
      </w:tr>
      <w:tr w:rsidR="00244641" w:rsidRPr="00892F41" w14:paraId="0553D0BB" w14:textId="77777777" w:rsidTr="00244641">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77777777" w:rsidR="00244641" w:rsidRPr="00812DAD" w:rsidRDefault="00244641" w:rsidP="00244641">
            <w:pPr>
              <w:pStyle w:val="Prrafodelista"/>
              <w:widowControl w:val="0"/>
              <w:numPr>
                <w:ilvl w:val="0"/>
                <w:numId w:val="14"/>
              </w:numPr>
              <w:spacing w:before="20" w:after="20"/>
              <w:ind w:left="313" w:hanging="284"/>
              <w:contextualSpacing/>
              <w:jc w:val="left"/>
              <w:rPr>
                <w:spacing w:val="-4"/>
                <w:sz w:val="18"/>
                <w:szCs w:val="18"/>
                <w:lang w:val="es-MX"/>
              </w:rPr>
            </w:pPr>
            <w:r w:rsidRPr="00812DAD">
              <w:rPr>
                <w:spacing w:val="-4"/>
                <w:sz w:val="18"/>
                <w:szCs w:val="18"/>
                <w:lang w:val="es-MX"/>
              </w:rPr>
              <w:t>Personal ocupado</w:t>
            </w:r>
            <w:r>
              <w:rPr>
                <w:spacing w:val="-4"/>
                <w:sz w:val="18"/>
                <w:szCs w:val="18"/>
                <w:lang w:val="es-MX"/>
              </w:rPr>
              <w:t xml:space="preserve">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433E1C3C" w:rsidR="00244641" w:rsidRPr="006D2DE0" w:rsidRDefault="00244641" w:rsidP="00244641">
            <w:pPr>
              <w:tabs>
                <w:tab w:val="decimal" w:pos="390"/>
              </w:tabs>
              <w:jc w:val="left"/>
              <w:rPr>
                <w:sz w:val="18"/>
                <w:szCs w:val="18"/>
              </w:rPr>
            </w:pPr>
            <w:r>
              <w:rPr>
                <w:color w:val="000000"/>
                <w:sz w:val="18"/>
                <w:szCs w:val="18"/>
              </w:rPr>
              <w:t>42.8</w:t>
            </w:r>
          </w:p>
        </w:tc>
        <w:tc>
          <w:tcPr>
            <w:tcW w:w="908" w:type="dxa"/>
            <w:tcBorders>
              <w:top w:val="nil"/>
              <w:left w:val="single" w:sz="4" w:space="0" w:color="404040"/>
              <w:bottom w:val="single" w:sz="4" w:space="0" w:color="auto"/>
              <w:right w:val="nil"/>
            </w:tcBorders>
            <w:shd w:val="clear" w:color="auto" w:fill="auto"/>
            <w:vAlign w:val="center"/>
          </w:tcPr>
          <w:p w14:paraId="7F51EB04" w14:textId="70709408" w:rsidR="00244641" w:rsidRPr="006D2DE0" w:rsidRDefault="00244641" w:rsidP="00626BAD">
            <w:pPr>
              <w:tabs>
                <w:tab w:val="left" w:pos="33"/>
                <w:tab w:val="decimal" w:pos="378"/>
              </w:tabs>
              <w:jc w:val="left"/>
              <w:rPr>
                <w:sz w:val="18"/>
                <w:szCs w:val="18"/>
              </w:rPr>
            </w:pPr>
            <w:r>
              <w:rPr>
                <w:color w:val="000000"/>
                <w:sz w:val="18"/>
                <w:szCs w:val="18"/>
              </w:rPr>
              <w:tab/>
              <w:t>(-)</w:t>
            </w:r>
            <w:r>
              <w:rPr>
                <w:color w:val="000000"/>
                <w:sz w:val="18"/>
                <w:szCs w:val="18"/>
              </w:rPr>
              <w:tab/>
              <w:t>3.4</w:t>
            </w:r>
          </w:p>
        </w:tc>
        <w:tc>
          <w:tcPr>
            <w:tcW w:w="908" w:type="dxa"/>
            <w:tcBorders>
              <w:top w:val="nil"/>
              <w:left w:val="nil"/>
              <w:bottom w:val="single" w:sz="4" w:space="0" w:color="auto"/>
              <w:right w:val="single" w:sz="4" w:space="0" w:color="404040"/>
            </w:tcBorders>
            <w:shd w:val="clear" w:color="auto" w:fill="auto"/>
            <w:vAlign w:val="center"/>
          </w:tcPr>
          <w:p w14:paraId="04B1F4FD" w14:textId="5D5F7450" w:rsidR="00244641" w:rsidRPr="006D2DE0" w:rsidRDefault="00244641" w:rsidP="00626BAD">
            <w:pPr>
              <w:tabs>
                <w:tab w:val="left" w:pos="44"/>
                <w:tab w:val="decimal" w:pos="459"/>
              </w:tabs>
              <w:jc w:val="left"/>
              <w:rPr>
                <w:sz w:val="18"/>
                <w:szCs w:val="18"/>
              </w:rPr>
            </w:pPr>
            <w:r>
              <w:rPr>
                <w:color w:val="000000"/>
                <w:sz w:val="18"/>
                <w:szCs w:val="18"/>
              </w:rPr>
              <w:tab/>
              <w:t>(-)</w:t>
            </w:r>
            <w:r>
              <w:rPr>
                <w:color w:val="000000"/>
                <w:sz w:val="18"/>
                <w:szCs w:val="18"/>
              </w:rPr>
              <w:tab/>
              <w:t>6.8</w:t>
            </w:r>
          </w:p>
        </w:tc>
        <w:tc>
          <w:tcPr>
            <w:tcW w:w="494" w:type="dxa"/>
            <w:tcBorders>
              <w:top w:val="nil"/>
              <w:left w:val="single" w:sz="4" w:space="0" w:color="404040"/>
              <w:bottom w:val="single" w:sz="4" w:space="0" w:color="auto"/>
              <w:right w:val="nil"/>
            </w:tcBorders>
            <w:shd w:val="clear" w:color="auto" w:fill="auto"/>
            <w:vAlign w:val="center"/>
          </w:tcPr>
          <w:p w14:paraId="3A103D31" w14:textId="03A86C2E" w:rsidR="00244641" w:rsidRPr="006D2DE0" w:rsidRDefault="00244641" w:rsidP="00244641">
            <w:pPr>
              <w:jc w:val="right"/>
              <w:rPr>
                <w:sz w:val="18"/>
                <w:szCs w:val="18"/>
              </w:rPr>
            </w:pPr>
            <w:r w:rsidRPr="006D2DE0">
              <w:rPr>
                <w:sz w:val="18"/>
                <w:szCs w:val="18"/>
              </w:rPr>
              <w:t>2</w:t>
            </w:r>
            <w:r>
              <w:rPr>
                <w:sz w:val="18"/>
                <w:szCs w:val="18"/>
              </w:rPr>
              <w:t>5</w:t>
            </w:r>
          </w:p>
        </w:tc>
        <w:tc>
          <w:tcPr>
            <w:tcW w:w="1250" w:type="dxa"/>
            <w:tcBorders>
              <w:top w:val="nil"/>
              <w:left w:val="nil"/>
              <w:bottom w:val="single" w:sz="4" w:space="0" w:color="auto"/>
              <w:right w:val="single" w:sz="4" w:space="0" w:color="404040"/>
            </w:tcBorders>
            <w:shd w:val="clear" w:color="auto" w:fill="auto"/>
            <w:vAlign w:val="center"/>
          </w:tcPr>
          <w:p w14:paraId="1C084BE2" w14:textId="77777777" w:rsidR="00244641" w:rsidRPr="00385445" w:rsidRDefault="00244641" w:rsidP="00244641">
            <w:pPr>
              <w:rPr>
                <w:sz w:val="18"/>
                <w:szCs w:val="18"/>
              </w:rPr>
            </w:pPr>
            <w:r w:rsidRPr="00385445">
              <w:rPr>
                <w:sz w:val="18"/>
                <w:szCs w:val="18"/>
              </w:rPr>
              <w:t>Por debajo</w:t>
            </w:r>
          </w:p>
        </w:tc>
      </w:tr>
    </w:tbl>
    <w:p w14:paraId="7B7B4F2D" w14:textId="77777777" w:rsidR="00840D75" w:rsidRDefault="00840D75" w:rsidP="00840D7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449968DC" w14:textId="77777777" w:rsidR="00840D75" w:rsidRDefault="00840D75" w:rsidP="00840D7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C588EF9" w14:textId="77777777" w:rsidR="00840D75" w:rsidRDefault="00840D75" w:rsidP="00840D7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7C71B222" w14:textId="55BAFC5A" w:rsidR="00E661EC" w:rsidRPr="00ED0B68" w:rsidRDefault="00E661EC" w:rsidP="00B02406">
      <w:pPr>
        <w:pStyle w:val="Textoindependiente2"/>
        <w:keepNext/>
        <w:keepLines/>
        <w:widowControl w:val="0"/>
        <w:spacing w:before="48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construcción </w:t>
      </w:r>
      <w:r w:rsidR="00E64D8F">
        <w:rPr>
          <w:b/>
          <w:smallCaps/>
          <w:sz w:val="22"/>
          <w:szCs w:val="20"/>
          <w:lang w:val="es-MX"/>
        </w:rPr>
        <w:t>a</w:t>
      </w:r>
      <w:r w:rsidR="001E054E">
        <w:rPr>
          <w:b/>
          <w:smallCaps/>
          <w:sz w:val="22"/>
          <w:szCs w:val="20"/>
          <w:lang w:val="es-MX"/>
        </w:rPr>
        <w:t xml:space="preserve">l mes de abril </w:t>
      </w:r>
      <w:r w:rsidRPr="00ED0B68">
        <w:rPr>
          <w:b/>
          <w:smallCaps/>
          <w:sz w:val="22"/>
          <w:szCs w:val="20"/>
          <w:lang w:val="es-MX"/>
        </w:rPr>
        <w:t xml:space="preserve">de </w:t>
      </w:r>
      <w:r w:rsidR="00C46EA9">
        <w:rPr>
          <w:b/>
          <w:smallCaps/>
          <w:sz w:val="22"/>
          <w:szCs w:val="20"/>
          <w:lang w:val="es-MX"/>
        </w:rPr>
        <w:t>20</w:t>
      </w:r>
      <w:r w:rsidR="00C8701F">
        <w:rPr>
          <w:b/>
          <w:smallCaps/>
          <w:sz w:val="22"/>
          <w:szCs w:val="20"/>
          <w:lang w:val="es-MX"/>
        </w:rPr>
        <w:t>20</w:t>
      </w:r>
    </w:p>
    <w:p w14:paraId="30CBADBA" w14:textId="77777777" w:rsidR="00E661EC" w:rsidRDefault="00E661EC" w:rsidP="00E661EC">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7F345D" w14:paraId="569849E5" w14:textId="77777777" w:rsidTr="00FC0745">
        <w:trPr>
          <w:trHeight w:val="1871"/>
          <w:jc w:val="center"/>
        </w:trPr>
        <w:tc>
          <w:tcPr>
            <w:tcW w:w="5305" w:type="dxa"/>
          </w:tcPr>
          <w:p w14:paraId="10D4774A" w14:textId="1427876D" w:rsidR="00E661EC" w:rsidRPr="007F345D" w:rsidRDefault="00015C92" w:rsidP="00D76DC5">
            <w:pPr>
              <w:pStyle w:val="p0"/>
              <w:spacing w:before="0"/>
              <w:rPr>
                <w:color w:val="auto"/>
                <w:sz w:val="16"/>
                <w:szCs w:val="16"/>
                <w:lang w:val="es-MX"/>
              </w:rPr>
            </w:pPr>
            <w:r>
              <w:rPr>
                <w:noProof/>
                <w:lang w:val="es-MX" w:eastAsia="es-MX"/>
              </w:rPr>
              <w:drawing>
                <wp:inline distT="0" distB="0" distL="0" distR="0" wp14:anchorId="59D339DD" wp14:editId="7E55F1BD">
                  <wp:extent cx="3274165" cy="1152000"/>
                  <wp:effectExtent l="0" t="0" r="0" b="0"/>
                  <wp:docPr id="5" name="Gráfico 5">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tcPr>
          <w:p w14:paraId="41F106A2" w14:textId="310161F4" w:rsidR="00E661EC" w:rsidRPr="007F345D" w:rsidRDefault="00015C92" w:rsidP="00D76DC5">
            <w:pPr>
              <w:pStyle w:val="p0"/>
              <w:spacing w:before="0"/>
              <w:rPr>
                <w:color w:val="auto"/>
                <w:sz w:val="16"/>
                <w:szCs w:val="16"/>
                <w:lang w:val="es-MX"/>
              </w:rPr>
            </w:pPr>
            <w:r>
              <w:rPr>
                <w:noProof/>
                <w:lang w:val="es-MX" w:eastAsia="es-MX"/>
              </w:rPr>
              <w:drawing>
                <wp:inline distT="0" distB="0" distL="0" distR="0" wp14:anchorId="49FF13AB" wp14:editId="598EB715">
                  <wp:extent cx="3274165" cy="1152000"/>
                  <wp:effectExtent l="0" t="0" r="0" b="0"/>
                  <wp:docPr id="6" name="Gráfico 6">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E661EC" w:rsidRPr="00EA3BC1" w14:paraId="59700014" w14:textId="77777777" w:rsidTr="00D76DC5">
        <w:tblPrEx>
          <w:tblCellMar>
            <w:left w:w="28" w:type="dxa"/>
            <w:right w:w="28" w:type="dxa"/>
          </w:tblCellMar>
        </w:tblPrEx>
        <w:trPr>
          <w:jc w:val="center"/>
        </w:trPr>
        <w:tc>
          <w:tcPr>
            <w:tcW w:w="5305" w:type="dxa"/>
          </w:tcPr>
          <w:p w14:paraId="2B57B640" w14:textId="77777777" w:rsidR="00E661EC" w:rsidRPr="00EA3BC1" w:rsidRDefault="00E661EC" w:rsidP="00D76DC5">
            <w:pPr>
              <w:pStyle w:val="p0"/>
              <w:spacing w:before="0"/>
              <w:rPr>
                <w:noProof/>
                <w:color w:val="auto"/>
                <w:sz w:val="10"/>
                <w:szCs w:val="10"/>
                <w:lang w:val="es-MX" w:eastAsia="es-MX"/>
              </w:rPr>
            </w:pPr>
          </w:p>
        </w:tc>
        <w:tc>
          <w:tcPr>
            <w:tcW w:w="5304" w:type="dxa"/>
          </w:tcPr>
          <w:p w14:paraId="5EF789D8" w14:textId="77777777" w:rsidR="00E661EC" w:rsidRPr="00EA3BC1" w:rsidRDefault="00E661EC" w:rsidP="00D76DC5">
            <w:pPr>
              <w:pStyle w:val="p0"/>
              <w:spacing w:before="0"/>
              <w:rPr>
                <w:noProof/>
                <w:color w:val="auto"/>
                <w:sz w:val="10"/>
                <w:szCs w:val="10"/>
                <w:lang w:val="es-MX" w:eastAsia="es-MX"/>
              </w:rPr>
            </w:pPr>
          </w:p>
        </w:tc>
      </w:tr>
      <w:tr w:rsidR="00E661EC" w:rsidRPr="007F345D" w14:paraId="09677DA6" w14:textId="77777777" w:rsidTr="00FC0745">
        <w:trPr>
          <w:trHeight w:val="1871"/>
          <w:jc w:val="center"/>
        </w:trPr>
        <w:tc>
          <w:tcPr>
            <w:tcW w:w="5305" w:type="dxa"/>
          </w:tcPr>
          <w:p w14:paraId="38BFEC96" w14:textId="79D6C4B6" w:rsidR="00E661EC" w:rsidRPr="007F345D" w:rsidRDefault="004A3AB0" w:rsidP="00D76DC5">
            <w:pPr>
              <w:pStyle w:val="p0"/>
              <w:spacing w:before="0"/>
              <w:rPr>
                <w:noProof/>
                <w:color w:val="auto"/>
                <w:sz w:val="16"/>
                <w:szCs w:val="16"/>
                <w:lang w:val="es-MX" w:eastAsia="es-MX"/>
              </w:rPr>
            </w:pPr>
            <w:r>
              <w:rPr>
                <w:noProof/>
                <w:lang w:val="es-MX" w:eastAsia="es-MX"/>
              </w:rPr>
              <w:drawing>
                <wp:inline distT="0" distB="0" distL="0" distR="0" wp14:anchorId="43987900" wp14:editId="0AF02C8C">
                  <wp:extent cx="3276000" cy="1152000"/>
                  <wp:effectExtent l="0" t="0" r="0" b="0"/>
                  <wp:docPr id="7" name="Gráfico 7">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5304" w:type="dxa"/>
          </w:tcPr>
          <w:p w14:paraId="35E410DB" w14:textId="0137D0A5" w:rsidR="00E661EC" w:rsidRPr="007F345D" w:rsidRDefault="004A3AB0" w:rsidP="00D76DC5">
            <w:pPr>
              <w:pStyle w:val="p0"/>
              <w:spacing w:before="0"/>
              <w:rPr>
                <w:noProof/>
                <w:color w:val="auto"/>
                <w:sz w:val="16"/>
                <w:szCs w:val="16"/>
                <w:lang w:val="es-MX" w:eastAsia="es-MX"/>
              </w:rPr>
            </w:pPr>
            <w:r>
              <w:rPr>
                <w:noProof/>
                <w:lang w:val="es-MX" w:eastAsia="es-MX"/>
              </w:rPr>
              <w:drawing>
                <wp:inline distT="0" distB="0" distL="0" distR="0" wp14:anchorId="6B4D97C0" wp14:editId="415D962E">
                  <wp:extent cx="3274165" cy="1152000"/>
                  <wp:effectExtent l="0" t="0" r="0" b="0"/>
                  <wp:docPr id="8" name="Gráfico 8">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24C05D8" w14:textId="77777777"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14:paraId="198926AF" w14:textId="77777777" w:rsidR="000C1EFB" w:rsidRDefault="000C1EFB">
      <w:pPr>
        <w:jc w:val="left"/>
        <w:rPr>
          <w:b/>
          <w:smallCaps/>
          <w:sz w:val="22"/>
          <w:lang w:val="es-MX"/>
        </w:rPr>
      </w:pPr>
      <w:r>
        <w:rPr>
          <w:b/>
          <w:smallCaps/>
          <w:sz w:val="22"/>
          <w:lang w:val="es-MX"/>
        </w:rPr>
        <w:br w:type="page"/>
      </w:r>
    </w:p>
    <w:p w14:paraId="3D9DBAAD" w14:textId="67F693FB" w:rsidR="00BB7B85" w:rsidRDefault="00BB7B85" w:rsidP="00BB7B85">
      <w:pPr>
        <w:keepNext/>
        <w:keepLines/>
        <w:widowControl w:val="0"/>
        <w:spacing w:before="360"/>
        <w:outlineLvl w:val="0"/>
        <w:rPr>
          <w:b/>
          <w:smallCaps/>
          <w:sz w:val="22"/>
          <w:lang w:val="es-MX"/>
        </w:rPr>
      </w:pPr>
      <w:r>
        <w:lastRenderedPageBreak/>
        <w:t>En</w:t>
      </w:r>
      <w:r w:rsidR="009C4C14">
        <w:t xml:space="preserve"> su comparación mensual</w:t>
      </w:r>
      <w:r w:rsidR="00511E6F">
        <w:t>,</w:t>
      </w:r>
      <w:r>
        <w:t xml:space="preserve"> las </w:t>
      </w:r>
      <w:r>
        <w:rPr>
          <w:b/>
        </w:rPr>
        <w:t xml:space="preserve">Expectativas </w:t>
      </w:r>
      <w:r w:rsidRPr="009E7772">
        <w:rPr>
          <w:b/>
        </w:rPr>
        <w:t xml:space="preserve">Empresariales </w:t>
      </w:r>
      <w:r w:rsidR="00961C96" w:rsidRPr="009E7772">
        <w:rPr>
          <w:b/>
        </w:rPr>
        <w:t>del</w:t>
      </w:r>
      <w:r w:rsidR="00961C96">
        <w:t xml:space="preserve"> </w:t>
      </w:r>
      <w:r w:rsidR="00961C96" w:rsidRPr="00961C96">
        <w:rPr>
          <w:b/>
        </w:rPr>
        <w:t>S</w:t>
      </w:r>
      <w:r w:rsidRPr="00961C96">
        <w:rPr>
          <w:b/>
        </w:rPr>
        <w:t>ector Comercio</w:t>
      </w:r>
      <w:r>
        <w:t xml:space="preserve"> </w:t>
      </w:r>
      <w:r w:rsidR="00FD74D9">
        <w:t xml:space="preserve">en </w:t>
      </w:r>
      <w:r w:rsidR="001E054E">
        <w:t>abril</w:t>
      </w:r>
      <w:r w:rsidR="00FD74D9">
        <w:t xml:space="preserve"> </w:t>
      </w:r>
      <w:r w:rsidR="001E054E">
        <w:t>del presente año</w:t>
      </w:r>
      <w:r w:rsidR="003058C2">
        <w:t xml:space="preserve"> </w:t>
      </w:r>
      <w:r w:rsidR="007C27FF">
        <w:t>regis</w:t>
      </w:r>
      <w:r w:rsidR="00FD74D9">
        <w:t>traron</w:t>
      </w:r>
      <w:r w:rsidRPr="00051C3C">
        <w:t xml:space="preserve"> el siguiente comportamiento</w:t>
      </w:r>
      <w:r w:rsidR="005D661A">
        <w:t xml:space="preserve"> con ajuste estacional</w:t>
      </w:r>
      <w:r>
        <w:t>:</w:t>
      </w:r>
    </w:p>
    <w:p w14:paraId="670F540A" w14:textId="77777777" w:rsidR="00D76DC5" w:rsidRPr="00637BEA" w:rsidRDefault="00D76DC5" w:rsidP="00B02406">
      <w:pPr>
        <w:keepNext/>
        <w:keepLines/>
        <w:widowControl w:val="0"/>
        <w:spacing w:before="24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comercio</w:t>
      </w:r>
    </w:p>
    <w:p w14:paraId="5217F1A0" w14:textId="77777777" w:rsidR="00D76DC5" w:rsidRPr="00637BEA" w:rsidRDefault="00D76DC5" w:rsidP="00D76DC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637BEA"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9E60BE" w:rsidRDefault="003355C9" w:rsidP="003355C9">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44A9DD96" w:rsidR="003355C9" w:rsidRPr="00315FA1" w:rsidRDefault="001E054E" w:rsidP="00C8701F">
            <w:pPr>
              <w:ind w:left="-108" w:right="-82"/>
              <w:jc w:val="center"/>
              <w:rPr>
                <w:spacing w:val="-4"/>
                <w:sz w:val="18"/>
                <w:szCs w:val="18"/>
              </w:rPr>
            </w:pPr>
            <w:r>
              <w:rPr>
                <w:spacing w:val="-4"/>
                <w:sz w:val="18"/>
                <w:szCs w:val="18"/>
              </w:rPr>
              <w:t>Abril</w:t>
            </w:r>
            <w:r w:rsidR="003355C9" w:rsidRPr="00315FA1">
              <w:rPr>
                <w:spacing w:val="-4"/>
                <w:sz w:val="18"/>
                <w:szCs w:val="18"/>
              </w:rPr>
              <w:br/>
              <w:t>de 20</w:t>
            </w:r>
            <w:r w:rsidR="00C8701F">
              <w:rPr>
                <w:spacing w:val="-4"/>
                <w:sz w:val="18"/>
                <w:szCs w:val="18"/>
              </w:rPr>
              <w:t>20</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315FA1" w:rsidRDefault="00D36749" w:rsidP="001B1EDC">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w:t>
            </w:r>
            <w:r w:rsidR="001B1EDC" w:rsidRPr="00315FA1">
              <w:rPr>
                <w:spacing w:val="-4"/>
                <w:sz w:val="18"/>
                <w:szCs w:val="18"/>
              </w:rPr>
              <w:t xml:space="preserve">en </w:t>
            </w:r>
            <w:r w:rsidR="001B1EDC" w:rsidRPr="00315FA1">
              <w:rPr>
                <w:spacing w:val="-4"/>
                <w:sz w:val="18"/>
                <w:szCs w:val="18"/>
              </w:rPr>
              <w:br/>
              <w:t xml:space="preserve">puntos </w:t>
            </w:r>
            <w:r w:rsidRPr="00315FA1">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315FA1" w:rsidRDefault="003355C9" w:rsidP="003355C9">
            <w:pPr>
              <w:tabs>
                <w:tab w:val="center" w:pos="3348"/>
              </w:tabs>
              <w:ind w:left="-84" w:right="-99"/>
              <w:jc w:val="center"/>
              <w:rPr>
                <w:spacing w:val="-4"/>
                <w:sz w:val="18"/>
                <w:szCs w:val="18"/>
              </w:rPr>
            </w:pPr>
            <w:r w:rsidRPr="00315FA1">
              <w:rPr>
                <w:spacing w:val="-4"/>
                <w:sz w:val="18"/>
                <w:szCs w:val="18"/>
              </w:rPr>
              <w:t xml:space="preserve">Número de meses consecutivos por </w:t>
            </w:r>
            <w:r w:rsidR="008804EB">
              <w:rPr>
                <w:spacing w:val="-4"/>
                <w:sz w:val="18"/>
                <w:szCs w:val="18"/>
              </w:rPr>
              <w:br/>
            </w:r>
            <w:r w:rsidRPr="00315FA1">
              <w:rPr>
                <w:spacing w:val="-4"/>
                <w:sz w:val="18"/>
                <w:szCs w:val="18"/>
              </w:rPr>
              <w:t xml:space="preserve">arriba o por debajo </w:t>
            </w:r>
            <w:r w:rsidR="008804EB">
              <w:rPr>
                <w:spacing w:val="-4"/>
                <w:sz w:val="18"/>
                <w:szCs w:val="18"/>
              </w:rPr>
              <w:br/>
            </w:r>
            <w:r w:rsidRPr="00315FA1">
              <w:rPr>
                <w:spacing w:val="-4"/>
                <w:sz w:val="18"/>
                <w:szCs w:val="18"/>
              </w:rPr>
              <w:t xml:space="preserve">del umbral de </w:t>
            </w:r>
            <w:r w:rsidR="008804EB">
              <w:rPr>
                <w:spacing w:val="-4"/>
                <w:sz w:val="18"/>
                <w:szCs w:val="18"/>
              </w:rPr>
              <w:br/>
            </w:r>
            <w:r w:rsidRPr="00315FA1">
              <w:rPr>
                <w:spacing w:val="-4"/>
                <w:sz w:val="18"/>
                <w:szCs w:val="18"/>
              </w:rPr>
              <w:t>50 puntos</w:t>
            </w:r>
          </w:p>
        </w:tc>
      </w:tr>
      <w:tr w:rsidR="00D36749" w:rsidRPr="00637BEA"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9E60BE"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315FA1" w:rsidRDefault="0045475C" w:rsidP="00CF593A">
            <w:pPr>
              <w:ind w:left="-106" w:right="-95"/>
              <w:jc w:val="center"/>
              <w:rPr>
                <w:spacing w:val="-4"/>
                <w:sz w:val="18"/>
                <w:szCs w:val="18"/>
              </w:rPr>
            </w:pPr>
            <w:r>
              <w:rPr>
                <w:spacing w:val="-4"/>
                <w:sz w:val="18"/>
                <w:szCs w:val="18"/>
              </w:rPr>
              <w:t>Mes</w:t>
            </w:r>
            <w:r w:rsidR="00CF593A">
              <w:rPr>
                <w:spacing w:val="-4"/>
                <w:sz w:val="18"/>
                <w:szCs w:val="18"/>
              </w:rPr>
              <w:br/>
            </w:r>
            <w:r w:rsidR="00D36749" w:rsidRPr="00315FA1">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315FA1" w:rsidRDefault="00D36749" w:rsidP="00D36749">
            <w:pPr>
              <w:ind w:left="-106" w:right="-95"/>
              <w:jc w:val="center"/>
              <w:rPr>
                <w:spacing w:val="-4"/>
                <w:sz w:val="18"/>
                <w:szCs w:val="18"/>
              </w:rPr>
            </w:pPr>
            <w:r w:rsidRPr="00315FA1">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39544E" w:rsidRDefault="00D36749" w:rsidP="00D36749">
            <w:pPr>
              <w:tabs>
                <w:tab w:val="center" w:pos="3348"/>
              </w:tabs>
              <w:ind w:left="-84" w:right="-99"/>
              <w:jc w:val="center"/>
              <w:rPr>
                <w:sz w:val="18"/>
                <w:szCs w:val="18"/>
              </w:rPr>
            </w:pPr>
          </w:p>
        </w:tc>
      </w:tr>
      <w:tr w:rsidR="00905573" w:rsidRPr="00892F41" w14:paraId="14076ACE" w14:textId="77777777" w:rsidTr="00905573">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77777777" w:rsidR="00905573" w:rsidRPr="0039544E" w:rsidRDefault="00905573" w:rsidP="00905573">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6F5AF346" w:rsidR="00905573" w:rsidRPr="00FF5523" w:rsidRDefault="00905573" w:rsidP="00905573">
            <w:pPr>
              <w:tabs>
                <w:tab w:val="decimal" w:pos="409"/>
              </w:tabs>
              <w:jc w:val="left"/>
              <w:rPr>
                <w:sz w:val="18"/>
                <w:szCs w:val="18"/>
                <w:lang w:val="es-MX" w:eastAsia="es-MX"/>
              </w:rPr>
            </w:pPr>
            <w:r>
              <w:rPr>
                <w:color w:val="000000"/>
                <w:sz w:val="18"/>
                <w:szCs w:val="18"/>
              </w:rPr>
              <w:t>31.4</w:t>
            </w:r>
          </w:p>
        </w:tc>
        <w:tc>
          <w:tcPr>
            <w:tcW w:w="1043" w:type="dxa"/>
            <w:tcBorders>
              <w:top w:val="single" w:sz="4" w:space="0" w:color="404040"/>
              <w:left w:val="single" w:sz="4" w:space="0" w:color="404040"/>
              <w:bottom w:val="nil"/>
              <w:right w:val="nil"/>
            </w:tcBorders>
            <w:shd w:val="clear" w:color="auto" w:fill="auto"/>
            <w:vAlign w:val="center"/>
          </w:tcPr>
          <w:p w14:paraId="4703F21C" w14:textId="702421E6" w:rsidR="00905573" w:rsidRPr="00FF5523" w:rsidRDefault="00905573" w:rsidP="00905573">
            <w:pPr>
              <w:tabs>
                <w:tab w:val="left" w:pos="61"/>
                <w:tab w:val="decimal" w:pos="480"/>
              </w:tabs>
              <w:jc w:val="left"/>
              <w:rPr>
                <w:sz w:val="18"/>
                <w:szCs w:val="18"/>
              </w:rPr>
            </w:pPr>
            <w:r>
              <w:rPr>
                <w:color w:val="000000"/>
                <w:sz w:val="18"/>
                <w:szCs w:val="18"/>
              </w:rPr>
              <w:tab/>
              <w:t>(-)</w:t>
            </w:r>
            <w:r>
              <w:rPr>
                <w:color w:val="000000"/>
                <w:sz w:val="18"/>
                <w:szCs w:val="18"/>
              </w:rPr>
              <w:tab/>
              <w:t>19.0</w:t>
            </w:r>
          </w:p>
        </w:tc>
        <w:tc>
          <w:tcPr>
            <w:tcW w:w="1043" w:type="dxa"/>
            <w:tcBorders>
              <w:top w:val="single" w:sz="4" w:space="0" w:color="404040"/>
              <w:left w:val="nil"/>
              <w:bottom w:val="nil"/>
              <w:right w:val="single" w:sz="4" w:space="0" w:color="404040"/>
            </w:tcBorders>
            <w:shd w:val="clear" w:color="auto" w:fill="auto"/>
            <w:vAlign w:val="center"/>
          </w:tcPr>
          <w:p w14:paraId="7D6BE7B2" w14:textId="5DDE72E2" w:rsidR="00905573" w:rsidRPr="00FF5523" w:rsidRDefault="00905573" w:rsidP="00905573">
            <w:pPr>
              <w:tabs>
                <w:tab w:val="left" w:pos="61"/>
                <w:tab w:val="decimal" w:pos="469"/>
              </w:tabs>
              <w:jc w:val="left"/>
              <w:rPr>
                <w:sz w:val="18"/>
                <w:szCs w:val="18"/>
              </w:rPr>
            </w:pPr>
            <w:r>
              <w:rPr>
                <w:color w:val="000000"/>
                <w:sz w:val="18"/>
                <w:szCs w:val="18"/>
              </w:rPr>
              <w:tab/>
              <w:t>(-)</w:t>
            </w:r>
            <w:r>
              <w:rPr>
                <w:color w:val="000000"/>
                <w:sz w:val="18"/>
                <w:szCs w:val="18"/>
              </w:rPr>
              <w:tab/>
              <w:t>23.3</w:t>
            </w:r>
          </w:p>
        </w:tc>
        <w:tc>
          <w:tcPr>
            <w:tcW w:w="557" w:type="dxa"/>
            <w:tcBorders>
              <w:top w:val="nil"/>
              <w:left w:val="single" w:sz="4" w:space="0" w:color="404040"/>
              <w:bottom w:val="nil"/>
              <w:right w:val="nil"/>
            </w:tcBorders>
            <w:shd w:val="clear" w:color="auto" w:fill="auto"/>
            <w:vAlign w:val="center"/>
          </w:tcPr>
          <w:p w14:paraId="2FA49B77" w14:textId="7B291A8F" w:rsidR="00905573" w:rsidRPr="00FF5523" w:rsidRDefault="00905573" w:rsidP="00905573">
            <w:pPr>
              <w:jc w:val="right"/>
              <w:rPr>
                <w:sz w:val="18"/>
                <w:szCs w:val="18"/>
              </w:rPr>
            </w:pPr>
            <w:r>
              <w:rPr>
                <w:sz w:val="18"/>
                <w:szCs w:val="18"/>
              </w:rPr>
              <w:t>1</w:t>
            </w:r>
          </w:p>
        </w:tc>
        <w:tc>
          <w:tcPr>
            <w:tcW w:w="1249" w:type="dxa"/>
            <w:tcBorders>
              <w:top w:val="nil"/>
              <w:left w:val="nil"/>
              <w:bottom w:val="nil"/>
              <w:right w:val="single" w:sz="4" w:space="0" w:color="404040"/>
            </w:tcBorders>
            <w:shd w:val="clear" w:color="auto" w:fill="auto"/>
            <w:vAlign w:val="center"/>
          </w:tcPr>
          <w:p w14:paraId="58ECEB30" w14:textId="3D6A7D1C" w:rsidR="00905573" w:rsidRPr="00BB7BF9" w:rsidRDefault="00905573" w:rsidP="00905573">
            <w:pPr>
              <w:rPr>
                <w:sz w:val="18"/>
                <w:szCs w:val="18"/>
              </w:rPr>
            </w:pPr>
            <w:r w:rsidRPr="00BB7BF9">
              <w:rPr>
                <w:sz w:val="18"/>
                <w:szCs w:val="18"/>
              </w:rPr>
              <w:t xml:space="preserve">Por </w:t>
            </w:r>
            <w:r>
              <w:rPr>
                <w:sz w:val="18"/>
                <w:szCs w:val="18"/>
              </w:rPr>
              <w:t>debajo</w:t>
            </w:r>
          </w:p>
        </w:tc>
      </w:tr>
      <w:tr w:rsidR="00905573" w:rsidRPr="00892F41" w14:paraId="584588B1" w14:textId="77777777" w:rsidTr="00905573">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77777777" w:rsidR="00905573" w:rsidRPr="0039544E" w:rsidRDefault="00905573" w:rsidP="00905573">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7ECE0B62" w:rsidR="00905573" w:rsidRPr="00FF5523" w:rsidRDefault="00905573" w:rsidP="00905573">
            <w:pPr>
              <w:tabs>
                <w:tab w:val="decimal" w:pos="409"/>
              </w:tabs>
              <w:jc w:val="left"/>
              <w:rPr>
                <w:sz w:val="18"/>
                <w:szCs w:val="18"/>
              </w:rPr>
            </w:pPr>
            <w:r>
              <w:rPr>
                <w:color w:val="000000"/>
                <w:sz w:val="18"/>
                <w:szCs w:val="18"/>
              </w:rPr>
              <w:t>38.2</w:t>
            </w:r>
          </w:p>
        </w:tc>
        <w:tc>
          <w:tcPr>
            <w:tcW w:w="1043" w:type="dxa"/>
            <w:tcBorders>
              <w:top w:val="nil"/>
              <w:left w:val="single" w:sz="4" w:space="0" w:color="404040"/>
              <w:bottom w:val="nil"/>
              <w:right w:val="nil"/>
            </w:tcBorders>
            <w:shd w:val="clear" w:color="auto" w:fill="auto"/>
            <w:vAlign w:val="center"/>
          </w:tcPr>
          <w:p w14:paraId="08F4F869" w14:textId="6598128F" w:rsidR="00905573" w:rsidRPr="00FF5523" w:rsidRDefault="00905573" w:rsidP="00905573">
            <w:pPr>
              <w:tabs>
                <w:tab w:val="left" w:pos="61"/>
                <w:tab w:val="decimal" w:pos="480"/>
              </w:tabs>
              <w:jc w:val="left"/>
              <w:rPr>
                <w:sz w:val="18"/>
                <w:szCs w:val="18"/>
              </w:rPr>
            </w:pPr>
            <w:r>
              <w:rPr>
                <w:color w:val="000000"/>
                <w:sz w:val="18"/>
                <w:szCs w:val="18"/>
              </w:rPr>
              <w:tab/>
              <w:t>(-)</w:t>
            </w:r>
            <w:r>
              <w:rPr>
                <w:color w:val="000000"/>
                <w:sz w:val="18"/>
                <w:szCs w:val="18"/>
              </w:rPr>
              <w:tab/>
              <w:t>5.4</w:t>
            </w:r>
          </w:p>
        </w:tc>
        <w:tc>
          <w:tcPr>
            <w:tcW w:w="1043" w:type="dxa"/>
            <w:tcBorders>
              <w:top w:val="nil"/>
              <w:left w:val="nil"/>
              <w:bottom w:val="nil"/>
              <w:right w:val="single" w:sz="4" w:space="0" w:color="404040"/>
            </w:tcBorders>
            <w:shd w:val="clear" w:color="auto" w:fill="auto"/>
            <w:vAlign w:val="center"/>
          </w:tcPr>
          <w:p w14:paraId="38EA873F" w14:textId="064BD360" w:rsidR="00905573" w:rsidRPr="00FF5523" w:rsidRDefault="00905573" w:rsidP="00905573">
            <w:pPr>
              <w:tabs>
                <w:tab w:val="left" w:pos="61"/>
                <w:tab w:val="decimal" w:pos="469"/>
              </w:tabs>
              <w:jc w:val="left"/>
              <w:rPr>
                <w:sz w:val="18"/>
                <w:szCs w:val="18"/>
              </w:rPr>
            </w:pPr>
            <w:r>
              <w:rPr>
                <w:color w:val="000000"/>
                <w:sz w:val="18"/>
                <w:szCs w:val="18"/>
              </w:rPr>
              <w:tab/>
              <w:t>(-)</w:t>
            </w:r>
            <w:r>
              <w:rPr>
                <w:color w:val="000000"/>
                <w:sz w:val="18"/>
                <w:szCs w:val="18"/>
              </w:rPr>
              <w:tab/>
              <w:t>18.0</w:t>
            </w:r>
          </w:p>
        </w:tc>
        <w:tc>
          <w:tcPr>
            <w:tcW w:w="557" w:type="dxa"/>
            <w:tcBorders>
              <w:top w:val="nil"/>
              <w:left w:val="single" w:sz="4" w:space="0" w:color="404040"/>
              <w:bottom w:val="nil"/>
              <w:right w:val="nil"/>
            </w:tcBorders>
            <w:shd w:val="clear" w:color="auto" w:fill="auto"/>
            <w:vAlign w:val="center"/>
          </w:tcPr>
          <w:p w14:paraId="18535115" w14:textId="50593BF1" w:rsidR="00905573" w:rsidRPr="00FF5523" w:rsidRDefault="00905573" w:rsidP="00905573">
            <w:pPr>
              <w:jc w:val="right"/>
              <w:rPr>
                <w:sz w:val="18"/>
                <w:szCs w:val="18"/>
              </w:rPr>
            </w:pPr>
            <w:r>
              <w:rPr>
                <w:sz w:val="18"/>
                <w:szCs w:val="18"/>
              </w:rPr>
              <w:t>3</w:t>
            </w:r>
          </w:p>
        </w:tc>
        <w:tc>
          <w:tcPr>
            <w:tcW w:w="1249" w:type="dxa"/>
            <w:tcBorders>
              <w:top w:val="nil"/>
              <w:left w:val="nil"/>
              <w:bottom w:val="nil"/>
              <w:right w:val="single" w:sz="4" w:space="0" w:color="404040"/>
            </w:tcBorders>
            <w:shd w:val="clear" w:color="auto" w:fill="auto"/>
            <w:vAlign w:val="center"/>
          </w:tcPr>
          <w:p w14:paraId="4F5A5A42" w14:textId="58F7AF57" w:rsidR="00905573" w:rsidRPr="00BB7BF9" w:rsidRDefault="00905573" w:rsidP="00905573">
            <w:pPr>
              <w:rPr>
                <w:sz w:val="18"/>
                <w:szCs w:val="18"/>
              </w:rPr>
            </w:pPr>
            <w:r>
              <w:rPr>
                <w:sz w:val="18"/>
                <w:szCs w:val="18"/>
              </w:rPr>
              <w:t>Por debajo</w:t>
            </w:r>
          </w:p>
        </w:tc>
      </w:tr>
      <w:tr w:rsidR="00905573" w:rsidRPr="00892F41" w14:paraId="48E542AB" w14:textId="77777777" w:rsidTr="00905573">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77777777" w:rsidR="00905573" w:rsidRPr="0039544E" w:rsidRDefault="00905573" w:rsidP="00905573">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0ABB2387" w:rsidR="00905573" w:rsidRPr="00FF5523" w:rsidRDefault="00905573" w:rsidP="00905573">
            <w:pPr>
              <w:tabs>
                <w:tab w:val="decimal" w:pos="409"/>
              </w:tabs>
              <w:jc w:val="left"/>
              <w:rPr>
                <w:sz w:val="18"/>
                <w:szCs w:val="18"/>
              </w:rPr>
            </w:pPr>
            <w:r>
              <w:rPr>
                <w:color w:val="000000"/>
                <w:sz w:val="18"/>
                <w:szCs w:val="18"/>
              </w:rPr>
              <w:t>38.4</w:t>
            </w:r>
          </w:p>
        </w:tc>
        <w:tc>
          <w:tcPr>
            <w:tcW w:w="1043" w:type="dxa"/>
            <w:tcBorders>
              <w:top w:val="nil"/>
              <w:left w:val="single" w:sz="4" w:space="0" w:color="404040"/>
              <w:bottom w:val="nil"/>
              <w:right w:val="nil"/>
            </w:tcBorders>
            <w:shd w:val="clear" w:color="auto" w:fill="auto"/>
            <w:vAlign w:val="center"/>
          </w:tcPr>
          <w:p w14:paraId="0B1EB614" w14:textId="53458EB4" w:rsidR="00905573" w:rsidRPr="00FF5523" w:rsidRDefault="00905573" w:rsidP="00905573">
            <w:pPr>
              <w:tabs>
                <w:tab w:val="left" w:pos="61"/>
                <w:tab w:val="decimal" w:pos="480"/>
              </w:tabs>
              <w:jc w:val="left"/>
              <w:rPr>
                <w:sz w:val="18"/>
                <w:szCs w:val="18"/>
              </w:rPr>
            </w:pPr>
            <w:r>
              <w:rPr>
                <w:color w:val="000000"/>
                <w:sz w:val="18"/>
                <w:szCs w:val="18"/>
              </w:rPr>
              <w:tab/>
              <w:t>(-)</w:t>
            </w:r>
            <w:r>
              <w:rPr>
                <w:color w:val="000000"/>
                <w:sz w:val="18"/>
                <w:szCs w:val="18"/>
              </w:rPr>
              <w:tab/>
              <w:t>11.9</w:t>
            </w:r>
          </w:p>
        </w:tc>
        <w:tc>
          <w:tcPr>
            <w:tcW w:w="1043" w:type="dxa"/>
            <w:tcBorders>
              <w:top w:val="nil"/>
              <w:left w:val="nil"/>
              <w:bottom w:val="nil"/>
              <w:right w:val="single" w:sz="4" w:space="0" w:color="404040"/>
            </w:tcBorders>
            <w:shd w:val="clear" w:color="auto" w:fill="auto"/>
            <w:vAlign w:val="center"/>
          </w:tcPr>
          <w:p w14:paraId="343BDDC8" w14:textId="0E1E3BF2" w:rsidR="00905573" w:rsidRPr="00FF5523" w:rsidRDefault="00905573" w:rsidP="00905573">
            <w:pPr>
              <w:tabs>
                <w:tab w:val="left" w:pos="61"/>
                <w:tab w:val="decimal" w:pos="469"/>
              </w:tabs>
              <w:jc w:val="left"/>
              <w:rPr>
                <w:sz w:val="18"/>
                <w:szCs w:val="18"/>
              </w:rPr>
            </w:pPr>
            <w:r>
              <w:rPr>
                <w:color w:val="000000"/>
                <w:sz w:val="18"/>
                <w:szCs w:val="18"/>
              </w:rPr>
              <w:tab/>
              <w:t>(-)</w:t>
            </w:r>
            <w:r>
              <w:rPr>
                <w:color w:val="000000"/>
                <w:sz w:val="18"/>
                <w:szCs w:val="18"/>
              </w:rPr>
              <w:tab/>
              <w:t>21.8</w:t>
            </w:r>
          </w:p>
        </w:tc>
        <w:tc>
          <w:tcPr>
            <w:tcW w:w="557" w:type="dxa"/>
            <w:tcBorders>
              <w:top w:val="nil"/>
              <w:left w:val="single" w:sz="4" w:space="0" w:color="404040"/>
              <w:bottom w:val="nil"/>
              <w:right w:val="nil"/>
            </w:tcBorders>
            <w:shd w:val="clear" w:color="auto" w:fill="auto"/>
            <w:vAlign w:val="center"/>
          </w:tcPr>
          <w:p w14:paraId="77B80431" w14:textId="7EB7F849" w:rsidR="00905573" w:rsidRPr="00FF5523" w:rsidRDefault="00905573" w:rsidP="00905573">
            <w:pPr>
              <w:jc w:val="right"/>
              <w:rPr>
                <w:sz w:val="18"/>
                <w:szCs w:val="18"/>
              </w:rPr>
            </w:pPr>
            <w:r>
              <w:rPr>
                <w:sz w:val="18"/>
                <w:szCs w:val="18"/>
              </w:rPr>
              <w:t>1</w:t>
            </w:r>
          </w:p>
        </w:tc>
        <w:tc>
          <w:tcPr>
            <w:tcW w:w="1249" w:type="dxa"/>
            <w:tcBorders>
              <w:top w:val="nil"/>
              <w:left w:val="nil"/>
              <w:bottom w:val="nil"/>
              <w:right w:val="single" w:sz="4" w:space="0" w:color="404040"/>
            </w:tcBorders>
            <w:shd w:val="clear" w:color="auto" w:fill="auto"/>
            <w:vAlign w:val="center"/>
          </w:tcPr>
          <w:p w14:paraId="6985B107" w14:textId="739623F6" w:rsidR="00905573" w:rsidRPr="00BB7BF9" w:rsidRDefault="00905573" w:rsidP="00905573">
            <w:pPr>
              <w:rPr>
                <w:sz w:val="18"/>
                <w:szCs w:val="18"/>
              </w:rPr>
            </w:pPr>
            <w:r>
              <w:rPr>
                <w:sz w:val="18"/>
                <w:szCs w:val="18"/>
              </w:rPr>
              <w:t>Por debajo</w:t>
            </w:r>
          </w:p>
        </w:tc>
      </w:tr>
      <w:tr w:rsidR="00905573" w:rsidRPr="00892F41" w14:paraId="431C2E80" w14:textId="77777777" w:rsidTr="00905573">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77777777" w:rsidR="00905573" w:rsidRPr="0039544E" w:rsidRDefault="00905573" w:rsidP="00905573">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709B7C94" w:rsidR="00905573" w:rsidRPr="00FF5523" w:rsidRDefault="00905573" w:rsidP="00905573">
            <w:pPr>
              <w:tabs>
                <w:tab w:val="decimal" w:pos="409"/>
              </w:tabs>
              <w:jc w:val="left"/>
              <w:rPr>
                <w:sz w:val="18"/>
                <w:szCs w:val="18"/>
              </w:rPr>
            </w:pPr>
            <w:r>
              <w:rPr>
                <w:color w:val="000000"/>
                <w:sz w:val="18"/>
                <w:szCs w:val="18"/>
              </w:rPr>
              <w:t>44.0</w:t>
            </w:r>
          </w:p>
        </w:tc>
        <w:tc>
          <w:tcPr>
            <w:tcW w:w="1043" w:type="dxa"/>
            <w:tcBorders>
              <w:top w:val="nil"/>
              <w:left w:val="single" w:sz="4" w:space="0" w:color="404040"/>
              <w:bottom w:val="nil"/>
              <w:right w:val="nil"/>
            </w:tcBorders>
            <w:shd w:val="clear" w:color="auto" w:fill="auto"/>
            <w:vAlign w:val="center"/>
          </w:tcPr>
          <w:p w14:paraId="6561B5E0" w14:textId="2FA0DC0F" w:rsidR="00905573" w:rsidRPr="00FF5523" w:rsidRDefault="00905573" w:rsidP="00905573">
            <w:pPr>
              <w:tabs>
                <w:tab w:val="left" w:pos="61"/>
                <w:tab w:val="decimal" w:pos="480"/>
              </w:tabs>
              <w:jc w:val="left"/>
              <w:rPr>
                <w:sz w:val="18"/>
                <w:szCs w:val="18"/>
              </w:rPr>
            </w:pPr>
            <w:r>
              <w:rPr>
                <w:color w:val="000000"/>
                <w:sz w:val="18"/>
                <w:szCs w:val="18"/>
              </w:rPr>
              <w:tab/>
              <w:t>(-)</w:t>
            </w:r>
            <w:r>
              <w:rPr>
                <w:color w:val="000000"/>
                <w:sz w:val="18"/>
                <w:szCs w:val="18"/>
              </w:rPr>
              <w:tab/>
              <w:t>5.1</w:t>
            </w:r>
          </w:p>
        </w:tc>
        <w:tc>
          <w:tcPr>
            <w:tcW w:w="1043" w:type="dxa"/>
            <w:tcBorders>
              <w:top w:val="nil"/>
              <w:left w:val="nil"/>
              <w:bottom w:val="nil"/>
              <w:right w:val="single" w:sz="4" w:space="0" w:color="404040"/>
            </w:tcBorders>
            <w:shd w:val="clear" w:color="auto" w:fill="auto"/>
            <w:vAlign w:val="center"/>
          </w:tcPr>
          <w:p w14:paraId="708B4EFA" w14:textId="75E0BDA2" w:rsidR="00905573" w:rsidRPr="00FF5523" w:rsidRDefault="00905573" w:rsidP="00905573">
            <w:pPr>
              <w:tabs>
                <w:tab w:val="left" w:pos="61"/>
                <w:tab w:val="decimal" w:pos="469"/>
              </w:tabs>
              <w:jc w:val="left"/>
              <w:rPr>
                <w:sz w:val="18"/>
                <w:szCs w:val="18"/>
              </w:rPr>
            </w:pPr>
            <w:r>
              <w:rPr>
                <w:color w:val="000000"/>
                <w:sz w:val="18"/>
                <w:szCs w:val="18"/>
              </w:rPr>
              <w:tab/>
              <w:t>(-)</w:t>
            </w:r>
            <w:r>
              <w:rPr>
                <w:color w:val="000000"/>
                <w:sz w:val="18"/>
                <w:szCs w:val="18"/>
              </w:rPr>
              <w:tab/>
              <w:t>9.8</w:t>
            </w:r>
          </w:p>
        </w:tc>
        <w:tc>
          <w:tcPr>
            <w:tcW w:w="557" w:type="dxa"/>
            <w:tcBorders>
              <w:top w:val="nil"/>
              <w:left w:val="single" w:sz="4" w:space="0" w:color="404040"/>
              <w:bottom w:val="nil"/>
              <w:right w:val="nil"/>
            </w:tcBorders>
            <w:shd w:val="clear" w:color="auto" w:fill="auto"/>
            <w:vAlign w:val="center"/>
          </w:tcPr>
          <w:p w14:paraId="2B61CFA6" w14:textId="163FB3F6" w:rsidR="00905573" w:rsidRPr="00FF5523" w:rsidRDefault="00905573" w:rsidP="00905573">
            <w:pPr>
              <w:jc w:val="right"/>
              <w:rPr>
                <w:sz w:val="18"/>
                <w:szCs w:val="18"/>
              </w:rPr>
            </w:pPr>
            <w:r>
              <w:rPr>
                <w:sz w:val="18"/>
                <w:szCs w:val="18"/>
              </w:rPr>
              <w:t>2</w:t>
            </w:r>
          </w:p>
        </w:tc>
        <w:tc>
          <w:tcPr>
            <w:tcW w:w="1249" w:type="dxa"/>
            <w:tcBorders>
              <w:top w:val="nil"/>
              <w:left w:val="nil"/>
              <w:bottom w:val="nil"/>
              <w:right w:val="single" w:sz="4" w:space="0" w:color="404040"/>
            </w:tcBorders>
            <w:shd w:val="clear" w:color="auto" w:fill="auto"/>
            <w:vAlign w:val="center"/>
          </w:tcPr>
          <w:p w14:paraId="6267CC79" w14:textId="5EE51EB4" w:rsidR="00905573" w:rsidRPr="00BB7BF9" w:rsidRDefault="00905573" w:rsidP="00905573">
            <w:pPr>
              <w:rPr>
                <w:sz w:val="18"/>
                <w:szCs w:val="18"/>
              </w:rPr>
            </w:pPr>
            <w:r w:rsidRPr="00BB7BF9">
              <w:rPr>
                <w:sz w:val="18"/>
                <w:szCs w:val="18"/>
              </w:rPr>
              <w:t xml:space="preserve">Por </w:t>
            </w:r>
            <w:r>
              <w:rPr>
                <w:sz w:val="18"/>
                <w:szCs w:val="18"/>
              </w:rPr>
              <w:t>debajo</w:t>
            </w:r>
          </w:p>
        </w:tc>
      </w:tr>
      <w:tr w:rsidR="00905573" w:rsidRPr="00892F41" w14:paraId="7023C0D7" w14:textId="77777777" w:rsidTr="00905573">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77777777" w:rsidR="00905573" w:rsidRPr="0039544E" w:rsidRDefault="00905573" w:rsidP="00905573">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Personal ocupado</w:t>
            </w:r>
            <w:r>
              <w:rPr>
                <w:sz w:val="18"/>
                <w:szCs w:val="18"/>
                <w:lang w:val="es-MX"/>
              </w:rPr>
              <w:t xml:space="preserve">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5168A09F" w:rsidR="00905573" w:rsidRPr="00FF5523" w:rsidRDefault="00905573" w:rsidP="00905573">
            <w:pPr>
              <w:tabs>
                <w:tab w:val="decimal" w:pos="409"/>
              </w:tabs>
              <w:jc w:val="left"/>
              <w:rPr>
                <w:sz w:val="18"/>
                <w:szCs w:val="18"/>
              </w:rPr>
            </w:pPr>
            <w:r>
              <w:rPr>
                <w:color w:val="000000"/>
                <w:sz w:val="18"/>
                <w:szCs w:val="18"/>
              </w:rPr>
              <w:t>44.3</w:t>
            </w:r>
          </w:p>
        </w:tc>
        <w:tc>
          <w:tcPr>
            <w:tcW w:w="1043" w:type="dxa"/>
            <w:tcBorders>
              <w:top w:val="nil"/>
              <w:left w:val="single" w:sz="4" w:space="0" w:color="404040"/>
              <w:bottom w:val="single" w:sz="4" w:space="0" w:color="404040"/>
              <w:right w:val="nil"/>
            </w:tcBorders>
            <w:shd w:val="clear" w:color="auto" w:fill="auto"/>
            <w:vAlign w:val="center"/>
          </w:tcPr>
          <w:p w14:paraId="2CC80006" w14:textId="7BE4BD9F" w:rsidR="00905573" w:rsidRPr="00FF5523" w:rsidRDefault="00905573" w:rsidP="00905573">
            <w:pPr>
              <w:tabs>
                <w:tab w:val="left" w:pos="61"/>
                <w:tab w:val="decimal" w:pos="480"/>
              </w:tabs>
              <w:jc w:val="left"/>
              <w:rPr>
                <w:sz w:val="18"/>
                <w:szCs w:val="18"/>
              </w:rPr>
            </w:pPr>
            <w:r>
              <w:rPr>
                <w:color w:val="000000"/>
                <w:sz w:val="18"/>
                <w:szCs w:val="18"/>
              </w:rPr>
              <w:tab/>
              <w:t>(-)</w:t>
            </w:r>
            <w:r>
              <w:rPr>
                <w:color w:val="000000"/>
                <w:sz w:val="18"/>
                <w:szCs w:val="18"/>
              </w:rPr>
              <w:tab/>
              <w:t>2.9</w:t>
            </w:r>
          </w:p>
        </w:tc>
        <w:tc>
          <w:tcPr>
            <w:tcW w:w="1043" w:type="dxa"/>
            <w:tcBorders>
              <w:top w:val="nil"/>
              <w:left w:val="nil"/>
              <w:bottom w:val="single" w:sz="4" w:space="0" w:color="404040"/>
              <w:right w:val="single" w:sz="4" w:space="0" w:color="404040"/>
            </w:tcBorders>
            <w:shd w:val="clear" w:color="auto" w:fill="auto"/>
            <w:vAlign w:val="center"/>
          </w:tcPr>
          <w:p w14:paraId="0FB5B90E" w14:textId="15C41B8D" w:rsidR="00905573" w:rsidRPr="00FF5523" w:rsidRDefault="00905573" w:rsidP="00905573">
            <w:pPr>
              <w:tabs>
                <w:tab w:val="left" w:pos="61"/>
                <w:tab w:val="decimal" w:pos="469"/>
              </w:tabs>
              <w:jc w:val="left"/>
              <w:rPr>
                <w:sz w:val="18"/>
                <w:szCs w:val="18"/>
              </w:rPr>
            </w:pPr>
            <w:r>
              <w:rPr>
                <w:color w:val="000000"/>
                <w:sz w:val="18"/>
                <w:szCs w:val="18"/>
              </w:rPr>
              <w:tab/>
              <w:t>(-)</w:t>
            </w:r>
            <w:r>
              <w:rPr>
                <w:color w:val="000000"/>
                <w:sz w:val="18"/>
                <w:szCs w:val="18"/>
              </w:rPr>
              <w:tab/>
              <w:t>14.0</w:t>
            </w:r>
          </w:p>
        </w:tc>
        <w:tc>
          <w:tcPr>
            <w:tcW w:w="557" w:type="dxa"/>
            <w:tcBorders>
              <w:top w:val="nil"/>
              <w:left w:val="single" w:sz="4" w:space="0" w:color="404040"/>
              <w:bottom w:val="single" w:sz="4" w:space="0" w:color="auto"/>
              <w:right w:val="nil"/>
            </w:tcBorders>
            <w:shd w:val="clear" w:color="auto" w:fill="auto"/>
            <w:vAlign w:val="center"/>
          </w:tcPr>
          <w:p w14:paraId="4988FD84" w14:textId="34F398F5" w:rsidR="00905573" w:rsidRPr="00FF5523" w:rsidRDefault="00905573" w:rsidP="00905573">
            <w:pPr>
              <w:jc w:val="right"/>
              <w:rPr>
                <w:sz w:val="18"/>
                <w:szCs w:val="18"/>
              </w:rPr>
            </w:pPr>
            <w:r>
              <w:rPr>
                <w:sz w:val="18"/>
                <w:szCs w:val="18"/>
              </w:rPr>
              <w:t>2</w:t>
            </w:r>
          </w:p>
        </w:tc>
        <w:tc>
          <w:tcPr>
            <w:tcW w:w="1249" w:type="dxa"/>
            <w:tcBorders>
              <w:top w:val="nil"/>
              <w:left w:val="nil"/>
              <w:bottom w:val="single" w:sz="4" w:space="0" w:color="auto"/>
              <w:right w:val="single" w:sz="4" w:space="0" w:color="404040"/>
            </w:tcBorders>
            <w:shd w:val="clear" w:color="auto" w:fill="auto"/>
            <w:vAlign w:val="center"/>
          </w:tcPr>
          <w:p w14:paraId="277289F8" w14:textId="2ABDEFFF" w:rsidR="00905573" w:rsidRPr="00BB7BF9" w:rsidRDefault="00905573" w:rsidP="00905573">
            <w:pPr>
              <w:rPr>
                <w:sz w:val="18"/>
                <w:szCs w:val="18"/>
              </w:rPr>
            </w:pPr>
            <w:r w:rsidRPr="00BB7BF9">
              <w:rPr>
                <w:sz w:val="18"/>
                <w:szCs w:val="18"/>
              </w:rPr>
              <w:t>P</w:t>
            </w:r>
            <w:r>
              <w:rPr>
                <w:sz w:val="18"/>
                <w:szCs w:val="18"/>
              </w:rPr>
              <w:t>or debajo</w:t>
            </w:r>
          </w:p>
        </w:tc>
      </w:tr>
    </w:tbl>
    <w:p w14:paraId="26A9D877" w14:textId="77777777" w:rsidR="00D76DC5" w:rsidRDefault="00D76DC5" w:rsidP="00D76DC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5CE2177C" w14:textId="77777777" w:rsidR="00D76DC5" w:rsidRDefault="00D76DC5" w:rsidP="00D76DC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68ABCA1C" w14:textId="77777777" w:rsidR="00D76DC5" w:rsidRDefault="00D76DC5" w:rsidP="00D76DC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21757AC0" w14:textId="322F295D" w:rsidR="00D76DC5" w:rsidRPr="00ED0B68" w:rsidRDefault="00D76DC5" w:rsidP="00B02406">
      <w:pPr>
        <w:pStyle w:val="Textoindependiente2"/>
        <w:keepNext/>
        <w:keepLines/>
        <w:widowControl w:val="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comercio </w:t>
      </w:r>
      <w:r w:rsidR="00E64D8F">
        <w:rPr>
          <w:b/>
          <w:smallCaps/>
          <w:sz w:val="22"/>
          <w:szCs w:val="20"/>
          <w:lang w:val="es-MX"/>
        </w:rPr>
        <w:t>a</w:t>
      </w:r>
      <w:r w:rsidR="001E054E">
        <w:rPr>
          <w:b/>
          <w:smallCaps/>
          <w:sz w:val="22"/>
          <w:szCs w:val="20"/>
          <w:lang w:val="es-MX"/>
        </w:rPr>
        <w:t>l mes de abril</w:t>
      </w:r>
      <w:r>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w:t>
      </w:r>
      <w:r w:rsidR="00C8701F">
        <w:rPr>
          <w:b/>
          <w:smallCaps/>
          <w:sz w:val="22"/>
          <w:szCs w:val="20"/>
          <w:lang w:val="es-MX"/>
        </w:rPr>
        <w:t>20</w:t>
      </w:r>
    </w:p>
    <w:p w14:paraId="32F2E4C7" w14:textId="77777777" w:rsidR="00D76DC5" w:rsidRDefault="00D76DC5" w:rsidP="00D76DC5">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7F345D" w14:paraId="212558E1" w14:textId="77777777" w:rsidTr="00C40267">
        <w:trPr>
          <w:trHeight w:val="1871"/>
          <w:jc w:val="center"/>
        </w:trPr>
        <w:tc>
          <w:tcPr>
            <w:tcW w:w="5305" w:type="dxa"/>
            <w:vAlign w:val="center"/>
          </w:tcPr>
          <w:p w14:paraId="2B3F75A5" w14:textId="485B84CA" w:rsidR="00961C96" w:rsidRPr="007F345D" w:rsidRDefault="004A3AB0" w:rsidP="00D76DC5">
            <w:pPr>
              <w:pStyle w:val="p0"/>
              <w:spacing w:before="0"/>
              <w:jc w:val="center"/>
              <w:rPr>
                <w:color w:val="auto"/>
                <w:sz w:val="16"/>
                <w:szCs w:val="16"/>
                <w:lang w:val="es-MX"/>
              </w:rPr>
            </w:pPr>
            <w:r>
              <w:rPr>
                <w:noProof/>
                <w:lang w:val="es-MX" w:eastAsia="es-MX"/>
              </w:rPr>
              <w:drawing>
                <wp:inline distT="0" distB="0" distL="0" distR="0" wp14:anchorId="248A25EE" wp14:editId="52BCAE57">
                  <wp:extent cx="3274165" cy="1152000"/>
                  <wp:effectExtent l="0" t="0" r="0" b="0"/>
                  <wp:docPr id="9" name="Gráfico 9">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5304" w:type="dxa"/>
            <w:vAlign w:val="center"/>
          </w:tcPr>
          <w:p w14:paraId="3C90FC21" w14:textId="4A9BDFD4" w:rsidR="00961C96" w:rsidRPr="007F345D" w:rsidRDefault="004A3AB0" w:rsidP="00D76DC5">
            <w:pPr>
              <w:pStyle w:val="p0"/>
              <w:spacing w:before="0"/>
              <w:jc w:val="center"/>
              <w:rPr>
                <w:color w:val="auto"/>
                <w:sz w:val="16"/>
                <w:szCs w:val="16"/>
                <w:lang w:val="es-MX"/>
              </w:rPr>
            </w:pPr>
            <w:r>
              <w:rPr>
                <w:noProof/>
                <w:lang w:val="es-MX" w:eastAsia="es-MX"/>
              </w:rPr>
              <w:drawing>
                <wp:inline distT="0" distB="0" distL="0" distR="0" wp14:anchorId="6D9CDDF5" wp14:editId="523A721C">
                  <wp:extent cx="3274165" cy="1224000"/>
                  <wp:effectExtent l="0" t="0" r="2540" b="0"/>
                  <wp:docPr id="10" name="Gráfico 10">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D76DC5" w:rsidRPr="008B6A18" w14:paraId="2A6DF595" w14:textId="77777777" w:rsidTr="00D76DC5">
        <w:tblPrEx>
          <w:tblCellMar>
            <w:left w:w="28" w:type="dxa"/>
            <w:right w:w="28" w:type="dxa"/>
          </w:tblCellMar>
        </w:tblPrEx>
        <w:trPr>
          <w:jc w:val="center"/>
        </w:trPr>
        <w:tc>
          <w:tcPr>
            <w:tcW w:w="5305" w:type="dxa"/>
          </w:tcPr>
          <w:p w14:paraId="30CF6FE1" w14:textId="77777777" w:rsidR="00D76DC5" w:rsidRPr="008B6A18" w:rsidRDefault="00D76DC5" w:rsidP="00D76DC5">
            <w:pPr>
              <w:pStyle w:val="p0"/>
              <w:spacing w:before="0"/>
              <w:rPr>
                <w:noProof/>
                <w:color w:val="auto"/>
                <w:sz w:val="10"/>
                <w:szCs w:val="10"/>
                <w:lang w:val="es-MX" w:eastAsia="es-MX"/>
              </w:rPr>
            </w:pPr>
          </w:p>
        </w:tc>
        <w:tc>
          <w:tcPr>
            <w:tcW w:w="5304" w:type="dxa"/>
          </w:tcPr>
          <w:p w14:paraId="2103D0CC" w14:textId="77777777" w:rsidR="00D76DC5" w:rsidRPr="008B6A18" w:rsidRDefault="00D76DC5" w:rsidP="00D76DC5">
            <w:pPr>
              <w:pStyle w:val="p0"/>
              <w:spacing w:before="0"/>
              <w:rPr>
                <w:noProof/>
                <w:color w:val="auto"/>
                <w:sz w:val="10"/>
                <w:szCs w:val="10"/>
                <w:lang w:val="es-MX" w:eastAsia="es-MX"/>
              </w:rPr>
            </w:pPr>
          </w:p>
        </w:tc>
      </w:tr>
      <w:tr w:rsidR="00D76DC5" w:rsidRPr="007F345D" w14:paraId="0C1B5E1D" w14:textId="77777777" w:rsidTr="00C40267">
        <w:trPr>
          <w:trHeight w:val="1871"/>
          <w:jc w:val="center"/>
        </w:trPr>
        <w:tc>
          <w:tcPr>
            <w:tcW w:w="5305" w:type="dxa"/>
          </w:tcPr>
          <w:p w14:paraId="577315F1" w14:textId="03FA5949" w:rsidR="00D76DC5" w:rsidRPr="007F345D" w:rsidRDefault="004A3AB0" w:rsidP="00D76DC5">
            <w:pPr>
              <w:pStyle w:val="p0"/>
              <w:spacing w:before="0"/>
              <w:rPr>
                <w:color w:val="auto"/>
                <w:sz w:val="16"/>
                <w:szCs w:val="16"/>
                <w:lang w:val="es-MX"/>
              </w:rPr>
            </w:pPr>
            <w:r>
              <w:rPr>
                <w:noProof/>
                <w:lang w:val="es-MX" w:eastAsia="es-MX"/>
              </w:rPr>
              <w:drawing>
                <wp:inline distT="0" distB="0" distL="0" distR="0" wp14:anchorId="7E6DFC6F" wp14:editId="0532B7D7">
                  <wp:extent cx="3274165" cy="1152000"/>
                  <wp:effectExtent l="0" t="0" r="0" b="0"/>
                  <wp:docPr id="21" name="Gráfico 21">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5304" w:type="dxa"/>
          </w:tcPr>
          <w:p w14:paraId="751D9CF5" w14:textId="352457E9" w:rsidR="00D76DC5" w:rsidRPr="007F345D" w:rsidRDefault="004A3AB0" w:rsidP="00D76DC5">
            <w:pPr>
              <w:pStyle w:val="p0"/>
              <w:spacing w:before="0"/>
              <w:rPr>
                <w:color w:val="auto"/>
                <w:sz w:val="16"/>
                <w:szCs w:val="16"/>
                <w:lang w:val="es-MX"/>
              </w:rPr>
            </w:pPr>
            <w:r>
              <w:rPr>
                <w:noProof/>
                <w:lang w:val="es-MX" w:eastAsia="es-MX"/>
              </w:rPr>
              <w:drawing>
                <wp:inline distT="0" distB="0" distL="0" distR="0" wp14:anchorId="42B23CC4" wp14:editId="5FD9A136">
                  <wp:extent cx="3274165" cy="1152000"/>
                  <wp:effectExtent l="0" t="0" r="0" b="0"/>
                  <wp:docPr id="22" name="Gráfico 22">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9C3FF5" w:rsidRPr="009C3FF5" w14:paraId="526D51CB" w14:textId="77777777" w:rsidTr="009C3FF5">
        <w:trPr>
          <w:jc w:val="center"/>
        </w:trPr>
        <w:tc>
          <w:tcPr>
            <w:tcW w:w="10609" w:type="dxa"/>
            <w:gridSpan w:val="2"/>
          </w:tcPr>
          <w:p w14:paraId="10F642CC" w14:textId="77777777" w:rsidR="009C3FF5" w:rsidRPr="001E5422" w:rsidRDefault="009C3FF5" w:rsidP="00961C96">
            <w:pPr>
              <w:pStyle w:val="p0"/>
              <w:spacing w:before="0"/>
              <w:jc w:val="center"/>
              <w:rPr>
                <w:noProof/>
                <w:color w:val="auto"/>
                <w:sz w:val="8"/>
                <w:szCs w:val="8"/>
                <w:lang w:val="es-MX" w:eastAsia="es-MX"/>
              </w:rPr>
            </w:pPr>
          </w:p>
        </w:tc>
      </w:tr>
      <w:tr w:rsidR="00961C96" w:rsidRPr="007F345D" w14:paraId="414DBB14" w14:textId="77777777" w:rsidTr="00C40267">
        <w:trPr>
          <w:trHeight w:val="1871"/>
          <w:jc w:val="center"/>
        </w:trPr>
        <w:tc>
          <w:tcPr>
            <w:tcW w:w="10609" w:type="dxa"/>
            <w:gridSpan w:val="2"/>
          </w:tcPr>
          <w:p w14:paraId="46E7AFBD" w14:textId="6908FCAB" w:rsidR="00961C96" w:rsidRPr="001E5422" w:rsidRDefault="004A3AB0" w:rsidP="00961C96">
            <w:pPr>
              <w:pStyle w:val="p0"/>
              <w:spacing w:before="0"/>
              <w:jc w:val="center"/>
              <w:rPr>
                <w:noProof/>
                <w:color w:val="auto"/>
                <w:sz w:val="16"/>
                <w:szCs w:val="16"/>
                <w:lang w:val="es-MX" w:eastAsia="es-MX"/>
              </w:rPr>
            </w:pPr>
            <w:r>
              <w:rPr>
                <w:noProof/>
                <w:lang w:val="es-MX" w:eastAsia="es-MX"/>
              </w:rPr>
              <w:drawing>
                <wp:inline distT="0" distB="0" distL="0" distR="0" wp14:anchorId="132F9B01" wp14:editId="0F027148">
                  <wp:extent cx="3274165" cy="1152000"/>
                  <wp:effectExtent l="0" t="0" r="0" b="0"/>
                  <wp:docPr id="23" name="Gráfico 23">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5E0ECACD" w14:textId="77777777"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14:paraId="788700D2" w14:textId="77777777" w:rsidR="0020362F" w:rsidRDefault="0020362F">
      <w:pPr>
        <w:jc w:val="left"/>
        <w:rPr>
          <w:b/>
          <w:szCs w:val="22"/>
          <w:lang w:val="es-ES"/>
        </w:rPr>
      </w:pPr>
      <w:r>
        <w:rPr>
          <w:b/>
          <w:szCs w:val="22"/>
          <w:lang w:val="es-ES"/>
        </w:rPr>
        <w:br w:type="page"/>
      </w:r>
    </w:p>
    <w:p w14:paraId="6E377D22" w14:textId="77777777" w:rsidR="001B1EDC" w:rsidRDefault="001B1EDC" w:rsidP="005F5C0D">
      <w:pPr>
        <w:pStyle w:val="Textoindependiente"/>
        <w:rPr>
          <w:b/>
          <w:color w:val="auto"/>
          <w:szCs w:val="22"/>
          <w:lang w:val="es-ES"/>
        </w:rPr>
      </w:pPr>
      <w:r>
        <w:rPr>
          <w:b/>
          <w:color w:val="auto"/>
          <w:szCs w:val="22"/>
          <w:lang w:val="es-ES"/>
        </w:rPr>
        <w:lastRenderedPageBreak/>
        <w:t>C</w:t>
      </w:r>
      <w:r w:rsidR="0062691F">
        <w:rPr>
          <w:b/>
          <w:color w:val="auto"/>
          <w:szCs w:val="22"/>
          <w:lang w:val="es-ES"/>
        </w:rPr>
        <w:t xml:space="preserve">ifras originales </w:t>
      </w:r>
    </w:p>
    <w:p w14:paraId="61C88380" w14:textId="77777777" w:rsidR="00A46C32" w:rsidRPr="002947DA" w:rsidRDefault="001B1EDC" w:rsidP="00B02406">
      <w:pPr>
        <w:pStyle w:val="Textoindependiente"/>
        <w:spacing w:before="360"/>
        <w:rPr>
          <w:color w:val="auto"/>
          <w:szCs w:val="22"/>
          <w:lang w:val="es-ES"/>
        </w:rPr>
      </w:pPr>
      <w:r>
        <w:rPr>
          <w:color w:val="auto"/>
          <w:szCs w:val="22"/>
          <w:lang w:val="es-ES"/>
        </w:rPr>
        <w:t>L</w:t>
      </w:r>
      <w:r w:rsidR="00A46C32" w:rsidRPr="002947DA">
        <w:rPr>
          <w:color w:val="auto"/>
          <w:szCs w:val="22"/>
          <w:lang w:val="es-ES"/>
        </w:rPr>
        <w:t xml:space="preserve">as Expectativas Empresariales sobre variables relevantes de los </w:t>
      </w:r>
      <w:r w:rsidR="0086092A">
        <w:rPr>
          <w:color w:val="auto"/>
          <w:szCs w:val="22"/>
          <w:lang w:val="es-ES"/>
        </w:rPr>
        <w:t>cuatro</w:t>
      </w:r>
      <w:r w:rsidR="00A46C32" w:rsidRPr="002947DA">
        <w:rPr>
          <w:color w:val="auto"/>
          <w:szCs w:val="22"/>
          <w:lang w:val="es-ES"/>
        </w:rPr>
        <w:t xml:space="preserve"> sectores se </w:t>
      </w:r>
      <w:r w:rsidR="00F008A6">
        <w:rPr>
          <w:color w:val="auto"/>
          <w:szCs w:val="22"/>
          <w:lang w:val="es-ES"/>
        </w:rPr>
        <w:t>mues</w:t>
      </w:r>
      <w:r w:rsidR="00A46C32" w:rsidRPr="002947DA">
        <w:rPr>
          <w:color w:val="auto"/>
          <w:szCs w:val="22"/>
          <w:lang w:val="es-ES"/>
        </w:rPr>
        <w:t>t</w:t>
      </w:r>
      <w:r w:rsidR="00F008A6">
        <w:rPr>
          <w:color w:val="auto"/>
          <w:szCs w:val="22"/>
          <w:lang w:val="es-ES"/>
        </w:rPr>
        <w:t>r</w:t>
      </w:r>
      <w:r w:rsidR="00A46C32" w:rsidRPr="002947DA">
        <w:rPr>
          <w:color w:val="auto"/>
          <w:szCs w:val="22"/>
          <w:lang w:val="es-ES"/>
        </w:rPr>
        <w:t>a</w:t>
      </w:r>
      <w:r>
        <w:rPr>
          <w:color w:val="auto"/>
          <w:szCs w:val="22"/>
          <w:lang w:val="es-ES"/>
        </w:rPr>
        <w:t>n</w:t>
      </w:r>
      <w:r w:rsidR="00A46C32" w:rsidRPr="002947DA">
        <w:rPr>
          <w:color w:val="auto"/>
          <w:szCs w:val="22"/>
          <w:lang w:val="es-ES"/>
        </w:rPr>
        <w:t xml:space="preserve"> en el cuadro siguiente:</w:t>
      </w:r>
    </w:p>
    <w:p w14:paraId="6469B2F8" w14:textId="77777777" w:rsidR="00A46C32" w:rsidRDefault="00A46C32" w:rsidP="00B02406">
      <w:pPr>
        <w:widowControl w:val="0"/>
        <w:spacing w:before="480"/>
        <w:jc w:val="center"/>
        <w:outlineLvl w:val="0"/>
        <w:rPr>
          <w:b/>
          <w:smallCaps/>
          <w:sz w:val="22"/>
        </w:rPr>
      </w:pPr>
      <w:r>
        <w:rPr>
          <w:b/>
          <w:smallCaps/>
          <w:sz w:val="22"/>
        </w:rPr>
        <w:t>Expectativas empresariales a nivel de sector</w:t>
      </w:r>
    </w:p>
    <w:p w14:paraId="4603BC65" w14:textId="77777777" w:rsidR="00A46C32" w:rsidRDefault="00A46C32" w:rsidP="00A46C32">
      <w:pPr>
        <w:widowControl w:val="0"/>
        <w:spacing w:line="240" w:lineRule="exact"/>
        <w:jc w:val="center"/>
        <w:outlineLvl w:val="0"/>
        <w:rPr>
          <w:b/>
          <w:smallCaps/>
          <w:sz w:val="22"/>
        </w:rPr>
      </w:pPr>
      <w:r>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9E14A2"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77777777" w:rsidR="00A46C32" w:rsidRPr="0039544E" w:rsidRDefault="00A46C32" w:rsidP="00D76DC5">
            <w:pPr>
              <w:keepNext/>
              <w:keepLines/>
              <w:spacing w:before="20" w:after="20" w:line="240" w:lineRule="atLeast"/>
              <w:ind w:firstLine="339"/>
              <w:rPr>
                <w:sz w:val="18"/>
                <w:szCs w:val="18"/>
              </w:rPr>
            </w:pPr>
            <w:r w:rsidRPr="0039544E">
              <w:rPr>
                <w:sz w:val="18"/>
                <w:szCs w:val="18"/>
              </w:rPr>
              <w:t>Indicadores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5070FEDE" w:rsidR="00A46C32" w:rsidRPr="0039544E" w:rsidRDefault="001E3646" w:rsidP="00C8701F">
            <w:pPr>
              <w:keepNext/>
              <w:keepLines/>
              <w:spacing w:before="40" w:after="40" w:line="240" w:lineRule="atLeast"/>
              <w:jc w:val="center"/>
              <w:rPr>
                <w:sz w:val="18"/>
                <w:szCs w:val="18"/>
              </w:rPr>
            </w:pPr>
            <w:r>
              <w:rPr>
                <w:sz w:val="18"/>
                <w:szCs w:val="18"/>
              </w:rPr>
              <w:t>Abril</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39544E" w:rsidRDefault="00354160" w:rsidP="00D76DC5">
            <w:pPr>
              <w:keepNext/>
              <w:keepLines/>
              <w:spacing w:before="60" w:after="60" w:line="240" w:lineRule="atLeast"/>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8054FA" w:rsidRPr="009E14A2"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39544E"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77777777" w:rsidR="008054FA" w:rsidRPr="00443B05" w:rsidRDefault="008054FA" w:rsidP="00DD05AB">
            <w:pPr>
              <w:widowControl w:val="0"/>
              <w:spacing w:before="20" w:after="20"/>
              <w:ind w:left="-68" w:right="-57"/>
              <w:jc w:val="center"/>
              <w:rPr>
                <w:sz w:val="18"/>
                <w:szCs w:val="18"/>
              </w:rPr>
            </w:pPr>
            <w:r w:rsidRPr="00443B05">
              <w:rPr>
                <w:sz w:val="18"/>
                <w:szCs w:val="18"/>
              </w:rPr>
              <w:t>201</w:t>
            </w:r>
            <w:r w:rsidR="00DD05AB">
              <w:rPr>
                <w:sz w:val="18"/>
                <w:szCs w:val="18"/>
              </w:rPr>
              <w:t>9</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77777777" w:rsidR="008054FA" w:rsidRPr="00443B05" w:rsidRDefault="008054FA" w:rsidP="00DD05AB">
            <w:pPr>
              <w:widowControl w:val="0"/>
              <w:spacing w:before="20" w:after="20"/>
              <w:ind w:left="-68" w:right="-57"/>
              <w:jc w:val="center"/>
              <w:rPr>
                <w:sz w:val="18"/>
                <w:szCs w:val="18"/>
              </w:rPr>
            </w:pPr>
            <w:r w:rsidRPr="00443B05">
              <w:rPr>
                <w:sz w:val="18"/>
                <w:szCs w:val="18"/>
              </w:rPr>
              <w:t>20</w:t>
            </w:r>
            <w:r w:rsidR="00DD05AB">
              <w:rPr>
                <w:sz w:val="18"/>
                <w:szCs w:val="18"/>
              </w:rPr>
              <w:t>20</w:t>
            </w:r>
            <w:r w:rsidRPr="00443B05">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39544E" w:rsidRDefault="008054FA" w:rsidP="008054FA">
            <w:pPr>
              <w:keepNext/>
              <w:keepLines/>
              <w:spacing w:line="240" w:lineRule="atLeast"/>
              <w:ind w:left="-64" w:right="-45"/>
              <w:jc w:val="center"/>
              <w:rPr>
                <w:sz w:val="18"/>
                <w:szCs w:val="18"/>
              </w:rPr>
            </w:pPr>
          </w:p>
        </w:tc>
      </w:tr>
      <w:tr w:rsidR="00A46C32" w:rsidRPr="009E14A2" w14:paraId="3C0819A5" w14:textId="77777777" w:rsidTr="00021575">
        <w:trPr>
          <w:cantSplit/>
          <w:trHeight w:val="20"/>
          <w:jc w:val="center"/>
        </w:trPr>
        <w:tc>
          <w:tcPr>
            <w:tcW w:w="5004" w:type="dxa"/>
            <w:tcBorders>
              <w:left w:val="single" w:sz="6" w:space="0" w:color="404040"/>
              <w:right w:val="single" w:sz="6" w:space="0" w:color="404040"/>
            </w:tcBorders>
            <w:vAlign w:val="center"/>
          </w:tcPr>
          <w:p w14:paraId="3EDD990D" w14:textId="77777777" w:rsidR="00A46C32" w:rsidRPr="0039544E" w:rsidRDefault="00A46C32" w:rsidP="00D76DC5">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w:t>
            </w:r>
            <w:r>
              <w:rPr>
                <w:b/>
                <w:spacing w:val="4"/>
                <w:sz w:val="18"/>
                <w:szCs w:val="18"/>
              </w:rPr>
              <w:t>del Sector M</w:t>
            </w:r>
            <w:r w:rsidRPr="0039544E">
              <w:rPr>
                <w:b/>
                <w:spacing w:val="4"/>
                <w:sz w:val="18"/>
                <w:szCs w:val="18"/>
              </w:rPr>
              <w:t>anufacturer</w:t>
            </w:r>
            <w:r>
              <w:rPr>
                <w:b/>
                <w:spacing w:val="4"/>
                <w:sz w:val="18"/>
                <w:szCs w:val="18"/>
              </w:rPr>
              <w:t>o</w:t>
            </w:r>
          </w:p>
        </w:tc>
        <w:tc>
          <w:tcPr>
            <w:tcW w:w="1160" w:type="dxa"/>
            <w:tcBorders>
              <w:left w:val="single" w:sz="6" w:space="0" w:color="404040"/>
            </w:tcBorders>
            <w:vAlign w:val="center"/>
          </w:tcPr>
          <w:p w14:paraId="56455220" w14:textId="77777777" w:rsidR="00A46C32" w:rsidRPr="00DB5290" w:rsidRDefault="00A46C32" w:rsidP="00F80B7F">
            <w:pPr>
              <w:tabs>
                <w:tab w:val="decimal" w:pos="563"/>
              </w:tabs>
              <w:spacing w:line="240" w:lineRule="exact"/>
              <w:rPr>
                <w:sz w:val="18"/>
                <w:szCs w:val="18"/>
              </w:rPr>
            </w:pPr>
          </w:p>
        </w:tc>
        <w:tc>
          <w:tcPr>
            <w:tcW w:w="1075" w:type="dxa"/>
            <w:tcBorders>
              <w:right w:val="single" w:sz="6" w:space="0" w:color="404040"/>
            </w:tcBorders>
            <w:vAlign w:val="center"/>
          </w:tcPr>
          <w:p w14:paraId="3C6C7DA0" w14:textId="77777777" w:rsidR="00A46C32" w:rsidRPr="00DB5290" w:rsidRDefault="00A46C32" w:rsidP="00F80B7F">
            <w:pPr>
              <w:tabs>
                <w:tab w:val="decimal" w:pos="434"/>
              </w:tabs>
              <w:rPr>
                <w:sz w:val="18"/>
                <w:szCs w:val="18"/>
              </w:rPr>
            </w:pPr>
          </w:p>
        </w:tc>
        <w:tc>
          <w:tcPr>
            <w:tcW w:w="1268" w:type="dxa"/>
            <w:tcBorders>
              <w:left w:val="single" w:sz="6" w:space="0" w:color="404040"/>
              <w:right w:val="single" w:sz="6" w:space="0" w:color="404040"/>
            </w:tcBorders>
            <w:vAlign w:val="center"/>
          </w:tcPr>
          <w:p w14:paraId="291C4176" w14:textId="77777777" w:rsidR="00A46C32" w:rsidRPr="00DB5290" w:rsidRDefault="00A46C32" w:rsidP="00021575">
            <w:pPr>
              <w:tabs>
                <w:tab w:val="decimal" w:pos="634"/>
              </w:tabs>
              <w:jc w:val="left"/>
              <w:rPr>
                <w:sz w:val="18"/>
                <w:szCs w:val="18"/>
              </w:rPr>
            </w:pPr>
          </w:p>
        </w:tc>
      </w:tr>
      <w:tr w:rsidR="001E3646" w:rsidRPr="00197334" w14:paraId="7A4DB5A1" w14:textId="77777777" w:rsidTr="001E3646">
        <w:trPr>
          <w:cantSplit/>
          <w:trHeight w:val="20"/>
          <w:jc w:val="center"/>
        </w:trPr>
        <w:tc>
          <w:tcPr>
            <w:tcW w:w="5004" w:type="dxa"/>
            <w:tcBorders>
              <w:left w:val="single" w:sz="6" w:space="0" w:color="404040"/>
              <w:right w:val="single" w:sz="6" w:space="0" w:color="404040"/>
            </w:tcBorders>
            <w:vAlign w:val="center"/>
          </w:tcPr>
          <w:p w14:paraId="1DCC9740" w14:textId="77777777" w:rsidR="001E3646" w:rsidRPr="0039544E" w:rsidRDefault="001E3646" w:rsidP="001E3646">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Producción</w:t>
            </w:r>
          </w:p>
        </w:tc>
        <w:tc>
          <w:tcPr>
            <w:tcW w:w="1160" w:type="dxa"/>
            <w:tcBorders>
              <w:left w:val="single" w:sz="6" w:space="0" w:color="404040"/>
            </w:tcBorders>
            <w:vAlign w:val="center"/>
          </w:tcPr>
          <w:p w14:paraId="4CD33097" w14:textId="642E8231" w:rsidR="001E3646" w:rsidRPr="00EB4101" w:rsidRDefault="001E3646" w:rsidP="001E3646">
            <w:pPr>
              <w:jc w:val="center"/>
              <w:rPr>
                <w:sz w:val="18"/>
                <w:szCs w:val="18"/>
              </w:rPr>
            </w:pPr>
            <w:r w:rsidRPr="001E3646">
              <w:rPr>
                <w:sz w:val="18"/>
                <w:szCs w:val="18"/>
              </w:rPr>
              <w:t>50.9</w:t>
            </w:r>
          </w:p>
        </w:tc>
        <w:tc>
          <w:tcPr>
            <w:tcW w:w="1075" w:type="dxa"/>
            <w:tcBorders>
              <w:right w:val="single" w:sz="6" w:space="0" w:color="404040"/>
            </w:tcBorders>
            <w:vAlign w:val="center"/>
          </w:tcPr>
          <w:p w14:paraId="5CFBEF7D" w14:textId="703BE1D9" w:rsidR="001E3646" w:rsidRPr="00EB4101" w:rsidRDefault="001E3646" w:rsidP="001E3646">
            <w:pPr>
              <w:jc w:val="center"/>
              <w:rPr>
                <w:sz w:val="18"/>
                <w:szCs w:val="18"/>
              </w:rPr>
            </w:pPr>
            <w:r w:rsidRPr="001E3646">
              <w:rPr>
                <w:sz w:val="18"/>
                <w:szCs w:val="18"/>
              </w:rPr>
              <w:t>38.2</w:t>
            </w:r>
          </w:p>
        </w:tc>
        <w:tc>
          <w:tcPr>
            <w:tcW w:w="1268" w:type="dxa"/>
            <w:tcBorders>
              <w:left w:val="single" w:sz="6" w:space="0" w:color="404040"/>
              <w:right w:val="single" w:sz="6" w:space="0" w:color="404040"/>
            </w:tcBorders>
            <w:vAlign w:val="center"/>
          </w:tcPr>
          <w:p w14:paraId="481F780F" w14:textId="027B5791" w:rsidR="001E3646" w:rsidRPr="00EB4101" w:rsidRDefault="001E3646" w:rsidP="001E3646">
            <w:pPr>
              <w:tabs>
                <w:tab w:val="left" w:pos="196"/>
                <w:tab w:val="decimal" w:pos="621"/>
              </w:tabs>
              <w:jc w:val="left"/>
              <w:rPr>
                <w:sz w:val="18"/>
                <w:szCs w:val="18"/>
              </w:rPr>
            </w:pPr>
            <w:r w:rsidRPr="001E3646">
              <w:rPr>
                <w:sz w:val="18"/>
                <w:szCs w:val="18"/>
              </w:rPr>
              <w:tab/>
              <w:t>(-)</w:t>
            </w:r>
            <w:r w:rsidRPr="001E3646">
              <w:rPr>
                <w:sz w:val="18"/>
                <w:szCs w:val="18"/>
              </w:rPr>
              <w:tab/>
              <w:t>12.7</w:t>
            </w:r>
          </w:p>
        </w:tc>
      </w:tr>
      <w:tr w:rsidR="001E3646" w:rsidRPr="00197334" w14:paraId="56F856D4" w14:textId="77777777" w:rsidTr="001E3646">
        <w:trPr>
          <w:cantSplit/>
          <w:trHeight w:val="20"/>
          <w:jc w:val="center"/>
        </w:trPr>
        <w:tc>
          <w:tcPr>
            <w:tcW w:w="5004" w:type="dxa"/>
            <w:tcBorders>
              <w:left w:val="single" w:sz="6" w:space="0" w:color="404040"/>
              <w:right w:val="single" w:sz="6" w:space="0" w:color="404040"/>
            </w:tcBorders>
            <w:vAlign w:val="center"/>
          </w:tcPr>
          <w:p w14:paraId="123DEE0F" w14:textId="77777777" w:rsidR="001E3646" w:rsidRPr="0039544E" w:rsidRDefault="001E3646" w:rsidP="001E3646">
            <w:pPr>
              <w:pStyle w:val="Prrafodelista"/>
              <w:widowControl w:val="0"/>
              <w:numPr>
                <w:ilvl w:val="0"/>
                <w:numId w:val="10"/>
              </w:numPr>
              <w:spacing w:line="240" w:lineRule="exact"/>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1160" w:type="dxa"/>
            <w:tcBorders>
              <w:left w:val="single" w:sz="6" w:space="0" w:color="404040"/>
            </w:tcBorders>
            <w:vAlign w:val="center"/>
          </w:tcPr>
          <w:p w14:paraId="6CE25FA2" w14:textId="69ACFAFC" w:rsidR="001E3646" w:rsidRPr="00EB4101" w:rsidRDefault="001E3646" w:rsidP="001E3646">
            <w:pPr>
              <w:jc w:val="center"/>
              <w:rPr>
                <w:sz w:val="18"/>
                <w:szCs w:val="18"/>
              </w:rPr>
            </w:pPr>
            <w:r w:rsidRPr="001E3646">
              <w:rPr>
                <w:sz w:val="18"/>
                <w:szCs w:val="18"/>
              </w:rPr>
              <w:t>50.3</w:t>
            </w:r>
          </w:p>
        </w:tc>
        <w:tc>
          <w:tcPr>
            <w:tcW w:w="1075" w:type="dxa"/>
            <w:tcBorders>
              <w:right w:val="single" w:sz="6" w:space="0" w:color="404040"/>
            </w:tcBorders>
            <w:vAlign w:val="center"/>
          </w:tcPr>
          <w:p w14:paraId="437BADCE" w14:textId="3650F68E" w:rsidR="001E3646" w:rsidRPr="00EB4101" w:rsidRDefault="001E3646" w:rsidP="001E3646">
            <w:pPr>
              <w:jc w:val="center"/>
              <w:rPr>
                <w:sz w:val="18"/>
                <w:szCs w:val="18"/>
              </w:rPr>
            </w:pPr>
            <w:r w:rsidRPr="001E3646">
              <w:rPr>
                <w:sz w:val="18"/>
                <w:szCs w:val="18"/>
              </w:rPr>
              <w:t>36.6</w:t>
            </w:r>
          </w:p>
        </w:tc>
        <w:tc>
          <w:tcPr>
            <w:tcW w:w="1268" w:type="dxa"/>
            <w:tcBorders>
              <w:left w:val="single" w:sz="6" w:space="0" w:color="404040"/>
              <w:right w:val="single" w:sz="6" w:space="0" w:color="404040"/>
            </w:tcBorders>
            <w:vAlign w:val="center"/>
          </w:tcPr>
          <w:p w14:paraId="7AC79DA9" w14:textId="7DCFD0C7" w:rsidR="001E3646" w:rsidRPr="00EB4101" w:rsidRDefault="001E3646" w:rsidP="001E3646">
            <w:pPr>
              <w:tabs>
                <w:tab w:val="left" w:pos="196"/>
                <w:tab w:val="decimal" w:pos="621"/>
              </w:tabs>
              <w:jc w:val="left"/>
              <w:rPr>
                <w:sz w:val="18"/>
                <w:szCs w:val="18"/>
              </w:rPr>
            </w:pPr>
            <w:r w:rsidRPr="001E3646">
              <w:rPr>
                <w:sz w:val="18"/>
                <w:szCs w:val="18"/>
              </w:rPr>
              <w:tab/>
              <w:t>(-)</w:t>
            </w:r>
            <w:r w:rsidRPr="001E3646">
              <w:rPr>
                <w:sz w:val="18"/>
                <w:szCs w:val="18"/>
              </w:rPr>
              <w:tab/>
              <w:t>13.7</w:t>
            </w:r>
          </w:p>
        </w:tc>
      </w:tr>
      <w:tr w:rsidR="001E3646" w:rsidRPr="00197334" w14:paraId="54C79997" w14:textId="77777777" w:rsidTr="001E3646">
        <w:trPr>
          <w:cantSplit/>
          <w:trHeight w:val="20"/>
          <w:jc w:val="center"/>
        </w:trPr>
        <w:tc>
          <w:tcPr>
            <w:tcW w:w="5004" w:type="dxa"/>
            <w:tcBorders>
              <w:left w:val="single" w:sz="6" w:space="0" w:color="404040"/>
              <w:right w:val="single" w:sz="6" w:space="0" w:color="404040"/>
            </w:tcBorders>
            <w:vAlign w:val="center"/>
          </w:tcPr>
          <w:p w14:paraId="1027D55D" w14:textId="77777777" w:rsidR="001E3646" w:rsidRPr="0039544E" w:rsidRDefault="001E3646" w:rsidP="001E3646">
            <w:pPr>
              <w:pStyle w:val="Prrafodelista"/>
              <w:widowControl w:val="0"/>
              <w:numPr>
                <w:ilvl w:val="0"/>
                <w:numId w:val="10"/>
              </w:numPr>
              <w:spacing w:line="240" w:lineRule="exact"/>
              <w:ind w:left="323"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productos</w:t>
            </w:r>
          </w:p>
        </w:tc>
        <w:tc>
          <w:tcPr>
            <w:tcW w:w="1160" w:type="dxa"/>
            <w:tcBorders>
              <w:left w:val="single" w:sz="6" w:space="0" w:color="404040"/>
            </w:tcBorders>
            <w:vAlign w:val="center"/>
          </w:tcPr>
          <w:p w14:paraId="63311C29" w14:textId="798DB2B3" w:rsidR="001E3646" w:rsidRPr="00EB4101" w:rsidRDefault="001E3646" w:rsidP="001E3646">
            <w:pPr>
              <w:jc w:val="center"/>
              <w:rPr>
                <w:sz w:val="18"/>
                <w:szCs w:val="18"/>
              </w:rPr>
            </w:pPr>
            <w:r w:rsidRPr="001E3646">
              <w:rPr>
                <w:sz w:val="18"/>
                <w:szCs w:val="18"/>
              </w:rPr>
              <w:t>50.3</w:t>
            </w:r>
          </w:p>
        </w:tc>
        <w:tc>
          <w:tcPr>
            <w:tcW w:w="1075" w:type="dxa"/>
            <w:tcBorders>
              <w:right w:val="single" w:sz="6" w:space="0" w:color="404040"/>
            </w:tcBorders>
            <w:vAlign w:val="center"/>
          </w:tcPr>
          <w:p w14:paraId="6E1246C1" w14:textId="3D842701" w:rsidR="001E3646" w:rsidRPr="00EB4101" w:rsidRDefault="001E3646" w:rsidP="001E3646">
            <w:pPr>
              <w:jc w:val="center"/>
              <w:rPr>
                <w:sz w:val="18"/>
                <w:szCs w:val="18"/>
              </w:rPr>
            </w:pPr>
            <w:r w:rsidRPr="001E3646">
              <w:rPr>
                <w:sz w:val="18"/>
                <w:szCs w:val="18"/>
              </w:rPr>
              <w:t>39.5</w:t>
            </w:r>
          </w:p>
        </w:tc>
        <w:tc>
          <w:tcPr>
            <w:tcW w:w="1268" w:type="dxa"/>
            <w:tcBorders>
              <w:left w:val="single" w:sz="6" w:space="0" w:color="404040"/>
              <w:right w:val="single" w:sz="6" w:space="0" w:color="404040"/>
            </w:tcBorders>
            <w:vAlign w:val="center"/>
          </w:tcPr>
          <w:p w14:paraId="4E314F9A" w14:textId="3AB9A6B1" w:rsidR="001E3646" w:rsidRPr="00EB4101" w:rsidRDefault="001E3646" w:rsidP="001E3646">
            <w:pPr>
              <w:tabs>
                <w:tab w:val="left" w:pos="196"/>
                <w:tab w:val="decimal" w:pos="621"/>
              </w:tabs>
              <w:jc w:val="left"/>
              <w:rPr>
                <w:sz w:val="18"/>
                <w:szCs w:val="18"/>
              </w:rPr>
            </w:pPr>
            <w:r w:rsidRPr="001E3646">
              <w:rPr>
                <w:sz w:val="18"/>
                <w:szCs w:val="18"/>
              </w:rPr>
              <w:tab/>
              <w:t>(-)</w:t>
            </w:r>
            <w:r w:rsidRPr="001E3646">
              <w:rPr>
                <w:sz w:val="18"/>
                <w:szCs w:val="18"/>
              </w:rPr>
              <w:tab/>
              <w:t>10.8</w:t>
            </w:r>
          </w:p>
        </w:tc>
      </w:tr>
      <w:tr w:rsidR="001E3646" w:rsidRPr="00197334" w14:paraId="1F845412" w14:textId="77777777" w:rsidTr="001E3646">
        <w:trPr>
          <w:cantSplit/>
          <w:trHeight w:val="20"/>
          <w:jc w:val="center"/>
        </w:trPr>
        <w:tc>
          <w:tcPr>
            <w:tcW w:w="5004" w:type="dxa"/>
            <w:tcBorders>
              <w:left w:val="single" w:sz="6" w:space="0" w:color="404040"/>
              <w:right w:val="single" w:sz="6" w:space="0" w:color="404040"/>
            </w:tcBorders>
            <w:vAlign w:val="center"/>
          </w:tcPr>
          <w:p w14:paraId="085C1D1C" w14:textId="77777777" w:rsidR="001E3646" w:rsidRPr="0039544E" w:rsidRDefault="001E3646" w:rsidP="001E3646">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Exportaciones</w:t>
            </w:r>
          </w:p>
        </w:tc>
        <w:tc>
          <w:tcPr>
            <w:tcW w:w="1160" w:type="dxa"/>
            <w:tcBorders>
              <w:left w:val="single" w:sz="6" w:space="0" w:color="404040"/>
            </w:tcBorders>
            <w:vAlign w:val="center"/>
          </w:tcPr>
          <w:p w14:paraId="50D57A30" w14:textId="6EECA439" w:rsidR="001E3646" w:rsidRPr="00EB4101" w:rsidRDefault="001E3646" w:rsidP="001E3646">
            <w:pPr>
              <w:jc w:val="center"/>
              <w:rPr>
                <w:sz w:val="18"/>
                <w:szCs w:val="18"/>
              </w:rPr>
            </w:pPr>
            <w:r w:rsidRPr="001E3646">
              <w:rPr>
                <w:sz w:val="18"/>
                <w:szCs w:val="18"/>
              </w:rPr>
              <w:t>52.8</w:t>
            </w:r>
          </w:p>
        </w:tc>
        <w:tc>
          <w:tcPr>
            <w:tcW w:w="1075" w:type="dxa"/>
            <w:tcBorders>
              <w:right w:val="single" w:sz="6" w:space="0" w:color="404040"/>
            </w:tcBorders>
            <w:vAlign w:val="center"/>
          </w:tcPr>
          <w:p w14:paraId="28BD5410" w14:textId="49ADED04" w:rsidR="001E3646" w:rsidRPr="00EB4101" w:rsidRDefault="001E3646" w:rsidP="001E3646">
            <w:pPr>
              <w:jc w:val="center"/>
              <w:rPr>
                <w:sz w:val="18"/>
                <w:szCs w:val="18"/>
              </w:rPr>
            </w:pPr>
            <w:r w:rsidRPr="001E3646">
              <w:rPr>
                <w:sz w:val="18"/>
                <w:szCs w:val="18"/>
              </w:rPr>
              <w:t>36.2</w:t>
            </w:r>
          </w:p>
        </w:tc>
        <w:tc>
          <w:tcPr>
            <w:tcW w:w="1268" w:type="dxa"/>
            <w:tcBorders>
              <w:left w:val="single" w:sz="6" w:space="0" w:color="404040"/>
              <w:right w:val="single" w:sz="6" w:space="0" w:color="404040"/>
            </w:tcBorders>
            <w:vAlign w:val="center"/>
          </w:tcPr>
          <w:p w14:paraId="024EAE60" w14:textId="572ABEA7" w:rsidR="001E3646" w:rsidRPr="00EB4101" w:rsidRDefault="001E3646" w:rsidP="001E3646">
            <w:pPr>
              <w:tabs>
                <w:tab w:val="left" w:pos="196"/>
                <w:tab w:val="decimal" w:pos="621"/>
              </w:tabs>
              <w:jc w:val="left"/>
              <w:rPr>
                <w:sz w:val="18"/>
                <w:szCs w:val="18"/>
              </w:rPr>
            </w:pPr>
            <w:r w:rsidRPr="001E3646">
              <w:rPr>
                <w:sz w:val="18"/>
                <w:szCs w:val="18"/>
              </w:rPr>
              <w:tab/>
              <w:t>(-)</w:t>
            </w:r>
            <w:r w:rsidRPr="001E3646">
              <w:rPr>
                <w:sz w:val="18"/>
                <w:szCs w:val="18"/>
              </w:rPr>
              <w:tab/>
              <w:t>16.7</w:t>
            </w:r>
          </w:p>
        </w:tc>
      </w:tr>
      <w:tr w:rsidR="001E3646" w:rsidRPr="00197334" w14:paraId="07BDD5F1" w14:textId="77777777" w:rsidTr="001E3646">
        <w:trPr>
          <w:cantSplit/>
          <w:trHeight w:val="20"/>
          <w:jc w:val="center"/>
        </w:trPr>
        <w:tc>
          <w:tcPr>
            <w:tcW w:w="5004" w:type="dxa"/>
            <w:tcBorders>
              <w:left w:val="single" w:sz="6" w:space="0" w:color="404040"/>
              <w:right w:val="single" w:sz="6" w:space="0" w:color="404040"/>
            </w:tcBorders>
            <w:vAlign w:val="center"/>
          </w:tcPr>
          <w:p w14:paraId="3299FD0D" w14:textId="77777777" w:rsidR="001E3646" w:rsidRPr="0039544E" w:rsidRDefault="001E3646" w:rsidP="001E3646">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tcBorders>
            <w:vAlign w:val="center"/>
          </w:tcPr>
          <w:p w14:paraId="588DA347" w14:textId="25E0613C" w:rsidR="001E3646" w:rsidRPr="00EB4101" w:rsidRDefault="001E3646" w:rsidP="001E3646">
            <w:pPr>
              <w:jc w:val="center"/>
              <w:rPr>
                <w:sz w:val="18"/>
                <w:szCs w:val="18"/>
              </w:rPr>
            </w:pPr>
            <w:r w:rsidRPr="001E3646">
              <w:rPr>
                <w:sz w:val="18"/>
                <w:szCs w:val="18"/>
              </w:rPr>
              <w:t>50.0</w:t>
            </w:r>
          </w:p>
        </w:tc>
        <w:tc>
          <w:tcPr>
            <w:tcW w:w="1075" w:type="dxa"/>
            <w:tcBorders>
              <w:right w:val="single" w:sz="6" w:space="0" w:color="404040"/>
            </w:tcBorders>
            <w:vAlign w:val="center"/>
          </w:tcPr>
          <w:p w14:paraId="4CBDC68A" w14:textId="7002F044" w:rsidR="001E3646" w:rsidRPr="00EB4101" w:rsidRDefault="001E3646" w:rsidP="001E3646">
            <w:pPr>
              <w:jc w:val="center"/>
              <w:rPr>
                <w:sz w:val="18"/>
                <w:szCs w:val="18"/>
              </w:rPr>
            </w:pPr>
            <w:r w:rsidRPr="001E3646">
              <w:rPr>
                <w:sz w:val="18"/>
                <w:szCs w:val="18"/>
              </w:rPr>
              <w:t>45.9</w:t>
            </w:r>
          </w:p>
        </w:tc>
        <w:tc>
          <w:tcPr>
            <w:tcW w:w="1268" w:type="dxa"/>
            <w:tcBorders>
              <w:left w:val="single" w:sz="6" w:space="0" w:color="404040"/>
              <w:right w:val="single" w:sz="6" w:space="0" w:color="404040"/>
            </w:tcBorders>
            <w:vAlign w:val="center"/>
          </w:tcPr>
          <w:p w14:paraId="27767D9E" w14:textId="5995C846" w:rsidR="001E3646" w:rsidRPr="00EB4101" w:rsidRDefault="001E3646" w:rsidP="001E3646">
            <w:pPr>
              <w:tabs>
                <w:tab w:val="left" w:pos="196"/>
                <w:tab w:val="decimal" w:pos="621"/>
              </w:tabs>
              <w:jc w:val="left"/>
              <w:rPr>
                <w:sz w:val="18"/>
                <w:szCs w:val="18"/>
              </w:rPr>
            </w:pPr>
            <w:r w:rsidRPr="001E3646">
              <w:rPr>
                <w:sz w:val="18"/>
                <w:szCs w:val="18"/>
              </w:rPr>
              <w:tab/>
              <w:t>(-)</w:t>
            </w:r>
            <w:r w:rsidRPr="001E3646">
              <w:rPr>
                <w:sz w:val="18"/>
                <w:szCs w:val="18"/>
              </w:rPr>
              <w:tab/>
              <w:t>4.1</w:t>
            </w:r>
          </w:p>
        </w:tc>
      </w:tr>
      <w:tr w:rsidR="001E3646" w:rsidRPr="00197334" w14:paraId="06E06D52" w14:textId="77777777" w:rsidTr="001E3646">
        <w:trPr>
          <w:cantSplit/>
          <w:trHeight w:val="20"/>
          <w:jc w:val="center"/>
        </w:trPr>
        <w:tc>
          <w:tcPr>
            <w:tcW w:w="5004" w:type="dxa"/>
            <w:tcBorders>
              <w:left w:val="single" w:sz="6" w:space="0" w:color="404040"/>
              <w:right w:val="single" w:sz="6" w:space="0" w:color="404040"/>
            </w:tcBorders>
            <w:shd w:val="clear" w:color="auto" w:fill="auto"/>
            <w:vAlign w:val="center"/>
          </w:tcPr>
          <w:p w14:paraId="18C5333A" w14:textId="77777777" w:rsidR="001E3646" w:rsidRPr="0039544E" w:rsidRDefault="001E3646" w:rsidP="001E3646">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Inversión en planta y equipo</w:t>
            </w:r>
          </w:p>
        </w:tc>
        <w:tc>
          <w:tcPr>
            <w:tcW w:w="1160" w:type="dxa"/>
            <w:tcBorders>
              <w:left w:val="single" w:sz="6" w:space="0" w:color="404040"/>
            </w:tcBorders>
            <w:shd w:val="clear" w:color="auto" w:fill="auto"/>
            <w:vAlign w:val="center"/>
          </w:tcPr>
          <w:p w14:paraId="604B0625" w14:textId="44CDBD2E" w:rsidR="001E3646" w:rsidRPr="00EB4101" w:rsidRDefault="001E3646" w:rsidP="001E3646">
            <w:pPr>
              <w:jc w:val="center"/>
              <w:rPr>
                <w:sz w:val="18"/>
                <w:szCs w:val="18"/>
              </w:rPr>
            </w:pPr>
            <w:r w:rsidRPr="001E3646">
              <w:rPr>
                <w:sz w:val="18"/>
                <w:szCs w:val="18"/>
              </w:rPr>
              <w:t>50.9</w:t>
            </w:r>
          </w:p>
        </w:tc>
        <w:tc>
          <w:tcPr>
            <w:tcW w:w="1075" w:type="dxa"/>
            <w:tcBorders>
              <w:right w:val="single" w:sz="6" w:space="0" w:color="404040"/>
            </w:tcBorders>
            <w:shd w:val="clear" w:color="auto" w:fill="auto"/>
            <w:vAlign w:val="center"/>
          </w:tcPr>
          <w:p w14:paraId="39379D9F" w14:textId="4A3B98EC" w:rsidR="001E3646" w:rsidRPr="00EB4101" w:rsidRDefault="001E3646" w:rsidP="001E3646">
            <w:pPr>
              <w:jc w:val="center"/>
              <w:rPr>
                <w:sz w:val="18"/>
                <w:szCs w:val="18"/>
              </w:rPr>
            </w:pPr>
            <w:r w:rsidRPr="001E3646">
              <w:rPr>
                <w:sz w:val="18"/>
                <w:szCs w:val="18"/>
              </w:rPr>
              <w:t>45.4</w:t>
            </w:r>
          </w:p>
        </w:tc>
        <w:tc>
          <w:tcPr>
            <w:tcW w:w="1268" w:type="dxa"/>
            <w:tcBorders>
              <w:left w:val="single" w:sz="6" w:space="0" w:color="404040"/>
              <w:right w:val="single" w:sz="6" w:space="0" w:color="404040"/>
            </w:tcBorders>
            <w:shd w:val="clear" w:color="auto" w:fill="auto"/>
            <w:vAlign w:val="center"/>
          </w:tcPr>
          <w:p w14:paraId="25A6B0FC" w14:textId="0FBA6957" w:rsidR="001E3646" w:rsidRPr="00EB4101" w:rsidRDefault="001E3646" w:rsidP="001E3646">
            <w:pPr>
              <w:tabs>
                <w:tab w:val="left" w:pos="196"/>
                <w:tab w:val="decimal" w:pos="621"/>
              </w:tabs>
              <w:jc w:val="left"/>
              <w:rPr>
                <w:sz w:val="18"/>
                <w:szCs w:val="18"/>
              </w:rPr>
            </w:pPr>
            <w:r w:rsidRPr="001E3646">
              <w:rPr>
                <w:sz w:val="18"/>
                <w:szCs w:val="18"/>
              </w:rPr>
              <w:tab/>
              <w:t>(-)</w:t>
            </w:r>
            <w:r w:rsidRPr="001E3646">
              <w:rPr>
                <w:sz w:val="18"/>
                <w:szCs w:val="18"/>
              </w:rPr>
              <w:tab/>
              <w:t>5.5</w:t>
            </w:r>
          </w:p>
        </w:tc>
      </w:tr>
      <w:tr w:rsidR="001E3646" w:rsidRPr="00197334" w14:paraId="42AC1B97" w14:textId="77777777" w:rsidTr="001E3646">
        <w:trPr>
          <w:cantSplit/>
          <w:trHeight w:val="20"/>
          <w:jc w:val="center"/>
        </w:trPr>
        <w:tc>
          <w:tcPr>
            <w:tcW w:w="5004" w:type="dxa"/>
            <w:tcBorders>
              <w:left w:val="single" w:sz="6" w:space="0" w:color="404040"/>
              <w:right w:val="single" w:sz="6" w:space="0" w:color="404040"/>
            </w:tcBorders>
            <w:shd w:val="clear" w:color="auto" w:fill="auto"/>
            <w:vAlign w:val="center"/>
          </w:tcPr>
          <w:p w14:paraId="6ACE97FC" w14:textId="77777777" w:rsidR="001E3646" w:rsidRPr="0039544E" w:rsidRDefault="001E3646" w:rsidP="001E3646">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Inventarios de productos terminados</w:t>
            </w:r>
          </w:p>
        </w:tc>
        <w:tc>
          <w:tcPr>
            <w:tcW w:w="1160" w:type="dxa"/>
            <w:tcBorders>
              <w:left w:val="single" w:sz="6" w:space="0" w:color="404040"/>
            </w:tcBorders>
            <w:shd w:val="clear" w:color="auto" w:fill="auto"/>
            <w:vAlign w:val="center"/>
          </w:tcPr>
          <w:p w14:paraId="12A99D67" w14:textId="36969EF7" w:rsidR="001E3646" w:rsidRPr="00EB4101" w:rsidRDefault="001E3646" w:rsidP="001E3646">
            <w:pPr>
              <w:jc w:val="center"/>
              <w:rPr>
                <w:sz w:val="18"/>
                <w:szCs w:val="18"/>
              </w:rPr>
            </w:pPr>
            <w:r w:rsidRPr="001E3646">
              <w:rPr>
                <w:sz w:val="18"/>
                <w:szCs w:val="18"/>
              </w:rPr>
              <w:t>51.5</w:t>
            </w:r>
          </w:p>
        </w:tc>
        <w:tc>
          <w:tcPr>
            <w:tcW w:w="1075" w:type="dxa"/>
            <w:tcBorders>
              <w:right w:val="single" w:sz="6" w:space="0" w:color="404040"/>
            </w:tcBorders>
            <w:shd w:val="clear" w:color="auto" w:fill="auto"/>
            <w:vAlign w:val="center"/>
          </w:tcPr>
          <w:p w14:paraId="10083FD4" w14:textId="5338523F" w:rsidR="001E3646" w:rsidRPr="00EB4101" w:rsidRDefault="001E3646" w:rsidP="001E3646">
            <w:pPr>
              <w:jc w:val="center"/>
              <w:rPr>
                <w:sz w:val="18"/>
                <w:szCs w:val="18"/>
              </w:rPr>
            </w:pPr>
            <w:r w:rsidRPr="001E3646">
              <w:rPr>
                <w:sz w:val="18"/>
                <w:szCs w:val="18"/>
              </w:rPr>
              <w:t>46.3</w:t>
            </w:r>
          </w:p>
        </w:tc>
        <w:tc>
          <w:tcPr>
            <w:tcW w:w="1268" w:type="dxa"/>
            <w:tcBorders>
              <w:left w:val="single" w:sz="6" w:space="0" w:color="404040"/>
              <w:right w:val="single" w:sz="6" w:space="0" w:color="404040"/>
            </w:tcBorders>
            <w:shd w:val="clear" w:color="auto" w:fill="auto"/>
            <w:vAlign w:val="center"/>
          </w:tcPr>
          <w:p w14:paraId="27855F77" w14:textId="17BA75E3" w:rsidR="001E3646" w:rsidRPr="00EB4101" w:rsidRDefault="001E3646" w:rsidP="001E3646">
            <w:pPr>
              <w:tabs>
                <w:tab w:val="left" w:pos="196"/>
                <w:tab w:val="decimal" w:pos="621"/>
              </w:tabs>
              <w:jc w:val="left"/>
              <w:rPr>
                <w:sz w:val="18"/>
                <w:szCs w:val="18"/>
              </w:rPr>
            </w:pPr>
            <w:r w:rsidRPr="001E3646">
              <w:rPr>
                <w:sz w:val="18"/>
                <w:szCs w:val="18"/>
              </w:rPr>
              <w:tab/>
              <w:t>(-)</w:t>
            </w:r>
            <w:r w:rsidRPr="001E3646">
              <w:rPr>
                <w:sz w:val="18"/>
                <w:szCs w:val="18"/>
              </w:rPr>
              <w:tab/>
              <w:t>5.2</w:t>
            </w:r>
          </w:p>
        </w:tc>
      </w:tr>
      <w:tr w:rsidR="001E3646" w:rsidRPr="00197334" w14:paraId="4DF11FBC" w14:textId="77777777" w:rsidTr="001E3646">
        <w:trPr>
          <w:cantSplit/>
          <w:trHeight w:val="20"/>
          <w:jc w:val="center"/>
        </w:trPr>
        <w:tc>
          <w:tcPr>
            <w:tcW w:w="5004" w:type="dxa"/>
            <w:tcBorders>
              <w:left w:val="single" w:sz="6" w:space="0" w:color="404040"/>
              <w:right w:val="single" w:sz="6" w:space="0" w:color="404040"/>
            </w:tcBorders>
            <w:shd w:val="clear" w:color="auto" w:fill="auto"/>
            <w:vAlign w:val="center"/>
          </w:tcPr>
          <w:p w14:paraId="5FAB5502" w14:textId="77777777" w:rsidR="001E3646" w:rsidRPr="0039544E" w:rsidRDefault="001E3646" w:rsidP="001E3646">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Precios de venta</w:t>
            </w:r>
          </w:p>
        </w:tc>
        <w:tc>
          <w:tcPr>
            <w:tcW w:w="1160" w:type="dxa"/>
            <w:tcBorders>
              <w:left w:val="single" w:sz="6" w:space="0" w:color="404040"/>
            </w:tcBorders>
            <w:shd w:val="clear" w:color="auto" w:fill="auto"/>
            <w:vAlign w:val="center"/>
          </w:tcPr>
          <w:p w14:paraId="4AE90FCF" w14:textId="75317B57" w:rsidR="001E3646" w:rsidRPr="00EB4101" w:rsidRDefault="001E3646" w:rsidP="001E3646">
            <w:pPr>
              <w:jc w:val="center"/>
              <w:rPr>
                <w:sz w:val="18"/>
                <w:szCs w:val="18"/>
              </w:rPr>
            </w:pPr>
            <w:r w:rsidRPr="001E3646">
              <w:rPr>
                <w:sz w:val="18"/>
                <w:szCs w:val="18"/>
              </w:rPr>
              <w:t>54.7</w:t>
            </w:r>
          </w:p>
        </w:tc>
        <w:tc>
          <w:tcPr>
            <w:tcW w:w="1075" w:type="dxa"/>
            <w:tcBorders>
              <w:right w:val="single" w:sz="6" w:space="0" w:color="404040"/>
            </w:tcBorders>
            <w:shd w:val="clear" w:color="auto" w:fill="auto"/>
            <w:vAlign w:val="center"/>
          </w:tcPr>
          <w:p w14:paraId="6A10491F" w14:textId="21663189" w:rsidR="001E3646" w:rsidRPr="00EB4101" w:rsidRDefault="001E3646" w:rsidP="001E3646">
            <w:pPr>
              <w:jc w:val="center"/>
              <w:rPr>
                <w:sz w:val="18"/>
                <w:szCs w:val="18"/>
              </w:rPr>
            </w:pPr>
            <w:r w:rsidRPr="001E3646">
              <w:rPr>
                <w:sz w:val="18"/>
                <w:szCs w:val="18"/>
              </w:rPr>
              <w:t>54.9</w:t>
            </w:r>
          </w:p>
        </w:tc>
        <w:tc>
          <w:tcPr>
            <w:tcW w:w="1268" w:type="dxa"/>
            <w:tcBorders>
              <w:left w:val="single" w:sz="6" w:space="0" w:color="404040"/>
              <w:right w:val="single" w:sz="6" w:space="0" w:color="404040"/>
            </w:tcBorders>
            <w:shd w:val="clear" w:color="auto" w:fill="auto"/>
            <w:vAlign w:val="center"/>
          </w:tcPr>
          <w:p w14:paraId="0DD20AB3" w14:textId="2128B57B" w:rsidR="001E3646" w:rsidRPr="00EB4101" w:rsidRDefault="001E3646" w:rsidP="001E3646">
            <w:pPr>
              <w:tabs>
                <w:tab w:val="decimal" w:pos="621"/>
              </w:tabs>
              <w:jc w:val="left"/>
              <w:rPr>
                <w:sz w:val="18"/>
                <w:szCs w:val="18"/>
              </w:rPr>
            </w:pPr>
            <w:r>
              <w:rPr>
                <w:color w:val="000000"/>
                <w:sz w:val="18"/>
                <w:szCs w:val="18"/>
              </w:rPr>
              <w:t>0.2</w:t>
            </w:r>
          </w:p>
        </w:tc>
      </w:tr>
      <w:tr w:rsidR="001E3646" w:rsidRPr="00197334" w14:paraId="514E9C60" w14:textId="77777777" w:rsidTr="001E3646">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365B5DAB" w14:textId="77777777" w:rsidR="001E3646" w:rsidRPr="0039544E" w:rsidRDefault="001E3646" w:rsidP="001E3646">
            <w:pPr>
              <w:pStyle w:val="Prrafodelista"/>
              <w:widowControl w:val="0"/>
              <w:numPr>
                <w:ilvl w:val="0"/>
                <w:numId w:val="10"/>
              </w:numPr>
              <w:spacing w:after="20" w:line="240" w:lineRule="exact"/>
              <w:ind w:left="323" w:hanging="266"/>
              <w:contextualSpacing/>
              <w:jc w:val="left"/>
              <w:rPr>
                <w:sz w:val="18"/>
                <w:szCs w:val="18"/>
                <w:lang w:val="es-MX"/>
              </w:rPr>
            </w:pPr>
            <w:r w:rsidRPr="0039544E">
              <w:rPr>
                <w:sz w:val="18"/>
                <w:szCs w:val="18"/>
                <w:lang w:val="es-MX"/>
              </w:rPr>
              <w:t>Precios de insumos</w:t>
            </w:r>
          </w:p>
        </w:tc>
        <w:tc>
          <w:tcPr>
            <w:tcW w:w="1160" w:type="dxa"/>
            <w:tcBorders>
              <w:left w:val="single" w:sz="6" w:space="0" w:color="404040"/>
              <w:bottom w:val="single" w:sz="4" w:space="0" w:color="auto"/>
            </w:tcBorders>
            <w:shd w:val="clear" w:color="auto" w:fill="auto"/>
            <w:vAlign w:val="center"/>
          </w:tcPr>
          <w:p w14:paraId="6A2531F3" w14:textId="38C5ADE2" w:rsidR="001E3646" w:rsidRPr="00EB4101" w:rsidRDefault="001E3646" w:rsidP="001E3646">
            <w:pPr>
              <w:jc w:val="center"/>
              <w:rPr>
                <w:sz w:val="18"/>
                <w:szCs w:val="18"/>
              </w:rPr>
            </w:pPr>
            <w:r w:rsidRPr="001E3646">
              <w:rPr>
                <w:sz w:val="18"/>
                <w:szCs w:val="18"/>
              </w:rPr>
              <w:t>54.5</w:t>
            </w:r>
          </w:p>
        </w:tc>
        <w:tc>
          <w:tcPr>
            <w:tcW w:w="1075" w:type="dxa"/>
            <w:tcBorders>
              <w:bottom w:val="single" w:sz="4" w:space="0" w:color="auto"/>
              <w:right w:val="single" w:sz="6" w:space="0" w:color="404040"/>
            </w:tcBorders>
            <w:shd w:val="clear" w:color="auto" w:fill="auto"/>
            <w:vAlign w:val="center"/>
          </w:tcPr>
          <w:p w14:paraId="2FFA2666" w14:textId="7F5B7513" w:rsidR="001E3646" w:rsidRPr="00EB4101" w:rsidRDefault="001E3646" w:rsidP="001E3646">
            <w:pPr>
              <w:jc w:val="center"/>
              <w:rPr>
                <w:sz w:val="18"/>
                <w:szCs w:val="18"/>
              </w:rPr>
            </w:pPr>
            <w:r w:rsidRPr="001E3646">
              <w:rPr>
                <w:sz w:val="18"/>
                <w:szCs w:val="18"/>
              </w:rPr>
              <w:t>55.1</w:t>
            </w:r>
          </w:p>
        </w:tc>
        <w:tc>
          <w:tcPr>
            <w:tcW w:w="1268" w:type="dxa"/>
            <w:tcBorders>
              <w:left w:val="single" w:sz="6" w:space="0" w:color="404040"/>
              <w:bottom w:val="single" w:sz="4" w:space="0" w:color="auto"/>
              <w:right w:val="single" w:sz="6" w:space="0" w:color="404040"/>
            </w:tcBorders>
            <w:shd w:val="clear" w:color="auto" w:fill="auto"/>
            <w:vAlign w:val="center"/>
          </w:tcPr>
          <w:p w14:paraId="2A9FD8D8" w14:textId="1A0A660B" w:rsidR="001E3646" w:rsidRPr="00EB4101" w:rsidRDefault="001E3646" w:rsidP="001E3646">
            <w:pPr>
              <w:tabs>
                <w:tab w:val="decimal" w:pos="621"/>
              </w:tabs>
              <w:jc w:val="left"/>
              <w:rPr>
                <w:sz w:val="18"/>
                <w:szCs w:val="18"/>
              </w:rPr>
            </w:pPr>
            <w:r>
              <w:rPr>
                <w:color w:val="000000"/>
                <w:sz w:val="18"/>
                <w:szCs w:val="18"/>
              </w:rPr>
              <w:t>0.6</w:t>
            </w:r>
          </w:p>
        </w:tc>
      </w:tr>
      <w:tr w:rsidR="007D03A9" w:rsidRPr="009E14A2" w14:paraId="171FAD1B" w14:textId="77777777" w:rsidTr="00021575">
        <w:trPr>
          <w:cantSplit/>
          <w:trHeight w:val="20"/>
          <w:jc w:val="center"/>
        </w:trPr>
        <w:tc>
          <w:tcPr>
            <w:tcW w:w="5004" w:type="dxa"/>
            <w:tcBorders>
              <w:top w:val="single" w:sz="4" w:space="0" w:color="auto"/>
              <w:bottom w:val="single" w:sz="4" w:space="0" w:color="auto"/>
            </w:tcBorders>
            <w:shd w:val="clear" w:color="auto" w:fill="auto"/>
          </w:tcPr>
          <w:p w14:paraId="4FD1FAC5" w14:textId="77777777" w:rsidR="007D03A9" w:rsidRPr="007532EB" w:rsidRDefault="007D03A9" w:rsidP="007D03A9">
            <w:pPr>
              <w:widowControl w:val="0"/>
              <w:rPr>
                <w:sz w:val="8"/>
                <w:szCs w:val="10"/>
                <w:lang w:val="es-MX"/>
              </w:rPr>
            </w:pPr>
          </w:p>
        </w:tc>
        <w:tc>
          <w:tcPr>
            <w:tcW w:w="1160" w:type="dxa"/>
            <w:tcBorders>
              <w:top w:val="single" w:sz="4" w:space="0" w:color="auto"/>
              <w:bottom w:val="single" w:sz="4" w:space="0" w:color="auto"/>
            </w:tcBorders>
            <w:shd w:val="clear" w:color="auto" w:fill="auto"/>
            <w:vAlign w:val="center"/>
          </w:tcPr>
          <w:p w14:paraId="458E46FC" w14:textId="77777777" w:rsidR="007D03A9" w:rsidRPr="00EB4101" w:rsidRDefault="007D03A9" w:rsidP="00603902">
            <w:pPr>
              <w:tabs>
                <w:tab w:val="decimal" w:pos="581"/>
              </w:tabs>
              <w:jc w:val="left"/>
              <w:rPr>
                <w:sz w:val="18"/>
                <w:szCs w:val="18"/>
              </w:rPr>
            </w:pPr>
            <w:r w:rsidRPr="00EB4101">
              <w:rPr>
                <w:sz w:val="18"/>
                <w:szCs w:val="18"/>
              </w:rPr>
              <w:t> </w:t>
            </w:r>
          </w:p>
        </w:tc>
        <w:tc>
          <w:tcPr>
            <w:tcW w:w="1075" w:type="dxa"/>
            <w:tcBorders>
              <w:top w:val="single" w:sz="4" w:space="0" w:color="auto"/>
              <w:bottom w:val="single" w:sz="4" w:space="0" w:color="auto"/>
            </w:tcBorders>
            <w:shd w:val="clear" w:color="auto" w:fill="auto"/>
            <w:vAlign w:val="center"/>
          </w:tcPr>
          <w:p w14:paraId="7E460F34" w14:textId="77777777" w:rsidR="007D03A9" w:rsidRPr="00EB4101" w:rsidRDefault="007D03A9" w:rsidP="00021575">
            <w:pPr>
              <w:tabs>
                <w:tab w:val="decimal" w:pos="434"/>
              </w:tabs>
              <w:rPr>
                <w:sz w:val="18"/>
                <w:szCs w:val="18"/>
              </w:rPr>
            </w:pPr>
            <w:r w:rsidRPr="00EB4101">
              <w:rPr>
                <w:sz w:val="18"/>
                <w:szCs w:val="18"/>
              </w:rPr>
              <w:t> </w:t>
            </w:r>
          </w:p>
        </w:tc>
        <w:tc>
          <w:tcPr>
            <w:tcW w:w="1268" w:type="dxa"/>
            <w:tcBorders>
              <w:top w:val="single" w:sz="4" w:space="0" w:color="auto"/>
              <w:bottom w:val="single" w:sz="4" w:space="0" w:color="auto"/>
            </w:tcBorders>
            <w:shd w:val="clear" w:color="auto" w:fill="auto"/>
            <w:vAlign w:val="center"/>
          </w:tcPr>
          <w:p w14:paraId="60C2400A" w14:textId="77777777" w:rsidR="007D03A9" w:rsidRPr="00EB4101" w:rsidRDefault="007D03A9" w:rsidP="00EB4101">
            <w:pPr>
              <w:tabs>
                <w:tab w:val="left" w:pos="308"/>
                <w:tab w:val="decimal" w:pos="630"/>
                <w:tab w:val="decimal" w:pos="634"/>
                <w:tab w:val="decimal" w:pos="734"/>
              </w:tabs>
              <w:jc w:val="center"/>
              <w:rPr>
                <w:sz w:val="18"/>
                <w:szCs w:val="18"/>
              </w:rPr>
            </w:pPr>
          </w:p>
        </w:tc>
      </w:tr>
      <w:tr w:rsidR="007D03A9" w:rsidRPr="009E14A2" w14:paraId="1C385F84" w14:textId="77777777" w:rsidTr="00021575">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3540A6BF" w14:textId="77777777" w:rsidR="007D03A9" w:rsidRPr="0039544E" w:rsidRDefault="007D03A9" w:rsidP="007D03A9">
            <w:pPr>
              <w:widowControl w:val="0"/>
              <w:tabs>
                <w:tab w:val="left" w:pos="708"/>
              </w:tabs>
              <w:spacing w:line="240" w:lineRule="exact"/>
              <w:ind w:right="-150"/>
              <w:rPr>
                <w:b/>
                <w:spacing w:val="4"/>
                <w:sz w:val="18"/>
                <w:szCs w:val="18"/>
              </w:rPr>
            </w:pPr>
            <w:r w:rsidRPr="0039544E">
              <w:rPr>
                <w:b/>
                <w:spacing w:val="4"/>
                <w:sz w:val="18"/>
                <w:szCs w:val="18"/>
              </w:rPr>
              <w:t xml:space="preserve">Expectativas Empresariales </w:t>
            </w:r>
            <w:r>
              <w:rPr>
                <w:b/>
                <w:spacing w:val="4"/>
                <w:sz w:val="18"/>
                <w:szCs w:val="18"/>
              </w:rPr>
              <w:t xml:space="preserve">del Sector </w:t>
            </w:r>
            <w:r w:rsidRPr="0039544E">
              <w:rPr>
                <w:b/>
                <w:spacing w:val="4"/>
                <w:sz w:val="18"/>
                <w:szCs w:val="18"/>
              </w:rPr>
              <w:t>Construcción</w:t>
            </w:r>
          </w:p>
        </w:tc>
        <w:tc>
          <w:tcPr>
            <w:tcW w:w="1160" w:type="dxa"/>
            <w:tcBorders>
              <w:top w:val="single" w:sz="4" w:space="0" w:color="auto"/>
              <w:left w:val="single" w:sz="6" w:space="0" w:color="404040"/>
            </w:tcBorders>
            <w:shd w:val="clear" w:color="auto" w:fill="auto"/>
            <w:vAlign w:val="center"/>
          </w:tcPr>
          <w:p w14:paraId="0C49C13C" w14:textId="77777777" w:rsidR="007D03A9" w:rsidRPr="00EB4101" w:rsidRDefault="007D03A9" w:rsidP="00603902">
            <w:pPr>
              <w:tabs>
                <w:tab w:val="decimal" w:pos="581"/>
              </w:tabs>
              <w:jc w:val="left"/>
              <w:rPr>
                <w:sz w:val="18"/>
                <w:szCs w:val="18"/>
              </w:rPr>
            </w:pPr>
            <w:r w:rsidRPr="00EB4101">
              <w:rPr>
                <w:sz w:val="18"/>
                <w:szCs w:val="18"/>
              </w:rPr>
              <w:t> </w:t>
            </w:r>
          </w:p>
        </w:tc>
        <w:tc>
          <w:tcPr>
            <w:tcW w:w="1075" w:type="dxa"/>
            <w:tcBorders>
              <w:top w:val="single" w:sz="4" w:space="0" w:color="auto"/>
              <w:right w:val="single" w:sz="6" w:space="0" w:color="404040"/>
            </w:tcBorders>
            <w:shd w:val="clear" w:color="auto" w:fill="auto"/>
            <w:vAlign w:val="center"/>
          </w:tcPr>
          <w:p w14:paraId="0486D818" w14:textId="77777777" w:rsidR="007D03A9" w:rsidRPr="00EB4101" w:rsidRDefault="007D03A9" w:rsidP="00021575">
            <w:pPr>
              <w:tabs>
                <w:tab w:val="decimal" w:pos="434"/>
              </w:tabs>
              <w:rPr>
                <w:sz w:val="18"/>
                <w:szCs w:val="18"/>
              </w:rPr>
            </w:pPr>
            <w:r w:rsidRPr="00EB4101">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14:paraId="441CB429" w14:textId="77777777" w:rsidR="007D03A9" w:rsidRPr="00EB4101" w:rsidRDefault="007D03A9" w:rsidP="00EB4101">
            <w:pPr>
              <w:tabs>
                <w:tab w:val="left" w:pos="308"/>
                <w:tab w:val="decimal" w:pos="630"/>
                <w:tab w:val="decimal" w:pos="634"/>
                <w:tab w:val="decimal" w:pos="734"/>
              </w:tabs>
              <w:jc w:val="center"/>
              <w:rPr>
                <w:sz w:val="18"/>
                <w:szCs w:val="18"/>
              </w:rPr>
            </w:pPr>
          </w:p>
        </w:tc>
      </w:tr>
      <w:tr w:rsidR="001E3646" w:rsidRPr="009E14A2" w14:paraId="14AF0FF3" w14:textId="77777777" w:rsidTr="008A4F23">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1E3646" w:rsidRPr="0039544E" w:rsidRDefault="001E3646" w:rsidP="001E3646">
            <w:pPr>
              <w:pStyle w:val="Prrafodelista"/>
              <w:widowControl w:val="0"/>
              <w:numPr>
                <w:ilvl w:val="0"/>
                <w:numId w:val="11"/>
              </w:numPr>
              <w:spacing w:line="240" w:lineRule="exact"/>
              <w:ind w:left="323" w:hanging="266"/>
              <w:contextualSpacing/>
              <w:jc w:val="left"/>
              <w:rPr>
                <w:sz w:val="18"/>
                <w:szCs w:val="18"/>
                <w:lang w:val="es-MX"/>
              </w:rPr>
            </w:pPr>
            <w:r>
              <w:rPr>
                <w:sz w:val="18"/>
                <w:szCs w:val="18"/>
                <w:lang w:val="es-MX"/>
              </w:rPr>
              <w:t>Valor de las o</w:t>
            </w:r>
            <w:r w:rsidRPr="0039544E">
              <w:rPr>
                <w:sz w:val="18"/>
                <w:szCs w:val="18"/>
                <w:lang w:val="es-MX"/>
              </w:rPr>
              <w:t>bras ejecutadas como contratista principal</w:t>
            </w:r>
          </w:p>
        </w:tc>
        <w:tc>
          <w:tcPr>
            <w:tcW w:w="1160" w:type="dxa"/>
            <w:tcBorders>
              <w:left w:val="single" w:sz="6" w:space="0" w:color="404040"/>
            </w:tcBorders>
            <w:shd w:val="clear" w:color="auto" w:fill="auto"/>
            <w:vAlign w:val="center"/>
          </w:tcPr>
          <w:p w14:paraId="6F6F152F" w14:textId="201A17A8" w:rsidR="001E3646" w:rsidRPr="00EB4101" w:rsidRDefault="001E3646" w:rsidP="008A4F23">
            <w:pPr>
              <w:jc w:val="center"/>
              <w:rPr>
                <w:sz w:val="18"/>
                <w:szCs w:val="18"/>
              </w:rPr>
            </w:pPr>
            <w:r w:rsidRPr="008A4F23">
              <w:rPr>
                <w:sz w:val="18"/>
                <w:szCs w:val="18"/>
              </w:rPr>
              <w:t>52.8</w:t>
            </w:r>
          </w:p>
        </w:tc>
        <w:tc>
          <w:tcPr>
            <w:tcW w:w="1075" w:type="dxa"/>
            <w:tcBorders>
              <w:right w:val="single" w:sz="6" w:space="0" w:color="404040"/>
            </w:tcBorders>
            <w:shd w:val="clear" w:color="auto" w:fill="auto"/>
            <w:vAlign w:val="center"/>
          </w:tcPr>
          <w:p w14:paraId="138C908E" w14:textId="37F5B7C3" w:rsidR="001E3646" w:rsidRPr="00EB4101" w:rsidRDefault="001E3646" w:rsidP="008A4F23">
            <w:pPr>
              <w:jc w:val="center"/>
              <w:rPr>
                <w:sz w:val="18"/>
                <w:szCs w:val="18"/>
              </w:rPr>
            </w:pPr>
            <w:r w:rsidRPr="008A4F23">
              <w:rPr>
                <w:sz w:val="18"/>
                <w:szCs w:val="18"/>
              </w:rPr>
              <w:t>36.0</w:t>
            </w:r>
          </w:p>
        </w:tc>
        <w:tc>
          <w:tcPr>
            <w:tcW w:w="1268" w:type="dxa"/>
            <w:tcBorders>
              <w:left w:val="single" w:sz="6" w:space="0" w:color="404040"/>
              <w:right w:val="single" w:sz="6" w:space="0" w:color="404040"/>
            </w:tcBorders>
            <w:shd w:val="clear" w:color="auto" w:fill="auto"/>
            <w:vAlign w:val="center"/>
          </w:tcPr>
          <w:p w14:paraId="12926165" w14:textId="2C117782" w:rsidR="001E3646" w:rsidRPr="00EB4101" w:rsidRDefault="001E3646" w:rsidP="001E3646">
            <w:pPr>
              <w:tabs>
                <w:tab w:val="left" w:pos="196"/>
                <w:tab w:val="decimal" w:pos="630"/>
              </w:tabs>
              <w:jc w:val="left"/>
              <w:rPr>
                <w:sz w:val="18"/>
                <w:szCs w:val="18"/>
              </w:rPr>
            </w:pPr>
            <w:r w:rsidRPr="001E3646">
              <w:rPr>
                <w:sz w:val="18"/>
                <w:szCs w:val="18"/>
              </w:rPr>
              <w:tab/>
              <w:t>(-)</w:t>
            </w:r>
            <w:r w:rsidRPr="001E3646">
              <w:rPr>
                <w:sz w:val="18"/>
                <w:szCs w:val="18"/>
              </w:rPr>
              <w:tab/>
              <w:t>16.8</w:t>
            </w:r>
          </w:p>
        </w:tc>
      </w:tr>
      <w:tr w:rsidR="001E3646" w:rsidRPr="009E14A2" w14:paraId="5E93EAB5" w14:textId="77777777" w:rsidTr="008A4F23">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1E3646" w:rsidRPr="0039544E" w:rsidRDefault="001E3646" w:rsidP="001E3646">
            <w:pPr>
              <w:pStyle w:val="Prrafodelista"/>
              <w:widowControl w:val="0"/>
              <w:numPr>
                <w:ilvl w:val="0"/>
                <w:numId w:val="11"/>
              </w:numPr>
              <w:spacing w:line="240" w:lineRule="exact"/>
              <w:ind w:left="322" w:hanging="266"/>
              <w:contextualSpacing/>
              <w:jc w:val="left"/>
              <w:rPr>
                <w:sz w:val="18"/>
                <w:szCs w:val="18"/>
                <w:lang w:val="es-MX"/>
              </w:rPr>
            </w:pPr>
            <w:r>
              <w:rPr>
                <w:sz w:val="18"/>
                <w:szCs w:val="18"/>
              </w:rPr>
              <w:t xml:space="preserve">Valor de las </w:t>
            </w:r>
            <w:r w:rsidRPr="0039544E">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3FACE15D" w:rsidR="001E3646" w:rsidRPr="00EB4101" w:rsidRDefault="001E3646" w:rsidP="008A4F23">
            <w:pPr>
              <w:jc w:val="center"/>
              <w:rPr>
                <w:sz w:val="18"/>
                <w:szCs w:val="18"/>
              </w:rPr>
            </w:pPr>
            <w:r w:rsidRPr="008A4F23">
              <w:rPr>
                <w:sz w:val="18"/>
                <w:szCs w:val="18"/>
              </w:rPr>
              <w:t>51.8</w:t>
            </w:r>
          </w:p>
        </w:tc>
        <w:tc>
          <w:tcPr>
            <w:tcW w:w="1075" w:type="dxa"/>
            <w:tcBorders>
              <w:right w:val="single" w:sz="6" w:space="0" w:color="404040"/>
            </w:tcBorders>
            <w:shd w:val="clear" w:color="auto" w:fill="auto"/>
            <w:vAlign w:val="center"/>
          </w:tcPr>
          <w:p w14:paraId="4731BAB9" w14:textId="6C19CA9B" w:rsidR="001E3646" w:rsidRPr="00EB4101" w:rsidRDefault="001E3646" w:rsidP="008A4F23">
            <w:pPr>
              <w:jc w:val="center"/>
              <w:rPr>
                <w:sz w:val="18"/>
                <w:szCs w:val="18"/>
              </w:rPr>
            </w:pPr>
            <w:r w:rsidRPr="008A4F23">
              <w:rPr>
                <w:sz w:val="18"/>
                <w:szCs w:val="18"/>
              </w:rPr>
              <w:t>35.2</w:t>
            </w:r>
          </w:p>
        </w:tc>
        <w:tc>
          <w:tcPr>
            <w:tcW w:w="1268" w:type="dxa"/>
            <w:tcBorders>
              <w:left w:val="single" w:sz="6" w:space="0" w:color="404040"/>
              <w:right w:val="single" w:sz="6" w:space="0" w:color="404040"/>
            </w:tcBorders>
            <w:shd w:val="clear" w:color="auto" w:fill="auto"/>
            <w:vAlign w:val="center"/>
          </w:tcPr>
          <w:p w14:paraId="59D51503" w14:textId="05C4DE7A" w:rsidR="001E3646" w:rsidRPr="00EB4101" w:rsidRDefault="001E3646" w:rsidP="001E3646">
            <w:pPr>
              <w:tabs>
                <w:tab w:val="left" w:pos="196"/>
                <w:tab w:val="decimal" w:pos="630"/>
              </w:tabs>
              <w:jc w:val="left"/>
              <w:rPr>
                <w:sz w:val="18"/>
                <w:szCs w:val="18"/>
              </w:rPr>
            </w:pPr>
            <w:r w:rsidRPr="001E3646">
              <w:rPr>
                <w:sz w:val="18"/>
                <w:szCs w:val="18"/>
              </w:rPr>
              <w:tab/>
              <w:t>(-)</w:t>
            </w:r>
            <w:r w:rsidRPr="001E3646">
              <w:rPr>
                <w:sz w:val="18"/>
                <w:szCs w:val="18"/>
              </w:rPr>
              <w:tab/>
              <w:t>16.6</w:t>
            </w:r>
          </w:p>
        </w:tc>
      </w:tr>
      <w:tr w:rsidR="001E3646" w:rsidRPr="009E14A2" w14:paraId="68307917" w14:textId="77777777" w:rsidTr="008A4F23">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77777777" w:rsidR="001E3646" w:rsidRPr="0039544E" w:rsidRDefault="001E3646" w:rsidP="001E3646">
            <w:pPr>
              <w:pStyle w:val="Prrafodelista"/>
              <w:widowControl w:val="0"/>
              <w:numPr>
                <w:ilvl w:val="0"/>
                <w:numId w:val="11"/>
              </w:numPr>
              <w:spacing w:line="240" w:lineRule="exact"/>
              <w:ind w:left="322" w:hanging="266"/>
              <w:contextualSpacing/>
              <w:jc w:val="left"/>
              <w:rPr>
                <w:sz w:val="18"/>
                <w:szCs w:val="18"/>
                <w:lang w:val="es-MX"/>
              </w:rPr>
            </w:pPr>
            <w:r w:rsidRPr="0039544E">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0A048756" w:rsidR="001E3646" w:rsidRPr="00EB4101" w:rsidRDefault="001E3646" w:rsidP="008A4F23">
            <w:pPr>
              <w:jc w:val="center"/>
              <w:rPr>
                <w:sz w:val="18"/>
                <w:szCs w:val="18"/>
              </w:rPr>
            </w:pPr>
            <w:r w:rsidRPr="008A4F23">
              <w:rPr>
                <w:sz w:val="18"/>
                <w:szCs w:val="18"/>
              </w:rPr>
              <w:t>51.2</w:t>
            </w:r>
          </w:p>
        </w:tc>
        <w:tc>
          <w:tcPr>
            <w:tcW w:w="1075" w:type="dxa"/>
            <w:tcBorders>
              <w:right w:val="single" w:sz="6" w:space="0" w:color="404040"/>
            </w:tcBorders>
            <w:shd w:val="clear" w:color="auto" w:fill="auto"/>
            <w:vAlign w:val="center"/>
          </w:tcPr>
          <w:p w14:paraId="764B58AD" w14:textId="2F2473AE" w:rsidR="001E3646" w:rsidRPr="00EB4101" w:rsidRDefault="001E3646" w:rsidP="008A4F23">
            <w:pPr>
              <w:jc w:val="center"/>
              <w:rPr>
                <w:sz w:val="18"/>
                <w:szCs w:val="18"/>
              </w:rPr>
            </w:pPr>
            <w:r w:rsidRPr="008A4F23">
              <w:rPr>
                <w:sz w:val="18"/>
                <w:szCs w:val="18"/>
              </w:rPr>
              <w:t>46.5</w:t>
            </w:r>
          </w:p>
        </w:tc>
        <w:tc>
          <w:tcPr>
            <w:tcW w:w="1268" w:type="dxa"/>
            <w:tcBorders>
              <w:left w:val="single" w:sz="6" w:space="0" w:color="404040"/>
              <w:right w:val="single" w:sz="6" w:space="0" w:color="404040"/>
            </w:tcBorders>
            <w:shd w:val="clear" w:color="auto" w:fill="auto"/>
            <w:vAlign w:val="center"/>
          </w:tcPr>
          <w:p w14:paraId="4395E2F4" w14:textId="125487B2" w:rsidR="001E3646" w:rsidRPr="00EB4101" w:rsidRDefault="001E3646" w:rsidP="001E3646">
            <w:pPr>
              <w:tabs>
                <w:tab w:val="left" w:pos="196"/>
                <w:tab w:val="decimal" w:pos="630"/>
              </w:tabs>
              <w:jc w:val="left"/>
              <w:rPr>
                <w:sz w:val="18"/>
                <w:szCs w:val="18"/>
              </w:rPr>
            </w:pPr>
            <w:r w:rsidRPr="001E3646">
              <w:rPr>
                <w:sz w:val="18"/>
                <w:szCs w:val="18"/>
              </w:rPr>
              <w:tab/>
              <w:t>(-)</w:t>
            </w:r>
            <w:r w:rsidRPr="001E3646">
              <w:rPr>
                <w:sz w:val="18"/>
                <w:szCs w:val="18"/>
              </w:rPr>
              <w:tab/>
              <w:t>4.7</w:t>
            </w:r>
          </w:p>
        </w:tc>
      </w:tr>
      <w:tr w:rsidR="001E3646" w:rsidRPr="009E14A2" w14:paraId="3D733519" w14:textId="77777777" w:rsidTr="008A4F23">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1E3646" w:rsidRPr="0039544E" w:rsidRDefault="001E3646" w:rsidP="001E3646">
            <w:pPr>
              <w:pStyle w:val="Prrafodelista"/>
              <w:widowControl w:val="0"/>
              <w:numPr>
                <w:ilvl w:val="0"/>
                <w:numId w:val="11"/>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14:paraId="3AB18111" w14:textId="78F7139D" w:rsidR="001E3646" w:rsidRPr="00EB4101" w:rsidRDefault="001E3646" w:rsidP="008A4F23">
            <w:pPr>
              <w:jc w:val="center"/>
              <w:rPr>
                <w:sz w:val="18"/>
                <w:szCs w:val="18"/>
              </w:rPr>
            </w:pPr>
            <w:r w:rsidRPr="008A4F23">
              <w:rPr>
                <w:sz w:val="18"/>
                <w:szCs w:val="18"/>
              </w:rPr>
              <w:t>48.6</w:t>
            </w:r>
          </w:p>
        </w:tc>
        <w:tc>
          <w:tcPr>
            <w:tcW w:w="1075" w:type="dxa"/>
            <w:tcBorders>
              <w:bottom w:val="single" w:sz="4" w:space="0" w:color="auto"/>
              <w:right w:val="single" w:sz="6" w:space="0" w:color="404040"/>
            </w:tcBorders>
            <w:shd w:val="clear" w:color="auto" w:fill="auto"/>
            <w:vAlign w:val="center"/>
          </w:tcPr>
          <w:p w14:paraId="46B14B2F" w14:textId="70872D37" w:rsidR="001E3646" w:rsidRPr="00EB4101" w:rsidRDefault="001E3646" w:rsidP="008A4F23">
            <w:pPr>
              <w:jc w:val="center"/>
              <w:rPr>
                <w:sz w:val="18"/>
                <w:szCs w:val="18"/>
              </w:rPr>
            </w:pPr>
            <w:r w:rsidRPr="008A4F23">
              <w:rPr>
                <w:sz w:val="18"/>
                <w:szCs w:val="18"/>
              </w:rPr>
              <w:t>41.9</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56838BEC" w:rsidR="001E3646" w:rsidRPr="00EB4101" w:rsidRDefault="001E3646" w:rsidP="001E3646">
            <w:pPr>
              <w:tabs>
                <w:tab w:val="left" w:pos="196"/>
                <w:tab w:val="decimal" w:pos="630"/>
              </w:tabs>
              <w:jc w:val="left"/>
              <w:rPr>
                <w:sz w:val="18"/>
                <w:szCs w:val="18"/>
              </w:rPr>
            </w:pPr>
            <w:r w:rsidRPr="001E3646">
              <w:rPr>
                <w:sz w:val="18"/>
                <w:szCs w:val="18"/>
              </w:rPr>
              <w:tab/>
              <w:t>(-)</w:t>
            </w:r>
            <w:r w:rsidRPr="001E3646">
              <w:rPr>
                <w:sz w:val="18"/>
                <w:szCs w:val="18"/>
              </w:rPr>
              <w:tab/>
              <w:t>6.7</w:t>
            </w:r>
          </w:p>
        </w:tc>
      </w:tr>
      <w:tr w:rsidR="0086092A" w:rsidRPr="009E14A2" w14:paraId="75D58959" w14:textId="77777777" w:rsidTr="005F4D70">
        <w:trPr>
          <w:cantSplit/>
          <w:trHeight w:val="2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5E6DB8" w:rsidRDefault="0086092A" w:rsidP="007D03A9">
            <w:pPr>
              <w:widowControl w:val="0"/>
              <w:tabs>
                <w:tab w:val="left" w:pos="442"/>
              </w:tabs>
              <w:ind w:left="113"/>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EB4101" w:rsidRDefault="0086092A" w:rsidP="005F4D70">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EB4101" w:rsidRDefault="0086092A" w:rsidP="005F4D70">
            <w:pPr>
              <w:tabs>
                <w:tab w:val="decimal" w:pos="434"/>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EB4101" w:rsidRDefault="0086092A" w:rsidP="00A14780">
            <w:pPr>
              <w:tabs>
                <w:tab w:val="left" w:pos="308"/>
              </w:tabs>
              <w:jc w:val="left"/>
              <w:rPr>
                <w:sz w:val="18"/>
                <w:szCs w:val="18"/>
              </w:rPr>
            </w:pPr>
          </w:p>
        </w:tc>
      </w:tr>
      <w:tr w:rsidR="0086092A" w:rsidRPr="009E14A2" w14:paraId="77C9E96F" w14:textId="77777777" w:rsidTr="005F4D70">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77777777" w:rsidR="0086092A" w:rsidRPr="0039544E" w:rsidRDefault="0086092A" w:rsidP="0086092A">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del </w:t>
            </w:r>
            <w:r>
              <w:rPr>
                <w:b/>
                <w:spacing w:val="4"/>
                <w:sz w:val="18"/>
                <w:szCs w:val="18"/>
              </w:rPr>
              <w:t xml:space="preserve">Sector </w:t>
            </w:r>
            <w:r w:rsidRPr="0039544E">
              <w:rPr>
                <w:b/>
                <w:spacing w:val="4"/>
                <w:sz w:val="18"/>
                <w:szCs w:val="18"/>
              </w:rPr>
              <w:t>Comercio</w:t>
            </w:r>
          </w:p>
        </w:tc>
        <w:tc>
          <w:tcPr>
            <w:tcW w:w="1160" w:type="dxa"/>
            <w:tcBorders>
              <w:top w:val="single" w:sz="4" w:space="0" w:color="auto"/>
              <w:left w:val="single" w:sz="6" w:space="0" w:color="404040"/>
            </w:tcBorders>
            <w:shd w:val="clear" w:color="auto" w:fill="auto"/>
            <w:vAlign w:val="center"/>
          </w:tcPr>
          <w:p w14:paraId="3F389487" w14:textId="77777777" w:rsidR="0086092A" w:rsidRPr="00EB4101" w:rsidRDefault="0086092A" w:rsidP="005F4D70">
            <w:pPr>
              <w:tabs>
                <w:tab w:val="decimal" w:pos="581"/>
              </w:tabs>
              <w:jc w:val="left"/>
              <w:rPr>
                <w:sz w:val="18"/>
                <w:szCs w:val="18"/>
              </w:rPr>
            </w:pPr>
            <w:r w:rsidRPr="00EB4101">
              <w:rPr>
                <w:sz w:val="18"/>
                <w:szCs w:val="18"/>
              </w:rPr>
              <w:t> </w:t>
            </w:r>
          </w:p>
        </w:tc>
        <w:tc>
          <w:tcPr>
            <w:tcW w:w="1075" w:type="dxa"/>
            <w:tcBorders>
              <w:top w:val="single" w:sz="4" w:space="0" w:color="auto"/>
              <w:right w:val="single" w:sz="6" w:space="0" w:color="404040"/>
            </w:tcBorders>
            <w:shd w:val="clear" w:color="auto" w:fill="auto"/>
            <w:vAlign w:val="center"/>
          </w:tcPr>
          <w:p w14:paraId="78A6D150" w14:textId="77777777" w:rsidR="0086092A" w:rsidRPr="00EB4101" w:rsidRDefault="0086092A" w:rsidP="005F4D70">
            <w:pPr>
              <w:tabs>
                <w:tab w:val="decimal" w:pos="434"/>
              </w:tabs>
              <w:jc w:val="left"/>
              <w:rPr>
                <w:sz w:val="18"/>
                <w:szCs w:val="18"/>
              </w:rPr>
            </w:pPr>
            <w:r w:rsidRPr="00EB4101">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77777777" w:rsidR="0086092A" w:rsidRPr="00EB4101" w:rsidRDefault="0086092A" w:rsidP="00EB4101">
            <w:pPr>
              <w:tabs>
                <w:tab w:val="left" w:pos="308"/>
                <w:tab w:val="decimal" w:pos="630"/>
                <w:tab w:val="decimal" w:pos="634"/>
                <w:tab w:val="decimal" w:pos="734"/>
              </w:tabs>
              <w:jc w:val="center"/>
              <w:rPr>
                <w:sz w:val="18"/>
                <w:szCs w:val="18"/>
              </w:rPr>
            </w:pPr>
          </w:p>
        </w:tc>
      </w:tr>
      <w:tr w:rsidR="001E3646" w:rsidRPr="009E14A2" w14:paraId="0AC4BF9F" w14:textId="77777777" w:rsidTr="008A4F23">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1E3646" w:rsidRPr="0039544E" w:rsidRDefault="001E3646" w:rsidP="001E3646">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Ventas netas</w:t>
            </w:r>
          </w:p>
        </w:tc>
        <w:tc>
          <w:tcPr>
            <w:tcW w:w="1160" w:type="dxa"/>
            <w:tcBorders>
              <w:left w:val="single" w:sz="6" w:space="0" w:color="404040"/>
            </w:tcBorders>
            <w:shd w:val="clear" w:color="auto" w:fill="auto"/>
            <w:vAlign w:val="center"/>
          </w:tcPr>
          <w:p w14:paraId="4FDFBED4" w14:textId="0131319F" w:rsidR="001E3646" w:rsidRPr="00EB4101" w:rsidRDefault="001E3646" w:rsidP="008A4F23">
            <w:pPr>
              <w:jc w:val="center"/>
              <w:rPr>
                <w:sz w:val="18"/>
                <w:szCs w:val="18"/>
              </w:rPr>
            </w:pPr>
            <w:r w:rsidRPr="008A4F23">
              <w:rPr>
                <w:sz w:val="18"/>
                <w:szCs w:val="18"/>
              </w:rPr>
              <w:t>57.2</w:t>
            </w:r>
          </w:p>
        </w:tc>
        <w:tc>
          <w:tcPr>
            <w:tcW w:w="1075" w:type="dxa"/>
            <w:tcBorders>
              <w:right w:val="single" w:sz="6" w:space="0" w:color="404040"/>
            </w:tcBorders>
            <w:shd w:val="clear" w:color="auto" w:fill="auto"/>
            <w:vAlign w:val="center"/>
          </w:tcPr>
          <w:p w14:paraId="55A8A0E2" w14:textId="32908114" w:rsidR="001E3646" w:rsidRPr="00EB4101" w:rsidRDefault="001E3646" w:rsidP="008A4F23">
            <w:pPr>
              <w:jc w:val="center"/>
              <w:rPr>
                <w:sz w:val="18"/>
                <w:szCs w:val="18"/>
              </w:rPr>
            </w:pPr>
            <w:r w:rsidRPr="008A4F23">
              <w:rPr>
                <w:sz w:val="18"/>
                <w:szCs w:val="18"/>
              </w:rPr>
              <w:t>32.2</w:t>
            </w:r>
          </w:p>
        </w:tc>
        <w:tc>
          <w:tcPr>
            <w:tcW w:w="1268" w:type="dxa"/>
            <w:tcBorders>
              <w:left w:val="single" w:sz="6" w:space="0" w:color="404040"/>
              <w:right w:val="single" w:sz="6" w:space="0" w:color="404040"/>
            </w:tcBorders>
            <w:shd w:val="clear" w:color="auto" w:fill="auto"/>
            <w:vAlign w:val="center"/>
          </w:tcPr>
          <w:p w14:paraId="4130DE16" w14:textId="7E361691" w:rsidR="001E3646" w:rsidRPr="00EB4101" w:rsidRDefault="001E3646" w:rsidP="001E3646">
            <w:pPr>
              <w:tabs>
                <w:tab w:val="left" w:pos="196"/>
                <w:tab w:val="decimal" w:pos="630"/>
              </w:tabs>
              <w:jc w:val="left"/>
              <w:rPr>
                <w:sz w:val="18"/>
                <w:szCs w:val="18"/>
              </w:rPr>
            </w:pPr>
            <w:r w:rsidRPr="001E3646">
              <w:rPr>
                <w:sz w:val="18"/>
                <w:szCs w:val="18"/>
              </w:rPr>
              <w:tab/>
              <w:t>(-)</w:t>
            </w:r>
            <w:r w:rsidRPr="001E3646">
              <w:rPr>
                <w:sz w:val="18"/>
                <w:szCs w:val="18"/>
              </w:rPr>
              <w:tab/>
              <w:t>25.0</w:t>
            </w:r>
          </w:p>
        </w:tc>
      </w:tr>
      <w:tr w:rsidR="001E3646" w:rsidRPr="009E14A2" w14:paraId="61E67B72" w14:textId="77777777" w:rsidTr="008A4F23">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1E3646" w:rsidRPr="0039544E" w:rsidRDefault="001E3646" w:rsidP="001E3646">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66D1E99C" w:rsidR="001E3646" w:rsidRPr="00EB4101" w:rsidRDefault="001E3646" w:rsidP="008A4F23">
            <w:pPr>
              <w:jc w:val="center"/>
              <w:rPr>
                <w:sz w:val="18"/>
                <w:szCs w:val="18"/>
              </w:rPr>
            </w:pPr>
            <w:r w:rsidRPr="008A4F23">
              <w:rPr>
                <w:sz w:val="18"/>
                <w:szCs w:val="18"/>
              </w:rPr>
              <w:t>55.0</w:t>
            </w:r>
          </w:p>
        </w:tc>
        <w:tc>
          <w:tcPr>
            <w:tcW w:w="1075" w:type="dxa"/>
            <w:tcBorders>
              <w:right w:val="single" w:sz="6" w:space="0" w:color="404040"/>
            </w:tcBorders>
            <w:shd w:val="clear" w:color="auto" w:fill="auto"/>
            <w:vAlign w:val="center"/>
          </w:tcPr>
          <w:p w14:paraId="2E3B8DB6" w14:textId="646F629A" w:rsidR="001E3646" w:rsidRPr="00EB4101" w:rsidRDefault="001E3646" w:rsidP="008A4F23">
            <w:pPr>
              <w:jc w:val="center"/>
              <w:rPr>
                <w:sz w:val="18"/>
                <w:szCs w:val="18"/>
              </w:rPr>
            </w:pPr>
            <w:r w:rsidRPr="008A4F23">
              <w:rPr>
                <w:sz w:val="18"/>
                <w:szCs w:val="18"/>
              </w:rPr>
              <w:t>37.0</w:t>
            </w:r>
          </w:p>
        </w:tc>
        <w:tc>
          <w:tcPr>
            <w:tcW w:w="1268" w:type="dxa"/>
            <w:tcBorders>
              <w:left w:val="single" w:sz="6" w:space="0" w:color="404040"/>
              <w:right w:val="single" w:sz="6" w:space="0" w:color="404040"/>
            </w:tcBorders>
            <w:shd w:val="clear" w:color="auto" w:fill="auto"/>
            <w:vAlign w:val="center"/>
          </w:tcPr>
          <w:p w14:paraId="3DB84972" w14:textId="0EB30659" w:rsidR="001E3646" w:rsidRPr="00EB4101" w:rsidRDefault="001E3646" w:rsidP="001E3646">
            <w:pPr>
              <w:tabs>
                <w:tab w:val="left" w:pos="196"/>
                <w:tab w:val="decimal" w:pos="630"/>
              </w:tabs>
              <w:jc w:val="left"/>
              <w:rPr>
                <w:sz w:val="18"/>
                <w:szCs w:val="18"/>
              </w:rPr>
            </w:pPr>
            <w:r w:rsidRPr="001E3646">
              <w:rPr>
                <w:sz w:val="18"/>
                <w:szCs w:val="18"/>
              </w:rPr>
              <w:tab/>
              <w:t>(-)</w:t>
            </w:r>
            <w:r w:rsidRPr="001E3646">
              <w:rPr>
                <w:sz w:val="18"/>
                <w:szCs w:val="18"/>
              </w:rPr>
              <w:tab/>
              <w:t>18.0</w:t>
            </w:r>
          </w:p>
        </w:tc>
      </w:tr>
      <w:tr w:rsidR="001E3646" w:rsidRPr="009E14A2" w14:paraId="689C6832" w14:textId="77777777" w:rsidTr="008A4F23">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1E3646" w:rsidRPr="0039544E" w:rsidRDefault="001E3646" w:rsidP="001E3646">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Compras netas</w:t>
            </w:r>
          </w:p>
        </w:tc>
        <w:tc>
          <w:tcPr>
            <w:tcW w:w="1160" w:type="dxa"/>
            <w:tcBorders>
              <w:left w:val="single" w:sz="6" w:space="0" w:color="404040"/>
            </w:tcBorders>
            <w:shd w:val="clear" w:color="auto" w:fill="auto"/>
            <w:vAlign w:val="center"/>
          </w:tcPr>
          <w:p w14:paraId="3380866A" w14:textId="426FCF10" w:rsidR="001E3646" w:rsidRPr="00EB4101" w:rsidRDefault="001E3646" w:rsidP="008A4F23">
            <w:pPr>
              <w:jc w:val="center"/>
              <w:rPr>
                <w:sz w:val="18"/>
                <w:szCs w:val="18"/>
              </w:rPr>
            </w:pPr>
            <w:r w:rsidRPr="008A4F23">
              <w:rPr>
                <w:sz w:val="18"/>
                <w:szCs w:val="18"/>
              </w:rPr>
              <w:t>55.4</w:t>
            </w:r>
          </w:p>
        </w:tc>
        <w:tc>
          <w:tcPr>
            <w:tcW w:w="1075" w:type="dxa"/>
            <w:tcBorders>
              <w:right w:val="single" w:sz="6" w:space="0" w:color="404040"/>
            </w:tcBorders>
            <w:shd w:val="clear" w:color="auto" w:fill="auto"/>
            <w:vAlign w:val="center"/>
          </w:tcPr>
          <w:p w14:paraId="64B15C55" w14:textId="57619C76" w:rsidR="001E3646" w:rsidRPr="00EB4101" w:rsidRDefault="001E3646" w:rsidP="008A4F23">
            <w:pPr>
              <w:jc w:val="center"/>
              <w:rPr>
                <w:sz w:val="18"/>
                <w:szCs w:val="18"/>
              </w:rPr>
            </w:pPr>
            <w:r w:rsidRPr="008A4F23">
              <w:rPr>
                <w:sz w:val="18"/>
                <w:szCs w:val="18"/>
              </w:rPr>
              <w:t>34.9</w:t>
            </w:r>
          </w:p>
        </w:tc>
        <w:tc>
          <w:tcPr>
            <w:tcW w:w="1268" w:type="dxa"/>
            <w:tcBorders>
              <w:left w:val="single" w:sz="6" w:space="0" w:color="404040"/>
              <w:right w:val="single" w:sz="6" w:space="0" w:color="404040"/>
            </w:tcBorders>
            <w:shd w:val="clear" w:color="auto" w:fill="auto"/>
            <w:vAlign w:val="center"/>
          </w:tcPr>
          <w:p w14:paraId="03302231" w14:textId="02D7BC26" w:rsidR="001E3646" w:rsidRPr="00EB4101" w:rsidRDefault="001E3646" w:rsidP="001E3646">
            <w:pPr>
              <w:tabs>
                <w:tab w:val="left" w:pos="196"/>
                <w:tab w:val="decimal" w:pos="630"/>
              </w:tabs>
              <w:jc w:val="left"/>
              <w:rPr>
                <w:sz w:val="18"/>
                <w:szCs w:val="18"/>
              </w:rPr>
            </w:pPr>
            <w:r w:rsidRPr="001E3646">
              <w:rPr>
                <w:sz w:val="18"/>
                <w:szCs w:val="18"/>
              </w:rPr>
              <w:tab/>
              <w:t>(-)</w:t>
            </w:r>
            <w:r w:rsidRPr="001E3646">
              <w:rPr>
                <w:sz w:val="18"/>
                <w:szCs w:val="18"/>
              </w:rPr>
              <w:tab/>
              <w:t>20.5</w:t>
            </w:r>
          </w:p>
        </w:tc>
      </w:tr>
      <w:tr w:rsidR="001E3646" w:rsidRPr="009E14A2" w14:paraId="69E03B55" w14:textId="77777777" w:rsidTr="008A4F23">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1E3646" w:rsidRPr="0039544E" w:rsidRDefault="001E3646" w:rsidP="001E3646">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Inventario</w:t>
            </w:r>
            <w:r>
              <w:rPr>
                <w:sz w:val="18"/>
                <w:szCs w:val="18"/>
                <w:lang w:val="es-MX"/>
              </w:rPr>
              <w:t>s</w:t>
            </w:r>
            <w:r w:rsidRPr="0039544E">
              <w:rPr>
                <w:sz w:val="18"/>
                <w:szCs w:val="18"/>
                <w:lang w:val="es-MX"/>
              </w:rPr>
              <w:t xml:space="preserve"> de mercancías</w:t>
            </w:r>
          </w:p>
        </w:tc>
        <w:tc>
          <w:tcPr>
            <w:tcW w:w="1160" w:type="dxa"/>
            <w:tcBorders>
              <w:left w:val="single" w:sz="6" w:space="0" w:color="404040"/>
            </w:tcBorders>
            <w:shd w:val="clear" w:color="auto" w:fill="auto"/>
            <w:vAlign w:val="center"/>
          </w:tcPr>
          <w:p w14:paraId="2F18B55C" w14:textId="0724F283" w:rsidR="001E3646" w:rsidRPr="00EB4101" w:rsidRDefault="001E3646" w:rsidP="008A4F23">
            <w:pPr>
              <w:jc w:val="center"/>
              <w:rPr>
                <w:sz w:val="18"/>
                <w:szCs w:val="18"/>
              </w:rPr>
            </w:pPr>
            <w:r w:rsidRPr="008A4F23">
              <w:rPr>
                <w:sz w:val="18"/>
                <w:szCs w:val="18"/>
              </w:rPr>
              <w:t>55.4</w:t>
            </w:r>
          </w:p>
        </w:tc>
        <w:tc>
          <w:tcPr>
            <w:tcW w:w="1075" w:type="dxa"/>
            <w:tcBorders>
              <w:right w:val="single" w:sz="6" w:space="0" w:color="404040"/>
            </w:tcBorders>
            <w:shd w:val="clear" w:color="auto" w:fill="auto"/>
            <w:vAlign w:val="center"/>
          </w:tcPr>
          <w:p w14:paraId="61F25E31" w14:textId="34EFABA4" w:rsidR="001E3646" w:rsidRPr="00EB4101" w:rsidRDefault="001E3646" w:rsidP="008A4F23">
            <w:pPr>
              <w:jc w:val="center"/>
              <w:rPr>
                <w:sz w:val="18"/>
                <w:szCs w:val="18"/>
              </w:rPr>
            </w:pPr>
            <w:r w:rsidRPr="008A4F23">
              <w:rPr>
                <w:sz w:val="18"/>
                <w:szCs w:val="18"/>
              </w:rPr>
              <w:t>45.4</w:t>
            </w:r>
          </w:p>
        </w:tc>
        <w:tc>
          <w:tcPr>
            <w:tcW w:w="1268" w:type="dxa"/>
            <w:tcBorders>
              <w:left w:val="single" w:sz="6" w:space="0" w:color="404040"/>
              <w:right w:val="single" w:sz="6" w:space="0" w:color="404040"/>
            </w:tcBorders>
            <w:shd w:val="clear" w:color="auto" w:fill="auto"/>
            <w:vAlign w:val="center"/>
          </w:tcPr>
          <w:p w14:paraId="2A145A7D" w14:textId="709CACB5" w:rsidR="001E3646" w:rsidRPr="00EB4101" w:rsidRDefault="001E3646" w:rsidP="001E3646">
            <w:pPr>
              <w:tabs>
                <w:tab w:val="left" w:pos="196"/>
                <w:tab w:val="decimal" w:pos="630"/>
              </w:tabs>
              <w:jc w:val="left"/>
              <w:rPr>
                <w:sz w:val="18"/>
                <w:szCs w:val="18"/>
              </w:rPr>
            </w:pPr>
            <w:r w:rsidRPr="001E3646">
              <w:rPr>
                <w:sz w:val="18"/>
                <w:szCs w:val="18"/>
              </w:rPr>
              <w:tab/>
              <w:t>(-)</w:t>
            </w:r>
            <w:r w:rsidRPr="001E3646">
              <w:rPr>
                <w:sz w:val="18"/>
                <w:szCs w:val="18"/>
              </w:rPr>
              <w:tab/>
              <w:t>10.0</w:t>
            </w:r>
          </w:p>
        </w:tc>
      </w:tr>
      <w:tr w:rsidR="001E3646" w:rsidRPr="009E14A2" w14:paraId="4C503D00" w14:textId="77777777" w:rsidTr="008A4F23">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1E3646" w:rsidRPr="0039544E" w:rsidRDefault="001E3646" w:rsidP="001E3646">
            <w:pPr>
              <w:pStyle w:val="Prrafodelista"/>
              <w:widowControl w:val="0"/>
              <w:numPr>
                <w:ilvl w:val="0"/>
                <w:numId w:val="12"/>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14:paraId="768AF981" w14:textId="2E0FB067" w:rsidR="001E3646" w:rsidRPr="00EB4101" w:rsidRDefault="001E3646" w:rsidP="008A4F23">
            <w:pPr>
              <w:jc w:val="center"/>
              <w:rPr>
                <w:sz w:val="18"/>
                <w:szCs w:val="18"/>
              </w:rPr>
            </w:pPr>
            <w:r w:rsidRPr="008A4F23">
              <w:rPr>
                <w:sz w:val="18"/>
                <w:szCs w:val="18"/>
              </w:rPr>
              <w:t>57.2</w:t>
            </w:r>
          </w:p>
        </w:tc>
        <w:tc>
          <w:tcPr>
            <w:tcW w:w="1075" w:type="dxa"/>
            <w:tcBorders>
              <w:bottom w:val="single" w:sz="4" w:space="0" w:color="auto"/>
              <w:right w:val="single" w:sz="6" w:space="0" w:color="404040"/>
            </w:tcBorders>
            <w:shd w:val="clear" w:color="auto" w:fill="auto"/>
            <w:vAlign w:val="center"/>
          </w:tcPr>
          <w:p w14:paraId="4C92CF9C" w14:textId="31CE6031" w:rsidR="001E3646" w:rsidRPr="00EB4101" w:rsidRDefault="001E3646" w:rsidP="008A4F23">
            <w:pPr>
              <w:jc w:val="center"/>
              <w:rPr>
                <w:sz w:val="18"/>
                <w:szCs w:val="18"/>
              </w:rPr>
            </w:pPr>
            <w:r w:rsidRPr="008A4F23">
              <w:rPr>
                <w:sz w:val="18"/>
                <w:szCs w:val="18"/>
              </w:rPr>
              <w:t>43.1</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5647045F" w:rsidR="001E3646" w:rsidRPr="00EB4101" w:rsidRDefault="001E3646" w:rsidP="001E3646">
            <w:pPr>
              <w:tabs>
                <w:tab w:val="left" w:pos="196"/>
                <w:tab w:val="decimal" w:pos="630"/>
              </w:tabs>
              <w:jc w:val="left"/>
              <w:rPr>
                <w:sz w:val="18"/>
                <w:szCs w:val="18"/>
              </w:rPr>
            </w:pPr>
            <w:r w:rsidRPr="001E3646">
              <w:rPr>
                <w:sz w:val="18"/>
                <w:szCs w:val="18"/>
              </w:rPr>
              <w:tab/>
              <w:t>(-)</w:t>
            </w:r>
            <w:r w:rsidRPr="001E3646">
              <w:rPr>
                <w:sz w:val="18"/>
                <w:szCs w:val="18"/>
              </w:rPr>
              <w:tab/>
              <w:t>14.1</w:t>
            </w:r>
          </w:p>
        </w:tc>
      </w:tr>
      <w:tr w:rsidR="0086092A" w:rsidRPr="009E14A2" w14:paraId="5D72BC43" w14:textId="77777777" w:rsidTr="005F4D70">
        <w:trPr>
          <w:cantSplit/>
          <w:trHeight w:val="2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39544E" w:rsidRDefault="0086092A" w:rsidP="0086092A">
            <w:pPr>
              <w:widowControl w:val="0"/>
              <w:tabs>
                <w:tab w:val="left" w:pos="708"/>
              </w:tabs>
              <w:spacing w:line="240" w:lineRule="exact"/>
              <w:ind w:right="-100"/>
              <w:rPr>
                <w:b/>
                <w:spacing w:val="4"/>
                <w:sz w:val="18"/>
                <w:szCs w:val="18"/>
              </w:rPr>
            </w:pPr>
          </w:p>
        </w:tc>
        <w:tc>
          <w:tcPr>
            <w:tcW w:w="1160" w:type="dxa"/>
            <w:tcBorders>
              <w:top w:val="single" w:sz="4" w:space="0" w:color="auto"/>
              <w:bottom w:val="single" w:sz="4" w:space="0" w:color="auto"/>
            </w:tcBorders>
            <w:shd w:val="clear" w:color="auto" w:fill="auto"/>
            <w:vAlign w:val="center"/>
          </w:tcPr>
          <w:p w14:paraId="03E2AF17" w14:textId="77777777" w:rsidR="0086092A" w:rsidRPr="00EB4101" w:rsidRDefault="0086092A" w:rsidP="005F4D70">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2A63B131" w14:textId="77777777" w:rsidR="0086092A" w:rsidRPr="00EB4101" w:rsidRDefault="0086092A" w:rsidP="005F4D70">
            <w:pPr>
              <w:tabs>
                <w:tab w:val="decimal" w:pos="434"/>
              </w:tabs>
              <w:jc w:val="left"/>
              <w:rPr>
                <w:sz w:val="18"/>
                <w:szCs w:val="18"/>
              </w:rPr>
            </w:pPr>
          </w:p>
        </w:tc>
        <w:tc>
          <w:tcPr>
            <w:tcW w:w="1268" w:type="dxa"/>
            <w:tcBorders>
              <w:top w:val="single" w:sz="4" w:space="0" w:color="auto"/>
              <w:bottom w:val="single" w:sz="4" w:space="0" w:color="auto"/>
            </w:tcBorders>
            <w:shd w:val="clear" w:color="auto" w:fill="auto"/>
            <w:vAlign w:val="center"/>
          </w:tcPr>
          <w:p w14:paraId="4D91623E" w14:textId="77777777" w:rsidR="0086092A" w:rsidRPr="00EB4101" w:rsidRDefault="0086092A" w:rsidP="00EB4101">
            <w:pPr>
              <w:tabs>
                <w:tab w:val="left" w:pos="308"/>
                <w:tab w:val="decimal" w:pos="630"/>
                <w:tab w:val="decimal" w:pos="634"/>
                <w:tab w:val="decimal" w:pos="734"/>
              </w:tabs>
              <w:jc w:val="center"/>
              <w:rPr>
                <w:sz w:val="18"/>
                <w:szCs w:val="18"/>
              </w:rPr>
            </w:pPr>
          </w:p>
        </w:tc>
      </w:tr>
      <w:tr w:rsidR="0086092A" w:rsidRPr="009E14A2" w14:paraId="39692BB9" w14:textId="77777777" w:rsidTr="005F4D70">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77777777" w:rsidR="0086092A" w:rsidRPr="0086092A" w:rsidRDefault="00021575" w:rsidP="00972EEC">
            <w:pPr>
              <w:widowControl w:val="0"/>
              <w:tabs>
                <w:tab w:val="left" w:pos="708"/>
              </w:tabs>
              <w:spacing w:line="220" w:lineRule="exact"/>
              <w:ind w:right="-102"/>
              <w:jc w:val="left"/>
              <w:rPr>
                <w:b/>
                <w:spacing w:val="4"/>
                <w:sz w:val="18"/>
                <w:szCs w:val="18"/>
              </w:rPr>
            </w:pPr>
            <w:r>
              <w:rPr>
                <w:b/>
                <w:spacing w:val="4"/>
                <w:sz w:val="18"/>
                <w:szCs w:val="18"/>
              </w:rPr>
              <w:t>Expectativas Empresariales de</w:t>
            </w:r>
            <w:r w:rsidR="00972EEC">
              <w:rPr>
                <w:b/>
                <w:spacing w:val="4"/>
                <w:sz w:val="18"/>
                <w:szCs w:val="18"/>
              </w:rPr>
              <w:t xml:space="preserve"> </w:t>
            </w:r>
            <w:r>
              <w:rPr>
                <w:b/>
                <w:spacing w:val="4"/>
                <w:sz w:val="18"/>
                <w:szCs w:val="18"/>
              </w:rPr>
              <w:t>l</w:t>
            </w:r>
            <w:r w:rsidR="00972EEC">
              <w:rPr>
                <w:b/>
                <w:spacing w:val="4"/>
                <w:sz w:val="18"/>
                <w:szCs w:val="18"/>
              </w:rPr>
              <w:t xml:space="preserve">os </w:t>
            </w:r>
            <w:r>
              <w:rPr>
                <w:b/>
                <w:spacing w:val="4"/>
                <w:sz w:val="18"/>
                <w:szCs w:val="18"/>
              </w:rPr>
              <w:t>Servicios Privados no Financieros</w:t>
            </w:r>
            <w:r w:rsidR="00323767" w:rsidRPr="0014031D">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77777777" w:rsidR="0086092A" w:rsidRPr="00EB4101" w:rsidRDefault="0086092A" w:rsidP="005F4D70">
            <w:pPr>
              <w:tabs>
                <w:tab w:val="decimal" w:pos="581"/>
              </w:tabs>
              <w:jc w:val="left"/>
              <w:rPr>
                <w:sz w:val="18"/>
                <w:szCs w:val="18"/>
                <w:lang w:val="es-MX" w:eastAsia="es-MX"/>
              </w:rPr>
            </w:pPr>
          </w:p>
        </w:tc>
        <w:tc>
          <w:tcPr>
            <w:tcW w:w="1075" w:type="dxa"/>
            <w:tcBorders>
              <w:top w:val="single" w:sz="4" w:space="0" w:color="auto"/>
              <w:right w:val="single" w:sz="6" w:space="0" w:color="404040"/>
            </w:tcBorders>
            <w:shd w:val="clear" w:color="auto" w:fill="auto"/>
            <w:vAlign w:val="center"/>
          </w:tcPr>
          <w:p w14:paraId="3471D5BD" w14:textId="77777777" w:rsidR="0086092A" w:rsidRPr="00EB4101" w:rsidRDefault="0086092A" w:rsidP="005F4D70">
            <w:pPr>
              <w:tabs>
                <w:tab w:val="decimal" w:pos="434"/>
              </w:tabs>
              <w:jc w:val="left"/>
              <w:rPr>
                <w:sz w:val="18"/>
                <w:szCs w:val="18"/>
              </w:rPr>
            </w:pP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77777777" w:rsidR="0086092A" w:rsidRPr="00EB4101" w:rsidRDefault="0086092A" w:rsidP="00EB4101">
            <w:pPr>
              <w:tabs>
                <w:tab w:val="left" w:pos="308"/>
                <w:tab w:val="decimal" w:pos="630"/>
                <w:tab w:val="decimal" w:pos="634"/>
                <w:tab w:val="decimal" w:pos="734"/>
              </w:tabs>
              <w:jc w:val="center"/>
              <w:rPr>
                <w:sz w:val="18"/>
                <w:szCs w:val="18"/>
              </w:rPr>
            </w:pPr>
          </w:p>
        </w:tc>
      </w:tr>
      <w:tr w:rsidR="001E3646" w:rsidRPr="009E14A2" w14:paraId="53FFE9CF" w14:textId="77777777" w:rsidTr="001E3646">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1E3646" w:rsidRPr="0086092A" w:rsidRDefault="001E3646" w:rsidP="001E3646">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3E3BB26F" w:rsidR="001E3646" w:rsidRPr="00EB4101" w:rsidRDefault="001E3646" w:rsidP="008A4F23">
            <w:pPr>
              <w:jc w:val="center"/>
              <w:rPr>
                <w:sz w:val="18"/>
                <w:szCs w:val="18"/>
              </w:rPr>
            </w:pPr>
            <w:r w:rsidRPr="008A4F23">
              <w:rPr>
                <w:sz w:val="18"/>
                <w:szCs w:val="18"/>
              </w:rPr>
              <w:t>58.7</w:t>
            </w:r>
          </w:p>
        </w:tc>
        <w:tc>
          <w:tcPr>
            <w:tcW w:w="1075" w:type="dxa"/>
            <w:tcBorders>
              <w:right w:val="single" w:sz="6" w:space="0" w:color="404040"/>
            </w:tcBorders>
            <w:shd w:val="clear" w:color="auto" w:fill="auto"/>
            <w:vAlign w:val="center"/>
          </w:tcPr>
          <w:p w14:paraId="4AFED293" w14:textId="13E41AA3" w:rsidR="001E3646" w:rsidRPr="00EB4101" w:rsidRDefault="001E3646" w:rsidP="008A4F23">
            <w:pPr>
              <w:jc w:val="center"/>
              <w:rPr>
                <w:sz w:val="18"/>
                <w:szCs w:val="18"/>
              </w:rPr>
            </w:pPr>
            <w:r w:rsidRPr="008A4F23">
              <w:rPr>
                <w:sz w:val="18"/>
                <w:szCs w:val="18"/>
              </w:rPr>
              <w:t>30.6</w:t>
            </w:r>
          </w:p>
        </w:tc>
        <w:tc>
          <w:tcPr>
            <w:tcW w:w="1268" w:type="dxa"/>
            <w:tcBorders>
              <w:left w:val="single" w:sz="6" w:space="0" w:color="404040"/>
              <w:right w:val="single" w:sz="6" w:space="0" w:color="404040"/>
            </w:tcBorders>
            <w:shd w:val="clear" w:color="auto" w:fill="auto"/>
            <w:vAlign w:val="center"/>
          </w:tcPr>
          <w:p w14:paraId="2CE122C7" w14:textId="2F84BA32" w:rsidR="001E3646" w:rsidRPr="00EB4101" w:rsidRDefault="001E3646" w:rsidP="001E3646">
            <w:pPr>
              <w:tabs>
                <w:tab w:val="left" w:pos="196"/>
                <w:tab w:val="decimal" w:pos="630"/>
              </w:tabs>
              <w:jc w:val="left"/>
              <w:rPr>
                <w:sz w:val="18"/>
                <w:szCs w:val="18"/>
              </w:rPr>
            </w:pPr>
            <w:r w:rsidRPr="001E3646">
              <w:rPr>
                <w:sz w:val="18"/>
                <w:szCs w:val="18"/>
              </w:rPr>
              <w:tab/>
              <w:t>(-)</w:t>
            </w:r>
            <w:r w:rsidRPr="001E3646">
              <w:rPr>
                <w:sz w:val="18"/>
                <w:szCs w:val="18"/>
              </w:rPr>
              <w:tab/>
              <w:t>28.1</w:t>
            </w:r>
          </w:p>
        </w:tc>
      </w:tr>
      <w:tr w:rsidR="001E3646" w:rsidRPr="009E14A2" w14:paraId="0BFFCFDA" w14:textId="77777777" w:rsidTr="001E3646">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1E3646" w:rsidRPr="0086092A" w:rsidRDefault="001E3646" w:rsidP="001E3646">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5E2C1019" w:rsidR="001E3646" w:rsidRPr="00EB4101" w:rsidRDefault="001E3646" w:rsidP="008A4F23">
            <w:pPr>
              <w:jc w:val="center"/>
              <w:rPr>
                <w:sz w:val="18"/>
                <w:szCs w:val="18"/>
              </w:rPr>
            </w:pPr>
            <w:r w:rsidRPr="008A4F23">
              <w:rPr>
                <w:sz w:val="18"/>
                <w:szCs w:val="18"/>
              </w:rPr>
              <w:t>58.9</w:t>
            </w:r>
          </w:p>
        </w:tc>
        <w:tc>
          <w:tcPr>
            <w:tcW w:w="1075" w:type="dxa"/>
            <w:tcBorders>
              <w:right w:val="single" w:sz="6" w:space="0" w:color="404040"/>
            </w:tcBorders>
            <w:shd w:val="clear" w:color="auto" w:fill="auto"/>
            <w:vAlign w:val="center"/>
          </w:tcPr>
          <w:p w14:paraId="464F7D9E" w14:textId="511E6129" w:rsidR="001E3646" w:rsidRPr="00EB4101" w:rsidRDefault="001E3646" w:rsidP="008A4F23">
            <w:pPr>
              <w:jc w:val="center"/>
              <w:rPr>
                <w:sz w:val="18"/>
                <w:szCs w:val="18"/>
              </w:rPr>
            </w:pPr>
            <w:r w:rsidRPr="008A4F23">
              <w:rPr>
                <w:sz w:val="18"/>
                <w:szCs w:val="18"/>
              </w:rPr>
              <w:t>31.3</w:t>
            </w:r>
          </w:p>
        </w:tc>
        <w:tc>
          <w:tcPr>
            <w:tcW w:w="1268" w:type="dxa"/>
            <w:tcBorders>
              <w:left w:val="single" w:sz="6" w:space="0" w:color="404040"/>
              <w:right w:val="single" w:sz="6" w:space="0" w:color="404040"/>
            </w:tcBorders>
            <w:shd w:val="clear" w:color="auto" w:fill="auto"/>
            <w:vAlign w:val="center"/>
          </w:tcPr>
          <w:p w14:paraId="7292FCF9" w14:textId="067C7765" w:rsidR="001E3646" w:rsidRPr="00EB4101" w:rsidRDefault="001E3646" w:rsidP="001E3646">
            <w:pPr>
              <w:tabs>
                <w:tab w:val="left" w:pos="196"/>
                <w:tab w:val="decimal" w:pos="630"/>
              </w:tabs>
              <w:jc w:val="left"/>
              <w:rPr>
                <w:sz w:val="18"/>
                <w:szCs w:val="18"/>
              </w:rPr>
            </w:pPr>
            <w:r w:rsidRPr="001E3646">
              <w:rPr>
                <w:sz w:val="18"/>
                <w:szCs w:val="18"/>
              </w:rPr>
              <w:tab/>
              <w:t>(-)</w:t>
            </w:r>
            <w:r w:rsidRPr="001E3646">
              <w:rPr>
                <w:sz w:val="18"/>
                <w:szCs w:val="18"/>
              </w:rPr>
              <w:tab/>
              <w:t>27.6</w:t>
            </w:r>
          </w:p>
        </w:tc>
      </w:tr>
      <w:tr w:rsidR="001E3646" w:rsidRPr="009E14A2" w14:paraId="43665C1D" w14:textId="77777777" w:rsidTr="001E3646">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1E3646" w:rsidRPr="0086092A" w:rsidRDefault="001E3646" w:rsidP="001E3646">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6C715B65" w:rsidR="001E3646" w:rsidRPr="00EB4101" w:rsidRDefault="001E3646" w:rsidP="008A4F23">
            <w:pPr>
              <w:jc w:val="center"/>
              <w:rPr>
                <w:sz w:val="18"/>
                <w:szCs w:val="18"/>
              </w:rPr>
            </w:pPr>
            <w:r w:rsidRPr="008A4F23">
              <w:rPr>
                <w:sz w:val="18"/>
                <w:szCs w:val="18"/>
              </w:rPr>
              <w:t>59.5</w:t>
            </w:r>
          </w:p>
        </w:tc>
        <w:tc>
          <w:tcPr>
            <w:tcW w:w="1075" w:type="dxa"/>
            <w:tcBorders>
              <w:right w:val="single" w:sz="6" w:space="0" w:color="404040"/>
            </w:tcBorders>
            <w:shd w:val="clear" w:color="auto" w:fill="auto"/>
            <w:vAlign w:val="center"/>
          </w:tcPr>
          <w:p w14:paraId="0DE20062" w14:textId="59418B5B" w:rsidR="001E3646" w:rsidRPr="00EB4101" w:rsidRDefault="001E3646" w:rsidP="008A4F23">
            <w:pPr>
              <w:jc w:val="center"/>
              <w:rPr>
                <w:sz w:val="18"/>
                <w:szCs w:val="18"/>
              </w:rPr>
            </w:pPr>
            <w:r w:rsidRPr="008A4F23">
              <w:rPr>
                <w:sz w:val="18"/>
                <w:szCs w:val="18"/>
              </w:rPr>
              <w:t>35.4</w:t>
            </w:r>
          </w:p>
        </w:tc>
        <w:tc>
          <w:tcPr>
            <w:tcW w:w="1268" w:type="dxa"/>
            <w:tcBorders>
              <w:left w:val="single" w:sz="6" w:space="0" w:color="404040"/>
              <w:right w:val="single" w:sz="6" w:space="0" w:color="404040"/>
            </w:tcBorders>
            <w:shd w:val="clear" w:color="auto" w:fill="auto"/>
            <w:vAlign w:val="center"/>
          </w:tcPr>
          <w:p w14:paraId="32355764" w14:textId="5CAD7797" w:rsidR="001E3646" w:rsidRPr="00EB4101" w:rsidRDefault="001E3646" w:rsidP="001E3646">
            <w:pPr>
              <w:tabs>
                <w:tab w:val="left" w:pos="196"/>
                <w:tab w:val="decimal" w:pos="630"/>
              </w:tabs>
              <w:jc w:val="left"/>
              <w:rPr>
                <w:sz w:val="18"/>
                <w:szCs w:val="18"/>
              </w:rPr>
            </w:pPr>
            <w:r w:rsidRPr="001E3646">
              <w:rPr>
                <w:sz w:val="18"/>
                <w:szCs w:val="18"/>
              </w:rPr>
              <w:tab/>
              <w:t>(-)</w:t>
            </w:r>
            <w:r w:rsidRPr="001E3646">
              <w:rPr>
                <w:sz w:val="18"/>
                <w:szCs w:val="18"/>
              </w:rPr>
              <w:tab/>
              <w:t>24.0</w:t>
            </w:r>
          </w:p>
        </w:tc>
      </w:tr>
      <w:tr w:rsidR="001E3646" w:rsidRPr="009E14A2" w14:paraId="5C48DD1A" w14:textId="77777777" w:rsidTr="001E3646">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1E3646" w:rsidRPr="0086092A" w:rsidRDefault="001E3646" w:rsidP="001E3646">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06A1C137" w:rsidR="001E3646" w:rsidRPr="00EB4101" w:rsidRDefault="001E3646" w:rsidP="008A4F23">
            <w:pPr>
              <w:jc w:val="center"/>
              <w:rPr>
                <w:sz w:val="18"/>
                <w:szCs w:val="18"/>
              </w:rPr>
            </w:pPr>
            <w:r w:rsidRPr="008A4F23">
              <w:rPr>
                <w:sz w:val="18"/>
                <w:szCs w:val="18"/>
              </w:rPr>
              <w:t>53.5</w:t>
            </w:r>
          </w:p>
        </w:tc>
        <w:tc>
          <w:tcPr>
            <w:tcW w:w="1075" w:type="dxa"/>
            <w:tcBorders>
              <w:bottom w:val="single" w:sz="4" w:space="0" w:color="auto"/>
              <w:right w:val="single" w:sz="6" w:space="0" w:color="404040"/>
            </w:tcBorders>
            <w:shd w:val="clear" w:color="auto" w:fill="auto"/>
            <w:vAlign w:val="center"/>
          </w:tcPr>
          <w:p w14:paraId="5B440076" w14:textId="2EAF7CA6" w:rsidR="001E3646" w:rsidRPr="00EB4101" w:rsidRDefault="001E3646" w:rsidP="008A4F23">
            <w:pPr>
              <w:jc w:val="center"/>
              <w:rPr>
                <w:sz w:val="18"/>
                <w:szCs w:val="18"/>
              </w:rPr>
            </w:pPr>
            <w:r w:rsidRPr="008A4F23">
              <w:rPr>
                <w:sz w:val="18"/>
                <w:szCs w:val="18"/>
              </w:rPr>
              <w:t>42.6</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5BEBE00A" w:rsidR="001E3646" w:rsidRPr="00EB4101" w:rsidRDefault="001E3646" w:rsidP="001E3646">
            <w:pPr>
              <w:tabs>
                <w:tab w:val="left" w:pos="196"/>
                <w:tab w:val="decimal" w:pos="630"/>
              </w:tabs>
              <w:jc w:val="left"/>
              <w:rPr>
                <w:sz w:val="18"/>
                <w:szCs w:val="18"/>
              </w:rPr>
            </w:pPr>
            <w:r w:rsidRPr="001E3646">
              <w:rPr>
                <w:sz w:val="18"/>
                <w:szCs w:val="18"/>
              </w:rPr>
              <w:tab/>
              <w:t>(-)</w:t>
            </w:r>
            <w:r w:rsidRPr="001E3646">
              <w:rPr>
                <w:sz w:val="18"/>
                <w:szCs w:val="18"/>
              </w:rPr>
              <w:tab/>
              <w:t>10.9</w:t>
            </w:r>
          </w:p>
        </w:tc>
      </w:tr>
    </w:tbl>
    <w:p w14:paraId="72571A0A" w14:textId="77777777" w:rsidR="00A46C32" w:rsidRPr="000F4F94" w:rsidRDefault="00A46C32" w:rsidP="0014031D">
      <w:pPr>
        <w:widowControl w:val="0"/>
        <w:tabs>
          <w:tab w:val="left" w:pos="567"/>
          <w:tab w:val="left" w:pos="851"/>
        </w:tabs>
        <w:spacing w:before="20"/>
        <w:ind w:left="1060" w:right="517" w:hanging="516"/>
        <w:rPr>
          <w:sz w:val="14"/>
          <w:szCs w:val="14"/>
        </w:rPr>
      </w:pPr>
      <w:r w:rsidRPr="000F4F94">
        <w:rPr>
          <w:sz w:val="14"/>
          <w:szCs w:val="14"/>
        </w:rPr>
        <w:t>Nota:</w:t>
      </w:r>
      <w:r w:rsidRPr="000F4F94">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Default="00A46C32" w:rsidP="0014031D">
      <w:pPr>
        <w:widowControl w:val="0"/>
        <w:tabs>
          <w:tab w:val="left" w:pos="567"/>
        </w:tabs>
        <w:ind w:left="1064" w:right="517" w:hanging="518"/>
        <w:rPr>
          <w:sz w:val="14"/>
          <w:szCs w:val="14"/>
        </w:rPr>
      </w:pPr>
      <w:r w:rsidRPr="00E445B1">
        <w:rPr>
          <w:sz w:val="14"/>
          <w:szCs w:val="14"/>
        </w:rPr>
        <w:t>1/</w:t>
      </w:r>
      <w:r w:rsidRPr="000F4F94">
        <w:rPr>
          <w:sz w:val="14"/>
          <w:szCs w:val="14"/>
        </w:rPr>
        <w:tab/>
        <w:t>Las diferencias en puntos se obtienen de los respectivos indicadores considerando todos sus decimales.</w:t>
      </w:r>
    </w:p>
    <w:p w14:paraId="0FEEFB5B" w14:textId="77777777" w:rsidR="00323767" w:rsidRPr="000F4F94" w:rsidRDefault="00323767" w:rsidP="0014031D">
      <w:pPr>
        <w:widowControl w:val="0"/>
        <w:tabs>
          <w:tab w:val="left" w:pos="567"/>
        </w:tabs>
        <w:ind w:left="1064" w:right="517" w:hanging="518"/>
        <w:rPr>
          <w:sz w:val="14"/>
          <w:szCs w:val="14"/>
        </w:rPr>
      </w:pPr>
      <w:r>
        <w:rPr>
          <w:sz w:val="14"/>
          <w:szCs w:val="14"/>
        </w:rPr>
        <w:t>2</w:t>
      </w:r>
      <w:r w:rsidRPr="00E445B1">
        <w:rPr>
          <w:sz w:val="14"/>
          <w:szCs w:val="14"/>
        </w:rPr>
        <w:t>/</w:t>
      </w:r>
      <w:r>
        <w:rPr>
          <w:sz w:val="14"/>
          <w:szCs w:val="14"/>
        </w:rPr>
        <w:tab/>
      </w:r>
      <w:r w:rsidRPr="009F32F7">
        <w:rPr>
          <w:sz w:val="14"/>
          <w:szCs w:val="14"/>
        </w:rPr>
        <w:t>No incluye al sector 43, Comercio al por mayor; 46</w:t>
      </w:r>
      <w:r w:rsidR="00C9210B">
        <w:rPr>
          <w:sz w:val="14"/>
          <w:szCs w:val="14"/>
        </w:rPr>
        <w:t>,</w:t>
      </w:r>
      <w:r w:rsidRPr="009F32F7">
        <w:rPr>
          <w:sz w:val="14"/>
          <w:szCs w:val="14"/>
        </w:rPr>
        <w:t xml:space="preserve"> Comercio al por menor; 52, Servicios financieros y de seguros; </w:t>
      </w:r>
      <w:r w:rsidR="0014031D" w:rsidRPr="009F32F7">
        <w:rPr>
          <w:sz w:val="14"/>
          <w:szCs w:val="14"/>
        </w:rPr>
        <w:br/>
      </w:r>
      <w:r w:rsidRPr="009F32F7">
        <w:rPr>
          <w:sz w:val="14"/>
          <w:szCs w:val="14"/>
        </w:rPr>
        <w:t>55</w:t>
      </w:r>
      <w:r w:rsidR="00C9210B">
        <w:rPr>
          <w:sz w:val="14"/>
          <w:szCs w:val="14"/>
        </w:rPr>
        <w:t>,</w:t>
      </w:r>
      <w:r w:rsidRPr="009F32F7">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r>
        <w:rPr>
          <w:sz w:val="14"/>
          <w:szCs w:val="14"/>
        </w:rPr>
        <w:t>.</w:t>
      </w:r>
    </w:p>
    <w:p w14:paraId="5E2D8CF3" w14:textId="77777777" w:rsidR="00A46C32" w:rsidRDefault="00A46C32" w:rsidP="0014031D">
      <w:pPr>
        <w:widowControl w:val="0"/>
        <w:tabs>
          <w:tab w:val="left" w:pos="567"/>
          <w:tab w:val="left" w:pos="1276"/>
        </w:tabs>
        <w:ind w:left="1064" w:right="517" w:hanging="518"/>
        <w:rPr>
          <w:sz w:val="14"/>
          <w:szCs w:val="14"/>
        </w:rPr>
      </w:pPr>
      <w:r w:rsidRPr="00E445B1">
        <w:rPr>
          <w:sz w:val="14"/>
          <w:szCs w:val="14"/>
        </w:rPr>
        <w:t>p/</w:t>
      </w:r>
      <w:r w:rsidRPr="000F4F94">
        <w:rPr>
          <w:sz w:val="14"/>
          <w:szCs w:val="14"/>
        </w:rPr>
        <w:tab/>
        <w:t>Dato preliminar</w:t>
      </w:r>
      <w:r>
        <w:rPr>
          <w:sz w:val="14"/>
          <w:szCs w:val="14"/>
        </w:rPr>
        <w:t>.</w:t>
      </w:r>
    </w:p>
    <w:p w14:paraId="14853DA4" w14:textId="77777777" w:rsidR="00A46C32" w:rsidRDefault="00B555B7" w:rsidP="0014031D">
      <w:pPr>
        <w:widowControl w:val="0"/>
        <w:tabs>
          <w:tab w:val="left" w:pos="709"/>
          <w:tab w:val="left" w:pos="993"/>
        </w:tabs>
        <w:ind w:left="1064" w:right="517" w:hanging="518"/>
        <w:rPr>
          <w:sz w:val="14"/>
          <w:szCs w:val="14"/>
        </w:rPr>
      </w:pPr>
      <w:r>
        <w:rPr>
          <w:sz w:val="14"/>
          <w:szCs w:val="14"/>
        </w:rPr>
        <w:t>Fuente:</w:t>
      </w:r>
      <w:r>
        <w:rPr>
          <w:sz w:val="14"/>
          <w:szCs w:val="14"/>
        </w:rPr>
        <w:tab/>
      </w:r>
      <w:r w:rsidR="00A46C32">
        <w:rPr>
          <w:sz w:val="14"/>
          <w:szCs w:val="14"/>
        </w:rPr>
        <w:t>INEGI.</w:t>
      </w:r>
    </w:p>
    <w:p w14:paraId="569A7D9D" w14:textId="77777777" w:rsidR="00B02406" w:rsidRDefault="00B02406">
      <w:pPr>
        <w:jc w:val="left"/>
        <w:rPr>
          <w:b/>
          <w:i/>
        </w:rPr>
      </w:pPr>
      <w:r>
        <w:rPr>
          <w:b/>
          <w:i/>
        </w:rPr>
        <w:br w:type="page"/>
      </w:r>
    </w:p>
    <w:p w14:paraId="0802BF8D" w14:textId="77777777" w:rsidR="005562ED" w:rsidRPr="00AC4117" w:rsidRDefault="005562ED" w:rsidP="005562ED">
      <w:pPr>
        <w:widowControl w:val="0"/>
        <w:tabs>
          <w:tab w:val="left" w:pos="9432"/>
        </w:tabs>
        <w:spacing w:before="480"/>
        <w:rPr>
          <w:b/>
          <w:i/>
        </w:rPr>
      </w:pPr>
      <w:r w:rsidRPr="00AC4117">
        <w:rPr>
          <w:b/>
          <w:i/>
        </w:rPr>
        <w:lastRenderedPageBreak/>
        <w:t>Nota al usuario</w:t>
      </w:r>
    </w:p>
    <w:p w14:paraId="28C3AA83" w14:textId="77777777" w:rsidR="00EC2A9C" w:rsidRPr="00EC2A9C" w:rsidRDefault="00EC2A9C" w:rsidP="00EC2A9C">
      <w:pPr>
        <w:pStyle w:val="Default"/>
        <w:spacing w:before="240" w:after="240"/>
        <w:jc w:val="both"/>
      </w:pPr>
      <w:r>
        <w:t xml:space="preserve">De </w:t>
      </w:r>
      <w:r w:rsidRPr="00EC2A9C">
        <w:t>acuerdo con lo publicado por el INEGI en su Comunicado de Prensa del 31 de marzo de 2020, en el cual se dieron a conocer las medidas extraordinarias que tomó el Instituto por el estado de emergencia sanitaria originada por el COVID-19, la captación de la EMOE correspondiente al mes de abril de 2020 se realizó en los tiempos establecidos mediante Internet y asistencia telefónica con el fin de evitar el contacto presencial.</w:t>
      </w:r>
    </w:p>
    <w:p w14:paraId="4DC42352" w14:textId="7571302A" w:rsidR="005562ED" w:rsidRPr="00EC2A9C" w:rsidRDefault="00EC2A9C" w:rsidP="00EC2A9C">
      <w:pPr>
        <w:pStyle w:val="Default"/>
        <w:spacing w:before="240" w:after="240"/>
        <w:jc w:val="both"/>
      </w:pPr>
      <w:r w:rsidRPr="00EC2A9C">
        <w:t>En este contexto, la Tasa de No Respuesta en dicho mes registró porcentajes apropiados conforme al diseño estadístico de la EMOE, lo que permitió la generación de estadísticas con niveles altos de cobertura y precisión, salvo los referentes al subsector Minerales no metálicos y metálicas básicas, perteneciente a las Industrias Manufactureras, así como los Servicios profesionales, científicos y técnicos de los Servicios Privados No Financieros, en los que se recomienda el uso con reservas de las estimaciones.</w:t>
      </w:r>
    </w:p>
    <w:p w14:paraId="7FD1E359" w14:textId="0B6D67A2" w:rsidR="00A46C32" w:rsidRPr="0057456F" w:rsidRDefault="00A46C32" w:rsidP="00BE0DB7">
      <w:pPr>
        <w:widowControl w:val="0"/>
        <w:tabs>
          <w:tab w:val="left" w:pos="2835"/>
          <w:tab w:val="left" w:pos="9432"/>
        </w:tabs>
        <w:spacing w:before="360"/>
        <w:ind w:right="431"/>
        <w:outlineLvl w:val="0"/>
        <w:rPr>
          <w:b/>
          <w:i/>
        </w:rPr>
      </w:pPr>
      <w:r w:rsidRPr="0057456F">
        <w:rPr>
          <w:b/>
          <w:i/>
        </w:rPr>
        <w:t xml:space="preserve">Nota metodológica </w:t>
      </w:r>
    </w:p>
    <w:p w14:paraId="320BBC14" w14:textId="77777777" w:rsidR="003A76C9" w:rsidRDefault="003A76C9" w:rsidP="00DC0118">
      <w:pPr>
        <w:pStyle w:val="Default"/>
        <w:spacing w:before="240" w:after="240"/>
        <w:jc w:val="both"/>
      </w:pPr>
      <w:r w:rsidRPr="00E34EBE">
        <w:t>La E</w:t>
      </w:r>
      <w:r w:rsidR="00972EEC">
        <w:t xml:space="preserve">ncuesta </w:t>
      </w:r>
      <w:r w:rsidRPr="00E34EBE">
        <w:t>M</w:t>
      </w:r>
      <w:r w:rsidR="00972EEC">
        <w:t xml:space="preserve">ensual de </w:t>
      </w:r>
      <w:r w:rsidRPr="00E34EBE">
        <w:t>O</w:t>
      </w:r>
      <w:r w:rsidR="00972EEC">
        <w:t xml:space="preserve">pinión </w:t>
      </w:r>
      <w:r w:rsidRPr="00E34EBE">
        <w:t>E</w:t>
      </w:r>
      <w:r w:rsidR="00972EEC">
        <w:t xml:space="preserve">mpresarial </w:t>
      </w:r>
      <w:r w:rsidR="0014031D">
        <w:t xml:space="preserve">(EMOE) </w:t>
      </w:r>
      <w:r w:rsidRPr="00E34EBE">
        <w:t xml:space="preserve">genera indicadores a nivel nacional de carácter cualitativo basados en las opiniones de los empresarios, que permiten conocer </w:t>
      </w:r>
      <w:r w:rsidRPr="00206F35">
        <w:t>su expectativa respecto al comportamiento de variables relevantes en</w:t>
      </w:r>
      <w:r>
        <w:t xml:space="preserve"> </w:t>
      </w:r>
      <w:r w:rsidRPr="00E34EBE">
        <w:t xml:space="preserve">los </w:t>
      </w:r>
      <w:r>
        <w:t xml:space="preserve">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w:t>
      </w:r>
    </w:p>
    <w:p w14:paraId="073B10BA" w14:textId="77777777" w:rsidR="003A76C9" w:rsidRDefault="003A76C9" w:rsidP="00DC0118">
      <w:pPr>
        <w:pStyle w:val="Default"/>
        <w:spacing w:before="240" w:after="240"/>
        <w:jc w:val="both"/>
      </w:pPr>
      <w:r>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7777777" w:rsidR="003A76C9" w:rsidRDefault="003A76C9" w:rsidP="00DC0118">
      <w:pPr>
        <w:pStyle w:val="Default"/>
        <w:spacing w:before="120"/>
        <w:jc w:val="both"/>
      </w:pPr>
      <w:r>
        <w:t>Cabe señalar, que l</w:t>
      </w:r>
      <w:r w:rsidRPr="003B6FB4">
        <w:t xml:space="preserve">a información que se presenta en </w:t>
      </w:r>
      <w:r w:rsidRPr="00D97DAF">
        <w:t>este documento</w:t>
      </w:r>
      <w:r w:rsidRPr="003B6FB4">
        <w:t xml:space="preserve"> se complementa con la que proporciona el Indicador </w:t>
      </w:r>
      <w:r>
        <w:t>de Confianza Empresarial (ICE), así como el I</w:t>
      </w:r>
      <w:r w:rsidRPr="003B6FB4">
        <w:t>ndicador de Pedidos Manufactureros (IPM) que se elabora conjuntamente con el Banco de México</w:t>
      </w:r>
      <w:r>
        <w:t xml:space="preserve"> y </w:t>
      </w:r>
      <w:r w:rsidRPr="003B6FB4">
        <w:t>que incorpora variables similares a las del “Purchasing M</w:t>
      </w:r>
      <w:r>
        <w:t xml:space="preserve">anagers </w:t>
      </w:r>
      <w:r w:rsidRPr="003B6FB4">
        <w:t xml:space="preserve">Index” (PMI) </w:t>
      </w:r>
      <w:r>
        <w:t xml:space="preserve">que genera el Institute </w:t>
      </w:r>
      <w:r w:rsidRPr="003B6FB4">
        <w:t>for Supply Man</w:t>
      </w:r>
      <w:r>
        <w:t>a</w:t>
      </w:r>
      <w:r w:rsidRPr="003B6FB4">
        <w:t>gement (ISM) en los Estados Unidos de Norteamérica.</w:t>
      </w:r>
    </w:p>
    <w:p w14:paraId="38FE1BD0" w14:textId="77777777" w:rsidR="003A76C9" w:rsidRPr="00F3273D" w:rsidRDefault="003A76C9" w:rsidP="00DC0118">
      <w:pPr>
        <w:pStyle w:val="Default"/>
        <w:spacing w:before="240" w:after="240"/>
        <w:jc w:val="both"/>
        <w:rPr>
          <w:color w:val="auto"/>
        </w:rPr>
      </w:pPr>
      <w:r w:rsidRPr="00F3273D">
        <w:rPr>
          <w:color w:val="auto"/>
        </w:rPr>
        <w:t>En el diseño del cuestionario se incorporaron las recomendaciones de la ONU establecidas en el Manual de Encuestas de Tendencia Económica, de la OCDE en el Manual de Encuestas de Tendencia de Negocios y las emitidas por la CEPAL en el Manual de Encuestas de Opinión Empresarial del Sector Industrial en América Latina</w:t>
      </w:r>
      <w:r w:rsidRPr="009F32F7">
        <w:rPr>
          <w:color w:val="auto"/>
        </w:rPr>
        <w:t>, así como las sugerencias del Banco de México</w:t>
      </w:r>
      <w:r w:rsidRPr="00D66DB7">
        <w:rPr>
          <w:color w:val="auto"/>
        </w:rPr>
        <w:t>.</w:t>
      </w:r>
    </w:p>
    <w:p w14:paraId="077DD60E" w14:textId="77777777" w:rsidR="003A76C9" w:rsidRPr="00412AF8" w:rsidRDefault="003A76C9" w:rsidP="005562ED">
      <w:pPr>
        <w:pStyle w:val="Default"/>
        <w:keepLines/>
        <w:spacing w:before="240" w:after="240"/>
        <w:jc w:val="both"/>
        <w:rPr>
          <w:color w:val="auto"/>
          <w:lang w:val="es-ES_tradnl"/>
        </w:rPr>
      </w:pPr>
      <w:r>
        <w:rPr>
          <w:color w:val="auto"/>
          <w:lang w:val="es-ES_tradnl"/>
        </w:rPr>
        <w:lastRenderedPageBreak/>
        <w:t xml:space="preserve">La encuesta utiliza </w:t>
      </w:r>
      <w:r w:rsidRPr="00F3273D">
        <w:rPr>
          <w:color w:val="auto"/>
          <w:lang w:val="es-ES_tradnl"/>
        </w:rPr>
        <w:t>el Sistema de</w:t>
      </w:r>
      <w:r w:rsidRPr="00412AF8">
        <w:rPr>
          <w:color w:val="auto"/>
          <w:lang w:val="es-ES_tradnl"/>
        </w:rPr>
        <w:t xml:space="preserv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Default="003A76C9" w:rsidP="00DC0118">
      <w:pPr>
        <w:pStyle w:val="Pa8"/>
        <w:spacing w:before="240" w:after="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3567658" w14:textId="77777777" w:rsidR="003A76C9" w:rsidRDefault="003A76C9" w:rsidP="00DC0118">
      <w:pPr>
        <w:pStyle w:val="Default"/>
        <w:spacing w:before="240" w:after="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w:t>
      </w:r>
      <w:r w:rsidRPr="00D66DB7">
        <w:rPr>
          <w:color w:val="auto"/>
          <w:shd w:val="clear" w:color="auto" w:fill="FFFFFF"/>
        </w:rPr>
        <w:t>México (</w:t>
      </w:r>
      <w:r w:rsidRPr="00D66DB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706BE12" w14:textId="77777777" w:rsidR="00BD77B5" w:rsidRDefault="003A76C9" w:rsidP="0014031D">
      <w:pPr>
        <w:pStyle w:val="Default"/>
        <w:keepLines/>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BD77B5">
        <w:rPr>
          <w:color w:val="auto"/>
        </w:rPr>
        <w:t>.</w:t>
      </w:r>
      <w:r w:rsidR="00972EEC">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443B05" w14:paraId="5152F520" w14:textId="77777777" w:rsidTr="00BD77B5">
        <w:trPr>
          <w:cantSplit/>
          <w:jc w:val="center"/>
        </w:trPr>
        <w:tc>
          <w:tcPr>
            <w:tcW w:w="2969" w:type="dxa"/>
            <w:vMerge w:val="restart"/>
            <w:shd w:val="clear" w:color="auto" w:fill="CCCCFF"/>
            <w:vAlign w:val="center"/>
          </w:tcPr>
          <w:p w14:paraId="58B6B568" w14:textId="77777777" w:rsidR="00BD77B5" w:rsidRPr="00443B05" w:rsidRDefault="00BD77B5" w:rsidP="0014031D">
            <w:pPr>
              <w:widowControl w:val="0"/>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745A388F" w14:textId="77777777" w:rsidR="00BD77B5" w:rsidRPr="00443B05" w:rsidRDefault="00BD77B5" w:rsidP="00B555B0">
            <w:pPr>
              <w:keepNext/>
              <w:keepLines/>
              <w:spacing w:before="40" w:after="40"/>
              <w:jc w:val="center"/>
              <w:rPr>
                <w:sz w:val="18"/>
                <w:szCs w:val="18"/>
              </w:rPr>
            </w:pPr>
            <w:r w:rsidRPr="00443B05">
              <w:rPr>
                <w:sz w:val="18"/>
                <w:szCs w:val="18"/>
              </w:rPr>
              <w:t>Marco de estudio</w:t>
            </w:r>
          </w:p>
        </w:tc>
        <w:tc>
          <w:tcPr>
            <w:tcW w:w="1328" w:type="dxa"/>
            <w:vMerge w:val="restart"/>
            <w:shd w:val="clear" w:color="auto" w:fill="CCCCFF"/>
          </w:tcPr>
          <w:p w14:paraId="4438C7BA" w14:textId="77777777" w:rsidR="00BD77B5" w:rsidRPr="00443B05" w:rsidRDefault="00BD77B5" w:rsidP="00B555B0">
            <w:pPr>
              <w:keepNext/>
              <w:keepLines/>
              <w:spacing w:before="40" w:after="40"/>
              <w:jc w:val="center"/>
              <w:rPr>
                <w:sz w:val="18"/>
                <w:szCs w:val="18"/>
              </w:rPr>
            </w:pPr>
            <w:r w:rsidRPr="00443B05">
              <w:rPr>
                <w:sz w:val="18"/>
                <w:szCs w:val="18"/>
              </w:rPr>
              <w:t>Tamaño de muestra</w:t>
            </w:r>
          </w:p>
        </w:tc>
      </w:tr>
      <w:tr w:rsidR="00BD77B5" w:rsidRPr="00443B05" w14:paraId="039E1F10" w14:textId="77777777" w:rsidTr="00BD77B5">
        <w:trPr>
          <w:cantSplit/>
          <w:jc w:val="center"/>
        </w:trPr>
        <w:tc>
          <w:tcPr>
            <w:tcW w:w="2969" w:type="dxa"/>
            <w:vMerge/>
          </w:tcPr>
          <w:p w14:paraId="76929C32" w14:textId="77777777" w:rsidR="00BD77B5" w:rsidRPr="00443B05"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443B05" w:rsidRDefault="00BD77B5" w:rsidP="00B555B0">
            <w:pPr>
              <w:keepNext/>
              <w:keepLines/>
              <w:spacing w:before="40" w:after="40"/>
              <w:jc w:val="center"/>
              <w:rPr>
                <w:sz w:val="18"/>
                <w:szCs w:val="18"/>
              </w:rPr>
            </w:pPr>
            <w:r w:rsidRPr="00443B05">
              <w:rPr>
                <w:sz w:val="18"/>
                <w:szCs w:val="18"/>
              </w:rPr>
              <w:t>Tamaño</w:t>
            </w:r>
          </w:p>
        </w:tc>
        <w:tc>
          <w:tcPr>
            <w:tcW w:w="1327" w:type="dxa"/>
            <w:shd w:val="clear" w:color="auto" w:fill="CCCCFF"/>
            <w:vAlign w:val="center"/>
          </w:tcPr>
          <w:p w14:paraId="35F9705D" w14:textId="77777777" w:rsidR="00BD77B5" w:rsidRPr="00443B05" w:rsidRDefault="00BD77B5" w:rsidP="00B555B0">
            <w:pPr>
              <w:keepNext/>
              <w:keepLines/>
              <w:spacing w:before="40" w:after="40"/>
              <w:jc w:val="center"/>
              <w:rPr>
                <w:sz w:val="18"/>
                <w:szCs w:val="18"/>
              </w:rPr>
            </w:pPr>
            <w:r w:rsidRPr="00443B05">
              <w:rPr>
                <w:sz w:val="18"/>
                <w:szCs w:val="18"/>
              </w:rPr>
              <w:t>Empresas</w:t>
            </w:r>
          </w:p>
        </w:tc>
        <w:tc>
          <w:tcPr>
            <w:tcW w:w="1328" w:type="dxa"/>
            <w:vMerge/>
            <w:shd w:val="clear" w:color="auto" w:fill="CCCCFF"/>
          </w:tcPr>
          <w:p w14:paraId="3D586817" w14:textId="77777777" w:rsidR="00BD77B5" w:rsidRPr="00443B05" w:rsidRDefault="00BD77B5" w:rsidP="00B555B0">
            <w:pPr>
              <w:keepNext/>
              <w:keepLines/>
              <w:spacing w:before="40" w:after="40"/>
              <w:jc w:val="center"/>
              <w:rPr>
                <w:sz w:val="20"/>
                <w:szCs w:val="20"/>
              </w:rPr>
            </w:pPr>
          </w:p>
        </w:tc>
      </w:tr>
      <w:tr w:rsidR="00BD77B5" w:rsidRPr="00443B05" w14:paraId="3B7144BA" w14:textId="77777777" w:rsidTr="00BD77B5">
        <w:trPr>
          <w:cantSplit/>
          <w:jc w:val="center"/>
        </w:trPr>
        <w:tc>
          <w:tcPr>
            <w:tcW w:w="2969" w:type="dxa"/>
          </w:tcPr>
          <w:p w14:paraId="641A6115" w14:textId="77777777" w:rsidR="00BD77B5" w:rsidRPr="00443B05" w:rsidRDefault="00BD77B5" w:rsidP="0014031D">
            <w:pPr>
              <w:widowControl w:val="0"/>
              <w:spacing w:before="40" w:after="40"/>
              <w:jc w:val="left"/>
              <w:rPr>
                <w:b/>
                <w:sz w:val="18"/>
                <w:szCs w:val="18"/>
              </w:rPr>
            </w:pPr>
            <w:r w:rsidRPr="00443B05">
              <w:rPr>
                <w:b/>
                <w:sz w:val="18"/>
                <w:szCs w:val="18"/>
              </w:rPr>
              <w:t>Total</w:t>
            </w:r>
          </w:p>
        </w:tc>
        <w:tc>
          <w:tcPr>
            <w:tcW w:w="1881" w:type="dxa"/>
          </w:tcPr>
          <w:p w14:paraId="630B4C47" w14:textId="77777777" w:rsidR="00BD77B5" w:rsidRPr="00443B05" w:rsidRDefault="00BD77B5" w:rsidP="00B555B0">
            <w:pPr>
              <w:keepNext/>
              <w:keepLines/>
              <w:tabs>
                <w:tab w:val="decimal" w:pos="2898"/>
              </w:tabs>
              <w:spacing w:before="40" w:after="40"/>
              <w:rPr>
                <w:b/>
                <w:sz w:val="18"/>
                <w:szCs w:val="18"/>
              </w:rPr>
            </w:pPr>
          </w:p>
        </w:tc>
        <w:tc>
          <w:tcPr>
            <w:tcW w:w="1327" w:type="dxa"/>
          </w:tcPr>
          <w:p w14:paraId="437A1DFA" w14:textId="77777777" w:rsidR="00BD77B5" w:rsidRPr="00443B05" w:rsidRDefault="00BD77B5" w:rsidP="00B555B0">
            <w:pPr>
              <w:keepNext/>
              <w:keepLines/>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3EDCE606" w14:textId="77777777" w:rsidR="00BD77B5" w:rsidRPr="003935BD" w:rsidRDefault="00BD77B5" w:rsidP="00B555B0">
            <w:pPr>
              <w:keepNext/>
              <w:keepLines/>
              <w:tabs>
                <w:tab w:val="decimal" w:pos="759"/>
              </w:tabs>
              <w:spacing w:before="40" w:after="40"/>
              <w:rPr>
                <w:b/>
                <w:sz w:val="18"/>
                <w:szCs w:val="18"/>
              </w:rPr>
            </w:pPr>
            <w:r>
              <w:rPr>
                <w:b/>
                <w:sz w:val="18"/>
                <w:szCs w:val="18"/>
              </w:rPr>
              <w:t>3,456</w:t>
            </w:r>
          </w:p>
        </w:tc>
      </w:tr>
      <w:tr w:rsidR="00BD77B5" w:rsidRPr="00443B05" w14:paraId="556A734F" w14:textId="77777777" w:rsidTr="00BD77B5">
        <w:trPr>
          <w:cantSplit/>
          <w:jc w:val="center"/>
        </w:trPr>
        <w:tc>
          <w:tcPr>
            <w:tcW w:w="2969" w:type="dxa"/>
            <w:vAlign w:val="center"/>
          </w:tcPr>
          <w:p w14:paraId="03667787" w14:textId="77777777" w:rsidR="00BD77B5" w:rsidRPr="00443B05" w:rsidRDefault="00BD77B5" w:rsidP="0014031D">
            <w:pPr>
              <w:widowControl w:val="0"/>
              <w:spacing w:before="40" w:after="40"/>
              <w:jc w:val="left"/>
              <w:rPr>
                <w:sz w:val="18"/>
                <w:szCs w:val="18"/>
              </w:rPr>
            </w:pPr>
            <w:r w:rsidRPr="00443B05">
              <w:rPr>
                <w:sz w:val="18"/>
                <w:szCs w:val="18"/>
              </w:rPr>
              <w:t>Manufacturero</w:t>
            </w:r>
          </w:p>
        </w:tc>
        <w:tc>
          <w:tcPr>
            <w:tcW w:w="1881" w:type="dxa"/>
          </w:tcPr>
          <w:p w14:paraId="0D04355C"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757FD08D" w14:textId="77777777" w:rsidR="00BD77B5" w:rsidRPr="00412AF8" w:rsidRDefault="00BD77B5" w:rsidP="00B555B0">
            <w:pPr>
              <w:keepNext/>
              <w:keepLines/>
              <w:tabs>
                <w:tab w:val="decimal" w:pos="759"/>
              </w:tabs>
              <w:spacing w:before="40" w:after="40"/>
              <w:rPr>
                <w:sz w:val="18"/>
                <w:szCs w:val="18"/>
              </w:rPr>
            </w:pPr>
            <w:r w:rsidRPr="00412AF8">
              <w:rPr>
                <w:sz w:val="18"/>
                <w:szCs w:val="18"/>
              </w:rPr>
              <w:t>6,077</w:t>
            </w:r>
          </w:p>
        </w:tc>
        <w:tc>
          <w:tcPr>
            <w:tcW w:w="1328" w:type="dxa"/>
            <w:vAlign w:val="center"/>
          </w:tcPr>
          <w:p w14:paraId="4370B206" w14:textId="77777777" w:rsidR="00BD77B5" w:rsidRPr="00412AF8" w:rsidRDefault="00BD77B5" w:rsidP="00B555B0">
            <w:pPr>
              <w:keepNext/>
              <w:keepLines/>
              <w:tabs>
                <w:tab w:val="decimal" w:pos="759"/>
              </w:tabs>
              <w:spacing w:before="40" w:after="40"/>
              <w:rPr>
                <w:sz w:val="18"/>
                <w:szCs w:val="18"/>
              </w:rPr>
            </w:pPr>
            <w:r w:rsidRPr="00412AF8">
              <w:rPr>
                <w:sz w:val="18"/>
                <w:szCs w:val="18"/>
              </w:rPr>
              <w:t>1,492</w:t>
            </w:r>
          </w:p>
        </w:tc>
      </w:tr>
      <w:tr w:rsidR="00BD77B5" w:rsidRPr="00443B05" w14:paraId="6AF099EC" w14:textId="77777777" w:rsidTr="00BD77B5">
        <w:trPr>
          <w:cantSplit/>
          <w:jc w:val="center"/>
        </w:trPr>
        <w:tc>
          <w:tcPr>
            <w:tcW w:w="2969" w:type="dxa"/>
            <w:vAlign w:val="center"/>
          </w:tcPr>
          <w:p w14:paraId="6FD68373" w14:textId="77777777" w:rsidR="00BD77B5" w:rsidRPr="00443B05" w:rsidRDefault="00BD77B5" w:rsidP="0014031D">
            <w:pPr>
              <w:widowControl w:val="0"/>
              <w:spacing w:before="40" w:after="40"/>
              <w:jc w:val="left"/>
              <w:rPr>
                <w:sz w:val="18"/>
                <w:szCs w:val="18"/>
              </w:rPr>
            </w:pPr>
            <w:r w:rsidRPr="00443B05">
              <w:rPr>
                <w:sz w:val="18"/>
                <w:szCs w:val="18"/>
              </w:rPr>
              <w:t>Construcción</w:t>
            </w:r>
          </w:p>
        </w:tc>
        <w:tc>
          <w:tcPr>
            <w:tcW w:w="1881" w:type="dxa"/>
          </w:tcPr>
          <w:p w14:paraId="137DC63F" w14:textId="77777777" w:rsidR="00BD77B5" w:rsidRPr="00412AF8" w:rsidRDefault="00BD77B5" w:rsidP="00B555B0">
            <w:pPr>
              <w:pStyle w:val="Prrafodelista"/>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5B2B0EEA" w14:textId="77777777" w:rsidR="00BD77B5" w:rsidRPr="00412AF8" w:rsidRDefault="00BD77B5" w:rsidP="00B555B0">
            <w:pPr>
              <w:keepNext/>
              <w:keepLines/>
              <w:tabs>
                <w:tab w:val="decimal" w:pos="759"/>
              </w:tabs>
              <w:spacing w:before="40" w:after="40"/>
              <w:rPr>
                <w:sz w:val="18"/>
                <w:szCs w:val="18"/>
              </w:rPr>
            </w:pPr>
            <w:r w:rsidRPr="00412AF8">
              <w:rPr>
                <w:sz w:val="18"/>
                <w:szCs w:val="18"/>
              </w:rPr>
              <w:t>1,323</w:t>
            </w:r>
          </w:p>
        </w:tc>
        <w:tc>
          <w:tcPr>
            <w:tcW w:w="1328" w:type="dxa"/>
            <w:vAlign w:val="center"/>
          </w:tcPr>
          <w:p w14:paraId="1DE81169" w14:textId="77777777" w:rsidR="00BD77B5" w:rsidRPr="00412AF8" w:rsidRDefault="00BD77B5" w:rsidP="00B555B0">
            <w:pPr>
              <w:keepNext/>
              <w:keepLines/>
              <w:tabs>
                <w:tab w:val="decimal" w:pos="759"/>
              </w:tabs>
              <w:spacing w:before="40" w:after="40"/>
              <w:rPr>
                <w:sz w:val="18"/>
                <w:szCs w:val="18"/>
              </w:rPr>
            </w:pPr>
            <w:r w:rsidRPr="00412AF8">
              <w:rPr>
                <w:sz w:val="18"/>
                <w:szCs w:val="18"/>
              </w:rPr>
              <w:t>239</w:t>
            </w:r>
          </w:p>
        </w:tc>
      </w:tr>
      <w:tr w:rsidR="00BD77B5" w:rsidRPr="00443B05" w14:paraId="3C6AF00E" w14:textId="77777777" w:rsidTr="00BD77B5">
        <w:trPr>
          <w:cantSplit/>
          <w:jc w:val="center"/>
        </w:trPr>
        <w:tc>
          <w:tcPr>
            <w:tcW w:w="2969" w:type="dxa"/>
            <w:vAlign w:val="center"/>
          </w:tcPr>
          <w:p w14:paraId="2B4DD617" w14:textId="77777777" w:rsidR="00BD77B5" w:rsidRPr="00443B05" w:rsidRDefault="00BD77B5" w:rsidP="0014031D">
            <w:pPr>
              <w:widowControl w:val="0"/>
              <w:spacing w:before="40" w:after="40"/>
              <w:jc w:val="left"/>
              <w:rPr>
                <w:sz w:val="18"/>
                <w:szCs w:val="18"/>
              </w:rPr>
            </w:pPr>
            <w:r w:rsidRPr="00443B05">
              <w:rPr>
                <w:sz w:val="18"/>
                <w:szCs w:val="18"/>
              </w:rPr>
              <w:t>Comercio</w:t>
            </w:r>
          </w:p>
        </w:tc>
        <w:tc>
          <w:tcPr>
            <w:tcW w:w="1881" w:type="dxa"/>
          </w:tcPr>
          <w:p w14:paraId="641B04CC"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B93FB25" w14:textId="77777777" w:rsidR="00BD77B5" w:rsidRPr="00412AF8" w:rsidRDefault="00BD77B5" w:rsidP="00B555B0">
            <w:pPr>
              <w:keepNext/>
              <w:keepLines/>
              <w:tabs>
                <w:tab w:val="decimal" w:pos="759"/>
              </w:tabs>
              <w:spacing w:before="40" w:after="40"/>
              <w:rPr>
                <w:sz w:val="18"/>
                <w:szCs w:val="18"/>
              </w:rPr>
            </w:pPr>
            <w:r w:rsidRPr="00412AF8">
              <w:rPr>
                <w:sz w:val="18"/>
                <w:szCs w:val="18"/>
              </w:rPr>
              <w:t>6,180</w:t>
            </w:r>
          </w:p>
        </w:tc>
        <w:tc>
          <w:tcPr>
            <w:tcW w:w="1328" w:type="dxa"/>
            <w:vAlign w:val="center"/>
          </w:tcPr>
          <w:p w14:paraId="7716B000" w14:textId="77777777" w:rsidR="00BD77B5" w:rsidRPr="00412AF8" w:rsidRDefault="00BD77B5" w:rsidP="00B555B0">
            <w:pPr>
              <w:keepNext/>
              <w:keepLines/>
              <w:tabs>
                <w:tab w:val="decimal" w:pos="759"/>
              </w:tabs>
              <w:spacing w:before="40" w:after="40"/>
              <w:rPr>
                <w:sz w:val="18"/>
                <w:szCs w:val="18"/>
              </w:rPr>
            </w:pPr>
            <w:r w:rsidRPr="00412AF8">
              <w:rPr>
                <w:sz w:val="18"/>
                <w:szCs w:val="18"/>
              </w:rPr>
              <w:t>532</w:t>
            </w:r>
          </w:p>
        </w:tc>
      </w:tr>
      <w:tr w:rsidR="00BD77B5" w:rsidRPr="00443B05" w14:paraId="41EED6B4" w14:textId="77777777" w:rsidTr="00BD77B5">
        <w:trPr>
          <w:cantSplit/>
          <w:jc w:val="center"/>
        </w:trPr>
        <w:tc>
          <w:tcPr>
            <w:tcW w:w="2969" w:type="dxa"/>
            <w:vAlign w:val="center"/>
          </w:tcPr>
          <w:p w14:paraId="6D880CE5" w14:textId="77777777" w:rsidR="00BD77B5" w:rsidRPr="00412AF8" w:rsidRDefault="00BD77B5" w:rsidP="0014031D">
            <w:pPr>
              <w:widowControl w:val="0"/>
              <w:spacing w:before="40" w:after="40"/>
              <w:jc w:val="left"/>
              <w:rPr>
                <w:sz w:val="18"/>
                <w:szCs w:val="18"/>
              </w:rPr>
            </w:pPr>
            <w:r w:rsidRPr="00412AF8">
              <w:rPr>
                <w:sz w:val="18"/>
                <w:szCs w:val="18"/>
              </w:rPr>
              <w:t>Servicios Privados no Financieros</w:t>
            </w:r>
          </w:p>
        </w:tc>
        <w:tc>
          <w:tcPr>
            <w:tcW w:w="1881" w:type="dxa"/>
          </w:tcPr>
          <w:p w14:paraId="176395CB"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2765619" w14:textId="77777777" w:rsidR="00BD77B5" w:rsidRPr="00412AF8" w:rsidRDefault="00BD77B5" w:rsidP="00B555B0">
            <w:pPr>
              <w:keepNext/>
              <w:keepLines/>
              <w:tabs>
                <w:tab w:val="decimal" w:pos="759"/>
              </w:tabs>
              <w:spacing w:before="40" w:after="40"/>
              <w:rPr>
                <w:sz w:val="18"/>
                <w:szCs w:val="18"/>
              </w:rPr>
            </w:pPr>
            <w:r w:rsidRPr="00412AF8">
              <w:rPr>
                <w:sz w:val="18"/>
                <w:szCs w:val="18"/>
              </w:rPr>
              <w:t>6,029</w:t>
            </w:r>
          </w:p>
        </w:tc>
        <w:tc>
          <w:tcPr>
            <w:tcW w:w="1328" w:type="dxa"/>
            <w:vAlign w:val="center"/>
          </w:tcPr>
          <w:p w14:paraId="70D1F69D" w14:textId="77777777" w:rsidR="00BD77B5" w:rsidRPr="00412AF8" w:rsidRDefault="00BD77B5" w:rsidP="00B555B0">
            <w:pPr>
              <w:keepNext/>
              <w:keepLines/>
              <w:tabs>
                <w:tab w:val="decimal" w:pos="759"/>
              </w:tabs>
              <w:spacing w:before="40" w:after="40"/>
              <w:rPr>
                <w:sz w:val="18"/>
                <w:szCs w:val="18"/>
              </w:rPr>
            </w:pPr>
            <w:r w:rsidRPr="00412AF8">
              <w:rPr>
                <w:sz w:val="18"/>
                <w:szCs w:val="18"/>
              </w:rPr>
              <w:t>1,193</w:t>
            </w:r>
          </w:p>
        </w:tc>
      </w:tr>
    </w:tbl>
    <w:p w14:paraId="02AF8000" w14:textId="77777777" w:rsidR="003A76C9" w:rsidRPr="00412AF8" w:rsidRDefault="003A76C9" w:rsidP="00DC0118">
      <w:pPr>
        <w:pStyle w:val="Pa10"/>
        <w:spacing w:before="240" w:after="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 xml:space="preserve">s), y cuestionario electrónico en el </w:t>
      </w:r>
      <w:r>
        <w:rPr>
          <w:lang w:val="es-ES_tradnl" w:eastAsia="es-MX"/>
        </w:rPr>
        <w:t>s</w:t>
      </w:r>
      <w:r w:rsidRPr="00412AF8">
        <w:rPr>
          <w:lang w:val="es-ES_tradnl" w:eastAsia="es-MX"/>
        </w:rPr>
        <w:t>itio del INEGI para la captación de información a través de internet.</w:t>
      </w:r>
    </w:p>
    <w:p w14:paraId="21CE33DA" w14:textId="77777777" w:rsidR="003A76C9" w:rsidRDefault="003A76C9" w:rsidP="00DC0118">
      <w:pPr>
        <w:pStyle w:val="Default"/>
        <w:spacing w:before="240" w:after="240"/>
        <w:jc w:val="both"/>
        <w:rPr>
          <w:strike/>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Los resultados se difunden inmediatamente después de terminado dicho mes.</w:t>
      </w:r>
    </w:p>
    <w:p w14:paraId="7EA80058" w14:textId="77777777" w:rsidR="003A76C9" w:rsidRPr="00E85310" w:rsidRDefault="003A76C9" w:rsidP="00DC0118">
      <w:pPr>
        <w:pStyle w:val="Default"/>
        <w:spacing w:before="240" w:after="240"/>
        <w:jc w:val="both"/>
      </w:pPr>
      <w:r w:rsidRPr="00756013">
        <w:lastRenderedPageBreak/>
        <w:t xml:space="preserve">Los indicadores de las </w:t>
      </w:r>
      <w:r w:rsidRPr="00756013">
        <w:rPr>
          <w:b/>
        </w:rPr>
        <w:t>Expectativas Empresariales (EE)</w:t>
      </w:r>
      <w:r w:rsidRPr="00E85310">
        <w:t xml:space="preserve"> está</w:t>
      </w:r>
      <w:r>
        <w:t>n</w:t>
      </w:r>
      <w:r w:rsidRPr="00E85310">
        <w:t xml:space="preserve"> constituid</w:t>
      </w:r>
      <w:r>
        <w:t>os</w:t>
      </w:r>
      <w:r w:rsidRPr="00E85310">
        <w:t xml:space="preserve"> por la opinión de los directivos empresariales </w:t>
      </w:r>
      <w:r>
        <w:t>sobre la situación que presentan las principales variables de actividad de los sectores en estudio</w:t>
      </w:r>
      <w:r w:rsidRPr="00E85310">
        <w:t xml:space="preserve">. </w:t>
      </w:r>
    </w:p>
    <w:p w14:paraId="0E22321F" w14:textId="77777777" w:rsidR="00FF3C7E" w:rsidRDefault="003A76C9" w:rsidP="00DC0118">
      <w:pPr>
        <w:pStyle w:val="Default"/>
        <w:spacing w:before="240" w:after="240"/>
        <w:jc w:val="both"/>
      </w:pPr>
      <w:r>
        <w:t>C</w:t>
      </w:r>
      <w:r w:rsidRPr="00E85310">
        <w:t>ada uno de los</w:t>
      </w:r>
      <w:r>
        <w:t xml:space="preserve"> indicadores se obtiene del promedio de los resultados expandidos de las respuestas a cada una de las preguntas</w:t>
      </w:r>
      <w:r w:rsidR="00FF3C7E">
        <w:t xml:space="preserve"> que se </w:t>
      </w:r>
      <w:r w:rsidR="00FF3C7E" w:rsidRPr="00256E15">
        <w:t>relacionan con las siguientes variables</w:t>
      </w:r>
      <w:r>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57456F" w14:paraId="56C1866A" w14:textId="77777777" w:rsidTr="003A76C9">
        <w:trPr>
          <w:tblHeader/>
          <w:jc w:val="center"/>
        </w:trPr>
        <w:tc>
          <w:tcPr>
            <w:tcW w:w="2994" w:type="dxa"/>
            <w:shd w:val="clear" w:color="auto" w:fill="CCCCFF"/>
          </w:tcPr>
          <w:p w14:paraId="2C3A7C73" w14:textId="77777777" w:rsidR="00BD77B5" w:rsidRPr="009F0596" w:rsidRDefault="00BD77B5" w:rsidP="00B555B0">
            <w:pPr>
              <w:keepNext/>
              <w:keepLines/>
              <w:widowControl w:val="0"/>
              <w:spacing w:before="120" w:after="120"/>
              <w:jc w:val="center"/>
              <w:rPr>
                <w:strike/>
                <w:sz w:val="18"/>
                <w:szCs w:val="18"/>
              </w:rPr>
            </w:pPr>
            <w:r w:rsidRPr="00756013">
              <w:rPr>
                <w:sz w:val="18"/>
                <w:szCs w:val="18"/>
              </w:rPr>
              <w:t>Expectativas Empresariales</w:t>
            </w:r>
            <w:r w:rsidRPr="009F0596">
              <w:rPr>
                <w:strike/>
                <w:sz w:val="18"/>
                <w:szCs w:val="18"/>
              </w:rPr>
              <w:t xml:space="preserve"> </w:t>
            </w:r>
          </w:p>
        </w:tc>
        <w:tc>
          <w:tcPr>
            <w:tcW w:w="5223" w:type="dxa"/>
            <w:shd w:val="clear" w:color="auto" w:fill="CCCCFF"/>
            <w:vAlign w:val="center"/>
          </w:tcPr>
          <w:p w14:paraId="5AC51B9F" w14:textId="77777777" w:rsidR="00BD77B5" w:rsidRPr="009F0596" w:rsidRDefault="00BD77B5" w:rsidP="00B555B0">
            <w:pPr>
              <w:keepNext/>
              <w:keepLines/>
              <w:widowControl w:val="0"/>
              <w:spacing w:before="120" w:after="120"/>
              <w:ind w:left="383"/>
              <w:rPr>
                <w:sz w:val="18"/>
                <w:szCs w:val="18"/>
              </w:rPr>
            </w:pPr>
            <w:r w:rsidRPr="009F0596">
              <w:rPr>
                <w:sz w:val="18"/>
                <w:szCs w:val="18"/>
              </w:rPr>
              <w:t xml:space="preserve">Variables </w:t>
            </w:r>
            <w:r>
              <w:rPr>
                <w:sz w:val="18"/>
                <w:szCs w:val="18"/>
              </w:rPr>
              <w:t xml:space="preserve">relevantes </w:t>
            </w:r>
          </w:p>
        </w:tc>
      </w:tr>
      <w:tr w:rsidR="00BD77B5" w:rsidRPr="00732497" w14:paraId="453F4674" w14:textId="77777777" w:rsidTr="003A76C9">
        <w:trPr>
          <w:jc w:val="center"/>
        </w:trPr>
        <w:tc>
          <w:tcPr>
            <w:tcW w:w="2994" w:type="dxa"/>
            <w:vAlign w:val="center"/>
          </w:tcPr>
          <w:p w14:paraId="594E80AD" w14:textId="77777777" w:rsidR="00BD77B5" w:rsidRPr="009F0596" w:rsidRDefault="00BD77B5" w:rsidP="00B555B0">
            <w:pPr>
              <w:jc w:val="left"/>
              <w:rPr>
                <w:color w:val="000000"/>
                <w:sz w:val="18"/>
                <w:szCs w:val="18"/>
              </w:rPr>
            </w:pPr>
            <w:r>
              <w:rPr>
                <w:color w:val="000000"/>
                <w:sz w:val="18"/>
                <w:szCs w:val="18"/>
              </w:rPr>
              <w:t xml:space="preserve">Industrias </w:t>
            </w:r>
            <w:r w:rsidRPr="009F0596">
              <w:rPr>
                <w:color w:val="000000"/>
                <w:sz w:val="18"/>
                <w:szCs w:val="18"/>
              </w:rPr>
              <w:t>Manufactur</w:t>
            </w:r>
            <w:r>
              <w:rPr>
                <w:color w:val="000000"/>
                <w:sz w:val="18"/>
                <w:szCs w:val="18"/>
              </w:rPr>
              <w:t>er</w:t>
            </w:r>
            <w:r w:rsidRPr="009F0596">
              <w:rPr>
                <w:color w:val="000000"/>
                <w:sz w:val="18"/>
                <w:szCs w:val="18"/>
              </w:rPr>
              <w:t>as</w:t>
            </w:r>
          </w:p>
        </w:tc>
        <w:tc>
          <w:tcPr>
            <w:tcW w:w="5223" w:type="dxa"/>
          </w:tcPr>
          <w:p w14:paraId="33AB4377"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Producción </w:t>
            </w:r>
          </w:p>
          <w:p w14:paraId="4C48052C" w14:textId="77777777" w:rsidR="00BD77B5" w:rsidRPr="009F0596" w:rsidRDefault="00BD77B5" w:rsidP="003A76C9">
            <w:pPr>
              <w:pStyle w:val="Prrafodelista"/>
              <w:numPr>
                <w:ilvl w:val="0"/>
                <w:numId w:val="13"/>
              </w:numPr>
              <w:ind w:left="438"/>
              <w:contextualSpacing/>
              <w:jc w:val="left"/>
              <w:rPr>
                <w:color w:val="000000"/>
                <w:sz w:val="18"/>
                <w:szCs w:val="18"/>
              </w:rPr>
            </w:pPr>
            <w:r>
              <w:rPr>
                <w:sz w:val="18"/>
                <w:szCs w:val="18"/>
                <w:lang w:val="es-MX"/>
              </w:rPr>
              <w:t>Capacidad de planta u</w:t>
            </w:r>
            <w:r w:rsidRPr="0039544E">
              <w:rPr>
                <w:sz w:val="18"/>
                <w:szCs w:val="18"/>
                <w:lang w:val="es-MX"/>
              </w:rPr>
              <w:t>tiliza</w:t>
            </w:r>
            <w:r>
              <w:rPr>
                <w:sz w:val="18"/>
                <w:szCs w:val="18"/>
                <w:lang w:val="es-MX"/>
              </w:rPr>
              <w:t>da</w:t>
            </w:r>
          </w:p>
          <w:p w14:paraId="01FB33C4"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Demanda </w:t>
            </w:r>
            <w:r>
              <w:rPr>
                <w:color w:val="000000"/>
                <w:sz w:val="18"/>
                <w:szCs w:val="18"/>
              </w:rPr>
              <w:t>nacional</w:t>
            </w:r>
            <w:r w:rsidR="0014031D">
              <w:rPr>
                <w:color w:val="000000"/>
                <w:sz w:val="18"/>
                <w:szCs w:val="18"/>
              </w:rPr>
              <w:t xml:space="preserve"> de sus productos</w:t>
            </w:r>
          </w:p>
          <w:p w14:paraId="1CFDA452"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Exportaciones </w:t>
            </w:r>
          </w:p>
          <w:p w14:paraId="4995A785" w14:textId="77777777" w:rsidR="00BD77B5" w:rsidRPr="005950A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p w14:paraId="0D487FF9"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Inversión en planta y equipo</w:t>
            </w:r>
          </w:p>
          <w:p w14:paraId="31622117"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Inventarios de productos terminados</w:t>
            </w:r>
          </w:p>
          <w:p w14:paraId="1C9C3A96"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venta</w:t>
            </w:r>
          </w:p>
          <w:p w14:paraId="30804E0E" w14:textId="77777777" w:rsidR="00BD77B5" w:rsidRPr="009F0596"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insumos</w:t>
            </w:r>
          </w:p>
        </w:tc>
      </w:tr>
      <w:tr w:rsidR="00BD77B5" w:rsidRPr="00A543E8" w14:paraId="3BBBB209" w14:textId="77777777" w:rsidTr="003A76C9">
        <w:trPr>
          <w:jc w:val="center"/>
        </w:trPr>
        <w:tc>
          <w:tcPr>
            <w:tcW w:w="2994" w:type="dxa"/>
            <w:vAlign w:val="center"/>
          </w:tcPr>
          <w:p w14:paraId="277EA20A" w14:textId="77777777" w:rsidR="00BD77B5" w:rsidRPr="009F0596" w:rsidRDefault="00BD77B5" w:rsidP="00B555B0">
            <w:pPr>
              <w:jc w:val="left"/>
              <w:rPr>
                <w:color w:val="000000"/>
                <w:sz w:val="18"/>
                <w:szCs w:val="18"/>
              </w:rPr>
            </w:pPr>
            <w:r w:rsidRPr="009F0596">
              <w:rPr>
                <w:color w:val="000000"/>
                <w:sz w:val="18"/>
                <w:szCs w:val="18"/>
              </w:rPr>
              <w:t>Construcción</w:t>
            </w:r>
          </w:p>
        </w:tc>
        <w:tc>
          <w:tcPr>
            <w:tcW w:w="5223" w:type="dxa"/>
          </w:tcPr>
          <w:p w14:paraId="401B2190"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 ejecutadas como contratista principal</w:t>
            </w:r>
          </w:p>
          <w:p w14:paraId="6BE37989"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w:t>
            </w:r>
            <w:r>
              <w:rPr>
                <w:color w:val="000000"/>
                <w:sz w:val="18"/>
                <w:szCs w:val="18"/>
              </w:rPr>
              <w:t xml:space="preserve"> ejecutadas como subcontratista</w:t>
            </w:r>
          </w:p>
          <w:p w14:paraId="10BA7003"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Total de contratos y subcontratos</w:t>
            </w:r>
          </w:p>
          <w:p w14:paraId="5B67E4A7" w14:textId="77777777" w:rsidR="00BD77B5" w:rsidRPr="00BD77B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tc>
      </w:tr>
      <w:tr w:rsidR="00BD77B5" w:rsidRPr="00A543E8" w14:paraId="1304CF9C" w14:textId="77777777" w:rsidTr="003A76C9">
        <w:trPr>
          <w:jc w:val="center"/>
        </w:trPr>
        <w:tc>
          <w:tcPr>
            <w:tcW w:w="2994" w:type="dxa"/>
            <w:vAlign w:val="center"/>
          </w:tcPr>
          <w:p w14:paraId="2AA9D52B" w14:textId="77777777" w:rsidR="00BD77B5" w:rsidRPr="009F0596" w:rsidRDefault="00BD77B5" w:rsidP="00B555B0">
            <w:pPr>
              <w:keepNext/>
              <w:keepLines/>
              <w:jc w:val="left"/>
              <w:rPr>
                <w:color w:val="000000"/>
                <w:sz w:val="18"/>
                <w:szCs w:val="18"/>
              </w:rPr>
            </w:pPr>
            <w:r w:rsidRPr="009F0596">
              <w:rPr>
                <w:color w:val="000000"/>
                <w:sz w:val="18"/>
                <w:szCs w:val="18"/>
              </w:rPr>
              <w:t>Comercio</w:t>
            </w:r>
          </w:p>
        </w:tc>
        <w:tc>
          <w:tcPr>
            <w:tcW w:w="5223" w:type="dxa"/>
          </w:tcPr>
          <w:p w14:paraId="50639A8D"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Ventas netas</w:t>
            </w:r>
          </w:p>
          <w:p w14:paraId="182CFB73"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Ingresos por consignación y/o comisión</w:t>
            </w:r>
          </w:p>
          <w:p w14:paraId="10B737A8"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Compras </w:t>
            </w:r>
            <w:r>
              <w:rPr>
                <w:color w:val="000000"/>
                <w:sz w:val="18"/>
                <w:szCs w:val="18"/>
              </w:rPr>
              <w:t>n</w:t>
            </w:r>
            <w:r w:rsidRPr="009F0596">
              <w:rPr>
                <w:color w:val="000000"/>
                <w:sz w:val="18"/>
                <w:szCs w:val="18"/>
              </w:rPr>
              <w:t>etas</w:t>
            </w:r>
          </w:p>
          <w:p w14:paraId="5FDEE971"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Inventarios de mercancías</w:t>
            </w:r>
          </w:p>
          <w:p w14:paraId="05AE83D9"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Personal ocupado</w:t>
            </w:r>
            <w:r>
              <w:rPr>
                <w:color w:val="000000"/>
                <w:sz w:val="18"/>
                <w:szCs w:val="18"/>
              </w:rPr>
              <w:t xml:space="preserve"> total</w:t>
            </w:r>
          </w:p>
        </w:tc>
      </w:tr>
      <w:tr w:rsidR="00BD77B5" w:rsidRPr="00A543E8" w14:paraId="04197795" w14:textId="77777777" w:rsidTr="003A76C9">
        <w:trPr>
          <w:jc w:val="center"/>
        </w:trPr>
        <w:tc>
          <w:tcPr>
            <w:tcW w:w="2994" w:type="dxa"/>
            <w:vAlign w:val="center"/>
          </w:tcPr>
          <w:p w14:paraId="3A9D5ADB" w14:textId="77777777" w:rsidR="00BD77B5" w:rsidRPr="009F0596" w:rsidRDefault="00BD77B5" w:rsidP="00B555B0">
            <w:pPr>
              <w:keepNext/>
              <w:keepLines/>
              <w:jc w:val="left"/>
              <w:rPr>
                <w:color w:val="000000"/>
                <w:sz w:val="18"/>
                <w:szCs w:val="18"/>
              </w:rPr>
            </w:pPr>
            <w:r>
              <w:rPr>
                <w:color w:val="000000"/>
                <w:sz w:val="18"/>
                <w:szCs w:val="18"/>
              </w:rPr>
              <w:t>Servicios Privados no Financieros</w:t>
            </w:r>
          </w:p>
        </w:tc>
        <w:tc>
          <w:tcPr>
            <w:tcW w:w="5223" w:type="dxa"/>
          </w:tcPr>
          <w:p w14:paraId="41B34C77"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Ingresos por la prestación de servicios</w:t>
            </w:r>
          </w:p>
          <w:p w14:paraId="168940F5"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Demanda</w:t>
            </w:r>
            <w:r w:rsidR="0014031D">
              <w:rPr>
                <w:color w:val="000000"/>
                <w:sz w:val="18"/>
                <w:szCs w:val="18"/>
              </w:rPr>
              <w:t xml:space="preserve"> nacional</w:t>
            </w:r>
            <w:r w:rsidRPr="00830229">
              <w:rPr>
                <w:color w:val="000000"/>
                <w:sz w:val="18"/>
                <w:szCs w:val="18"/>
              </w:rPr>
              <w:t xml:space="preserve"> de servicios</w:t>
            </w:r>
          </w:p>
          <w:p w14:paraId="2A8DB4AC"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Gastos por consumo de bienes y servicios</w:t>
            </w:r>
          </w:p>
          <w:p w14:paraId="1958F0C5" w14:textId="77777777" w:rsidR="00BD77B5" w:rsidRPr="009F0596"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Personal ocupado</w:t>
            </w:r>
            <w:r>
              <w:rPr>
                <w:color w:val="000000"/>
                <w:sz w:val="18"/>
                <w:szCs w:val="18"/>
              </w:rPr>
              <w:t xml:space="preserve"> total</w:t>
            </w:r>
          </w:p>
        </w:tc>
      </w:tr>
    </w:tbl>
    <w:p w14:paraId="600D4394" w14:textId="77777777" w:rsidR="003A76C9" w:rsidRDefault="003A76C9" w:rsidP="00DC0118">
      <w:pPr>
        <w:pStyle w:val="Default"/>
        <w:spacing w:before="240" w:after="240"/>
        <w:jc w:val="both"/>
      </w:pPr>
      <w:r w:rsidRPr="00A543E8">
        <w:t>En cada una de las preguntas, el informante tiene cinco opciones de respuesta: Mucho mayor, Mayor, Igual, Menor y Mucho menor.</w:t>
      </w:r>
      <w:r>
        <w:t xml:space="preserve">  Para los </w:t>
      </w:r>
      <w:r w:rsidRPr="00C10870">
        <w:rPr>
          <w:color w:val="auto"/>
        </w:rPr>
        <w:t>Precios de venta y Precios de insumos las opciones de respuesta son: Aumentaron mucho, Aumentaron poco, Permanecieron igual, Disminuyeron poco y</w:t>
      </w:r>
      <w:r>
        <w:rPr>
          <w:color w:val="auto"/>
        </w:rPr>
        <w:t xml:space="preserve"> </w:t>
      </w:r>
      <w:r w:rsidRPr="00C10870">
        <w:rPr>
          <w:color w:val="auto"/>
        </w:rPr>
        <w:t>Disminuyeron Mucho</w:t>
      </w:r>
      <w:r>
        <w:rPr>
          <w:color w:val="auto"/>
        </w:rPr>
        <w:t>.</w:t>
      </w:r>
    </w:p>
    <w:p w14:paraId="77E6644C" w14:textId="77777777" w:rsidR="00BD77B5" w:rsidRDefault="003A76C9" w:rsidP="00DC0118">
      <w:pPr>
        <w:pStyle w:val="Default"/>
        <w:spacing w:before="240" w:after="240"/>
        <w:jc w:val="both"/>
        <w:rPr>
          <w:strike/>
        </w:rPr>
      </w:pPr>
      <w:r w:rsidRPr="00A543E8">
        <w:t>Cada nivel de respuesta cuenta con un ponderador</w:t>
      </w:r>
      <w:r w:rsidR="00B6724F">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9E7FB8"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DB0097" w:rsidRDefault="00FC128E" w:rsidP="00B555B0">
            <w:pPr>
              <w:widowControl w:val="0"/>
              <w:spacing w:before="120" w:after="120"/>
              <w:ind w:left="372"/>
              <w:jc w:val="left"/>
              <w:rPr>
                <w:sz w:val="18"/>
                <w:szCs w:val="18"/>
              </w:rPr>
            </w:pPr>
            <w:r w:rsidRPr="00DB0097">
              <w:rPr>
                <w:sz w:val="18"/>
                <w:szCs w:val="18"/>
              </w:rPr>
              <w:t>Opci</w:t>
            </w:r>
            <w:r>
              <w:rPr>
                <w:sz w:val="18"/>
                <w:szCs w:val="18"/>
              </w:rPr>
              <w:t>ón</w:t>
            </w:r>
            <w:r w:rsidRPr="00DB0097">
              <w:rPr>
                <w:sz w:val="18"/>
                <w:szCs w:val="18"/>
              </w:rPr>
              <w:t xml:space="preserve"> de respuesta</w:t>
            </w:r>
          </w:p>
        </w:tc>
        <w:tc>
          <w:tcPr>
            <w:tcW w:w="1422" w:type="dxa"/>
            <w:tcBorders>
              <w:top w:val="single" w:sz="4" w:space="0" w:color="404040"/>
              <w:bottom w:val="single" w:sz="4" w:space="0" w:color="404040"/>
            </w:tcBorders>
            <w:shd w:val="clear" w:color="auto" w:fill="CCCCFF"/>
          </w:tcPr>
          <w:p w14:paraId="6719B369" w14:textId="77777777" w:rsidR="00FC128E" w:rsidRPr="00DB0097" w:rsidRDefault="00FC128E" w:rsidP="00B555B0">
            <w:pPr>
              <w:keepNext/>
              <w:widowControl w:val="0"/>
              <w:spacing w:before="120" w:after="120"/>
              <w:jc w:val="center"/>
              <w:rPr>
                <w:sz w:val="18"/>
                <w:szCs w:val="18"/>
              </w:rPr>
            </w:pPr>
            <w:r w:rsidRPr="00DB0097">
              <w:rPr>
                <w:sz w:val="18"/>
                <w:szCs w:val="18"/>
              </w:rPr>
              <w:t>Ponderador</w:t>
            </w:r>
          </w:p>
        </w:tc>
      </w:tr>
      <w:tr w:rsidR="00FC128E" w:rsidRPr="009E7FB8" w14:paraId="5021EFDC" w14:textId="77777777" w:rsidTr="00FC128E">
        <w:trPr>
          <w:jc w:val="center"/>
        </w:trPr>
        <w:tc>
          <w:tcPr>
            <w:tcW w:w="1537" w:type="dxa"/>
            <w:tcBorders>
              <w:top w:val="single" w:sz="4" w:space="0" w:color="404040"/>
            </w:tcBorders>
          </w:tcPr>
          <w:p w14:paraId="30A4AC11"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mayor</w:t>
            </w:r>
          </w:p>
        </w:tc>
        <w:tc>
          <w:tcPr>
            <w:tcW w:w="1422" w:type="dxa"/>
            <w:tcBorders>
              <w:top w:val="single" w:sz="4" w:space="0" w:color="404040"/>
            </w:tcBorders>
          </w:tcPr>
          <w:p w14:paraId="3869DBCC" w14:textId="77777777" w:rsidR="00FC128E" w:rsidRPr="009F0596" w:rsidRDefault="00FC128E" w:rsidP="00B555B0">
            <w:pPr>
              <w:keepNext/>
              <w:widowControl w:val="0"/>
              <w:spacing w:before="40" w:after="40"/>
              <w:jc w:val="center"/>
              <w:rPr>
                <w:sz w:val="18"/>
                <w:szCs w:val="18"/>
              </w:rPr>
            </w:pPr>
            <w:r w:rsidRPr="009F0596">
              <w:rPr>
                <w:sz w:val="18"/>
                <w:szCs w:val="18"/>
              </w:rPr>
              <w:t>1.00</w:t>
            </w:r>
          </w:p>
        </w:tc>
      </w:tr>
      <w:tr w:rsidR="00FC128E" w:rsidRPr="009E7FB8" w14:paraId="450F9C56" w14:textId="77777777" w:rsidTr="00FC128E">
        <w:trPr>
          <w:jc w:val="center"/>
        </w:trPr>
        <w:tc>
          <w:tcPr>
            <w:tcW w:w="1537" w:type="dxa"/>
          </w:tcPr>
          <w:p w14:paraId="40FBA117"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Mayor</w:t>
            </w:r>
          </w:p>
        </w:tc>
        <w:tc>
          <w:tcPr>
            <w:tcW w:w="1422" w:type="dxa"/>
          </w:tcPr>
          <w:p w14:paraId="105FC4DA" w14:textId="77777777" w:rsidR="00FC128E" w:rsidRPr="009F0596" w:rsidRDefault="00FC128E" w:rsidP="00B555B0">
            <w:pPr>
              <w:keepNext/>
              <w:widowControl w:val="0"/>
              <w:spacing w:before="40" w:after="40"/>
              <w:jc w:val="center"/>
              <w:rPr>
                <w:sz w:val="18"/>
                <w:szCs w:val="18"/>
              </w:rPr>
            </w:pPr>
            <w:r w:rsidRPr="009F0596">
              <w:rPr>
                <w:sz w:val="18"/>
                <w:szCs w:val="18"/>
              </w:rPr>
              <w:t>0.75</w:t>
            </w:r>
          </w:p>
        </w:tc>
      </w:tr>
      <w:tr w:rsidR="00FC128E" w:rsidRPr="009E7FB8" w14:paraId="7749E31E" w14:textId="77777777" w:rsidTr="00FC128E">
        <w:trPr>
          <w:jc w:val="center"/>
        </w:trPr>
        <w:tc>
          <w:tcPr>
            <w:tcW w:w="1537" w:type="dxa"/>
          </w:tcPr>
          <w:p w14:paraId="02ED717A"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Igual</w:t>
            </w:r>
          </w:p>
        </w:tc>
        <w:tc>
          <w:tcPr>
            <w:tcW w:w="1422" w:type="dxa"/>
          </w:tcPr>
          <w:p w14:paraId="6A270DD0" w14:textId="77777777" w:rsidR="00FC128E" w:rsidRPr="009F0596" w:rsidRDefault="00FC128E" w:rsidP="00B555B0">
            <w:pPr>
              <w:keepNext/>
              <w:widowControl w:val="0"/>
              <w:spacing w:before="40" w:after="40"/>
              <w:jc w:val="center"/>
              <w:rPr>
                <w:sz w:val="18"/>
                <w:szCs w:val="18"/>
              </w:rPr>
            </w:pPr>
            <w:r w:rsidRPr="009F0596">
              <w:rPr>
                <w:sz w:val="18"/>
                <w:szCs w:val="18"/>
              </w:rPr>
              <w:t>0.50</w:t>
            </w:r>
          </w:p>
        </w:tc>
      </w:tr>
      <w:tr w:rsidR="00FC128E" w:rsidRPr="009E7FB8" w14:paraId="18C8CB46" w14:textId="77777777" w:rsidTr="00FC128E">
        <w:trPr>
          <w:jc w:val="center"/>
        </w:trPr>
        <w:tc>
          <w:tcPr>
            <w:tcW w:w="1537" w:type="dxa"/>
          </w:tcPr>
          <w:p w14:paraId="689ADEB9"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Menor</w:t>
            </w:r>
          </w:p>
        </w:tc>
        <w:tc>
          <w:tcPr>
            <w:tcW w:w="1422" w:type="dxa"/>
          </w:tcPr>
          <w:p w14:paraId="185F3D8B" w14:textId="77777777" w:rsidR="00FC128E" w:rsidRPr="009F0596" w:rsidRDefault="00FC128E" w:rsidP="00B555B0">
            <w:pPr>
              <w:keepNext/>
              <w:widowControl w:val="0"/>
              <w:spacing w:before="40" w:after="40"/>
              <w:jc w:val="center"/>
              <w:rPr>
                <w:sz w:val="18"/>
                <w:szCs w:val="18"/>
              </w:rPr>
            </w:pPr>
            <w:r w:rsidRPr="009F0596">
              <w:rPr>
                <w:sz w:val="18"/>
                <w:szCs w:val="18"/>
              </w:rPr>
              <w:t>0.25</w:t>
            </w:r>
          </w:p>
        </w:tc>
      </w:tr>
      <w:tr w:rsidR="00FC128E" w:rsidRPr="009E7FB8" w14:paraId="2B382FA3" w14:textId="77777777" w:rsidTr="00FC128E">
        <w:trPr>
          <w:jc w:val="center"/>
        </w:trPr>
        <w:tc>
          <w:tcPr>
            <w:tcW w:w="1537" w:type="dxa"/>
          </w:tcPr>
          <w:p w14:paraId="6A2B04BC"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menor</w:t>
            </w:r>
          </w:p>
        </w:tc>
        <w:tc>
          <w:tcPr>
            <w:tcW w:w="1422" w:type="dxa"/>
          </w:tcPr>
          <w:p w14:paraId="0F618501" w14:textId="77777777" w:rsidR="00FC128E" w:rsidRPr="009F0596" w:rsidRDefault="00FC128E" w:rsidP="00B555B0">
            <w:pPr>
              <w:keepNext/>
              <w:widowControl w:val="0"/>
              <w:spacing w:before="40" w:after="40"/>
              <w:jc w:val="center"/>
              <w:rPr>
                <w:sz w:val="18"/>
                <w:szCs w:val="18"/>
              </w:rPr>
            </w:pPr>
            <w:r w:rsidRPr="009F0596">
              <w:rPr>
                <w:sz w:val="18"/>
                <w:szCs w:val="18"/>
              </w:rPr>
              <w:t>0.00</w:t>
            </w:r>
          </w:p>
        </w:tc>
      </w:tr>
    </w:tbl>
    <w:p w14:paraId="25884381" w14:textId="77777777" w:rsidR="003A76C9" w:rsidRDefault="003A76C9" w:rsidP="00DC0118">
      <w:pPr>
        <w:pStyle w:val="Default"/>
        <w:spacing w:before="240" w:after="240"/>
        <w:jc w:val="both"/>
      </w:pPr>
      <w:r w:rsidRPr="003B6FB4">
        <w:lastRenderedPageBreak/>
        <w:t>Los indicadores están diseñados para que sus valores fluctúen entre 0 y 100. De es</w:t>
      </w:r>
      <w:r>
        <w:t>t</w:t>
      </w:r>
      <w:r w:rsidRPr="003B6FB4">
        <w:t>a manera, a medida que el optimismo se generaliza entre los informantes, el valor del indicador se hace mayor. Por otra parte, a medida que el porcentaje de informantes con opiniones pesimistas se incrementa, el valor del indicador disminuirá.</w:t>
      </w:r>
    </w:p>
    <w:p w14:paraId="779263AF" w14:textId="77777777" w:rsidR="003A76C9" w:rsidRPr="003B6FB4" w:rsidRDefault="003A76C9" w:rsidP="00DC0118">
      <w:pPr>
        <w:pStyle w:val="Default"/>
        <w:spacing w:before="240" w:after="240"/>
        <w:jc w:val="both"/>
      </w:pPr>
      <w:r w:rsidRPr="00732497">
        <w:t>Los indicadores sobre las Expectativas Empresariales</w:t>
      </w:r>
      <w:r>
        <w:t xml:space="preserve"> </w:t>
      </w:r>
      <w:r w:rsidRPr="000D32DB">
        <w:t>permiten señalar posibles tendencias, pero no establecen pronósticos puntuales de las tasas de variación de los indicadores provenientes de otras fuentes estadísticas.</w:t>
      </w:r>
    </w:p>
    <w:p w14:paraId="460716C7" w14:textId="77777777" w:rsidR="00BD77B5" w:rsidRPr="00FC7E0D" w:rsidRDefault="003A76C9" w:rsidP="00DC0118">
      <w:pPr>
        <w:pStyle w:val="Default"/>
        <w:spacing w:before="240" w:after="240"/>
        <w:jc w:val="both"/>
        <w:rPr>
          <w:strike/>
        </w:rPr>
      </w:pPr>
      <w:r w:rsidRPr="00E85310">
        <w:t xml:space="preserve">Es frecuente que en este tipo de indicadores se utilice el valor de 50 como el umbral para separar </w:t>
      </w:r>
      <w:r>
        <w:t xml:space="preserve">el </w:t>
      </w:r>
      <w:r w:rsidRPr="00E85310">
        <w:t xml:space="preserve">optimismo </w:t>
      </w:r>
      <w:r>
        <w:t xml:space="preserve">y el </w:t>
      </w:r>
      <w:r w:rsidRPr="00E85310">
        <w:t>pesimismo</w:t>
      </w:r>
      <w:r>
        <w:t>; s</w:t>
      </w:r>
      <w:r w:rsidRPr="00E85310">
        <w:t xml:space="preserve">in embargo, es importante reconocer que la interpretación resulta complicada </w:t>
      </w:r>
      <w:r>
        <w:t xml:space="preserve">cuando el porcentaje de respuestas entre el optimismo y </w:t>
      </w:r>
      <w:r w:rsidRPr="00A41156">
        <w:t>pesimis</w:t>
      </w:r>
      <w:r>
        <w:t xml:space="preserve">mo tiende al equilibrio. </w:t>
      </w:r>
      <w:r w:rsidRPr="00A41156">
        <w:t>En ese sentido, considerar el valor de 50 como el umbral ya no resulta lo más correcto</w:t>
      </w:r>
      <w:r>
        <w:t xml:space="preserve">, por lo que </w:t>
      </w:r>
      <w:r w:rsidRPr="00E85310">
        <w:t xml:space="preserve">es frecuente que en los casos en que se tienen series suficientemente largas, la identificación </w:t>
      </w:r>
      <w:r>
        <w:t>de este</w:t>
      </w:r>
      <w:r w:rsidRPr="00E85310">
        <w:t xml:space="preserve"> umbral se haga de manera econométrica a partir de series desestacionalizadas, mediante la asociación del indicador con cifras duras de la economía</w:t>
      </w:r>
      <w:r w:rsidR="00671B21">
        <w:t>.</w:t>
      </w:r>
    </w:p>
    <w:p w14:paraId="1901A0D8" w14:textId="77777777" w:rsidR="003A76C9" w:rsidRPr="009F32F7" w:rsidRDefault="003A76C9" w:rsidP="00DC0118">
      <w:pPr>
        <w:pStyle w:val="Default"/>
        <w:spacing w:before="240" w:after="240"/>
        <w:jc w:val="both"/>
        <w:rPr>
          <w:color w:val="auto"/>
        </w:rPr>
      </w:pPr>
      <w:r w:rsidRPr="009F32F7">
        <w:rPr>
          <w:color w:val="auto"/>
        </w:rPr>
        <w:t>Con base en las expectativas empresariales, se calcula el Indicador Agregado de Tendencia (IAT). En Construcción, Comercio y Servicios Privados no Financieros, el IAT se calcula considerando el conjunto de expectativas empresariales (</w:t>
      </w:r>
      <w:r w:rsidR="00555DA5">
        <w:rPr>
          <w:color w:val="auto"/>
        </w:rPr>
        <w:t>variables relevantes</w:t>
      </w:r>
      <w:r w:rsidRPr="009F32F7">
        <w:rPr>
          <w:color w:val="auto"/>
        </w:rPr>
        <w:t xml:space="preserve">). En el caso del IAT de las Industrias Manufactureras se considera: Producción, </w:t>
      </w:r>
      <w:r w:rsidR="0014031D" w:rsidRPr="009F32F7">
        <w:rPr>
          <w:color w:val="auto"/>
        </w:rPr>
        <w:t>Capacidad</w:t>
      </w:r>
      <w:r w:rsidRPr="009F32F7">
        <w:rPr>
          <w:color w:val="auto"/>
        </w:rPr>
        <w:t xml:space="preserve"> de planta </w:t>
      </w:r>
      <w:r w:rsidR="0014031D" w:rsidRPr="009F32F7">
        <w:rPr>
          <w:color w:val="auto"/>
        </w:rPr>
        <w:t>utilizada</w:t>
      </w:r>
      <w:r w:rsidRPr="009F32F7">
        <w:rPr>
          <w:color w:val="auto"/>
        </w:rPr>
        <w:t>, Demanda nacional</w:t>
      </w:r>
      <w:r w:rsidR="0014031D" w:rsidRPr="009F32F7">
        <w:rPr>
          <w:color w:val="auto"/>
        </w:rPr>
        <w:t xml:space="preserve"> de sus productos</w:t>
      </w:r>
      <w:r w:rsidRPr="009F32F7">
        <w:rPr>
          <w:color w:val="auto"/>
        </w:rPr>
        <w:t>, Ex</w:t>
      </w:r>
      <w:r w:rsidR="00DC0118" w:rsidRPr="009F32F7">
        <w:rPr>
          <w:color w:val="auto"/>
        </w:rPr>
        <w:t>portaciones y Personal ocupado.</w:t>
      </w:r>
    </w:p>
    <w:p w14:paraId="6E843C0F" w14:textId="77777777" w:rsidR="003A76C9" w:rsidRPr="009F32F7" w:rsidRDefault="003A76C9" w:rsidP="00DC0118">
      <w:pPr>
        <w:pStyle w:val="Default"/>
        <w:spacing w:before="240" w:after="240"/>
        <w:jc w:val="both"/>
        <w:rPr>
          <w:color w:val="auto"/>
        </w:rPr>
      </w:pPr>
      <w:r w:rsidRPr="009F32F7">
        <w:rPr>
          <w:color w:val="auto"/>
        </w:rPr>
        <w:t>El cálculo del IAT en Construcción y Comercio corresponde a un promedio simple, en las Industrias Manufactureras y Servicios Privados no Financi</w:t>
      </w:r>
      <w:r w:rsidR="00DC0118" w:rsidRPr="009F32F7">
        <w:rPr>
          <w:color w:val="auto"/>
        </w:rPr>
        <w:t>eros es un indicador ponderado.</w:t>
      </w:r>
    </w:p>
    <w:p w14:paraId="6200F120" w14:textId="77777777" w:rsidR="003A76C9" w:rsidRPr="006630DB" w:rsidRDefault="003A76C9" w:rsidP="00DC0118">
      <w:pPr>
        <w:pStyle w:val="Default"/>
        <w:spacing w:before="240" w:after="240"/>
        <w:jc w:val="both"/>
        <w:rPr>
          <w:color w:val="auto"/>
        </w:rPr>
      </w:pPr>
      <w:r w:rsidRPr="009F32F7">
        <w:t>El Indicador Agregado de Tendencia</w:t>
      </w:r>
      <w:r>
        <w:t xml:space="preserve"> </w:t>
      </w:r>
      <w:r w:rsidRPr="00732497">
        <w:t xml:space="preserve">del </w:t>
      </w:r>
      <w:r>
        <w:t>s</w:t>
      </w:r>
      <w:r w:rsidRPr="00732497">
        <w:t xml:space="preserve">ector </w:t>
      </w:r>
      <w:r>
        <w:t xml:space="preserve">Industrias </w:t>
      </w:r>
      <w:r w:rsidRPr="00732497">
        <w:t>Manufactur</w:t>
      </w:r>
      <w:r>
        <w:t>er</w:t>
      </w:r>
      <w:r w:rsidRPr="00732497">
        <w:t xml:space="preserve">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p>
    <w:p w14:paraId="592F4532" w14:textId="77777777" w:rsidR="003A76C9" w:rsidRPr="009F0596" w:rsidRDefault="003A76C9" w:rsidP="00DC0118">
      <w:pPr>
        <w:pStyle w:val="Default"/>
        <w:spacing w:before="240" w:after="240"/>
        <w:jc w:val="both"/>
      </w:pPr>
      <w:r w:rsidRPr="0030319A">
        <w:t xml:space="preserve">Por su parte, </w:t>
      </w:r>
      <w:r w:rsidRPr="009F32F7">
        <w:t>el Indicador Agregado de Tendencia</w:t>
      </w:r>
      <w:r>
        <w:t xml:space="preserve"> </w:t>
      </w:r>
      <w:r w:rsidRPr="0030319A">
        <w:t xml:space="preserve">de </w:t>
      </w:r>
      <w:r>
        <w:t xml:space="preserve">la </w:t>
      </w:r>
      <w:r w:rsidRPr="0030319A">
        <w:t>Construcción y Comercio se p</w:t>
      </w:r>
      <w:r>
        <w:t>ublica</w:t>
      </w:r>
      <w:r w:rsidRPr="0030319A">
        <w:t xml:space="preserve"> a nivel del total del sector.</w:t>
      </w:r>
    </w:p>
    <w:p w14:paraId="057E7093" w14:textId="77777777" w:rsidR="003A76C9" w:rsidRPr="00443B05" w:rsidRDefault="003A76C9" w:rsidP="005562ED">
      <w:pPr>
        <w:keepLines/>
        <w:autoSpaceDE w:val="0"/>
        <w:autoSpaceDN w:val="0"/>
        <w:adjustRightInd w:val="0"/>
        <w:spacing w:before="240" w:after="240"/>
      </w:pPr>
      <w:r>
        <w:lastRenderedPageBreak/>
        <w:t xml:space="preserve">Por último, </w:t>
      </w:r>
      <w:r w:rsidRPr="009F32F7">
        <w:t>el IAT</w:t>
      </w:r>
      <w:r>
        <w:t xml:space="preserve"> de los Servicios Privados no Financieros </w:t>
      </w:r>
      <w:r>
        <w:rPr>
          <w:rFonts w:eastAsiaTheme="minorHAnsi"/>
          <w:lang w:eastAsia="es-MX"/>
        </w:rPr>
        <w:t xml:space="preserve">se difunde a nivel agregado y para </w:t>
      </w:r>
      <w:r w:rsidRPr="00412AF8">
        <w:rPr>
          <w:rFonts w:eastAsiaTheme="minorHAnsi"/>
          <w:lang w:eastAsia="es-MX"/>
        </w:rPr>
        <w:t xml:space="preserve">seis dominios de estudio, en este caso representados por </w:t>
      </w:r>
      <w:r w:rsidR="00972EEC">
        <w:rPr>
          <w:rFonts w:eastAsiaTheme="minorHAnsi"/>
          <w:lang w:eastAsia="es-MX"/>
        </w:rPr>
        <w:t xml:space="preserve">los </w:t>
      </w:r>
      <w:r w:rsidRPr="00412AF8">
        <w:rPr>
          <w:rFonts w:eastAsiaTheme="minorHAnsi"/>
          <w:lang w:eastAsia="es-MX"/>
        </w:rPr>
        <w:t>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p w14:paraId="5EB16FF9" w14:textId="77777777" w:rsidR="00C81D68" w:rsidRDefault="003A76C9" w:rsidP="00FF3C7E">
      <w:pPr>
        <w:pStyle w:val="Default"/>
        <w:spacing w:before="240"/>
        <w:jc w:val="both"/>
        <w:rPr>
          <w:color w:val="auto"/>
        </w:rPr>
      </w:pPr>
      <w:r w:rsidRPr="00E85310">
        <w:t xml:space="preserve">Con el objetivo de brindar mayores elementos que permitan determinar la precisión de los datos generados por la Encuesta Mensual de Opinión Empresarial, el INEGI publica </w:t>
      </w:r>
      <w:r>
        <w:t xml:space="preserve">en su página </w:t>
      </w:r>
      <w:r w:rsidRPr="00443B05">
        <w:rPr>
          <w:color w:val="auto"/>
        </w:rPr>
        <w:t>los</w:t>
      </w:r>
      <w:r>
        <w:rPr>
          <w:color w:val="auto"/>
        </w:rPr>
        <w:t xml:space="preserve"> </w:t>
      </w:r>
      <w:r w:rsidRPr="0022536A">
        <w:rPr>
          <w:color w:val="auto"/>
        </w:rPr>
        <w:t xml:space="preserve">Indicadores de Precisión Estadística </w:t>
      </w:r>
      <w:r w:rsidRPr="00E85310">
        <w:t xml:space="preserve">del </w:t>
      </w:r>
      <w:r w:rsidRPr="0030319A">
        <w:t>Indicador Agregado de Tendencia</w:t>
      </w:r>
      <w:r w:rsidRPr="00E85310">
        <w:t xml:space="preserve">, los cuales son una medida relativa de su exactitud. </w:t>
      </w:r>
      <w:r>
        <w:t>P</w:t>
      </w:r>
      <w:r w:rsidRPr="00443B05">
        <w:rPr>
          <w:color w:val="auto"/>
        </w:rPr>
        <w:t>ara conocer más al respecto, se sugiere consultar la siguiente liga</w:t>
      </w:r>
      <w:r>
        <w:rPr>
          <w:color w:val="auto"/>
        </w:rPr>
        <w:t>:</w:t>
      </w:r>
    </w:p>
    <w:bookmarkStart w:id="0" w:name="OLE_LINK1"/>
    <w:p w14:paraId="5821829D" w14:textId="77777777" w:rsidR="00671B21" w:rsidRPr="00671B21" w:rsidRDefault="00181AD5" w:rsidP="00FF3C7E">
      <w:pPr>
        <w:pStyle w:val="Default"/>
        <w:spacing w:before="120"/>
      </w:pPr>
      <w:r>
        <w:fldChar w:fldCharType="begin"/>
      </w:r>
      <w:r>
        <w:instrText xml:space="preserve"> HYPERLINK "</w:instrText>
      </w:r>
      <w:r w:rsidRPr="00181AD5">
        <w:instrText>https://www.inegi.org.mx/programas/emoe/2013/</w:instrText>
      </w:r>
      <w:r>
        <w:instrText xml:space="preserve">" </w:instrText>
      </w:r>
      <w:r>
        <w:fldChar w:fldCharType="separate"/>
      </w:r>
      <w:r w:rsidRPr="00517013">
        <w:rPr>
          <w:rStyle w:val="Hipervnculo"/>
        </w:rPr>
        <w:t>https://www.inegi.org.mx/programas/emoe/2013/</w:t>
      </w:r>
      <w:r>
        <w:fldChar w:fldCharType="end"/>
      </w:r>
    </w:p>
    <w:bookmarkEnd w:id="0"/>
    <w:p w14:paraId="189CB51A" w14:textId="77777777" w:rsidR="003A76C9" w:rsidRPr="004653AA" w:rsidRDefault="003A76C9" w:rsidP="00FF3C7E">
      <w:pPr>
        <w:pStyle w:val="Default"/>
        <w:spacing w:before="200" w:after="240"/>
        <w:jc w:val="both"/>
      </w:pPr>
      <w:r w:rsidRPr="004653AA">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w:t>
      </w:r>
      <w:r>
        <w:t xml:space="preserve"> ejemplo</w:t>
      </w:r>
      <w:r w:rsidRPr="004653AA">
        <w:t xml:space="preserve"> la elevada producción de juguetes en los meses previos a la Navidad</w:t>
      </w:r>
      <w:r>
        <w:t>,</w:t>
      </w:r>
      <w:r w:rsidRPr="004653AA">
        <w:t xml:space="preserve"> provocada por la expectativa de mayores ventas en </w:t>
      </w:r>
      <w:r>
        <w:t>diciembre</w:t>
      </w:r>
      <w:r w:rsidRPr="004653AA">
        <w:t xml:space="preserve">. </w:t>
      </w:r>
    </w:p>
    <w:p w14:paraId="4EDC67C8" w14:textId="77777777" w:rsidR="003A76C9" w:rsidRDefault="003A76C9" w:rsidP="00FF3C7E">
      <w:pPr>
        <w:pStyle w:val="Default"/>
        <w:spacing w:before="200" w:after="240"/>
        <w:jc w:val="both"/>
      </w:pPr>
      <w:r w:rsidRPr="004653AA">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w:t>
      </w:r>
      <w:r>
        <w:t xml:space="preserve"> </w:t>
      </w:r>
      <w:r w:rsidRPr="005005CB">
        <w:t xml:space="preserve">los movimientos que pudiera tener la variable en cuestión, en el corto plazo. Las cifras desestacionalizadas también incluyen el ajuste por los efectos calendario (frecuencia de los días de la semana y, en su caso, la </w:t>
      </w:r>
      <w:r>
        <w:t>S</w:t>
      </w:r>
      <w:r w:rsidRPr="005005CB">
        <w:t xml:space="preserve">emana </w:t>
      </w:r>
      <w:r>
        <w:t>S</w:t>
      </w:r>
      <w:r w:rsidRPr="005005CB">
        <w:t>anta</w:t>
      </w:r>
      <w:r>
        <w:t xml:space="preserve"> </w:t>
      </w:r>
      <w:r>
        <w:rPr>
          <w:color w:val="auto"/>
        </w:rPr>
        <w:t>y año bisiesto</w:t>
      </w:r>
      <w:r w:rsidRPr="005005CB">
        <w:t>).</w:t>
      </w:r>
    </w:p>
    <w:p w14:paraId="78864C7A" w14:textId="77777777" w:rsidR="00671B21" w:rsidRDefault="003A76C9" w:rsidP="00FF3C7E">
      <w:pPr>
        <w:autoSpaceDE w:val="0"/>
        <w:autoSpaceDN w:val="0"/>
        <w:adjustRightInd w:val="0"/>
        <w:spacing w:before="20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r w:rsidR="00671B21">
        <w:rPr>
          <w:szCs w:val="20"/>
        </w:rPr>
        <w:t>:</w:t>
      </w:r>
    </w:p>
    <w:p w14:paraId="5330E8F1" w14:textId="77777777" w:rsidR="00671B21" w:rsidRPr="004B613C" w:rsidRDefault="00C52501" w:rsidP="00FF3C7E">
      <w:pPr>
        <w:spacing w:before="120"/>
      </w:pPr>
      <w:hyperlink r:id="rId43" w:history="1">
        <w:r w:rsidR="00D3179D" w:rsidRPr="00CA649A">
          <w:rPr>
            <w:rStyle w:val="Hipervnculo"/>
          </w:rPr>
          <w:t>https://www.inegi.org.mx/app/biblioteca/ficha.html?upc=702825099060</w:t>
        </w:r>
      </w:hyperlink>
    </w:p>
    <w:p w14:paraId="166552E0" w14:textId="77777777" w:rsidR="003A76C9" w:rsidRPr="00A03C2B" w:rsidRDefault="003A76C9" w:rsidP="00FF3C7E">
      <w:pPr>
        <w:pStyle w:val="Default"/>
        <w:spacing w:before="200" w:after="240"/>
        <w:jc w:val="both"/>
      </w:pPr>
      <w:r w:rsidRPr="003658E5">
        <w:rPr>
          <w:noProof/>
        </w:rPr>
        <w:drawing>
          <wp:anchor distT="0" distB="0" distL="114300" distR="114300" simplePos="0" relativeHeight="251659264" behindDoc="1" locked="0" layoutInCell="1" allowOverlap="1" wp14:anchorId="32146622" wp14:editId="539EE79D">
            <wp:simplePos x="0" y="0"/>
            <wp:positionH relativeFrom="column">
              <wp:posOffset>906780</wp:posOffset>
            </wp:positionH>
            <wp:positionV relativeFrom="paragraph">
              <wp:posOffset>496570</wp:posOffset>
            </wp:positionV>
            <wp:extent cx="152400" cy="152400"/>
            <wp:effectExtent l="0" t="0" r="0" b="0"/>
            <wp:wrapTight wrapText="bothSides">
              <wp:wrapPolygon edited="0">
                <wp:start x="0" y="0"/>
                <wp:lineTo x="0" y="18900"/>
                <wp:lineTo x="18900" y="18900"/>
                <wp:lineTo x="18900"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3658E5">
        <w:t xml:space="preserve">Asimismo, las especificaciones de los modelos utilizados para realizar el ajuste estacional están </w:t>
      </w:r>
      <w:r>
        <w:t>d</w:t>
      </w:r>
      <w:r w:rsidRPr="003658E5">
        <w:t>isponibles en el Banco de Información Económica, seleccionando el icono de información</w:t>
      </w:r>
      <w:r w:rsidR="004C0430">
        <w:t xml:space="preserve"> </w:t>
      </w:r>
      <w:r w:rsidRPr="003658E5">
        <w:t>correspondiente a las “series desestacionalizadas y de tendencia-ciclo” de los Indicadores de Opinión Empresarial</w:t>
      </w:r>
      <w:r w:rsidRPr="00EE6290">
        <w:t>.</w:t>
      </w:r>
    </w:p>
    <w:p w14:paraId="48290F60" w14:textId="77777777" w:rsidR="003A76C9" w:rsidRPr="00E85310" w:rsidRDefault="003A76C9" w:rsidP="00FF3C7E">
      <w:pPr>
        <w:pStyle w:val="Default"/>
        <w:spacing w:before="200" w:after="240"/>
        <w:jc w:val="both"/>
      </w:pPr>
      <w:r w:rsidRPr="00E85310">
        <w:lastRenderedPageBreak/>
        <w:t xml:space="preserve">La información contenida en </w:t>
      </w:r>
      <w:r w:rsidRPr="00942AF7">
        <w:t xml:space="preserve">este documento </w:t>
      </w:r>
      <w:r>
        <w:t>se</w:t>
      </w:r>
      <w:r w:rsidRPr="00E85310">
        <w:t xml:space="preserve"> genera</w:t>
      </w:r>
      <w:r>
        <w:t xml:space="preserve"> </w:t>
      </w:r>
      <w:r w:rsidRPr="00E85310">
        <w:t xml:space="preserve">con base en la Encuesta Mensual de Opinión Empresarial y se da a conocer en la fecha establecida en el Calendario de </w:t>
      </w:r>
      <w:r>
        <w:t>d</w:t>
      </w:r>
      <w:r w:rsidRPr="00E85310">
        <w:t xml:space="preserve">ifusión de </w:t>
      </w:r>
      <w:r>
        <w:t>i</w:t>
      </w:r>
      <w:r w:rsidRPr="00E85310">
        <w:t xml:space="preserve">nformación </w:t>
      </w:r>
      <w:r>
        <w:t>estadística y geográfica y de Interés Nacional</w:t>
      </w:r>
      <w:r w:rsidRPr="00E85310">
        <w:t xml:space="preserve">. </w:t>
      </w:r>
    </w:p>
    <w:p w14:paraId="6A3FB1F6" w14:textId="77777777" w:rsidR="00671B21" w:rsidRPr="00443B05" w:rsidRDefault="003A76C9" w:rsidP="00FF3C7E">
      <w:pPr>
        <w:pStyle w:val="texto0"/>
        <w:keepLines w:val="0"/>
        <w:widowControl/>
        <w:autoSpaceDE w:val="0"/>
        <w:autoSpaceDN w:val="0"/>
        <w:adjustRightInd w:val="0"/>
        <w:spacing w:before="200" w:after="240"/>
        <w:rPr>
          <w:rFonts w:cs="Arial"/>
          <w:color w:val="auto"/>
        </w:rPr>
      </w:pPr>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00671B21" w:rsidRPr="00443B05">
        <w:rPr>
          <w:rFonts w:cs="Arial"/>
          <w:color w:val="auto"/>
        </w:rPr>
        <w:t xml:space="preserve">: </w:t>
      </w:r>
    </w:p>
    <w:p w14:paraId="289B0D46" w14:textId="77777777" w:rsidR="00671B21" w:rsidRPr="00412AF8" w:rsidRDefault="00671B21" w:rsidP="00FF3C7E">
      <w:pPr>
        <w:pStyle w:val="Default"/>
        <w:spacing w:before="80"/>
        <w:contextualSpacing/>
        <w:jc w:val="both"/>
        <w:rPr>
          <w:color w:val="auto"/>
        </w:rPr>
      </w:pPr>
      <w:r w:rsidRPr="00412AF8">
        <w:rPr>
          <w:color w:val="auto"/>
        </w:rPr>
        <w:t>Tema:</w:t>
      </w:r>
      <w:r w:rsidR="00836AB9">
        <w:rPr>
          <w:color w:val="auto"/>
        </w:rPr>
        <w:t xml:space="preserve"> </w:t>
      </w:r>
      <w:hyperlink r:id="rId45" w:history="1">
        <w:r w:rsidR="00836AB9" w:rsidRPr="00517013">
          <w:rPr>
            <w:rStyle w:val="Hipervnculo"/>
          </w:rPr>
          <w:t>https://www.inegi.org.mx/temas/expectativas/</w:t>
        </w:r>
      </w:hyperlink>
    </w:p>
    <w:p w14:paraId="5F590747" w14:textId="77777777" w:rsidR="00E13B3E" w:rsidRPr="00671B21" w:rsidRDefault="00671B21" w:rsidP="00E13B3E">
      <w:pPr>
        <w:pStyle w:val="Default"/>
      </w:pPr>
      <w:r w:rsidRPr="00412AF8">
        <w:rPr>
          <w:color w:val="auto"/>
        </w:rPr>
        <w:t>Programa:</w:t>
      </w:r>
      <w:r w:rsidR="00E13B3E" w:rsidRPr="00E13B3E">
        <w:t xml:space="preserve"> </w:t>
      </w:r>
      <w:hyperlink r:id="rId46" w:history="1">
        <w:r w:rsidR="00E13B3E" w:rsidRPr="00517013">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F9370C">
        <w:rPr>
          <w:color w:val="auto"/>
        </w:rPr>
        <w:t xml:space="preserve">Banco de Información Económica: </w:t>
      </w:r>
      <w:r w:rsidR="00D3179D" w:rsidRPr="00D3179D">
        <w:rPr>
          <w:rStyle w:val="Hipervnculo"/>
        </w:rPr>
        <w:t>https:</w:t>
      </w:r>
      <w:r w:rsidR="00D3179D">
        <w:rPr>
          <w:rStyle w:val="Hipervnculo"/>
        </w:rPr>
        <w:t>//</w:t>
      </w:r>
      <w:hyperlink r:id="rId47" w:history="1">
        <w:r w:rsidRPr="00403458">
          <w:rPr>
            <w:rStyle w:val="Hipervnculo"/>
          </w:rPr>
          <w:t>www.inegi.org.mx/sistemas/bie/</w:t>
        </w:r>
      </w:hyperlink>
    </w:p>
    <w:sectPr w:rsidR="00671B21" w:rsidRPr="004B613C" w:rsidSect="00282722">
      <w:headerReference w:type="default" r:id="rId48"/>
      <w:footerReference w:type="default" r:id="rId49"/>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4C3FD" w14:textId="77777777" w:rsidR="007E3BA4" w:rsidRDefault="007E3BA4">
      <w:r>
        <w:separator/>
      </w:r>
    </w:p>
  </w:endnote>
  <w:endnote w:type="continuationSeparator" w:id="0">
    <w:p w14:paraId="7C5FDD47" w14:textId="77777777" w:rsidR="007E3BA4" w:rsidRDefault="007E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C067C" w14:textId="77777777" w:rsidR="00C52501" w:rsidRDefault="00C525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F2A7" w14:textId="77777777" w:rsidR="00493E1C" w:rsidRPr="00854414" w:rsidRDefault="00493E1C" w:rsidP="003903C0">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E4C95" w14:textId="77777777" w:rsidR="00C52501" w:rsidRDefault="00C5250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EC2A9C" w:rsidRDefault="00EC2A9C"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376E9" w14:textId="77777777" w:rsidR="007E3BA4" w:rsidRDefault="007E3BA4">
      <w:r>
        <w:separator/>
      </w:r>
    </w:p>
  </w:footnote>
  <w:footnote w:type="continuationSeparator" w:id="0">
    <w:p w14:paraId="6C80D916" w14:textId="77777777" w:rsidR="007E3BA4" w:rsidRDefault="007E3BA4">
      <w:r>
        <w:continuationSeparator/>
      </w:r>
    </w:p>
  </w:footnote>
  <w:footnote w:id="1">
    <w:p w14:paraId="6B38D01E" w14:textId="77777777" w:rsidR="00493E1C" w:rsidRPr="008558EF" w:rsidRDefault="00493E1C" w:rsidP="00493E1C">
      <w:pPr>
        <w:pStyle w:val="Textonotapie"/>
        <w:ind w:left="140" w:right="-567" w:hanging="140"/>
        <w:rPr>
          <w:sz w:val="14"/>
          <w:szCs w:val="16"/>
          <w:lang w:val="es-MX"/>
        </w:rPr>
      </w:pPr>
      <w:r w:rsidRPr="00C536A7">
        <w:rPr>
          <w:rStyle w:val="Refdenotaalpie"/>
          <w:sz w:val="18"/>
          <w:szCs w:val="18"/>
        </w:rPr>
        <w:footnoteRef/>
      </w:r>
      <w:r>
        <w:rPr>
          <w:sz w:val="16"/>
          <w:szCs w:val="16"/>
        </w:rPr>
        <w:tab/>
      </w:r>
      <w:r w:rsidRPr="008558EF">
        <w:rPr>
          <w:sz w:val="14"/>
          <w:szCs w:val="16"/>
        </w:rPr>
        <w:t>Dado que la serie de datos de los Servicios Privados no Financieros es corta, aún no es posible realizar el ajuste por estacionalidad. En la medida en que se cuente con el número de observaciones adecuado y se detecte un patrón de estacionalidad, esta variable se reportará en dicho formato. Sólo se presentan cifras originales en el apartado correspondiente</w:t>
      </w:r>
      <w:r w:rsidRPr="008558EF">
        <w:rPr>
          <w:color w:val="000000" w:themeColor="text1"/>
          <w:sz w:val="14"/>
          <w:szCs w:val="16"/>
        </w:rPr>
        <w:t>.</w:t>
      </w:r>
    </w:p>
  </w:footnote>
  <w:footnote w:id="2">
    <w:p w14:paraId="7D94F027" w14:textId="77777777" w:rsidR="00493E1C" w:rsidRPr="008558EF" w:rsidRDefault="00493E1C" w:rsidP="00493E1C">
      <w:pPr>
        <w:pStyle w:val="Textonotapie"/>
        <w:ind w:left="140" w:right="-567" w:hanging="140"/>
        <w:rPr>
          <w:sz w:val="14"/>
          <w:szCs w:val="16"/>
          <w:lang w:val="es-MX"/>
        </w:rPr>
      </w:pPr>
      <w:r w:rsidRPr="00C536A7">
        <w:rPr>
          <w:rStyle w:val="Refdenotaalpie"/>
          <w:sz w:val="18"/>
          <w:szCs w:val="18"/>
        </w:rPr>
        <w:footnoteRef/>
      </w:r>
      <w:r>
        <w:rPr>
          <w:sz w:val="16"/>
          <w:szCs w:val="16"/>
        </w:rPr>
        <w:tab/>
      </w:r>
      <w:r w:rsidRPr="008558EF">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8558EF">
        <w:rPr>
          <w:color w:val="000000" w:themeColor="text1"/>
          <w:sz w:val="14"/>
          <w:szCs w:val="16"/>
        </w:rPr>
        <w:t>.</w:t>
      </w:r>
    </w:p>
  </w:footnote>
  <w:footnote w:id="3">
    <w:p w14:paraId="55CDFFAD" w14:textId="77777777" w:rsidR="00493E1C" w:rsidRPr="008558EF" w:rsidRDefault="00493E1C" w:rsidP="00643B28">
      <w:pPr>
        <w:pStyle w:val="Textonotapie"/>
        <w:ind w:left="142" w:right="-425" w:hanging="142"/>
        <w:rPr>
          <w:sz w:val="14"/>
          <w:szCs w:val="14"/>
          <w:lang w:val="es-MX"/>
        </w:rPr>
      </w:pPr>
      <w:r w:rsidRPr="00DC28D5">
        <w:rPr>
          <w:rStyle w:val="Refdenotaalpie"/>
          <w:sz w:val="18"/>
        </w:rPr>
        <w:footnoteRef/>
      </w:r>
      <w:r w:rsidRPr="00E76B32">
        <w:rPr>
          <w:rStyle w:val="Refdenotaalpie"/>
          <w:szCs w:val="18"/>
          <w:vertAlign w:val="baseline"/>
        </w:rPr>
        <w:tab/>
      </w:r>
      <w:r w:rsidRPr="00AC4117">
        <w:rPr>
          <w:sz w:val="14"/>
          <w:szCs w:val="14"/>
        </w:rPr>
        <w:t>En este contexto, la Tasa de No Respuesta en dicho mes registró porcentajes apropiados conforme al diseño estadístico de la EMOE, lo que permitió la generación de estadísticas con niveles altos de cobertura y precisión, salvo los referentes al subsector Minerales no metálicos y metálicas básicas</w:t>
      </w:r>
      <w:r>
        <w:rPr>
          <w:sz w:val="14"/>
          <w:szCs w:val="14"/>
        </w:rPr>
        <w:t>,</w:t>
      </w:r>
      <w:r w:rsidRPr="00AC4117">
        <w:rPr>
          <w:sz w:val="14"/>
          <w:szCs w:val="14"/>
        </w:rPr>
        <w:t xml:space="preserve"> perteneciente a las Industrias Manufactureras, así como los Servicios profesionales, científicos y técnicos de los Servicios Privados No Financieros, en los que se recomienda el uso con reservas de las estimaciones.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75B2" w14:textId="77777777" w:rsidR="00C52501" w:rsidRDefault="00C525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CAFD3" w14:textId="3EC79A87" w:rsidR="00493E1C" w:rsidRPr="00E0416A" w:rsidRDefault="00C52501" w:rsidP="003903C0">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493E1C"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40C176DC" wp14:editId="58F9B6BA">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D68542" w14:textId="77777777" w:rsidR="00493E1C" w:rsidRDefault="00493E1C" w:rsidP="003903C0">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C176DC"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5AD68542" w14:textId="77777777" w:rsidR="00493E1C" w:rsidRDefault="00493E1C" w:rsidP="003903C0">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493E1C">
      <w:rPr>
        <w:b/>
        <w:color w:val="002060"/>
      </w:rPr>
      <w:t>COMUNICADO DE</w:t>
    </w:r>
    <w:r w:rsidR="00493E1C" w:rsidRPr="00E0416A">
      <w:rPr>
        <w:b/>
        <w:color w:val="002060"/>
      </w:rPr>
      <w:t xml:space="preserve"> PRENSA NÚM. </w:t>
    </w:r>
    <w:r>
      <w:rPr>
        <w:b/>
        <w:color w:val="002060"/>
      </w:rPr>
      <w:t>204</w:t>
    </w:r>
    <w:r w:rsidR="00493E1C" w:rsidRPr="00E0416A">
      <w:rPr>
        <w:b/>
        <w:color w:val="002060"/>
      </w:rPr>
      <w:t>/</w:t>
    </w:r>
    <w:r w:rsidR="00493E1C">
      <w:rPr>
        <w:b/>
        <w:color w:val="002060"/>
      </w:rPr>
      <w:t>20</w:t>
    </w:r>
  </w:p>
  <w:p w14:paraId="38B216BB" w14:textId="77777777" w:rsidR="00493E1C" w:rsidRPr="00E0416A" w:rsidRDefault="00493E1C" w:rsidP="003903C0">
    <w:pPr>
      <w:pStyle w:val="Encabezado"/>
      <w:framePr w:w="5383" w:hSpace="141" w:vSpace="141" w:wrap="auto" w:vAnchor="page" w:hAnchor="page" w:x="5890" w:y="331"/>
      <w:ind w:left="567" w:hanging="11"/>
      <w:jc w:val="right"/>
      <w:rPr>
        <w:b/>
        <w:color w:val="002060"/>
        <w:lang w:val="pt-BR"/>
      </w:rPr>
    </w:pPr>
    <w:r>
      <w:rPr>
        <w:b/>
        <w:color w:val="002060"/>
        <w:lang w:val="pt-BR"/>
      </w:rPr>
      <w:t>4 DE MAYO D</w:t>
    </w:r>
    <w:r w:rsidRPr="00E0416A">
      <w:rPr>
        <w:b/>
        <w:color w:val="002060"/>
        <w:lang w:val="pt-BR"/>
      </w:rPr>
      <w:t>E 20</w:t>
    </w:r>
    <w:r>
      <w:rPr>
        <w:b/>
        <w:color w:val="002060"/>
        <w:lang w:val="pt-BR"/>
      </w:rPr>
      <w:t>20</w:t>
    </w:r>
  </w:p>
  <w:p w14:paraId="231EDF0C" w14:textId="77777777" w:rsidR="00493E1C" w:rsidRPr="00ED588B" w:rsidRDefault="00493E1C" w:rsidP="003903C0">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725FA466" w14:textId="77777777" w:rsidR="00493E1C" w:rsidRPr="00E0416A" w:rsidRDefault="00493E1C" w:rsidP="003903C0">
    <w:pPr>
      <w:pStyle w:val="Encabezado"/>
      <w:framePr w:w="5383" w:hSpace="141" w:vSpace="141" w:wrap="auto" w:vAnchor="page" w:hAnchor="page" w:x="5890" w:y="331"/>
      <w:spacing w:after="120"/>
      <w:ind w:left="567" w:hanging="11"/>
      <w:jc w:val="right"/>
      <w:rPr>
        <w:b/>
      </w:rPr>
    </w:pPr>
  </w:p>
  <w:p w14:paraId="5A32E37A" w14:textId="77777777" w:rsidR="00493E1C" w:rsidRPr="00040E4E" w:rsidRDefault="00493E1C" w:rsidP="003903C0">
    <w:pPr>
      <w:pStyle w:val="Encabezado"/>
      <w:framePr w:w="5383" w:hSpace="141" w:vSpace="141" w:wrap="auto" w:vAnchor="page" w:hAnchor="page" w:x="5890" w:y="331"/>
      <w:ind w:left="567" w:hanging="11"/>
      <w:rPr>
        <w:b/>
        <w:lang w:val="pt-BR"/>
      </w:rPr>
    </w:pPr>
  </w:p>
  <w:p w14:paraId="6D4D9410" w14:textId="77777777" w:rsidR="00493E1C" w:rsidRDefault="00493E1C" w:rsidP="003903C0">
    <w:pPr>
      <w:pStyle w:val="Encabezado"/>
      <w:tabs>
        <w:tab w:val="center" w:pos="4164"/>
        <w:tab w:val="center" w:pos="4537"/>
        <w:tab w:val="left" w:pos="7410"/>
      </w:tabs>
      <w:ind w:left="-510"/>
      <w:rPr>
        <w:b/>
        <w:color w:val="000000"/>
        <w:spacing w:val="5"/>
      </w:rPr>
    </w:pPr>
    <w:r>
      <w:rPr>
        <w:noProof/>
      </w:rPr>
      <w:drawing>
        <wp:inline distT="0" distB="0" distL="0" distR="0" wp14:anchorId="7EE3F17B" wp14:editId="09B3FBD1">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B6845" w14:textId="77777777" w:rsidR="00C52501" w:rsidRDefault="00C5250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48621F3E" w:rsidR="00EC2A9C" w:rsidRDefault="00EC2A9C" w:rsidP="00493E1C">
    <w:pPr>
      <w:pStyle w:val="Encabezado"/>
      <w:jc w:val="center"/>
    </w:pPr>
    <w:r>
      <w:rPr>
        <w:noProof/>
        <w:lang w:val="es-MX" w:eastAsia="es-MX"/>
      </w:rPr>
      <w:drawing>
        <wp:inline distT="0" distB="0" distL="0" distR="0" wp14:anchorId="6E594530" wp14:editId="71C0281D">
          <wp:extent cx="928800" cy="964800"/>
          <wp:effectExtent l="0" t="0" r="5080" b="6985"/>
          <wp:docPr id="39" name="Imagen 3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3853F7"/>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3" w15:restartNumberingAfterBreak="0">
    <w:nsid w:val="3AE946F0"/>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C264BA4"/>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680002CC"/>
    <w:multiLevelType w:val="hybridMultilevel"/>
    <w:tmpl w:val="404AA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6"/>
  </w:num>
  <w:num w:numId="5">
    <w:abstractNumId w:val="11"/>
  </w:num>
  <w:num w:numId="6">
    <w:abstractNumId w:val="2"/>
  </w:num>
  <w:num w:numId="7">
    <w:abstractNumId w:val="5"/>
  </w:num>
  <w:num w:numId="8">
    <w:abstractNumId w:val="10"/>
  </w:num>
  <w:num w:numId="9">
    <w:abstractNumId w:val="13"/>
  </w:num>
  <w:num w:numId="10">
    <w:abstractNumId w:val="8"/>
  </w:num>
  <w:num w:numId="11">
    <w:abstractNumId w:val="9"/>
  </w:num>
  <w:num w:numId="12">
    <w:abstractNumId w:val="7"/>
  </w:num>
  <w:num w:numId="13">
    <w:abstractNumId w:val="15"/>
  </w:num>
  <w:num w:numId="14">
    <w:abstractNumId w:val="12"/>
  </w:num>
  <w:num w:numId="15">
    <w:abstractNumId w:val="1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8B1"/>
    <w:rsid w:val="00007A1A"/>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E55"/>
    <w:rsid w:val="0001420C"/>
    <w:rsid w:val="00014343"/>
    <w:rsid w:val="0001447E"/>
    <w:rsid w:val="000144ED"/>
    <w:rsid w:val="00014891"/>
    <w:rsid w:val="00014FBD"/>
    <w:rsid w:val="00015089"/>
    <w:rsid w:val="00015302"/>
    <w:rsid w:val="00015C92"/>
    <w:rsid w:val="00016590"/>
    <w:rsid w:val="00016B4E"/>
    <w:rsid w:val="00016D3A"/>
    <w:rsid w:val="00016EFA"/>
    <w:rsid w:val="0001718D"/>
    <w:rsid w:val="000176AC"/>
    <w:rsid w:val="00021432"/>
    <w:rsid w:val="00021492"/>
    <w:rsid w:val="00021575"/>
    <w:rsid w:val="000216A3"/>
    <w:rsid w:val="00021989"/>
    <w:rsid w:val="000228C4"/>
    <w:rsid w:val="00022CA3"/>
    <w:rsid w:val="00025E01"/>
    <w:rsid w:val="000260EE"/>
    <w:rsid w:val="00026B3C"/>
    <w:rsid w:val="00026B52"/>
    <w:rsid w:val="00030480"/>
    <w:rsid w:val="0003065F"/>
    <w:rsid w:val="00030D10"/>
    <w:rsid w:val="00031231"/>
    <w:rsid w:val="000314D3"/>
    <w:rsid w:val="00031BCF"/>
    <w:rsid w:val="00032B16"/>
    <w:rsid w:val="00033603"/>
    <w:rsid w:val="00033A14"/>
    <w:rsid w:val="0003447A"/>
    <w:rsid w:val="00034AB4"/>
    <w:rsid w:val="00034BC3"/>
    <w:rsid w:val="00034F55"/>
    <w:rsid w:val="000353F3"/>
    <w:rsid w:val="00035600"/>
    <w:rsid w:val="00035B2D"/>
    <w:rsid w:val="00035DA7"/>
    <w:rsid w:val="00036D72"/>
    <w:rsid w:val="00037089"/>
    <w:rsid w:val="00037177"/>
    <w:rsid w:val="00037CC4"/>
    <w:rsid w:val="0004066E"/>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F4"/>
    <w:rsid w:val="000753EC"/>
    <w:rsid w:val="0007567F"/>
    <w:rsid w:val="00075742"/>
    <w:rsid w:val="00075B3A"/>
    <w:rsid w:val="00075DEC"/>
    <w:rsid w:val="000760FF"/>
    <w:rsid w:val="00076234"/>
    <w:rsid w:val="000767F7"/>
    <w:rsid w:val="00076DCB"/>
    <w:rsid w:val="00076EE9"/>
    <w:rsid w:val="00077C46"/>
    <w:rsid w:val="0008027F"/>
    <w:rsid w:val="00080469"/>
    <w:rsid w:val="0008084D"/>
    <w:rsid w:val="000814ED"/>
    <w:rsid w:val="0008175A"/>
    <w:rsid w:val="0008195B"/>
    <w:rsid w:val="000826F7"/>
    <w:rsid w:val="00082F11"/>
    <w:rsid w:val="0008325D"/>
    <w:rsid w:val="000834DD"/>
    <w:rsid w:val="00084572"/>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378"/>
    <w:rsid w:val="00092764"/>
    <w:rsid w:val="0009292F"/>
    <w:rsid w:val="00092F4C"/>
    <w:rsid w:val="00093EC4"/>
    <w:rsid w:val="00094496"/>
    <w:rsid w:val="000950E7"/>
    <w:rsid w:val="00095360"/>
    <w:rsid w:val="000955AA"/>
    <w:rsid w:val="000957BC"/>
    <w:rsid w:val="00096737"/>
    <w:rsid w:val="00097C0A"/>
    <w:rsid w:val="000A0344"/>
    <w:rsid w:val="000A0823"/>
    <w:rsid w:val="000A0EF0"/>
    <w:rsid w:val="000A1817"/>
    <w:rsid w:val="000A21D6"/>
    <w:rsid w:val="000A2874"/>
    <w:rsid w:val="000A2F4F"/>
    <w:rsid w:val="000A312E"/>
    <w:rsid w:val="000A31EF"/>
    <w:rsid w:val="000A3354"/>
    <w:rsid w:val="000A3733"/>
    <w:rsid w:val="000A43B0"/>
    <w:rsid w:val="000A53E6"/>
    <w:rsid w:val="000A574B"/>
    <w:rsid w:val="000A5B04"/>
    <w:rsid w:val="000A5E2A"/>
    <w:rsid w:val="000A643B"/>
    <w:rsid w:val="000A6B8F"/>
    <w:rsid w:val="000A707A"/>
    <w:rsid w:val="000A73DD"/>
    <w:rsid w:val="000A78BA"/>
    <w:rsid w:val="000B0710"/>
    <w:rsid w:val="000B158A"/>
    <w:rsid w:val="000B187F"/>
    <w:rsid w:val="000B1C11"/>
    <w:rsid w:val="000B1D13"/>
    <w:rsid w:val="000B29B8"/>
    <w:rsid w:val="000B2A27"/>
    <w:rsid w:val="000B3877"/>
    <w:rsid w:val="000B4A6A"/>
    <w:rsid w:val="000B50FB"/>
    <w:rsid w:val="000B515D"/>
    <w:rsid w:val="000B5A74"/>
    <w:rsid w:val="000B5DE9"/>
    <w:rsid w:val="000B5FA3"/>
    <w:rsid w:val="000B6AF6"/>
    <w:rsid w:val="000C1051"/>
    <w:rsid w:val="000C1EFB"/>
    <w:rsid w:val="000C1F04"/>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6FA"/>
    <w:rsid w:val="000D0DDA"/>
    <w:rsid w:val="000D0ED5"/>
    <w:rsid w:val="000D113E"/>
    <w:rsid w:val="000D1169"/>
    <w:rsid w:val="000D15C5"/>
    <w:rsid w:val="000D28A5"/>
    <w:rsid w:val="000D31C1"/>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1434"/>
    <w:rsid w:val="000E19B3"/>
    <w:rsid w:val="000E1AE5"/>
    <w:rsid w:val="000E2970"/>
    <w:rsid w:val="000E3CC1"/>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7C1"/>
    <w:rsid w:val="00101CF2"/>
    <w:rsid w:val="00101E92"/>
    <w:rsid w:val="00101F40"/>
    <w:rsid w:val="00102B78"/>
    <w:rsid w:val="00103847"/>
    <w:rsid w:val="00103913"/>
    <w:rsid w:val="0010472B"/>
    <w:rsid w:val="00105234"/>
    <w:rsid w:val="00105E2B"/>
    <w:rsid w:val="0010619C"/>
    <w:rsid w:val="0010664D"/>
    <w:rsid w:val="0010715A"/>
    <w:rsid w:val="00110510"/>
    <w:rsid w:val="0011076D"/>
    <w:rsid w:val="001109B4"/>
    <w:rsid w:val="00110DB1"/>
    <w:rsid w:val="00110DF0"/>
    <w:rsid w:val="001114D0"/>
    <w:rsid w:val="00111703"/>
    <w:rsid w:val="00111AA3"/>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1AF"/>
    <w:rsid w:val="00125654"/>
    <w:rsid w:val="00125AA4"/>
    <w:rsid w:val="00125D0D"/>
    <w:rsid w:val="00125D9D"/>
    <w:rsid w:val="001263E8"/>
    <w:rsid w:val="00126708"/>
    <w:rsid w:val="00127810"/>
    <w:rsid w:val="00127B12"/>
    <w:rsid w:val="001301E6"/>
    <w:rsid w:val="001304F2"/>
    <w:rsid w:val="0013070A"/>
    <w:rsid w:val="00130C4C"/>
    <w:rsid w:val="001313EB"/>
    <w:rsid w:val="0013222E"/>
    <w:rsid w:val="00134904"/>
    <w:rsid w:val="001349AB"/>
    <w:rsid w:val="00134F4E"/>
    <w:rsid w:val="00134FB0"/>
    <w:rsid w:val="0013501C"/>
    <w:rsid w:val="001350AC"/>
    <w:rsid w:val="001352EC"/>
    <w:rsid w:val="00135E0B"/>
    <w:rsid w:val="001361A8"/>
    <w:rsid w:val="001365A5"/>
    <w:rsid w:val="001368CC"/>
    <w:rsid w:val="00136BDD"/>
    <w:rsid w:val="001372CA"/>
    <w:rsid w:val="00137AFD"/>
    <w:rsid w:val="0014012A"/>
    <w:rsid w:val="0014014C"/>
    <w:rsid w:val="0014031D"/>
    <w:rsid w:val="00140AD8"/>
    <w:rsid w:val="00140BE4"/>
    <w:rsid w:val="001411DE"/>
    <w:rsid w:val="00141399"/>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33B2"/>
    <w:rsid w:val="001534CA"/>
    <w:rsid w:val="0015369A"/>
    <w:rsid w:val="00153759"/>
    <w:rsid w:val="0015386A"/>
    <w:rsid w:val="001540F9"/>
    <w:rsid w:val="00154E90"/>
    <w:rsid w:val="001557A9"/>
    <w:rsid w:val="00155878"/>
    <w:rsid w:val="0015599D"/>
    <w:rsid w:val="00155A36"/>
    <w:rsid w:val="001570BA"/>
    <w:rsid w:val="0015755C"/>
    <w:rsid w:val="00157720"/>
    <w:rsid w:val="001600C9"/>
    <w:rsid w:val="00160308"/>
    <w:rsid w:val="0016052B"/>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6F5B"/>
    <w:rsid w:val="00177026"/>
    <w:rsid w:val="00177187"/>
    <w:rsid w:val="001773BC"/>
    <w:rsid w:val="0017743A"/>
    <w:rsid w:val="00177D2D"/>
    <w:rsid w:val="00180887"/>
    <w:rsid w:val="00180A83"/>
    <w:rsid w:val="001813AB"/>
    <w:rsid w:val="001819C6"/>
    <w:rsid w:val="00181AD5"/>
    <w:rsid w:val="00181B78"/>
    <w:rsid w:val="0018211C"/>
    <w:rsid w:val="001821F8"/>
    <w:rsid w:val="00182CBE"/>
    <w:rsid w:val="001831B3"/>
    <w:rsid w:val="001845FA"/>
    <w:rsid w:val="001847F2"/>
    <w:rsid w:val="00184E41"/>
    <w:rsid w:val="0018522B"/>
    <w:rsid w:val="001854A8"/>
    <w:rsid w:val="00185D40"/>
    <w:rsid w:val="00186A0C"/>
    <w:rsid w:val="00186C17"/>
    <w:rsid w:val="001872FE"/>
    <w:rsid w:val="00190180"/>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7334"/>
    <w:rsid w:val="001A016C"/>
    <w:rsid w:val="001A0422"/>
    <w:rsid w:val="001A102F"/>
    <w:rsid w:val="001A19C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47"/>
    <w:rsid w:val="001A76E3"/>
    <w:rsid w:val="001A79AA"/>
    <w:rsid w:val="001A7F95"/>
    <w:rsid w:val="001B07B0"/>
    <w:rsid w:val="001B0992"/>
    <w:rsid w:val="001B0AC4"/>
    <w:rsid w:val="001B1120"/>
    <w:rsid w:val="001B15E2"/>
    <w:rsid w:val="001B163A"/>
    <w:rsid w:val="001B1EDC"/>
    <w:rsid w:val="001B253D"/>
    <w:rsid w:val="001B277C"/>
    <w:rsid w:val="001B2C6A"/>
    <w:rsid w:val="001B2F19"/>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3AD1"/>
    <w:rsid w:val="001D478B"/>
    <w:rsid w:val="001D4970"/>
    <w:rsid w:val="001D5F02"/>
    <w:rsid w:val="001D6028"/>
    <w:rsid w:val="001D6186"/>
    <w:rsid w:val="001D62AF"/>
    <w:rsid w:val="001D637E"/>
    <w:rsid w:val="001D6652"/>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FD"/>
    <w:rsid w:val="001E5310"/>
    <w:rsid w:val="001E5422"/>
    <w:rsid w:val="001E59DC"/>
    <w:rsid w:val="001E5DD7"/>
    <w:rsid w:val="001E5EEE"/>
    <w:rsid w:val="001E7358"/>
    <w:rsid w:val="001E7C72"/>
    <w:rsid w:val="001E7EDD"/>
    <w:rsid w:val="001F02CD"/>
    <w:rsid w:val="001F0B7F"/>
    <w:rsid w:val="001F0CD0"/>
    <w:rsid w:val="001F0F71"/>
    <w:rsid w:val="001F0F9E"/>
    <w:rsid w:val="001F19D1"/>
    <w:rsid w:val="001F1B69"/>
    <w:rsid w:val="001F1D9A"/>
    <w:rsid w:val="001F2740"/>
    <w:rsid w:val="001F2C3A"/>
    <w:rsid w:val="001F3531"/>
    <w:rsid w:val="001F3696"/>
    <w:rsid w:val="001F42FF"/>
    <w:rsid w:val="001F44B4"/>
    <w:rsid w:val="001F44D3"/>
    <w:rsid w:val="001F44FE"/>
    <w:rsid w:val="001F4510"/>
    <w:rsid w:val="001F58D3"/>
    <w:rsid w:val="001F5D36"/>
    <w:rsid w:val="001F65A4"/>
    <w:rsid w:val="001F65E0"/>
    <w:rsid w:val="001F6EE3"/>
    <w:rsid w:val="001F7362"/>
    <w:rsid w:val="001F7AE9"/>
    <w:rsid w:val="001F7CFD"/>
    <w:rsid w:val="002011B4"/>
    <w:rsid w:val="002011D5"/>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381"/>
    <w:rsid w:val="002415DA"/>
    <w:rsid w:val="00241857"/>
    <w:rsid w:val="002425FF"/>
    <w:rsid w:val="0024285E"/>
    <w:rsid w:val="00242F79"/>
    <w:rsid w:val="00242FA8"/>
    <w:rsid w:val="0024310E"/>
    <w:rsid w:val="00243204"/>
    <w:rsid w:val="00243AC5"/>
    <w:rsid w:val="0024405D"/>
    <w:rsid w:val="00244516"/>
    <w:rsid w:val="00244641"/>
    <w:rsid w:val="00244CF8"/>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A38"/>
    <w:rsid w:val="00267F5F"/>
    <w:rsid w:val="00270690"/>
    <w:rsid w:val="00270965"/>
    <w:rsid w:val="00271E5D"/>
    <w:rsid w:val="00272082"/>
    <w:rsid w:val="0027349D"/>
    <w:rsid w:val="00273516"/>
    <w:rsid w:val="00273985"/>
    <w:rsid w:val="00273B82"/>
    <w:rsid w:val="00273E7A"/>
    <w:rsid w:val="00274372"/>
    <w:rsid w:val="0027475A"/>
    <w:rsid w:val="00275C7B"/>
    <w:rsid w:val="00275F56"/>
    <w:rsid w:val="002765B7"/>
    <w:rsid w:val="00276EAA"/>
    <w:rsid w:val="0027733B"/>
    <w:rsid w:val="00277713"/>
    <w:rsid w:val="00277DBC"/>
    <w:rsid w:val="00277F64"/>
    <w:rsid w:val="00280550"/>
    <w:rsid w:val="00280FE3"/>
    <w:rsid w:val="00281063"/>
    <w:rsid w:val="00281676"/>
    <w:rsid w:val="00281807"/>
    <w:rsid w:val="00281E32"/>
    <w:rsid w:val="00282479"/>
    <w:rsid w:val="00282722"/>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90A"/>
    <w:rsid w:val="00291FEE"/>
    <w:rsid w:val="00293271"/>
    <w:rsid w:val="00293587"/>
    <w:rsid w:val="00293896"/>
    <w:rsid w:val="00293ED1"/>
    <w:rsid w:val="002945D9"/>
    <w:rsid w:val="002947DA"/>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B787E"/>
    <w:rsid w:val="002C0144"/>
    <w:rsid w:val="002C02DB"/>
    <w:rsid w:val="002C0CAC"/>
    <w:rsid w:val="002C1F28"/>
    <w:rsid w:val="002C254B"/>
    <w:rsid w:val="002C25DE"/>
    <w:rsid w:val="002C2760"/>
    <w:rsid w:val="002C27E8"/>
    <w:rsid w:val="002C2ACB"/>
    <w:rsid w:val="002C2F60"/>
    <w:rsid w:val="002C41CB"/>
    <w:rsid w:val="002C451A"/>
    <w:rsid w:val="002C5C58"/>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3A7C"/>
    <w:rsid w:val="003045BE"/>
    <w:rsid w:val="00304C19"/>
    <w:rsid w:val="003058C2"/>
    <w:rsid w:val="00305BD4"/>
    <w:rsid w:val="00305F53"/>
    <w:rsid w:val="003060F3"/>
    <w:rsid w:val="0030612A"/>
    <w:rsid w:val="003068EC"/>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341"/>
    <w:rsid w:val="0032345B"/>
    <w:rsid w:val="003235FE"/>
    <w:rsid w:val="00323767"/>
    <w:rsid w:val="00324FF5"/>
    <w:rsid w:val="003256A0"/>
    <w:rsid w:val="00326114"/>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D5D"/>
    <w:rsid w:val="003320F9"/>
    <w:rsid w:val="003327BD"/>
    <w:rsid w:val="00332806"/>
    <w:rsid w:val="00332E79"/>
    <w:rsid w:val="003338EB"/>
    <w:rsid w:val="00334446"/>
    <w:rsid w:val="0033444C"/>
    <w:rsid w:val="00334725"/>
    <w:rsid w:val="00334A38"/>
    <w:rsid w:val="00334AF1"/>
    <w:rsid w:val="003353D5"/>
    <w:rsid w:val="003355C9"/>
    <w:rsid w:val="00335742"/>
    <w:rsid w:val="00335A53"/>
    <w:rsid w:val="00336D88"/>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620C"/>
    <w:rsid w:val="00346579"/>
    <w:rsid w:val="00346C50"/>
    <w:rsid w:val="003474B3"/>
    <w:rsid w:val="00347A1B"/>
    <w:rsid w:val="00347CA3"/>
    <w:rsid w:val="00347F9F"/>
    <w:rsid w:val="003500C9"/>
    <w:rsid w:val="00351032"/>
    <w:rsid w:val="00351286"/>
    <w:rsid w:val="0035149A"/>
    <w:rsid w:val="00351668"/>
    <w:rsid w:val="00351AE5"/>
    <w:rsid w:val="00352775"/>
    <w:rsid w:val="003528A3"/>
    <w:rsid w:val="00352F14"/>
    <w:rsid w:val="003530B3"/>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35B6"/>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475"/>
    <w:rsid w:val="00377A8C"/>
    <w:rsid w:val="00380472"/>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BDA"/>
    <w:rsid w:val="00384D8F"/>
    <w:rsid w:val="00384DCE"/>
    <w:rsid w:val="00384EF8"/>
    <w:rsid w:val="003850A6"/>
    <w:rsid w:val="00385445"/>
    <w:rsid w:val="00386891"/>
    <w:rsid w:val="00386A21"/>
    <w:rsid w:val="0038735C"/>
    <w:rsid w:val="003874B4"/>
    <w:rsid w:val="00387631"/>
    <w:rsid w:val="00387644"/>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E97"/>
    <w:rsid w:val="003A4F9E"/>
    <w:rsid w:val="003A5033"/>
    <w:rsid w:val="003A53AA"/>
    <w:rsid w:val="003A5EEB"/>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DF4"/>
    <w:rsid w:val="003F7022"/>
    <w:rsid w:val="003F7263"/>
    <w:rsid w:val="003F7D77"/>
    <w:rsid w:val="00400A5E"/>
    <w:rsid w:val="00400A9A"/>
    <w:rsid w:val="004012D3"/>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138F"/>
    <w:rsid w:val="004118D5"/>
    <w:rsid w:val="00411AFF"/>
    <w:rsid w:val="00412EF3"/>
    <w:rsid w:val="004133CD"/>
    <w:rsid w:val="00413549"/>
    <w:rsid w:val="00414538"/>
    <w:rsid w:val="0041479C"/>
    <w:rsid w:val="00416787"/>
    <w:rsid w:val="0041749D"/>
    <w:rsid w:val="004203CA"/>
    <w:rsid w:val="004208D7"/>
    <w:rsid w:val="00420CA2"/>
    <w:rsid w:val="00421878"/>
    <w:rsid w:val="004228EE"/>
    <w:rsid w:val="00422BB1"/>
    <w:rsid w:val="00422D87"/>
    <w:rsid w:val="0042325A"/>
    <w:rsid w:val="0042336F"/>
    <w:rsid w:val="004234EF"/>
    <w:rsid w:val="00423A24"/>
    <w:rsid w:val="004242F2"/>
    <w:rsid w:val="004249DB"/>
    <w:rsid w:val="00424C76"/>
    <w:rsid w:val="00424FE3"/>
    <w:rsid w:val="00425554"/>
    <w:rsid w:val="0042556A"/>
    <w:rsid w:val="00425B68"/>
    <w:rsid w:val="00425C9F"/>
    <w:rsid w:val="004263C6"/>
    <w:rsid w:val="004268A5"/>
    <w:rsid w:val="004300E1"/>
    <w:rsid w:val="00430294"/>
    <w:rsid w:val="004309CF"/>
    <w:rsid w:val="00430B44"/>
    <w:rsid w:val="00430F27"/>
    <w:rsid w:val="0043104B"/>
    <w:rsid w:val="0043181D"/>
    <w:rsid w:val="004328E4"/>
    <w:rsid w:val="00432920"/>
    <w:rsid w:val="00432937"/>
    <w:rsid w:val="00433460"/>
    <w:rsid w:val="004335A5"/>
    <w:rsid w:val="00433D87"/>
    <w:rsid w:val="00433ECE"/>
    <w:rsid w:val="0043416C"/>
    <w:rsid w:val="004347A7"/>
    <w:rsid w:val="00434800"/>
    <w:rsid w:val="00434F9C"/>
    <w:rsid w:val="00435F09"/>
    <w:rsid w:val="00435F6F"/>
    <w:rsid w:val="00436548"/>
    <w:rsid w:val="00436C20"/>
    <w:rsid w:val="004373A1"/>
    <w:rsid w:val="00440392"/>
    <w:rsid w:val="00440502"/>
    <w:rsid w:val="00440818"/>
    <w:rsid w:val="004412E5"/>
    <w:rsid w:val="004415FC"/>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BF4"/>
    <w:rsid w:val="00454571"/>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27CF"/>
    <w:rsid w:val="00462977"/>
    <w:rsid w:val="00462DBA"/>
    <w:rsid w:val="004635B7"/>
    <w:rsid w:val="00464027"/>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9A1"/>
    <w:rsid w:val="0047430D"/>
    <w:rsid w:val="00474B14"/>
    <w:rsid w:val="00474C09"/>
    <w:rsid w:val="00474FDF"/>
    <w:rsid w:val="00475688"/>
    <w:rsid w:val="004758F6"/>
    <w:rsid w:val="004759E3"/>
    <w:rsid w:val="00475C51"/>
    <w:rsid w:val="00476161"/>
    <w:rsid w:val="00476658"/>
    <w:rsid w:val="00476E34"/>
    <w:rsid w:val="00476EE1"/>
    <w:rsid w:val="00477163"/>
    <w:rsid w:val="0047740B"/>
    <w:rsid w:val="00477B0E"/>
    <w:rsid w:val="00481688"/>
    <w:rsid w:val="00481E86"/>
    <w:rsid w:val="004820E0"/>
    <w:rsid w:val="004822CA"/>
    <w:rsid w:val="00483F95"/>
    <w:rsid w:val="00484D20"/>
    <w:rsid w:val="00484D3C"/>
    <w:rsid w:val="00484F66"/>
    <w:rsid w:val="004850C1"/>
    <w:rsid w:val="00486F54"/>
    <w:rsid w:val="004871B4"/>
    <w:rsid w:val="004876DD"/>
    <w:rsid w:val="00490DB9"/>
    <w:rsid w:val="0049178A"/>
    <w:rsid w:val="00491C1D"/>
    <w:rsid w:val="00491DF1"/>
    <w:rsid w:val="00491F6B"/>
    <w:rsid w:val="00492535"/>
    <w:rsid w:val="00493435"/>
    <w:rsid w:val="00493E1C"/>
    <w:rsid w:val="004945AC"/>
    <w:rsid w:val="00494B28"/>
    <w:rsid w:val="00494DE1"/>
    <w:rsid w:val="00495FFF"/>
    <w:rsid w:val="004963C2"/>
    <w:rsid w:val="00496A9F"/>
    <w:rsid w:val="00497358"/>
    <w:rsid w:val="00497FA5"/>
    <w:rsid w:val="004A03B3"/>
    <w:rsid w:val="004A04D5"/>
    <w:rsid w:val="004A1B07"/>
    <w:rsid w:val="004A2E04"/>
    <w:rsid w:val="004A310C"/>
    <w:rsid w:val="004A3226"/>
    <w:rsid w:val="004A399F"/>
    <w:rsid w:val="004A3AB0"/>
    <w:rsid w:val="004A4070"/>
    <w:rsid w:val="004A4096"/>
    <w:rsid w:val="004A4692"/>
    <w:rsid w:val="004A61A8"/>
    <w:rsid w:val="004A669F"/>
    <w:rsid w:val="004A6842"/>
    <w:rsid w:val="004A718C"/>
    <w:rsid w:val="004A7BB1"/>
    <w:rsid w:val="004A7DBE"/>
    <w:rsid w:val="004A7F94"/>
    <w:rsid w:val="004B08AC"/>
    <w:rsid w:val="004B0D8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1000"/>
    <w:rsid w:val="004D1D27"/>
    <w:rsid w:val="004D2417"/>
    <w:rsid w:val="004D2EC3"/>
    <w:rsid w:val="004D2FF6"/>
    <w:rsid w:val="004D3FD6"/>
    <w:rsid w:val="004D405F"/>
    <w:rsid w:val="004D55CA"/>
    <w:rsid w:val="004D5A27"/>
    <w:rsid w:val="004D5F0E"/>
    <w:rsid w:val="004D65C9"/>
    <w:rsid w:val="004D6626"/>
    <w:rsid w:val="004D66C4"/>
    <w:rsid w:val="004D6758"/>
    <w:rsid w:val="004D6926"/>
    <w:rsid w:val="004D7B1A"/>
    <w:rsid w:val="004E0830"/>
    <w:rsid w:val="004E0C0B"/>
    <w:rsid w:val="004E169C"/>
    <w:rsid w:val="004E1BF0"/>
    <w:rsid w:val="004E1CFC"/>
    <w:rsid w:val="004E1E6A"/>
    <w:rsid w:val="004E212B"/>
    <w:rsid w:val="004E28E1"/>
    <w:rsid w:val="004E293F"/>
    <w:rsid w:val="004E2B01"/>
    <w:rsid w:val="004E34C7"/>
    <w:rsid w:val="004E356A"/>
    <w:rsid w:val="004E375D"/>
    <w:rsid w:val="004E3850"/>
    <w:rsid w:val="004E3FC1"/>
    <w:rsid w:val="004E58EA"/>
    <w:rsid w:val="004E5F65"/>
    <w:rsid w:val="004E690A"/>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F0F"/>
    <w:rsid w:val="004F7FBC"/>
    <w:rsid w:val="005001AE"/>
    <w:rsid w:val="0050042F"/>
    <w:rsid w:val="005007E7"/>
    <w:rsid w:val="005012FC"/>
    <w:rsid w:val="00501EBE"/>
    <w:rsid w:val="005022A2"/>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662"/>
    <w:rsid w:val="00511E6F"/>
    <w:rsid w:val="00511EBC"/>
    <w:rsid w:val="005125D5"/>
    <w:rsid w:val="00512D51"/>
    <w:rsid w:val="00512E95"/>
    <w:rsid w:val="00514674"/>
    <w:rsid w:val="0051477F"/>
    <w:rsid w:val="00514C46"/>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5121"/>
    <w:rsid w:val="00525789"/>
    <w:rsid w:val="00525890"/>
    <w:rsid w:val="00526452"/>
    <w:rsid w:val="00526816"/>
    <w:rsid w:val="00526BBF"/>
    <w:rsid w:val="00526F09"/>
    <w:rsid w:val="00527F4F"/>
    <w:rsid w:val="00530512"/>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793"/>
    <w:rsid w:val="0053490C"/>
    <w:rsid w:val="00535585"/>
    <w:rsid w:val="00536A58"/>
    <w:rsid w:val="00536AB4"/>
    <w:rsid w:val="00537127"/>
    <w:rsid w:val="0053764B"/>
    <w:rsid w:val="00537DF9"/>
    <w:rsid w:val="0054069F"/>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8EF"/>
    <w:rsid w:val="005510E3"/>
    <w:rsid w:val="0055135B"/>
    <w:rsid w:val="0055173F"/>
    <w:rsid w:val="00551AE8"/>
    <w:rsid w:val="00551D57"/>
    <w:rsid w:val="0055214D"/>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6C28"/>
    <w:rsid w:val="00566EBC"/>
    <w:rsid w:val="00567500"/>
    <w:rsid w:val="0056753D"/>
    <w:rsid w:val="00567811"/>
    <w:rsid w:val="00567CDA"/>
    <w:rsid w:val="00570163"/>
    <w:rsid w:val="005701B3"/>
    <w:rsid w:val="005702BD"/>
    <w:rsid w:val="005704B1"/>
    <w:rsid w:val="00571C79"/>
    <w:rsid w:val="00572749"/>
    <w:rsid w:val="0057371A"/>
    <w:rsid w:val="005739F4"/>
    <w:rsid w:val="00573A7F"/>
    <w:rsid w:val="00573EE1"/>
    <w:rsid w:val="0057406C"/>
    <w:rsid w:val="00575051"/>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C8"/>
    <w:rsid w:val="005922A3"/>
    <w:rsid w:val="0059239E"/>
    <w:rsid w:val="005924DB"/>
    <w:rsid w:val="005929E8"/>
    <w:rsid w:val="00592A2E"/>
    <w:rsid w:val="00592EB3"/>
    <w:rsid w:val="00593155"/>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926"/>
    <w:rsid w:val="005B5A74"/>
    <w:rsid w:val="005B5DBE"/>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101F"/>
    <w:rsid w:val="005D1247"/>
    <w:rsid w:val="005D1D60"/>
    <w:rsid w:val="005D205D"/>
    <w:rsid w:val="005D2112"/>
    <w:rsid w:val="005D2F54"/>
    <w:rsid w:val="005D33D2"/>
    <w:rsid w:val="005D353D"/>
    <w:rsid w:val="005D3FD5"/>
    <w:rsid w:val="005D5402"/>
    <w:rsid w:val="005D593D"/>
    <w:rsid w:val="005D63A5"/>
    <w:rsid w:val="005D661A"/>
    <w:rsid w:val="005D68ED"/>
    <w:rsid w:val="005D69A4"/>
    <w:rsid w:val="005D79B5"/>
    <w:rsid w:val="005D7BDA"/>
    <w:rsid w:val="005E0A1F"/>
    <w:rsid w:val="005E0DEA"/>
    <w:rsid w:val="005E0ECD"/>
    <w:rsid w:val="005E1667"/>
    <w:rsid w:val="005E17B3"/>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73D2"/>
    <w:rsid w:val="005F764A"/>
    <w:rsid w:val="0060008E"/>
    <w:rsid w:val="006005C1"/>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9BC"/>
    <w:rsid w:val="0062205D"/>
    <w:rsid w:val="00622789"/>
    <w:rsid w:val="006233C1"/>
    <w:rsid w:val="00623DDC"/>
    <w:rsid w:val="00624649"/>
    <w:rsid w:val="006249A7"/>
    <w:rsid w:val="006249D1"/>
    <w:rsid w:val="00624D41"/>
    <w:rsid w:val="00624D4F"/>
    <w:rsid w:val="00625713"/>
    <w:rsid w:val="00625722"/>
    <w:rsid w:val="00625B22"/>
    <w:rsid w:val="00625C53"/>
    <w:rsid w:val="00626415"/>
    <w:rsid w:val="0062691F"/>
    <w:rsid w:val="00626BAD"/>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405A2"/>
    <w:rsid w:val="00640699"/>
    <w:rsid w:val="0064096C"/>
    <w:rsid w:val="006417E0"/>
    <w:rsid w:val="006418D2"/>
    <w:rsid w:val="006419D4"/>
    <w:rsid w:val="00641E1E"/>
    <w:rsid w:val="00642453"/>
    <w:rsid w:val="00643B28"/>
    <w:rsid w:val="006443B2"/>
    <w:rsid w:val="0064463A"/>
    <w:rsid w:val="00645210"/>
    <w:rsid w:val="00645933"/>
    <w:rsid w:val="006459B3"/>
    <w:rsid w:val="00645D57"/>
    <w:rsid w:val="00646970"/>
    <w:rsid w:val="00646FDD"/>
    <w:rsid w:val="00647901"/>
    <w:rsid w:val="00647AFA"/>
    <w:rsid w:val="00647C38"/>
    <w:rsid w:val="00647D39"/>
    <w:rsid w:val="006500A2"/>
    <w:rsid w:val="00650213"/>
    <w:rsid w:val="0065058D"/>
    <w:rsid w:val="00650C5E"/>
    <w:rsid w:val="00651147"/>
    <w:rsid w:val="0065131D"/>
    <w:rsid w:val="00651DC1"/>
    <w:rsid w:val="00651FD6"/>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AEA"/>
    <w:rsid w:val="00666CE9"/>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E3"/>
    <w:rsid w:val="00680CC6"/>
    <w:rsid w:val="00681AD0"/>
    <w:rsid w:val="0068241B"/>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5E2"/>
    <w:rsid w:val="006936DB"/>
    <w:rsid w:val="00693801"/>
    <w:rsid w:val="00693E39"/>
    <w:rsid w:val="006944B8"/>
    <w:rsid w:val="00694706"/>
    <w:rsid w:val="00694DF8"/>
    <w:rsid w:val="006956E0"/>
    <w:rsid w:val="00695D95"/>
    <w:rsid w:val="00695DDA"/>
    <w:rsid w:val="00696136"/>
    <w:rsid w:val="00696243"/>
    <w:rsid w:val="006962E6"/>
    <w:rsid w:val="0069657D"/>
    <w:rsid w:val="00696910"/>
    <w:rsid w:val="00696A8E"/>
    <w:rsid w:val="00696FC4"/>
    <w:rsid w:val="0069703E"/>
    <w:rsid w:val="00697208"/>
    <w:rsid w:val="00697A32"/>
    <w:rsid w:val="006A06E3"/>
    <w:rsid w:val="006A0B03"/>
    <w:rsid w:val="006A0ECA"/>
    <w:rsid w:val="006A11F4"/>
    <w:rsid w:val="006A14A8"/>
    <w:rsid w:val="006A182D"/>
    <w:rsid w:val="006A1ADF"/>
    <w:rsid w:val="006A23AC"/>
    <w:rsid w:val="006A2835"/>
    <w:rsid w:val="006A2C82"/>
    <w:rsid w:val="006A3A19"/>
    <w:rsid w:val="006A3B9E"/>
    <w:rsid w:val="006A3D6D"/>
    <w:rsid w:val="006A3D73"/>
    <w:rsid w:val="006A43EA"/>
    <w:rsid w:val="006A471A"/>
    <w:rsid w:val="006A5290"/>
    <w:rsid w:val="006A626F"/>
    <w:rsid w:val="006A6C89"/>
    <w:rsid w:val="006A71B7"/>
    <w:rsid w:val="006A777A"/>
    <w:rsid w:val="006A77B9"/>
    <w:rsid w:val="006A7AE9"/>
    <w:rsid w:val="006A7C9D"/>
    <w:rsid w:val="006B0264"/>
    <w:rsid w:val="006B15BD"/>
    <w:rsid w:val="006B1E59"/>
    <w:rsid w:val="006B2233"/>
    <w:rsid w:val="006B2995"/>
    <w:rsid w:val="006B2F13"/>
    <w:rsid w:val="006B3EFD"/>
    <w:rsid w:val="006B40C8"/>
    <w:rsid w:val="006B472A"/>
    <w:rsid w:val="006B4BD5"/>
    <w:rsid w:val="006B549F"/>
    <w:rsid w:val="006B65CB"/>
    <w:rsid w:val="006B6AFB"/>
    <w:rsid w:val="006B71C4"/>
    <w:rsid w:val="006B765D"/>
    <w:rsid w:val="006C0867"/>
    <w:rsid w:val="006C0FC0"/>
    <w:rsid w:val="006C12F3"/>
    <w:rsid w:val="006C188D"/>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DE0"/>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85"/>
    <w:rsid w:val="006E045E"/>
    <w:rsid w:val="006E09E9"/>
    <w:rsid w:val="006E0B21"/>
    <w:rsid w:val="006E171B"/>
    <w:rsid w:val="006E2A10"/>
    <w:rsid w:val="006E2C6D"/>
    <w:rsid w:val="006E33D2"/>
    <w:rsid w:val="006E374B"/>
    <w:rsid w:val="006E3B50"/>
    <w:rsid w:val="006E44D3"/>
    <w:rsid w:val="006E4705"/>
    <w:rsid w:val="006E470D"/>
    <w:rsid w:val="006E49DF"/>
    <w:rsid w:val="006E4E81"/>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70016D"/>
    <w:rsid w:val="007006DB"/>
    <w:rsid w:val="00700821"/>
    <w:rsid w:val="007010A7"/>
    <w:rsid w:val="007010E4"/>
    <w:rsid w:val="007011D1"/>
    <w:rsid w:val="007011D8"/>
    <w:rsid w:val="0070192F"/>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F03"/>
    <w:rsid w:val="00715C06"/>
    <w:rsid w:val="00716D4E"/>
    <w:rsid w:val="0071717E"/>
    <w:rsid w:val="00717917"/>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D91"/>
    <w:rsid w:val="00727E44"/>
    <w:rsid w:val="00730152"/>
    <w:rsid w:val="007301B7"/>
    <w:rsid w:val="0073071A"/>
    <w:rsid w:val="00730DD2"/>
    <w:rsid w:val="007310E4"/>
    <w:rsid w:val="00731129"/>
    <w:rsid w:val="00731D01"/>
    <w:rsid w:val="0073225F"/>
    <w:rsid w:val="00732732"/>
    <w:rsid w:val="00733974"/>
    <w:rsid w:val="0073397C"/>
    <w:rsid w:val="00734051"/>
    <w:rsid w:val="0073458B"/>
    <w:rsid w:val="00734B84"/>
    <w:rsid w:val="00735EBF"/>
    <w:rsid w:val="007365ED"/>
    <w:rsid w:val="00736927"/>
    <w:rsid w:val="00737A4B"/>
    <w:rsid w:val="00740008"/>
    <w:rsid w:val="00741212"/>
    <w:rsid w:val="00741355"/>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5106"/>
    <w:rsid w:val="007659B6"/>
    <w:rsid w:val="00765B94"/>
    <w:rsid w:val="0076618D"/>
    <w:rsid w:val="007664EA"/>
    <w:rsid w:val="00766771"/>
    <w:rsid w:val="007667C4"/>
    <w:rsid w:val="007670FC"/>
    <w:rsid w:val="00767282"/>
    <w:rsid w:val="00767731"/>
    <w:rsid w:val="007678B9"/>
    <w:rsid w:val="00767DDD"/>
    <w:rsid w:val="00767F7F"/>
    <w:rsid w:val="007703EA"/>
    <w:rsid w:val="00770454"/>
    <w:rsid w:val="00770C49"/>
    <w:rsid w:val="00770FE2"/>
    <w:rsid w:val="0077130E"/>
    <w:rsid w:val="007713D7"/>
    <w:rsid w:val="00771BF6"/>
    <w:rsid w:val="007723AD"/>
    <w:rsid w:val="0077249A"/>
    <w:rsid w:val="0077262C"/>
    <w:rsid w:val="00772A29"/>
    <w:rsid w:val="00773B3E"/>
    <w:rsid w:val="00773E65"/>
    <w:rsid w:val="007741B0"/>
    <w:rsid w:val="007745D3"/>
    <w:rsid w:val="007746DC"/>
    <w:rsid w:val="0077558B"/>
    <w:rsid w:val="007756E4"/>
    <w:rsid w:val="00775C2C"/>
    <w:rsid w:val="00775DE7"/>
    <w:rsid w:val="00775F42"/>
    <w:rsid w:val="00776053"/>
    <w:rsid w:val="00776874"/>
    <w:rsid w:val="00776BDA"/>
    <w:rsid w:val="0077726C"/>
    <w:rsid w:val="00777AAB"/>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D24"/>
    <w:rsid w:val="007A3F28"/>
    <w:rsid w:val="007A4860"/>
    <w:rsid w:val="007A4CAF"/>
    <w:rsid w:val="007A4F7B"/>
    <w:rsid w:val="007A4F8C"/>
    <w:rsid w:val="007A5899"/>
    <w:rsid w:val="007A61E4"/>
    <w:rsid w:val="007A704A"/>
    <w:rsid w:val="007A7242"/>
    <w:rsid w:val="007A7E94"/>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69E8"/>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7FF"/>
    <w:rsid w:val="007C2FFF"/>
    <w:rsid w:val="007C44DC"/>
    <w:rsid w:val="007C4545"/>
    <w:rsid w:val="007C45F7"/>
    <w:rsid w:val="007C46D1"/>
    <w:rsid w:val="007C47C2"/>
    <w:rsid w:val="007C4822"/>
    <w:rsid w:val="007C4DEF"/>
    <w:rsid w:val="007C5468"/>
    <w:rsid w:val="007C55F1"/>
    <w:rsid w:val="007C58AB"/>
    <w:rsid w:val="007C5AD1"/>
    <w:rsid w:val="007C614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43D"/>
    <w:rsid w:val="007D2273"/>
    <w:rsid w:val="007D25B9"/>
    <w:rsid w:val="007D2789"/>
    <w:rsid w:val="007D2BE8"/>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BDD"/>
    <w:rsid w:val="007E3BA4"/>
    <w:rsid w:val="007E3C5C"/>
    <w:rsid w:val="007E45CA"/>
    <w:rsid w:val="007E48C0"/>
    <w:rsid w:val="007E523C"/>
    <w:rsid w:val="007E5490"/>
    <w:rsid w:val="007E5885"/>
    <w:rsid w:val="007E61B7"/>
    <w:rsid w:val="007E64FF"/>
    <w:rsid w:val="007E6F62"/>
    <w:rsid w:val="007E6FEA"/>
    <w:rsid w:val="007E7C7B"/>
    <w:rsid w:val="007E7E0F"/>
    <w:rsid w:val="007E7F8F"/>
    <w:rsid w:val="007F015E"/>
    <w:rsid w:val="007F026C"/>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8E3"/>
    <w:rsid w:val="008038F6"/>
    <w:rsid w:val="00804558"/>
    <w:rsid w:val="008047AE"/>
    <w:rsid w:val="00804B21"/>
    <w:rsid w:val="00805483"/>
    <w:rsid w:val="008054FA"/>
    <w:rsid w:val="0080585D"/>
    <w:rsid w:val="00806273"/>
    <w:rsid w:val="0080661F"/>
    <w:rsid w:val="00806EFD"/>
    <w:rsid w:val="00807074"/>
    <w:rsid w:val="008076BD"/>
    <w:rsid w:val="00807E43"/>
    <w:rsid w:val="00807F69"/>
    <w:rsid w:val="00810368"/>
    <w:rsid w:val="00810438"/>
    <w:rsid w:val="008108B5"/>
    <w:rsid w:val="00810BE7"/>
    <w:rsid w:val="00811336"/>
    <w:rsid w:val="0081165D"/>
    <w:rsid w:val="00811B28"/>
    <w:rsid w:val="00811BE4"/>
    <w:rsid w:val="00812862"/>
    <w:rsid w:val="00812A7A"/>
    <w:rsid w:val="00812DAD"/>
    <w:rsid w:val="00812F1D"/>
    <w:rsid w:val="00812FC3"/>
    <w:rsid w:val="0081301B"/>
    <w:rsid w:val="0081362B"/>
    <w:rsid w:val="00813887"/>
    <w:rsid w:val="0081450B"/>
    <w:rsid w:val="0081467F"/>
    <w:rsid w:val="00815339"/>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6A2"/>
    <w:rsid w:val="008267AE"/>
    <w:rsid w:val="00826BB3"/>
    <w:rsid w:val="0082723C"/>
    <w:rsid w:val="00830B33"/>
    <w:rsid w:val="0083118A"/>
    <w:rsid w:val="00831784"/>
    <w:rsid w:val="00831F36"/>
    <w:rsid w:val="00832727"/>
    <w:rsid w:val="008337C1"/>
    <w:rsid w:val="00834120"/>
    <w:rsid w:val="00834F23"/>
    <w:rsid w:val="008353B6"/>
    <w:rsid w:val="00835ACD"/>
    <w:rsid w:val="00836A67"/>
    <w:rsid w:val="00836AB9"/>
    <w:rsid w:val="00836CEB"/>
    <w:rsid w:val="00837406"/>
    <w:rsid w:val="008402D7"/>
    <w:rsid w:val="00840C2E"/>
    <w:rsid w:val="00840D75"/>
    <w:rsid w:val="00840EAF"/>
    <w:rsid w:val="008416BF"/>
    <w:rsid w:val="008416FD"/>
    <w:rsid w:val="0084188F"/>
    <w:rsid w:val="00841FA7"/>
    <w:rsid w:val="00842659"/>
    <w:rsid w:val="0084293A"/>
    <w:rsid w:val="00843073"/>
    <w:rsid w:val="0084354C"/>
    <w:rsid w:val="0084375D"/>
    <w:rsid w:val="0084416F"/>
    <w:rsid w:val="00844462"/>
    <w:rsid w:val="008449FE"/>
    <w:rsid w:val="00844B91"/>
    <w:rsid w:val="00845515"/>
    <w:rsid w:val="00845520"/>
    <w:rsid w:val="00845FC4"/>
    <w:rsid w:val="008461B0"/>
    <w:rsid w:val="00846C9F"/>
    <w:rsid w:val="00846D16"/>
    <w:rsid w:val="00846F4C"/>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39"/>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77F30"/>
    <w:rsid w:val="008804EB"/>
    <w:rsid w:val="008808B9"/>
    <w:rsid w:val="00880B30"/>
    <w:rsid w:val="00880F1D"/>
    <w:rsid w:val="0088172A"/>
    <w:rsid w:val="00881F90"/>
    <w:rsid w:val="008828C8"/>
    <w:rsid w:val="00883F5E"/>
    <w:rsid w:val="00884033"/>
    <w:rsid w:val="008844D1"/>
    <w:rsid w:val="00884EFA"/>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4F23"/>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505"/>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4C4"/>
    <w:rsid w:val="008D1964"/>
    <w:rsid w:val="008D221A"/>
    <w:rsid w:val="008D24D6"/>
    <w:rsid w:val="008D24E1"/>
    <w:rsid w:val="008D3E6A"/>
    <w:rsid w:val="008D4FE7"/>
    <w:rsid w:val="008D53E2"/>
    <w:rsid w:val="008D558E"/>
    <w:rsid w:val="008D5908"/>
    <w:rsid w:val="008D5AF1"/>
    <w:rsid w:val="008D6A6E"/>
    <w:rsid w:val="008D781F"/>
    <w:rsid w:val="008D7DBE"/>
    <w:rsid w:val="008E02B7"/>
    <w:rsid w:val="008E20BE"/>
    <w:rsid w:val="008E241B"/>
    <w:rsid w:val="008E3096"/>
    <w:rsid w:val="008E330C"/>
    <w:rsid w:val="008E332F"/>
    <w:rsid w:val="008E4114"/>
    <w:rsid w:val="008E4238"/>
    <w:rsid w:val="008E45EA"/>
    <w:rsid w:val="008E4A1A"/>
    <w:rsid w:val="008E5E01"/>
    <w:rsid w:val="008E69A3"/>
    <w:rsid w:val="008E706B"/>
    <w:rsid w:val="008E7CC9"/>
    <w:rsid w:val="008F02A1"/>
    <w:rsid w:val="008F0E69"/>
    <w:rsid w:val="008F12FF"/>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883"/>
    <w:rsid w:val="00904B0A"/>
    <w:rsid w:val="00904F84"/>
    <w:rsid w:val="00905573"/>
    <w:rsid w:val="009055DD"/>
    <w:rsid w:val="0090616A"/>
    <w:rsid w:val="00906527"/>
    <w:rsid w:val="00906BD9"/>
    <w:rsid w:val="00906D18"/>
    <w:rsid w:val="00906EA0"/>
    <w:rsid w:val="00906F7E"/>
    <w:rsid w:val="00907F4C"/>
    <w:rsid w:val="0091006A"/>
    <w:rsid w:val="00910161"/>
    <w:rsid w:val="00910B57"/>
    <w:rsid w:val="0091148A"/>
    <w:rsid w:val="00911BEB"/>
    <w:rsid w:val="00912347"/>
    <w:rsid w:val="0091268D"/>
    <w:rsid w:val="009129C1"/>
    <w:rsid w:val="00913B74"/>
    <w:rsid w:val="00913EBB"/>
    <w:rsid w:val="009141BB"/>
    <w:rsid w:val="009146A7"/>
    <w:rsid w:val="00914B55"/>
    <w:rsid w:val="00914DC4"/>
    <w:rsid w:val="00915329"/>
    <w:rsid w:val="0091588C"/>
    <w:rsid w:val="00915DB5"/>
    <w:rsid w:val="00915DF4"/>
    <w:rsid w:val="00915E07"/>
    <w:rsid w:val="00916068"/>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2D"/>
    <w:rsid w:val="009361E8"/>
    <w:rsid w:val="00936247"/>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68C"/>
    <w:rsid w:val="00943893"/>
    <w:rsid w:val="00944312"/>
    <w:rsid w:val="009443DC"/>
    <w:rsid w:val="00944AE2"/>
    <w:rsid w:val="0094526B"/>
    <w:rsid w:val="009456EB"/>
    <w:rsid w:val="00945E7E"/>
    <w:rsid w:val="00945E8F"/>
    <w:rsid w:val="009463FD"/>
    <w:rsid w:val="009467FD"/>
    <w:rsid w:val="00946C6B"/>
    <w:rsid w:val="00946D2E"/>
    <w:rsid w:val="00946E64"/>
    <w:rsid w:val="009472F6"/>
    <w:rsid w:val="0094783F"/>
    <w:rsid w:val="00950B18"/>
    <w:rsid w:val="00950C55"/>
    <w:rsid w:val="00950CB3"/>
    <w:rsid w:val="009519F4"/>
    <w:rsid w:val="0095267E"/>
    <w:rsid w:val="00952EBB"/>
    <w:rsid w:val="00952F24"/>
    <w:rsid w:val="0095370E"/>
    <w:rsid w:val="009538B7"/>
    <w:rsid w:val="00953B5D"/>
    <w:rsid w:val="00953D3D"/>
    <w:rsid w:val="00953F68"/>
    <w:rsid w:val="009543D8"/>
    <w:rsid w:val="009545D6"/>
    <w:rsid w:val="00954F67"/>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D17"/>
    <w:rsid w:val="00963D17"/>
    <w:rsid w:val="00963D45"/>
    <w:rsid w:val="009640B5"/>
    <w:rsid w:val="00964414"/>
    <w:rsid w:val="00964459"/>
    <w:rsid w:val="009657D5"/>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4A1E"/>
    <w:rsid w:val="00974D8B"/>
    <w:rsid w:val="0097559A"/>
    <w:rsid w:val="00975D48"/>
    <w:rsid w:val="00976546"/>
    <w:rsid w:val="00976FCF"/>
    <w:rsid w:val="00980BAC"/>
    <w:rsid w:val="00980F3F"/>
    <w:rsid w:val="00981453"/>
    <w:rsid w:val="00981D1C"/>
    <w:rsid w:val="00982214"/>
    <w:rsid w:val="009823D4"/>
    <w:rsid w:val="00982474"/>
    <w:rsid w:val="00982FA3"/>
    <w:rsid w:val="009830D6"/>
    <w:rsid w:val="00983285"/>
    <w:rsid w:val="00984672"/>
    <w:rsid w:val="00984F97"/>
    <w:rsid w:val="009853FD"/>
    <w:rsid w:val="0098569D"/>
    <w:rsid w:val="00985A09"/>
    <w:rsid w:val="00986277"/>
    <w:rsid w:val="009866A3"/>
    <w:rsid w:val="0098693D"/>
    <w:rsid w:val="00986B38"/>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25A"/>
    <w:rsid w:val="009C1910"/>
    <w:rsid w:val="009C1EB2"/>
    <w:rsid w:val="009C2675"/>
    <w:rsid w:val="009C2839"/>
    <w:rsid w:val="009C2DC4"/>
    <w:rsid w:val="009C3042"/>
    <w:rsid w:val="009C3413"/>
    <w:rsid w:val="009C386A"/>
    <w:rsid w:val="009C3E9C"/>
    <w:rsid w:val="009C3FF5"/>
    <w:rsid w:val="009C4A32"/>
    <w:rsid w:val="009C4C14"/>
    <w:rsid w:val="009C63AB"/>
    <w:rsid w:val="009C69D0"/>
    <w:rsid w:val="009C69F4"/>
    <w:rsid w:val="009C7163"/>
    <w:rsid w:val="009C77A3"/>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A7"/>
    <w:rsid w:val="009D6CE1"/>
    <w:rsid w:val="009E14B2"/>
    <w:rsid w:val="009E1D15"/>
    <w:rsid w:val="009E1DFA"/>
    <w:rsid w:val="009E23ED"/>
    <w:rsid w:val="009E26BC"/>
    <w:rsid w:val="009E322C"/>
    <w:rsid w:val="009E3352"/>
    <w:rsid w:val="009E3479"/>
    <w:rsid w:val="009E387D"/>
    <w:rsid w:val="009E453D"/>
    <w:rsid w:val="009E4D10"/>
    <w:rsid w:val="009E5013"/>
    <w:rsid w:val="009E56B0"/>
    <w:rsid w:val="009E5917"/>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408F"/>
    <w:rsid w:val="00A04E68"/>
    <w:rsid w:val="00A05975"/>
    <w:rsid w:val="00A05EAA"/>
    <w:rsid w:val="00A0608D"/>
    <w:rsid w:val="00A060BE"/>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3E3A"/>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D1"/>
    <w:rsid w:val="00A2784C"/>
    <w:rsid w:val="00A27B57"/>
    <w:rsid w:val="00A30748"/>
    <w:rsid w:val="00A313B3"/>
    <w:rsid w:val="00A314DC"/>
    <w:rsid w:val="00A31D00"/>
    <w:rsid w:val="00A32051"/>
    <w:rsid w:val="00A32AE0"/>
    <w:rsid w:val="00A32B77"/>
    <w:rsid w:val="00A32BB4"/>
    <w:rsid w:val="00A33CCF"/>
    <w:rsid w:val="00A3413C"/>
    <w:rsid w:val="00A345F4"/>
    <w:rsid w:val="00A34CF8"/>
    <w:rsid w:val="00A356E2"/>
    <w:rsid w:val="00A35D65"/>
    <w:rsid w:val="00A36CF6"/>
    <w:rsid w:val="00A36EC5"/>
    <w:rsid w:val="00A37EDA"/>
    <w:rsid w:val="00A4035D"/>
    <w:rsid w:val="00A40CEE"/>
    <w:rsid w:val="00A413A3"/>
    <w:rsid w:val="00A43270"/>
    <w:rsid w:val="00A443EC"/>
    <w:rsid w:val="00A4539E"/>
    <w:rsid w:val="00A46080"/>
    <w:rsid w:val="00A461CB"/>
    <w:rsid w:val="00A46776"/>
    <w:rsid w:val="00A46C32"/>
    <w:rsid w:val="00A46C6C"/>
    <w:rsid w:val="00A46EB1"/>
    <w:rsid w:val="00A47A54"/>
    <w:rsid w:val="00A47C59"/>
    <w:rsid w:val="00A50FEC"/>
    <w:rsid w:val="00A51FC3"/>
    <w:rsid w:val="00A532FC"/>
    <w:rsid w:val="00A53624"/>
    <w:rsid w:val="00A54F72"/>
    <w:rsid w:val="00A565B6"/>
    <w:rsid w:val="00A567E2"/>
    <w:rsid w:val="00A56806"/>
    <w:rsid w:val="00A57D66"/>
    <w:rsid w:val="00A57F15"/>
    <w:rsid w:val="00A60066"/>
    <w:rsid w:val="00A60179"/>
    <w:rsid w:val="00A60B80"/>
    <w:rsid w:val="00A61782"/>
    <w:rsid w:val="00A61FDA"/>
    <w:rsid w:val="00A63850"/>
    <w:rsid w:val="00A64787"/>
    <w:rsid w:val="00A648E9"/>
    <w:rsid w:val="00A6587D"/>
    <w:rsid w:val="00A658FC"/>
    <w:rsid w:val="00A6654A"/>
    <w:rsid w:val="00A66C0D"/>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226A"/>
    <w:rsid w:val="00A82941"/>
    <w:rsid w:val="00A82E1B"/>
    <w:rsid w:val="00A834D6"/>
    <w:rsid w:val="00A83DBC"/>
    <w:rsid w:val="00A84746"/>
    <w:rsid w:val="00A847AE"/>
    <w:rsid w:val="00A84AD5"/>
    <w:rsid w:val="00A84D2C"/>
    <w:rsid w:val="00A85084"/>
    <w:rsid w:val="00A855FE"/>
    <w:rsid w:val="00A85836"/>
    <w:rsid w:val="00A85E79"/>
    <w:rsid w:val="00A85F29"/>
    <w:rsid w:val="00A8613B"/>
    <w:rsid w:val="00A86203"/>
    <w:rsid w:val="00A86229"/>
    <w:rsid w:val="00A86D62"/>
    <w:rsid w:val="00A87982"/>
    <w:rsid w:val="00A87C2F"/>
    <w:rsid w:val="00A904F2"/>
    <w:rsid w:val="00A90A9D"/>
    <w:rsid w:val="00A9108C"/>
    <w:rsid w:val="00A911A0"/>
    <w:rsid w:val="00A91363"/>
    <w:rsid w:val="00A91450"/>
    <w:rsid w:val="00A91B63"/>
    <w:rsid w:val="00A920B1"/>
    <w:rsid w:val="00A92564"/>
    <w:rsid w:val="00A92DB9"/>
    <w:rsid w:val="00A93738"/>
    <w:rsid w:val="00A94084"/>
    <w:rsid w:val="00A9446E"/>
    <w:rsid w:val="00A94935"/>
    <w:rsid w:val="00A96852"/>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0F4"/>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92"/>
    <w:rsid w:val="00AC4E28"/>
    <w:rsid w:val="00AC4E71"/>
    <w:rsid w:val="00AC4F7E"/>
    <w:rsid w:val="00AC5700"/>
    <w:rsid w:val="00AC5A64"/>
    <w:rsid w:val="00AC6614"/>
    <w:rsid w:val="00AC7042"/>
    <w:rsid w:val="00AC752F"/>
    <w:rsid w:val="00AC7B8D"/>
    <w:rsid w:val="00AC7E49"/>
    <w:rsid w:val="00AD07AB"/>
    <w:rsid w:val="00AD099F"/>
    <w:rsid w:val="00AD09E1"/>
    <w:rsid w:val="00AD1C10"/>
    <w:rsid w:val="00AD2E7B"/>
    <w:rsid w:val="00AD2F8F"/>
    <w:rsid w:val="00AD3685"/>
    <w:rsid w:val="00AD3F4F"/>
    <w:rsid w:val="00AD403C"/>
    <w:rsid w:val="00AD4153"/>
    <w:rsid w:val="00AD4838"/>
    <w:rsid w:val="00AD49E6"/>
    <w:rsid w:val="00AD5420"/>
    <w:rsid w:val="00AD56CF"/>
    <w:rsid w:val="00AD5DDB"/>
    <w:rsid w:val="00AD5E3E"/>
    <w:rsid w:val="00AD60B8"/>
    <w:rsid w:val="00AD60EF"/>
    <w:rsid w:val="00AD612C"/>
    <w:rsid w:val="00AD734C"/>
    <w:rsid w:val="00AD7922"/>
    <w:rsid w:val="00AE0413"/>
    <w:rsid w:val="00AE05BF"/>
    <w:rsid w:val="00AE0D8D"/>
    <w:rsid w:val="00AE23C8"/>
    <w:rsid w:val="00AE2653"/>
    <w:rsid w:val="00AE265A"/>
    <w:rsid w:val="00AE268D"/>
    <w:rsid w:val="00AE308D"/>
    <w:rsid w:val="00AE36D1"/>
    <w:rsid w:val="00AE3DDB"/>
    <w:rsid w:val="00AE4746"/>
    <w:rsid w:val="00AE4A64"/>
    <w:rsid w:val="00AE5771"/>
    <w:rsid w:val="00AE59FC"/>
    <w:rsid w:val="00AE684A"/>
    <w:rsid w:val="00AE6AAF"/>
    <w:rsid w:val="00AE6E97"/>
    <w:rsid w:val="00AE758E"/>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CC5"/>
    <w:rsid w:val="00AF4EB2"/>
    <w:rsid w:val="00AF5319"/>
    <w:rsid w:val="00AF5D76"/>
    <w:rsid w:val="00AF5FBB"/>
    <w:rsid w:val="00AF608B"/>
    <w:rsid w:val="00AF6A53"/>
    <w:rsid w:val="00AF6A59"/>
    <w:rsid w:val="00AF7968"/>
    <w:rsid w:val="00AF7BDD"/>
    <w:rsid w:val="00B00F8C"/>
    <w:rsid w:val="00B00FEC"/>
    <w:rsid w:val="00B02145"/>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636"/>
    <w:rsid w:val="00B15774"/>
    <w:rsid w:val="00B15DB9"/>
    <w:rsid w:val="00B171D5"/>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5F0"/>
    <w:rsid w:val="00B3578C"/>
    <w:rsid w:val="00B36D9E"/>
    <w:rsid w:val="00B37034"/>
    <w:rsid w:val="00B37311"/>
    <w:rsid w:val="00B373FB"/>
    <w:rsid w:val="00B376E9"/>
    <w:rsid w:val="00B37975"/>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775"/>
    <w:rsid w:val="00B640CF"/>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7DF"/>
    <w:rsid w:val="00B72CF9"/>
    <w:rsid w:val="00B72EE9"/>
    <w:rsid w:val="00B73637"/>
    <w:rsid w:val="00B73C64"/>
    <w:rsid w:val="00B73D34"/>
    <w:rsid w:val="00B742C1"/>
    <w:rsid w:val="00B74720"/>
    <w:rsid w:val="00B74C99"/>
    <w:rsid w:val="00B74CF1"/>
    <w:rsid w:val="00B75032"/>
    <w:rsid w:val="00B750D5"/>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EBC"/>
    <w:rsid w:val="00B87FF0"/>
    <w:rsid w:val="00B90825"/>
    <w:rsid w:val="00B9084F"/>
    <w:rsid w:val="00B90862"/>
    <w:rsid w:val="00B90DD5"/>
    <w:rsid w:val="00B90E0D"/>
    <w:rsid w:val="00B912EC"/>
    <w:rsid w:val="00B91371"/>
    <w:rsid w:val="00B91777"/>
    <w:rsid w:val="00B917AC"/>
    <w:rsid w:val="00B91F77"/>
    <w:rsid w:val="00B926AC"/>
    <w:rsid w:val="00B92E6B"/>
    <w:rsid w:val="00B93043"/>
    <w:rsid w:val="00B93431"/>
    <w:rsid w:val="00B93500"/>
    <w:rsid w:val="00B93D97"/>
    <w:rsid w:val="00B94392"/>
    <w:rsid w:val="00B955F5"/>
    <w:rsid w:val="00B95663"/>
    <w:rsid w:val="00B95A36"/>
    <w:rsid w:val="00B95B06"/>
    <w:rsid w:val="00B95CCC"/>
    <w:rsid w:val="00B95F44"/>
    <w:rsid w:val="00B96D3C"/>
    <w:rsid w:val="00B97577"/>
    <w:rsid w:val="00BA0FE9"/>
    <w:rsid w:val="00BA139F"/>
    <w:rsid w:val="00BA1A0B"/>
    <w:rsid w:val="00BA1AA2"/>
    <w:rsid w:val="00BA1E85"/>
    <w:rsid w:val="00BA29AD"/>
    <w:rsid w:val="00BA34EB"/>
    <w:rsid w:val="00BA359B"/>
    <w:rsid w:val="00BA3A93"/>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6308"/>
    <w:rsid w:val="00BC63FE"/>
    <w:rsid w:val="00BC666D"/>
    <w:rsid w:val="00BC67A4"/>
    <w:rsid w:val="00BC6B4D"/>
    <w:rsid w:val="00BC6C4F"/>
    <w:rsid w:val="00BC76AA"/>
    <w:rsid w:val="00BD1290"/>
    <w:rsid w:val="00BD1CFB"/>
    <w:rsid w:val="00BD2B8F"/>
    <w:rsid w:val="00BD2CDD"/>
    <w:rsid w:val="00BD35B9"/>
    <w:rsid w:val="00BD368A"/>
    <w:rsid w:val="00BD36EC"/>
    <w:rsid w:val="00BD4A52"/>
    <w:rsid w:val="00BD51CA"/>
    <w:rsid w:val="00BD592C"/>
    <w:rsid w:val="00BD5CD2"/>
    <w:rsid w:val="00BD771B"/>
    <w:rsid w:val="00BD77B5"/>
    <w:rsid w:val="00BD77DE"/>
    <w:rsid w:val="00BD79C2"/>
    <w:rsid w:val="00BE0DB7"/>
    <w:rsid w:val="00BE1196"/>
    <w:rsid w:val="00BE175B"/>
    <w:rsid w:val="00BE1F2E"/>
    <w:rsid w:val="00BE1FA7"/>
    <w:rsid w:val="00BE2AD7"/>
    <w:rsid w:val="00BE2BAA"/>
    <w:rsid w:val="00BE4CF8"/>
    <w:rsid w:val="00BE4F8D"/>
    <w:rsid w:val="00BE590A"/>
    <w:rsid w:val="00BE770F"/>
    <w:rsid w:val="00BE778C"/>
    <w:rsid w:val="00BF01D4"/>
    <w:rsid w:val="00BF20FB"/>
    <w:rsid w:val="00BF2997"/>
    <w:rsid w:val="00BF2A6A"/>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3041"/>
    <w:rsid w:val="00C03815"/>
    <w:rsid w:val="00C03E44"/>
    <w:rsid w:val="00C041F4"/>
    <w:rsid w:val="00C04C59"/>
    <w:rsid w:val="00C0524E"/>
    <w:rsid w:val="00C05428"/>
    <w:rsid w:val="00C058A3"/>
    <w:rsid w:val="00C05E05"/>
    <w:rsid w:val="00C05E5D"/>
    <w:rsid w:val="00C0711F"/>
    <w:rsid w:val="00C077E1"/>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D9"/>
    <w:rsid w:val="00C16B32"/>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3885"/>
    <w:rsid w:val="00C23BBD"/>
    <w:rsid w:val="00C2455C"/>
    <w:rsid w:val="00C24630"/>
    <w:rsid w:val="00C24638"/>
    <w:rsid w:val="00C24647"/>
    <w:rsid w:val="00C2565D"/>
    <w:rsid w:val="00C26495"/>
    <w:rsid w:val="00C27159"/>
    <w:rsid w:val="00C273ED"/>
    <w:rsid w:val="00C27447"/>
    <w:rsid w:val="00C27891"/>
    <w:rsid w:val="00C27D45"/>
    <w:rsid w:val="00C300F5"/>
    <w:rsid w:val="00C305AD"/>
    <w:rsid w:val="00C30AED"/>
    <w:rsid w:val="00C30AFA"/>
    <w:rsid w:val="00C30DD5"/>
    <w:rsid w:val="00C31073"/>
    <w:rsid w:val="00C314B5"/>
    <w:rsid w:val="00C31FC1"/>
    <w:rsid w:val="00C32570"/>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37B84"/>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69E3"/>
    <w:rsid w:val="00C46EA9"/>
    <w:rsid w:val="00C47155"/>
    <w:rsid w:val="00C47987"/>
    <w:rsid w:val="00C47CD2"/>
    <w:rsid w:val="00C47D56"/>
    <w:rsid w:val="00C510DE"/>
    <w:rsid w:val="00C51FCC"/>
    <w:rsid w:val="00C52501"/>
    <w:rsid w:val="00C536E4"/>
    <w:rsid w:val="00C538AE"/>
    <w:rsid w:val="00C53A77"/>
    <w:rsid w:val="00C53C32"/>
    <w:rsid w:val="00C53E7A"/>
    <w:rsid w:val="00C54492"/>
    <w:rsid w:val="00C544B6"/>
    <w:rsid w:val="00C54601"/>
    <w:rsid w:val="00C5490E"/>
    <w:rsid w:val="00C54E26"/>
    <w:rsid w:val="00C56A84"/>
    <w:rsid w:val="00C575E8"/>
    <w:rsid w:val="00C5777E"/>
    <w:rsid w:val="00C57EB0"/>
    <w:rsid w:val="00C60984"/>
    <w:rsid w:val="00C60D1A"/>
    <w:rsid w:val="00C60E33"/>
    <w:rsid w:val="00C6111A"/>
    <w:rsid w:val="00C61801"/>
    <w:rsid w:val="00C618DF"/>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CC2"/>
    <w:rsid w:val="00C70B38"/>
    <w:rsid w:val="00C70B43"/>
    <w:rsid w:val="00C71A56"/>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D68"/>
    <w:rsid w:val="00C8290C"/>
    <w:rsid w:val="00C841C5"/>
    <w:rsid w:val="00C8512B"/>
    <w:rsid w:val="00C855A3"/>
    <w:rsid w:val="00C858C8"/>
    <w:rsid w:val="00C85A79"/>
    <w:rsid w:val="00C861EA"/>
    <w:rsid w:val="00C86242"/>
    <w:rsid w:val="00C86267"/>
    <w:rsid w:val="00C86344"/>
    <w:rsid w:val="00C86D64"/>
    <w:rsid w:val="00C8701F"/>
    <w:rsid w:val="00C87CDD"/>
    <w:rsid w:val="00C909EE"/>
    <w:rsid w:val="00C90E27"/>
    <w:rsid w:val="00C910ED"/>
    <w:rsid w:val="00C914C9"/>
    <w:rsid w:val="00C9156F"/>
    <w:rsid w:val="00C91E57"/>
    <w:rsid w:val="00C9210B"/>
    <w:rsid w:val="00C922E8"/>
    <w:rsid w:val="00C92B4A"/>
    <w:rsid w:val="00C92D9B"/>
    <w:rsid w:val="00C93188"/>
    <w:rsid w:val="00C9485C"/>
    <w:rsid w:val="00C94EF3"/>
    <w:rsid w:val="00C952A9"/>
    <w:rsid w:val="00C9534F"/>
    <w:rsid w:val="00C95412"/>
    <w:rsid w:val="00C95E98"/>
    <w:rsid w:val="00C95F67"/>
    <w:rsid w:val="00C961C0"/>
    <w:rsid w:val="00C965E4"/>
    <w:rsid w:val="00C96FCA"/>
    <w:rsid w:val="00C9739A"/>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575F"/>
    <w:rsid w:val="00CA6C44"/>
    <w:rsid w:val="00CA6F7C"/>
    <w:rsid w:val="00CB0652"/>
    <w:rsid w:val="00CB0A8A"/>
    <w:rsid w:val="00CB0BAD"/>
    <w:rsid w:val="00CB138C"/>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6108"/>
    <w:rsid w:val="00CB644A"/>
    <w:rsid w:val="00CB7071"/>
    <w:rsid w:val="00CB75F9"/>
    <w:rsid w:val="00CB78C6"/>
    <w:rsid w:val="00CB7D14"/>
    <w:rsid w:val="00CB7D9F"/>
    <w:rsid w:val="00CC07A1"/>
    <w:rsid w:val="00CC0824"/>
    <w:rsid w:val="00CC08D7"/>
    <w:rsid w:val="00CC09A7"/>
    <w:rsid w:val="00CC0A9A"/>
    <w:rsid w:val="00CC0EA3"/>
    <w:rsid w:val="00CC156F"/>
    <w:rsid w:val="00CC1B8C"/>
    <w:rsid w:val="00CC1C5B"/>
    <w:rsid w:val="00CC2404"/>
    <w:rsid w:val="00CC2606"/>
    <w:rsid w:val="00CC2B9C"/>
    <w:rsid w:val="00CC326E"/>
    <w:rsid w:val="00CC38EE"/>
    <w:rsid w:val="00CC4668"/>
    <w:rsid w:val="00CC566D"/>
    <w:rsid w:val="00CC6AA6"/>
    <w:rsid w:val="00CC6ACF"/>
    <w:rsid w:val="00CC722F"/>
    <w:rsid w:val="00CC726E"/>
    <w:rsid w:val="00CC7476"/>
    <w:rsid w:val="00CC75EE"/>
    <w:rsid w:val="00CD0BAE"/>
    <w:rsid w:val="00CD0D09"/>
    <w:rsid w:val="00CD1017"/>
    <w:rsid w:val="00CD129C"/>
    <w:rsid w:val="00CD12BA"/>
    <w:rsid w:val="00CD181E"/>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E0950"/>
    <w:rsid w:val="00CE0FC5"/>
    <w:rsid w:val="00CE11D8"/>
    <w:rsid w:val="00CE13C4"/>
    <w:rsid w:val="00CE1648"/>
    <w:rsid w:val="00CE1A2E"/>
    <w:rsid w:val="00CE1A90"/>
    <w:rsid w:val="00CE1C5C"/>
    <w:rsid w:val="00CE1CA9"/>
    <w:rsid w:val="00CE1D2A"/>
    <w:rsid w:val="00CE1E07"/>
    <w:rsid w:val="00CE2567"/>
    <w:rsid w:val="00CE25AC"/>
    <w:rsid w:val="00CE2A65"/>
    <w:rsid w:val="00CE3037"/>
    <w:rsid w:val="00CE32AD"/>
    <w:rsid w:val="00CE3361"/>
    <w:rsid w:val="00CE3F49"/>
    <w:rsid w:val="00CE4440"/>
    <w:rsid w:val="00CE49B0"/>
    <w:rsid w:val="00CE4EA8"/>
    <w:rsid w:val="00CE5261"/>
    <w:rsid w:val="00CE584B"/>
    <w:rsid w:val="00CE5A0A"/>
    <w:rsid w:val="00CE6502"/>
    <w:rsid w:val="00CE6C5C"/>
    <w:rsid w:val="00CE72F6"/>
    <w:rsid w:val="00CE75D4"/>
    <w:rsid w:val="00CE7FF2"/>
    <w:rsid w:val="00CF0E8B"/>
    <w:rsid w:val="00CF1090"/>
    <w:rsid w:val="00CF12DA"/>
    <w:rsid w:val="00CF1AB9"/>
    <w:rsid w:val="00CF1B03"/>
    <w:rsid w:val="00CF1B1E"/>
    <w:rsid w:val="00CF1E58"/>
    <w:rsid w:val="00CF1F79"/>
    <w:rsid w:val="00CF270E"/>
    <w:rsid w:val="00CF2B1C"/>
    <w:rsid w:val="00CF2B8E"/>
    <w:rsid w:val="00CF2C5B"/>
    <w:rsid w:val="00CF2CAF"/>
    <w:rsid w:val="00CF34F8"/>
    <w:rsid w:val="00CF39B2"/>
    <w:rsid w:val="00CF3E3D"/>
    <w:rsid w:val="00CF4060"/>
    <w:rsid w:val="00CF52EB"/>
    <w:rsid w:val="00CF585D"/>
    <w:rsid w:val="00CF593A"/>
    <w:rsid w:val="00CF5CA8"/>
    <w:rsid w:val="00CF72BD"/>
    <w:rsid w:val="00CF767E"/>
    <w:rsid w:val="00CF78C0"/>
    <w:rsid w:val="00D00DFF"/>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42FA"/>
    <w:rsid w:val="00D14873"/>
    <w:rsid w:val="00D14C06"/>
    <w:rsid w:val="00D14DAF"/>
    <w:rsid w:val="00D14DEB"/>
    <w:rsid w:val="00D1564A"/>
    <w:rsid w:val="00D156E5"/>
    <w:rsid w:val="00D15AF0"/>
    <w:rsid w:val="00D16747"/>
    <w:rsid w:val="00D175C7"/>
    <w:rsid w:val="00D17E09"/>
    <w:rsid w:val="00D201A1"/>
    <w:rsid w:val="00D20886"/>
    <w:rsid w:val="00D2091D"/>
    <w:rsid w:val="00D22877"/>
    <w:rsid w:val="00D22B8C"/>
    <w:rsid w:val="00D22E00"/>
    <w:rsid w:val="00D23039"/>
    <w:rsid w:val="00D23692"/>
    <w:rsid w:val="00D238E9"/>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CDD"/>
    <w:rsid w:val="00D32E0D"/>
    <w:rsid w:val="00D3326D"/>
    <w:rsid w:val="00D33977"/>
    <w:rsid w:val="00D34097"/>
    <w:rsid w:val="00D3544C"/>
    <w:rsid w:val="00D36749"/>
    <w:rsid w:val="00D36C34"/>
    <w:rsid w:val="00D3719F"/>
    <w:rsid w:val="00D371C8"/>
    <w:rsid w:val="00D402D9"/>
    <w:rsid w:val="00D4061B"/>
    <w:rsid w:val="00D41658"/>
    <w:rsid w:val="00D41962"/>
    <w:rsid w:val="00D42AA0"/>
    <w:rsid w:val="00D431DA"/>
    <w:rsid w:val="00D43450"/>
    <w:rsid w:val="00D43D75"/>
    <w:rsid w:val="00D43F48"/>
    <w:rsid w:val="00D43F90"/>
    <w:rsid w:val="00D44156"/>
    <w:rsid w:val="00D44198"/>
    <w:rsid w:val="00D445B3"/>
    <w:rsid w:val="00D453B5"/>
    <w:rsid w:val="00D45977"/>
    <w:rsid w:val="00D46514"/>
    <w:rsid w:val="00D46DBF"/>
    <w:rsid w:val="00D46F26"/>
    <w:rsid w:val="00D4709E"/>
    <w:rsid w:val="00D47591"/>
    <w:rsid w:val="00D50ADA"/>
    <w:rsid w:val="00D50F4A"/>
    <w:rsid w:val="00D51089"/>
    <w:rsid w:val="00D511EC"/>
    <w:rsid w:val="00D5228C"/>
    <w:rsid w:val="00D52DF5"/>
    <w:rsid w:val="00D52E06"/>
    <w:rsid w:val="00D535D5"/>
    <w:rsid w:val="00D535F5"/>
    <w:rsid w:val="00D54D63"/>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5280"/>
    <w:rsid w:val="00D6616F"/>
    <w:rsid w:val="00D6699B"/>
    <w:rsid w:val="00D7009E"/>
    <w:rsid w:val="00D70C63"/>
    <w:rsid w:val="00D710C5"/>
    <w:rsid w:val="00D71705"/>
    <w:rsid w:val="00D71888"/>
    <w:rsid w:val="00D718C0"/>
    <w:rsid w:val="00D71B45"/>
    <w:rsid w:val="00D722C1"/>
    <w:rsid w:val="00D72437"/>
    <w:rsid w:val="00D726A5"/>
    <w:rsid w:val="00D727AC"/>
    <w:rsid w:val="00D72AC2"/>
    <w:rsid w:val="00D72CAE"/>
    <w:rsid w:val="00D72E5F"/>
    <w:rsid w:val="00D74160"/>
    <w:rsid w:val="00D74660"/>
    <w:rsid w:val="00D74797"/>
    <w:rsid w:val="00D74968"/>
    <w:rsid w:val="00D749D2"/>
    <w:rsid w:val="00D74D9B"/>
    <w:rsid w:val="00D750A2"/>
    <w:rsid w:val="00D75336"/>
    <w:rsid w:val="00D75650"/>
    <w:rsid w:val="00D756E8"/>
    <w:rsid w:val="00D75720"/>
    <w:rsid w:val="00D76DC5"/>
    <w:rsid w:val="00D801EB"/>
    <w:rsid w:val="00D8041B"/>
    <w:rsid w:val="00D80747"/>
    <w:rsid w:val="00D8099F"/>
    <w:rsid w:val="00D809FF"/>
    <w:rsid w:val="00D80E48"/>
    <w:rsid w:val="00D810F2"/>
    <w:rsid w:val="00D81285"/>
    <w:rsid w:val="00D81B9A"/>
    <w:rsid w:val="00D822C6"/>
    <w:rsid w:val="00D8276F"/>
    <w:rsid w:val="00D82890"/>
    <w:rsid w:val="00D843D6"/>
    <w:rsid w:val="00D85237"/>
    <w:rsid w:val="00D85475"/>
    <w:rsid w:val="00D85A2F"/>
    <w:rsid w:val="00D86605"/>
    <w:rsid w:val="00D87949"/>
    <w:rsid w:val="00D87BDC"/>
    <w:rsid w:val="00D9096B"/>
    <w:rsid w:val="00D90D1C"/>
    <w:rsid w:val="00D90D5C"/>
    <w:rsid w:val="00D90ED4"/>
    <w:rsid w:val="00D90FF0"/>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4B0"/>
    <w:rsid w:val="00DA2582"/>
    <w:rsid w:val="00DA2694"/>
    <w:rsid w:val="00DA3050"/>
    <w:rsid w:val="00DA3CF1"/>
    <w:rsid w:val="00DA46CB"/>
    <w:rsid w:val="00DA4B0E"/>
    <w:rsid w:val="00DA50E4"/>
    <w:rsid w:val="00DA5BEB"/>
    <w:rsid w:val="00DA60EF"/>
    <w:rsid w:val="00DA6BFD"/>
    <w:rsid w:val="00DA755C"/>
    <w:rsid w:val="00DA7645"/>
    <w:rsid w:val="00DA7781"/>
    <w:rsid w:val="00DA7B87"/>
    <w:rsid w:val="00DA7E15"/>
    <w:rsid w:val="00DA7FC8"/>
    <w:rsid w:val="00DB02FF"/>
    <w:rsid w:val="00DB10BD"/>
    <w:rsid w:val="00DB130A"/>
    <w:rsid w:val="00DB1433"/>
    <w:rsid w:val="00DB18DF"/>
    <w:rsid w:val="00DB197C"/>
    <w:rsid w:val="00DB1AAF"/>
    <w:rsid w:val="00DB1CC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118"/>
    <w:rsid w:val="00DC1524"/>
    <w:rsid w:val="00DC1889"/>
    <w:rsid w:val="00DC1CA3"/>
    <w:rsid w:val="00DC28D5"/>
    <w:rsid w:val="00DC2A33"/>
    <w:rsid w:val="00DC31E4"/>
    <w:rsid w:val="00DC3214"/>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12EF"/>
    <w:rsid w:val="00DD158F"/>
    <w:rsid w:val="00DD16FB"/>
    <w:rsid w:val="00DD235A"/>
    <w:rsid w:val="00DD2381"/>
    <w:rsid w:val="00DD2458"/>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292D"/>
    <w:rsid w:val="00DE296E"/>
    <w:rsid w:val="00DE2AA3"/>
    <w:rsid w:val="00DE30D1"/>
    <w:rsid w:val="00DE3B74"/>
    <w:rsid w:val="00DE3F1D"/>
    <w:rsid w:val="00DE40F7"/>
    <w:rsid w:val="00DE47DF"/>
    <w:rsid w:val="00DE4D21"/>
    <w:rsid w:val="00DE4D6D"/>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FC2"/>
    <w:rsid w:val="00DF303F"/>
    <w:rsid w:val="00DF3D62"/>
    <w:rsid w:val="00DF4838"/>
    <w:rsid w:val="00DF572E"/>
    <w:rsid w:val="00DF583D"/>
    <w:rsid w:val="00DF596A"/>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6682"/>
    <w:rsid w:val="00E1678A"/>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D4"/>
    <w:rsid w:val="00E35580"/>
    <w:rsid w:val="00E36DD5"/>
    <w:rsid w:val="00E36E5B"/>
    <w:rsid w:val="00E3751A"/>
    <w:rsid w:val="00E375D8"/>
    <w:rsid w:val="00E377A6"/>
    <w:rsid w:val="00E4005E"/>
    <w:rsid w:val="00E40A1E"/>
    <w:rsid w:val="00E41CF2"/>
    <w:rsid w:val="00E41D23"/>
    <w:rsid w:val="00E4233D"/>
    <w:rsid w:val="00E4297F"/>
    <w:rsid w:val="00E438F7"/>
    <w:rsid w:val="00E43E29"/>
    <w:rsid w:val="00E43EE5"/>
    <w:rsid w:val="00E445B1"/>
    <w:rsid w:val="00E44ACD"/>
    <w:rsid w:val="00E44CB9"/>
    <w:rsid w:val="00E44FF6"/>
    <w:rsid w:val="00E45343"/>
    <w:rsid w:val="00E4561F"/>
    <w:rsid w:val="00E45B97"/>
    <w:rsid w:val="00E4611B"/>
    <w:rsid w:val="00E46852"/>
    <w:rsid w:val="00E46AB1"/>
    <w:rsid w:val="00E479FF"/>
    <w:rsid w:val="00E50E0E"/>
    <w:rsid w:val="00E51392"/>
    <w:rsid w:val="00E51555"/>
    <w:rsid w:val="00E515B1"/>
    <w:rsid w:val="00E51662"/>
    <w:rsid w:val="00E52466"/>
    <w:rsid w:val="00E524BC"/>
    <w:rsid w:val="00E5269A"/>
    <w:rsid w:val="00E535D1"/>
    <w:rsid w:val="00E536FC"/>
    <w:rsid w:val="00E53AA6"/>
    <w:rsid w:val="00E53C6C"/>
    <w:rsid w:val="00E53CB2"/>
    <w:rsid w:val="00E53D6A"/>
    <w:rsid w:val="00E5411B"/>
    <w:rsid w:val="00E54898"/>
    <w:rsid w:val="00E55558"/>
    <w:rsid w:val="00E55BB8"/>
    <w:rsid w:val="00E56344"/>
    <w:rsid w:val="00E57E87"/>
    <w:rsid w:val="00E60D77"/>
    <w:rsid w:val="00E60DE1"/>
    <w:rsid w:val="00E60F7E"/>
    <w:rsid w:val="00E61076"/>
    <w:rsid w:val="00E61812"/>
    <w:rsid w:val="00E62CF0"/>
    <w:rsid w:val="00E62E5D"/>
    <w:rsid w:val="00E6315D"/>
    <w:rsid w:val="00E6342E"/>
    <w:rsid w:val="00E63730"/>
    <w:rsid w:val="00E64D8F"/>
    <w:rsid w:val="00E65073"/>
    <w:rsid w:val="00E65DAB"/>
    <w:rsid w:val="00E65E8C"/>
    <w:rsid w:val="00E661EC"/>
    <w:rsid w:val="00E667CE"/>
    <w:rsid w:val="00E66800"/>
    <w:rsid w:val="00E66D78"/>
    <w:rsid w:val="00E673C1"/>
    <w:rsid w:val="00E67C5C"/>
    <w:rsid w:val="00E67E55"/>
    <w:rsid w:val="00E70504"/>
    <w:rsid w:val="00E71198"/>
    <w:rsid w:val="00E71E4F"/>
    <w:rsid w:val="00E7224F"/>
    <w:rsid w:val="00E72486"/>
    <w:rsid w:val="00E724EF"/>
    <w:rsid w:val="00E7264E"/>
    <w:rsid w:val="00E72651"/>
    <w:rsid w:val="00E72C2B"/>
    <w:rsid w:val="00E73957"/>
    <w:rsid w:val="00E73C90"/>
    <w:rsid w:val="00E73D3A"/>
    <w:rsid w:val="00E743A1"/>
    <w:rsid w:val="00E74BC5"/>
    <w:rsid w:val="00E74F05"/>
    <w:rsid w:val="00E7518B"/>
    <w:rsid w:val="00E7593F"/>
    <w:rsid w:val="00E76497"/>
    <w:rsid w:val="00E76C33"/>
    <w:rsid w:val="00E8011B"/>
    <w:rsid w:val="00E801FE"/>
    <w:rsid w:val="00E805CC"/>
    <w:rsid w:val="00E80768"/>
    <w:rsid w:val="00E80E1E"/>
    <w:rsid w:val="00E82135"/>
    <w:rsid w:val="00E82862"/>
    <w:rsid w:val="00E82CA0"/>
    <w:rsid w:val="00E82E17"/>
    <w:rsid w:val="00E84650"/>
    <w:rsid w:val="00E84AD4"/>
    <w:rsid w:val="00E8534F"/>
    <w:rsid w:val="00E854EA"/>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AEE"/>
    <w:rsid w:val="00E96D1C"/>
    <w:rsid w:val="00E96D57"/>
    <w:rsid w:val="00E977CB"/>
    <w:rsid w:val="00E977CE"/>
    <w:rsid w:val="00E97990"/>
    <w:rsid w:val="00E97BEE"/>
    <w:rsid w:val="00E97D2F"/>
    <w:rsid w:val="00E97EA7"/>
    <w:rsid w:val="00E97FB1"/>
    <w:rsid w:val="00EA1514"/>
    <w:rsid w:val="00EA16E1"/>
    <w:rsid w:val="00EA1767"/>
    <w:rsid w:val="00EA1F8E"/>
    <w:rsid w:val="00EA2360"/>
    <w:rsid w:val="00EA272B"/>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87"/>
    <w:rsid w:val="00EB269D"/>
    <w:rsid w:val="00EB30E8"/>
    <w:rsid w:val="00EB344E"/>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46E6"/>
    <w:rsid w:val="00ED5030"/>
    <w:rsid w:val="00ED5404"/>
    <w:rsid w:val="00ED547D"/>
    <w:rsid w:val="00ED596C"/>
    <w:rsid w:val="00ED5ACF"/>
    <w:rsid w:val="00ED67E8"/>
    <w:rsid w:val="00ED7CCC"/>
    <w:rsid w:val="00EE0174"/>
    <w:rsid w:val="00EE01D1"/>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32C6"/>
    <w:rsid w:val="00EF3390"/>
    <w:rsid w:val="00EF3393"/>
    <w:rsid w:val="00EF3C6A"/>
    <w:rsid w:val="00EF3F1A"/>
    <w:rsid w:val="00EF463E"/>
    <w:rsid w:val="00EF4776"/>
    <w:rsid w:val="00EF541D"/>
    <w:rsid w:val="00EF571F"/>
    <w:rsid w:val="00EF579C"/>
    <w:rsid w:val="00EF57BB"/>
    <w:rsid w:val="00EF585C"/>
    <w:rsid w:val="00EF5B95"/>
    <w:rsid w:val="00EF60B7"/>
    <w:rsid w:val="00EF613D"/>
    <w:rsid w:val="00EF78EB"/>
    <w:rsid w:val="00EF7C48"/>
    <w:rsid w:val="00EF7CC4"/>
    <w:rsid w:val="00F008A6"/>
    <w:rsid w:val="00F00922"/>
    <w:rsid w:val="00F0102C"/>
    <w:rsid w:val="00F0106B"/>
    <w:rsid w:val="00F0137B"/>
    <w:rsid w:val="00F0139C"/>
    <w:rsid w:val="00F018E3"/>
    <w:rsid w:val="00F020E1"/>
    <w:rsid w:val="00F0221D"/>
    <w:rsid w:val="00F02DE5"/>
    <w:rsid w:val="00F0324F"/>
    <w:rsid w:val="00F03AA2"/>
    <w:rsid w:val="00F043F9"/>
    <w:rsid w:val="00F04C5D"/>
    <w:rsid w:val="00F04D6C"/>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2E00"/>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303"/>
    <w:rsid w:val="00F23A11"/>
    <w:rsid w:val="00F24874"/>
    <w:rsid w:val="00F24980"/>
    <w:rsid w:val="00F24B20"/>
    <w:rsid w:val="00F24EF6"/>
    <w:rsid w:val="00F25C36"/>
    <w:rsid w:val="00F26145"/>
    <w:rsid w:val="00F26345"/>
    <w:rsid w:val="00F2634C"/>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5F2"/>
    <w:rsid w:val="00F4186D"/>
    <w:rsid w:val="00F419C1"/>
    <w:rsid w:val="00F42037"/>
    <w:rsid w:val="00F423F6"/>
    <w:rsid w:val="00F42415"/>
    <w:rsid w:val="00F424D3"/>
    <w:rsid w:val="00F4284C"/>
    <w:rsid w:val="00F433D5"/>
    <w:rsid w:val="00F443B0"/>
    <w:rsid w:val="00F444E7"/>
    <w:rsid w:val="00F447EA"/>
    <w:rsid w:val="00F44943"/>
    <w:rsid w:val="00F453DF"/>
    <w:rsid w:val="00F4635D"/>
    <w:rsid w:val="00F46F48"/>
    <w:rsid w:val="00F4737E"/>
    <w:rsid w:val="00F47D5F"/>
    <w:rsid w:val="00F47E5F"/>
    <w:rsid w:val="00F50623"/>
    <w:rsid w:val="00F5065C"/>
    <w:rsid w:val="00F50ED7"/>
    <w:rsid w:val="00F511EE"/>
    <w:rsid w:val="00F51D28"/>
    <w:rsid w:val="00F51E4D"/>
    <w:rsid w:val="00F5276B"/>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0FFD"/>
    <w:rsid w:val="00F61248"/>
    <w:rsid w:val="00F61281"/>
    <w:rsid w:val="00F613C3"/>
    <w:rsid w:val="00F61946"/>
    <w:rsid w:val="00F626F5"/>
    <w:rsid w:val="00F629DE"/>
    <w:rsid w:val="00F638B4"/>
    <w:rsid w:val="00F6394E"/>
    <w:rsid w:val="00F643C2"/>
    <w:rsid w:val="00F644A0"/>
    <w:rsid w:val="00F64A0B"/>
    <w:rsid w:val="00F653FB"/>
    <w:rsid w:val="00F6557B"/>
    <w:rsid w:val="00F666B5"/>
    <w:rsid w:val="00F6688F"/>
    <w:rsid w:val="00F669E9"/>
    <w:rsid w:val="00F67275"/>
    <w:rsid w:val="00F67EF9"/>
    <w:rsid w:val="00F71285"/>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9D7"/>
    <w:rsid w:val="00F7609A"/>
    <w:rsid w:val="00F76924"/>
    <w:rsid w:val="00F76FD6"/>
    <w:rsid w:val="00F77293"/>
    <w:rsid w:val="00F7783C"/>
    <w:rsid w:val="00F77C33"/>
    <w:rsid w:val="00F77D71"/>
    <w:rsid w:val="00F80879"/>
    <w:rsid w:val="00F808F0"/>
    <w:rsid w:val="00F80927"/>
    <w:rsid w:val="00F80B7F"/>
    <w:rsid w:val="00F8199F"/>
    <w:rsid w:val="00F819E1"/>
    <w:rsid w:val="00F822A0"/>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780"/>
    <w:rsid w:val="00F95EFB"/>
    <w:rsid w:val="00F9624E"/>
    <w:rsid w:val="00F96923"/>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C01"/>
    <w:rsid w:val="00FA3F41"/>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306B"/>
    <w:rsid w:val="00FB3784"/>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2B"/>
    <w:rsid w:val="00FE4608"/>
    <w:rsid w:val="00FE4826"/>
    <w:rsid w:val="00FE48DB"/>
    <w:rsid w:val="00FE5DD2"/>
    <w:rsid w:val="00FE63A9"/>
    <w:rsid w:val="00FE66DF"/>
    <w:rsid w:val="00FE6845"/>
    <w:rsid w:val="00FE6AD1"/>
    <w:rsid w:val="00FE78FD"/>
    <w:rsid w:val="00FE7BA2"/>
    <w:rsid w:val="00FE7F82"/>
    <w:rsid w:val="00FF0586"/>
    <w:rsid w:val="00FF09BD"/>
    <w:rsid w:val="00FF1744"/>
    <w:rsid w:val="00FF2265"/>
    <w:rsid w:val="00FF3496"/>
    <w:rsid w:val="00FF3AB1"/>
    <w:rsid w:val="00FF3C7E"/>
    <w:rsid w:val="00FF3CA1"/>
    <w:rsid w:val="00FF4177"/>
    <w:rsid w:val="00FF4518"/>
    <w:rsid w:val="00FF4675"/>
    <w:rsid w:val="00FF48C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semiHidden/>
    <w:unhideWhenUsed/>
    <w:rsid w:val="00FC128E"/>
    <w:rPr>
      <w:sz w:val="20"/>
      <w:szCs w:val="20"/>
    </w:rPr>
  </w:style>
  <w:style w:type="character" w:customStyle="1" w:styleId="TextocomentarioCar">
    <w:name w:val="Texto comentario Car"/>
    <w:basedOn w:val="Fuentedeprrafopredeter"/>
    <w:link w:val="Textocomentario"/>
    <w:semiHidden/>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493E1C"/>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493E1C"/>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493E1C"/>
    <w:rPr>
      <w:rFonts w:ascii="Arial" w:hAnsi="Arial" w:cs="Arial"/>
      <w:sz w:val="24"/>
      <w:szCs w:val="24"/>
      <w:lang w:val="es-ES_tradnl" w:eastAsia="es-ES"/>
    </w:rPr>
  </w:style>
  <w:style w:type="character" w:styleId="Nmerodepgina">
    <w:name w:val="page number"/>
    <w:basedOn w:val="Fuentedeprrafopredeter"/>
    <w:uiPriority w:val="99"/>
    <w:rsid w:val="00493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yperlink" Target="http://www.inegi.org.mx/sistemas/bie/"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s://www.inegi.org.mx/temas/expectativas/"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https://www.inegi.org.mx/app/biblioteca/ficha.html?upc=702825099060" TargetMode="External"/><Relationship Id="rId48" Type="http://schemas.openxmlformats.org/officeDocument/2006/relationships/header" Target="header4.xml"/><Relationship Id="rId8" Type="http://schemas.openxmlformats.org/officeDocument/2006/relationships/hyperlink" Target="mailto:comunicacionsocial@inegi.org.mx"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s://www.inegi.org.mx/programas/emoe/2013/" TargetMode="External"/><Relationship Id="rId20" Type="http://schemas.openxmlformats.org/officeDocument/2006/relationships/header" Target="header2.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'IAT MAN'!$E$4</c:f>
              <c:strCache>
                <c:ptCount val="1"/>
                <c:pt idx="0">
                  <c:v>Serie Desestacionalizada</c:v>
                </c:pt>
              </c:strCache>
            </c:strRef>
          </c:tx>
          <c:spPr>
            <a:ln w="15875">
              <a:solidFill>
                <a:srgbClr val="3D6AA1"/>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MAN'!$E$137:$E$208</c:f>
              <c:numCache>
                <c:formatCode>0.0_)</c:formatCode>
                <c:ptCount val="64"/>
                <c:pt idx="0">
                  <c:v>57.171379220001903</c:v>
                </c:pt>
                <c:pt idx="1">
                  <c:v>57.8167632230641</c:v>
                </c:pt>
                <c:pt idx="2">
                  <c:v>55.2900551526808</c:v>
                </c:pt>
                <c:pt idx="3">
                  <c:v>57.419262512352297</c:v>
                </c:pt>
                <c:pt idx="4">
                  <c:v>56.723244218656397</c:v>
                </c:pt>
                <c:pt idx="5">
                  <c:v>56.144905476905898</c:v>
                </c:pt>
                <c:pt idx="6">
                  <c:v>55.968843148491601</c:v>
                </c:pt>
                <c:pt idx="7">
                  <c:v>56.748495685153202</c:v>
                </c:pt>
                <c:pt idx="8">
                  <c:v>57.067149793991703</c:v>
                </c:pt>
                <c:pt idx="9">
                  <c:v>56.203863773635</c:v>
                </c:pt>
                <c:pt idx="10">
                  <c:v>56.8140937969048</c:v>
                </c:pt>
                <c:pt idx="11">
                  <c:v>56.071117970783199</c:v>
                </c:pt>
                <c:pt idx="12">
                  <c:v>55.480346881645602</c:v>
                </c:pt>
                <c:pt idx="13">
                  <c:v>56.004341625174099</c:v>
                </c:pt>
                <c:pt idx="14">
                  <c:v>55.035884521138598</c:v>
                </c:pt>
                <c:pt idx="15">
                  <c:v>54.508465290900098</c:v>
                </c:pt>
                <c:pt idx="16">
                  <c:v>55.391989823818399</c:v>
                </c:pt>
                <c:pt idx="17">
                  <c:v>57.7103828871331</c:v>
                </c:pt>
                <c:pt idx="18">
                  <c:v>56.888874229287602</c:v>
                </c:pt>
                <c:pt idx="19">
                  <c:v>56.005623274924901</c:v>
                </c:pt>
                <c:pt idx="20">
                  <c:v>57.100997328895701</c:v>
                </c:pt>
                <c:pt idx="21">
                  <c:v>56.022308351396298</c:v>
                </c:pt>
                <c:pt idx="22">
                  <c:v>55.271438607312703</c:v>
                </c:pt>
                <c:pt idx="23">
                  <c:v>56.404741076010701</c:v>
                </c:pt>
                <c:pt idx="24">
                  <c:v>55.349763595190502</c:v>
                </c:pt>
                <c:pt idx="25">
                  <c:v>55.165896498839899</c:v>
                </c:pt>
                <c:pt idx="26">
                  <c:v>56.355886159060901</c:v>
                </c:pt>
                <c:pt idx="27">
                  <c:v>56.889566593141502</c:v>
                </c:pt>
                <c:pt idx="28">
                  <c:v>55.726698568207297</c:v>
                </c:pt>
                <c:pt idx="29">
                  <c:v>54.695782056462697</c:v>
                </c:pt>
                <c:pt idx="30">
                  <c:v>54.489104971059703</c:v>
                </c:pt>
                <c:pt idx="31">
                  <c:v>56.017902983782101</c:v>
                </c:pt>
                <c:pt idx="32">
                  <c:v>52.460283341960697</c:v>
                </c:pt>
                <c:pt idx="33">
                  <c:v>55.921524653409698</c:v>
                </c:pt>
                <c:pt idx="34">
                  <c:v>49.301225684005402</c:v>
                </c:pt>
                <c:pt idx="35">
                  <c:v>50.052154105510397</c:v>
                </c:pt>
                <c:pt idx="36">
                  <c:v>54.351412674674798</c:v>
                </c:pt>
                <c:pt idx="37">
                  <c:v>52.866321999280601</c:v>
                </c:pt>
                <c:pt idx="38">
                  <c:v>57.4388134123013</c:v>
                </c:pt>
                <c:pt idx="39">
                  <c:v>50.528465598407898</c:v>
                </c:pt>
                <c:pt idx="40">
                  <c:v>52.247289946880201</c:v>
                </c:pt>
                <c:pt idx="41">
                  <c:v>51.492105162523202</c:v>
                </c:pt>
                <c:pt idx="42">
                  <c:v>52.302217373988199</c:v>
                </c:pt>
                <c:pt idx="43">
                  <c:v>51.041879202018301</c:v>
                </c:pt>
                <c:pt idx="44">
                  <c:v>52.062205046471803</c:v>
                </c:pt>
                <c:pt idx="45">
                  <c:v>54.267968891771098</c:v>
                </c:pt>
                <c:pt idx="46">
                  <c:v>52.3327730357733</c:v>
                </c:pt>
                <c:pt idx="47">
                  <c:v>52.3138853839503</c:v>
                </c:pt>
                <c:pt idx="48">
                  <c:v>53.354439160330401</c:v>
                </c:pt>
                <c:pt idx="49">
                  <c:v>51.7815646152022</c:v>
                </c:pt>
                <c:pt idx="50">
                  <c:v>53.4137485013513</c:v>
                </c:pt>
                <c:pt idx="51">
                  <c:v>52.844203080729102</c:v>
                </c:pt>
                <c:pt idx="52">
                  <c:v>53.644376531433998</c:v>
                </c:pt>
                <c:pt idx="53">
                  <c:v>52.630370525148798</c:v>
                </c:pt>
                <c:pt idx="54">
                  <c:v>51.567601258991402</c:v>
                </c:pt>
                <c:pt idx="55">
                  <c:v>53.346363732291998</c:v>
                </c:pt>
                <c:pt idx="56">
                  <c:v>52.289110614100203</c:v>
                </c:pt>
                <c:pt idx="57">
                  <c:v>49.519417802761197</c:v>
                </c:pt>
                <c:pt idx="58">
                  <c:v>51.569897199318497</c:v>
                </c:pt>
                <c:pt idx="59">
                  <c:v>51.715972686146003</c:v>
                </c:pt>
                <c:pt idx="60">
                  <c:v>50.523768814235602</c:v>
                </c:pt>
                <c:pt idx="61">
                  <c:v>52.3502521707357</c:v>
                </c:pt>
                <c:pt idx="62">
                  <c:v>50.063613757240802</c:v>
                </c:pt>
                <c:pt idx="63">
                  <c:v>39.6558820489293</c:v>
                </c:pt>
              </c:numCache>
            </c:numRef>
          </c:val>
          <c:smooth val="0"/>
          <c:extLst>
            <c:ext xmlns:c16="http://schemas.microsoft.com/office/drawing/2014/chart" uri="{C3380CC4-5D6E-409C-BE32-E72D297353CC}">
              <c16:uniqueId val="{00000000-216F-4B0B-A762-92B9B0898F09}"/>
            </c:ext>
          </c:extLst>
        </c:ser>
        <c:ser>
          <c:idx val="1"/>
          <c:order val="1"/>
          <c:tx>
            <c:strRef>
              <c:f>'IAT MAN'!$F$4</c:f>
              <c:strCache>
                <c:ptCount val="1"/>
                <c:pt idx="0">
                  <c:v>Tendencia-Ciclo</c:v>
                </c:pt>
              </c:strCache>
            </c:strRef>
          </c:tx>
          <c:spPr>
            <a:ln w="12700">
              <a:solidFill>
                <a:srgbClr val="C00000"/>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MAN'!$F$137:$F$208</c:f>
              <c:numCache>
                <c:formatCode>0.0_)</c:formatCode>
                <c:ptCount val="64"/>
                <c:pt idx="0">
                  <c:v>56.901844932670997</c:v>
                </c:pt>
                <c:pt idx="1">
                  <c:v>56.864486757952299</c:v>
                </c:pt>
                <c:pt idx="2">
                  <c:v>56.816280393065597</c:v>
                </c:pt>
                <c:pt idx="3">
                  <c:v>56.760113973217599</c:v>
                </c:pt>
                <c:pt idx="4">
                  <c:v>56.708564257645499</c:v>
                </c:pt>
                <c:pt idx="5">
                  <c:v>56.658656725672799</c:v>
                </c:pt>
                <c:pt idx="6">
                  <c:v>56.595261829534302</c:v>
                </c:pt>
                <c:pt idx="7">
                  <c:v>56.5024694749549</c:v>
                </c:pt>
                <c:pt idx="8">
                  <c:v>56.384167895840299</c:v>
                </c:pt>
                <c:pt idx="9">
                  <c:v>56.245321909117798</c:v>
                </c:pt>
                <c:pt idx="10">
                  <c:v>56.100352912200997</c:v>
                </c:pt>
                <c:pt idx="11">
                  <c:v>55.9711634646577</c:v>
                </c:pt>
                <c:pt idx="12">
                  <c:v>55.876492792382798</c:v>
                </c:pt>
                <c:pt idx="13">
                  <c:v>55.824624194588303</c:v>
                </c:pt>
                <c:pt idx="14">
                  <c:v>55.824000008237597</c:v>
                </c:pt>
                <c:pt idx="15">
                  <c:v>55.870356806135</c:v>
                </c:pt>
                <c:pt idx="16">
                  <c:v>55.9401396280171</c:v>
                </c:pt>
                <c:pt idx="17">
                  <c:v>56.0223336614863</c:v>
                </c:pt>
                <c:pt idx="18">
                  <c:v>56.107231364885003</c:v>
                </c:pt>
                <c:pt idx="19">
                  <c:v>56.180829307780797</c:v>
                </c:pt>
                <c:pt idx="20">
                  <c:v>56.223249635286699</c:v>
                </c:pt>
                <c:pt idx="21">
                  <c:v>56.233919852757197</c:v>
                </c:pt>
                <c:pt idx="22">
                  <c:v>56.2113324287821</c:v>
                </c:pt>
                <c:pt idx="23">
                  <c:v>56.152754332708</c:v>
                </c:pt>
                <c:pt idx="24">
                  <c:v>56.060570195142503</c:v>
                </c:pt>
                <c:pt idx="25">
                  <c:v>55.928944771616202</c:v>
                </c:pt>
                <c:pt idx="26">
                  <c:v>55.757783753441501</c:v>
                </c:pt>
                <c:pt idx="27">
                  <c:v>55.551376900367003</c:v>
                </c:pt>
                <c:pt idx="28">
                  <c:v>55.310251311335698</c:v>
                </c:pt>
                <c:pt idx="29">
                  <c:v>55.029457187665201</c:v>
                </c:pt>
                <c:pt idx="30">
                  <c:v>54.7145999069783</c:v>
                </c:pt>
                <c:pt idx="31">
                  <c:v>54.381455306657699</c:v>
                </c:pt>
                <c:pt idx="32">
                  <c:v>54.049579854980202</c:v>
                </c:pt>
                <c:pt idx="33">
                  <c:v>53.7304244063331</c:v>
                </c:pt>
                <c:pt idx="34">
                  <c:v>53.431388761286897</c:v>
                </c:pt>
                <c:pt idx="35">
                  <c:v>53.158065503310198</c:v>
                </c:pt>
                <c:pt idx="36">
                  <c:v>52.913135334398298</c:v>
                </c:pt>
                <c:pt idx="37">
                  <c:v>52.697199997393497</c:v>
                </c:pt>
                <c:pt idx="38">
                  <c:v>52.510651000808302</c:v>
                </c:pt>
                <c:pt idx="39">
                  <c:v>52.347289086154703</c:v>
                </c:pt>
                <c:pt idx="40">
                  <c:v>52.213302628010297</c:v>
                </c:pt>
                <c:pt idx="41">
                  <c:v>52.118617042699697</c:v>
                </c:pt>
                <c:pt idx="42">
                  <c:v>52.073959616427302</c:v>
                </c:pt>
                <c:pt idx="43">
                  <c:v>52.089426475398596</c:v>
                </c:pt>
                <c:pt idx="44">
                  <c:v>52.1613921982213</c:v>
                </c:pt>
                <c:pt idx="45">
                  <c:v>52.284856401922802</c:v>
                </c:pt>
                <c:pt idx="46">
                  <c:v>52.437882689959501</c:v>
                </c:pt>
                <c:pt idx="47">
                  <c:v>52.598181450541801</c:v>
                </c:pt>
                <c:pt idx="48">
                  <c:v>52.738226377369401</c:v>
                </c:pt>
                <c:pt idx="49">
                  <c:v>52.8398073617196</c:v>
                </c:pt>
                <c:pt idx="50">
                  <c:v>52.889208775151197</c:v>
                </c:pt>
                <c:pt idx="51">
                  <c:v>52.884377096387098</c:v>
                </c:pt>
                <c:pt idx="52">
                  <c:v>52.826686000140697</c:v>
                </c:pt>
                <c:pt idx="53">
                  <c:v>52.719090393998201</c:v>
                </c:pt>
                <c:pt idx="54">
                  <c:v>52.563469410387498</c:v>
                </c:pt>
                <c:pt idx="55">
                  <c:v>52.363479553652802</c:v>
                </c:pt>
                <c:pt idx="56">
                  <c:v>52.1327774917536</c:v>
                </c:pt>
                <c:pt idx="57">
                  <c:v>51.883504981985197</c:v>
                </c:pt>
                <c:pt idx="58">
                  <c:v>51.640487347471399</c:v>
                </c:pt>
                <c:pt idx="59">
                  <c:v>51.434778386786903</c:v>
                </c:pt>
                <c:pt idx="60">
                  <c:v>51.286183026949402</c:v>
                </c:pt>
                <c:pt idx="61">
                  <c:v>51.206756910900801</c:v>
                </c:pt>
                <c:pt idx="62">
                  <c:v>51.201358109912697</c:v>
                </c:pt>
                <c:pt idx="63">
                  <c:v>51.257473327916998</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498510216"/>
        <c:axId val="498516488"/>
      </c:lineChart>
      <c:catAx>
        <c:axId val="4985102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98516488"/>
        <c:crossesAt val="50"/>
        <c:auto val="1"/>
        <c:lblAlgn val="ctr"/>
        <c:lblOffset val="50"/>
        <c:tickLblSkip val="1"/>
        <c:tickMarkSkip val="12"/>
        <c:noMultiLvlLbl val="1"/>
      </c:catAx>
      <c:valAx>
        <c:axId val="498516488"/>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98510216"/>
        <c:crosses val="autoZero"/>
        <c:crossBetween val="between"/>
        <c:majorUnit val="4"/>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'IAT CONS'!$E$4</c:f>
              <c:strCache>
                <c:ptCount val="1"/>
                <c:pt idx="0">
                  <c:v>Serie Desestacionalizada</c:v>
                </c:pt>
              </c:strCache>
            </c:strRef>
          </c:tx>
          <c:spPr>
            <a:ln w="15875">
              <a:solidFill>
                <a:srgbClr val="3D6AA1"/>
              </a:solidFill>
            </a:ln>
          </c:spPr>
          <c:marker>
            <c:symbol val="none"/>
          </c:marker>
          <c:cat>
            <c:multiLvlStrRef>
              <c:f>'IAT CONS'!$A$53:$B$124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CONS'!$E$53:$E$124</c:f>
              <c:numCache>
                <c:formatCode>0.0_)</c:formatCode>
                <c:ptCount val="64"/>
                <c:pt idx="0">
                  <c:v>55.233015378158598</c:v>
                </c:pt>
                <c:pt idx="1">
                  <c:v>54.705188660179701</c:v>
                </c:pt>
                <c:pt idx="2">
                  <c:v>54.305555976453199</c:v>
                </c:pt>
                <c:pt idx="3">
                  <c:v>55.2099155782712</c:v>
                </c:pt>
                <c:pt idx="4">
                  <c:v>52.562885826577499</c:v>
                </c:pt>
                <c:pt idx="5">
                  <c:v>55.263159543983797</c:v>
                </c:pt>
                <c:pt idx="6">
                  <c:v>55.2033005079671</c:v>
                </c:pt>
                <c:pt idx="7">
                  <c:v>53.980247207445302</c:v>
                </c:pt>
                <c:pt idx="8">
                  <c:v>54.650215173875203</c:v>
                </c:pt>
                <c:pt idx="9">
                  <c:v>54.452831422283502</c:v>
                </c:pt>
                <c:pt idx="10">
                  <c:v>53.808530116453099</c:v>
                </c:pt>
                <c:pt idx="11">
                  <c:v>54.936805789128897</c:v>
                </c:pt>
                <c:pt idx="12">
                  <c:v>54.45316197484</c:v>
                </c:pt>
                <c:pt idx="13">
                  <c:v>54.402109648333898</c:v>
                </c:pt>
                <c:pt idx="14">
                  <c:v>51.272240346381899</c:v>
                </c:pt>
                <c:pt idx="15">
                  <c:v>53.023320322939</c:v>
                </c:pt>
                <c:pt idx="16">
                  <c:v>53.459015146071501</c:v>
                </c:pt>
                <c:pt idx="17">
                  <c:v>53.3953332471458</c:v>
                </c:pt>
                <c:pt idx="18">
                  <c:v>54.160764288230098</c:v>
                </c:pt>
                <c:pt idx="19">
                  <c:v>53.690127655503197</c:v>
                </c:pt>
                <c:pt idx="20">
                  <c:v>53.2554255332373</c:v>
                </c:pt>
                <c:pt idx="21">
                  <c:v>53.710001882082402</c:v>
                </c:pt>
                <c:pt idx="22">
                  <c:v>53.103784793168501</c:v>
                </c:pt>
                <c:pt idx="23">
                  <c:v>52.409222297824897</c:v>
                </c:pt>
                <c:pt idx="24">
                  <c:v>54.164971056900903</c:v>
                </c:pt>
                <c:pt idx="25">
                  <c:v>53.7284297777313</c:v>
                </c:pt>
                <c:pt idx="26">
                  <c:v>53.8080111990296</c:v>
                </c:pt>
                <c:pt idx="27">
                  <c:v>55.977948919816299</c:v>
                </c:pt>
                <c:pt idx="28">
                  <c:v>53.176067879021097</c:v>
                </c:pt>
                <c:pt idx="29">
                  <c:v>53.334479315982101</c:v>
                </c:pt>
                <c:pt idx="30">
                  <c:v>52.734808021893897</c:v>
                </c:pt>
                <c:pt idx="31">
                  <c:v>54.419737857780099</c:v>
                </c:pt>
                <c:pt idx="32">
                  <c:v>52.618796453586803</c:v>
                </c:pt>
                <c:pt idx="33">
                  <c:v>53.505201044756198</c:v>
                </c:pt>
                <c:pt idx="34">
                  <c:v>53.273751755492299</c:v>
                </c:pt>
                <c:pt idx="35">
                  <c:v>52.1266110640398</c:v>
                </c:pt>
                <c:pt idx="36">
                  <c:v>51.924549025338202</c:v>
                </c:pt>
                <c:pt idx="37">
                  <c:v>50.398417517042098</c:v>
                </c:pt>
                <c:pt idx="38">
                  <c:v>53.436745493931198</c:v>
                </c:pt>
                <c:pt idx="39">
                  <c:v>52.208302662893097</c:v>
                </c:pt>
                <c:pt idx="40">
                  <c:v>53.638269318735396</c:v>
                </c:pt>
                <c:pt idx="41">
                  <c:v>53.085709001965299</c:v>
                </c:pt>
                <c:pt idx="42">
                  <c:v>52.206396403198703</c:v>
                </c:pt>
                <c:pt idx="43">
                  <c:v>53.031831688686601</c:v>
                </c:pt>
                <c:pt idx="44">
                  <c:v>54.003872678400597</c:v>
                </c:pt>
                <c:pt idx="45">
                  <c:v>52.405254885323401</c:v>
                </c:pt>
                <c:pt idx="46">
                  <c:v>53.217480331627002</c:v>
                </c:pt>
                <c:pt idx="47">
                  <c:v>50.072093782531098</c:v>
                </c:pt>
                <c:pt idx="48">
                  <c:v>52.968233861341403</c:v>
                </c:pt>
                <c:pt idx="49">
                  <c:v>52.501157681656103</c:v>
                </c:pt>
                <c:pt idx="50">
                  <c:v>51.293110928558498</c:v>
                </c:pt>
                <c:pt idx="51">
                  <c:v>57.193328855662699</c:v>
                </c:pt>
                <c:pt idx="52">
                  <c:v>52.905056237615497</c:v>
                </c:pt>
                <c:pt idx="53">
                  <c:v>53.255441067930498</c:v>
                </c:pt>
                <c:pt idx="54">
                  <c:v>52.759058908216097</c:v>
                </c:pt>
                <c:pt idx="55">
                  <c:v>51.0129479485934</c:v>
                </c:pt>
                <c:pt idx="56">
                  <c:v>50.611945094625803</c:v>
                </c:pt>
                <c:pt idx="57">
                  <c:v>50.1484638046581</c:v>
                </c:pt>
                <c:pt idx="58">
                  <c:v>48.843754162002703</c:v>
                </c:pt>
                <c:pt idx="59">
                  <c:v>49.317108903860401</c:v>
                </c:pt>
                <c:pt idx="60">
                  <c:v>48.105356376732601</c:v>
                </c:pt>
                <c:pt idx="61">
                  <c:v>46.945995483733803</c:v>
                </c:pt>
                <c:pt idx="62">
                  <c:v>44.920662793837202</c:v>
                </c:pt>
                <c:pt idx="63">
                  <c:v>39.138945542325096</c:v>
                </c:pt>
              </c:numCache>
            </c:numRef>
          </c:val>
          <c:smooth val="0"/>
          <c:extLst>
            <c:ext xmlns:c16="http://schemas.microsoft.com/office/drawing/2014/chart" uri="{C3380CC4-5D6E-409C-BE32-E72D297353CC}">
              <c16:uniqueId val="{00000000-8265-422A-9BD4-BCEC6B605262}"/>
            </c:ext>
          </c:extLst>
        </c:ser>
        <c:ser>
          <c:idx val="1"/>
          <c:order val="1"/>
          <c:tx>
            <c:strRef>
              <c:f>'IAT CONS'!$F$4</c:f>
              <c:strCache>
                <c:ptCount val="1"/>
                <c:pt idx="0">
                  <c:v>Tendencia-Ciclo</c:v>
                </c:pt>
              </c:strCache>
            </c:strRef>
          </c:tx>
          <c:spPr>
            <a:ln w="12700">
              <a:solidFill>
                <a:srgbClr val="C00000"/>
              </a:solidFill>
            </a:ln>
          </c:spPr>
          <c:marker>
            <c:symbol val="none"/>
          </c:marker>
          <c:cat>
            <c:multiLvlStrRef>
              <c:f>'IAT CONS'!$A$53:$B$124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CONS'!$F$53:$F$124</c:f>
              <c:numCache>
                <c:formatCode>0.0_)</c:formatCode>
                <c:ptCount val="64"/>
                <c:pt idx="0">
                  <c:v>54.9682942663419</c:v>
                </c:pt>
                <c:pt idx="1">
                  <c:v>54.788939731415297</c:v>
                </c:pt>
                <c:pt idx="2">
                  <c:v>54.779954889343301</c:v>
                </c:pt>
                <c:pt idx="3">
                  <c:v>54.832853736568403</c:v>
                </c:pt>
                <c:pt idx="4">
                  <c:v>54.878418378118702</c:v>
                </c:pt>
                <c:pt idx="5">
                  <c:v>54.860971108252798</c:v>
                </c:pt>
                <c:pt idx="6">
                  <c:v>54.770093406685803</c:v>
                </c:pt>
                <c:pt idx="7">
                  <c:v>54.629577100927499</c:v>
                </c:pt>
                <c:pt idx="8">
                  <c:v>54.501737729405903</c:v>
                </c:pt>
                <c:pt idx="9">
                  <c:v>54.444505196674797</c:v>
                </c:pt>
                <c:pt idx="10">
                  <c:v>54.430395851598703</c:v>
                </c:pt>
                <c:pt idx="11">
                  <c:v>54.382894075234098</c:v>
                </c:pt>
                <c:pt idx="12">
                  <c:v>54.2444795449791</c:v>
                </c:pt>
                <c:pt idx="13">
                  <c:v>54.007570853102003</c:v>
                </c:pt>
                <c:pt idx="14">
                  <c:v>53.7535557614355</c:v>
                </c:pt>
                <c:pt idx="15">
                  <c:v>53.566854560337902</c:v>
                </c:pt>
                <c:pt idx="16">
                  <c:v>53.484180386204798</c:v>
                </c:pt>
                <c:pt idx="17">
                  <c:v>53.524552613293103</c:v>
                </c:pt>
                <c:pt idx="18">
                  <c:v>53.591340758536298</c:v>
                </c:pt>
                <c:pt idx="19">
                  <c:v>53.582481881757801</c:v>
                </c:pt>
                <c:pt idx="20">
                  <c:v>53.489498485710897</c:v>
                </c:pt>
                <c:pt idx="21">
                  <c:v>53.355382895806599</c:v>
                </c:pt>
                <c:pt idx="22">
                  <c:v>53.295891067134697</c:v>
                </c:pt>
                <c:pt idx="23">
                  <c:v>53.360358275263302</c:v>
                </c:pt>
                <c:pt idx="24">
                  <c:v>53.522839481499702</c:v>
                </c:pt>
                <c:pt idx="25">
                  <c:v>53.6655334558383</c:v>
                </c:pt>
                <c:pt idx="26">
                  <c:v>53.731565855519797</c:v>
                </c:pt>
                <c:pt idx="27">
                  <c:v>53.699152246495998</c:v>
                </c:pt>
                <c:pt idx="28">
                  <c:v>53.587263196673199</c:v>
                </c:pt>
                <c:pt idx="29">
                  <c:v>53.4636611544774</c:v>
                </c:pt>
                <c:pt idx="30">
                  <c:v>53.396193502731997</c:v>
                </c:pt>
                <c:pt idx="31">
                  <c:v>53.369278035296901</c:v>
                </c:pt>
                <c:pt idx="32">
                  <c:v>53.264058399806999</c:v>
                </c:pt>
                <c:pt idx="33">
                  <c:v>53.073326856997603</c:v>
                </c:pt>
                <c:pt idx="34">
                  <c:v>52.792875676915997</c:v>
                </c:pt>
                <c:pt idx="35">
                  <c:v>52.504920488901803</c:v>
                </c:pt>
                <c:pt idx="36">
                  <c:v>52.353466200257699</c:v>
                </c:pt>
                <c:pt idx="37">
                  <c:v>52.371544364135197</c:v>
                </c:pt>
                <c:pt idx="38">
                  <c:v>52.501940019623198</c:v>
                </c:pt>
                <c:pt idx="39">
                  <c:v>52.684151341803997</c:v>
                </c:pt>
                <c:pt idx="40">
                  <c:v>52.8745300612715</c:v>
                </c:pt>
                <c:pt idx="41">
                  <c:v>52.999770594210602</c:v>
                </c:pt>
                <c:pt idx="42">
                  <c:v>53.046327326908497</c:v>
                </c:pt>
                <c:pt idx="43">
                  <c:v>53.059951086778199</c:v>
                </c:pt>
                <c:pt idx="44">
                  <c:v>53.064352969540998</c:v>
                </c:pt>
                <c:pt idx="45">
                  <c:v>53.030452063574302</c:v>
                </c:pt>
                <c:pt idx="46">
                  <c:v>52.943521996238402</c:v>
                </c:pt>
                <c:pt idx="47">
                  <c:v>52.835376726789697</c:v>
                </c:pt>
                <c:pt idx="48">
                  <c:v>52.7335077479947</c:v>
                </c:pt>
                <c:pt idx="49">
                  <c:v>52.739714241928802</c:v>
                </c:pt>
                <c:pt idx="50">
                  <c:v>52.859620546856299</c:v>
                </c:pt>
                <c:pt idx="51">
                  <c:v>52.969606825946997</c:v>
                </c:pt>
                <c:pt idx="52">
                  <c:v>52.954360773016901</c:v>
                </c:pt>
                <c:pt idx="53">
                  <c:v>52.728526274129898</c:v>
                </c:pt>
                <c:pt idx="54">
                  <c:v>52.247296914146503</c:v>
                </c:pt>
                <c:pt idx="55">
                  <c:v>51.580704484301698</c:v>
                </c:pt>
                <c:pt idx="56">
                  <c:v>50.848162331282502</c:v>
                </c:pt>
                <c:pt idx="57">
                  <c:v>50.1581187942895</c:v>
                </c:pt>
                <c:pt idx="58">
                  <c:v>49.513588824268602</c:v>
                </c:pt>
                <c:pt idx="59">
                  <c:v>48.764581910114302</c:v>
                </c:pt>
                <c:pt idx="60">
                  <c:v>47.7459611434602</c:v>
                </c:pt>
                <c:pt idx="61">
                  <c:v>46.382435954127203</c:v>
                </c:pt>
                <c:pt idx="62">
                  <c:v>44.773508955886903</c:v>
                </c:pt>
                <c:pt idx="63">
                  <c:v>43.145331135754802</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476048568"/>
        <c:axId val="476048960"/>
      </c:lineChart>
      <c:catAx>
        <c:axId val="4760485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6048960"/>
        <c:crossesAt val="50"/>
        <c:auto val="1"/>
        <c:lblAlgn val="ctr"/>
        <c:lblOffset val="50"/>
        <c:tickLblSkip val="1"/>
        <c:tickMarkSkip val="12"/>
        <c:noMultiLvlLbl val="1"/>
      </c:catAx>
      <c:valAx>
        <c:axId val="476048960"/>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6048568"/>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'IAT CONS'!$G$4</c:f>
              <c:strCache>
                <c:ptCount val="1"/>
                <c:pt idx="0">
                  <c:v>Serie Desestacionalizada</c:v>
                </c:pt>
              </c:strCache>
            </c:strRef>
          </c:tx>
          <c:spPr>
            <a:ln w="15875">
              <a:solidFill>
                <a:srgbClr val="3D6AA1"/>
              </a:solidFill>
            </a:ln>
          </c:spPr>
          <c:marker>
            <c:symbol val="none"/>
          </c:marker>
          <c:cat>
            <c:multiLvlStrRef>
              <c:f>'IAT CONS'!$A$53:$B$124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CONS'!$G$53:$G$124</c:f>
              <c:numCache>
                <c:formatCode>0.0_)</c:formatCode>
                <c:ptCount val="64"/>
                <c:pt idx="0">
                  <c:v>57.837581856387601</c:v>
                </c:pt>
                <c:pt idx="1">
                  <c:v>55.868790894096897</c:v>
                </c:pt>
                <c:pt idx="2">
                  <c:v>56.682078521789002</c:v>
                </c:pt>
                <c:pt idx="3">
                  <c:v>56.557180011924999</c:v>
                </c:pt>
                <c:pt idx="4">
                  <c:v>56.700399984164598</c:v>
                </c:pt>
                <c:pt idx="5">
                  <c:v>55.477458018688999</c:v>
                </c:pt>
                <c:pt idx="6">
                  <c:v>56.392092494925798</c:v>
                </c:pt>
                <c:pt idx="7">
                  <c:v>55.283789064709197</c:v>
                </c:pt>
                <c:pt idx="8">
                  <c:v>55.066457235448901</c:v>
                </c:pt>
                <c:pt idx="9">
                  <c:v>56.136247432919703</c:v>
                </c:pt>
                <c:pt idx="10">
                  <c:v>56.317697947251901</c:v>
                </c:pt>
                <c:pt idx="11">
                  <c:v>57.766403681919002</c:v>
                </c:pt>
                <c:pt idx="12">
                  <c:v>57.326742207995999</c:v>
                </c:pt>
                <c:pt idx="13">
                  <c:v>57.393606994569701</c:v>
                </c:pt>
                <c:pt idx="14">
                  <c:v>56.222254393216502</c:v>
                </c:pt>
                <c:pt idx="15">
                  <c:v>53.916204494251303</c:v>
                </c:pt>
                <c:pt idx="16">
                  <c:v>55.523526751166401</c:v>
                </c:pt>
                <c:pt idx="17">
                  <c:v>56.008536886426299</c:v>
                </c:pt>
                <c:pt idx="18">
                  <c:v>58.111953254305703</c:v>
                </c:pt>
                <c:pt idx="19">
                  <c:v>56.005530093524598</c:v>
                </c:pt>
                <c:pt idx="20">
                  <c:v>56.844424354109997</c:v>
                </c:pt>
                <c:pt idx="21">
                  <c:v>55.0539473855981</c:v>
                </c:pt>
                <c:pt idx="22">
                  <c:v>55.528132528640299</c:v>
                </c:pt>
                <c:pt idx="23">
                  <c:v>55.4819984149878</c:v>
                </c:pt>
                <c:pt idx="24">
                  <c:v>56.5294987760373</c:v>
                </c:pt>
                <c:pt idx="25">
                  <c:v>57.483657097252397</c:v>
                </c:pt>
                <c:pt idx="26">
                  <c:v>55.911206405758698</c:v>
                </c:pt>
                <c:pt idx="27">
                  <c:v>56.220692640201499</c:v>
                </c:pt>
                <c:pt idx="28">
                  <c:v>56.993672405161597</c:v>
                </c:pt>
                <c:pt idx="29">
                  <c:v>57.350069416598501</c:v>
                </c:pt>
                <c:pt idx="30">
                  <c:v>54.553906075750199</c:v>
                </c:pt>
                <c:pt idx="31">
                  <c:v>56.254299802986203</c:v>
                </c:pt>
                <c:pt idx="32">
                  <c:v>54.239180564734198</c:v>
                </c:pt>
                <c:pt idx="33">
                  <c:v>55.305537629215003</c:v>
                </c:pt>
                <c:pt idx="34">
                  <c:v>54.208146495837603</c:v>
                </c:pt>
                <c:pt idx="35">
                  <c:v>53.381898826388401</c:v>
                </c:pt>
                <c:pt idx="36">
                  <c:v>50.928704017213398</c:v>
                </c:pt>
                <c:pt idx="37">
                  <c:v>52.963091628963298</c:v>
                </c:pt>
                <c:pt idx="38">
                  <c:v>53.496230508622297</c:v>
                </c:pt>
                <c:pt idx="39">
                  <c:v>53.096517457068003</c:v>
                </c:pt>
                <c:pt idx="40">
                  <c:v>54.868343472522099</c:v>
                </c:pt>
                <c:pt idx="41">
                  <c:v>47.9957626454174</c:v>
                </c:pt>
                <c:pt idx="42">
                  <c:v>49.236849499691097</c:v>
                </c:pt>
                <c:pt idx="43">
                  <c:v>50.999587146442799</c:v>
                </c:pt>
                <c:pt idx="44">
                  <c:v>56.085825138388401</c:v>
                </c:pt>
                <c:pt idx="45">
                  <c:v>50.867329314185902</c:v>
                </c:pt>
                <c:pt idx="46">
                  <c:v>51.028761600257099</c:v>
                </c:pt>
                <c:pt idx="47">
                  <c:v>48.760430191893199</c:v>
                </c:pt>
                <c:pt idx="48">
                  <c:v>50.760903422737499</c:v>
                </c:pt>
                <c:pt idx="49">
                  <c:v>50.690074415473802</c:v>
                </c:pt>
                <c:pt idx="50">
                  <c:v>50.964868604781799</c:v>
                </c:pt>
                <c:pt idx="51">
                  <c:v>53.563655786661499</c:v>
                </c:pt>
                <c:pt idx="52">
                  <c:v>53.3806019027286</c:v>
                </c:pt>
                <c:pt idx="53">
                  <c:v>52.433648617226602</c:v>
                </c:pt>
                <c:pt idx="54">
                  <c:v>51.623117599108603</c:v>
                </c:pt>
                <c:pt idx="55">
                  <c:v>50.181794402032303</c:v>
                </c:pt>
                <c:pt idx="56">
                  <c:v>50.108466699661697</c:v>
                </c:pt>
                <c:pt idx="57">
                  <c:v>49.467489896532697</c:v>
                </c:pt>
                <c:pt idx="58">
                  <c:v>48.3037493106116</c:v>
                </c:pt>
                <c:pt idx="59">
                  <c:v>48.338387764930403</c:v>
                </c:pt>
                <c:pt idx="60">
                  <c:v>47.537902770512098</c:v>
                </c:pt>
                <c:pt idx="61">
                  <c:v>45.299362304501201</c:v>
                </c:pt>
                <c:pt idx="62">
                  <c:v>43.800520625931497</c:v>
                </c:pt>
                <c:pt idx="63">
                  <c:v>36.441144577649602</c:v>
                </c:pt>
              </c:numCache>
            </c:numRef>
          </c:val>
          <c:smooth val="0"/>
          <c:extLst>
            <c:ext xmlns:c16="http://schemas.microsoft.com/office/drawing/2014/chart" uri="{C3380CC4-5D6E-409C-BE32-E72D297353CC}">
              <c16:uniqueId val="{00000000-0EEB-4EE4-AF4F-1E90A10962D2}"/>
            </c:ext>
          </c:extLst>
        </c:ser>
        <c:ser>
          <c:idx val="1"/>
          <c:order val="1"/>
          <c:tx>
            <c:strRef>
              <c:f>'IAT CONS'!$H$4</c:f>
              <c:strCache>
                <c:ptCount val="1"/>
                <c:pt idx="0">
                  <c:v>Tendencia-Ciclo</c:v>
                </c:pt>
              </c:strCache>
            </c:strRef>
          </c:tx>
          <c:spPr>
            <a:ln w="12700">
              <a:solidFill>
                <a:srgbClr val="C00000"/>
              </a:solidFill>
            </a:ln>
          </c:spPr>
          <c:marker>
            <c:symbol val="none"/>
          </c:marker>
          <c:cat>
            <c:multiLvlStrRef>
              <c:f>'IAT CONS'!$A$53:$B$124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CONS'!$H$53:$H$124</c:f>
              <c:numCache>
                <c:formatCode>0.0_)</c:formatCode>
                <c:ptCount val="64"/>
                <c:pt idx="0">
                  <c:v>57.185519530099299</c:v>
                </c:pt>
                <c:pt idx="1">
                  <c:v>56.971834370188702</c:v>
                </c:pt>
                <c:pt idx="2">
                  <c:v>56.7071981781434</c:v>
                </c:pt>
                <c:pt idx="3">
                  <c:v>56.443692509832204</c:v>
                </c:pt>
                <c:pt idx="4">
                  <c:v>56.195530022661202</c:v>
                </c:pt>
                <c:pt idx="5">
                  <c:v>55.946631777462201</c:v>
                </c:pt>
                <c:pt idx="6">
                  <c:v>55.732881154152601</c:v>
                </c:pt>
                <c:pt idx="7">
                  <c:v>55.641369245069697</c:v>
                </c:pt>
                <c:pt idx="8">
                  <c:v>55.765788858266099</c:v>
                </c:pt>
                <c:pt idx="9">
                  <c:v>56.154411866867797</c:v>
                </c:pt>
                <c:pt idx="10">
                  <c:v>56.629538744723902</c:v>
                </c:pt>
                <c:pt idx="11">
                  <c:v>56.967649354169097</c:v>
                </c:pt>
                <c:pt idx="12">
                  <c:v>56.986627633954299</c:v>
                </c:pt>
                <c:pt idx="13">
                  <c:v>56.735406184857702</c:v>
                </c:pt>
                <c:pt idx="14">
                  <c:v>56.338030167248903</c:v>
                </c:pt>
                <c:pt idx="15">
                  <c:v>56.048180218593899</c:v>
                </c:pt>
                <c:pt idx="16">
                  <c:v>55.985243979567997</c:v>
                </c:pt>
                <c:pt idx="17">
                  <c:v>56.107176695487702</c:v>
                </c:pt>
                <c:pt idx="18">
                  <c:v>56.259323607391202</c:v>
                </c:pt>
                <c:pt idx="19">
                  <c:v>56.264163871091803</c:v>
                </c:pt>
                <c:pt idx="20">
                  <c:v>56.133856720115297</c:v>
                </c:pt>
                <c:pt idx="21">
                  <c:v>55.955868520563399</c:v>
                </c:pt>
                <c:pt idx="22">
                  <c:v>55.856515345932898</c:v>
                </c:pt>
                <c:pt idx="23">
                  <c:v>55.916099234699701</c:v>
                </c:pt>
                <c:pt idx="24">
                  <c:v>56.1617880154134</c:v>
                </c:pt>
                <c:pt idx="25">
                  <c:v>56.452722463790302</c:v>
                </c:pt>
                <c:pt idx="26">
                  <c:v>56.659938990722999</c:v>
                </c:pt>
                <c:pt idx="27">
                  <c:v>56.698421037499301</c:v>
                </c:pt>
                <c:pt idx="28">
                  <c:v>56.540442901431703</c:v>
                </c:pt>
                <c:pt idx="29">
                  <c:v>56.2718391160249</c:v>
                </c:pt>
                <c:pt idx="30">
                  <c:v>55.942333454636398</c:v>
                </c:pt>
                <c:pt idx="31">
                  <c:v>55.548918386638697</c:v>
                </c:pt>
                <c:pt idx="32">
                  <c:v>55.0514174767656</c:v>
                </c:pt>
                <c:pt idx="33">
                  <c:v>54.491573178947299</c:v>
                </c:pt>
                <c:pt idx="34">
                  <c:v>53.998431420880898</c:v>
                </c:pt>
                <c:pt idx="35">
                  <c:v>53.612005959568499</c:v>
                </c:pt>
                <c:pt idx="36">
                  <c:v>53.3330981121116</c:v>
                </c:pt>
                <c:pt idx="37">
                  <c:v>53.096368604987603</c:v>
                </c:pt>
                <c:pt idx="38">
                  <c:v>52.850467941216401</c:v>
                </c:pt>
                <c:pt idx="39">
                  <c:v>52.493986036609599</c:v>
                </c:pt>
                <c:pt idx="40">
                  <c:v>52.040588034230602</c:v>
                </c:pt>
                <c:pt idx="41">
                  <c:v>51.550692230416097</c:v>
                </c:pt>
                <c:pt idx="42">
                  <c:v>51.115823464065897</c:v>
                </c:pt>
                <c:pt idx="43">
                  <c:v>50.812873925782597</c:v>
                </c:pt>
                <c:pt idx="44">
                  <c:v>50.659553362222297</c:v>
                </c:pt>
                <c:pt idx="45">
                  <c:v>50.547132751397299</c:v>
                </c:pt>
                <c:pt idx="46">
                  <c:v>50.445376119943703</c:v>
                </c:pt>
                <c:pt idx="47">
                  <c:v>50.450738132111198</c:v>
                </c:pt>
                <c:pt idx="48">
                  <c:v>50.682308469208003</c:v>
                </c:pt>
                <c:pt idx="49">
                  <c:v>51.181907938462103</c:v>
                </c:pt>
                <c:pt idx="50">
                  <c:v>51.830732609345098</c:v>
                </c:pt>
                <c:pt idx="51">
                  <c:v>52.365143635447403</c:v>
                </c:pt>
                <c:pt idx="52">
                  <c:v>52.576896716938897</c:v>
                </c:pt>
                <c:pt idx="53">
                  <c:v>52.346639085172399</c:v>
                </c:pt>
                <c:pt idx="54">
                  <c:v>51.722867215892599</c:v>
                </c:pt>
                <c:pt idx="55">
                  <c:v>50.924561724408598</c:v>
                </c:pt>
                <c:pt idx="56">
                  <c:v>50.123621866108302</c:v>
                </c:pt>
                <c:pt idx="57">
                  <c:v>49.440935758765299</c:v>
                </c:pt>
                <c:pt idx="58">
                  <c:v>48.806864474618699</c:v>
                </c:pt>
                <c:pt idx="59">
                  <c:v>47.977137153160399</c:v>
                </c:pt>
                <c:pt idx="60">
                  <c:v>46.7306985531675</c:v>
                </c:pt>
                <c:pt idx="61">
                  <c:v>45.071381077937801</c:v>
                </c:pt>
                <c:pt idx="62">
                  <c:v>43.214352149446697</c:v>
                </c:pt>
                <c:pt idx="63">
                  <c:v>41.524976667873801</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476045824"/>
        <c:axId val="476046608"/>
      </c:lineChart>
      <c:catAx>
        <c:axId val="4760458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6046608"/>
        <c:crossesAt val="50"/>
        <c:auto val="1"/>
        <c:lblAlgn val="ctr"/>
        <c:lblOffset val="50"/>
        <c:tickLblSkip val="1"/>
        <c:tickMarkSkip val="12"/>
        <c:noMultiLvlLbl val="1"/>
      </c:catAx>
      <c:valAx>
        <c:axId val="476046608"/>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6045824"/>
        <c:crosses val="autoZero"/>
        <c:crossBetween val="between"/>
        <c:majorUnit val="5"/>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'IAT CONS'!$I$4</c:f>
              <c:strCache>
                <c:ptCount val="1"/>
                <c:pt idx="0">
                  <c:v>Serie Desestacionalizada</c:v>
                </c:pt>
              </c:strCache>
            </c:strRef>
          </c:tx>
          <c:spPr>
            <a:ln w="15875">
              <a:solidFill>
                <a:srgbClr val="3D6AA1"/>
              </a:solidFill>
            </a:ln>
          </c:spPr>
          <c:marker>
            <c:symbol val="none"/>
          </c:marker>
          <c:cat>
            <c:multiLvlStrRef>
              <c:f>'IAT CONS'!$A$53:$B$124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CONS'!$I$53:$I$124</c:f>
              <c:numCache>
                <c:formatCode>0.0_)</c:formatCode>
                <c:ptCount val="64"/>
                <c:pt idx="0">
                  <c:v>54.733282097341103</c:v>
                </c:pt>
                <c:pt idx="1">
                  <c:v>54.805267233323498</c:v>
                </c:pt>
                <c:pt idx="2">
                  <c:v>55.119153004815402</c:v>
                </c:pt>
                <c:pt idx="3">
                  <c:v>53.933913236879597</c:v>
                </c:pt>
                <c:pt idx="4">
                  <c:v>53.587465129136099</c:v>
                </c:pt>
                <c:pt idx="5">
                  <c:v>53.2655615740643</c:v>
                </c:pt>
                <c:pt idx="6">
                  <c:v>54.017239790090102</c:v>
                </c:pt>
                <c:pt idx="7">
                  <c:v>53.419061345256303</c:v>
                </c:pt>
                <c:pt idx="8">
                  <c:v>53.528154192818803</c:v>
                </c:pt>
                <c:pt idx="9">
                  <c:v>53.755145570502201</c:v>
                </c:pt>
                <c:pt idx="10">
                  <c:v>53.776875582320798</c:v>
                </c:pt>
                <c:pt idx="11">
                  <c:v>54.905014197666702</c:v>
                </c:pt>
                <c:pt idx="12">
                  <c:v>54.609584904696099</c:v>
                </c:pt>
                <c:pt idx="13">
                  <c:v>54.801161284589199</c:v>
                </c:pt>
                <c:pt idx="14">
                  <c:v>54.027465757208603</c:v>
                </c:pt>
                <c:pt idx="15">
                  <c:v>53.944155783038298</c:v>
                </c:pt>
                <c:pt idx="16">
                  <c:v>53.868292212292602</c:v>
                </c:pt>
                <c:pt idx="17">
                  <c:v>54.263495416104199</c:v>
                </c:pt>
                <c:pt idx="18">
                  <c:v>54.293269593246599</c:v>
                </c:pt>
                <c:pt idx="19">
                  <c:v>53.652592517282301</c:v>
                </c:pt>
                <c:pt idx="20">
                  <c:v>54.566423982549601</c:v>
                </c:pt>
                <c:pt idx="21">
                  <c:v>52.972085582346502</c:v>
                </c:pt>
                <c:pt idx="22">
                  <c:v>53.718760240685299</c:v>
                </c:pt>
                <c:pt idx="23">
                  <c:v>53.518642583598698</c:v>
                </c:pt>
                <c:pt idx="24">
                  <c:v>54.224104818658702</c:v>
                </c:pt>
                <c:pt idx="25">
                  <c:v>53.769727503393298</c:v>
                </c:pt>
                <c:pt idx="26">
                  <c:v>53.778783750849797</c:v>
                </c:pt>
                <c:pt idx="27">
                  <c:v>53.940339447009002</c:v>
                </c:pt>
                <c:pt idx="28">
                  <c:v>54.952309929818703</c:v>
                </c:pt>
                <c:pt idx="29">
                  <c:v>53.255090724680201</c:v>
                </c:pt>
                <c:pt idx="30">
                  <c:v>52.956091093145297</c:v>
                </c:pt>
                <c:pt idx="31">
                  <c:v>53.3433912457742</c:v>
                </c:pt>
                <c:pt idx="32">
                  <c:v>52.967797501382996</c:v>
                </c:pt>
                <c:pt idx="33">
                  <c:v>52.9423605164924</c:v>
                </c:pt>
                <c:pt idx="34">
                  <c:v>53.587046681367397</c:v>
                </c:pt>
                <c:pt idx="35">
                  <c:v>52.800245929787302</c:v>
                </c:pt>
                <c:pt idx="36">
                  <c:v>52.620781039228298</c:v>
                </c:pt>
                <c:pt idx="37">
                  <c:v>51.485592149938398</c:v>
                </c:pt>
                <c:pt idx="38">
                  <c:v>50.687568432987398</c:v>
                </c:pt>
                <c:pt idx="39">
                  <c:v>52.513882556830097</c:v>
                </c:pt>
                <c:pt idx="40">
                  <c:v>52.9097319213422</c:v>
                </c:pt>
                <c:pt idx="41">
                  <c:v>51.056612349985102</c:v>
                </c:pt>
                <c:pt idx="42">
                  <c:v>53.101444648132102</c:v>
                </c:pt>
                <c:pt idx="43">
                  <c:v>53.128378575888398</c:v>
                </c:pt>
                <c:pt idx="44">
                  <c:v>52.017719289514801</c:v>
                </c:pt>
                <c:pt idx="45">
                  <c:v>52.929593833155899</c:v>
                </c:pt>
                <c:pt idx="46">
                  <c:v>51.714124883354998</c:v>
                </c:pt>
                <c:pt idx="47">
                  <c:v>52.166402542036998</c:v>
                </c:pt>
                <c:pt idx="48">
                  <c:v>52.326037815038099</c:v>
                </c:pt>
                <c:pt idx="49">
                  <c:v>52.514343108184498</c:v>
                </c:pt>
                <c:pt idx="50">
                  <c:v>52.001212990657002</c:v>
                </c:pt>
                <c:pt idx="51">
                  <c:v>52.042436021807298</c:v>
                </c:pt>
                <c:pt idx="52">
                  <c:v>50.9850153404577</c:v>
                </c:pt>
                <c:pt idx="53">
                  <c:v>51.312754936466298</c:v>
                </c:pt>
                <c:pt idx="54">
                  <c:v>50.053025807714</c:v>
                </c:pt>
                <c:pt idx="55">
                  <c:v>50.599530372535497</c:v>
                </c:pt>
                <c:pt idx="56">
                  <c:v>50.9196948390844</c:v>
                </c:pt>
                <c:pt idx="57">
                  <c:v>50.179255800055003</c:v>
                </c:pt>
                <c:pt idx="58">
                  <c:v>50.062130112965797</c:v>
                </c:pt>
                <c:pt idx="59">
                  <c:v>48.873802730196203</c:v>
                </c:pt>
                <c:pt idx="60">
                  <c:v>49.470504173583599</c:v>
                </c:pt>
                <c:pt idx="61">
                  <c:v>49.8139933297184</c:v>
                </c:pt>
                <c:pt idx="62">
                  <c:v>49.274793202695598</c:v>
                </c:pt>
                <c:pt idx="63">
                  <c:v>47.325791755756804</c:v>
                </c:pt>
              </c:numCache>
            </c:numRef>
          </c:val>
          <c:smooth val="0"/>
          <c:extLst>
            <c:ext xmlns:c16="http://schemas.microsoft.com/office/drawing/2014/chart" uri="{C3380CC4-5D6E-409C-BE32-E72D297353CC}">
              <c16:uniqueId val="{00000000-DABF-4C56-BD7D-A2F8E121371D}"/>
            </c:ext>
          </c:extLst>
        </c:ser>
        <c:ser>
          <c:idx val="1"/>
          <c:order val="1"/>
          <c:tx>
            <c:strRef>
              <c:f>'IAT CONS'!$J$4</c:f>
              <c:strCache>
                <c:ptCount val="1"/>
                <c:pt idx="0">
                  <c:v>Tendencia-Ciclo</c:v>
                </c:pt>
              </c:strCache>
            </c:strRef>
          </c:tx>
          <c:spPr>
            <a:ln w="12700">
              <a:solidFill>
                <a:srgbClr val="C00000"/>
              </a:solidFill>
            </a:ln>
          </c:spPr>
          <c:marker>
            <c:symbol val="none"/>
          </c:marker>
          <c:cat>
            <c:multiLvlStrRef>
              <c:f>'IAT CONS'!$A$53:$B$124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CONS'!$J$53:$J$124</c:f>
              <c:numCache>
                <c:formatCode>0.0_)</c:formatCode>
                <c:ptCount val="64"/>
                <c:pt idx="0">
                  <c:v>54.875529886693002</c:v>
                </c:pt>
                <c:pt idx="1">
                  <c:v>54.752042626532599</c:v>
                </c:pt>
                <c:pt idx="2">
                  <c:v>54.5006124597083</c:v>
                </c:pt>
                <c:pt idx="3">
                  <c:v>54.185827947096598</c:v>
                </c:pt>
                <c:pt idx="4">
                  <c:v>53.883495704467002</c:v>
                </c:pt>
                <c:pt idx="5">
                  <c:v>53.6358375824531</c:v>
                </c:pt>
                <c:pt idx="6">
                  <c:v>53.497882374838703</c:v>
                </c:pt>
                <c:pt idx="7">
                  <c:v>53.497913791258497</c:v>
                </c:pt>
                <c:pt idx="8">
                  <c:v>53.647896256495102</c:v>
                </c:pt>
                <c:pt idx="9">
                  <c:v>53.8941586197597</c:v>
                </c:pt>
                <c:pt idx="10">
                  <c:v>54.155204680484403</c:v>
                </c:pt>
                <c:pt idx="11">
                  <c:v>54.365262199971099</c:v>
                </c:pt>
                <c:pt idx="12">
                  <c:v>54.466343311632798</c:v>
                </c:pt>
                <c:pt idx="13">
                  <c:v>54.453699161790702</c:v>
                </c:pt>
                <c:pt idx="14">
                  <c:v>54.332104411829697</c:v>
                </c:pt>
                <c:pt idx="15">
                  <c:v>54.193632881636603</c:v>
                </c:pt>
                <c:pt idx="16">
                  <c:v>54.092021395015301</c:v>
                </c:pt>
                <c:pt idx="17">
                  <c:v>54.045984743437003</c:v>
                </c:pt>
                <c:pt idx="18">
                  <c:v>54.014829204374998</c:v>
                </c:pt>
                <c:pt idx="19">
                  <c:v>53.955567125683601</c:v>
                </c:pt>
                <c:pt idx="20">
                  <c:v>53.873873180747403</c:v>
                </c:pt>
                <c:pt idx="21">
                  <c:v>53.787342193974098</c:v>
                </c:pt>
                <c:pt idx="22">
                  <c:v>53.739771918166902</c:v>
                </c:pt>
                <c:pt idx="23">
                  <c:v>53.757671231547498</c:v>
                </c:pt>
                <c:pt idx="24">
                  <c:v>53.826892668507902</c:v>
                </c:pt>
                <c:pt idx="25">
                  <c:v>53.879309174451699</c:v>
                </c:pt>
                <c:pt idx="26">
                  <c:v>53.871701843054403</c:v>
                </c:pt>
                <c:pt idx="27">
                  <c:v>53.788601701357599</c:v>
                </c:pt>
                <c:pt idx="28">
                  <c:v>53.616027994670198</c:v>
                </c:pt>
                <c:pt idx="29">
                  <c:v>53.427205588154202</c:v>
                </c:pt>
                <c:pt idx="30">
                  <c:v>53.271102083484898</c:v>
                </c:pt>
                <c:pt idx="31">
                  <c:v>53.193063245126901</c:v>
                </c:pt>
                <c:pt idx="32">
                  <c:v>53.153002426570801</c:v>
                </c:pt>
                <c:pt idx="33">
                  <c:v>53.086057193716002</c:v>
                </c:pt>
                <c:pt idx="34">
                  <c:v>52.9290352279003</c:v>
                </c:pt>
                <c:pt idx="35">
                  <c:v>52.688201017826003</c:v>
                </c:pt>
                <c:pt idx="36">
                  <c:v>52.424879190765701</c:v>
                </c:pt>
                <c:pt idx="37">
                  <c:v>52.2385108056503</c:v>
                </c:pt>
                <c:pt idx="38">
                  <c:v>52.219663519942301</c:v>
                </c:pt>
                <c:pt idx="39">
                  <c:v>52.347780772394202</c:v>
                </c:pt>
                <c:pt idx="40">
                  <c:v>52.578810282144097</c:v>
                </c:pt>
                <c:pt idx="41">
                  <c:v>52.790219210815003</c:v>
                </c:pt>
                <c:pt idx="42">
                  <c:v>52.862881911570597</c:v>
                </c:pt>
                <c:pt idx="43">
                  <c:v>52.774257228471697</c:v>
                </c:pt>
                <c:pt idx="44">
                  <c:v>52.590515431910397</c:v>
                </c:pt>
                <c:pt idx="45">
                  <c:v>52.413815764294803</c:v>
                </c:pt>
                <c:pt idx="46">
                  <c:v>52.307954355177003</c:v>
                </c:pt>
                <c:pt idx="47">
                  <c:v>52.261355901781599</c:v>
                </c:pt>
                <c:pt idx="48">
                  <c:v>52.241214124230297</c:v>
                </c:pt>
                <c:pt idx="49">
                  <c:v>52.1856204989015</c:v>
                </c:pt>
                <c:pt idx="50">
                  <c:v>52.0176789540633</c:v>
                </c:pt>
                <c:pt idx="51">
                  <c:v>51.746170536533</c:v>
                </c:pt>
                <c:pt idx="52">
                  <c:v>51.429104882899203</c:v>
                </c:pt>
                <c:pt idx="53">
                  <c:v>51.115905458920302</c:v>
                </c:pt>
                <c:pt idx="54">
                  <c:v>50.865792476798099</c:v>
                </c:pt>
                <c:pt idx="55">
                  <c:v>50.651981683931901</c:v>
                </c:pt>
                <c:pt idx="56">
                  <c:v>50.4499197471172</c:v>
                </c:pt>
                <c:pt idx="57">
                  <c:v>50.255909514077103</c:v>
                </c:pt>
                <c:pt idx="58">
                  <c:v>50.063961536706998</c:v>
                </c:pt>
                <c:pt idx="59">
                  <c:v>49.861748502326201</c:v>
                </c:pt>
                <c:pt idx="60">
                  <c:v>49.630586305416401</c:v>
                </c:pt>
                <c:pt idx="61">
                  <c:v>49.328348733084603</c:v>
                </c:pt>
                <c:pt idx="62">
                  <c:v>48.948128086729099</c:v>
                </c:pt>
                <c:pt idx="63">
                  <c:v>48.502240376637303</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476047392"/>
        <c:axId val="511571544"/>
      </c:lineChart>
      <c:catAx>
        <c:axId val="4760473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1571544"/>
        <c:crossesAt val="50"/>
        <c:auto val="1"/>
        <c:lblAlgn val="ctr"/>
        <c:lblOffset val="50"/>
        <c:tickLblSkip val="1"/>
        <c:tickMarkSkip val="12"/>
        <c:noMultiLvlLbl val="1"/>
      </c:catAx>
      <c:valAx>
        <c:axId val="511571544"/>
        <c:scaling>
          <c:orientation val="minMax"/>
          <c:max val="56"/>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6047392"/>
        <c:crosses val="autoZero"/>
        <c:crossBetween val="between"/>
        <c:majorUnit val="2"/>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CONS'!$K$4</c:f>
              <c:strCache>
                <c:ptCount val="1"/>
                <c:pt idx="0">
                  <c:v>Serie Desestacionalizada</c:v>
                </c:pt>
              </c:strCache>
            </c:strRef>
          </c:tx>
          <c:spPr>
            <a:ln w="15875">
              <a:solidFill>
                <a:srgbClr val="3D6AA1"/>
              </a:solidFill>
            </a:ln>
          </c:spPr>
          <c:marker>
            <c:symbol val="none"/>
          </c:marker>
          <c:cat>
            <c:multiLvlStrRef>
              <c:f>'IAT CONS'!$A$53:$B$124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CONS'!$K$53:$K$124</c:f>
              <c:numCache>
                <c:formatCode>0.0_)</c:formatCode>
                <c:ptCount val="64"/>
                <c:pt idx="0">
                  <c:v>50.838597184113098</c:v>
                </c:pt>
                <c:pt idx="1">
                  <c:v>50.945307231038299</c:v>
                </c:pt>
                <c:pt idx="2">
                  <c:v>51.671566471949397</c:v>
                </c:pt>
                <c:pt idx="3">
                  <c:v>51.333432160641003</c:v>
                </c:pt>
                <c:pt idx="4">
                  <c:v>51.0012877285995</c:v>
                </c:pt>
                <c:pt idx="5">
                  <c:v>51.079052544734601</c:v>
                </c:pt>
                <c:pt idx="6">
                  <c:v>51.227192024181299</c:v>
                </c:pt>
                <c:pt idx="7">
                  <c:v>50.668254597527898</c:v>
                </c:pt>
                <c:pt idx="8">
                  <c:v>50.882477154261402</c:v>
                </c:pt>
                <c:pt idx="9">
                  <c:v>50.642222324300597</c:v>
                </c:pt>
                <c:pt idx="10">
                  <c:v>50.528083554198602</c:v>
                </c:pt>
                <c:pt idx="11">
                  <c:v>51.595039128211802</c:v>
                </c:pt>
                <c:pt idx="12">
                  <c:v>50.798866960946199</c:v>
                </c:pt>
                <c:pt idx="13">
                  <c:v>49.653849454759403</c:v>
                </c:pt>
                <c:pt idx="14">
                  <c:v>49.045523614742002</c:v>
                </c:pt>
                <c:pt idx="15">
                  <c:v>48.417252373119801</c:v>
                </c:pt>
                <c:pt idx="16">
                  <c:v>50.285534692091197</c:v>
                </c:pt>
                <c:pt idx="17">
                  <c:v>49.726582006213299</c:v>
                </c:pt>
                <c:pt idx="18">
                  <c:v>49.7014353016474</c:v>
                </c:pt>
                <c:pt idx="19">
                  <c:v>49.4172266204747</c:v>
                </c:pt>
                <c:pt idx="20">
                  <c:v>49.604477828166097</c:v>
                </c:pt>
                <c:pt idx="21">
                  <c:v>49.3711684841644</c:v>
                </c:pt>
                <c:pt idx="22">
                  <c:v>49.822007704420002</c:v>
                </c:pt>
                <c:pt idx="23">
                  <c:v>50.378466250021503</c:v>
                </c:pt>
                <c:pt idx="24">
                  <c:v>49.845547450755397</c:v>
                </c:pt>
                <c:pt idx="25">
                  <c:v>50.759810180423003</c:v>
                </c:pt>
                <c:pt idx="26">
                  <c:v>51.216225083249597</c:v>
                </c:pt>
                <c:pt idx="27">
                  <c:v>50.545381101234703</c:v>
                </c:pt>
                <c:pt idx="28">
                  <c:v>50.834415226119802</c:v>
                </c:pt>
                <c:pt idx="29">
                  <c:v>50.802642802910398</c:v>
                </c:pt>
                <c:pt idx="30">
                  <c:v>50.383916345525101</c:v>
                </c:pt>
                <c:pt idx="31">
                  <c:v>50.674063121877303</c:v>
                </c:pt>
                <c:pt idx="32">
                  <c:v>49.223504135517103</c:v>
                </c:pt>
                <c:pt idx="33">
                  <c:v>49.988669348978704</c:v>
                </c:pt>
                <c:pt idx="34">
                  <c:v>50.570220451526303</c:v>
                </c:pt>
                <c:pt idx="35">
                  <c:v>49.497632559152102</c:v>
                </c:pt>
                <c:pt idx="36">
                  <c:v>49.991278640210702</c:v>
                </c:pt>
                <c:pt idx="37">
                  <c:v>49.705509493939502</c:v>
                </c:pt>
                <c:pt idx="38">
                  <c:v>50.023954796351298</c:v>
                </c:pt>
                <c:pt idx="39">
                  <c:v>49.820985918121202</c:v>
                </c:pt>
                <c:pt idx="40">
                  <c:v>49.6321963305165</c:v>
                </c:pt>
                <c:pt idx="41">
                  <c:v>48.7230120182764</c:v>
                </c:pt>
                <c:pt idx="42">
                  <c:v>48.720560580124697</c:v>
                </c:pt>
                <c:pt idx="43">
                  <c:v>49.2855302380908</c:v>
                </c:pt>
                <c:pt idx="44">
                  <c:v>48.6365276173902</c:v>
                </c:pt>
                <c:pt idx="45">
                  <c:v>48.797993847096002</c:v>
                </c:pt>
                <c:pt idx="46">
                  <c:v>47.825646554893098</c:v>
                </c:pt>
                <c:pt idx="47">
                  <c:v>47.690481481668201</c:v>
                </c:pt>
                <c:pt idx="48">
                  <c:v>48.010281717512001</c:v>
                </c:pt>
                <c:pt idx="49">
                  <c:v>48.226681744008303</c:v>
                </c:pt>
                <c:pt idx="50">
                  <c:v>48.060782369851097</c:v>
                </c:pt>
                <c:pt idx="51">
                  <c:v>49.670050335000298</c:v>
                </c:pt>
                <c:pt idx="52">
                  <c:v>48.927669814341897</c:v>
                </c:pt>
                <c:pt idx="53">
                  <c:v>49.153015829163103</c:v>
                </c:pt>
                <c:pt idx="54">
                  <c:v>48.985933877411597</c:v>
                </c:pt>
                <c:pt idx="55">
                  <c:v>47.9584440978362</c:v>
                </c:pt>
                <c:pt idx="56">
                  <c:v>48.051776989735203</c:v>
                </c:pt>
                <c:pt idx="57">
                  <c:v>47.595640904463998</c:v>
                </c:pt>
                <c:pt idx="58">
                  <c:v>47.3802992842229</c:v>
                </c:pt>
                <c:pt idx="59">
                  <c:v>47.282028415964497</c:v>
                </c:pt>
                <c:pt idx="60">
                  <c:v>47.0086318417329</c:v>
                </c:pt>
                <c:pt idx="61">
                  <c:v>47.404841536848203</c:v>
                </c:pt>
                <c:pt idx="62">
                  <c:v>46.195040135337301</c:v>
                </c:pt>
                <c:pt idx="63">
                  <c:v>42.8337127032677</c:v>
                </c:pt>
              </c:numCache>
            </c:numRef>
          </c:val>
          <c:smooth val="0"/>
          <c:extLst>
            <c:ext xmlns:c16="http://schemas.microsoft.com/office/drawing/2014/chart" uri="{C3380CC4-5D6E-409C-BE32-E72D297353CC}">
              <c16:uniqueId val="{00000000-52CF-4EB2-8FE4-1F257E0EA59C}"/>
            </c:ext>
          </c:extLst>
        </c:ser>
        <c:ser>
          <c:idx val="1"/>
          <c:order val="1"/>
          <c:tx>
            <c:strRef>
              <c:f>'IAT CONS'!$L$4</c:f>
              <c:strCache>
                <c:ptCount val="1"/>
                <c:pt idx="0">
                  <c:v>Tendencia-Ciclo</c:v>
                </c:pt>
              </c:strCache>
            </c:strRef>
          </c:tx>
          <c:spPr>
            <a:ln w="12700">
              <a:solidFill>
                <a:srgbClr val="C00000"/>
              </a:solidFill>
            </a:ln>
          </c:spPr>
          <c:marker>
            <c:symbol val="none"/>
          </c:marker>
          <c:cat>
            <c:multiLvlStrRef>
              <c:f>'IAT CONS'!$A$53:$B$124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CONS'!$L$53:$L$124</c:f>
              <c:numCache>
                <c:formatCode>0.0_)</c:formatCode>
                <c:ptCount val="64"/>
                <c:pt idx="0">
                  <c:v>51.144388884332002</c:v>
                </c:pt>
                <c:pt idx="1">
                  <c:v>51.161028093054803</c:v>
                </c:pt>
                <c:pt idx="2">
                  <c:v>51.193504187399597</c:v>
                </c:pt>
                <c:pt idx="3">
                  <c:v>51.224545781118103</c:v>
                </c:pt>
                <c:pt idx="4">
                  <c:v>51.211587956042798</c:v>
                </c:pt>
                <c:pt idx="5">
                  <c:v>51.133791658150898</c:v>
                </c:pt>
                <c:pt idx="6">
                  <c:v>51.007321566922499</c:v>
                </c:pt>
                <c:pt idx="7">
                  <c:v>50.889562079239397</c:v>
                </c:pt>
                <c:pt idx="8">
                  <c:v>50.8108547402569</c:v>
                </c:pt>
                <c:pt idx="9">
                  <c:v>50.730705164011802</c:v>
                </c:pt>
                <c:pt idx="10">
                  <c:v>50.589571292420104</c:v>
                </c:pt>
                <c:pt idx="11">
                  <c:v>50.375454790061099</c:v>
                </c:pt>
                <c:pt idx="12">
                  <c:v>50.111982884078898</c:v>
                </c:pt>
                <c:pt idx="13">
                  <c:v>49.8476714406833</c:v>
                </c:pt>
                <c:pt idx="14">
                  <c:v>49.632798811521397</c:v>
                </c:pt>
                <c:pt idx="15">
                  <c:v>49.5153658286793</c:v>
                </c:pt>
                <c:pt idx="16">
                  <c:v>49.482830019591802</c:v>
                </c:pt>
                <c:pt idx="17">
                  <c:v>49.497301077399797</c:v>
                </c:pt>
                <c:pt idx="18">
                  <c:v>49.534844978970803</c:v>
                </c:pt>
                <c:pt idx="19">
                  <c:v>49.558960792745502</c:v>
                </c:pt>
                <c:pt idx="20">
                  <c:v>49.569161920880397</c:v>
                </c:pt>
                <c:pt idx="21">
                  <c:v>49.644312471495901</c:v>
                </c:pt>
                <c:pt idx="22">
                  <c:v>49.8191108008469</c:v>
                </c:pt>
                <c:pt idx="23">
                  <c:v>50.0674770044158</c:v>
                </c:pt>
                <c:pt idx="24">
                  <c:v>50.346644140806802</c:v>
                </c:pt>
                <c:pt idx="25">
                  <c:v>50.587656915234803</c:v>
                </c:pt>
                <c:pt idx="26">
                  <c:v>50.751379887948801</c:v>
                </c:pt>
                <c:pt idx="27">
                  <c:v>50.826903612470801</c:v>
                </c:pt>
                <c:pt idx="28">
                  <c:v>50.803407204590002</c:v>
                </c:pt>
                <c:pt idx="29">
                  <c:v>50.721745105291198</c:v>
                </c:pt>
                <c:pt idx="30">
                  <c:v>50.595161235319402</c:v>
                </c:pt>
                <c:pt idx="31">
                  <c:v>50.449673365914201</c:v>
                </c:pt>
                <c:pt idx="32">
                  <c:v>50.306945167207701</c:v>
                </c:pt>
                <c:pt idx="33">
                  <c:v>50.160374926397097</c:v>
                </c:pt>
                <c:pt idx="34">
                  <c:v>50.028110326370303</c:v>
                </c:pt>
                <c:pt idx="35">
                  <c:v>49.954096759478297</c:v>
                </c:pt>
                <c:pt idx="36">
                  <c:v>49.918889111684202</c:v>
                </c:pt>
                <c:pt idx="37">
                  <c:v>49.867943627856</c:v>
                </c:pt>
                <c:pt idx="38">
                  <c:v>49.7745740937292</c:v>
                </c:pt>
                <c:pt idx="39">
                  <c:v>49.6162738127152</c:v>
                </c:pt>
                <c:pt idx="40">
                  <c:v>49.429368873922201</c:v>
                </c:pt>
                <c:pt idx="41">
                  <c:v>49.236235378849997</c:v>
                </c:pt>
                <c:pt idx="42">
                  <c:v>49.031685580016003</c:v>
                </c:pt>
                <c:pt idx="43">
                  <c:v>48.825012341090897</c:v>
                </c:pt>
                <c:pt idx="44">
                  <c:v>48.6095512934154</c:v>
                </c:pt>
                <c:pt idx="45">
                  <c:v>48.3869681860387</c:v>
                </c:pt>
                <c:pt idx="46">
                  <c:v>48.168888443512003</c:v>
                </c:pt>
                <c:pt idx="47">
                  <c:v>48.004965188953598</c:v>
                </c:pt>
                <c:pt idx="48">
                  <c:v>47.963049383708999</c:v>
                </c:pt>
                <c:pt idx="49">
                  <c:v>48.102594437131003</c:v>
                </c:pt>
                <c:pt idx="50">
                  <c:v>48.3655074321684</c:v>
                </c:pt>
                <c:pt idx="51">
                  <c:v>48.636674456799703</c:v>
                </c:pt>
                <c:pt idx="52">
                  <c:v>48.814718626418099</c:v>
                </c:pt>
                <c:pt idx="53">
                  <c:v>48.823554331436299</c:v>
                </c:pt>
                <c:pt idx="54">
                  <c:v>48.669202970544198</c:v>
                </c:pt>
                <c:pt idx="55">
                  <c:v>48.401244499937597</c:v>
                </c:pt>
                <c:pt idx="56">
                  <c:v>48.0838517873323</c:v>
                </c:pt>
                <c:pt idx="57">
                  <c:v>47.7708933094965</c:v>
                </c:pt>
                <c:pt idx="58">
                  <c:v>47.478679016383502</c:v>
                </c:pt>
                <c:pt idx="59">
                  <c:v>47.1419216565792</c:v>
                </c:pt>
                <c:pt idx="60">
                  <c:v>46.678206745335302</c:v>
                </c:pt>
                <c:pt idx="61">
                  <c:v>46.047693684893197</c:v>
                </c:pt>
                <c:pt idx="62">
                  <c:v>45.296544368671498</c:v>
                </c:pt>
                <c:pt idx="63">
                  <c:v>44.532996187467901</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511570368"/>
        <c:axId val="511569976"/>
      </c:lineChart>
      <c:catAx>
        <c:axId val="5115703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1569976"/>
        <c:crossesAt val="50"/>
        <c:auto val="1"/>
        <c:lblAlgn val="ctr"/>
        <c:lblOffset val="50"/>
        <c:tickLblSkip val="1"/>
        <c:tickMarkSkip val="12"/>
        <c:noMultiLvlLbl val="1"/>
      </c:catAx>
      <c:valAx>
        <c:axId val="511569976"/>
        <c:scaling>
          <c:orientation val="minMax"/>
          <c:max val="52"/>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1570368"/>
        <c:crosses val="autoZero"/>
        <c:crossBetween val="between"/>
        <c:majorUnit val="2"/>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'IAT COM'!$E$4</c:f>
              <c:strCache>
                <c:ptCount val="1"/>
                <c:pt idx="0">
                  <c:v>Serie Desestacionalizada</c:v>
                </c:pt>
              </c:strCache>
            </c:strRef>
          </c:tx>
          <c:spPr>
            <a:ln w="15875">
              <a:solidFill>
                <a:srgbClr val="3D6AA1"/>
              </a:solidFill>
            </a:ln>
          </c:spPr>
          <c:marker>
            <c:symbol val="none"/>
          </c:marker>
          <c:cat>
            <c:multiLvlStrRef>
              <c:f>'IAT COM'!$A$53:$B$124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COM'!$E$53:$E$124</c:f>
              <c:numCache>
                <c:formatCode>0.0_)</c:formatCode>
                <c:ptCount val="64"/>
                <c:pt idx="0">
                  <c:v>52.427507181265</c:v>
                </c:pt>
                <c:pt idx="1">
                  <c:v>53.1960864519314</c:v>
                </c:pt>
                <c:pt idx="2">
                  <c:v>54.226674693820101</c:v>
                </c:pt>
                <c:pt idx="3">
                  <c:v>54.115606495122599</c:v>
                </c:pt>
                <c:pt idx="4">
                  <c:v>54.291202799248801</c:v>
                </c:pt>
                <c:pt idx="5">
                  <c:v>63.391535810808001</c:v>
                </c:pt>
                <c:pt idx="6">
                  <c:v>56.255852107922799</c:v>
                </c:pt>
                <c:pt idx="7">
                  <c:v>55.370243792433897</c:v>
                </c:pt>
                <c:pt idx="8">
                  <c:v>55.019242258922802</c:v>
                </c:pt>
                <c:pt idx="9">
                  <c:v>52.856626176203598</c:v>
                </c:pt>
                <c:pt idx="10">
                  <c:v>54.9137243718165</c:v>
                </c:pt>
                <c:pt idx="11">
                  <c:v>54.340028665480197</c:v>
                </c:pt>
                <c:pt idx="12">
                  <c:v>54.345383361967698</c:v>
                </c:pt>
                <c:pt idx="13">
                  <c:v>54.7009135824213</c:v>
                </c:pt>
                <c:pt idx="14">
                  <c:v>54.149937102845598</c:v>
                </c:pt>
                <c:pt idx="15">
                  <c:v>50.732937901756202</c:v>
                </c:pt>
                <c:pt idx="16">
                  <c:v>54.268755597936803</c:v>
                </c:pt>
                <c:pt idx="17">
                  <c:v>54.015333042047303</c:v>
                </c:pt>
                <c:pt idx="18">
                  <c:v>54.148698118023702</c:v>
                </c:pt>
                <c:pt idx="19">
                  <c:v>54.152758770953199</c:v>
                </c:pt>
                <c:pt idx="20">
                  <c:v>55.079495007254302</c:v>
                </c:pt>
                <c:pt idx="21">
                  <c:v>54.421880877005698</c:v>
                </c:pt>
                <c:pt idx="22">
                  <c:v>53.830427334966501</c:v>
                </c:pt>
                <c:pt idx="23">
                  <c:v>54.285275218591103</c:v>
                </c:pt>
                <c:pt idx="24">
                  <c:v>54.5265360519887</c:v>
                </c:pt>
                <c:pt idx="25">
                  <c:v>50.132762301201701</c:v>
                </c:pt>
                <c:pt idx="26">
                  <c:v>52.518010141714399</c:v>
                </c:pt>
                <c:pt idx="27">
                  <c:v>53.4100213451757</c:v>
                </c:pt>
                <c:pt idx="28">
                  <c:v>54.168197597541202</c:v>
                </c:pt>
                <c:pt idx="29">
                  <c:v>53.894248234244699</c:v>
                </c:pt>
                <c:pt idx="30">
                  <c:v>51.927036152741699</c:v>
                </c:pt>
                <c:pt idx="31">
                  <c:v>52.893800331761803</c:v>
                </c:pt>
                <c:pt idx="32">
                  <c:v>52.054394120188199</c:v>
                </c:pt>
                <c:pt idx="33">
                  <c:v>56.501422192727503</c:v>
                </c:pt>
                <c:pt idx="34">
                  <c:v>57.399430578583399</c:v>
                </c:pt>
                <c:pt idx="35">
                  <c:v>53.833091750938699</c:v>
                </c:pt>
                <c:pt idx="36">
                  <c:v>52.436912865282501</c:v>
                </c:pt>
                <c:pt idx="37">
                  <c:v>50.004289398377097</c:v>
                </c:pt>
                <c:pt idx="38">
                  <c:v>56.092785975148701</c:v>
                </c:pt>
                <c:pt idx="39">
                  <c:v>45.083047063639597</c:v>
                </c:pt>
                <c:pt idx="40">
                  <c:v>55.563713326652099</c:v>
                </c:pt>
                <c:pt idx="41">
                  <c:v>55.310514401569499</c:v>
                </c:pt>
                <c:pt idx="42">
                  <c:v>56.215127656626102</c:v>
                </c:pt>
                <c:pt idx="43">
                  <c:v>53.7672494066545</c:v>
                </c:pt>
                <c:pt idx="44">
                  <c:v>53.778641590686497</c:v>
                </c:pt>
                <c:pt idx="45">
                  <c:v>53.283357604542701</c:v>
                </c:pt>
                <c:pt idx="46">
                  <c:v>53.4130081042928</c:v>
                </c:pt>
                <c:pt idx="47">
                  <c:v>53.025944712004403</c:v>
                </c:pt>
                <c:pt idx="48">
                  <c:v>52.379371359277002</c:v>
                </c:pt>
                <c:pt idx="49">
                  <c:v>51.473741185400897</c:v>
                </c:pt>
                <c:pt idx="50">
                  <c:v>50.341191574151701</c:v>
                </c:pt>
                <c:pt idx="51">
                  <c:v>54.674547526655999</c:v>
                </c:pt>
                <c:pt idx="52">
                  <c:v>55.355418685680597</c:v>
                </c:pt>
                <c:pt idx="53">
                  <c:v>55.005989832690297</c:v>
                </c:pt>
                <c:pt idx="54">
                  <c:v>55.361915211470397</c:v>
                </c:pt>
                <c:pt idx="55">
                  <c:v>55.681433756866298</c:v>
                </c:pt>
                <c:pt idx="56">
                  <c:v>54.274827380692699</c:v>
                </c:pt>
                <c:pt idx="57">
                  <c:v>53.715432927159199</c:v>
                </c:pt>
                <c:pt idx="58">
                  <c:v>53.069384167793302</c:v>
                </c:pt>
                <c:pt idx="59">
                  <c:v>52.220179358258299</c:v>
                </c:pt>
                <c:pt idx="60">
                  <c:v>51.8708160589809</c:v>
                </c:pt>
                <c:pt idx="61">
                  <c:v>50.665275541423497</c:v>
                </c:pt>
                <c:pt idx="62">
                  <c:v>50.4517225810756</c:v>
                </c:pt>
                <c:pt idx="63">
                  <c:v>31.413548661214801</c:v>
                </c:pt>
              </c:numCache>
            </c:numRef>
          </c:val>
          <c:smooth val="0"/>
          <c:extLst>
            <c:ext xmlns:c16="http://schemas.microsoft.com/office/drawing/2014/chart" uri="{C3380CC4-5D6E-409C-BE32-E72D297353CC}">
              <c16:uniqueId val="{00000000-43DB-438E-8F6E-1DEF621C0D38}"/>
            </c:ext>
          </c:extLst>
        </c:ser>
        <c:ser>
          <c:idx val="1"/>
          <c:order val="1"/>
          <c:tx>
            <c:strRef>
              <c:f>'IAT COM'!$F$4</c:f>
              <c:strCache>
                <c:ptCount val="1"/>
                <c:pt idx="0">
                  <c:v>Tendencia-Ciclo</c:v>
                </c:pt>
              </c:strCache>
            </c:strRef>
          </c:tx>
          <c:spPr>
            <a:ln w="12700">
              <a:solidFill>
                <a:srgbClr val="C00000"/>
              </a:solidFill>
            </a:ln>
          </c:spPr>
          <c:marker>
            <c:symbol val="none"/>
          </c:marker>
          <c:cat>
            <c:multiLvlStrRef>
              <c:f>'IAT COM'!$A$53:$B$124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COM'!$F$53:$F$124</c:f>
              <c:numCache>
                <c:formatCode>0.0_)</c:formatCode>
                <c:ptCount val="64"/>
                <c:pt idx="0">
                  <c:v>52.895435391099902</c:v>
                </c:pt>
                <c:pt idx="1">
                  <c:v>53.126026795183201</c:v>
                </c:pt>
                <c:pt idx="2">
                  <c:v>53.616655510271499</c:v>
                </c:pt>
                <c:pt idx="3">
                  <c:v>54.211911331713999</c:v>
                </c:pt>
                <c:pt idx="4">
                  <c:v>54.747909332735702</c:v>
                </c:pt>
                <c:pt idx="5">
                  <c:v>55.142085300014898</c:v>
                </c:pt>
                <c:pt idx="6">
                  <c:v>55.328286283159102</c:v>
                </c:pt>
                <c:pt idx="7">
                  <c:v>55.316891695047403</c:v>
                </c:pt>
                <c:pt idx="8">
                  <c:v>55.161649162202302</c:v>
                </c:pt>
                <c:pt idx="9">
                  <c:v>54.9294140215761</c:v>
                </c:pt>
                <c:pt idx="10">
                  <c:v>54.685061136069201</c:v>
                </c:pt>
                <c:pt idx="11">
                  <c:v>54.505344456423302</c:v>
                </c:pt>
                <c:pt idx="12">
                  <c:v>54.402510399413401</c:v>
                </c:pt>
                <c:pt idx="13">
                  <c:v>54.330844740733198</c:v>
                </c:pt>
                <c:pt idx="14">
                  <c:v>54.229560138631399</c:v>
                </c:pt>
                <c:pt idx="15">
                  <c:v>54.140542914513198</c:v>
                </c:pt>
                <c:pt idx="16">
                  <c:v>54.118830393205599</c:v>
                </c:pt>
                <c:pt idx="17">
                  <c:v>54.170070871466301</c:v>
                </c:pt>
                <c:pt idx="18">
                  <c:v>54.249625966625999</c:v>
                </c:pt>
                <c:pt idx="19">
                  <c:v>54.360530615915302</c:v>
                </c:pt>
                <c:pt idx="20">
                  <c:v>54.458244507818101</c:v>
                </c:pt>
                <c:pt idx="21">
                  <c:v>54.451492977216503</c:v>
                </c:pt>
                <c:pt idx="22">
                  <c:v>54.290274206157498</c:v>
                </c:pt>
                <c:pt idx="23">
                  <c:v>54.005399841723602</c:v>
                </c:pt>
                <c:pt idx="24">
                  <c:v>53.724262492276097</c:v>
                </c:pt>
                <c:pt idx="25">
                  <c:v>53.522144247606498</c:v>
                </c:pt>
                <c:pt idx="26">
                  <c:v>53.422913130005902</c:v>
                </c:pt>
                <c:pt idx="27">
                  <c:v>53.348764177681197</c:v>
                </c:pt>
                <c:pt idx="28">
                  <c:v>53.229944515485798</c:v>
                </c:pt>
                <c:pt idx="29">
                  <c:v>53.082527334925402</c:v>
                </c:pt>
                <c:pt idx="30">
                  <c:v>52.976946976087902</c:v>
                </c:pt>
                <c:pt idx="31">
                  <c:v>52.906464938437502</c:v>
                </c:pt>
                <c:pt idx="32">
                  <c:v>52.862626777433597</c:v>
                </c:pt>
                <c:pt idx="33">
                  <c:v>52.926614802112397</c:v>
                </c:pt>
                <c:pt idx="34">
                  <c:v>53.157082015713399</c:v>
                </c:pt>
                <c:pt idx="35">
                  <c:v>53.538216749611202</c:v>
                </c:pt>
                <c:pt idx="36">
                  <c:v>53.996616338580701</c:v>
                </c:pt>
                <c:pt idx="37">
                  <c:v>54.540626004730797</c:v>
                </c:pt>
                <c:pt idx="38">
                  <c:v>55.1241540338604</c:v>
                </c:pt>
                <c:pt idx="39">
                  <c:v>55.589025892173602</c:v>
                </c:pt>
                <c:pt idx="40">
                  <c:v>55.7863744415829</c:v>
                </c:pt>
                <c:pt idx="41">
                  <c:v>55.611453236843801</c:v>
                </c:pt>
                <c:pt idx="42">
                  <c:v>55.139401403546799</c:v>
                </c:pt>
                <c:pt idx="43">
                  <c:v>54.556090971597001</c:v>
                </c:pt>
                <c:pt idx="44">
                  <c:v>53.995997164448497</c:v>
                </c:pt>
                <c:pt idx="45">
                  <c:v>53.447348313869298</c:v>
                </c:pt>
                <c:pt idx="46">
                  <c:v>52.932792440585899</c:v>
                </c:pt>
                <c:pt idx="47">
                  <c:v>52.586414930075598</c:v>
                </c:pt>
                <c:pt idx="48">
                  <c:v>52.523400219941401</c:v>
                </c:pt>
                <c:pt idx="49">
                  <c:v>52.7637785365377</c:v>
                </c:pt>
                <c:pt idx="50">
                  <c:v>53.281954756221303</c:v>
                </c:pt>
                <c:pt idx="51">
                  <c:v>54.010758291402801</c:v>
                </c:pt>
                <c:pt idx="52">
                  <c:v>54.738076490367398</c:v>
                </c:pt>
                <c:pt idx="53">
                  <c:v>55.243552824987603</c:v>
                </c:pt>
                <c:pt idx="54">
                  <c:v>55.361260945651203</c:v>
                </c:pt>
                <c:pt idx="55">
                  <c:v>55.091061159995</c:v>
                </c:pt>
                <c:pt idx="56">
                  <c:v>54.622167411526</c:v>
                </c:pt>
                <c:pt idx="57">
                  <c:v>54.094387766520697</c:v>
                </c:pt>
                <c:pt idx="58">
                  <c:v>53.467239422134099</c:v>
                </c:pt>
                <c:pt idx="59">
                  <c:v>52.5188247647284</c:v>
                </c:pt>
                <c:pt idx="60">
                  <c:v>51.047211945836501</c:v>
                </c:pt>
                <c:pt idx="61">
                  <c:v>48.974499534370999</c:v>
                </c:pt>
                <c:pt idx="62">
                  <c:v>46.418733246529598</c:v>
                </c:pt>
                <c:pt idx="63">
                  <c:v>43.728881454644302</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511570760"/>
        <c:axId val="511573112"/>
      </c:lineChart>
      <c:catAx>
        <c:axId val="5115707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1573112"/>
        <c:crossesAt val="50"/>
        <c:auto val="1"/>
        <c:lblAlgn val="ctr"/>
        <c:lblOffset val="50"/>
        <c:tickLblSkip val="1"/>
        <c:tickMarkSkip val="12"/>
        <c:noMultiLvlLbl val="1"/>
      </c:catAx>
      <c:valAx>
        <c:axId val="511573112"/>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1570760"/>
        <c:crosses val="autoZero"/>
        <c:crossBetween val="between"/>
        <c:majorUnit val="10"/>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COM'!$G$4</c:f>
              <c:strCache>
                <c:ptCount val="1"/>
                <c:pt idx="0">
                  <c:v>Serie Desestacionalizada</c:v>
                </c:pt>
              </c:strCache>
            </c:strRef>
          </c:tx>
          <c:spPr>
            <a:ln w="15875">
              <a:solidFill>
                <a:srgbClr val="3D6AA1"/>
              </a:solidFill>
            </a:ln>
          </c:spPr>
          <c:marker>
            <c:symbol val="none"/>
          </c:marker>
          <c:cat>
            <c:multiLvlStrRef>
              <c:f>'IAT COM'!$A$53:$B$124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COM'!$G$53:$G$124</c:f>
              <c:numCache>
                <c:formatCode>0.0_)</c:formatCode>
                <c:ptCount val="64"/>
                <c:pt idx="0">
                  <c:v>60.472850395985503</c:v>
                </c:pt>
                <c:pt idx="1">
                  <c:v>58.598101364746597</c:v>
                </c:pt>
                <c:pt idx="2">
                  <c:v>61.163267420999297</c:v>
                </c:pt>
                <c:pt idx="3">
                  <c:v>63.431923489240297</c:v>
                </c:pt>
                <c:pt idx="4">
                  <c:v>61.684374241702599</c:v>
                </c:pt>
                <c:pt idx="5">
                  <c:v>63.566592742512803</c:v>
                </c:pt>
                <c:pt idx="6">
                  <c:v>61.680665771255399</c:v>
                </c:pt>
                <c:pt idx="7">
                  <c:v>62.716386381131898</c:v>
                </c:pt>
                <c:pt idx="8">
                  <c:v>62.896552834465403</c:v>
                </c:pt>
                <c:pt idx="9">
                  <c:v>61.363183279503701</c:v>
                </c:pt>
                <c:pt idx="10">
                  <c:v>59.544267733048002</c:v>
                </c:pt>
                <c:pt idx="11">
                  <c:v>62.795697884319502</c:v>
                </c:pt>
                <c:pt idx="12">
                  <c:v>59.6868260985527</c:v>
                </c:pt>
                <c:pt idx="13">
                  <c:v>61.340718505494202</c:v>
                </c:pt>
                <c:pt idx="14">
                  <c:v>65.013743960293695</c:v>
                </c:pt>
                <c:pt idx="15">
                  <c:v>61.5752259485511</c:v>
                </c:pt>
                <c:pt idx="16">
                  <c:v>60.5446535949214</c:v>
                </c:pt>
                <c:pt idx="17">
                  <c:v>59.040299667041502</c:v>
                </c:pt>
                <c:pt idx="18">
                  <c:v>60.511731855014297</c:v>
                </c:pt>
                <c:pt idx="19">
                  <c:v>61.232100189467502</c:v>
                </c:pt>
                <c:pt idx="20">
                  <c:v>62.037233243356198</c:v>
                </c:pt>
                <c:pt idx="21">
                  <c:v>60.964500609134397</c:v>
                </c:pt>
                <c:pt idx="22">
                  <c:v>60.060072606882699</c:v>
                </c:pt>
                <c:pt idx="23">
                  <c:v>61.425701431831797</c:v>
                </c:pt>
                <c:pt idx="24">
                  <c:v>57.330490117727301</c:v>
                </c:pt>
                <c:pt idx="25">
                  <c:v>66.893256714727599</c:v>
                </c:pt>
                <c:pt idx="26">
                  <c:v>62.260357513901198</c:v>
                </c:pt>
                <c:pt idx="27">
                  <c:v>64.410897674426494</c:v>
                </c:pt>
                <c:pt idx="28">
                  <c:v>64.092033359963494</c:v>
                </c:pt>
                <c:pt idx="29">
                  <c:v>64.009277327958699</c:v>
                </c:pt>
                <c:pt idx="30">
                  <c:v>60.438610026917999</c:v>
                </c:pt>
                <c:pt idx="31">
                  <c:v>61.706501444964701</c:v>
                </c:pt>
                <c:pt idx="32">
                  <c:v>56.192081329264397</c:v>
                </c:pt>
                <c:pt idx="33">
                  <c:v>61.208756757652701</c:v>
                </c:pt>
                <c:pt idx="34">
                  <c:v>62.884018648672701</c:v>
                </c:pt>
                <c:pt idx="35">
                  <c:v>58.061312498314599</c:v>
                </c:pt>
                <c:pt idx="36">
                  <c:v>71.844436795281993</c:v>
                </c:pt>
                <c:pt idx="37">
                  <c:v>58.889727909677497</c:v>
                </c:pt>
                <c:pt idx="38">
                  <c:v>66.683332762338907</c:v>
                </c:pt>
                <c:pt idx="39">
                  <c:v>52.026122851416901</c:v>
                </c:pt>
                <c:pt idx="40">
                  <c:v>57.551903297486703</c:v>
                </c:pt>
                <c:pt idx="41">
                  <c:v>46.9457957684833</c:v>
                </c:pt>
                <c:pt idx="42">
                  <c:v>55.812085376324802</c:v>
                </c:pt>
                <c:pt idx="43">
                  <c:v>53.065221891734502</c:v>
                </c:pt>
                <c:pt idx="44">
                  <c:v>53.470965034188097</c:v>
                </c:pt>
                <c:pt idx="45">
                  <c:v>54.141339597539698</c:v>
                </c:pt>
                <c:pt idx="46">
                  <c:v>55.122296886681603</c:v>
                </c:pt>
                <c:pt idx="47">
                  <c:v>54.431267216790097</c:v>
                </c:pt>
                <c:pt idx="48">
                  <c:v>52.1925639844169</c:v>
                </c:pt>
                <c:pt idx="49">
                  <c:v>55.798535437191397</c:v>
                </c:pt>
                <c:pt idx="50">
                  <c:v>56.436511921510103</c:v>
                </c:pt>
                <c:pt idx="51">
                  <c:v>56.227671555460901</c:v>
                </c:pt>
                <c:pt idx="52">
                  <c:v>55.7632362039909</c:v>
                </c:pt>
                <c:pt idx="53">
                  <c:v>56.067777820900901</c:v>
                </c:pt>
                <c:pt idx="54">
                  <c:v>56.0712176488409</c:v>
                </c:pt>
                <c:pt idx="55">
                  <c:v>56.0177860788991</c:v>
                </c:pt>
                <c:pt idx="56">
                  <c:v>53.439807818016199</c:v>
                </c:pt>
                <c:pt idx="57">
                  <c:v>53.3785062686066</c:v>
                </c:pt>
                <c:pt idx="58">
                  <c:v>52.958491899163498</c:v>
                </c:pt>
                <c:pt idx="59">
                  <c:v>52.109181541122702</c:v>
                </c:pt>
                <c:pt idx="60">
                  <c:v>53.357540143900998</c:v>
                </c:pt>
                <c:pt idx="61">
                  <c:v>47.313088546157601</c:v>
                </c:pt>
                <c:pt idx="62">
                  <c:v>43.559591967468002</c:v>
                </c:pt>
                <c:pt idx="63">
                  <c:v>38.183344396710297</c:v>
                </c:pt>
              </c:numCache>
            </c:numRef>
          </c:val>
          <c:smooth val="0"/>
          <c:extLst>
            <c:ext xmlns:c16="http://schemas.microsoft.com/office/drawing/2014/chart" uri="{C3380CC4-5D6E-409C-BE32-E72D297353CC}">
              <c16:uniqueId val="{00000000-0163-43FC-B848-65DD2EB8BD5E}"/>
            </c:ext>
          </c:extLst>
        </c:ser>
        <c:ser>
          <c:idx val="1"/>
          <c:order val="1"/>
          <c:tx>
            <c:strRef>
              <c:f>'IAT COM'!$H$4</c:f>
              <c:strCache>
                <c:ptCount val="1"/>
                <c:pt idx="0">
                  <c:v>Tendencia-Ciclo</c:v>
                </c:pt>
              </c:strCache>
            </c:strRef>
          </c:tx>
          <c:spPr>
            <a:ln w="12700">
              <a:solidFill>
                <a:srgbClr val="C00000"/>
              </a:solidFill>
            </a:ln>
          </c:spPr>
          <c:marker>
            <c:symbol val="none"/>
          </c:marker>
          <c:cat>
            <c:multiLvlStrRef>
              <c:f>'IAT COM'!$A$53:$B$124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COM'!$H$53:$H$124</c:f>
              <c:numCache>
                <c:formatCode>0.0_)</c:formatCode>
                <c:ptCount val="64"/>
                <c:pt idx="0">
                  <c:v>59.954752854517402</c:v>
                </c:pt>
                <c:pt idx="1">
                  <c:v>60.307103362976697</c:v>
                </c:pt>
                <c:pt idx="2">
                  <c:v>60.963892304956097</c:v>
                </c:pt>
                <c:pt idx="3">
                  <c:v>61.736485151240899</c:v>
                </c:pt>
                <c:pt idx="4">
                  <c:v>62.400929365430002</c:v>
                </c:pt>
                <c:pt idx="5">
                  <c:v>62.7146652809936</c:v>
                </c:pt>
                <c:pt idx="6">
                  <c:v>62.697272462769099</c:v>
                </c:pt>
                <c:pt idx="7">
                  <c:v>62.417551707016997</c:v>
                </c:pt>
                <c:pt idx="8">
                  <c:v>61.951522127413199</c:v>
                </c:pt>
                <c:pt idx="9">
                  <c:v>61.522117203401201</c:v>
                </c:pt>
                <c:pt idx="10">
                  <c:v>61.241982182043401</c:v>
                </c:pt>
                <c:pt idx="11">
                  <c:v>61.184765701210701</c:v>
                </c:pt>
                <c:pt idx="12">
                  <c:v>61.301519155291103</c:v>
                </c:pt>
                <c:pt idx="13">
                  <c:v>61.3968206258061</c:v>
                </c:pt>
                <c:pt idx="14">
                  <c:v>61.354750307867697</c:v>
                </c:pt>
                <c:pt idx="15">
                  <c:v>61.138484856903801</c:v>
                </c:pt>
                <c:pt idx="16">
                  <c:v>60.865662557725898</c:v>
                </c:pt>
                <c:pt idx="17">
                  <c:v>60.671262132624797</c:v>
                </c:pt>
                <c:pt idx="18">
                  <c:v>60.626711237814703</c:v>
                </c:pt>
                <c:pt idx="19">
                  <c:v>60.685969201916301</c:v>
                </c:pt>
                <c:pt idx="20">
                  <c:v>60.868589830135001</c:v>
                </c:pt>
                <c:pt idx="21">
                  <c:v>61.014737833324503</c:v>
                </c:pt>
                <c:pt idx="22">
                  <c:v>61.089915538619799</c:v>
                </c:pt>
                <c:pt idx="23">
                  <c:v>61.236362173394902</c:v>
                </c:pt>
                <c:pt idx="24">
                  <c:v>61.660990039040101</c:v>
                </c:pt>
                <c:pt idx="25">
                  <c:v>62.330250104205398</c:v>
                </c:pt>
                <c:pt idx="26">
                  <c:v>62.996231280339202</c:v>
                </c:pt>
                <c:pt idx="27">
                  <c:v>63.382744313433399</c:v>
                </c:pt>
                <c:pt idx="28">
                  <c:v>63.328775641562501</c:v>
                </c:pt>
                <c:pt idx="29">
                  <c:v>62.964860725292802</c:v>
                </c:pt>
                <c:pt idx="30">
                  <c:v>62.416304751651403</c:v>
                </c:pt>
                <c:pt idx="31">
                  <c:v>61.779988014601003</c:v>
                </c:pt>
                <c:pt idx="32">
                  <c:v>61.175287822416401</c:v>
                </c:pt>
                <c:pt idx="33">
                  <c:v>60.706226919616398</c:v>
                </c:pt>
                <c:pt idx="34">
                  <c:v>60.268095087191902</c:v>
                </c:pt>
                <c:pt idx="35">
                  <c:v>59.744931488724802</c:v>
                </c:pt>
                <c:pt idx="36">
                  <c:v>59.0849519808434</c:v>
                </c:pt>
                <c:pt idx="37">
                  <c:v>58.379981790976203</c:v>
                </c:pt>
                <c:pt idx="38">
                  <c:v>57.721041662162797</c:v>
                </c:pt>
                <c:pt idx="39">
                  <c:v>57.033751856515998</c:v>
                </c:pt>
                <c:pt idx="40">
                  <c:v>56.273411371512999</c:v>
                </c:pt>
                <c:pt idx="41">
                  <c:v>55.4751050581146</c:v>
                </c:pt>
                <c:pt idx="42">
                  <c:v>54.792722338896802</c:v>
                </c:pt>
                <c:pt idx="43">
                  <c:v>54.3206790924988</c:v>
                </c:pt>
                <c:pt idx="44">
                  <c:v>54.017423544864897</c:v>
                </c:pt>
                <c:pt idx="45">
                  <c:v>53.905926965351703</c:v>
                </c:pt>
                <c:pt idx="46">
                  <c:v>54.0339366829892</c:v>
                </c:pt>
                <c:pt idx="47">
                  <c:v>54.389089863972202</c:v>
                </c:pt>
                <c:pt idx="48">
                  <c:v>54.821978161613202</c:v>
                </c:pt>
                <c:pt idx="49">
                  <c:v>55.266559689615498</c:v>
                </c:pt>
                <c:pt idx="50">
                  <c:v>55.691823618681802</c:v>
                </c:pt>
                <c:pt idx="51">
                  <c:v>56.071509866540197</c:v>
                </c:pt>
                <c:pt idx="52">
                  <c:v>56.261868310142098</c:v>
                </c:pt>
                <c:pt idx="53">
                  <c:v>56.150548631289801</c:v>
                </c:pt>
                <c:pt idx="54">
                  <c:v>55.758500935247703</c:v>
                </c:pt>
                <c:pt idx="55">
                  <c:v>55.213593322428899</c:v>
                </c:pt>
                <c:pt idx="56">
                  <c:v>54.603290740922603</c:v>
                </c:pt>
                <c:pt idx="57">
                  <c:v>53.775637119600901</c:v>
                </c:pt>
                <c:pt idx="58">
                  <c:v>52.599652151938201</c:v>
                </c:pt>
                <c:pt idx="59">
                  <c:v>51.027987944404003</c:v>
                </c:pt>
                <c:pt idx="60">
                  <c:v>49.088000263315898</c:v>
                </c:pt>
                <c:pt idx="61">
                  <c:v>47.0183172588155</c:v>
                </c:pt>
                <c:pt idx="62">
                  <c:v>45.231690948104102</c:v>
                </c:pt>
                <c:pt idx="63">
                  <c:v>44.139058167338803</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511571152"/>
        <c:axId val="502035560"/>
      </c:lineChart>
      <c:catAx>
        <c:axId val="5115711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2035560"/>
        <c:crossesAt val="50"/>
        <c:auto val="1"/>
        <c:lblAlgn val="ctr"/>
        <c:lblOffset val="50"/>
        <c:tickLblSkip val="1"/>
        <c:tickMarkSkip val="12"/>
        <c:noMultiLvlLbl val="1"/>
      </c:catAx>
      <c:valAx>
        <c:axId val="502035560"/>
        <c:scaling>
          <c:orientation val="minMax"/>
          <c:max val="80"/>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1571152"/>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COM'!$I$4</c:f>
              <c:strCache>
                <c:ptCount val="1"/>
                <c:pt idx="0">
                  <c:v>Serie Desestacionalizada</c:v>
                </c:pt>
              </c:strCache>
            </c:strRef>
          </c:tx>
          <c:spPr>
            <a:ln w="15875">
              <a:solidFill>
                <a:srgbClr val="3D6AA1"/>
              </a:solidFill>
            </a:ln>
          </c:spPr>
          <c:marker>
            <c:symbol val="none"/>
          </c:marker>
          <c:cat>
            <c:multiLvlStrRef>
              <c:f>'IAT COM'!$A$53:$B$124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COM'!$I$53:$I$124</c:f>
              <c:numCache>
                <c:formatCode>0.0_)</c:formatCode>
                <c:ptCount val="64"/>
                <c:pt idx="0">
                  <c:v>61.279584977630698</c:v>
                </c:pt>
                <c:pt idx="1">
                  <c:v>59.0984821405061</c:v>
                </c:pt>
                <c:pt idx="2">
                  <c:v>58.750265731300402</c:v>
                </c:pt>
                <c:pt idx="3">
                  <c:v>59.036448294715399</c:v>
                </c:pt>
                <c:pt idx="4">
                  <c:v>58.984993361593197</c:v>
                </c:pt>
                <c:pt idx="5">
                  <c:v>59.580036122743103</c:v>
                </c:pt>
                <c:pt idx="6">
                  <c:v>60.099544496290797</c:v>
                </c:pt>
                <c:pt idx="7">
                  <c:v>58.6095861388524</c:v>
                </c:pt>
                <c:pt idx="8">
                  <c:v>59.446779397634799</c:v>
                </c:pt>
                <c:pt idx="9">
                  <c:v>58.622775833878499</c:v>
                </c:pt>
                <c:pt idx="10">
                  <c:v>58.333217138821901</c:v>
                </c:pt>
                <c:pt idx="11">
                  <c:v>58.316261447079498</c:v>
                </c:pt>
                <c:pt idx="12">
                  <c:v>62.199174694736797</c:v>
                </c:pt>
                <c:pt idx="13">
                  <c:v>57.661115002415997</c:v>
                </c:pt>
                <c:pt idx="14">
                  <c:v>57.305181618038397</c:v>
                </c:pt>
                <c:pt idx="15">
                  <c:v>58.447613130272202</c:v>
                </c:pt>
                <c:pt idx="16">
                  <c:v>58.563356631721298</c:v>
                </c:pt>
                <c:pt idx="17">
                  <c:v>57.284685412596801</c:v>
                </c:pt>
                <c:pt idx="18">
                  <c:v>58.050625645309204</c:v>
                </c:pt>
                <c:pt idx="19">
                  <c:v>57.758268265218199</c:v>
                </c:pt>
                <c:pt idx="20">
                  <c:v>56.960997661001301</c:v>
                </c:pt>
                <c:pt idx="21">
                  <c:v>57.172897116880897</c:v>
                </c:pt>
                <c:pt idx="22">
                  <c:v>57.0889527435289</c:v>
                </c:pt>
                <c:pt idx="23">
                  <c:v>57.301902134322098</c:v>
                </c:pt>
                <c:pt idx="24">
                  <c:v>56.264629515651102</c:v>
                </c:pt>
                <c:pt idx="25">
                  <c:v>57.104423847510503</c:v>
                </c:pt>
                <c:pt idx="26">
                  <c:v>56.390685710959502</c:v>
                </c:pt>
                <c:pt idx="27">
                  <c:v>57.538454095356997</c:v>
                </c:pt>
                <c:pt idx="28">
                  <c:v>57.6561945118019</c:v>
                </c:pt>
                <c:pt idx="29">
                  <c:v>57.170266582702702</c:v>
                </c:pt>
                <c:pt idx="30">
                  <c:v>55.418665205230099</c:v>
                </c:pt>
                <c:pt idx="31">
                  <c:v>56.016810395860503</c:v>
                </c:pt>
                <c:pt idx="32">
                  <c:v>56.678432804863903</c:v>
                </c:pt>
                <c:pt idx="33">
                  <c:v>55.521109119918798</c:v>
                </c:pt>
                <c:pt idx="34">
                  <c:v>56.889951796006997</c:v>
                </c:pt>
                <c:pt idx="35">
                  <c:v>55.935682889518702</c:v>
                </c:pt>
                <c:pt idx="36">
                  <c:v>52.9762638351852</c:v>
                </c:pt>
                <c:pt idx="37">
                  <c:v>55.335996242619899</c:v>
                </c:pt>
                <c:pt idx="38">
                  <c:v>55.9242391671551</c:v>
                </c:pt>
                <c:pt idx="39">
                  <c:v>53.1038042771156</c:v>
                </c:pt>
                <c:pt idx="40">
                  <c:v>53.415018211884103</c:v>
                </c:pt>
                <c:pt idx="41">
                  <c:v>55.762331213097198</c:v>
                </c:pt>
                <c:pt idx="42">
                  <c:v>54.810128750523504</c:v>
                </c:pt>
                <c:pt idx="43">
                  <c:v>55.568183138363999</c:v>
                </c:pt>
                <c:pt idx="44">
                  <c:v>55.176920247610397</c:v>
                </c:pt>
                <c:pt idx="45">
                  <c:v>53.103788823267799</c:v>
                </c:pt>
                <c:pt idx="46">
                  <c:v>54.050407962669297</c:v>
                </c:pt>
                <c:pt idx="47">
                  <c:v>53.798553905881001</c:v>
                </c:pt>
                <c:pt idx="48">
                  <c:v>53.557479195305397</c:v>
                </c:pt>
                <c:pt idx="49">
                  <c:v>52.407597211635697</c:v>
                </c:pt>
                <c:pt idx="50">
                  <c:v>49.986089924624203</c:v>
                </c:pt>
                <c:pt idx="51">
                  <c:v>60.163486429751501</c:v>
                </c:pt>
                <c:pt idx="52">
                  <c:v>54.892646874263498</c:v>
                </c:pt>
                <c:pt idx="53">
                  <c:v>51.893574320099702</c:v>
                </c:pt>
                <c:pt idx="54">
                  <c:v>56.435481185717499</c:v>
                </c:pt>
                <c:pt idx="55">
                  <c:v>52.545262364016097</c:v>
                </c:pt>
                <c:pt idx="56">
                  <c:v>52.082496435531098</c:v>
                </c:pt>
                <c:pt idx="57">
                  <c:v>54.234114206032302</c:v>
                </c:pt>
                <c:pt idx="58">
                  <c:v>51.396352089183303</c:v>
                </c:pt>
                <c:pt idx="59">
                  <c:v>51.392702704648897</c:v>
                </c:pt>
                <c:pt idx="60">
                  <c:v>52.458632776093197</c:v>
                </c:pt>
                <c:pt idx="61">
                  <c:v>50.796184358393198</c:v>
                </c:pt>
                <c:pt idx="62">
                  <c:v>50.269271303633403</c:v>
                </c:pt>
                <c:pt idx="63">
                  <c:v>38.367649602368203</c:v>
                </c:pt>
              </c:numCache>
            </c:numRef>
          </c:val>
          <c:smooth val="0"/>
          <c:extLst>
            <c:ext xmlns:c16="http://schemas.microsoft.com/office/drawing/2014/chart" uri="{C3380CC4-5D6E-409C-BE32-E72D297353CC}">
              <c16:uniqueId val="{00000000-3936-460B-8220-91BD475EDECC}"/>
            </c:ext>
          </c:extLst>
        </c:ser>
        <c:ser>
          <c:idx val="1"/>
          <c:order val="1"/>
          <c:tx>
            <c:strRef>
              <c:f>'IAT COM'!$J$4</c:f>
              <c:strCache>
                <c:ptCount val="1"/>
                <c:pt idx="0">
                  <c:v>Tendencia-Ciclo</c:v>
                </c:pt>
              </c:strCache>
            </c:strRef>
          </c:tx>
          <c:spPr>
            <a:ln w="12700">
              <a:solidFill>
                <a:srgbClr val="C00000"/>
              </a:solidFill>
            </a:ln>
          </c:spPr>
          <c:marker>
            <c:symbol val="none"/>
          </c:marker>
          <c:cat>
            <c:multiLvlStrRef>
              <c:f>'IAT COM'!$A$53:$B$124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COM'!$J$53:$J$124</c:f>
              <c:numCache>
                <c:formatCode>0.0_)</c:formatCode>
                <c:ptCount val="64"/>
                <c:pt idx="0">
                  <c:v>58.367896405133898</c:v>
                </c:pt>
                <c:pt idx="1">
                  <c:v>58.606573439243498</c:v>
                </c:pt>
                <c:pt idx="2">
                  <c:v>58.838809648252202</c:v>
                </c:pt>
                <c:pt idx="3">
                  <c:v>59.039361766835199</c:v>
                </c:pt>
                <c:pt idx="4">
                  <c:v>59.182263263647002</c:v>
                </c:pt>
                <c:pt idx="5">
                  <c:v>59.249511547279099</c:v>
                </c:pt>
                <c:pt idx="6">
                  <c:v>59.234852378219998</c:v>
                </c:pt>
                <c:pt idx="7">
                  <c:v>59.147303289442704</c:v>
                </c:pt>
                <c:pt idx="8">
                  <c:v>59.0043915191998</c:v>
                </c:pt>
                <c:pt idx="9">
                  <c:v>58.8319238077896</c:v>
                </c:pt>
                <c:pt idx="10">
                  <c:v>58.651565411604601</c:v>
                </c:pt>
                <c:pt idx="11">
                  <c:v>58.479276773834499</c:v>
                </c:pt>
                <c:pt idx="12">
                  <c:v>58.320305553676597</c:v>
                </c:pt>
                <c:pt idx="13">
                  <c:v>58.1815461405807</c:v>
                </c:pt>
                <c:pt idx="14">
                  <c:v>58.062243317499899</c:v>
                </c:pt>
                <c:pt idx="15">
                  <c:v>57.960231440010297</c:v>
                </c:pt>
                <c:pt idx="16">
                  <c:v>57.861615632073203</c:v>
                </c:pt>
                <c:pt idx="17">
                  <c:v>57.7520101824554</c:v>
                </c:pt>
                <c:pt idx="18">
                  <c:v>57.624644467140897</c:v>
                </c:pt>
                <c:pt idx="19">
                  <c:v>57.491768700462401</c:v>
                </c:pt>
                <c:pt idx="20">
                  <c:v>57.3677094583594</c:v>
                </c:pt>
                <c:pt idx="21">
                  <c:v>57.254511065285001</c:v>
                </c:pt>
                <c:pt idx="22">
                  <c:v>57.1605906236544</c:v>
                </c:pt>
                <c:pt idx="23">
                  <c:v>57.081333276286301</c:v>
                </c:pt>
                <c:pt idx="24">
                  <c:v>57.0127699916304</c:v>
                </c:pt>
                <c:pt idx="25">
                  <c:v>56.961300059041598</c:v>
                </c:pt>
                <c:pt idx="26">
                  <c:v>56.9219114700254</c:v>
                </c:pt>
                <c:pt idx="27">
                  <c:v>56.873295175721601</c:v>
                </c:pt>
                <c:pt idx="28">
                  <c:v>56.805365157119297</c:v>
                </c:pt>
                <c:pt idx="29">
                  <c:v>56.715108439894799</c:v>
                </c:pt>
                <c:pt idx="30">
                  <c:v>56.5884501032196</c:v>
                </c:pt>
                <c:pt idx="31">
                  <c:v>56.414231918632503</c:v>
                </c:pt>
                <c:pt idx="32">
                  <c:v>56.1926387572896</c:v>
                </c:pt>
                <c:pt idx="33">
                  <c:v>55.934920807803501</c:v>
                </c:pt>
                <c:pt idx="34">
                  <c:v>55.666988212892697</c:v>
                </c:pt>
                <c:pt idx="35">
                  <c:v>55.413368316430301</c:v>
                </c:pt>
                <c:pt idx="36">
                  <c:v>55.193345226898799</c:v>
                </c:pt>
                <c:pt idx="37">
                  <c:v>55.018422767170001</c:v>
                </c:pt>
                <c:pt idx="38">
                  <c:v>54.889903907566598</c:v>
                </c:pt>
                <c:pt idx="39">
                  <c:v>54.794654523751298</c:v>
                </c:pt>
                <c:pt idx="40">
                  <c:v>54.709770328081902</c:v>
                </c:pt>
                <c:pt idx="41">
                  <c:v>54.619533770998899</c:v>
                </c:pt>
                <c:pt idx="42">
                  <c:v>54.529846103855498</c:v>
                </c:pt>
                <c:pt idx="43">
                  <c:v>54.431016190850698</c:v>
                </c:pt>
                <c:pt idx="44">
                  <c:v>54.318926337063999</c:v>
                </c:pt>
                <c:pt idx="45">
                  <c:v>54.200126326982399</c:v>
                </c:pt>
                <c:pt idx="46">
                  <c:v>54.075512630240702</c:v>
                </c:pt>
                <c:pt idx="47">
                  <c:v>53.956471626036198</c:v>
                </c:pt>
                <c:pt idx="48">
                  <c:v>53.862300837240902</c:v>
                </c:pt>
                <c:pt idx="49">
                  <c:v>53.794139883797101</c:v>
                </c:pt>
                <c:pt idx="50">
                  <c:v>53.7425957069483</c:v>
                </c:pt>
                <c:pt idx="51">
                  <c:v>53.704164454100003</c:v>
                </c:pt>
                <c:pt idx="52">
                  <c:v>53.669967463826303</c:v>
                </c:pt>
                <c:pt idx="53">
                  <c:v>53.611188336624302</c:v>
                </c:pt>
                <c:pt idx="54">
                  <c:v>53.490674164183602</c:v>
                </c:pt>
                <c:pt idx="55">
                  <c:v>53.301116105962798</c:v>
                </c:pt>
                <c:pt idx="56">
                  <c:v>53.029174863149301</c:v>
                </c:pt>
                <c:pt idx="57">
                  <c:v>52.674846219649901</c:v>
                </c:pt>
                <c:pt idx="58">
                  <c:v>52.251991053623698</c:v>
                </c:pt>
                <c:pt idx="59">
                  <c:v>51.774078861077598</c:v>
                </c:pt>
                <c:pt idx="60">
                  <c:v>51.266350592654199</c:v>
                </c:pt>
                <c:pt idx="61">
                  <c:v>50.756855360295901</c:v>
                </c:pt>
                <c:pt idx="62">
                  <c:v>50.2689922286159</c:v>
                </c:pt>
                <c:pt idx="63">
                  <c:v>49.817848722270398</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502035168"/>
        <c:axId val="502036344"/>
      </c:lineChart>
      <c:catAx>
        <c:axId val="5020351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2036344"/>
        <c:crossesAt val="50"/>
        <c:auto val="1"/>
        <c:lblAlgn val="ctr"/>
        <c:lblOffset val="50"/>
        <c:tickLblSkip val="1"/>
        <c:tickMarkSkip val="12"/>
        <c:noMultiLvlLbl val="1"/>
      </c:catAx>
      <c:valAx>
        <c:axId val="502036344"/>
        <c:scaling>
          <c:orientation val="minMax"/>
          <c:max val="65"/>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2035168"/>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COM'!$K$4</c:f>
              <c:strCache>
                <c:ptCount val="1"/>
                <c:pt idx="0">
                  <c:v>Serie Desestacionalizada</c:v>
                </c:pt>
              </c:strCache>
            </c:strRef>
          </c:tx>
          <c:spPr>
            <a:ln w="15875">
              <a:solidFill>
                <a:srgbClr val="3D6AA1"/>
              </a:solidFill>
            </a:ln>
          </c:spPr>
          <c:marker>
            <c:symbol val="none"/>
          </c:marker>
          <c:cat>
            <c:multiLvlStrRef>
              <c:f>'IAT COM'!$A$53:$B$124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COM'!$K$53:$K$124</c:f>
              <c:numCache>
                <c:formatCode>0.0_)</c:formatCode>
                <c:ptCount val="64"/>
                <c:pt idx="0">
                  <c:v>54.322325612569202</c:v>
                </c:pt>
                <c:pt idx="1">
                  <c:v>54.039202010370403</c:v>
                </c:pt>
                <c:pt idx="2">
                  <c:v>52.888956217277098</c:v>
                </c:pt>
                <c:pt idx="3">
                  <c:v>52.573372504304302</c:v>
                </c:pt>
                <c:pt idx="4">
                  <c:v>53.512282068495303</c:v>
                </c:pt>
                <c:pt idx="5">
                  <c:v>53.928204257863001</c:v>
                </c:pt>
                <c:pt idx="6">
                  <c:v>54.488859876530903</c:v>
                </c:pt>
                <c:pt idx="7">
                  <c:v>53.883775749162297</c:v>
                </c:pt>
                <c:pt idx="8">
                  <c:v>53.201867723162998</c:v>
                </c:pt>
                <c:pt idx="9">
                  <c:v>52.761487874935298</c:v>
                </c:pt>
                <c:pt idx="10">
                  <c:v>50.9442566133946</c:v>
                </c:pt>
                <c:pt idx="11">
                  <c:v>53.3992702116796</c:v>
                </c:pt>
                <c:pt idx="12">
                  <c:v>57.228706704169099</c:v>
                </c:pt>
                <c:pt idx="13">
                  <c:v>57.867056928686303</c:v>
                </c:pt>
                <c:pt idx="14">
                  <c:v>52.394152411512202</c:v>
                </c:pt>
                <c:pt idx="15">
                  <c:v>52.2171302875592</c:v>
                </c:pt>
                <c:pt idx="16">
                  <c:v>54.381044632716304</c:v>
                </c:pt>
                <c:pt idx="17">
                  <c:v>53.0150967658954</c:v>
                </c:pt>
                <c:pt idx="18">
                  <c:v>53.497476190677197</c:v>
                </c:pt>
                <c:pt idx="19">
                  <c:v>53.010274506249097</c:v>
                </c:pt>
                <c:pt idx="20">
                  <c:v>54.264748399768798</c:v>
                </c:pt>
                <c:pt idx="21">
                  <c:v>53.300868716351602</c:v>
                </c:pt>
                <c:pt idx="22">
                  <c:v>53.682131477077597</c:v>
                </c:pt>
                <c:pt idx="23">
                  <c:v>54.6359963470587</c:v>
                </c:pt>
                <c:pt idx="24">
                  <c:v>52.3295500340529</c:v>
                </c:pt>
                <c:pt idx="25">
                  <c:v>53.132984436288503</c:v>
                </c:pt>
                <c:pt idx="26">
                  <c:v>53.552285789154702</c:v>
                </c:pt>
                <c:pt idx="27">
                  <c:v>52.849313853255403</c:v>
                </c:pt>
                <c:pt idx="28">
                  <c:v>53.275098167175301</c:v>
                </c:pt>
                <c:pt idx="29">
                  <c:v>54.2262426427829</c:v>
                </c:pt>
                <c:pt idx="30">
                  <c:v>52.385176025852502</c:v>
                </c:pt>
                <c:pt idx="31">
                  <c:v>50.749593832883797</c:v>
                </c:pt>
                <c:pt idx="32">
                  <c:v>54.356326732473903</c:v>
                </c:pt>
                <c:pt idx="33">
                  <c:v>55.2267569031834</c:v>
                </c:pt>
                <c:pt idx="34">
                  <c:v>54.8127563536531</c:v>
                </c:pt>
                <c:pt idx="35">
                  <c:v>53.063445469007497</c:v>
                </c:pt>
                <c:pt idx="36">
                  <c:v>49.643347369732403</c:v>
                </c:pt>
                <c:pt idx="37">
                  <c:v>60.860916872752298</c:v>
                </c:pt>
                <c:pt idx="38">
                  <c:v>54.713834768215797</c:v>
                </c:pt>
                <c:pt idx="39">
                  <c:v>55.969621625748204</c:v>
                </c:pt>
                <c:pt idx="40">
                  <c:v>54.042639217839998</c:v>
                </c:pt>
                <c:pt idx="41">
                  <c:v>55.3345121982249</c:v>
                </c:pt>
                <c:pt idx="42">
                  <c:v>54.103707797708303</c:v>
                </c:pt>
                <c:pt idx="43">
                  <c:v>55.505189976253</c:v>
                </c:pt>
                <c:pt idx="44">
                  <c:v>54.354417242341498</c:v>
                </c:pt>
                <c:pt idx="45">
                  <c:v>53.2493156982069</c:v>
                </c:pt>
                <c:pt idx="46">
                  <c:v>52.666493801531402</c:v>
                </c:pt>
                <c:pt idx="47">
                  <c:v>58.846684170113903</c:v>
                </c:pt>
                <c:pt idx="48">
                  <c:v>51.771715823502497</c:v>
                </c:pt>
                <c:pt idx="49">
                  <c:v>51.261752011642997</c:v>
                </c:pt>
                <c:pt idx="50">
                  <c:v>53.500226859276701</c:v>
                </c:pt>
                <c:pt idx="51">
                  <c:v>53.7725107536968</c:v>
                </c:pt>
                <c:pt idx="52">
                  <c:v>53.933353854487699</c:v>
                </c:pt>
                <c:pt idx="53">
                  <c:v>51.413786923077502</c:v>
                </c:pt>
                <c:pt idx="54">
                  <c:v>52.403484031250798</c:v>
                </c:pt>
                <c:pt idx="55">
                  <c:v>51.078941229959902</c:v>
                </c:pt>
                <c:pt idx="56">
                  <c:v>50.9766414382946</c:v>
                </c:pt>
                <c:pt idx="57">
                  <c:v>51.685865254068901</c:v>
                </c:pt>
                <c:pt idx="58">
                  <c:v>50.873173302411303</c:v>
                </c:pt>
                <c:pt idx="59">
                  <c:v>49.983277469615302</c:v>
                </c:pt>
                <c:pt idx="60">
                  <c:v>50.837421389494601</c:v>
                </c:pt>
                <c:pt idx="61">
                  <c:v>51.193609374864998</c:v>
                </c:pt>
                <c:pt idx="62">
                  <c:v>49.125048015852201</c:v>
                </c:pt>
                <c:pt idx="63">
                  <c:v>44.012035658500302</c:v>
                </c:pt>
              </c:numCache>
            </c:numRef>
          </c:val>
          <c:smooth val="0"/>
          <c:extLst>
            <c:ext xmlns:c16="http://schemas.microsoft.com/office/drawing/2014/chart" uri="{C3380CC4-5D6E-409C-BE32-E72D297353CC}">
              <c16:uniqueId val="{00000000-F3BF-47F3-9B9A-7BAE56634588}"/>
            </c:ext>
          </c:extLst>
        </c:ser>
        <c:ser>
          <c:idx val="1"/>
          <c:order val="1"/>
          <c:tx>
            <c:strRef>
              <c:f>'IAT COM'!$L$4</c:f>
              <c:strCache>
                <c:ptCount val="1"/>
                <c:pt idx="0">
                  <c:v>Tendencia-Ciclo</c:v>
                </c:pt>
              </c:strCache>
            </c:strRef>
          </c:tx>
          <c:spPr>
            <a:ln w="12700">
              <a:solidFill>
                <a:srgbClr val="C00000"/>
              </a:solidFill>
            </a:ln>
          </c:spPr>
          <c:marker>
            <c:symbol val="none"/>
          </c:marker>
          <c:cat>
            <c:multiLvlStrRef>
              <c:f>'IAT COM'!$A$53:$B$124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COM'!$L$53:$L$124</c:f>
              <c:numCache>
                <c:formatCode>0.0_)</c:formatCode>
                <c:ptCount val="64"/>
                <c:pt idx="0">
                  <c:v>53.214656206153002</c:v>
                </c:pt>
                <c:pt idx="1">
                  <c:v>53.373889045375797</c:v>
                </c:pt>
                <c:pt idx="2">
                  <c:v>53.507298770523299</c:v>
                </c:pt>
                <c:pt idx="3">
                  <c:v>53.600586079494001</c:v>
                </c:pt>
                <c:pt idx="4">
                  <c:v>53.649893305685502</c:v>
                </c:pt>
                <c:pt idx="5">
                  <c:v>53.651756922398903</c:v>
                </c:pt>
                <c:pt idx="6">
                  <c:v>53.614398909816202</c:v>
                </c:pt>
                <c:pt idx="7">
                  <c:v>53.5554603249116</c:v>
                </c:pt>
                <c:pt idx="8">
                  <c:v>53.493230408202201</c:v>
                </c:pt>
                <c:pt idx="9">
                  <c:v>53.426943270529499</c:v>
                </c:pt>
                <c:pt idx="10">
                  <c:v>53.357199754580101</c:v>
                </c:pt>
                <c:pt idx="11">
                  <c:v>53.287116070789203</c:v>
                </c:pt>
                <c:pt idx="12">
                  <c:v>53.220977620783103</c:v>
                </c:pt>
                <c:pt idx="13">
                  <c:v>53.175420455549997</c:v>
                </c:pt>
                <c:pt idx="14">
                  <c:v>53.1678371382867</c:v>
                </c:pt>
                <c:pt idx="15">
                  <c:v>53.202389093866799</c:v>
                </c:pt>
                <c:pt idx="16">
                  <c:v>53.269640818567801</c:v>
                </c:pt>
                <c:pt idx="17">
                  <c:v>53.349520428700203</c:v>
                </c:pt>
                <c:pt idx="18">
                  <c:v>53.4203677867621</c:v>
                </c:pt>
                <c:pt idx="19">
                  <c:v>53.4760095226627</c:v>
                </c:pt>
                <c:pt idx="20">
                  <c:v>53.514956799430799</c:v>
                </c:pt>
                <c:pt idx="21">
                  <c:v>53.529889504836099</c:v>
                </c:pt>
                <c:pt idx="22">
                  <c:v>53.510660866510598</c:v>
                </c:pt>
                <c:pt idx="23">
                  <c:v>53.455950955136203</c:v>
                </c:pt>
                <c:pt idx="24">
                  <c:v>53.386685381025799</c:v>
                </c:pt>
                <c:pt idx="25">
                  <c:v>53.326683909169802</c:v>
                </c:pt>
                <c:pt idx="26">
                  <c:v>53.302059833649601</c:v>
                </c:pt>
                <c:pt idx="27">
                  <c:v>53.322201739228603</c:v>
                </c:pt>
                <c:pt idx="28">
                  <c:v>53.375176021190299</c:v>
                </c:pt>
                <c:pt idx="29">
                  <c:v>53.453497457571899</c:v>
                </c:pt>
                <c:pt idx="30">
                  <c:v>53.553498004867301</c:v>
                </c:pt>
                <c:pt idx="31">
                  <c:v>53.668806156825099</c:v>
                </c:pt>
                <c:pt idx="32">
                  <c:v>53.787697679371398</c:v>
                </c:pt>
                <c:pt idx="33">
                  <c:v>53.902527542753297</c:v>
                </c:pt>
                <c:pt idx="34">
                  <c:v>54.018861452002398</c:v>
                </c:pt>
                <c:pt idx="35">
                  <c:v>54.1397957252967</c:v>
                </c:pt>
                <c:pt idx="36">
                  <c:v>54.262268569310301</c:v>
                </c:pt>
                <c:pt idx="37">
                  <c:v>54.389279469993902</c:v>
                </c:pt>
                <c:pt idx="38">
                  <c:v>54.5046448944926</c:v>
                </c:pt>
                <c:pt idx="39">
                  <c:v>54.584760994383601</c:v>
                </c:pt>
                <c:pt idx="40">
                  <c:v>54.606938704622401</c:v>
                </c:pt>
                <c:pt idx="41">
                  <c:v>54.5527099972321</c:v>
                </c:pt>
                <c:pt idx="42">
                  <c:v>54.429826658842401</c:v>
                </c:pt>
                <c:pt idx="43">
                  <c:v>54.252675602476302</c:v>
                </c:pt>
                <c:pt idx="44">
                  <c:v>54.033698524138302</c:v>
                </c:pt>
                <c:pt idx="45">
                  <c:v>53.791154567857198</c:v>
                </c:pt>
                <c:pt idx="46">
                  <c:v>53.545133275667702</c:v>
                </c:pt>
                <c:pt idx="47">
                  <c:v>53.320007836732799</c:v>
                </c:pt>
                <c:pt idx="48">
                  <c:v>53.133699262594099</c:v>
                </c:pt>
                <c:pt idx="49">
                  <c:v>52.978440923610101</c:v>
                </c:pt>
                <c:pt idx="50">
                  <c:v>52.834941948043301</c:v>
                </c:pt>
                <c:pt idx="51">
                  <c:v>52.684441269717198</c:v>
                </c:pt>
                <c:pt idx="52">
                  <c:v>52.519823851143201</c:v>
                </c:pt>
                <c:pt idx="53">
                  <c:v>52.338221808598199</c:v>
                </c:pt>
                <c:pt idx="54">
                  <c:v>52.125906735394203</c:v>
                </c:pt>
                <c:pt idx="55">
                  <c:v>51.875935965883102</c:v>
                </c:pt>
                <c:pt idx="56">
                  <c:v>51.585279697435503</c:v>
                </c:pt>
                <c:pt idx="57">
                  <c:v>51.264605962621403</c:v>
                </c:pt>
                <c:pt idx="58">
                  <c:v>50.920245793035797</c:v>
                </c:pt>
                <c:pt idx="59">
                  <c:v>50.551866696789801</c:v>
                </c:pt>
                <c:pt idx="60">
                  <c:v>50.161826911953298</c:v>
                </c:pt>
                <c:pt idx="61">
                  <c:v>49.752159798403603</c:v>
                </c:pt>
                <c:pt idx="62">
                  <c:v>49.316412593251002</c:v>
                </c:pt>
                <c:pt idx="63">
                  <c:v>48.862769758554698</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502037128"/>
        <c:axId val="502037520"/>
      </c:lineChart>
      <c:catAx>
        <c:axId val="5020371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2037520"/>
        <c:crossesAt val="50"/>
        <c:auto val="1"/>
        <c:lblAlgn val="ctr"/>
        <c:lblOffset val="50"/>
        <c:tickLblSkip val="1"/>
        <c:tickMarkSkip val="12"/>
        <c:noMultiLvlLbl val="1"/>
      </c:catAx>
      <c:valAx>
        <c:axId val="502037520"/>
        <c:scaling>
          <c:orientation val="minMax"/>
          <c:max val="6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2037128"/>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COM'!$M$4</c:f>
              <c:strCache>
                <c:ptCount val="1"/>
                <c:pt idx="0">
                  <c:v>Serie Desestacionalizada</c:v>
                </c:pt>
              </c:strCache>
            </c:strRef>
          </c:tx>
          <c:spPr>
            <a:ln w="15875">
              <a:solidFill>
                <a:srgbClr val="3D6AA1"/>
              </a:solidFill>
            </a:ln>
          </c:spPr>
          <c:marker>
            <c:symbol val="none"/>
          </c:marker>
          <c:cat>
            <c:multiLvlStrRef>
              <c:f>'IAT COM'!$A$53:$B$124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COM'!$M$53:$M$124</c:f>
              <c:numCache>
                <c:formatCode>0.0_)</c:formatCode>
                <c:ptCount val="64"/>
                <c:pt idx="0">
                  <c:v>60.951760067788001</c:v>
                </c:pt>
                <c:pt idx="1">
                  <c:v>58.6834185719947</c:v>
                </c:pt>
                <c:pt idx="2">
                  <c:v>60.269928189453402</c:v>
                </c:pt>
                <c:pt idx="3">
                  <c:v>59.663644758170697</c:v>
                </c:pt>
                <c:pt idx="4">
                  <c:v>59.289840535590002</c:v>
                </c:pt>
                <c:pt idx="5">
                  <c:v>56.6374029837583</c:v>
                </c:pt>
                <c:pt idx="6">
                  <c:v>56.878009525393999</c:v>
                </c:pt>
                <c:pt idx="7">
                  <c:v>57.622630159238497</c:v>
                </c:pt>
                <c:pt idx="8">
                  <c:v>59.155546665343799</c:v>
                </c:pt>
                <c:pt idx="9">
                  <c:v>58.503154119404698</c:v>
                </c:pt>
                <c:pt idx="10">
                  <c:v>58.7035900512616</c:v>
                </c:pt>
                <c:pt idx="11">
                  <c:v>58.4525572772312</c:v>
                </c:pt>
                <c:pt idx="12">
                  <c:v>58.486616925452203</c:v>
                </c:pt>
                <c:pt idx="13">
                  <c:v>56.769964363116102</c:v>
                </c:pt>
                <c:pt idx="14">
                  <c:v>61.3634904233936</c:v>
                </c:pt>
                <c:pt idx="15">
                  <c:v>57.943316010525699</c:v>
                </c:pt>
                <c:pt idx="16">
                  <c:v>59.079938087479398</c:v>
                </c:pt>
                <c:pt idx="17">
                  <c:v>59.611079638565698</c:v>
                </c:pt>
                <c:pt idx="18">
                  <c:v>58.993800873356101</c:v>
                </c:pt>
                <c:pt idx="19">
                  <c:v>58.585304217812997</c:v>
                </c:pt>
                <c:pt idx="20">
                  <c:v>58.990668764026402</c:v>
                </c:pt>
                <c:pt idx="21">
                  <c:v>59.251013780643397</c:v>
                </c:pt>
                <c:pt idx="22">
                  <c:v>58.946207705891197</c:v>
                </c:pt>
                <c:pt idx="23">
                  <c:v>59.415028370102597</c:v>
                </c:pt>
                <c:pt idx="24">
                  <c:v>59.271288250555699</c:v>
                </c:pt>
                <c:pt idx="25">
                  <c:v>59.450665290114003</c:v>
                </c:pt>
                <c:pt idx="26">
                  <c:v>57.548155899802403</c:v>
                </c:pt>
                <c:pt idx="27">
                  <c:v>58.752753088224999</c:v>
                </c:pt>
                <c:pt idx="28">
                  <c:v>58.081278068550198</c:v>
                </c:pt>
                <c:pt idx="29">
                  <c:v>58.410180798065703</c:v>
                </c:pt>
                <c:pt idx="30">
                  <c:v>58.342487835466102</c:v>
                </c:pt>
                <c:pt idx="31">
                  <c:v>58.152022665038402</c:v>
                </c:pt>
                <c:pt idx="32">
                  <c:v>53.9845266569356</c:v>
                </c:pt>
                <c:pt idx="33">
                  <c:v>56.815445567357898</c:v>
                </c:pt>
                <c:pt idx="34">
                  <c:v>53.972459058829401</c:v>
                </c:pt>
                <c:pt idx="35">
                  <c:v>56.209239603590198</c:v>
                </c:pt>
                <c:pt idx="36">
                  <c:v>57.357866681518999</c:v>
                </c:pt>
                <c:pt idx="37">
                  <c:v>58.380173553002798</c:v>
                </c:pt>
                <c:pt idx="38">
                  <c:v>59.741482627894101</c:v>
                </c:pt>
                <c:pt idx="39">
                  <c:v>57.326984508933101</c:v>
                </c:pt>
                <c:pt idx="40">
                  <c:v>58.805971840671702</c:v>
                </c:pt>
                <c:pt idx="41">
                  <c:v>57.718433185945997</c:v>
                </c:pt>
                <c:pt idx="42">
                  <c:v>58.220314877135202</c:v>
                </c:pt>
                <c:pt idx="43">
                  <c:v>57.3889822807459</c:v>
                </c:pt>
                <c:pt idx="44">
                  <c:v>56.510653037968098</c:v>
                </c:pt>
                <c:pt idx="45">
                  <c:v>56.546458509645802</c:v>
                </c:pt>
                <c:pt idx="46">
                  <c:v>55.702813135769802</c:v>
                </c:pt>
                <c:pt idx="47">
                  <c:v>55.873207502112201</c:v>
                </c:pt>
                <c:pt idx="48">
                  <c:v>54.0772318622111</c:v>
                </c:pt>
                <c:pt idx="49">
                  <c:v>52.291294895970999</c:v>
                </c:pt>
                <c:pt idx="50">
                  <c:v>56.712324527595499</c:v>
                </c:pt>
                <c:pt idx="51">
                  <c:v>58.304653696694899</c:v>
                </c:pt>
                <c:pt idx="52">
                  <c:v>55.239109117690703</c:v>
                </c:pt>
                <c:pt idx="53">
                  <c:v>54.925778069718497</c:v>
                </c:pt>
                <c:pt idx="54">
                  <c:v>54.2000890313467</c:v>
                </c:pt>
                <c:pt idx="55">
                  <c:v>53.793005183396097</c:v>
                </c:pt>
                <c:pt idx="56">
                  <c:v>53.837224604632297</c:v>
                </c:pt>
                <c:pt idx="57">
                  <c:v>53.313398029090898</c:v>
                </c:pt>
                <c:pt idx="58">
                  <c:v>53.247665160879201</c:v>
                </c:pt>
                <c:pt idx="59">
                  <c:v>52.667141826755</c:v>
                </c:pt>
                <c:pt idx="60">
                  <c:v>52.501148907574503</c:v>
                </c:pt>
                <c:pt idx="61">
                  <c:v>52.278231637043497</c:v>
                </c:pt>
                <c:pt idx="62">
                  <c:v>47.176058507356203</c:v>
                </c:pt>
                <c:pt idx="63">
                  <c:v>44.282327907650703</c:v>
                </c:pt>
              </c:numCache>
            </c:numRef>
          </c:val>
          <c:smooth val="0"/>
          <c:extLst>
            <c:ext xmlns:c16="http://schemas.microsoft.com/office/drawing/2014/chart" uri="{C3380CC4-5D6E-409C-BE32-E72D297353CC}">
              <c16:uniqueId val="{00000000-D5B6-4248-8F4D-A832EC05C849}"/>
            </c:ext>
          </c:extLst>
        </c:ser>
        <c:ser>
          <c:idx val="1"/>
          <c:order val="1"/>
          <c:tx>
            <c:strRef>
              <c:f>'IAT COM'!$N$4</c:f>
              <c:strCache>
                <c:ptCount val="1"/>
                <c:pt idx="0">
                  <c:v>Tendencia-Ciclo</c:v>
                </c:pt>
              </c:strCache>
            </c:strRef>
          </c:tx>
          <c:spPr>
            <a:ln w="12700">
              <a:solidFill>
                <a:srgbClr val="C00000"/>
              </a:solidFill>
            </a:ln>
          </c:spPr>
          <c:marker>
            <c:symbol val="none"/>
          </c:marker>
          <c:cat>
            <c:multiLvlStrRef>
              <c:f>'IAT COM'!$A$53:$B$124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COM'!$N$53:$N$124</c:f>
              <c:numCache>
                <c:formatCode>0.0_)</c:formatCode>
                <c:ptCount val="64"/>
                <c:pt idx="0">
                  <c:v>57.4280158768562</c:v>
                </c:pt>
                <c:pt idx="1">
                  <c:v>57.547067213939599</c:v>
                </c:pt>
                <c:pt idx="2">
                  <c:v>57.644664449000999</c:v>
                </c:pt>
                <c:pt idx="3">
                  <c:v>57.673986576189897</c:v>
                </c:pt>
                <c:pt idx="4">
                  <c:v>57.633836083445097</c:v>
                </c:pt>
                <c:pt idx="5">
                  <c:v>57.5474645524883</c:v>
                </c:pt>
                <c:pt idx="6">
                  <c:v>57.514382715711903</c:v>
                </c:pt>
                <c:pt idx="7">
                  <c:v>57.6564385977981</c:v>
                </c:pt>
                <c:pt idx="8">
                  <c:v>57.947408258646703</c:v>
                </c:pt>
                <c:pt idx="9">
                  <c:v>58.220471835694603</c:v>
                </c:pt>
                <c:pt idx="10">
                  <c:v>58.305027008770701</c:v>
                </c:pt>
                <c:pt idx="11">
                  <c:v>58.156439192185701</c:v>
                </c:pt>
                <c:pt idx="12">
                  <c:v>57.903901276342097</c:v>
                </c:pt>
                <c:pt idx="13">
                  <c:v>57.764449448890304</c:v>
                </c:pt>
                <c:pt idx="14">
                  <c:v>57.855832950341203</c:v>
                </c:pt>
                <c:pt idx="15">
                  <c:v>58.143530787007201</c:v>
                </c:pt>
                <c:pt idx="16">
                  <c:v>58.515418773238103</c:v>
                </c:pt>
                <c:pt idx="17">
                  <c:v>58.848293209585002</c:v>
                </c:pt>
                <c:pt idx="18">
                  <c:v>59.045843432480098</c:v>
                </c:pt>
                <c:pt idx="19">
                  <c:v>59.092175147642102</c:v>
                </c:pt>
                <c:pt idx="20">
                  <c:v>59.093737432845501</c:v>
                </c:pt>
                <c:pt idx="21">
                  <c:v>59.1252257067475</c:v>
                </c:pt>
                <c:pt idx="22">
                  <c:v>59.175239496954099</c:v>
                </c:pt>
                <c:pt idx="23">
                  <c:v>59.178149627379497</c:v>
                </c:pt>
                <c:pt idx="24">
                  <c:v>59.069073626007899</c:v>
                </c:pt>
                <c:pt idx="25">
                  <c:v>58.858625286683498</c:v>
                </c:pt>
                <c:pt idx="26">
                  <c:v>58.635351217340201</c:v>
                </c:pt>
                <c:pt idx="27">
                  <c:v>58.469606099931298</c:v>
                </c:pt>
                <c:pt idx="28">
                  <c:v>58.3560375449971</c:v>
                </c:pt>
                <c:pt idx="29">
                  <c:v>58.259904630562097</c:v>
                </c:pt>
                <c:pt idx="30">
                  <c:v>58.097116032373002</c:v>
                </c:pt>
                <c:pt idx="31">
                  <c:v>57.791277516617598</c:v>
                </c:pt>
                <c:pt idx="32">
                  <c:v>57.363496409134903</c:v>
                </c:pt>
                <c:pt idx="33">
                  <c:v>57.017799541978199</c:v>
                </c:pt>
                <c:pt idx="34">
                  <c:v>56.9165692992866</c:v>
                </c:pt>
                <c:pt idx="35">
                  <c:v>57.096508280742199</c:v>
                </c:pt>
                <c:pt idx="36">
                  <c:v>57.4934336708017</c:v>
                </c:pt>
                <c:pt idx="37">
                  <c:v>57.956718753080899</c:v>
                </c:pt>
                <c:pt idx="38">
                  <c:v>58.3339150516953</c:v>
                </c:pt>
                <c:pt idx="39">
                  <c:v>58.497508062212198</c:v>
                </c:pt>
                <c:pt idx="40">
                  <c:v>58.421029269514797</c:v>
                </c:pt>
                <c:pt idx="41">
                  <c:v>58.137383711961</c:v>
                </c:pt>
                <c:pt idx="42">
                  <c:v>57.758598953928498</c:v>
                </c:pt>
                <c:pt idx="43">
                  <c:v>57.328758251057998</c:v>
                </c:pt>
                <c:pt idx="44">
                  <c:v>56.814358631210197</c:v>
                </c:pt>
                <c:pt idx="45">
                  <c:v>56.238768057873699</c:v>
                </c:pt>
                <c:pt idx="46">
                  <c:v>55.756025097381603</c:v>
                </c:pt>
                <c:pt idx="47">
                  <c:v>55.535298167353702</c:v>
                </c:pt>
                <c:pt idx="48">
                  <c:v>55.562873509532601</c:v>
                </c:pt>
                <c:pt idx="49">
                  <c:v>55.748730473618501</c:v>
                </c:pt>
                <c:pt idx="50">
                  <c:v>55.9000398078256</c:v>
                </c:pt>
                <c:pt idx="51">
                  <c:v>55.878831503839599</c:v>
                </c:pt>
                <c:pt idx="52">
                  <c:v>55.611210397488399</c:v>
                </c:pt>
                <c:pt idx="53">
                  <c:v>55.122067741690799</c:v>
                </c:pt>
                <c:pt idx="54">
                  <c:v>54.535575771272498</c:v>
                </c:pt>
                <c:pt idx="55">
                  <c:v>54.0449550128032</c:v>
                </c:pt>
                <c:pt idx="56">
                  <c:v>53.776545137615201</c:v>
                </c:pt>
                <c:pt idx="57">
                  <c:v>53.553169609492301</c:v>
                </c:pt>
                <c:pt idx="58">
                  <c:v>53.127100637788899</c:v>
                </c:pt>
                <c:pt idx="59">
                  <c:v>52.323088568537202</c:v>
                </c:pt>
                <c:pt idx="60">
                  <c:v>51.153923843786401</c:v>
                </c:pt>
                <c:pt idx="61">
                  <c:v>49.763061921465798</c:v>
                </c:pt>
                <c:pt idx="62">
                  <c:v>48.430680944866701</c:v>
                </c:pt>
                <c:pt idx="63">
                  <c:v>47.451582183965499</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502033992"/>
        <c:axId val="502034776"/>
      </c:lineChart>
      <c:catAx>
        <c:axId val="5020339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2034776"/>
        <c:crossesAt val="50"/>
        <c:auto val="1"/>
        <c:lblAlgn val="ctr"/>
        <c:lblOffset val="50"/>
        <c:tickLblSkip val="1"/>
        <c:tickMarkSkip val="12"/>
        <c:noMultiLvlLbl val="1"/>
      </c:catAx>
      <c:valAx>
        <c:axId val="502034776"/>
        <c:scaling>
          <c:orientation val="minMax"/>
          <c:max val="6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2033992"/>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'IAT MAN'!$G$4</c:f>
              <c:strCache>
                <c:ptCount val="1"/>
                <c:pt idx="0">
                  <c:v>Serie Desestacionalizada</c:v>
                </c:pt>
              </c:strCache>
            </c:strRef>
          </c:tx>
          <c:spPr>
            <a:ln w="15875">
              <a:solidFill>
                <a:srgbClr val="3D6AA1"/>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MAN'!$G$137:$G$208</c:f>
              <c:numCache>
                <c:formatCode>0.0_)</c:formatCode>
                <c:ptCount val="64"/>
                <c:pt idx="0">
                  <c:v>51.834795461929602</c:v>
                </c:pt>
                <c:pt idx="1">
                  <c:v>53.337355226148198</c:v>
                </c:pt>
                <c:pt idx="2">
                  <c:v>52.131550351257303</c:v>
                </c:pt>
                <c:pt idx="3">
                  <c:v>52.678869862467401</c:v>
                </c:pt>
                <c:pt idx="4">
                  <c:v>52.920388338733602</c:v>
                </c:pt>
                <c:pt idx="5">
                  <c:v>52.365689881925498</c:v>
                </c:pt>
                <c:pt idx="6">
                  <c:v>51.372358629759397</c:v>
                </c:pt>
                <c:pt idx="7">
                  <c:v>52.342348541040003</c:v>
                </c:pt>
                <c:pt idx="8">
                  <c:v>52.1267573296264</c:v>
                </c:pt>
                <c:pt idx="9">
                  <c:v>52.072576766534098</c:v>
                </c:pt>
                <c:pt idx="10">
                  <c:v>51.9036120779</c:v>
                </c:pt>
                <c:pt idx="11">
                  <c:v>50.286429024370399</c:v>
                </c:pt>
                <c:pt idx="12">
                  <c:v>51.279091591399897</c:v>
                </c:pt>
                <c:pt idx="13">
                  <c:v>50.234854162930098</c:v>
                </c:pt>
                <c:pt idx="14">
                  <c:v>50.231796690190301</c:v>
                </c:pt>
                <c:pt idx="15">
                  <c:v>50.141204640670999</c:v>
                </c:pt>
                <c:pt idx="16">
                  <c:v>51.259725858841698</c:v>
                </c:pt>
                <c:pt idx="17">
                  <c:v>52.637296178961698</c:v>
                </c:pt>
                <c:pt idx="18">
                  <c:v>52.8263758346936</c:v>
                </c:pt>
                <c:pt idx="19">
                  <c:v>51.648449302164998</c:v>
                </c:pt>
                <c:pt idx="20">
                  <c:v>51.884143094857897</c:v>
                </c:pt>
                <c:pt idx="21">
                  <c:v>51.825551047166996</c:v>
                </c:pt>
                <c:pt idx="22">
                  <c:v>50.890278732517203</c:v>
                </c:pt>
                <c:pt idx="23">
                  <c:v>50.6585524397005</c:v>
                </c:pt>
                <c:pt idx="24">
                  <c:v>51.510098145340798</c:v>
                </c:pt>
                <c:pt idx="25">
                  <c:v>50.6166865130795</c:v>
                </c:pt>
                <c:pt idx="26">
                  <c:v>51.607627131540198</c:v>
                </c:pt>
                <c:pt idx="27">
                  <c:v>51.6817307882934</c:v>
                </c:pt>
                <c:pt idx="28">
                  <c:v>51.762432080616598</c:v>
                </c:pt>
                <c:pt idx="29">
                  <c:v>48.0330558084096</c:v>
                </c:pt>
                <c:pt idx="30">
                  <c:v>49.246062053254299</c:v>
                </c:pt>
                <c:pt idx="31">
                  <c:v>51.443897584223201</c:v>
                </c:pt>
                <c:pt idx="32">
                  <c:v>51.256448526662098</c:v>
                </c:pt>
                <c:pt idx="33">
                  <c:v>52.095068228861599</c:v>
                </c:pt>
                <c:pt idx="34">
                  <c:v>51.428714744683496</c:v>
                </c:pt>
                <c:pt idx="35">
                  <c:v>52.856370044977503</c:v>
                </c:pt>
                <c:pt idx="36">
                  <c:v>50.156888703546898</c:v>
                </c:pt>
                <c:pt idx="37">
                  <c:v>53.246286715131703</c:v>
                </c:pt>
                <c:pt idx="38">
                  <c:v>54.658184605725097</c:v>
                </c:pt>
                <c:pt idx="39">
                  <c:v>50.754947201997901</c:v>
                </c:pt>
                <c:pt idx="40">
                  <c:v>51.863522468333997</c:v>
                </c:pt>
                <c:pt idx="41">
                  <c:v>50.6726504743623</c:v>
                </c:pt>
                <c:pt idx="42">
                  <c:v>51.764472752216399</c:v>
                </c:pt>
                <c:pt idx="43">
                  <c:v>51.312580594538701</c:v>
                </c:pt>
                <c:pt idx="44">
                  <c:v>50.289622988776003</c:v>
                </c:pt>
                <c:pt idx="45">
                  <c:v>50.560556083809601</c:v>
                </c:pt>
                <c:pt idx="46">
                  <c:v>51.374444295980901</c:v>
                </c:pt>
                <c:pt idx="47">
                  <c:v>52.262863162648898</c:v>
                </c:pt>
                <c:pt idx="48">
                  <c:v>51.508103364906098</c:v>
                </c:pt>
                <c:pt idx="49">
                  <c:v>50.682250503140601</c:v>
                </c:pt>
                <c:pt idx="50">
                  <c:v>51.257924924763202</c:v>
                </c:pt>
                <c:pt idx="51">
                  <c:v>51.532433121715698</c:v>
                </c:pt>
                <c:pt idx="52">
                  <c:v>51.048316765737702</c:v>
                </c:pt>
                <c:pt idx="53">
                  <c:v>51.8066082850467</c:v>
                </c:pt>
                <c:pt idx="54">
                  <c:v>50.860248013460101</c:v>
                </c:pt>
                <c:pt idx="55">
                  <c:v>53.584098840105497</c:v>
                </c:pt>
                <c:pt idx="56">
                  <c:v>52.043379251933501</c:v>
                </c:pt>
                <c:pt idx="57">
                  <c:v>49.524735736643002</c:v>
                </c:pt>
                <c:pt idx="58">
                  <c:v>50.639037049717999</c:v>
                </c:pt>
                <c:pt idx="59">
                  <c:v>50.093085216695997</c:v>
                </c:pt>
                <c:pt idx="60">
                  <c:v>50.445188227764397</c:v>
                </c:pt>
                <c:pt idx="61">
                  <c:v>50.817216744656903</c:v>
                </c:pt>
                <c:pt idx="62">
                  <c:v>45.565451476777099</c:v>
                </c:pt>
                <c:pt idx="63">
                  <c:v>37.527821862371198</c:v>
                </c:pt>
              </c:numCache>
            </c:numRef>
          </c:val>
          <c:smooth val="0"/>
          <c:extLst>
            <c:ext xmlns:c16="http://schemas.microsoft.com/office/drawing/2014/chart" uri="{C3380CC4-5D6E-409C-BE32-E72D297353CC}">
              <c16:uniqueId val="{00000000-81FC-48D1-A962-D3C8EC309BE9}"/>
            </c:ext>
          </c:extLst>
        </c:ser>
        <c:ser>
          <c:idx val="1"/>
          <c:order val="1"/>
          <c:tx>
            <c:strRef>
              <c:f>'IAT MAN'!$H$4</c:f>
              <c:strCache>
                <c:ptCount val="1"/>
                <c:pt idx="0">
                  <c:v>Tendencia-Ciclo</c:v>
                </c:pt>
              </c:strCache>
            </c:strRef>
          </c:tx>
          <c:spPr>
            <a:ln w="12700">
              <a:solidFill>
                <a:srgbClr val="C00000"/>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MAN'!$H$137:$H$208</c:f>
              <c:numCache>
                <c:formatCode>0.0_)</c:formatCode>
                <c:ptCount val="64"/>
                <c:pt idx="0">
                  <c:v>52.407169775531301</c:v>
                </c:pt>
                <c:pt idx="1">
                  <c:v>52.446878350781503</c:v>
                </c:pt>
                <c:pt idx="2">
                  <c:v>52.471188194039797</c:v>
                </c:pt>
                <c:pt idx="3">
                  <c:v>52.469087519859002</c:v>
                </c:pt>
                <c:pt idx="4">
                  <c:v>52.437677897690897</c:v>
                </c:pt>
                <c:pt idx="5">
                  <c:v>52.364890199955198</c:v>
                </c:pt>
                <c:pt idx="6">
                  <c:v>52.234857523305799</c:v>
                </c:pt>
                <c:pt idx="7">
                  <c:v>52.040995457568201</c:v>
                </c:pt>
                <c:pt idx="8">
                  <c:v>51.803020863820898</c:v>
                </c:pt>
                <c:pt idx="9">
                  <c:v>51.545796351713498</c:v>
                </c:pt>
                <c:pt idx="10">
                  <c:v>51.303393912443703</c:v>
                </c:pt>
                <c:pt idx="11">
                  <c:v>51.110942748672599</c:v>
                </c:pt>
                <c:pt idx="12">
                  <c:v>50.999568043903999</c:v>
                </c:pt>
                <c:pt idx="13">
                  <c:v>50.9709966529349</c:v>
                </c:pt>
                <c:pt idx="14">
                  <c:v>51.018247271381298</c:v>
                </c:pt>
                <c:pt idx="15">
                  <c:v>51.1246988818814</c:v>
                </c:pt>
                <c:pt idx="16">
                  <c:v>51.259885229185002</c:v>
                </c:pt>
                <c:pt idx="17">
                  <c:v>51.3952565722225</c:v>
                </c:pt>
                <c:pt idx="18">
                  <c:v>51.511413466941001</c:v>
                </c:pt>
                <c:pt idx="19">
                  <c:v>51.594473810796799</c:v>
                </c:pt>
                <c:pt idx="20">
                  <c:v>51.625697501506401</c:v>
                </c:pt>
                <c:pt idx="21">
                  <c:v>51.600882217848003</c:v>
                </c:pt>
                <c:pt idx="22">
                  <c:v>51.524410563586102</c:v>
                </c:pt>
                <c:pt idx="23">
                  <c:v>51.416711036606998</c:v>
                </c:pt>
                <c:pt idx="24">
                  <c:v>51.299309424903498</c:v>
                </c:pt>
                <c:pt idx="25">
                  <c:v>51.193445883187799</c:v>
                </c:pt>
                <c:pt idx="26">
                  <c:v>51.119273929875803</c:v>
                </c:pt>
                <c:pt idx="27">
                  <c:v>51.090276813009901</c:v>
                </c:pt>
                <c:pt idx="28">
                  <c:v>51.115824996122498</c:v>
                </c:pt>
                <c:pt idx="29">
                  <c:v>51.1886792615378</c:v>
                </c:pt>
                <c:pt idx="30">
                  <c:v>51.3029313161544</c:v>
                </c:pt>
                <c:pt idx="31">
                  <c:v>51.448063279038301</c:v>
                </c:pt>
                <c:pt idx="32">
                  <c:v>51.609788210162797</c:v>
                </c:pt>
                <c:pt idx="33">
                  <c:v>51.773029676974502</c:v>
                </c:pt>
                <c:pt idx="34">
                  <c:v>51.922246159243898</c:v>
                </c:pt>
                <c:pt idx="35">
                  <c:v>52.0364958876157</c:v>
                </c:pt>
                <c:pt idx="36">
                  <c:v>52.088632274305297</c:v>
                </c:pt>
                <c:pt idx="37">
                  <c:v>52.0639864416043</c:v>
                </c:pt>
                <c:pt idx="38">
                  <c:v>51.969082262385903</c:v>
                </c:pt>
                <c:pt idx="39">
                  <c:v>51.816110893063502</c:v>
                </c:pt>
                <c:pt idx="40">
                  <c:v>51.630113727894802</c:v>
                </c:pt>
                <c:pt idx="41">
                  <c:v>51.444552806868899</c:v>
                </c:pt>
                <c:pt idx="42">
                  <c:v>51.288074103556497</c:v>
                </c:pt>
                <c:pt idx="43">
                  <c:v>51.180340902086499</c:v>
                </c:pt>
                <c:pt idx="44">
                  <c:v>51.123458981504299</c:v>
                </c:pt>
                <c:pt idx="45">
                  <c:v>51.112293834232702</c:v>
                </c:pt>
                <c:pt idx="46">
                  <c:v>51.140801191250901</c:v>
                </c:pt>
                <c:pt idx="47">
                  <c:v>51.197862906341399</c:v>
                </c:pt>
                <c:pt idx="48">
                  <c:v>51.266093475897797</c:v>
                </c:pt>
                <c:pt idx="49">
                  <c:v>51.330955978399402</c:v>
                </c:pt>
                <c:pt idx="50">
                  <c:v>51.377692268158299</c:v>
                </c:pt>
                <c:pt idx="51">
                  <c:v>51.404771594266499</c:v>
                </c:pt>
                <c:pt idx="52">
                  <c:v>51.407803851391101</c:v>
                </c:pt>
                <c:pt idx="53">
                  <c:v>51.378797880786102</c:v>
                </c:pt>
                <c:pt idx="54">
                  <c:v>51.315710769998702</c:v>
                </c:pt>
                <c:pt idx="55">
                  <c:v>51.212060074199599</c:v>
                </c:pt>
                <c:pt idx="56">
                  <c:v>51.070241527250701</c:v>
                </c:pt>
                <c:pt idx="57">
                  <c:v>50.892765214725898</c:v>
                </c:pt>
                <c:pt idx="58">
                  <c:v>50.677061512582299</c:v>
                </c:pt>
                <c:pt idx="59">
                  <c:v>50.428958447821103</c:v>
                </c:pt>
                <c:pt idx="60">
                  <c:v>50.165178477041003</c:v>
                </c:pt>
                <c:pt idx="61">
                  <c:v>49.911599573073602</c:v>
                </c:pt>
                <c:pt idx="62">
                  <c:v>49.684238910780401</c:v>
                </c:pt>
                <c:pt idx="63">
                  <c:v>49.487780254782798</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501075520"/>
        <c:axId val="501075912"/>
      </c:lineChart>
      <c:catAx>
        <c:axId val="501075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1075912"/>
        <c:crossesAt val="50"/>
        <c:auto val="1"/>
        <c:lblAlgn val="ctr"/>
        <c:lblOffset val="50"/>
        <c:tickLblSkip val="1"/>
        <c:tickMarkSkip val="12"/>
        <c:noMultiLvlLbl val="1"/>
      </c:catAx>
      <c:valAx>
        <c:axId val="501075912"/>
        <c:scaling>
          <c:orientation val="minMax"/>
          <c:max val="57"/>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1075520"/>
        <c:crosses val="autoZero"/>
        <c:crossBetween val="between"/>
        <c:majorUnit val="7"/>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'IAT MAN'!$I$4</c:f>
              <c:strCache>
                <c:ptCount val="1"/>
                <c:pt idx="0">
                  <c:v>Serie Desestacionalizada</c:v>
                </c:pt>
              </c:strCache>
            </c:strRef>
          </c:tx>
          <c:spPr>
            <a:ln w="15875">
              <a:solidFill>
                <a:srgbClr val="3D6AA1"/>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MAN'!$I$137:$I$208</c:f>
              <c:numCache>
                <c:formatCode>0.0_)</c:formatCode>
                <c:ptCount val="64"/>
                <c:pt idx="0">
                  <c:v>57.120042890678697</c:v>
                </c:pt>
                <c:pt idx="1">
                  <c:v>57.452450799149901</c:v>
                </c:pt>
                <c:pt idx="2">
                  <c:v>56.200127428880002</c:v>
                </c:pt>
                <c:pt idx="3">
                  <c:v>56.610222536019997</c:v>
                </c:pt>
                <c:pt idx="4">
                  <c:v>56.311594342400902</c:v>
                </c:pt>
                <c:pt idx="5">
                  <c:v>56.8405263147528</c:v>
                </c:pt>
                <c:pt idx="6">
                  <c:v>55.854582080709697</c:v>
                </c:pt>
                <c:pt idx="7">
                  <c:v>55.255245460794903</c:v>
                </c:pt>
                <c:pt idx="8">
                  <c:v>56.722197404581202</c:v>
                </c:pt>
                <c:pt idx="9">
                  <c:v>55.209143581537901</c:v>
                </c:pt>
                <c:pt idx="10">
                  <c:v>55.017093897773002</c:v>
                </c:pt>
                <c:pt idx="11">
                  <c:v>56.352163847458598</c:v>
                </c:pt>
                <c:pt idx="12">
                  <c:v>56.514171588217202</c:v>
                </c:pt>
                <c:pt idx="13">
                  <c:v>55.350081565893497</c:v>
                </c:pt>
                <c:pt idx="14">
                  <c:v>55.813076125765399</c:v>
                </c:pt>
                <c:pt idx="15">
                  <c:v>54.090419416709103</c:v>
                </c:pt>
                <c:pt idx="16">
                  <c:v>54.779382302210799</c:v>
                </c:pt>
                <c:pt idx="17">
                  <c:v>55.533333874126001</c:v>
                </c:pt>
                <c:pt idx="18">
                  <c:v>56.263479439649302</c:v>
                </c:pt>
                <c:pt idx="19">
                  <c:v>55.3770187600607</c:v>
                </c:pt>
                <c:pt idx="20">
                  <c:v>55.896453524804201</c:v>
                </c:pt>
                <c:pt idx="21">
                  <c:v>54.877135964439098</c:v>
                </c:pt>
                <c:pt idx="22">
                  <c:v>56.6080079778325</c:v>
                </c:pt>
                <c:pt idx="23">
                  <c:v>56.074954899864203</c:v>
                </c:pt>
                <c:pt idx="24">
                  <c:v>54.413635818249901</c:v>
                </c:pt>
                <c:pt idx="25">
                  <c:v>56.102452972469798</c:v>
                </c:pt>
                <c:pt idx="26">
                  <c:v>55.381392771507102</c:v>
                </c:pt>
                <c:pt idx="27">
                  <c:v>55.3690370201112</c:v>
                </c:pt>
                <c:pt idx="28">
                  <c:v>55.642411034637298</c:v>
                </c:pt>
                <c:pt idx="29">
                  <c:v>55.277847699169698</c:v>
                </c:pt>
                <c:pt idx="30">
                  <c:v>53.952841631958698</c:v>
                </c:pt>
                <c:pt idx="31">
                  <c:v>55.6545496519865</c:v>
                </c:pt>
                <c:pt idx="32">
                  <c:v>50.813009617707202</c:v>
                </c:pt>
                <c:pt idx="33">
                  <c:v>55.135825153396098</c:v>
                </c:pt>
                <c:pt idx="34">
                  <c:v>53.743373749894197</c:v>
                </c:pt>
                <c:pt idx="35">
                  <c:v>52.191798625166498</c:v>
                </c:pt>
                <c:pt idx="36">
                  <c:v>52.587117921808897</c:v>
                </c:pt>
                <c:pt idx="37">
                  <c:v>52.955645854543597</c:v>
                </c:pt>
                <c:pt idx="38">
                  <c:v>58.8234575403119</c:v>
                </c:pt>
                <c:pt idx="39">
                  <c:v>54.601992258566803</c:v>
                </c:pt>
                <c:pt idx="40">
                  <c:v>54.140310013001603</c:v>
                </c:pt>
                <c:pt idx="41">
                  <c:v>52.907811929996598</c:v>
                </c:pt>
                <c:pt idx="42">
                  <c:v>50.141662526010897</c:v>
                </c:pt>
                <c:pt idx="43">
                  <c:v>55.436053340220298</c:v>
                </c:pt>
                <c:pt idx="44">
                  <c:v>52.273833118143898</c:v>
                </c:pt>
                <c:pt idx="45">
                  <c:v>54.888347911480899</c:v>
                </c:pt>
                <c:pt idx="46">
                  <c:v>52.429431613706797</c:v>
                </c:pt>
                <c:pt idx="47">
                  <c:v>51.2175228254494</c:v>
                </c:pt>
                <c:pt idx="48">
                  <c:v>53.772099244023202</c:v>
                </c:pt>
                <c:pt idx="49">
                  <c:v>51.704886452643201</c:v>
                </c:pt>
                <c:pt idx="50">
                  <c:v>56.035415158870101</c:v>
                </c:pt>
                <c:pt idx="51">
                  <c:v>50.800390705913699</c:v>
                </c:pt>
                <c:pt idx="52">
                  <c:v>51.568404279572299</c:v>
                </c:pt>
                <c:pt idx="53">
                  <c:v>50.798827919419402</c:v>
                </c:pt>
                <c:pt idx="54">
                  <c:v>51.150343893600002</c:v>
                </c:pt>
                <c:pt idx="55">
                  <c:v>49.463771660457297</c:v>
                </c:pt>
                <c:pt idx="56">
                  <c:v>50.671981632627997</c:v>
                </c:pt>
                <c:pt idx="57">
                  <c:v>48.6152719410684</c:v>
                </c:pt>
                <c:pt idx="58">
                  <c:v>49.423115032002499</c:v>
                </c:pt>
                <c:pt idx="59">
                  <c:v>50.542215017919403</c:v>
                </c:pt>
                <c:pt idx="60">
                  <c:v>49.387833854827797</c:v>
                </c:pt>
                <c:pt idx="61">
                  <c:v>49.828140115324402</c:v>
                </c:pt>
                <c:pt idx="62">
                  <c:v>46.1796854853893</c:v>
                </c:pt>
                <c:pt idx="63">
                  <c:v>39.672859262184303</c:v>
                </c:pt>
              </c:numCache>
            </c:numRef>
          </c:val>
          <c:smooth val="0"/>
          <c:extLst>
            <c:ext xmlns:c16="http://schemas.microsoft.com/office/drawing/2014/chart" uri="{C3380CC4-5D6E-409C-BE32-E72D297353CC}">
              <c16:uniqueId val="{00000000-BD8D-4AE9-8203-F75865777C6A}"/>
            </c:ext>
          </c:extLst>
        </c:ser>
        <c:ser>
          <c:idx val="1"/>
          <c:order val="1"/>
          <c:tx>
            <c:strRef>
              <c:f>'IAT MAN'!$J$4</c:f>
              <c:strCache>
                <c:ptCount val="1"/>
                <c:pt idx="0">
                  <c:v>Tendencia-Ciclo</c:v>
                </c:pt>
              </c:strCache>
            </c:strRef>
          </c:tx>
          <c:spPr>
            <a:ln w="12700">
              <a:solidFill>
                <a:srgbClr val="C00000"/>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MAN'!$J$137:$J$208</c:f>
              <c:numCache>
                <c:formatCode>0.0_)</c:formatCode>
                <c:ptCount val="64"/>
                <c:pt idx="0">
                  <c:v>56.583384590344998</c:v>
                </c:pt>
                <c:pt idx="1">
                  <c:v>56.593399259374699</c:v>
                </c:pt>
                <c:pt idx="2">
                  <c:v>56.5672484334847</c:v>
                </c:pt>
                <c:pt idx="3">
                  <c:v>56.499163964574798</c:v>
                </c:pt>
                <c:pt idx="4">
                  <c:v>56.4021744195434</c:v>
                </c:pt>
                <c:pt idx="5">
                  <c:v>56.2916978178989</c:v>
                </c:pt>
                <c:pt idx="6">
                  <c:v>56.176124236385398</c:v>
                </c:pt>
                <c:pt idx="7">
                  <c:v>56.052921919348798</c:v>
                </c:pt>
                <c:pt idx="8">
                  <c:v>55.9294441058939</c:v>
                </c:pt>
                <c:pt idx="9">
                  <c:v>55.813244668218502</c:v>
                </c:pt>
                <c:pt idx="10">
                  <c:v>55.710452724988698</c:v>
                </c:pt>
                <c:pt idx="11">
                  <c:v>55.617701356369203</c:v>
                </c:pt>
                <c:pt idx="12">
                  <c:v>55.536179730868703</c:v>
                </c:pt>
                <c:pt idx="13">
                  <c:v>55.470569424698702</c:v>
                </c:pt>
                <c:pt idx="14">
                  <c:v>55.424897675600903</c:v>
                </c:pt>
                <c:pt idx="15">
                  <c:v>55.404625834118399</c:v>
                </c:pt>
                <c:pt idx="16">
                  <c:v>55.407465052252498</c:v>
                </c:pt>
                <c:pt idx="17">
                  <c:v>55.429848279885498</c:v>
                </c:pt>
                <c:pt idx="18">
                  <c:v>55.468004740531001</c:v>
                </c:pt>
                <c:pt idx="19">
                  <c:v>55.524948097659397</c:v>
                </c:pt>
                <c:pt idx="20">
                  <c:v>55.586637176070099</c:v>
                </c:pt>
                <c:pt idx="21">
                  <c:v>55.640973948868201</c:v>
                </c:pt>
                <c:pt idx="22">
                  <c:v>55.676856900676803</c:v>
                </c:pt>
                <c:pt idx="23">
                  <c:v>55.682173364254403</c:v>
                </c:pt>
                <c:pt idx="24">
                  <c:v>55.655711696733498</c:v>
                </c:pt>
                <c:pt idx="25">
                  <c:v>55.603750730131097</c:v>
                </c:pt>
                <c:pt idx="26">
                  <c:v>55.529527542700102</c:v>
                </c:pt>
                <c:pt idx="27">
                  <c:v>55.424783369707697</c:v>
                </c:pt>
                <c:pt idx="28">
                  <c:v>55.278746927663498</c:v>
                </c:pt>
                <c:pt idx="29">
                  <c:v>55.079562039562802</c:v>
                </c:pt>
                <c:pt idx="30">
                  <c:v>54.834602159564703</c:v>
                </c:pt>
                <c:pt idx="31">
                  <c:v>54.561558459281301</c:v>
                </c:pt>
                <c:pt idx="32">
                  <c:v>54.281544181661602</c:v>
                </c:pt>
                <c:pt idx="33">
                  <c:v>54.021043762950299</c:v>
                </c:pt>
                <c:pt idx="34">
                  <c:v>53.794860829585602</c:v>
                </c:pt>
                <c:pt idx="35">
                  <c:v>53.617803679310498</c:v>
                </c:pt>
                <c:pt idx="36">
                  <c:v>53.509641849480303</c:v>
                </c:pt>
                <c:pt idx="37">
                  <c:v>53.464706800918798</c:v>
                </c:pt>
                <c:pt idx="38">
                  <c:v>53.467364305598899</c:v>
                </c:pt>
                <c:pt idx="39">
                  <c:v>53.500775536781099</c:v>
                </c:pt>
                <c:pt idx="40">
                  <c:v>53.545420541598503</c:v>
                </c:pt>
                <c:pt idx="41">
                  <c:v>53.575948011910903</c:v>
                </c:pt>
                <c:pt idx="42">
                  <c:v>53.571874516251498</c:v>
                </c:pt>
                <c:pt idx="43">
                  <c:v>53.513064371916101</c:v>
                </c:pt>
                <c:pt idx="44">
                  <c:v>53.390384668384797</c:v>
                </c:pt>
                <c:pt idx="45">
                  <c:v>53.207614497326098</c:v>
                </c:pt>
                <c:pt idx="46">
                  <c:v>52.979779920585699</c:v>
                </c:pt>
                <c:pt idx="47">
                  <c:v>52.727733032387</c:v>
                </c:pt>
                <c:pt idx="48">
                  <c:v>52.455771357384897</c:v>
                </c:pt>
                <c:pt idx="49">
                  <c:v>52.1619362566611</c:v>
                </c:pt>
                <c:pt idx="50">
                  <c:v>51.844010180722599</c:v>
                </c:pt>
                <c:pt idx="51">
                  <c:v>51.506496718532297</c:v>
                </c:pt>
                <c:pt idx="52">
                  <c:v>51.1615800030808</c:v>
                </c:pt>
                <c:pt idx="53">
                  <c:v>50.833986041450203</c:v>
                </c:pt>
                <c:pt idx="54">
                  <c:v>50.534893714428698</c:v>
                </c:pt>
                <c:pt idx="55">
                  <c:v>50.270054288753101</c:v>
                </c:pt>
                <c:pt idx="56">
                  <c:v>50.045942590310297</c:v>
                </c:pt>
                <c:pt idx="57">
                  <c:v>49.863118827066202</c:v>
                </c:pt>
                <c:pt idx="58">
                  <c:v>49.713994152393397</c:v>
                </c:pt>
                <c:pt idx="59">
                  <c:v>49.598919875038099</c:v>
                </c:pt>
                <c:pt idx="60">
                  <c:v>49.5078204709164</c:v>
                </c:pt>
                <c:pt idx="61">
                  <c:v>49.432409253393203</c:v>
                </c:pt>
                <c:pt idx="62">
                  <c:v>49.377253861283798</c:v>
                </c:pt>
                <c:pt idx="63">
                  <c:v>49.3458925328204</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501073560"/>
        <c:axId val="504639904"/>
      </c:lineChart>
      <c:catAx>
        <c:axId val="5010735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4639904"/>
        <c:crossesAt val="50"/>
        <c:auto val="1"/>
        <c:lblAlgn val="ctr"/>
        <c:lblOffset val="50"/>
        <c:tickLblSkip val="1"/>
        <c:tickMarkSkip val="12"/>
        <c:noMultiLvlLbl val="1"/>
      </c:catAx>
      <c:valAx>
        <c:axId val="504639904"/>
        <c:scaling>
          <c:orientation val="minMax"/>
          <c:max val="60"/>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1073560"/>
        <c:crosses val="autoZero"/>
        <c:crossBetween val="between"/>
        <c:majorUnit val="4"/>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'IAT MAN'!$K$4</c:f>
              <c:strCache>
                <c:ptCount val="1"/>
                <c:pt idx="0">
                  <c:v>Serie Desestacionalizada</c:v>
                </c:pt>
              </c:strCache>
            </c:strRef>
          </c:tx>
          <c:spPr>
            <a:ln w="15875">
              <a:solidFill>
                <a:srgbClr val="3D6AA1"/>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MAN'!$K$137:$K$208</c:f>
              <c:numCache>
                <c:formatCode>0.0_)</c:formatCode>
                <c:ptCount val="64"/>
                <c:pt idx="0">
                  <c:v>57.952461619080204</c:v>
                </c:pt>
                <c:pt idx="1">
                  <c:v>58.114506778543401</c:v>
                </c:pt>
                <c:pt idx="2">
                  <c:v>58.165231546020998</c:v>
                </c:pt>
                <c:pt idx="3">
                  <c:v>57.767608080265802</c:v>
                </c:pt>
                <c:pt idx="4">
                  <c:v>57.575468035216403</c:v>
                </c:pt>
                <c:pt idx="5">
                  <c:v>56.691522858998397</c:v>
                </c:pt>
                <c:pt idx="6">
                  <c:v>56.907370072275199</c:v>
                </c:pt>
                <c:pt idx="7">
                  <c:v>58.352166746526997</c:v>
                </c:pt>
                <c:pt idx="8">
                  <c:v>57.253142447126102</c:v>
                </c:pt>
                <c:pt idx="9">
                  <c:v>57.718855612252902</c:v>
                </c:pt>
                <c:pt idx="10">
                  <c:v>56.939941986096997</c:v>
                </c:pt>
                <c:pt idx="11">
                  <c:v>57.030836565241799</c:v>
                </c:pt>
                <c:pt idx="12">
                  <c:v>56.862565995045301</c:v>
                </c:pt>
                <c:pt idx="13">
                  <c:v>56.979713883654597</c:v>
                </c:pt>
                <c:pt idx="14">
                  <c:v>55.7774666709212</c:v>
                </c:pt>
                <c:pt idx="15">
                  <c:v>57.126577245090097</c:v>
                </c:pt>
                <c:pt idx="16">
                  <c:v>56.3171139683513</c:v>
                </c:pt>
                <c:pt idx="17">
                  <c:v>55.942398835262303</c:v>
                </c:pt>
                <c:pt idx="18">
                  <c:v>58.775401007648902</c:v>
                </c:pt>
                <c:pt idx="19">
                  <c:v>56.686488651202403</c:v>
                </c:pt>
                <c:pt idx="20">
                  <c:v>57.327230277818799</c:v>
                </c:pt>
                <c:pt idx="21">
                  <c:v>58.122871316289697</c:v>
                </c:pt>
                <c:pt idx="22">
                  <c:v>56.084756645860701</c:v>
                </c:pt>
                <c:pt idx="23">
                  <c:v>56.339666866703602</c:v>
                </c:pt>
                <c:pt idx="24">
                  <c:v>56.161617549645001</c:v>
                </c:pt>
                <c:pt idx="25">
                  <c:v>55.331526677156901</c:v>
                </c:pt>
                <c:pt idx="26">
                  <c:v>56.063684921468898</c:v>
                </c:pt>
                <c:pt idx="27">
                  <c:v>55.913986587179998</c:v>
                </c:pt>
                <c:pt idx="28">
                  <c:v>57.240873218779598</c:v>
                </c:pt>
                <c:pt idx="29">
                  <c:v>55.981976192277898</c:v>
                </c:pt>
                <c:pt idx="30">
                  <c:v>57.868195244184498</c:v>
                </c:pt>
                <c:pt idx="31">
                  <c:v>54.096816770367901</c:v>
                </c:pt>
                <c:pt idx="32">
                  <c:v>52.3687939973182</c:v>
                </c:pt>
                <c:pt idx="33">
                  <c:v>52.160733090267897</c:v>
                </c:pt>
                <c:pt idx="34">
                  <c:v>53.202701974957897</c:v>
                </c:pt>
                <c:pt idx="35">
                  <c:v>50.139434655848497</c:v>
                </c:pt>
                <c:pt idx="36">
                  <c:v>57.377084656320001</c:v>
                </c:pt>
                <c:pt idx="37">
                  <c:v>52.030544470318702</c:v>
                </c:pt>
                <c:pt idx="38">
                  <c:v>55.508612242416703</c:v>
                </c:pt>
                <c:pt idx="39">
                  <c:v>52.0318861195341</c:v>
                </c:pt>
                <c:pt idx="40">
                  <c:v>50.860552453846203</c:v>
                </c:pt>
                <c:pt idx="41">
                  <c:v>53.020146247916202</c:v>
                </c:pt>
                <c:pt idx="42">
                  <c:v>51.647338243989203</c:v>
                </c:pt>
                <c:pt idx="43">
                  <c:v>54.949384222598702</c:v>
                </c:pt>
                <c:pt idx="44">
                  <c:v>53.5240226912018</c:v>
                </c:pt>
                <c:pt idx="45">
                  <c:v>53.225628905583299</c:v>
                </c:pt>
                <c:pt idx="46">
                  <c:v>50.097660406018598</c:v>
                </c:pt>
                <c:pt idx="47">
                  <c:v>47.7838171492062</c:v>
                </c:pt>
                <c:pt idx="48">
                  <c:v>54.419831315149104</c:v>
                </c:pt>
                <c:pt idx="49">
                  <c:v>54.4526315665521</c:v>
                </c:pt>
                <c:pt idx="50">
                  <c:v>54.3278719799968</c:v>
                </c:pt>
                <c:pt idx="51">
                  <c:v>53.081403699133602</c:v>
                </c:pt>
                <c:pt idx="52">
                  <c:v>53.331682956446201</c:v>
                </c:pt>
                <c:pt idx="53">
                  <c:v>52.156619239971803</c:v>
                </c:pt>
                <c:pt idx="54">
                  <c:v>51.439774555770299</c:v>
                </c:pt>
                <c:pt idx="55">
                  <c:v>51.037367084548897</c:v>
                </c:pt>
                <c:pt idx="56">
                  <c:v>50.346394141984803</c:v>
                </c:pt>
                <c:pt idx="57">
                  <c:v>50.346296587358999</c:v>
                </c:pt>
                <c:pt idx="58">
                  <c:v>52.695885118250999</c:v>
                </c:pt>
                <c:pt idx="59">
                  <c:v>51.388022911337501</c:v>
                </c:pt>
                <c:pt idx="60">
                  <c:v>48.2936775401568</c:v>
                </c:pt>
                <c:pt idx="61">
                  <c:v>49.274338680090203</c:v>
                </c:pt>
                <c:pt idx="62">
                  <c:v>45.546927836008003</c:v>
                </c:pt>
                <c:pt idx="63">
                  <c:v>36.253355966835699</c:v>
                </c:pt>
              </c:numCache>
            </c:numRef>
          </c:val>
          <c:smooth val="0"/>
          <c:extLst>
            <c:ext xmlns:c16="http://schemas.microsoft.com/office/drawing/2014/chart" uri="{C3380CC4-5D6E-409C-BE32-E72D297353CC}">
              <c16:uniqueId val="{00000000-C89C-48D6-8C56-2227333F5888}"/>
            </c:ext>
          </c:extLst>
        </c:ser>
        <c:ser>
          <c:idx val="1"/>
          <c:order val="1"/>
          <c:tx>
            <c:strRef>
              <c:f>'IAT MAN'!$L$4</c:f>
              <c:strCache>
                <c:ptCount val="1"/>
                <c:pt idx="0">
                  <c:v>Tendencia-Ciclo</c:v>
                </c:pt>
              </c:strCache>
            </c:strRef>
          </c:tx>
          <c:spPr>
            <a:ln w="12700">
              <a:solidFill>
                <a:srgbClr val="C00000"/>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MAN'!$L$137:$L$208</c:f>
              <c:numCache>
                <c:formatCode>0.0_)</c:formatCode>
                <c:ptCount val="64"/>
                <c:pt idx="0">
                  <c:v>58.017626942526597</c:v>
                </c:pt>
                <c:pt idx="1">
                  <c:v>57.968187849407499</c:v>
                </c:pt>
                <c:pt idx="2">
                  <c:v>57.887669446784898</c:v>
                </c:pt>
                <c:pt idx="3">
                  <c:v>57.791254759864202</c:v>
                </c:pt>
                <c:pt idx="4">
                  <c:v>57.685590566611701</c:v>
                </c:pt>
                <c:pt idx="5">
                  <c:v>57.5797369790549</c:v>
                </c:pt>
                <c:pt idx="6">
                  <c:v>57.482365601712303</c:v>
                </c:pt>
                <c:pt idx="7">
                  <c:v>57.385614998835102</c:v>
                </c:pt>
                <c:pt idx="8">
                  <c:v>57.285625851977997</c:v>
                </c:pt>
                <c:pt idx="9">
                  <c:v>57.177683753572197</c:v>
                </c:pt>
                <c:pt idx="10">
                  <c:v>57.063917397810002</c:v>
                </c:pt>
                <c:pt idx="11">
                  <c:v>56.954401949372901</c:v>
                </c:pt>
                <c:pt idx="12">
                  <c:v>56.867221486854397</c:v>
                </c:pt>
                <c:pt idx="13">
                  <c:v>56.813276826589302</c:v>
                </c:pt>
                <c:pt idx="14">
                  <c:v>56.799939449974303</c:v>
                </c:pt>
                <c:pt idx="15">
                  <c:v>56.824329899006798</c:v>
                </c:pt>
                <c:pt idx="16">
                  <c:v>56.876376366600702</c:v>
                </c:pt>
                <c:pt idx="17">
                  <c:v>56.932635736888002</c:v>
                </c:pt>
                <c:pt idx="18">
                  <c:v>56.9726036058982</c:v>
                </c:pt>
                <c:pt idx="19">
                  <c:v>56.978792029287597</c:v>
                </c:pt>
                <c:pt idx="20">
                  <c:v>56.946094279379601</c:v>
                </c:pt>
                <c:pt idx="21">
                  <c:v>56.887042124669499</c:v>
                </c:pt>
                <c:pt idx="22">
                  <c:v>56.807547246495098</c:v>
                </c:pt>
                <c:pt idx="23">
                  <c:v>56.703644793961502</c:v>
                </c:pt>
                <c:pt idx="24">
                  <c:v>56.565517428392397</c:v>
                </c:pt>
                <c:pt idx="25">
                  <c:v>56.382271192572098</c:v>
                </c:pt>
                <c:pt idx="26">
                  <c:v>56.149723049803299</c:v>
                </c:pt>
                <c:pt idx="27">
                  <c:v>55.863935869394297</c:v>
                </c:pt>
                <c:pt idx="28">
                  <c:v>55.522335440197899</c:v>
                </c:pt>
                <c:pt idx="29">
                  <c:v>55.137491899398597</c:v>
                </c:pt>
                <c:pt idx="30">
                  <c:v>54.709437484048102</c:v>
                </c:pt>
                <c:pt idx="31">
                  <c:v>54.2483971574663</c:v>
                </c:pt>
                <c:pt idx="32">
                  <c:v>53.776433851213199</c:v>
                </c:pt>
                <c:pt idx="33">
                  <c:v>53.313244901376599</c:v>
                </c:pt>
                <c:pt idx="34">
                  <c:v>52.891657243120598</c:v>
                </c:pt>
                <c:pt idx="35">
                  <c:v>52.552917340130897</c:v>
                </c:pt>
                <c:pt idx="36">
                  <c:v>52.317452393194301</c:v>
                </c:pt>
                <c:pt idx="37">
                  <c:v>52.185928977451503</c:v>
                </c:pt>
                <c:pt idx="38">
                  <c:v>52.144260748601702</c:v>
                </c:pt>
                <c:pt idx="39">
                  <c:v>52.168660780131802</c:v>
                </c:pt>
                <c:pt idx="40">
                  <c:v>52.244703497486697</c:v>
                </c:pt>
                <c:pt idx="41">
                  <c:v>52.361415418669999</c:v>
                </c:pt>
                <c:pt idx="42">
                  <c:v>52.523110342272901</c:v>
                </c:pt>
                <c:pt idx="43">
                  <c:v>52.731235288716</c:v>
                </c:pt>
                <c:pt idx="44">
                  <c:v>52.978270958968302</c:v>
                </c:pt>
                <c:pt idx="45">
                  <c:v>53.242103250988499</c:v>
                </c:pt>
                <c:pt idx="46">
                  <c:v>53.481547747502603</c:v>
                </c:pt>
                <c:pt idx="47">
                  <c:v>53.648571754301202</c:v>
                </c:pt>
                <c:pt idx="48">
                  <c:v>53.706268304516598</c:v>
                </c:pt>
                <c:pt idx="49">
                  <c:v>53.644609432339799</c:v>
                </c:pt>
                <c:pt idx="50">
                  <c:v>53.468424506874399</c:v>
                </c:pt>
                <c:pt idx="51">
                  <c:v>53.188791332390998</c:v>
                </c:pt>
                <c:pt idx="52">
                  <c:v>52.828462665857302</c:v>
                </c:pt>
                <c:pt idx="53">
                  <c:v>52.410884009825303</c:v>
                </c:pt>
                <c:pt idx="54">
                  <c:v>51.955440896313803</c:v>
                </c:pt>
                <c:pt idx="55">
                  <c:v>51.492131124890598</c:v>
                </c:pt>
                <c:pt idx="56">
                  <c:v>51.039897427191796</c:v>
                </c:pt>
                <c:pt idx="57">
                  <c:v>50.6256216614997</c:v>
                </c:pt>
                <c:pt idx="58">
                  <c:v>50.269370035436999</c:v>
                </c:pt>
                <c:pt idx="59">
                  <c:v>49.978226093834202</c:v>
                </c:pt>
                <c:pt idx="60">
                  <c:v>49.748719780343997</c:v>
                </c:pt>
                <c:pt idx="61">
                  <c:v>49.562834413464302</c:v>
                </c:pt>
                <c:pt idx="62">
                  <c:v>49.402474407296602</c:v>
                </c:pt>
                <c:pt idx="63">
                  <c:v>49.2592532778242</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504638336"/>
        <c:axId val="504638728"/>
      </c:lineChart>
      <c:catAx>
        <c:axId val="5046383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4638728"/>
        <c:crossesAt val="50"/>
        <c:auto val="1"/>
        <c:lblAlgn val="ctr"/>
        <c:lblOffset val="50"/>
        <c:tickLblSkip val="1"/>
        <c:tickMarkSkip val="12"/>
        <c:noMultiLvlLbl val="1"/>
      </c:catAx>
      <c:valAx>
        <c:axId val="504638728"/>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4638336"/>
        <c:crosses val="autoZero"/>
        <c:crossBetween val="between"/>
        <c:majorUnit val="5"/>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'IAT MAN'!$M$4</c:f>
              <c:strCache>
                <c:ptCount val="1"/>
                <c:pt idx="0">
                  <c:v>Serie Desestacionalizada</c:v>
                </c:pt>
              </c:strCache>
            </c:strRef>
          </c:tx>
          <c:spPr>
            <a:ln w="15875">
              <a:solidFill>
                <a:srgbClr val="3D6AA1"/>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MAN'!$M$137:$M$208</c:f>
              <c:numCache>
                <c:formatCode>0.0_)</c:formatCode>
                <c:ptCount val="64"/>
                <c:pt idx="0">
                  <c:v>53.090453268037102</c:v>
                </c:pt>
                <c:pt idx="1">
                  <c:v>52.403425731519299</c:v>
                </c:pt>
                <c:pt idx="2">
                  <c:v>52.160850974655503</c:v>
                </c:pt>
                <c:pt idx="3">
                  <c:v>52.411602047704299</c:v>
                </c:pt>
                <c:pt idx="4">
                  <c:v>52.181341943734701</c:v>
                </c:pt>
                <c:pt idx="5">
                  <c:v>51.990170012018098</c:v>
                </c:pt>
                <c:pt idx="6">
                  <c:v>51.560819530977597</c:v>
                </c:pt>
                <c:pt idx="7">
                  <c:v>51.852171421928603</c:v>
                </c:pt>
                <c:pt idx="8">
                  <c:v>51.9030258751324</c:v>
                </c:pt>
                <c:pt idx="9">
                  <c:v>51.984518142115498</c:v>
                </c:pt>
                <c:pt idx="10">
                  <c:v>51.627426157949401</c:v>
                </c:pt>
                <c:pt idx="11">
                  <c:v>52.840469587056198</c:v>
                </c:pt>
                <c:pt idx="12">
                  <c:v>51.367222059010601</c:v>
                </c:pt>
                <c:pt idx="13">
                  <c:v>51.341013643002803</c:v>
                </c:pt>
                <c:pt idx="14">
                  <c:v>51.715103361281997</c:v>
                </c:pt>
                <c:pt idx="15">
                  <c:v>52.055075560219102</c:v>
                </c:pt>
                <c:pt idx="16">
                  <c:v>51.866174176836203</c:v>
                </c:pt>
                <c:pt idx="17">
                  <c:v>52.039379941430099</c:v>
                </c:pt>
                <c:pt idx="18">
                  <c:v>52.135138286679798</c:v>
                </c:pt>
                <c:pt idx="19">
                  <c:v>52.538048762569503</c:v>
                </c:pt>
                <c:pt idx="20">
                  <c:v>52.482604107007901</c:v>
                </c:pt>
                <c:pt idx="21">
                  <c:v>51.510973805884603</c:v>
                </c:pt>
                <c:pt idx="22">
                  <c:v>50.177379023340201</c:v>
                </c:pt>
                <c:pt idx="23">
                  <c:v>51.171258208171203</c:v>
                </c:pt>
                <c:pt idx="24">
                  <c:v>51.318665813187501</c:v>
                </c:pt>
                <c:pt idx="25">
                  <c:v>51.359032354845297</c:v>
                </c:pt>
                <c:pt idx="26">
                  <c:v>51.434030469540502</c:v>
                </c:pt>
                <c:pt idx="27">
                  <c:v>51.344608926716099</c:v>
                </c:pt>
                <c:pt idx="28">
                  <c:v>51.844917996411702</c:v>
                </c:pt>
                <c:pt idx="29">
                  <c:v>52.293876169065797</c:v>
                </c:pt>
                <c:pt idx="30">
                  <c:v>51.255297383157099</c:v>
                </c:pt>
                <c:pt idx="31">
                  <c:v>51.156653488727301</c:v>
                </c:pt>
                <c:pt idx="32">
                  <c:v>50.806887083364401</c:v>
                </c:pt>
                <c:pt idx="33">
                  <c:v>50.8410469062133</c:v>
                </c:pt>
                <c:pt idx="34">
                  <c:v>51.123337980911202</c:v>
                </c:pt>
                <c:pt idx="35">
                  <c:v>50.8689824986321</c:v>
                </c:pt>
                <c:pt idx="36">
                  <c:v>51.000959527743802</c:v>
                </c:pt>
                <c:pt idx="37">
                  <c:v>51.175678919755697</c:v>
                </c:pt>
                <c:pt idx="38">
                  <c:v>51.364544732951799</c:v>
                </c:pt>
                <c:pt idx="39">
                  <c:v>51.146759625123501</c:v>
                </c:pt>
                <c:pt idx="40">
                  <c:v>51.379663151840703</c:v>
                </c:pt>
                <c:pt idx="41">
                  <c:v>50.925765588422898</c:v>
                </c:pt>
                <c:pt idx="42">
                  <c:v>51.055434008794698</c:v>
                </c:pt>
                <c:pt idx="43">
                  <c:v>50.659949881639399</c:v>
                </c:pt>
                <c:pt idx="44">
                  <c:v>51.100232240181903</c:v>
                </c:pt>
                <c:pt idx="45">
                  <c:v>50.304382856127297</c:v>
                </c:pt>
                <c:pt idx="46">
                  <c:v>50.677158690258302</c:v>
                </c:pt>
                <c:pt idx="47">
                  <c:v>51.472187250465602</c:v>
                </c:pt>
                <c:pt idx="48">
                  <c:v>50.538572979631901</c:v>
                </c:pt>
                <c:pt idx="49">
                  <c:v>50.385832654429898</c:v>
                </c:pt>
                <c:pt idx="50">
                  <c:v>49.228456066185998</c:v>
                </c:pt>
                <c:pt idx="51">
                  <c:v>50.217530003098403</c:v>
                </c:pt>
                <c:pt idx="52">
                  <c:v>49.722574821405701</c:v>
                </c:pt>
                <c:pt idx="53">
                  <c:v>50.049012399729001</c:v>
                </c:pt>
                <c:pt idx="54">
                  <c:v>50.110928459436401</c:v>
                </c:pt>
                <c:pt idx="55">
                  <c:v>49.8647632083605</c:v>
                </c:pt>
                <c:pt idx="56">
                  <c:v>49.683184812200203</c:v>
                </c:pt>
                <c:pt idx="57">
                  <c:v>50.145541881688999</c:v>
                </c:pt>
                <c:pt idx="58">
                  <c:v>49.429735695758197</c:v>
                </c:pt>
                <c:pt idx="59">
                  <c:v>48.979212820029801</c:v>
                </c:pt>
                <c:pt idx="60">
                  <c:v>49.202137336917097</c:v>
                </c:pt>
                <c:pt idx="61">
                  <c:v>49.394809528763503</c:v>
                </c:pt>
                <c:pt idx="62">
                  <c:v>48.216566336993999</c:v>
                </c:pt>
                <c:pt idx="63">
                  <c:v>46.172540591433098</c:v>
                </c:pt>
              </c:numCache>
            </c:numRef>
          </c:val>
          <c:smooth val="0"/>
          <c:extLst>
            <c:ext xmlns:c16="http://schemas.microsoft.com/office/drawing/2014/chart" uri="{C3380CC4-5D6E-409C-BE32-E72D297353CC}">
              <c16:uniqueId val="{00000000-2CA4-4793-AAA9-19ECD1C5B22E}"/>
            </c:ext>
          </c:extLst>
        </c:ser>
        <c:ser>
          <c:idx val="1"/>
          <c:order val="1"/>
          <c:tx>
            <c:strRef>
              <c:f>'IAT MAN'!$N$4</c:f>
              <c:strCache>
                <c:ptCount val="1"/>
                <c:pt idx="0">
                  <c:v>Tendencia-Ciclo</c:v>
                </c:pt>
              </c:strCache>
            </c:strRef>
          </c:tx>
          <c:spPr>
            <a:ln w="12700">
              <a:solidFill>
                <a:srgbClr val="C00000"/>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MAN'!$N$137:$N$208</c:f>
              <c:numCache>
                <c:formatCode>0.0_)</c:formatCode>
                <c:ptCount val="64"/>
                <c:pt idx="0">
                  <c:v>52.659421412686903</c:v>
                </c:pt>
                <c:pt idx="1">
                  <c:v>52.578384314367099</c:v>
                </c:pt>
                <c:pt idx="2">
                  <c:v>52.4249601641109</c:v>
                </c:pt>
                <c:pt idx="3">
                  <c:v>52.243778931946501</c:v>
                </c:pt>
                <c:pt idx="4">
                  <c:v>52.0847274844472</c:v>
                </c:pt>
                <c:pt idx="5">
                  <c:v>51.960585121065598</c:v>
                </c:pt>
                <c:pt idx="6">
                  <c:v>51.886876825560897</c:v>
                </c:pt>
                <c:pt idx="7">
                  <c:v>51.851435803290698</c:v>
                </c:pt>
                <c:pt idx="8">
                  <c:v>51.813596429587498</c:v>
                </c:pt>
                <c:pt idx="9">
                  <c:v>51.7589149972694</c:v>
                </c:pt>
                <c:pt idx="10">
                  <c:v>51.688551729148003</c:v>
                </c:pt>
                <c:pt idx="11">
                  <c:v>51.6126400313481</c:v>
                </c:pt>
                <c:pt idx="12">
                  <c:v>51.565330285870601</c:v>
                </c:pt>
                <c:pt idx="13">
                  <c:v>51.5759793887322</c:v>
                </c:pt>
                <c:pt idx="14">
                  <c:v>51.6648955582612</c:v>
                </c:pt>
                <c:pt idx="15">
                  <c:v>51.817494527974603</c:v>
                </c:pt>
                <c:pt idx="16">
                  <c:v>51.986888391340798</c:v>
                </c:pt>
                <c:pt idx="17">
                  <c:v>52.114786960695</c:v>
                </c:pt>
                <c:pt idx="18">
                  <c:v>52.152137918452901</c:v>
                </c:pt>
                <c:pt idx="19">
                  <c:v>52.075691048413702</c:v>
                </c:pt>
                <c:pt idx="20">
                  <c:v>51.910871817518</c:v>
                </c:pt>
                <c:pt idx="21">
                  <c:v>51.704477207395698</c:v>
                </c:pt>
                <c:pt idx="22">
                  <c:v>51.4955092515237</c:v>
                </c:pt>
                <c:pt idx="23">
                  <c:v>51.341904667432601</c:v>
                </c:pt>
                <c:pt idx="24">
                  <c:v>51.292707310551897</c:v>
                </c:pt>
                <c:pt idx="25">
                  <c:v>51.339599949611497</c:v>
                </c:pt>
                <c:pt idx="26">
                  <c:v>51.435507814314697</c:v>
                </c:pt>
                <c:pt idx="27">
                  <c:v>51.509738253598698</c:v>
                </c:pt>
                <c:pt idx="28">
                  <c:v>51.511070381887798</c:v>
                </c:pt>
                <c:pt idx="29">
                  <c:v>51.435468783137601</c:v>
                </c:pt>
                <c:pt idx="30">
                  <c:v>51.300445754143098</c:v>
                </c:pt>
                <c:pt idx="31">
                  <c:v>51.144023481561803</c:v>
                </c:pt>
                <c:pt idx="32">
                  <c:v>51.0039983126469</c:v>
                </c:pt>
                <c:pt idx="33">
                  <c:v>50.924239086166899</c:v>
                </c:pt>
                <c:pt idx="34">
                  <c:v>50.918833169717303</c:v>
                </c:pt>
                <c:pt idx="35">
                  <c:v>50.982703050172603</c:v>
                </c:pt>
                <c:pt idx="36">
                  <c:v>51.072587937178497</c:v>
                </c:pt>
                <c:pt idx="37">
                  <c:v>51.163161072801898</c:v>
                </c:pt>
                <c:pt idx="38">
                  <c:v>51.214968258852799</c:v>
                </c:pt>
                <c:pt idx="39">
                  <c:v>51.2215890398422</c:v>
                </c:pt>
                <c:pt idx="40">
                  <c:v>51.181675586052002</c:v>
                </c:pt>
                <c:pt idx="41">
                  <c:v>51.093866256061702</c:v>
                </c:pt>
                <c:pt idx="42">
                  <c:v>50.977561842707097</c:v>
                </c:pt>
                <c:pt idx="43">
                  <c:v>50.869195369150802</c:v>
                </c:pt>
                <c:pt idx="44">
                  <c:v>50.786832360847299</c:v>
                </c:pt>
                <c:pt idx="45">
                  <c:v>50.722443543327202</c:v>
                </c:pt>
                <c:pt idx="46">
                  <c:v>50.667158268751201</c:v>
                </c:pt>
                <c:pt idx="47">
                  <c:v>50.5975325683522</c:v>
                </c:pt>
                <c:pt idx="48">
                  <c:v>50.4910100199141</c:v>
                </c:pt>
                <c:pt idx="49">
                  <c:v>50.362416999394299</c:v>
                </c:pt>
                <c:pt idx="50">
                  <c:v>50.230962354914901</c:v>
                </c:pt>
                <c:pt idx="51">
                  <c:v>50.109034303716697</c:v>
                </c:pt>
                <c:pt idx="52">
                  <c:v>50.017433506136904</c:v>
                </c:pt>
                <c:pt idx="53">
                  <c:v>49.982284210351501</c:v>
                </c:pt>
                <c:pt idx="54">
                  <c:v>49.965991092998799</c:v>
                </c:pt>
                <c:pt idx="55">
                  <c:v>49.936549514158699</c:v>
                </c:pt>
                <c:pt idx="56">
                  <c:v>49.865092498898903</c:v>
                </c:pt>
                <c:pt idx="57">
                  <c:v>49.737510823788497</c:v>
                </c:pt>
                <c:pt idx="58">
                  <c:v>49.549547523451999</c:v>
                </c:pt>
                <c:pt idx="59">
                  <c:v>49.282206773852103</c:v>
                </c:pt>
                <c:pt idx="60">
                  <c:v>48.930977717513798</c:v>
                </c:pt>
                <c:pt idx="61">
                  <c:v>48.4909958044734</c:v>
                </c:pt>
                <c:pt idx="62">
                  <c:v>47.997602589158397</c:v>
                </c:pt>
                <c:pt idx="63">
                  <c:v>47.511477669623801</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215653064"/>
        <c:axId val="653396800"/>
      </c:lineChart>
      <c:catAx>
        <c:axId val="2156530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53396800"/>
        <c:crossesAt val="50"/>
        <c:auto val="1"/>
        <c:lblAlgn val="ctr"/>
        <c:lblOffset val="50"/>
        <c:tickLblSkip val="1"/>
        <c:tickMarkSkip val="12"/>
        <c:noMultiLvlLbl val="1"/>
      </c:catAx>
      <c:valAx>
        <c:axId val="653396800"/>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15653064"/>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Inversión en planta y equipo</a:t>
            </a:r>
          </a:p>
        </c:rich>
      </c:tx>
      <c:layout>
        <c:manualLayout>
          <c:xMode val="edge"/>
          <c:yMode val="edge"/>
          <c:x val="0.3236605363504893"/>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MAN'!$O$4</c:f>
              <c:strCache>
                <c:ptCount val="1"/>
                <c:pt idx="0">
                  <c:v>Serie Desestacionalizada</c:v>
                </c:pt>
              </c:strCache>
            </c:strRef>
          </c:tx>
          <c:spPr>
            <a:ln w="15875">
              <a:solidFill>
                <a:srgbClr val="3D6AA1"/>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MAN'!$O$137:$O$208</c:f>
              <c:numCache>
                <c:formatCode>0.0_)</c:formatCode>
                <c:ptCount val="64"/>
                <c:pt idx="0">
                  <c:v>53.292665333507898</c:v>
                </c:pt>
                <c:pt idx="1">
                  <c:v>53.368882728896402</c:v>
                </c:pt>
                <c:pt idx="2">
                  <c:v>51.919240543813899</c:v>
                </c:pt>
                <c:pt idx="3">
                  <c:v>52.307638721274103</c:v>
                </c:pt>
                <c:pt idx="4">
                  <c:v>54.020304912827299</c:v>
                </c:pt>
                <c:pt idx="5">
                  <c:v>51.371843165310302</c:v>
                </c:pt>
                <c:pt idx="6">
                  <c:v>53.678521921809804</c:v>
                </c:pt>
                <c:pt idx="7">
                  <c:v>52.328269744978698</c:v>
                </c:pt>
                <c:pt idx="8">
                  <c:v>53.295549294495103</c:v>
                </c:pt>
                <c:pt idx="9">
                  <c:v>53.797294816998601</c:v>
                </c:pt>
                <c:pt idx="10">
                  <c:v>51.424612239500298</c:v>
                </c:pt>
                <c:pt idx="11">
                  <c:v>53.713282642786197</c:v>
                </c:pt>
                <c:pt idx="12">
                  <c:v>52.535946353234202</c:v>
                </c:pt>
                <c:pt idx="13">
                  <c:v>50.605787249724301</c:v>
                </c:pt>
                <c:pt idx="14">
                  <c:v>55.614052206545502</c:v>
                </c:pt>
                <c:pt idx="15">
                  <c:v>52.793885008261199</c:v>
                </c:pt>
                <c:pt idx="16">
                  <c:v>52.014192688103201</c:v>
                </c:pt>
                <c:pt idx="17">
                  <c:v>53.167129675359902</c:v>
                </c:pt>
                <c:pt idx="18">
                  <c:v>50.8005386486048</c:v>
                </c:pt>
                <c:pt idx="19">
                  <c:v>55.107103000164599</c:v>
                </c:pt>
                <c:pt idx="20">
                  <c:v>51.215795143758797</c:v>
                </c:pt>
                <c:pt idx="21">
                  <c:v>51.543320835258903</c:v>
                </c:pt>
                <c:pt idx="22">
                  <c:v>52.402371499281699</c:v>
                </c:pt>
                <c:pt idx="23">
                  <c:v>56.394730227996</c:v>
                </c:pt>
                <c:pt idx="24">
                  <c:v>51.024349923393203</c:v>
                </c:pt>
                <c:pt idx="25">
                  <c:v>53.462879364230503</c:v>
                </c:pt>
                <c:pt idx="26">
                  <c:v>53.565187458540699</c:v>
                </c:pt>
                <c:pt idx="27">
                  <c:v>53.384156941463097</c:v>
                </c:pt>
                <c:pt idx="28">
                  <c:v>53.8250292168687</c:v>
                </c:pt>
                <c:pt idx="29">
                  <c:v>53.142343634913701</c:v>
                </c:pt>
                <c:pt idx="30">
                  <c:v>54.220313504035303</c:v>
                </c:pt>
                <c:pt idx="31">
                  <c:v>53.014786309527601</c:v>
                </c:pt>
                <c:pt idx="32">
                  <c:v>53.225487686236001</c:v>
                </c:pt>
                <c:pt idx="33">
                  <c:v>53.239476396582702</c:v>
                </c:pt>
                <c:pt idx="34">
                  <c:v>53.185753752689003</c:v>
                </c:pt>
                <c:pt idx="35">
                  <c:v>52.073997869630603</c:v>
                </c:pt>
                <c:pt idx="36">
                  <c:v>53.574843400857603</c:v>
                </c:pt>
                <c:pt idx="37">
                  <c:v>53.996782718114602</c:v>
                </c:pt>
                <c:pt idx="38">
                  <c:v>52.920077734660701</c:v>
                </c:pt>
                <c:pt idx="39">
                  <c:v>53.070868558789201</c:v>
                </c:pt>
                <c:pt idx="40">
                  <c:v>52.986005395831199</c:v>
                </c:pt>
                <c:pt idx="41">
                  <c:v>53.096885110538402</c:v>
                </c:pt>
                <c:pt idx="42">
                  <c:v>53.230874535085299</c:v>
                </c:pt>
                <c:pt idx="43">
                  <c:v>53.863597180607599</c:v>
                </c:pt>
                <c:pt idx="44">
                  <c:v>54.182424754711001</c:v>
                </c:pt>
                <c:pt idx="45">
                  <c:v>51.6522242437985</c:v>
                </c:pt>
                <c:pt idx="46">
                  <c:v>52.4265130180911</c:v>
                </c:pt>
                <c:pt idx="47">
                  <c:v>51.802170793299602</c:v>
                </c:pt>
                <c:pt idx="48">
                  <c:v>54.221181978010499</c:v>
                </c:pt>
                <c:pt idx="49">
                  <c:v>51.5244173617792</c:v>
                </c:pt>
                <c:pt idx="50">
                  <c:v>52.808965060063699</c:v>
                </c:pt>
                <c:pt idx="51">
                  <c:v>52.249151920350897</c:v>
                </c:pt>
                <c:pt idx="52">
                  <c:v>52.2053888475509</c:v>
                </c:pt>
                <c:pt idx="53">
                  <c:v>54.813740523719702</c:v>
                </c:pt>
                <c:pt idx="54">
                  <c:v>50.450361951651402</c:v>
                </c:pt>
                <c:pt idx="55">
                  <c:v>51.123089884191003</c:v>
                </c:pt>
                <c:pt idx="56">
                  <c:v>51.964683725197602</c:v>
                </c:pt>
                <c:pt idx="57">
                  <c:v>52.814499993115398</c:v>
                </c:pt>
                <c:pt idx="58">
                  <c:v>55.4519221742094</c:v>
                </c:pt>
                <c:pt idx="59">
                  <c:v>53.935368332190301</c:v>
                </c:pt>
                <c:pt idx="60">
                  <c:v>51.977796691240897</c:v>
                </c:pt>
                <c:pt idx="61">
                  <c:v>52.135619490677598</c:v>
                </c:pt>
                <c:pt idx="62">
                  <c:v>51.038430842985001</c:v>
                </c:pt>
                <c:pt idx="63">
                  <c:v>46.835806668694097</c:v>
                </c:pt>
              </c:numCache>
            </c:numRef>
          </c:val>
          <c:smooth val="0"/>
          <c:extLst>
            <c:ext xmlns:c16="http://schemas.microsoft.com/office/drawing/2014/chart" uri="{C3380CC4-5D6E-409C-BE32-E72D297353CC}">
              <c16:uniqueId val="{00000000-C935-433B-A1C7-8B3866876FCE}"/>
            </c:ext>
          </c:extLst>
        </c:ser>
        <c:ser>
          <c:idx val="1"/>
          <c:order val="1"/>
          <c:tx>
            <c:strRef>
              <c:f>'IAT MAN'!$P$4</c:f>
              <c:strCache>
                <c:ptCount val="1"/>
                <c:pt idx="0">
                  <c:v>Tendencia-Ciclo</c:v>
                </c:pt>
              </c:strCache>
            </c:strRef>
          </c:tx>
          <c:spPr>
            <a:ln w="12700">
              <a:solidFill>
                <a:srgbClr val="C00000"/>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MAN'!$P$137:$P$208</c:f>
              <c:numCache>
                <c:formatCode>0.0_)</c:formatCode>
                <c:ptCount val="64"/>
                <c:pt idx="0">
                  <c:v>52.830512432647197</c:v>
                </c:pt>
                <c:pt idx="1">
                  <c:v>52.792851650739699</c:v>
                </c:pt>
                <c:pt idx="2">
                  <c:v>52.776851681877297</c:v>
                </c:pt>
                <c:pt idx="3">
                  <c:v>52.776304138017302</c:v>
                </c:pt>
                <c:pt idx="4">
                  <c:v>52.787548891783601</c:v>
                </c:pt>
                <c:pt idx="5">
                  <c:v>52.809606779620502</c:v>
                </c:pt>
                <c:pt idx="6">
                  <c:v>52.827065364886302</c:v>
                </c:pt>
                <c:pt idx="7">
                  <c:v>52.843710381297001</c:v>
                </c:pt>
                <c:pt idx="8">
                  <c:v>52.854625811842297</c:v>
                </c:pt>
                <c:pt idx="9">
                  <c:v>52.852843274690798</c:v>
                </c:pt>
                <c:pt idx="10">
                  <c:v>52.826344816757398</c:v>
                </c:pt>
                <c:pt idx="11">
                  <c:v>52.771317166734903</c:v>
                </c:pt>
                <c:pt idx="12">
                  <c:v>52.686079893654501</c:v>
                </c:pt>
                <c:pt idx="13">
                  <c:v>52.5703898988464</c:v>
                </c:pt>
                <c:pt idx="14">
                  <c:v>52.4318482056756</c:v>
                </c:pt>
                <c:pt idx="15">
                  <c:v>52.282154461000097</c:v>
                </c:pt>
                <c:pt idx="16">
                  <c:v>52.132295351074198</c:v>
                </c:pt>
                <c:pt idx="17">
                  <c:v>51.998772741632102</c:v>
                </c:pt>
                <c:pt idx="18">
                  <c:v>51.908501462655103</c:v>
                </c:pt>
                <c:pt idx="19">
                  <c:v>51.868186089991099</c:v>
                </c:pt>
                <c:pt idx="20">
                  <c:v>51.894476856344603</c:v>
                </c:pt>
                <c:pt idx="21">
                  <c:v>51.990207446627501</c:v>
                </c:pt>
                <c:pt idx="22">
                  <c:v>52.154033415064802</c:v>
                </c:pt>
                <c:pt idx="23">
                  <c:v>52.3757432079341</c:v>
                </c:pt>
                <c:pt idx="24">
                  <c:v>52.631499798492598</c:v>
                </c:pt>
                <c:pt idx="25">
                  <c:v>52.895429601810903</c:v>
                </c:pt>
                <c:pt idx="26">
                  <c:v>53.131269921913201</c:v>
                </c:pt>
                <c:pt idx="27">
                  <c:v>53.311567670626502</c:v>
                </c:pt>
                <c:pt idx="28">
                  <c:v>53.424071092793902</c:v>
                </c:pt>
                <c:pt idx="29">
                  <c:v>53.470484671106</c:v>
                </c:pt>
                <c:pt idx="30">
                  <c:v>53.460627007355299</c:v>
                </c:pt>
                <c:pt idx="31">
                  <c:v>53.4154813369273</c:v>
                </c:pt>
                <c:pt idx="32">
                  <c:v>53.345468977279197</c:v>
                </c:pt>
                <c:pt idx="33">
                  <c:v>53.265970676705997</c:v>
                </c:pt>
                <c:pt idx="34">
                  <c:v>53.199089935993698</c:v>
                </c:pt>
                <c:pt idx="35">
                  <c:v>53.159889571556697</c:v>
                </c:pt>
                <c:pt idx="36">
                  <c:v>53.158227992228397</c:v>
                </c:pt>
                <c:pt idx="37">
                  <c:v>53.183501649937</c:v>
                </c:pt>
                <c:pt idx="38">
                  <c:v>53.219247249445097</c:v>
                </c:pt>
                <c:pt idx="39">
                  <c:v>53.248635502152098</c:v>
                </c:pt>
                <c:pt idx="40">
                  <c:v>53.257127636835001</c:v>
                </c:pt>
                <c:pt idx="41">
                  <c:v>53.233618011525301</c:v>
                </c:pt>
                <c:pt idx="42">
                  <c:v>53.1748183594664</c:v>
                </c:pt>
                <c:pt idx="43">
                  <c:v>53.086483907116801</c:v>
                </c:pt>
                <c:pt idx="44">
                  <c:v>52.981101826023597</c:v>
                </c:pt>
                <c:pt idx="45">
                  <c:v>52.860688739418599</c:v>
                </c:pt>
                <c:pt idx="46">
                  <c:v>52.724174282512998</c:v>
                </c:pt>
                <c:pt idx="47">
                  <c:v>52.573652472540303</c:v>
                </c:pt>
                <c:pt idx="48">
                  <c:v>52.410582580557097</c:v>
                </c:pt>
                <c:pt idx="49">
                  <c:v>52.245483188049398</c:v>
                </c:pt>
                <c:pt idx="50">
                  <c:v>52.100934678098902</c:v>
                </c:pt>
                <c:pt idx="51">
                  <c:v>52.003188375649003</c:v>
                </c:pt>
                <c:pt idx="52">
                  <c:v>51.959556943321203</c:v>
                </c:pt>
                <c:pt idx="53">
                  <c:v>51.965796037569802</c:v>
                </c:pt>
                <c:pt idx="54">
                  <c:v>52.002182361569503</c:v>
                </c:pt>
                <c:pt idx="55">
                  <c:v>52.046807890287901</c:v>
                </c:pt>
                <c:pt idx="56">
                  <c:v>52.085103596139199</c:v>
                </c:pt>
                <c:pt idx="57">
                  <c:v>52.118609108218998</c:v>
                </c:pt>
                <c:pt idx="58">
                  <c:v>52.151979894169301</c:v>
                </c:pt>
                <c:pt idx="59">
                  <c:v>52.179903030968099</c:v>
                </c:pt>
                <c:pt idx="60">
                  <c:v>52.201452512445897</c:v>
                </c:pt>
                <c:pt idx="61">
                  <c:v>52.2218657259886</c:v>
                </c:pt>
                <c:pt idx="62">
                  <c:v>52.252662718462098</c:v>
                </c:pt>
                <c:pt idx="63">
                  <c:v>52.295108396662897</c:v>
                </c:pt>
              </c:numCache>
            </c:numRef>
          </c:val>
          <c:smooth val="0"/>
          <c:extLst>
            <c:ext xmlns:c16="http://schemas.microsoft.com/office/drawing/2014/chart" uri="{C3380CC4-5D6E-409C-BE32-E72D297353CC}">
              <c16:uniqueId val="{00000001-C935-433B-A1C7-8B3866876FCE}"/>
            </c:ext>
          </c:extLst>
        </c:ser>
        <c:dLbls>
          <c:showLegendKey val="0"/>
          <c:showVal val="0"/>
          <c:showCatName val="0"/>
          <c:showSerName val="0"/>
          <c:showPercent val="0"/>
          <c:showBubbleSize val="0"/>
        </c:dLbls>
        <c:smooth val="0"/>
        <c:axId val="469115440"/>
        <c:axId val="469115832"/>
      </c:lineChart>
      <c:catAx>
        <c:axId val="4691154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9115832"/>
        <c:crossesAt val="50"/>
        <c:auto val="1"/>
        <c:lblAlgn val="ctr"/>
        <c:lblOffset val="50"/>
        <c:tickLblSkip val="1"/>
        <c:tickMarkSkip val="12"/>
        <c:noMultiLvlLbl val="1"/>
      </c:catAx>
      <c:valAx>
        <c:axId val="469115832"/>
        <c:scaling>
          <c:orientation val="minMax"/>
          <c:max val="57"/>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9115440"/>
        <c:crosses val="autoZero"/>
        <c:crossBetween val="between"/>
        <c:majorUnit val="2"/>
      </c:valAx>
      <c:spPr>
        <a:noFill/>
      </c:spPr>
    </c:plotArea>
    <c:legend>
      <c:legendPos val="b"/>
      <c:layout>
        <c:manualLayout>
          <c:xMode val="edge"/>
          <c:yMode val="edge"/>
          <c:x val="0.1503858235611217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 de productos terminados</a:t>
            </a:r>
          </a:p>
        </c:rich>
      </c:tx>
      <c:layout>
        <c:manualLayout>
          <c:xMode val="edge"/>
          <c:yMode val="edge"/>
          <c:x val="0.26612800515551294"/>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MAN'!$Q$4</c:f>
              <c:strCache>
                <c:ptCount val="1"/>
                <c:pt idx="0">
                  <c:v>Serie Desestacionalizada</c:v>
                </c:pt>
              </c:strCache>
            </c:strRef>
          </c:tx>
          <c:spPr>
            <a:ln w="15875">
              <a:solidFill>
                <a:srgbClr val="3D6AA1"/>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MAN'!$Q$137:$Q$208</c:f>
              <c:numCache>
                <c:formatCode>0.0_)</c:formatCode>
                <c:ptCount val="64"/>
                <c:pt idx="0">
                  <c:v>53.299834242744701</c:v>
                </c:pt>
                <c:pt idx="1">
                  <c:v>53.750859877881503</c:v>
                </c:pt>
                <c:pt idx="2">
                  <c:v>52.874754782785502</c:v>
                </c:pt>
                <c:pt idx="3">
                  <c:v>52.544557352469702</c:v>
                </c:pt>
                <c:pt idx="4">
                  <c:v>53.527753426186301</c:v>
                </c:pt>
                <c:pt idx="5">
                  <c:v>52.0778358435089</c:v>
                </c:pt>
                <c:pt idx="6">
                  <c:v>51.443989188160998</c:v>
                </c:pt>
                <c:pt idx="7">
                  <c:v>54.122373222895298</c:v>
                </c:pt>
                <c:pt idx="8">
                  <c:v>52.475606268897899</c:v>
                </c:pt>
                <c:pt idx="9">
                  <c:v>51.076556874125203</c:v>
                </c:pt>
                <c:pt idx="10">
                  <c:v>52.449194116082197</c:v>
                </c:pt>
                <c:pt idx="11">
                  <c:v>55.3094809405289</c:v>
                </c:pt>
                <c:pt idx="12">
                  <c:v>49.380325816488799</c:v>
                </c:pt>
                <c:pt idx="13">
                  <c:v>52.319979885762997</c:v>
                </c:pt>
                <c:pt idx="14">
                  <c:v>48.685829463300799</c:v>
                </c:pt>
                <c:pt idx="15">
                  <c:v>51.956267928068399</c:v>
                </c:pt>
                <c:pt idx="16">
                  <c:v>51.035916581773499</c:v>
                </c:pt>
                <c:pt idx="17">
                  <c:v>52.6374696321881</c:v>
                </c:pt>
                <c:pt idx="18">
                  <c:v>49.155844781351199</c:v>
                </c:pt>
                <c:pt idx="19">
                  <c:v>53.458534748086002</c:v>
                </c:pt>
                <c:pt idx="20">
                  <c:v>50.965264469586103</c:v>
                </c:pt>
                <c:pt idx="21">
                  <c:v>53.2620505056761</c:v>
                </c:pt>
                <c:pt idx="22">
                  <c:v>52.600668885061403</c:v>
                </c:pt>
                <c:pt idx="23">
                  <c:v>52.069420758047798</c:v>
                </c:pt>
                <c:pt idx="24">
                  <c:v>52.887394975232901</c:v>
                </c:pt>
                <c:pt idx="25">
                  <c:v>52.548988001395401</c:v>
                </c:pt>
                <c:pt idx="26">
                  <c:v>55.627893823352302</c:v>
                </c:pt>
                <c:pt idx="27">
                  <c:v>52.220759854809998</c:v>
                </c:pt>
                <c:pt idx="28">
                  <c:v>50.745674338285099</c:v>
                </c:pt>
                <c:pt idx="29">
                  <c:v>50.6605154885888</c:v>
                </c:pt>
                <c:pt idx="30">
                  <c:v>56.039908194962798</c:v>
                </c:pt>
                <c:pt idx="31">
                  <c:v>51.157863954009898</c:v>
                </c:pt>
                <c:pt idx="32">
                  <c:v>47.212005268044202</c:v>
                </c:pt>
                <c:pt idx="33">
                  <c:v>47.2103949940945</c:v>
                </c:pt>
                <c:pt idx="34">
                  <c:v>46.471277153143603</c:v>
                </c:pt>
                <c:pt idx="35">
                  <c:v>48.5971520064573</c:v>
                </c:pt>
                <c:pt idx="36">
                  <c:v>50.8019039697556</c:v>
                </c:pt>
                <c:pt idx="37">
                  <c:v>49.469385436521797</c:v>
                </c:pt>
                <c:pt idx="38">
                  <c:v>51.855329479371697</c:v>
                </c:pt>
                <c:pt idx="39">
                  <c:v>54.960153760917002</c:v>
                </c:pt>
                <c:pt idx="40">
                  <c:v>52.249320229412803</c:v>
                </c:pt>
                <c:pt idx="41">
                  <c:v>50.750006600203598</c:v>
                </c:pt>
                <c:pt idx="42">
                  <c:v>53.663298292347399</c:v>
                </c:pt>
                <c:pt idx="43">
                  <c:v>51.409661030427401</c:v>
                </c:pt>
                <c:pt idx="44">
                  <c:v>50.479307886554103</c:v>
                </c:pt>
                <c:pt idx="45">
                  <c:v>51.0804860755796</c:v>
                </c:pt>
                <c:pt idx="46">
                  <c:v>52.194637942682199</c:v>
                </c:pt>
                <c:pt idx="47">
                  <c:v>50.6738757664193</c:v>
                </c:pt>
                <c:pt idx="48">
                  <c:v>50.264317073366797</c:v>
                </c:pt>
                <c:pt idx="49">
                  <c:v>50.333393175388998</c:v>
                </c:pt>
                <c:pt idx="50">
                  <c:v>51.719439020921101</c:v>
                </c:pt>
                <c:pt idx="51">
                  <c:v>50.8707364682828</c:v>
                </c:pt>
                <c:pt idx="52">
                  <c:v>52.415390559783702</c:v>
                </c:pt>
                <c:pt idx="53">
                  <c:v>53.281041215470999</c:v>
                </c:pt>
                <c:pt idx="54">
                  <c:v>51.650964840720498</c:v>
                </c:pt>
                <c:pt idx="55">
                  <c:v>52.3965074711979</c:v>
                </c:pt>
                <c:pt idx="56">
                  <c:v>51.304299005565703</c:v>
                </c:pt>
                <c:pt idx="57">
                  <c:v>51.362041722605902</c:v>
                </c:pt>
                <c:pt idx="58">
                  <c:v>52.715034667111802</c:v>
                </c:pt>
                <c:pt idx="59">
                  <c:v>54.928340641217197</c:v>
                </c:pt>
                <c:pt idx="60">
                  <c:v>52.367775700498797</c:v>
                </c:pt>
                <c:pt idx="61">
                  <c:v>53.110428277067598</c:v>
                </c:pt>
                <c:pt idx="62">
                  <c:v>49.730603888819502</c:v>
                </c:pt>
                <c:pt idx="63">
                  <c:v>46.030624540421996</c:v>
                </c:pt>
              </c:numCache>
            </c:numRef>
          </c:val>
          <c:smooth val="0"/>
          <c:extLst>
            <c:ext xmlns:c16="http://schemas.microsoft.com/office/drawing/2014/chart" uri="{C3380CC4-5D6E-409C-BE32-E72D297353CC}">
              <c16:uniqueId val="{00000000-B720-43B3-8745-087D0F4C1658}"/>
            </c:ext>
          </c:extLst>
        </c:ser>
        <c:ser>
          <c:idx val="1"/>
          <c:order val="1"/>
          <c:tx>
            <c:strRef>
              <c:f>'IAT MAN'!$R$4</c:f>
              <c:strCache>
                <c:ptCount val="1"/>
                <c:pt idx="0">
                  <c:v>Tendencia-Ciclo</c:v>
                </c:pt>
              </c:strCache>
            </c:strRef>
          </c:tx>
          <c:spPr>
            <a:ln w="12700">
              <a:solidFill>
                <a:srgbClr val="C00000"/>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MAN'!$R$137:$R$208</c:f>
              <c:numCache>
                <c:formatCode>0.0_)</c:formatCode>
                <c:ptCount val="64"/>
                <c:pt idx="0">
                  <c:v>52.972289538012198</c:v>
                </c:pt>
                <c:pt idx="1">
                  <c:v>53.0404847741273</c:v>
                </c:pt>
                <c:pt idx="2">
                  <c:v>53.058229781106597</c:v>
                </c:pt>
                <c:pt idx="3">
                  <c:v>53.013198821179301</c:v>
                </c:pt>
                <c:pt idx="4">
                  <c:v>52.906247848099497</c:v>
                </c:pt>
                <c:pt idx="5">
                  <c:v>52.754149631909002</c:v>
                </c:pt>
                <c:pt idx="6">
                  <c:v>52.566509682450103</c:v>
                </c:pt>
                <c:pt idx="7">
                  <c:v>52.360960713452897</c:v>
                </c:pt>
                <c:pt idx="8">
                  <c:v>52.148663591267599</c:v>
                </c:pt>
                <c:pt idx="9">
                  <c:v>51.944292626116798</c:v>
                </c:pt>
                <c:pt idx="10">
                  <c:v>51.763767578383302</c:v>
                </c:pt>
                <c:pt idx="11">
                  <c:v>51.615950188455599</c:v>
                </c:pt>
                <c:pt idx="12">
                  <c:v>51.513770028366899</c:v>
                </c:pt>
                <c:pt idx="13">
                  <c:v>51.464345378180496</c:v>
                </c:pt>
                <c:pt idx="14">
                  <c:v>51.472654411209703</c:v>
                </c:pt>
                <c:pt idx="15">
                  <c:v>51.540967566215002</c:v>
                </c:pt>
                <c:pt idx="16">
                  <c:v>51.661205711559802</c:v>
                </c:pt>
                <c:pt idx="17">
                  <c:v>51.824354818581597</c:v>
                </c:pt>
                <c:pt idx="18">
                  <c:v>52.017679797200202</c:v>
                </c:pt>
                <c:pt idx="19">
                  <c:v>52.2076938428227</c:v>
                </c:pt>
                <c:pt idx="20">
                  <c:v>52.361190864873898</c:v>
                </c:pt>
                <c:pt idx="21">
                  <c:v>52.456614853625602</c:v>
                </c:pt>
                <c:pt idx="22">
                  <c:v>52.484102322892397</c:v>
                </c:pt>
                <c:pt idx="23">
                  <c:v>52.450656164157699</c:v>
                </c:pt>
                <c:pt idx="24">
                  <c:v>52.372202063874198</c:v>
                </c:pt>
                <c:pt idx="25">
                  <c:v>52.252630753220799</c:v>
                </c:pt>
                <c:pt idx="26">
                  <c:v>52.100001347379902</c:v>
                </c:pt>
                <c:pt idx="27">
                  <c:v>51.925990836525898</c:v>
                </c:pt>
                <c:pt idx="28">
                  <c:v>51.737484518466403</c:v>
                </c:pt>
                <c:pt idx="29">
                  <c:v>51.550067311132501</c:v>
                </c:pt>
                <c:pt idx="30">
                  <c:v>51.385429040928699</c:v>
                </c:pt>
                <c:pt idx="31">
                  <c:v>51.257110729836803</c:v>
                </c:pt>
                <c:pt idx="32">
                  <c:v>51.178692510664099</c:v>
                </c:pt>
                <c:pt idx="33">
                  <c:v>51.170998538834702</c:v>
                </c:pt>
                <c:pt idx="34">
                  <c:v>51.228745784511901</c:v>
                </c:pt>
                <c:pt idx="35">
                  <c:v>51.339012582605903</c:v>
                </c:pt>
                <c:pt idx="36">
                  <c:v>51.483552114838702</c:v>
                </c:pt>
                <c:pt idx="37">
                  <c:v>51.640753343457803</c:v>
                </c:pt>
                <c:pt idx="38">
                  <c:v>51.791548277214801</c:v>
                </c:pt>
                <c:pt idx="39">
                  <c:v>51.910420825526998</c:v>
                </c:pt>
                <c:pt idx="40">
                  <c:v>51.980603551238303</c:v>
                </c:pt>
                <c:pt idx="41">
                  <c:v>51.985281165457401</c:v>
                </c:pt>
                <c:pt idx="42">
                  <c:v>51.907476963653501</c:v>
                </c:pt>
                <c:pt idx="43">
                  <c:v>51.755095658114101</c:v>
                </c:pt>
                <c:pt idx="44">
                  <c:v>51.555798961179597</c:v>
                </c:pt>
                <c:pt idx="45">
                  <c:v>51.353463800979902</c:v>
                </c:pt>
                <c:pt idx="46">
                  <c:v>51.202034968295102</c:v>
                </c:pt>
                <c:pt idx="47">
                  <c:v>51.126423294085797</c:v>
                </c:pt>
                <c:pt idx="48">
                  <c:v>51.120823226153099</c:v>
                </c:pt>
                <c:pt idx="49">
                  <c:v>51.1810851713117</c:v>
                </c:pt>
                <c:pt idx="50">
                  <c:v>51.298592714302899</c:v>
                </c:pt>
                <c:pt idx="51">
                  <c:v>51.4646805791105</c:v>
                </c:pt>
                <c:pt idx="52">
                  <c:v>51.666707060594803</c:v>
                </c:pt>
                <c:pt idx="53">
                  <c:v>51.883452711420396</c:v>
                </c:pt>
                <c:pt idx="54">
                  <c:v>52.082440978295402</c:v>
                </c:pt>
                <c:pt idx="55">
                  <c:v>52.234089082051803</c:v>
                </c:pt>
                <c:pt idx="56">
                  <c:v>52.332002036866598</c:v>
                </c:pt>
                <c:pt idx="57">
                  <c:v>52.358903498351602</c:v>
                </c:pt>
                <c:pt idx="58">
                  <c:v>52.302737227168002</c:v>
                </c:pt>
                <c:pt idx="59">
                  <c:v>52.173875202214703</c:v>
                </c:pt>
                <c:pt idx="60">
                  <c:v>51.999766631258197</c:v>
                </c:pt>
                <c:pt idx="61">
                  <c:v>51.805618138057802</c:v>
                </c:pt>
                <c:pt idx="62">
                  <c:v>51.612370525360497</c:v>
                </c:pt>
                <c:pt idx="63">
                  <c:v>51.4373019168018</c:v>
                </c:pt>
              </c:numCache>
            </c:numRef>
          </c:val>
          <c:smooth val="0"/>
          <c:extLst>
            <c:ext xmlns:c16="http://schemas.microsoft.com/office/drawing/2014/chart" uri="{C3380CC4-5D6E-409C-BE32-E72D297353CC}">
              <c16:uniqueId val="{00000001-B720-43B3-8745-087D0F4C1658}"/>
            </c:ext>
          </c:extLst>
        </c:ser>
        <c:dLbls>
          <c:showLegendKey val="0"/>
          <c:showVal val="0"/>
          <c:showCatName val="0"/>
          <c:showSerName val="0"/>
          <c:showPercent val="0"/>
          <c:showBubbleSize val="0"/>
        </c:dLbls>
        <c:smooth val="0"/>
        <c:axId val="469117008"/>
        <c:axId val="469116616"/>
      </c:lineChart>
      <c:catAx>
        <c:axId val="4691170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9116616"/>
        <c:crossesAt val="50"/>
        <c:auto val="1"/>
        <c:lblAlgn val="ctr"/>
        <c:lblOffset val="50"/>
        <c:tickLblSkip val="1"/>
        <c:tickMarkSkip val="12"/>
        <c:noMultiLvlLbl val="1"/>
      </c:catAx>
      <c:valAx>
        <c:axId val="469116616"/>
        <c:scaling>
          <c:orientation val="minMax"/>
          <c:max val="58"/>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9117008"/>
        <c:crosses val="autoZero"/>
        <c:crossBetween val="between"/>
        <c:majorUnit val="2"/>
      </c:valAx>
      <c:spPr>
        <a:noFill/>
      </c:spPr>
    </c:plotArea>
    <c:legend>
      <c:legendPos val="b"/>
      <c:layout>
        <c:manualLayout>
          <c:xMode val="edge"/>
          <c:yMode val="edge"/>
          <c:x val="0.14895370269977229"/>
          <c:y val="0.92057021341707268"/>
          <c:w val="0.68934299516908215"/>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a:t>
            </a:r>
            <a:r>
              <a:rPr lang="es-MX" sz="700" baseline="0"/>
              <a:t> de venta</a:t>
            </a:r>
            <a:endParaRPr lang="es-MX" sz="700"/>
          </a:p>
        </c:rich>
      </c:tx>
      <c:layout>
        <c:manualLayout>
          <c:xMode val="edge"/>
          <c:yMode val="edge"/>
          <c:x val="0.37692388746443745"/>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MAN'!$S$4</c:f>
              <c:strCache>
                <c:ptCount val="1"/>
                <c:pt idx="0">
                  <c:v>Serie Desestacionalizada</c:v>
                </c:pt>
              </c:strCache>
            </c:strRef>
          </c:tx>
          <c:spPr>
            <a:ln w="15875">
              <a:solidFill>
                <a:srgbClr val="3D6AA1"/>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MAN'!$S$137:$S$208</c:f>
              <c:numCache>
                <c:formatCode>0.0_)</c:formatCode>
                <c:ptCount val="64"/>
                <c:pt idx="0">
                  <c:v>52.102064559889001</c:v>
                </c:pt>
                <c:pt idx="1">
                  <c:v>52.630789038692399</c:v>
                </c:pt>
                <c:pt idx="2">
                  <c:v>53.368978977007302</c:v>
                </c:pt>
                <c:pt idx="3">
                  <c:v>53.183942933954597</c:v>
                </c:pt>
                <c:pt idx="4">
                  <c:v>52.905778485990098</c:v>
                </c:pt>
                <c:pt idx="5">
                  <c:v>54.259633091209999</c:v>
                </c:pt>
                <c:pt idx="6">
                  <c:v>52.536996531870102</c:v>
                </c:pt>
                <c:pt idx="7">
                  <c:v>53.673801634748799</c:v>
                </c:pt>
                <c:pt idx="8">
                  <c:v>51.841839578676002</c:v>
                </c:pt>
                <c:pt idx="9">
                  <c:v>51.294667983477702</c:v>
                </c:pt>
                <c:pt idx="10">
                  <c:v>52.646564412025299</c:v>
                </c:pt>
                <c:pt idx="11">
                  <c:v>52.500822835667002</c:v>
                </c:pt>
                <c:pt idx="12">
                  <c:v>52.851718117240601</c:v>
                </c:pt>
                <c:pt idx="13">
                  <c:v>53.097523859064196</c:v>
                </c:pt>
                <c:pt idx="14">
                  <c:v>53.252458176793198</c:v>
                </c:pt>
                <c:pt idx="15">
                  <c:v>52.179076366020396</c:v>
                </c:pt>
                <c:pt idx="16">
                  <c:v>54.3114705774911</c:v>
                </c:pt>
                <c:pt idx="17">
                  <c:v>53.140368147226098</c:v>
                </c:pt>
                <c:pt idx="18">
                  <c:v>54.610798316395297</c:v>
                </c:pt>
                <c:pt idx="19">
                  <c:v>52.708560402683801</c:v>
                </c:pt>
                <c:pt idx="20">
                  <c:v>53.812875855673703</c:v>
                </c:pt>
                <c:pt idx="21">
                  <c:v>53.351133167136702</c:v>
                </c:pt>
                <c:pt idx="22">
                  <c:v>52.443702954700797</c:v>
                </c:pt>
                <c:pt idx="23">
                  <c:v>54.228435882405599</c:v>
                </c:pt>
                <c:pt idx="24">
                  <c:v>54.826727346347703</c:v>
                </c:pt>
                <c:pt idx="25">
                  <c:v>52.988477300365602</c:v>
                </c:pt>
                <c:pt idx="26">
                  <c:v>52.416148732848001</c:v>
                </c:pt>
                <c:pt idx="27">
                  <c:v>53.02027766674</c:v>
                </c:pt>
                <c:pt idx="28">
                  <c:v>54.053472268503498</c:v>
                </c:pt>
                <c:pt idx="29">
                  <c:v>48.495935080501702</c:v>
                </c:pt>
                <c:pt idx="30">
                  <c:v>50.322131017039503</c:v>
                </c:pt>
                <c:pt idx="31">
                  <c:v>54.792777332703999</c:v>
                </c:pt>
                <c:pt idx="32">
                  <c:v>52.982513747260001</c:v>
                </c:pt>
                <c:pt idx="33">
                  <c:v>53.986504423067601</c:v>
                </c:pt>
                <c:pt idx="34">
                  <c:v>52.938679338158302</c:v>
                </c:pt>
                <c:pt idx="35">
                  <c:v>52.559544285749503</c:v>
                </c:pt>
                <c:pt idx="36">
                  <c:v>52.581172023380503</c:v>
                </c:pt>
                <c:pt idx="37">
                  <c:v>53.512903226674702</c:v>
                </c:pt>
                <c:pt idx="38">
                  <c:v>54.591309802420902</c:v>
                </c:pt>
                <c:pt idx="39">
                  <c:v>51.290988289769501</c:v>
                </c:pt>
                <c:pt idx="40">
                  <c:v>53.175143303761899</c:v>
                </c:pt>
                <c:pt idx="41">
                  <c:v>53.4363621156348</c:v>
                </c:pt>
                <c:pt idx="42">
                  <c:v>52.9859657277145</c:v>
                </c:pt>
                <c:pt idx="43">
                  <c:v>52.4706824255858</c:v>
                </c:pt>
                <c:pt idx="44">
                  <c:v>51.392773326544003</c:v>
                </c:pt>
                <c:pt idx="45">
                  <c:v>52.555165129836197</c:v>
                </c:pt>
                <c:pt idx="46">
                  <c:v>53.932729464948899</c:v>
                </c:pt>
                <c:pt idx="47">
                  <c:v>52.349691343690999</c:v>
                </c:pt>
                <c:pt idx="48">
                  <c:v>49.670755223900798</c:v>
                </c:pt>
                <c:pt idx="49">
                  <c:v>53.316189595890798</c:v>
                </c:pt>
                <c:pt idx="50">
                  <c:v>52.168616312328197</c:v>
                </c:pt>
                <c:pt idx="51">
                  <c:v>54.108490349981899</c:v>
                </c:pt>
                <c:pt idx="52">
                  <c:v>53.805107794529498</c:v>
                </c:pt>
                <c:pt idx="53">
                  <c:v>54.6409708783833</c:v>
                </c:pt>
                <c:pt idx="54">
                  <c:v>55.125384905198899</c:v>
                </c:pt>
                <c:pt idx="55">
                  <c:v>54.920518714589598</c:v>
                </c:pt>
                <c:pt idx="56">
                  <c:v>54.937985461738599</c:v>
                </c:pt>
                <c:pt idx="57">
                  <c:v>53.537132771087101</c:v>
                </c:pt>
                <c:pt idx="58">
                  <c:v>53.609891510925699</c:v>
                </c:pt>
                <c:pt idx="59">
                  <c:v>54.074931777869402</c:v>
                </c:pt>
                <c:pt idx="60">
                  <c:v>53.830968942981499</c:v>
                </c:pt>
                <c:pt idx="61">
                  <c:v>48.643333308715</c:v>
                </c:pt>
                <c:pt idx="62">
                  <c:v>53.009576536427403</c:v>
                </c:pt>
                <c:pt idx="63">
                  <c:v>54.1296142857259</c:v>
                </c:pt>
              </c:numCache>
            </c:numRef>
          </c:val>
          <c:smooth val="0"/>
          <c:extLst>
            <c:ext xmlns:c16="http://schemas.microsoft.com/office/drawing/2014/chart" uri="{C3380CC4-5D6E-409C-BE32-E72D297353CC}">
              <c16:uniqueId val="{00000000-0F92-4B6E-A888-FDD3DBC43074}"/>
            </c:ext>
          </c:extLst>
        </c:ser>
        <c:ser>
          <c:idx val="1"/>
          <c:order val="1"/>
          <c:tx>
            <c:strRef>
              <c:f>'IAT MAN'!$T$4</c:f>
              <c:strCache>
                <c:ptCount val="1"/>
                <c:pt idx="0">
                  <c:v>Tendencia-Ciclo</c:v>
                </c:pt>
              </c:strCache>
            </c:strRef>
          </c:tx>
          <c:spPr>
            <a:ln w="12700">
              <a:solidFill>
                <a:srgbClr val="C00000"/>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MAN'!$T$137:$T$208</c:f>
              <c:numCache>
                <c:formatCode>0.0_)</c:formatCode>
                <c:ptCount val="64"/>
                <c:pt idx="0">
                  <c:v>52.762626790378697</c:v>
                </c:pt>
                <c:pt idx="1">
                  <c:v>52.841647409598103</c:v>
                </c:pt>
                <c:pt idx="2">
                  <c:v>52.994448856597401</c:v>
                </c:pt>
                <c:pt idx="3">
                  <c:v>53.205092707895098</c:v>
                </c:pt>
                <c:pt idx="4">
                  <c:v>53.342115091102997</c:v>
                </c:pt>
                <c:pt idx="5">
                  <c:v>53.305224570421601</c:v>
                </c:pt>
                <c:pt idx="6">
                  <c:v>53.0635144094936</c:v>
                </c:pt>
                <c:pt idx="7">
                  <c:v>52.7183890572175</c:v>
                </c:pt>
                <c:pt idx="8">
                  <c:v>52.410508997880399</c:v>
                </c:pt>
                <c:pt idx="9">
                  <c:v>52.260246566058299</c:v>
                </c:pt>
                <c:pt idx="10">
                  <c:v>52.264872947557002</c:v>
                </c:pt>
                <c:pt idx="11">
                  <c:v>52.425664093259897</c:v>
                </c:pt>
                <c:pt idx="12">
                  <c:v>52.653090644073799</c:v>
                </c:pt>
                <c:pt idx="13">
                  <c:v>52.893947229926702</c:v>
                </c:pt>
                <c:pt idx="14">
                  <c:v>53.115776427654701</c:v>
                </c:pt>
                <c:pt idx="15">
                  <c:v>53.282378351783201</c:v>
                </c:pt>
                <c:pt idx="16">
                  <c:v>53.452551192021701</c:v>
                </c:pt>
                <c:pt idx="17">
                  <c:v>53.571423831913599</c:v>
                </c:pt>
                <c:pt idx="18">
                  <c:v>53.567148461851801</c:v>
                </c:pt>
                <c:pt idx="19">
                  <c:v>53.511805787085201</c:v>
                </c:pt>
                <c:pt idx="20">
                  <c:v>53.482571744372798</c:v>
                </c:pt>
                <c:pt idx="21">
                  <c:v>53.497706643484797</c:v>
                </c:pt>
                <c:pt idx="22">
                  <c:v>53.563833200763902</c:v>
                </c:pt>
                <c:pt idx="23">
                  <c:v>53.636495777564299</c:v>
                </c:pt>
                <c:pt idx="24">
                  <c:v>53.5992993400628</c:v>
                </c:pt>
                <c:pt idx="25">
                  <c:v>53.3874966123104</c:v>
                </c:pt>
                <c:pt idx="26">
                  <c:v>52.975220217039301</c:v>
                </c:pt>
                <c:pt idx="27">
                  <c:v>52.480542060174102</c:v>
                </c:pt>
                <c:pt idx="28">
                  <c:v>52.0721624485288</c:v>
                </c:pt>
                <c:pt idx="29">
                  <c:v>51.932024389109898</c:v>
                </c:pt>
                <c:pt idx="30">
                  <c:v>52.093853766244898</c:v>
                </c:pt>
                <c:pt idx="31">
                  <c:v>52.392256160577098</c:v>
                </c:pt>
                <c:pt idx="32">
                  <c:v>52.667303119376697</c:v>
                </c:pt>
                <c:pt idx="33">
                  <c:v>52.9082911948298</c:v>
                </c:pt>
                <c:pt idx="34">
                  <c:v>53.084184960501801</c:v>
                </c:pt>
                <c:pt idx="35">
                  <c:v>53.172619760615497</c:v>
                </c:pt>
                <c:pt idx="36">
                  <c:v>53.232252800707997</c:v>
                </c:pt>
                <c:pt idx="37">
                  <c:v>53.314599690281902</c:v>
                </c:pt>
                <c:pt idx="38">
                  <c:v>53.436485183867703</c:v>
                </c:pt>
                <c:pt idx="39">
                  <c:v>53.483624449686097</c:v>
                </c:pt>
                <c:pt idx="40">
                  <c:v>53.352007962121</c:v>
                </c:pt>
                <c:pt idx="41">
                  <c:v>53.062893462620401</c:v>
                </c:pt>
                <c:pt idx="42">
                  <c:v>52.745066108083201</c:v>
                </c:pt>
                <c:pt idx="43">
                  <c:v>52.4965108740885</c:v>
                </c:pt>
                <c:pt idx="44">
                  <c:v>52.391960973379298</c:v>
                </c:pt>
                <c:pt idx="45">
                  <c:v>52.377423727868504</c:v>
                </c:pt>
                <c:pt idx="46">
                  <c:v>52.4246997524154</c:v>
                </c:pt>
                <c:pt idx="47">
                  <c:v>52.543163697628003</c:v>
                </c:pt>
                <c:pt idx="48">
                  <c:v>52.697148679808201</c:v>
                </c:pt>
                <c:pt idx="49">
                  <c:v>52.895317114689199</c:v>
                </c:pt>
                <c:pt idx="50">
                  <c:v>53.179413131979999</c:v>
                </c:pt>
                <c:pt idx="51">
                  <c:v>53.600543355532103</c:v>
                </c:pt>
                <c:pt idx="52">
                  <c:v>54.108310910487397</c:v>
                </c:pt>
                <c:pt idx="53">
                  <c:v>54.527439635816698</c:v>
                </c:pt>
                <c:pt idx="54">
                  <c:v>54.738908173646998</c:v>
                </c:pt>
                <c:pt idx="55">
                  <c:v>54.735808297303699</c:v>
                </c:pt>
                <c:pt idx="56">
                  <c:v>54.552641958434599</c:v>
                </c:pt>
                <c:pt idx="57">
                  <c:v>54.2443255418994</c:v>
                </c:pt>
                <c:pt idx="58">
                  <c:v>53.9348557639563</c:v>
                </c:pt>
                <c:pt idx="59">
                  <c:v>53.6992703986473</c:v>
                </c:pt>
                <c:pt idx="60">
                  <c:v>53.579775937527302</c:v>
                </c:pt>
                <c:pt idx="61">
                  <c:v>53.523583830908201</c:v>
                </c:pt>
                <c:pt idx="62">
                  <c:v>53.4682322436202</c:v>
                </c:pt>
                <c:pt idx="63">
                  <c:v>53.397341151337599</c:v>
                </c:pt>
              </c:numCache>
            </c:numRef>
          </c:val>
          <c:smooth val="0"/>
          <c:extLst>
            <c:ext xmlns:c16="http://schemas.microsoft.com/office/drawing/2014/chart" uri="{C3380CC4-5D6E-409C-BE32-E72D297353CC}">
              <c16:uniqueId val="{00000001-0F92-4B6E-A888-FDD3DBC43074}"/>
            </c:ext>
          </c:extLst>
        </c:ser>
        <c:dLbls>
          <c:showLegendKey val="0"/>
          <c:showVal val="0"/>
          <c:showCatName val="0"/>
          <c:showSerName val="0"/>
          <c:showPercent val="0"/>
          <c:showBubbleSize val="0"/>
        </c:dLbls>
        <c:smooth val="0"/>
        <c:axId val="469113480"/>
        <c:axId val="469114264"/>
      </c:lineChart>
      <c:catAx>
        <c:axId val="4691134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9114264"/>
        <c:crossesAt val="50"/>
        <c:auto val="1"/>
        <c:lblAlgn val="ctr"/>
        <c:lblOffset val="50"/>
        <c:tickLblSkip val="1"/>
        <c:tickMarkSkip val="12"/>
        <c:noMultiLvlLbl val="1"/>
      </c:catAx>
      <c:valAx>
        <c:axId val="469114264"/>
        <c:scaling>
          <c:orientation val="minMax"/>
          <c:max val="56"/>
          <c:min val="4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9113480"/>
        <c:crosses val="autoZero"/>
        <c:crossBetween val="between"/>
        <c:majorUnit val="2"/>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 de insumos</a:t>
            </a:r>
          </a:p>
        </c:rich>
      </c:tx>
      <c:layout>
        <c:manualLayout>
          <c:xMode val="edge"/>
          <c:yMode val="edge"/>
          <c:x val="0.37317514541875563"/>
          <c:y val="1.0854294249180168E-2"/>
        </c:manualLayout>
      </c:layout>
      <c:overlay val="1"/>
    </c:title>
    <c:autoTitleDeleted val="0"/>
    <c:plotArea>
      <c:layout>
        <c:manualLayout>
          <c:layoutTarget val="inner"/>
          <c:xMode val="edge"/>
          <c:yMode val="edge"/>
          <c:x val="4.4420485833792739E-2"/>
          <c:y val="9.4692741315695217E-2"/>
          <c:w val="0.93080897207368285"/>
          <c:h val="0.69844449313010548"/>
        </c:manualLayout>
      </c:layout>
      <c:lineChart>
        <c:grouping val="standard"/>
        <c:varyColors val="0"/>
        <c:ser>
          <c:idx val="0"/>
          <c:order val="0"/>
          <c:tx>
            <c:strRef>
              <c:f>'IAT MAN'!$U$4</c:f>
              <c:strCache>
                <c:ptCount val="1"/>
                <c:pt idx="0">
                  <c:v>Serie Desestacionalizada</c:v>
                </c:pt>
              </c:strCache>
            </c:strRef>
          </c:tx>
          <c:spPr>
            <a:ln w="15875">
              <a:solidFill>
                <a:srgbClr val="3D6AA1"/>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MAN'!$U$137:$U$208</c:f>
              <c:numCache>
                <c:formatCode>0.0_)</c:formatCode>
                <c:ptCount val="64"/>
                <c:pt idx="0">
                  <c:v>53.569185098605899</c:v>
                </c:pt>
                <c:pt idx="1">
                  <c:v>55.653451476077599</c:v>
                </c:pt>
                <c:pt idx="2">
                  <c:v>56.949775851075202</c:v>
                </c:pt>
                <c:pt idx="3">
                  <c:v>56.2006106940282</c:v>
                </c:pt>
                <c:pt idx="4">
                  <c:v>54.672576570465303</c:v>
                </c:pt>
                <c:pt idx="5">
                  <c:v>57.650817821059199</c:v>
                </c:pt>
                <c:pt idx="6">
                  <c:v>56.657402189549799</c:v>
                </c:pt>
                <c:pt idx="7">
                  <c:v>56.608303538050599</c:v>
                </c:pt>
                <c:pt idx="8">
                  <c:v>55.109071306938098</c:v>
                </c:pt>
                <c:pt idx="9">
                  <c:v>54.374479177398101</c:v>
                </c:pt>
                <c:pt idx="10">
                  <c:v>54.790137844102098</c:v>
                </c:pt>
                <c:pt idx="11">
                  <c:v>55.065024784977702</c:v>
                </c:pt>
                <c:pt idx="12">
                  <c:v>55.347327745093303</c:v>
                </c:pt>
                <c:pt idx="13">
                  <c:v>54.568076858829798</c:v>
                </c:pt>
                <c:pt idx="14">
                  <c:v>54.682794852484598</c:v>
                </c:pt>
                <c:pt idx="15">
                  <c:v>54.7205985532865</c:v>
                </c:pt>
                <c:pt idx="16">
                  <c:v>55.933797482740403</c:v>
                </c:pt>
                <c:pt idx="17">
                  <c:v>56.679777254470501</c:v>
                </c:pt>
                <c:pt idx="18">
                  <c:v>56.595041293736998</c:v>
                </c:pt>
                <c:pt idx="19">
                  <c:v>57.127467704146802</c:v>
                </c:pt>
                <c:pt idx="20">
                  <c:v>56.490557760493701</c:v>
                </c:pt>
                <c:pt idx="21">
                  <c:v>56.915972529855999</c:v>
                </c:pt>
                <c:pt idx="22">
                  <c:v>56.492367526225998</c:v>
                </c:pt>
                <c:pt idx="23">
                  <c:v>56.5318008816282</c:v>
                </c:pt>
                <c:pt idx="24">
                  <c:v>57.5897806229856</c:v>
                </c:pt>
                <c:pt idx="25">
                  <c:v>54.5737136112594</c:v>
                </c:pt>
                <c:pt idx="26">
                  <c:v>55.4385766556791</c:v>
                </c:pt>
                <c:pt idx="27">
                  <c:v>55.6530851012987</c:v>
                </c:pt>
                <c:pt idx="28">
                  <c:v>55.223901918075697</c:v>
                </c:pt>
                <c:pt idx="29">
                  <c:v>53.575571728498701</c:v>
                </c:pt>
                <c:pt idx="30">
                  <c:v>51.620829984088601</c:v>
                </c:pt>
                <c:pt idx="31">
                  <c:v>52.733680850648199</c:v>
                </c:pt>
                <c:pt idx="32">
                  <c:v>53.761334941404101</c:v>
                </c:pt>
                <c:pt idx="33">
                  <c:v>54.1230782142066</c:v>
                </c:pt>
                <c:pt idx="34">
                  <c:v>53.892900161693298</c:v>
                </c:pt>
                <c:pt idx="35">
                  <c:v>53.8875277762614</c:v>
                </c:pt>
                <c:pt idx="36">
                  <c:v>54.112299624044198</c:v>
                </c:pt>
                <c:pt idx="37">
                  <c:v>53.978481095389597</c:v>
                </c:pt>
                <c:pt idx="38">
                  <c:v>53.441518676980799</c:v>
                </c:pt>
                <c:pt idx="39">
                  <c:v>53.142115046706799</c:v>
                </c:pt>
                <c:pt idx="40">
                  <c:v>52.825323976633001</c:v>
                </c:pt>
                <c:pt idx="41">
                  <c:v>55.735144578869601</c:v>
                </c:pt>
                <c:pt idx="42">
                  <c:v>52.743770627282501</c:v>
                </c:pt>
                <c:pt idx="43">
                  <c:v>53.201783734103103</c:v>
                </c:pt>
                <c:pt idx="44">
                  <c:v>53.867925688930498</c:v>
                </c:pt>
                <c:pt idx="45">
                  <c:v>53.450864945921801</c:v>
                </c:pt>
                <c:pt idx="46">
                  <c:v>53.694270465863703</c:v>
                </c:pt>
                <c:pt idx="47">
                  <c:v>51.479061988098302</c:v>
                </c:pt>
                <c:pt idx="48">
                  <c:v>51.094947678189001</c:v>
                </c:pt>
                <c:pt idx="49">
                  <c:v>53.510376630512901</c:v>
                </c:pt>
                <c:pt idx="50">
                  <c:v>53.775716113188203</c:v>
                </c:pt>
                <c:pt idx="51">
                  <c:v>54.195062969337798</c:v>
                </c:pt>
                <c:pt idx="52">
                  <c:v>53.861623754323901</c:v>
                </c:pt>
                <c:pt idx="53">
                  <c:v>53.751309448829197</c:v>
                </c:pt>
                <c:pt idx="54">
                  <c:v>55.080450609431097</c:v>
                </c:pt>
                <c:pt idx="55">
                  <c:v>56.5295614793421</c:v>
                </c:pt>
                <c:pt idx="56">
                  <c:v>54.1073829087603</c:v>
                </c:pt>
                <c:pt idx="57">
                  <c:v>53.292010683433297</c:v>
                </c:pt>
                <c:pt idx="58">
                  <c:v>54.1655030269553</c:v>
                </c:pt>
                <c:pt idx="59">
                  <c:v>54.410649800118001</c:v>
                </c:pt>
                <c:pt idx="60">
                  <c:v>53.445751565824601</c:v>
                </c:pt>
                <c:pt idx="61">
                  <c:v>52.412612665358601</c:v>
                </c:pt>
                <c:pt idx="62">
                  <c:v>54.001479229786099</c:v>
                </c:pt>
                <c:pt idx="63">
                  <c:v>54.672345664215598</c:v>
                </c:pt>
              </c:numCache>
            </c:numRef>
          </c:val>
          <c:smooth val="0"/>
          <c:extLst>
            <c:ext xmlns:c16="http://schemas.microsoft.com/office/drawing/2014/chart" uri="{C3380CC4-5D6E-409C-BE32-E72D297353CC}">
              <c16:uniqueId val="{00000000-2DA6-47D1-97DA-20E58A7775CC}"/>
            </c:ext>
          </c:extLst>
        </c:ser>
        <c:ser>
          <c:idx val="1"/>
          <c:order val="1"/>
          <c:tx>
            <c:strRef>
              <c:f>'IAT MAN'!$V$4</c:f>
              <c:strCache>
                <c:ptCount val="1"/>
                <c:pt idx="0">
                  <c:v>Tendencia-Ciclo</c:v>
                </c:pt>
              </c:strCache>
            </c:strRef>
          </c:tx>
          <c:spPr>
            <a:ln w="12700">
              <a:solidFill>
                <a:srgbClr val="C00000"/>
              </a:solidFill>
            </a:ln>
          </c:spPr>
          <c:marker>
            <c:symbol val="none"/>
          </c:marker>
          <c:cat>
            <c:multiLvlStrRef>
              <c:f>'IAT MAN'!$A$137:$B$208</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'IAT MAN'!$V$137:$V$208</c:f>
              <c:numCache>
                <c:formatCode>0.0_)</c:formatCode>
                <c:ptCount val="64"/>
                <c:pt idx="0">
                  <c:v>55.743062099609197</c:v>
                </c:pt>
                <c:pt idx="1">
                  <c:v>55.965151479835598</c:v>
                </c:pt>
                <c:pt idx="2">
                  <c:v>56.278026418046203</c:v>
                </c:pt>
                <c:pt idx="3">
                  <c:v>56.629355859514398</c:v>
                </c:pt>
                <c:pt idx="4">
                  <c:v>56.867987360300901</c:v>
                </c:pt>
                <c:pt idx="5">
                  <c:v>56.854846780604497</c:v>
                </c:pt>
                <c:pt idx="6">
                  <c:v>56.557460137756003</c:v>
                </c:pt>
                <c:pt idx="7">
                  <c:v>56.0844515496483</c:v>
                </c:pt>
                <c:pt idx="8">
                  <c:v>55.575895445710302</c:v>
                </c:pt>
                <c:pt idx="9">
                  <c:v>55.153704961025802</c:v>
                </c:pt>
                <c:pt idx="10">
                  <c:v>54.859489061017001</c:v>
                </c:pt>
                <c:pt idx="11">
                  <c:v>54.719624325612301</c:v>
                </c:pt>
                <c:pt idx="12">
                  <c:v>54.713254308809297</c:v>
                </c:pt>
                <c:pt idx="13">
                  <c:v>54.798822548046203</c:v>
                </c:pt>
                <c:pt idx="14">
                  <c:v>55.001639492953103</c:v>
                </c:pt>
                <c:pt idx="15">
                  <c:v>55.315519665336097</c:v>
                </c:pt>
                <c:pt idx="16">
                  <c:v>55.743644132579703</c:v>
                </c:pt>
                <c:pt idx="17">
                  <c:v>56.2122759953645</c:v>
                </c:pt>
                <c:pt idx="18">
                  <c:v>56.584997495547903</c:v>
                </c:pt>
                <c:pt idx="19">
                  <c:v>56.797326206081003</c:v>
                </c:pt>
                <c:pt idx="20">
                  <c:v>56.864006103570802</c:v>
                </c:pt>
                <c:pt idx="21">
                  <c:v>56.836254943726701</c:v>
                </c:pt>
                <c:pt idx="22">
                  <c:v>56.756393592381599</c:v>
                </c:pt>
                <c:pt idx="23">
                  <c:v>56.662680522857698</c:v>
                </c:pt>
                <c:pt idx="24">
                  <c:v>56.514783239216101</c:v>
                </c:pt>
                <c:pt idx="25">
                  <c:v>56.2565620876954</c:v>
                </c:pt>
                <c:pt idx="26">
                  <c:v>55.826426131865702</c:v>
                </c:pt>
                <c:pt idx="27">
                  <c:v>55.221771655185201</c:v>
                </c:pt>
                <c:pt idx="28">
                  <c:v>54.555150623118102</c:v>
                </c:pt>
                <c:pt idx="29">
                  <c:v>53.9620263249695</c:v>
                </c:pt>
                <c:pt idx="30">
                  <c:v>53.563000802456898</c:v>
                </c:pt>
                <c:pt idx="31">
                  <c:v>53.402542867352501</c:v>
                </c:pt>
                <c:pt idx="32">
                  <c:v>53.460349379512202</c:v>
                </c:pt>
                <c:pt idx="33">
                  <c:v>53.673628432756601</c:v>
                </c:pt>
                <c:pt idx="34">
                  <c:v>53.910459955897203</c:v>
                </c:pt>
                <c:pt idx="35">
                  <c:v>54.013456376794998</c:v>
                </c:pt>
                <c:pt idx="36">
                  <c:v>53.9454855671231</c:v>
                </c:pt>
                <c:pt idx="37">
                  <c:v>53.753868707020501</c:v>
                </c:pt>
                <c:pt idx="38">
                  <c:v>53.4981756991669</c:v>
                </c:pt>
                <c:pt idx="39">
                  <c:v>53.266384069861701</c:v>
                </c:pt>
                <c:pt idx="40">
                  <c:v>53.104167968227003</c:v>
                </c:pt>
                <c:pt idx="41">
                  <c:v>53.067646010345101</c:v>
                </c:pt>
                <c:pt idx="42">
                  <c:v>53.155668743880703</c:v>
                </c:pt>
                <c:pt idx="43">
                  <c:v>53.291811553705998</c:v>
                </c:pt>
                <c:pt idx="44">
                  <c:v>53.386556957131504</c:v>
                </c:pt>
                <c:pt idx="45">
                  <c:v>53.397316131655103</c:v>
                </c:pt>
                <c:pt idx="46">
                  <c:v>53.360255246318701</c:v>
                </c:pt>
                <c:pt idx="47">
                  <c:v>53.338857211543399</c:v>
                </c:pt>
                <c:pt idx="48">
                  <c:v>53.355949783816499</c:v>
                </c:pt>
                <c:pt idx="49">
                  <c:v>53.443815103520997</c:v>
                </c:pt>
                <c:pt idx="50">
                  <c:v>53.635178901064002</c:v>
                </c:pt>
                <c:pt idx="51">
                  <c:v>53.893093821793599</c:v>
                </c:pt>
                <c:pt idx="52">
                  <c:v>54.126093054998101</c:v>
                </c:pt>
                <c:pt idx="53">
                  <c:v>54.269120585604</c:v>
                </c:pt>
                <c:pt idx="54">
                  <c:v>54.3210188314237</c:v>
                </c:pt>
                <c:pt idx="55">
                  <c:v>54.309743651482599</c:v>
                </c:pt>
                <c:pt idx="56">
                  <c:v>54.240448450810902</c:v>
                </c:pt>
                <c:pt idx="57">
                  <c:v>54.114221794288902</c:v>
                </c:pt>
                <c:pt idx="58">
                  <c:v>53.975500565111503</c:v>
                </c:pt>
                <c:pt idx="59">
                  <c:v>53.876512546809899</c:v>
                </c:pt>
                <c:pt idx="60">
                  <c:v>53.883199231678297</c:v>
                </c:pt>
                <c:pt idx="61">
                  <c:v>53.987986839839003</c:v>
                </c:pt>
                <c:pt idx="62">
                  <c:v>54.152468390549103</c:v>
                </c:pt>
                <c:pt idx="63">
                  <c:v>54.352231217803897</c:v>
                </c:pt>
              </c:numCache>
            </c:numRef>
          </c:val>
          <c:smooth val="0"/>
          <c:extLst>
            <c:ext xmlns:c16="http://schemas.microsoft.com/office/drawing/2014/chart" uri="{C3380CC4-5D6E-409C-BE32-E72D297353CC}">
              <c16:uniqueId val="{00000001-2DA6-47D1-97DA-20E58A7775CC}"/>
            </c:ext>
          </c:extLst>
        </c:ser>
        <c:dLbls>
          <c:showLegendKey val="0"/>
          <c:showVal val="0"/>
          <c:showCatName val="0"/>
          <c:showSerName val="0"/>
          <c:showPercent val="0"/>
          <c:showBubbleSize val="0"/>
        </c:dLbls>
        <c:smooth val="0"/>
        <c:axId val="476046216"/>
        <c:axId val="476048176"/>
      </c:lineChart>
      <c:catAx>
        <c:axId val="4760462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6048176"/>
        <c:crossesAt val="50"/>
        <c:auto val="1"/>
        <c:lblAlgn val="ctr"/>
        <c:lblOffset val="50"/>
        <c:tickLblSkip val="1"/>
        <c:tickMarkSkip val="12"/>
        <c:noMultiLvlLbl val="1"/>
      </c:catAx>
      <c:valAx>
        <c:axId val="476048176"/>
        <c:scaling>
          <c:orientation val="minMax"/>
          <c:max val="58"/>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6046216"/>
        <c:crosses val="autoZero"/>
        <c:crossBetween val="between"/>
        <c:majorUnit val="2"/>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AAEF4-440E-441D-85F3-5C6B079E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14</Pages>
  <Words>3900</Words>
  <Characters>22115</Characters>
  <Application>Microsoft Office Word</Application>
  <DocSecurity>0</DocSecurity>
  <Lines>184</Lines>
  <Paragraphs>51</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25964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Expectativas Empresariales</dc:title>
  <dc:creator>INEGI</dc:creator>
  <cp:keywords>Opinión Empresa Expectativas Indicador Agregado Tendencia Confianza Productor Pedidos</cp:keywords>
  <cp:lastModifiedBy>SALA DE PRENSA</cp:lastModifiedBy>
  <cp:revision>32</cp:revision>
  <cp:lastPrinted>2019-11-28T14:49:00Z</cp:lastPrinted>
  <dcterms:created xsi:type="dcterms:W3CDTF">2020-04-28T14:19:00Z</dcterms:created>
  <dcterms:modified xsi:type="dcterms:W3CDTF">2020-05-01T18:09:00Z</dcterms:modified>
  <cp:category>Encuesta Mensual de Opinión Empresarial (EMOE)</cp:category>
  <cp:version>1</cp:version>
</cp:coreProperties>
</file>