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E8612" w14:textId="77777777" w:rsidR="00073721" w:rsidRDefault="00073721" w:rsidP="0007372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0C9FB458" wp14:editId="65D63D6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699100B" w14:textId="77777777" w:rsidR="00073721" w:rsidRPr="00E70F77" w:rsidRDefault="00073721" w:rsidP="00073721">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de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FB45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699100B" w14:textId="77777777" w:rsidR="00073721" w:rsidRPr="00E70F77" w:rsidRDefault="00073721" w:rsidP="00073721">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de agosto</w:t>
                      </w:r>
                    </w:p>
                  </w:txbxContent>
                </v:textbox>
                <w10:wrap type="square"/>
              </v:shape>
            </w:pict>
          </mc:Fallback>
        </mc:AlternateContent>
      </w:r>
    </w:p>
    <w:p w14:paraId="75EA16A2" w14:textId="77777777" w:rsidR="00073721" w:rsidRDefault="00073721" w:rsidP="00073721">
      <w:pPr>
        <w:tabs>
          <w:tab w:val="left" w:pos="8789"/>
        </w:tabs>
        <w:ind w:right="51"/>
        <w:jc w:val="center"/>
        <w:rPr>
          <w:b/>
          <w:sz w:val="28"/>
        </w:rPr>
      </w:pPr>
    </w:p>
    <w:p w14:paraId="30734A9A" w14:textId="77777777" w:rsidR="00073721" w:rsidRPr="00A410F9" w:rsidRDefault="00073721" w:rsidP="00073721">
      <w:pPr>
        <w:pStyle w:val="Profesin"/>
        <w:contextualSpacing/>
        <w:outlineLvl w:val="0"/>
      </w:pPr>
    </w:p>
    <w:p w14:paraId="5201B243" w14:textId="77777777" w:rsidR="00073721" w:rsidRPr="00A97BB6" w:rsidRDefault="00073721" w:rsidP="00073721">
      <w:pPr>
        <w:pStyle w:val="Profesin"/>
        <w:outlineLvl w:val="0"/>
        <w:rPr>
          <w:b w:val="0"/>
          <w:caps w:val="0"/>
        </w:rPr>
      </w:pPr>
      <w:r w:rsidRPr="00A97BB6">
        <w:t>INDICADORES DE Empresas Comerciales</w:t>
      </w:r>
    </w:p>
    <w:p w14:paraId="262096A6" w14:textId="77777777" w:rsidR="00073721" w:rsidRPr="002F4D9C" w:rsidRDefault="00073721" w:rsidP="00073721">
      <w:pPr>
        <w:jc w:val="center"/>
        <w:rPr>
          <w:b/>
          <w:spacing w:val="25"/>
          <w:sz w:val="26"/>
        </w:rPr>
      </w:pPr>
      <w:r w:rsidRPr="002F4D9C">
        <w:rPr>
          <w:b/>
          <w:spacing w:val="25"/>
          <w:sz w:val="26"/>
        </w:rPr>
        <w:t xml:space="preserve">CIFRAS DURANTE </w:t>
      </w:r>
      <w:r>
        <w:rPr>
          <w:b/>
          <w:spacing w:val="25"/>
          <w:sz w:val="26"/>
        </w:rPr>
        <w:t>MAYO</w:t>
      </w:r>
      <w:r w:rsidRPr="002F4D9C">
        <w:rPr>
          <w:b/>
          <w:spacing w:val="25"/>
          <w:sz w:val="26"/>
        </w:rPr>
        <w:t xml:space="preserve"> DE </w:t>
      </w:r>
      <w:r>
        <w:rPr>
          <w:b/>
          <w:spacing w:val="25"/>
          <w:sz w:val="26"/>
        </w:rPr>
        <w:t>2020</w:t>
      </w:r>
    </w:p>
    <w:p w14:paraId="4B401DC5" w14:textId="77777777" w:rsidR="00073721" w:rsidRPr="00A97BB6" w:rsidRDefault="00073721" w:rsidP="00073721">
      <w:pPr>
        <w:jc w:val="center"/>
        <w:rPr>
          <w:b/>
          <w:i/>
          <w:spacing w:val="25"/>
        </w:rPr>
      </w:pPr>
      <w:r w:rsidRPr="00A97BB6">
        <w:rPr>
          <w:b/>
          <w:i/>
          <w:spacing w:val="25"/>
        </w:rPr>
        <w:t>(Cifras desestacionalizadas)</w:t>
      </w:r>
    </w:p>
    <w:p w14:paraId="75C2E2A2" w14:textId="77777777" w:rsidR="00073721" w:rsidRPr="00073721" w:rsidRDefault="00073721" w:rsidP="00073721">
      <w:pPr>
        <w:spacing w:before="360"/>
        <w:ind w:left="-142" w:right="-547"/>
        <w:rPr>
          <w:bCs/>
          <w:snapToGrid w:val="0"/>
          <w:spacing w:val="2"/>
        </w:rPr>
      </w:pPr>
      <w:r w:rsidRPr="00073721">
        <w:rPr>
          <w:bCs/>
          <w:snapToGrid w:val="0"/>
          <w:spacing w:val="6"/>
        </w:rPr>
        <w:t xml:space="preserve">El </w:t>
      </w:r>
      <w:r w:rsidRPr="00073721">
        <w:rPr>
          <w:bCs/>
          <w:snapToGrid w:val="0"/>
        </w:rPr>
        <w:t xml:space="preserve">Instituto Nacional de Estadística </w:t>
      </w:r>
      <w:r w:rsidRPr="00073721">
        <w:rPr>
          <w:bCs/>
          <w:snapToGrid w:val="0"/>
          <w:spacing w:val="2"/>
        </w:rPr>
        <w:t>y Geografía (INEGI) informa que en las Empresas Comerciales al por Mayor, los Ingresos</w:t>
      </w:r>
      <w:r w:rsidRPr="00073721">
        <w:rPr>
          <w:bCs/>
          <w:snapToGrid w:val="0"/>
          <w:vertAlign w:val="superscript"/>
        </w:rPr>
        <w:footnoteReference w:id="1"/>
      </w:r>
      <w:r w:rsidRPr="00073721">
        <w:rPr>
          <w:bCs/>
          <w:snapToGrid w:val="0"/>
          <w:spacing w:val="2"/>
        </w:rPr>
        <w:t xml:space="preserve"> reales por suministro de bienes y servicios descendieron (</w:t>
      </w:r>
      <w:r w:rsidRPr="00073721">
        <w:rPr>
          <w:bCs/>
          <w:snapToGrid w:val="0"/>
          <w:spacing w:val="2"/>
        </w:rPr>
        <w:noBreakHyphen/>
        <w:t>)5.1%, el Personal ocupado total fue inferior en (</w:t>
      </w:r>
      <w:r w:rsidRPr="00073721">
        <w:rPr>
          <w:bCs/>
          <w:snapToGrid w:val="0"/>
          <w:spacing w:val="2"/>
        </w:rPr>
        <w:noBreakHyphen/>
        <w:t>)3.4% y las Remuneraciones medias reales pagadas en (</w:t>
      </w:r>
      <w:r w:rsidRPr="00073721">
        <w:rPr>
          <w:bCs/>
          <w:snapToGrid w:val="0"/>
          <w:spacing w:val="2"/>
        </w:rPr>
        <w:noBreakHyphen/>
        <w:t>)6% durante mayo del año en curso frente al mes precedente, con cifras desestacionalizadas</w:t>
      </w:r>
      <w:r w:rsidRPr="00073721">
        <w:rPr>
          <w:rStyle w:val="Refdenotaalpie"/>
          <w:bCs/>
          <w:snapToGrid w:val="0"/>
          <w:spacing w:val="2"/>
        </w:rPr>
        <w:footnoteReference w:id="2"/>
      </w:r>
      <w:r w:rsidRPr="00073721">
        <w:rPr>
          <w:bCs/>
          <w:snapToGrid w:val="0"/>
          <w:spacing w:val="2"/>
        </w:rPr>
        <w:t>.</w:t>
      </w:r>
    </w:p>
    <w:p w14:paraId="507D5969" w14:textId="77777777" w:rsidR="00073721" w:rsidRPr="002F4D9C" w:rsidRDefault="00073721" w:rsidP="00073721">
      <w:pPr>
        <w:pStyle w:val="p0"/>
        <w:keepNext/>
        <w:keepLines w:val="0"/>
        <w:widowControl/>
        <w:spacing w:before="360"/>
        <w:jc w:val="center"/>
        <w:rPr>
          <w:rFonts w:ascii="Arial" w:hAnsi="Arial"/>
          <w:b/>
          <w:smallCaps/>
          <w:color w:val="auto"/>
          <w:sz w:val="22"/>
        </w:rPr>
      </w:pPr>
      <w:r w:rsidRPr="002F4D9C">
        <w:rPr>
          <w:rFonts w:ascii="Arial" w:hAnsi="Arial"/>
          <w:color w:val="auto"/>
          <w:sz w:val="20"/>
        </w:rPr>
        <w:t>Gráfica 1</w:t>
      </w:r>
    </w:p>
    <w:p w14:paraId="73DBF505" w14:textId="77777777" w:rsidR="00073721" w:rsidRPr="002F4D9C" w:rsidRDefault="00073721" w:rsidP="00073721">
      <w:pPr>
        <w:pStyle w:val="p0"/>
        <w:keepLines w:val="0"/>
        <w:spacing w:before="0"/>
        <w:jc w:val="center"/>
        <w:rPr>
          <w:rFonts w:ascii="Arial" w:hAnsi="Arial"/>
          <w:b/>
          <w:smallCaps/>
          <w:color w:val="auto"/>
          <w:sz w:val="22"/>
        </w:rPr>
      </w:pPr>
      <w:r w:rsidRPr="002F4D9C">
        <w:rPr>
          <w:rFonts w:ascii="Arial" w:hAnsi="Arial"/>
          <w:b/>
          <w:smallCaps/>
          <w:color w:val="auto"/>
          <w:sz w:val="22"/>
        </w:rPr>
        <w:t>Indicadores de las Empresas Comerciales al por Mayor a</w:t>
      </w:r>
      <w:r>
        <w:rPr>
          <w:rFonts w:ascii="Arial" w:hAnsi="Arial"/>
          <w:b/>
          <w:smallCaps/>
          <w:color w:val="auto"/>
          <w:sz w:val="22"/>
        </w:rPr>
        <w:t xml:space="preserve"> mayo</w:t>
      </w:r>
      <w:r w:rsidRPr="002F4D9C">
        <w:rPr>
          <w:rFonts w:ascii="Arial" w:hAnsi="Arial"/>
          <w:b/>
          <w:smallCaps/>
          <w:color w:val="auto"/>
          <w:sz w:val="22"/>
        </w:rPr>
        <w:t xml:space="preserve"> de </w:t>
      </w:r>
      <w:r>
        <w:rPr>
          <w:rFonts w:ascii="Arial" w:hAnsi="Arial"/>
          <w:b/>
          <w:smallCaps/>
          <w:color w:val="auto"/>
          <w:sz w:val="22"/>
        </w:rPr>
        <w:t>2020</w:t>
      </w:r>
    </w:p>
    <w:p w14:paraId="5853C5E3" w14:textId="77777777" w:rsidR="00073721" w:rsidRPr="002F4D9C" w:rsidRDefault="00073721" w:rsidP="00073721">
      <w:pPr>
        <w:pStyle w:val="p0"/>
        <w:keepLines w:val="0"/>
        <w:spacing w:before="0"/>
        <w:jc w:val="center"/>
        <w:rPr>
          <w:rFonts w:ascii="Arial" w:hAnsi="Arial"/>
          <w:b/>
          <w:smallCaps/>
          <w:color w:val="auto"/>
          <w:sz w:val="22"/>
        </w:rPr>
      </w:pPr>
      <w:r w:rsidRPr="002F4D9C">
        <w:rPr>
          <w:rFonts w:ascii="Arial" w:hAnsi="Arial"/>
          <w:b/>
          <w:smallCaps/>
          <w:color w:val="auto"/>
          <w:sz w:val="22"/>
        </w:rPr>
        <w:t>Series desestacionalizadas y de tendencia-ciclo</w:t>
      </w:r>
    </w:p>
    <w:p w14:paraId="20DB8616" w14:textId="77777777" w:rsidR="00073721" w:rsidRPr="002F4D9C" w:rsidRDefault="00073721" w:rsidP="00073721">
      <w:pPr>
        <w:pStyle w:val="Textoindependiente"/>
        <w:widowControl w:val="0"/>
        <w:spacing w:before="0"/>
        <w:jc w:val="center"/>
        <w:rPr>
          <w:color w:val="auto"/>
          <w:sz w:val="18"/>
          <w:szCs w:val="18"/>
        </w:rPr>
      </w:pPr>
      <w:r w:rsidRPr="002F4D9C">
        <w:rPr>
          <w:smallCaps/>
          <w:color w:val="auto"/>
          <w:sz w:val="18"/>
          <w:szCs w:val="18"/>
        </w:rPr>
        <w:t>(</w:t>
      </w:r>
      <w:r w:rsidRPr="002F4D9C">
        <w:rPr>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073721" w:rsidRPr="002F4D9C" w14:paraId="281B45E1" w14:textId="77777777" w:rsidTr="009E4E80">
        <w:trPr>
          <w:jc w:val="center"/>
        </w:trPr>
        <w:tc>
          <w:tcPr>
            <w:tcW w:w="6980" w:type="dxa"/>
          </w:tcPr>
          <w:p w14:paraId="20B3ADB2" w14:textId="77777777" w:rsidR="00073721" w:rsidRPr="002F4D9C" w:rsidRDefault="00073721" w:rsidP="009E4E80">
            <w:pPr>
              <w:pStyle w:val="Textoindependiente"/>
              <w:widowControl w:val="0"/>
              <w:spacing w:after="60"/>
              <w:jc w:val="center"/>
              <w:rPr>
                <w:color w:val="auto"/>
                <w:sz w:val="20"/>
                <w:szCs w:val="18"/>
              </w:rPr>
            </w:pPr>
            <w:r w:rsidRPr="002F4D9C">
              <w:rPr>
                <w:color w:val="auto"/>
                <w:sz w:val="20"/>
              </w:rPr>
              <w:t>Ingresos reales por suministro de bienes y servicios</w:t>
            </w:r>
          </w:p>
        </w:tc>
      </w:tr>
      <w:tr w:rsidR="00073721" w:rsidRPr="002F4D9C" w14:paraId="7D024F8C" w14:textId="77777777" w:rsidTr="009E4E80">
        <w:tblPrEx>
          <w:tblCellMar>
            <w:left w:w="70" w:type="dxa"/>
            <w:right w:w="70" w:type="dxa"/>
          </w:tblCellMar>
        </w:tblPrEx>
        <w:trPr>
          <w:trHeight w:val="3969"/>
          <w:jc w:val="center"/>
        </w:trPr>
        <w:tc>
          <w:tcPr>
            <w:tcW w:w="6980" w:type="dxa"/>
          </w:tcPr>
          <w:p w14:paraId="395495C4" w14:textId="77777777" w:rsidR="00073721" w:rsidRPr="002F4D9C" w:rsidRDefault="00073721" w:rsidP="009E4E80">
            <w:pPr>
              <w:pStyle w:val="Textoindependiente"/>
              <w:widowControl w:val="0"/>
              <w:spacing w:before="20" w:after="20"/>
              <w:jc w:val="center"/>
              <w:rPr>
                <w:sz w:val="18"/>
                <w:szCs w:val="18"/>
              </w:rPr>
            </w:pPr>
            <w:r>
              <w:rPr>
                <w:noProof/>
                <w:lang w:val="es-MX" w:eastAsia="es-MX"/>
              </w:rPr>
              <w:drawing>
                <wp:inline distT="0" distB="0" distL="0" distR="0" wp14:anchorId="66FE836A" wp14:editId="4D046208">
                  <wp:extent cx="4320000" cy="2528405"/>
                  <wp:effectExtent l="0" t="0" r="23495" b="24765"/>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5CB2BBC6" w14:textId="77777777" w:rsidR="00073721" w:rsidRDefault="00073721" w:rsidP="00073721">
      <w:pPr>
        <w:pStyle w:val="p0"/>
        <w:keepLines w:val="0"/>
        <w:spacing w:before="360"/>
        <w:jc w:val="center"/>
        <w:rPr>
          <w:rFonts w:ascii="Arial" w:hAnsi="Arial"/>
          <w:color w:val="auto"/>
          <w:sz w:val="20"/>
        </w:rPr>
      </w:pPr>
    </w:p>
    <w:p w14:paraId="4FDA75F8" w14:textId="77777777" w:rsidR="00073721" w:rsidRDefault="00073721" w:rsidP="00073721">
      <w:pPr>
        <w:pStyle w:val="p0"/>
        <w:keepLines w:val="0"/>
        <w:spacing w:before="360"/>
        <w:jc w:val="center"/>
        <w:rPr>
          <w:rFonts w:ascii="Arial" w:hAnsi="Arial"/>
          <w:color w:val="auto"/>
          <w:sz w:val="20"/>
        </w:rPr>
      </w:pPr>
    </w:p>
    <w:p w14:paraId="0AEC792C" w14:textId="77777777" w:rsidR="00073721" w:rsidRDefault="00073721" w:rsidP="00073721">
      <w:pPr>
        <w:pStyle w:val="p0"/>
        <w:keepLines w:val="0"/>
        <w:spacing w:before="360"/>
        <w:jc w:val="center"/>
        <w:rPr>
          <w:rFonts w:ascii="Arial" w:hAnsi="Arial"/>
          <w:color w:val="auto"/>
          <w:sz w:val="20"/>
        </w:rPr>
      </w:pPr>
    </w:p>
    <w:p w14:paraId="2CF14ACD" w14:textId="77777777" w:rsidR="00073721" w:rsidRDefault="00073721" w:rsidP="00073721">
      <w:pPr>
        <w:pStyle w:val="p0"/>
        <w:keepNext/>
        <w:spacing w:before="360"/>
        <w:jc w:val="center"/>
        <w:rPr>
          <w:rFonts w:ascii="Arial" w:hAnsi="Arial"/>
          <w:color w:val="auto"/>
          <w:sz w:val="20"/>
        </w:rPr>
      </w:pPr>
    </w:p>
    <w:p w14:paraId="3FCF6EB1" w14:textId="77777777" w:rsidR="00073721" w:rsidRPr="002F4D9C" w:rsidRDefault="00073721" w:rsidP="00073721">
      <w:pPr>
        <w:pStyle w:val="p0"/>
        <w:keepNext/>
        <w:spacing w:before="480"/>
        <w:jc w:val="center"/>
        <w:rPr>
          <w:rFonts w:ascii="Arial" w:hAnsi="Arial"/>
          <w:b/>
          <w:smallCaps/>
          <w:color w:val="auto"/>
          <w:sz w:val="22"/>
        </w:rPr>
      </w:pPr>
      <w:r w:rsidRPr="002F4D9C">
        <w:rPr>
          <w:rFonts w:ascii="Arial" w:hAnsi="Arial"/>
          <w:color w:val="auto"/>
          <w:sz w:val="20"/>
        </w:rPr>
        <w:t>Gráfica 2</w:t>
      </w:r>
    </w:p>
    <w:p w14:paraId="13D65C70" w14:textId="77777777" w:rsidR="00073721" w:rsidRPr="002F4D9C" w:rsidRDefault="00073721" w:rsidP="00073721">
      <w:pPr>
        <w:pStyle w:val="p0"/>
        <w:keepNext/>
        <w:spacing w:before="0"/>
        <w:jc w:val="center"/>
        <w:rPr>
          <w:rFonts w:ascii="Arial" w:hAnsi="Arial"/>
          <w:b/>
          <w:smallCaps/>
          <w:color w:val="auto"/>
          <w:sz w:val="22"/>
        </w:rPr>
      </w:pPr>
      <w:r w:rsidRPr="002F4D9C">
        <w:rPr>
          <w:rFonts w:ascii="Arial" w:hAnsi="Arial"/>
          <w:b/>
          <w:smallCaps/>
          <w:color w:val="auto"/>
          <w:sz w:val="22"/>
        </w:rPr>
        <w:t>Indicadores</w:t>
      </w:r>
      <w:r w:rsidRPr="002F4D9C">
        <w:rPr>
          <w:rFonts w:ascii="Arial" w:hAnsi="Arial"/>
          <w:b/>
          <w:color w:val="auto"/>
          <w:sz w:val="22"/>
          <w:szCs w:val="22"/>
        </w:rPr>
        <w:t xml:space="preserve"> </w:t>
      </w:r>
      <w:r w:rsidRPr="002F4D9C">
        <w:rPr>
          <w:rFonts w:ascii="Arial" w:hAnsi="Arial"/>
          <w:b/>
          <w:smallCaps/>
          <w:color w:val="auto"/>
          <w:sz w:val="22"/>
        </w:rPr>
        <w:t>de las Empresas Comerciales</w:t>
      </w:r>
      <w:r w:rsidRPr="002F4D9C">
        <w:rPr>
          <w:rFonts w:ascii="Arial" w:hAnsi="Arial"/>
          <w:b/>
          <w:color w:val="auto"/>
          <w:sz w:val="22"/>
          <w:szCs w:val="22"/>
        </w:rPr>
        <w:t xml:space="preserve"> </w:t>
      </w:r>
      <w:r w:rsidRPr="002F4D9C">
        <w:rPr>
          <w:rFonts w:ascii="Arial" w:hAnsi="Arial"/>
          <w:b/>
          <w:smallCaps/>
          <w:color w:val="auto"/>
          <w:sz w:val="22"/>
        </w:rPr>
        <w:t>al por Menor a</w:t>
      </w:r>
      <w:r>
        <w:rPr>
          <w:rFonts w:ascii="Arial" w:hAnsi="Arial"/>
          <w:b/>
          <w:smallCaps/>
          <w:color w:val="auto"/>
          <w:sz w:val="22"/>
        </w:rPr>
        <w:t xml:space="preserve"> mayo</w:t>
      </w:r>
      <w:r w:rsidRPr="002F4D9C">
        <w:rPr>
          <w:rFonts w:ascii="Arial" w:hAnsi="Arial"/>
          <w:b/>
          <w:smallCaps/>
          <w:color w:val="auto"/>
          <w:sz w:val="22"/>
        </w:rPr>
        <w:t xml:space="preserve"> de </w:t>
      </w:r>
      <w:r>
        <w:rPr>
          <w:rFonts w:ascii="Arial" w:hAnsi="Arial"/>
          <w:b/>
          <w:smallCaps/>
          <w:color w:val="auto"/>
          <w:sz w:val="22"/>
        </w:rPr>
        <w:t>2020</w:t>
      </w:r>
    </w:p>
    <w:p w14:paraId="21A4E9E4" w14:textId="77777777" w:rsidR="00073721" w:rsidRPr="002F4D9C" w:rsidRDefault="00073721" w:rsidP="00073721">
      <w:pPr>
        <w:pStyle w:val="p0"/>
        <w:keepNext/>
        <w:tabs>
          <w:tab w:val="center" w:pos="4703"/>
          <w:tab w:val="right" w:pos="9406"/>
        </w:tabs>
        <w:spacing w:before="0"/>
        <w:jc w:val="center"/>
        <w:rPr>
          <w:rFonts w:ascii="Arial" w:hAnsi="Arial"/>
          <w:b/>
          <w:smallCaps/>
          <w:color w:val="auto"/>
          <w:sz w:val="22"/>
        </w:rPr>
      </w:pPr>
      <w:r w:rsidRPr="002F4D9C">
        <w:rPr>
          <w:rFonts w:ascii="Arial" w:hAnsi="Arial"/>
          <w:b/>
          <w:smallCaps/>
          <w:color w:val="auto"/>
          <w:sz w:val="22"/>
        </w:rPr>
        <w:t>Series desestacionalizadas y de tendencia-ciclo</w:t>
      </w:r>
    </w:p>
    <w:p w14:paraId="4EAD81F4" w14:textId="77777777" w:rsidR="00073721" w:rsidRPr="002F4D9C" w:rsidRDefault="00073721" w:rsidP="00073721">
      <w:pPr>
        <w:pStyle w:val="p0"/>
        <w:keepNext/>
        <w:spacing w:before="0"/>
        <w:jc w:val="center"/>
        <w:rPr>
          <w:rFonts w:ascii="Arial" w:hAnsi="Arial"/>
          <w:color w:val="auto"/>
          <w:sz w:val="18"/>
          <w:szCs w:val="18"/>
        </w:rPr>
      </w:pPr>
      <w:r w:rsidRPr="002F4D9C">
        <w:rPr>
          <w:rFonts w:ascii="Arial" w:hAnsi="Arial"/>
          <w:smallCaps/>
          <w:color w:val="auto"/>
          <w:sz w:val="18"/>
          <w:szCs w:val="18"/>
        </w:rPr>
        <w:t>(</w:t>
      </w:r>
      <w:r w:rsidRPr="002F4D9C">
        <w:rPr>
          <w:rFonts w:ascii="Arial" w:hAnsi="Arial"/>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073721" w:rsidRPr="002F4D9C" w14:paraId="723FC915" w14:textId="77777777" w:rsidTr="009E4E80">
        <w:trPr>
          <w:jc w:val="center"/>
        </w:trPr>
        <w:tc>
          <w:tcPr>
            <w:tcW w:w="0" w:type="auto"/>
          </w:tcPr>
          <w:p w14:paraId="715F5B55" w14:textId="77777777" w:rsidR="00073721" w:rsidRPr="002F4D9C" w:rsidRDefault="00073721" w:rsidP="009E4E80">
            <w:pPr>
              <w:pStyle w:val="Textoindependiente"/>
              <w:widowControl w:val="0"/>
              <w:spacing w:after="60"/>
              <w:jc w:val="center"/>
              <w:rPr>
                <w:color w:val="auto"/>
                <w:sz w:val="20"/>
                <w:szCs w:val="18"/>
              </w:rPr>
            </w:pPr>
            <w:r w:rsidRPr="002F4D9C">
              <w:rPr>
                <w:color w:val="auto"/>
                <w:sz w:val="20"/>
              </w:rPr>
              <w:t>Ingresos reales por suministro de bienes y servicios</w:t>
            </w:r>
          </w:p>
        </w:tc>
      </w:tr>
      <w:tr w:rsidR="00073721" w:rsidRPr="002F4D9C" w14:paraId="15449EAF" w14:textId="77777777" w:rsidTr="009E4E80">
        <w:tblPrEx>
          <w:tblCellMar>
            <w:left w:w="70" w:type="dxa"/>
            <w:right w:w="70" w:type="dxa"/>
          </w:tblCellMar>
        </w:tblPrEx>
        <w:trPr>
          <w:trHeight w:val="3969"/>
          <w:jc w:val="center"/>
        </w:trPr>
        <w:tc>
          <w:tcPr>
            <w:tcW w:w="6980" w:type="dxa"/>
          </w:tcPr>
          <w:p w14:paraId="1412188D" w14:textId="77777777" w:rsidR="00073721" w:rsidRPr="002F4D9C" w:rsidRDefault="00073721" w:rsidP="009E4E80">
            <w:pPr>
              <w:pStyle w:val="Textoindependiente"/>
              <w:widowControl w:val="0"/>
              <w:spacing w:before="20" w:after="20"/>
              <w:jc w:val="center"/>
              <w:rPr>
                <w:sz w:val="18"/>
                <w:szCs w:val="18"/>
              </w:rPr>
            </w:pPr>
            <w:r>
              <w:rPr>
                <w:noProof/>
                <w:lang w:val="es-MX" w:eastAsia="es-MX"/>
              </w:rPr>
              <w:drawing>
                <wp:inline distT="0" distB="0" distL="0" distR="0" wp14:anchorId="3C31B5A8" wp14:editId="5A12C552">
                  <wp:extent cx="4320000" cy="2528405"/>
                  <wp:effectExtent l="0" t="0" r="23495" b="24765"/>
                  <wp:docPr id="16" name="Gráfico 1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48861AA" w14:textId="77777777" w:rsidR="00073721" w:rsidRDefault="00073721" w:rsidP="00073721">
      <w:pPr>
        <w:pStyle w:val="p0"/>
        <w:keepNext/>
        <w:spacing w:before="360"/>
        <w:jc w:val="center"/>
        <w:rPr>
          <w:rFonts w:ascii="Arial" w:hAnsi="Arial"/>
          <w:color w:val="auto"/>
          <w:sz w:val="20"/>
        </w:rPr>
      </w:pPr>
    </w:p>
    <w:p w14:paraId="7F17722C" w14:textId="77777777" w:rsidR="00073721" w:rsidRPr="00073721" w:rsidRDefault="00073721" w:rsidP="00073721">
      <w:pPr>
        <w:spacing w:before="240"/>
        <w:ind w:left="-142" w:right="-547"/>
        <w:rPr>
          <w:bCs/>
          <w:snapToGrid w:val="0"/>
          <w:spacing w:val="2"/>
        </w:rPr>
      </w:pPr>
      <w:r w:rsidRPr="00073721">
        <w:rPr>
          <w:bCs/>
          <w:snapToGrid w:val="0"/>
          <w:spacing w:val="2"/>
        </w:rPr>
        <w:t>En las Empresas Comerciales al por Menor los Ingresos reales por suministro de bienes y servicios registraron un incremento de 0.8% y el Personal ocupado total de 1%, en tanto que las Remuneraciones medias reales disminuyeron (</w:t>
      </w:r>
      <w:r w:rsidRPr="00073721">
        <w:rPr>
          <w:bCs/>
          <w:snapToGrid w:val="0"/>
          <w:spacing w:val="2"/>
        </w:rPr>
        <w:noBreakHyphen/>
        <w:t>)0.3% en el quinto mes de 2020 con relación al mes inmediato anterior.</w:t>
      </w:r>
    </w:p>
    <w:p w14:paraId="418403C3" w14:textId="77777777" w:rsidR="00073721" w:rsidRPr="00073721" w:rsidRDefault="00073721" w:rsidP="00073721">
      <w:pPr>
        <w:spacing w:before="360"/>
        <w:ind w:left="-142" w:right="-547"/>
        <w:rPr>
          <w:bCs/>
          <w:snapToGrid w:val="0"/>
          <w:spacing w:val="2"/>
        </w:rPr>
      </w:pPr>
      <w:r w:rsidRPr="00073721">
        <w:rPr>
          <w:bCs/>
          <w:snapToGrid w:val="0"/>
          <w:spacing w:val="2"/>
        </w:rPr>
        <w:t>A tasa anual, los datos desestacionalizados del Comercio al por Mayor indican que los Ingresos reales por suministro de bienes y servicios retrocedieron (</w:t>
      </w:r>
      <w:r w:rsidRPr="00073721">
        <w:rPr>
          <w:bCs/>
          <w:snapToGrid w:val="0"/>
          <w:spacing w:val="2"/>
        </w:rPr>
        <w:noBreakHyphen/>
        <w:t>)23.8%, el Personal ocupado total (</w:t>
      </w:r>
      <w:r w:rsidRPr="00073721">
        <w:rPr>
          <w:bCs/>
          <w:snapToGrid w:val="0"/>
          <w:spacing w:val="2"/>
        </w:rPr>
        <w:noBreakHyphen/>
        <w:t>)4.7% y las Remuneraciones medias reales pagadas lo hicieron en (</w:t>
      </w:r>
      <w:r w:rsidRPr="00073721">
        <w:rPr>
          <w:bCs/>
          <w:snapToGrid w:val="0"/>
          <w:spacing w:val="2"/>
        </w:rPr>
        <w:noBreakHyphen/>
        <w:t>)3.9% durante mayo de 2020.</w:t>
      </w:r>
    </w:p>
    <w:p w14:paraId="00911A66" w14:textId="77777777" w:rsidR="00073721" w:rsidRPr="00A97BB6" w:rsidRDefault="00073721" w:rsidP="00073721">
      <w:pPr>
        <w:pStyle w:val="p01"/>
        <w:keepNext/>
        <w:widowControl w:val="0"/>
        <w:spacing w:before="0"/>
        <w:ind w:right="-547"/>
        <w:jc w:val="center"/>
        <w:outlineLvl w:val="0"/>
        <w:rPr>
          <w:rFonts w:ascii="Arial" w:hAnsi="Arial" w:cs="Arial"/>
          <w:bCs/>
          <w:smallCaps/>
          <w:color w:val="auto"/>
          <w:szCs w:val="24"/>
        </w:rPr>
      </w:pPr>
    </w:p>
    <w:p w14:paraId="59AE6444" w14:textId="77777777" w:rsidR="00073721" w:rsidRPr="00F323B0" w:rsidRDefault="00073721" w:rsidP="00073721">
      <w:pPr>
        <w:pStyle w:val="p0"/>
        <w:ind w:right="-547"/>
      </w:pPr>
    </w:p>
    <w:p w14:paraId="12495ACD" w14:textId="77777777" w:rsidR="00073721" w:rsidRPr="001B094E" w:rsidRDefault="00073721" w:rsidP="00073721">
      <w:pPr>
        <w:pStyle w:val="p01"/>
        <w:keepNext/>
        <w:widowControl w:val="0"/>
        <w:spacing w:before="120"/>
        <w:jc w:val="center"/>
        <w:outlineLvl w:val="0"/>
        <w:rPr>
          <w:rFonts w:ascii="Arial" w:hAnsi="Arial" w:cs="Arial"/>
          <w:smallCaps/>
          <w:color w:val="auto"/>
          <w:szCs w:val="24"/>
        </w:rPr>
      </w:pPr>
    </w:p>
    <w:p w14:paraId="232D1E1A" w14:textId="77777777" w:rsidR="00073721" w:rsidRDefault="00073721" w:rsidP="00073721">
      <w:pPr>
        <w:pStyle w:val="p0"/>
      </w:pPr>
    </w:p>
    <w:p w14:paraId="14E884B2" w14:textId="77777777" w:rsidR="00073721" w:rsidRDefault="00073721" w:rsidP="00073721">
      <w:pPr>
        <w:pStyle w:val="p0"/>
      </w:pPr>
    </w:p>
    <w:p w14:paraId="37374B73" w14:textId="77777777" w:rsidR="00073721" w:rsidRDefault="00073721" w:rsidP="00073721">
      <w:pPr>
        <w:pStyle w:val="p0"/>
      </w:pPr>
    </w:p>
    <w:p w14:paraId="5F5649C0" w14:textId="77777777" w:rsidR="00073721" w:rsidRPr="005B4C63" w:rsidRDefault="00073721" w:rsidP="00073721">
      <w:pPr>
        <w:pStyle w:val="p0"/>
      </w:pPr>
    </w:p>
    <w:p w14:paraId="0C5835D3" w14:textId="77777777" w:rsidR="00073721" w:rsidRDefault="00073721" w:rsidP="00073721">
      <w:pPr>
        <w:keepNext/>
        <w:keepLines/>
        <w:widowControl w:val="0"/>
        <w:spacing w:before="600"/>
        <w:jc w:val="center"/>
        <w:rPr>
          <w:sz w:val="20"/>
          <w:szCs w:val="20"/>
        </w:rPr>
      </w:pPr>
    </w:p>
    <w:p w14:paraId="2F15A8C9" w14:textId="77777777" w:rsidR="00073721" w:rsidRDefault="00073721" w:rsidP="00073721">
      <w:pPr>
        <w:pStyle w:val="p01"/>
        <w:keepNext/>
        <w:widowControl w:val="0"/>
        <w:spacing w:before="0"/>
        <w:jc w:val="center"/>
        <w:outlineLvl w:val="0"/>
        <w:rPr>
          <w:rFonts w:ascii="Arial" w:hAnsi="Arial" w:cs="Arial"/>
          <w:b/>
          <w:smallCaps/>
          <w:color w:val="auto"/>
          <w:sz w:val="22"/>
        </w:rPr>
      </w:pPr>
    </w:p>
    <w:p w14:paraId="6CF8E548" w14:textId="77777777" w:rsidR="00073721" w:rsidRPr="002F4D9C" w:rsidRDefault="00073721" w:rsidP="00073721">
      <w:pPr>
        <w:pStyle w:val="p01"/>
        <w:keepNext/>
        <w:widowControl w:val="0"/>
        <w:spacing w:before="0"/>
        <w:jc w:val="center"/>
        <w:outlineLvl w:val="0"/>
        <w:rPr>
          <w:rFonts w:ascii="Arial" w:hAnsi="Arial" w:cs="Arial"/>
          <w:b/>
          <w:smallCaps/>
          <w:color w:val="auto"/>
          <w:sz w:val="22"/>
          <w:szCs w:val="22"/>
        </w:rPr>
      </w:pPr>
      <w:r w:rsidRPr="002F4D9C">
        <w:rPr>
          <w:rFonts w:ascii="Arial" w:hAnsi="Arial" w:cs="Arial"/>
          <w:b/>
          <w:smallCaps/>
          <w:color w:val="auto"/>
          <w:sz w:val="22"/>
        </w:rPr>
        <w:t xml:space="preserve">Indicadores del </w:t>
      </w:r>
      <w:r w:rsidRPr="002F4D9C">
        <w:rPr>
          <w:rFonts w:ascii="Arial" w:hAnsi="Arial" w:cs="Arial"/>
          <w:b/>
          <w:smallCaps/>
          <w:color w:val="auto"/>
          <w:sz w:val="22"/>
          <w:lang w:val="es-MX"/>
        </w:rPr>
        <w:t xml:space="preserve">Comercio Interior </w:t>
      </w:r>
      <w:r w:rsidRPr="002F4D9C">
        <w:rPr>
          <w:rFonts w:ascii="Arial" w:hAnsi="Arial" w:cs="Arial"/>
          <w:b/>
          <w:smallCaps/>
          <w:color w:val="auto"/>
          <w:sz w:val="22"/>
          <w:szCs w:val="22"/>
        </w:rPr>
        <w:t xml:space="preserve">durante </w:t>
      </w:r>
      <w:r>
        <w:rPr>
          <w:rFonts w:ascii="Arial" w:hAnsi="Arial" w:cs="Arial"/>
          <w:b/>
          <w:smallCaps/>
          <w:color w:val="auto"/>
          <w:sz w:val="22"/>
          <w:szCs w:val="22"/>
        </w:rPr>
        <w:t>mayo</w:t>
      </w:r>
      <w:r w:rsidRPr="002F4D9C">
        <w:rPr>
          <w:rFonts w:ascii="Arial" w:hAnsi="Arial" w:cs="Arial"/>
          <w:b/>
          <w:smallCaps/>
          <w:color w:val="auto"/>
          <w:sz w:val="22"/>
          <w:szCs w:val="22"/>
        </w:rPr>
        <w:t xml:space="preserve"> de </w:t>
      </w:r>
      <w:r>
        <w:rPr>
          <w:rFonts w:ascii="Arial" w:hAnsi="Arial" w:cs="Arial"/>
          <w:b/>
          <w:smallCaps/>
          <w:color w:val="auto"/>
          <w:sz w:val="22"/>
          <w:szCs w:val="22"/>
        </w:rPr>
        <w:t>2020</w:t>
      </w:r>
    </w:p>
    <w:p w14:paraId="2380F930" w14:textId="77777777" w:rsidR="00073721" w:rsidRPr="002F4D9C" w:rsidRDefault="00073721" w:rsidP="00073721">
      <w:pPr>
        <w:pStyle w:val="p01"/>
        <w:keepNext/>
        <w:widowControl w:val="0"/>
        <w:spacing w:before="0"/>
        <w:jc w:val="center"/>
        <w:outlineLvl w:val="0"/>
        <w:rPr>
          <w:rFonts w:ascii="Arial" w:hAnsi="Arial" w:cs="Arial"/>
          <w:b/>
          <w:smallCaps/>
          <w:color w:val="auto"/>
          <w:sz w:val="22"/>
          <w:szCs w:val="22"/>
        </w:rPr>
      </w:pPr>
      <w:r w:rsidRPr="002F4D9C">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073721" w:rsidRPr="002F4D9C" w14:paraId="01A3C384" w14:textId="77777777" w:rsidTr="009D339D">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25E46DFF" w14:textId="77777777" w:rsidR="00073721" w:rsidRPr="002F4D9C" w:rsidRDefault="00073721" w:rsidP="009E4E80">
            <w:pPr>
              <w:pStyle w:val="p0"/>
              <w:keepLines w:val="0"/>
              <w:widowControl/>
              <w:spacing w:before="40" w:after="40"/>
              <w:ind w:left="470"/>
              <w:jc w:val="left"/>
              <w:rPr>
                <w:rFonts w:ascii="Arial" w:hAnsi="Arial"/>
                <w:color w:val="000000" w:themeColor="text1"/>
                <w:sz w:val="18"/>
                <w:szCs w:val="18"/>
              </w:rPr>
            </w:pPr>
            <w:r w:rsidRPr="002F4D9C">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475C9505" w14:textId="77777777" w:rsidR="00073721" w:rsidRPr="002F4D9C" w:rsidRDefault="00073721" w:rsidP="009E4E80">
            <w:pPr>
              <w:pStyle w:val="p0"/>
              <w:keepLines w:val="0"/>
              <w:widowControl/>
              <w:spacing w:before="40" w:after="40"/>
              <w:ind w:left="-105" w:right="-105"/>
              <w:jc w:val="center"/>
              <w:rPr>
                <w:rFonts w:ascii="Arial" w:hAnsi="Arial"/>
                <w:color w:val="auto"/>
                <w:sz w:val="18"/>
                <w:szCs w:val="18"/>
              </w:rPr>
            </w:pPr>
            <w:r w:rsidRPr="002F4D9C">
              <w:rPr>
                <w:rFonts w:ascii="Arial" w:hAnsi="Arial"/>
                <w:color w:val="auto"/>
                <w:sz w:val="18"/>
                <w:szCs w:val="18"/>
              </w:rPr>
              <w:t xml:space="preserve">Empresas Comerciales </w:t>
            </w:r>
            <w:r w:rsidRPr="002F4D9C">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45CDC24C" w14:textId="77777777" w:rsidR="00073721" w:rsidRPr="002F4D9C" w:rsidRDefault="00073721" w:rsidP="009E4E80">
            <w:pPr>
              <w:pStyle w:val="p0"/>
              <w:keepLines w:val="0"/>
              <w:widowControl/>
              <w:spacing w:before="40" w:after="40"/>
              <w:ind w:left="-110" w:right="-90"/>
              <w:jc w:val="center"/>
              <w:rPr>
                <w:rFonts w:ascii="Arial" w:hAnsi="Arial"/>
                <w:color w:val="auto"/>
                <w:sz w:val="18"/>
                <w:szCs w:val="18"/>
              </w:rPr>
            </w:pPr>
            <w:r w:rsidRPr="002F4D9C">
              <w:rPr>
                <w:rFonts w:ascii="Arial" w:hAnsi="Arial"/>
                <w:color w:val="auto"/>
                <w:sz w:val="18"/>
                <w:szCs w:val="18"/>
              </w:rPr>
              <w:t xml:space="preserve">Empresas Comerciales </w:t>
            </w:r>
            <w:r w:rsidRPr="002F4D9C">
              <w:rPr>
                <w:rFonts w:ascii="Arial" w:hAnsi="Arial"/>
                <w:color w:val="auto"/>
                <w:sz w:val="18"/>
                <w:szCs w:val="18"/>
              </w:rPr>
              <w:br/>
              <w:t>al por Menor</w:t>
            </w:r>
          </w:p>
        </w:tc>
      </w:tr>
      <w:tr w:rsidR="00073721" w:rsidRPr="002F4D9C" w14:paraId="67A06AEC" w14:textId="77777777" w:rsidTr="009D339D">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029053A2" w14:textId="77777777" w:rsidR="00073721" w:rsidRPr="002F4D9C" w:rsidRDefault="00073721" w:rsidP="009E4E80">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75E51590" w14:textId="77777777" w:rsidR="00073721" w:rsidRPr="002F4D9C" w:rsidRDefault="00073721" w:rsidP="009E4E80">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707924FD" w14:textId="77777777" w:rsidR="00073721" w:rsidRPr="002F4D9C" w:rsidRDefault="00073721" w:rsidP="009E4E80">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w:t>
            </w:r>
            <w:r w:rsidRPr="002F4D9C">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728CF02C" w14:textId="77777777" w:rsidR="00073721" w:rsidRPr="002F4D9C" w:rsidRDefault="00073721" w:rsidP="009E4E80">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23E6C857" w14:textId="77777777" w:rsidR="00073721" w:rsidRPr="002F4D9C" w:rsidRDefault="00073721" w:rsidP="009E4E80">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w:t>
            </w:r>
            <w:r w:rsidRPr="002F4D9C">
              <w:rPr>
                <w:rFonts w:ascii="Arial" w:hAnsi="Arial"/>
                <w:color w:val="000000" w:themeColor="text1"/>
                <w:sz w:val="16"/>
                <w:szCs w:val="16"/>
              </w:rPr>
              <w:br/>
              <w:t>anual</w:t>
            </w:r>
          </w:p>
        </w:tc>
      </w:tr>
      <w:tr w:rsidR="00073721" w:rsidRPr="002F4D9C" w14:paraId="5CDC634A" w14:textId="77777777" w:rsidTr="009D339D">
        <w:trPr>
          <w:jc w:val="center"/>
        </w:trPr>
        <w:tc>
          <w:tcPr>
            <w:tcW w:w="3967" w:type="dxa"/>
            <w:tcBorders>
              <w:top w:val="single" w:sz="6" w:space="0" w:color="404040"/>
              <w:bottom w:val="nil"/>
              <w:right w:val="single" w:sz="6" w:space="0" w:color="404040"/>
            </w:tcBorders>
            <w:shd w:val="clear" w:color="auto" w:fill="auto"/>
            <w:vAlign w:val="center"/>
            <w:hideMark/>
          </w:tcPr>
          <w:p w14:paraId="1032DE37" w14:textId="77777777" w:rsidR="00073721" w:rsidRPr="002F4D9C" w:rsidRDefault="00073721" w:rsidP="009E4E80">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0A83AED6" w14:textId="77777777" w:rsidR="00073721" w:rsidRPr="002F4D9C" w:rsidRDefault="00073721" w:rsidP="009E4E80">
            <w:pPr>
              <w:tabs>
                <w:tab w:val="left" w:pos="148"/>
                <w:tab w:val="decimal" w:pos="484"/>
              </w:tabs>
              <w:jc w:val="left"/>
              <w:rPr>
                <w:color w:val="000000"/>
                <w:sz w:val="18"/>
                <w:szCs w:val="18"/>
                <w:lang w:val="es-MX" w:eastAsia="es-MX"/>
              </w:rPr>
            </w:pPr>
            <w:r>
              <w:rPr>
                <w:color w:val="000000"/>
                <w:sz w:val="18"/>
                <w:szCs w:val="18"/>
              </w:rPr>
              <w:tab/>
              <w:t>(-)</w:t>
            </w:r>
            <w:r>
              <w:rPr>
                <w:color w:val="000000"/>
                <w:sz w:val="18"/>
                <w:szCs w:val="18"/>
              </w:rPr>
              <w:tab/>
              <w:t>5.1</w:t>
            </w:r>
          </w:p>
        </w:tc>
        <w:tc>
          <w:tcPr>
            <w:tcW w:w="950" w:type="dxa"/>
            <w:tcBorders>
              <w:top w:val="single" w:sz="6" w:space="0" w:color="404040"/>
              <w:left w:val="nil"/>
              <w:bottom w:val="nil"/>
              <w:right w:val="single" w:sz="6" w:space="0" w:color="404040"/>
            </w:tcBorders>
            <w:shd w:val="clear" w:color="auto" w:fill="auto"/>
            <w:vAlign w:val="center"/>
          </w:tcPr>
          <w:p w14:paraId="78D70CD3" w14:textId="77777777" w:rsidR="00073721" w:rsidRPr="002F4D9C" w:rsidRDefault="00073721" w:rsidP="009E4E80">
            <w:pPr>
              <w:tabs>
                <w:tab w:val="left" w:pos="79"/>
                <w:tab w:val="decimal" w:pos="484"/>
              </w:tabs>
              <w:jc w:val="left"/>
              <w:rPr>
                <w:color w:val="000000"/>
                <w:sz w:val="18"/>
                <w:szCs w:val="18"/>
              </w:rPr>
            </w:pPr>
            <w:r>
              <w:rPr>
                <w:color w:val="000000"/>
                <w:sz w:val="18"/>
                <w:szCs w:val="18"/>
              </w:rPr>
              <w:tab/>
              <w:t>(-)</w:t>
            </w:r>
            <w:r>
              <w:rPr>
                <w:color w:val="000000"/>
                <w:sz w:val="18"/>
                <w:szCs w:val="18"/>
              </w:rPr>
              <w:tab/>
              <w:t>23.8</w:t>
            </w:r>
          </w:p>
        </w:tc>
        <w:tc>
          <w:tcPr>
            <w:tcW w:w="951" w:type="dxa"/>
            <w:tcBorders>
              <w:top w:val="single" w:sz="6" w:space="0" w:color="404040"/>
              <w:left w:val="single" w:sz="6" w:space="0" w:color="404040"/>
              <w:bottom w:val="nil"/>
              <w:right w:val="nil"/>
            </w:tcBorders>
            <w:shd w:val="clear" w:color="auto" w:fill="auto"/>
            <w:vAlign w:val="center"/>
          </w:tcPr>
          <w:p w14:paraId="6D13E69F" w14:textId="77777777" w:rsidR="00073721" w:rsidRPr="002F4D9C" w:rsidRDefault="00073721" w:rsidP="009E4E80">
            <w:pPr>
              <w:tabs>
                <w:tab w:val="decimal" w:pos="484"/>
              </w:tabs>
              <w:jc w:val="left"/>
              <w:rPr>
                <w:color w:val="000000"/>
                <w:sz w:val="18"/>
                <w:szCs w:val="18"/>
              </w:rPr>
            </w:pPr>
            <w:r>
              <w:rPr>
                <w:color w:val="000000"/>
                <w:sz w:val="18"/>
                <w:szCs w:val="18"/>
              </w:rPr>
              <w:t>0.8</w:t>
            </w:r>
          </w:p>
        </w:tc>
        <w:tc>
          <w:tcPr>
            <w:tcW w:w="951" w:type="dxa"/>
            <w:tcBorders>
              <w:top w:val="single" w:sz="6" w:space="0" w:color="404040"/>
              <w:left w:val="nil"/>
              <w:bottom w:val="nil"/>
            </w:tcBorders>
            <w:shd w:val="clear" w:color="auto" w:fill="auto"/>
            <w:vAlign w:val="center"/>
          </w:tcPr>
          <w:p w14:paraId="2F83583A" w14:textId="77777777" w:rsidR="00073721" w:rsidRPr="002F4D9C" w:rsidRDefault="00073721" w:rsidP="009E4E80">
            <w:pPr>
              <w:tabs>
                <w:tab w:val="left" w:pos="37"/>
                <w:tab w:val="decimal" w:pos="443"/>
              </w:tabs>
              <w:jc w:val="left"/>
              <w:rPr>
                <w:color w:val="000000"/>
                <w:sz w:val="18"/>
                <w:szCs w:val="18"/>
              </w:rPr>
            </w:pPr>
            <w:r>
              <w:rPr>
                <w:color w:val="000000"/>
                <w:sz w:val="18"/>
                <w:szCs w:val="18"/>
              </w:rPr>
              <w:tab/>
              <w:t>(-)</w:t>
            </w:r>
            <w:r>
              <w:rPr>
                <w:color w:val="000000"/>
                <w:sz w:val="18"/>
                <w:szCs w:val="18"/>
              </w:rPr>
              <w:tab/>
              <w:t>23.4</w:t>
            </w:r>
          </w:p>
        </w:tc>
      </w:tr>
      <w:tr w:rsidR="00073721" w:rsidRPr="002F4D9C" w14:paraId="0F1E339A" w14:textId="77777777" w:rsidTr="009D339D">
        <w:trPr>
          <w:jc w:val="center"/>
        </w:trPr>
        <w:tc>
          <w:tcPr>
            <w:tcW w:w="3967" w:type="dxa"/>
            <w:tcBorders>
              <w:top w:val="nil"/>
              <w:bottom w:val="nil"/>
              <w:right w:val="single" w:sz="6" w:space="0" w:color="404040"/>
            </w:tcBorders>
            <w:shd w:val="clear" w:color="auto" w:fill="auto"/>
            <w:vAlign w:val="center"/>
            <w:hideMark/>
          </w:tcPr>
          <w:p w14:paraId="0DD9ECE5" w14:textId="77777777" w:rsidR="00073721" w:rsidRPr="002F4D9C" w:rsidRDefault="00073721" w:rsidP="009E4E80">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Personal ocupado total</w:t>
            </w:r>
          </w:p>
        </w:tc>
        <w:tc>
          <w:tcPr>
            <w:tcW w:w="947" w:type="dxa"/>
            <w:tcBorders>
              <w:top w:val="nil"/>
              <w:left w:val="single" w:sz="6" w:space="0" w:color="404040"/>
              <w:bottom w:val="nil"/>
              <w:right w:val="nil"/>
            </w:tcBorders>
            <w:shd w:val="clear" w:color="auto" w:fill="auto"/>
            <w:vAlign w:val="center"/>
          </w:tcPr>
          <w:p w14:paraId="7C61CCF4" w14:textId="77777777" w:rsidR="00073721" w:rsidRPr="002F4D9C" w:rsidRDefault="00073721" w:rsidP="009E4E80">
            <w:pPr>
              <w:tabs>
                <w:tab w:val="left" w:pos="148"/>
                <w:tab w:val="decimal" w:pos="484"/>
              </w:tabs>
              <w:jc w:val="left"/>
              <w:rPr>
                <w:color w:val="000000"/>
                <w:sz w:val="18"/>
                <w:szCs w:val="18"/>
              </w:rPr>
            </w:pPr>
            <w:r>
              <w:rPr>
                <w:color w:val="000000"/>
                <w:sz w:val="18"/>
                <w:szCs w:val="18"/>
              </w:rPr>
              <w:tab/>
              <w:t>(-)</w:t>
            </w:r>
            <w:r>
              <w:rPr>
                <w:color w:val="000000"/>
                <w:sz w:val="18"/>
                <w:szCs w:val="18"/>
              </w:rPr>
              <w:tab/>
              <w:t>3.4</w:t>
            </w:r>
          </w:p>
        </w:tc>
        <w:tc>
          <w:tcPr>
            <w:tcW w:w="950" w:type="dxa"/>
            <w:tcBorders>
              <w:top w:val="nil"/>
              <w:left w:val="nil"/>
              <w:bottom w:val="nil"/>
              <w:right w:val="single" w:sz="6" w:space="0" w:color="404040"/>
            </w:tcBorders>
            <w:shd w:val="clear" w:color="auto" w:fill="auto"/>
            <w:vAlign w:val="center"/>
          </w:tcPr>
          <w:p w14:paraId="4F009C95" w14:textId="77777777" w:rsidR="00073721" w:rsidRPr="002F4D9C" w:rsidRDefault="00073721" w:rsidP="009E4E80">
            <w:pPr>
              <w:tabs>
                <w:tab w:val="left" w:pos="79"/>
                <w:tab w:val="decimal" w:pos="484"/>
              </w:tabs>
              <w:jc w:val="left"/>
              <w:rPr>
                <w:color w:val="000000"/>
                <w:sz w:val="18"/>
                <w:szCs w:val="18"/>
              </w:rPr>
            </w:pPr>
            <w:r>
              <w:rPr>
                <w:color w:val="000000"/>
                <w:sz w:val="18"/>
                <w:szCs w:val="18"/>
              </w:rPr>
              <w:tab/>
              <w:t>(-)</w:t>
            </w:r>
            <w:r>
              <w:rPr>
                <w:color w:val="000000"/>
                <w:sz w:val="18"/>
                <w:szCs w:val="18"/>
              </w:rPr>
              <w:tab/>
              <w:t>4.7</w:t>
            </w:r>
          </w:p>
        </w:tc>
        <w:tc>
          <w:tcPr>
            <w:tcW w:w="951" w:type="dxa"/>
            <w:tcBorders>
              <w:top w:val="nil"/>
              <w:left w:val="single" w:sz="6" w:space="0" w:color="404040"/>
              <w:bottom w:val="nil"/>
              <w:right w:val="nil"/>
            </w:tcBorders>
            <w:shd w:val="clear" w:color="auto" w:fill="auto"/>
            <w:vAlign w:val="center"/>
          </w:tcPr>
          <w:p w14:paraId="6583E85A" w14:textId="77777777" w:rsidR="00073721" w:rsidRPr="002F4D9C" w:rsidRDefault="00073721" w:rsidP="009E4E80">
            <w:pPr>
              <w:tabs>
                <w:tab w:val="decimal" w:pos="484"/>
              </w:tabs>
              <w:jc w:val="left"/>
              <w:rPr>
                <w:color w:val="000000"/>
                <w:sz w:val="18"/>
                <w:szCs w:val="18"/>
              </w:rPr>
            </w:pPr>
            <w:r>
              <w:rPr>
                <w:color w:val="000000"/>
                <w:sz w:val="18"/>
                <w:szCs w:val="18"/>
              </w:rPr>
              <w:t>1.0</w:t>
            </w:r>
          </w:p>
        </w:tc>
        <w:tc>
          <w:tcPr>
            <w:tcW w:w="951" w:type="dxa"/>
            <w:tcBorders>
              <w:top w:val="nil"/>
              <w:left w:val="nil"/>
              <w:bottom w:val="nil"/>
            </w:tcBorders>
            <w:shd w:val="clear" w:color="auto" w:fill="auto"/>
            <w:vAlign w:val="center"/>
          </w:tcPr>
          <w:p w14:paraId="1075B7F0" w14:textId="77777777" w:rsidR="00073721" w:rsidRPr="002F4D9C" w:rsidRDefault="00073721" w:rsidP="009E4E80">
            <w:pPr>
              <w:tabs>
                <w:tab w:val="left" w:pos="37"/>
                <w:tab w:val="decimal" w:pos="443"/>
              </w:tabs>
              <w:jc w:val="left"/>
              <w:rPr>
                <w:color w:val="000000"/>
                <w:sz w:val="18"/>
                <w:szCs w:val="18"/>
              </w:rPr>
            </w:pPr>
            <w:r>
              <w:rPr>
                <w:color w:val="000000"/>
                <w:sz w:val="18"/>
                <w:szCs w:val="18"/>
              </w:rPr>
              <w:tab/>
              <w:t>(-)</w:t>
            </w:r>
            <w:r>
              <w:rPr>
                <w:color w:val="000000"/>
                <w:sz w:val="18"/>
                <w:szCs w:val="18"/>
              </w:rPr>
              <w:tab/>
              <w:t>8.4</w:t>
            </w:r>
          </w:p>
        </w:tc>
      </w:tr>
      <w:tr w:rsidR="00073721" w:rsidRPr="002F4D9C" w14:paraId="1C7DAEB1" w14:textId="77777777" w:rsidTr="009D339D">
        <w:trPr>
          <w:jc w:val="center"/>
        </w:trPr>
        <w:tc>
          <w:tcPr>
            <w:tcW w:w="3967" w:type="dxa"/>
            <w:tcBorders>
              <w:top w:val="nil"/>
              <w:right w:val="single" w:sz="6" w:space="0" w:color="404040"/>
            </w:tcBorders>
            <w:shd w:val="clear" w:color="auto" w:fill="auto"/>
            <w:vAlign w:val="center"/>
            <w:hideMark/>
          </w:tcPr>
          <w:p w14:paraId="14AE6461" w14:textId="77777777" w:rsidR="00073721" w:rsidRPr="002F4D9C" w:rsidRDefault="00073721" w:rsidP="009E4E80">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014D9105" w14:textId="77777777" w:rsidR="00073721" w:rsidRPr="002F4D9C" w:rsidRDefault="00073721" w:rsidP="009E4E80">
            <w:pPr>
              <w:tabs>
                <w:tab w:val="left" w:pos="148"/>
                <w:tab w:val="decimal" w:pos="484"/>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6.0</w:t>
            </w:r>
          </w:p>
        </w:tc>
        <w:tc>
          <w:tcPr>
            <w:tcW w:w="950" w:type="dxa"/>
            <w:tcBorders>
              <w:top w:val="nil"/>
              <w:left w:val="nil"/>
              <w:right w:val="single" w:sz="6" w:space="0" w:color="404040"/>
            </w:tcBorders>
            <w:shd w:val="clear" w:color="auto" w:fill="auto"/>
            <w:vAlign w:val="center"/>
          </w:tcPr>
          <w:p w14:paraId="17C10DA3" w14:textId="77777777" w:rsidR="00073721" w:rsidRPr="002F4D9C" w:rsidRDefault="00073721" w:rsidP="009E4E80">
            <w:pPr>
              <w:tabs>
                <w:tab w:val="left" w:pos="79"/>
                <w:tab w:val="decimal" w:pos="484"/>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3.9</w:t>
            </w:r>
          </w:p>
        </w:tc>
        <w:tc>
          <w:tcPr>
            <w:tcW w:w="951" w:type="dxa"/>
            <w:tcBorders>
              <w:top w:val="nil"/>
              <w:left w:val="single" w:sz="6" w:space="0" w:color="404040"/>
              <w:right w:val="nil"/>
            </w:tcBorders>
            <w:shd w:val="clear" w:color="auto" w:fill="auto"/>
            <w:vAlign w:val="center"/>
          </w:tcPr>
          <w:p w14:paraId="6434EF1F" w14:textId="77777777" w:rsidR="00073721" w:rsidRPr="002F4D9C" w:rsidRDefault="00073721" w:rsidP="009E4E80">
            <w:pPr>
              <w:tabs>
                <w:tab w:val="left" w:pos="148"/>
                <w:tab w:val="decimal" w:pos="484"/>
              </w:tabs>
              <w:jc w:val="left"/>
              <w:rPr>
                <w:color w:val="000000"/>
                <w:sz w:val="18"/>
                <w:szCs w:val="18"/>
              </w:rPr>
            </w:pPr>
            <w:r>
              <w:rPr>
                <w:color w:val="000000"/>
                <w:sz w:val="18"/>
                <w:szCs w:val="18"/>
              </w:rPr>
              <w:tab/>
              <w:t>(-)</w:t>
            </w:r>
            <w:r>
              <w:rPr>
                <w:color w:val="000000"/>
                <w:sz w:val="18"/>
                <w:szCs w:val="18"/>
              </w:rPr>
              <w:tab/>
              <w:t>0.3</w:t>
            </w:r>
          </w:p>
        </w:tc>
        <w:tc>
          <w:tcPr>
            <w:tcW w:w="951" w:type="dxa"/>
            <w:tcBorders>
              <w:top w:val="nil"/>
              <w:left w:val="nil"/>
            </w:tcBorders>
            <w:shd w:val="clear" w:color="auto" w:fill="auto"/>
            <w:vAlign w:val="center"/>
          </w:tcPr>
          <w:p w14:paraId="5DC6537C" w14:textId="77777777" w:rsidR="00073721" w:rsidRPr="002F4D9C" w:rsidRDefault="00073721" w:rsidP="009E4E80">
            <w:pPr>
              <w:tabs>
                <w:tab w:val="decimal" w:pos="443"/>
              </w:tabs>
              <w:jc w:val="left"/>
              <w:rPr>
                <w:color w:val="000000"/>
                <w:sz w:val="18"/>
                <w:szCs w:val="18"/>
              </w:rPr>
            </w:pPr>
            <w:r>
              <w:rPr>
                <w:color w:val="000000"/>
                <w:sz w:val="18"/>
                <w:szCs w:val="18"/>
              </w:rPr>
              <w:t>0.2</w:t>
            </w:r>
          </w:p>
        </w:tc>
      </w:tr>
    </w:tbl>
    <w:p w14:paraId="1CA36C55" w14:textId="77777777" w:rsidR="00073721" w:rsidRPr="002F4D9C" w:rsidRDefault="00073721" w:rsidP="009D339D">
      <w:pPr>
        <w:pStyle w:val="Prrafodelista"/>
        <w:tabs>
          <w:tab w:val="left" w:pos="851"/>
          <w:tab w:val="left" w:pos="7939"/>
        </w:tabs>
        <w:ind w:left="709"/>
        <w:rPr>
          <w:sz w:val="16"/>
          <w:szCs w:val="16"/>
        </w:rPr>
      </w:pPr>
      <w:r w:rsidRPr="002F4D9C">
        <w:rPr>
          <w:sz w:val="16"/>
          <w:szCs w:val="16"/>
        </w:rPr>
        <w:t>*</w:t>
      </w:r>
      <w:r w:rsidRPr="002F4D9C">
        <w:rPr>
          <w:sz w:val="16"/>
          <w:szCs w:val="16"/>
        </w:rPr>
        <w:tab/>
        <w:t>En términos reales.</w:t>
      </w:r>
    </w:p>
    <w:p w14:paraId="447FBCEA" w14:textId="77777777" w:rsidR="00073721" w:rsidRPr="002F4D9C" w:rsidRDefault="00073721" w:rsidP="009D339D">
      <w:pPr>
        <w:pStyle w:val="Prrafodelista"/>
        <w:tabs>
          <w:tab w:val="left" w:pos="1276"/>
          <w:tab w:val="left" w:pos="7939"/>
        </w:tabs>
        <w:ind w:left="709"/>
        <w:rPr>
          <w:sz w:val="16"/>
          <w:szCs w:val="16"/>
        </w:rPr>
      </w:pPr>
      <w:r w:rsidRPr="002F4D9C">
        <w:rPr>
          <w:sz w:val="16"/>
          <w:szCs w:val="16"/>
        </w:rPr>
        <w:t>Fuente:</w:t>
      </w:r>
      <w:r w:rsidRPr="002F4D9C">
        <w:rPr>
          <w:sz w:val="16"/>
          <w:szCs w:val="16"/>
        </w:rPr>
        <w:tab/>
        <w:t>INEGI.</w:t>
      </w:r>
    </w:p>
    <w:p w14:paraId="737F3426" w14:textId="77777777" w:rsidR="00073721" w:rsidRPr="00943861" w:rsidRDefault="00073721" w:rsidP="00073721">
      <w:pPr>
        <w:spacing w:before="360"/>
        <w:ind w:left="-142" w:right="-547"/>
        <w:rPr>
          <w:bCs/>
          <w:snapToGrid w:val="0"/>
          <w:spacing w:val="2"/>
        </w:rPr>
      </w:pPr>
      <w:r w:rsidRPr="00943861">
        <w:rPr>
          <w:bCs/>
          <w:snapToGrid w:val="0"/>
          <w:spacing w:val="2"/>
        </w:rPr>
        <w:t>En las Empresas Comerciales al por Menor los Ingresos reales se redujeron (</w:t>
      </w:r>
      <w:r w:rsidRPr="00943861">
        <w:rPr>
          <w:bCs/>
          <w:snapToGrid w:val="0"/>
          <w:spacing w:val="2"/>
        </w:rPr>
        <w:noBreakHyphen/>
        <w:t>)23.4% y el Personal ocupado total (</w:t>
      </w:r>
      <w:r w:rsidRPr="00943861">
        <w:rPr>
          <w:bCs/>
          <w:snapToGrid w:val="0"/>
          <w:spacing w:val="2"/>
        </w:rPr>
        <w:noBreakHyphen/>
        <w:t xml:space="preserve">)8.4%, mientras que las Remuneraciones medias reales se acrecentaron 0.2% en el mes de referencia frente a mayo de 2019, con series ajustadas por estacionalidad. </w:t>
      </w:r>
    </w:p>
    <w:p w14:paraId="72007928" w14:textId="77777777" w:rsidR="00073721" w:rsidRPr="00943861" w:rsidRDefault="00073721" w:rsidP="00073721">
      <w:pPr>
        <w:spacing w:before="360"/>
        <w:ind w:left="-142" w:right="-547"/>
        <w:rPr>
          <w:bCs/>
          <w:spacing w:val="2"/>
        </w:rPr>
      </w:pPr>
      <w:r w:rsidRPr="00943861">
        <w:rPr>
          <w:bCs/>
          <w:snapToGrid w:val="0"/>
          <w:spacing w:val="2"/>
        </w:rPr>
        <w:t>De acuerdo con lo publicado por el INEGI en su Comunicado de Prensa del 31 de marzo de 2020, en el cual se dieron a conocer las medidas extraordinarias que tomó el Instituto por el estado de emergencia sanitaria originada por el COVID</w:t>
      </w:r>
      <w:r w:rsidRPr="00943861">
        <w:rPr>
          <w:bCs/>
          <w:snapToGrid w:val="0"/>
          <w:spacing w:val="2"/>
        </w:rPr>
        <w:noBreakHyphen/>
        <w:t>19, la captación de la Encuesta Mensual sobre Empresas Comerciales correspondiente al mes de mayo se realizó en los tiempos establecidos mediante</w:t>
      </w:r>
      <w:r w:rsidRPr="00943861">
        <w:rPr>
          <w:bCs/>
          <w:spacing w:val="2"/>
        </w:rPr>
        <w:t xml:space="preserve"> </w:t>
      </w:r>
      <w:r w:rsidRPr="00943861">
        <w:rPr>
          <w:bCs/>
          <w:snapToGrid w:val="0"/>
          <w:spacing w:val="2"/>
        </w:rPr>
        <w:t>Internet y asistencia telefónica con el fin de evitar el contacto presencial</w:t>
      </w:r>
      <w:r w:rsidRPr="00943861">
        <w:rPr>
          <w:rStyle w:val="Refdenotaalpie"/>
          <w:bCs/>
          <w:spacing w:val="2"/>
        </w:rPr>
        <w:footnoteReference w:id="3"/>
      </w:r>
      <w:r w:rsidRPr="00943861">
        <w:rPr>
          <w:bCs/>
          <w:spacing w:val="2"/>
        </w:rPr>
        <w:t>.</w:t>
      </w:r>
    </w:p>
    <w:p w14:paraId="1734EE57" w14:textId="77777777" w:rsidR="00073721" w:rsidRPr="000074BA" w:rsidRDefault="00073721" w:rsidP="00073721">
      <w:pPr>
        <w:pStyle w:val="p01"/>
        <w:keepLines w:val="0"/>
        <w:tabs>
          <w:tab w:val="left" w:pos="3261"/>
          <w:tab w:val="left" w:pos="9356"/>
        </w:tabs>
        <w:spacing w:before="0"/>
        <w:ind w:left="1418" w:right="-405"/>
        <w:outlineLvl w:val="0"/>
      </w:pPr>
    </w:p>
    <w:p w14:paraId="64A84E5A" w14:textId="77777777" w:rsidR="00073721" w:rsidRDefault="00073721" w:rsidP="00073721">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14:paraId="27D2CF3A" w14:textId="77777777" w:rsidR="00073721" w:rsidRDefault="00073721" w:rsidP="00073721">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5D64B990" w14:textId="77777777" w:rsidR="00073721" w:rsidRDefault="00073721" w:rsidP="00073721">
      <w:pPr>
        <w:pStyle w:val="p0"/>
      </w:pPr>
    </w:p>
    <w:p w14:paraId="7C2FACD0" w14:textId="77777777" w:rsidR="00073721" w:rsidRPr="001B5643" w:rsidRDefault="00073721" w:rsidP="00073721">
      <w:pPr>
        <w:tabs>
          <w:tab w:val="left" w:pos="9356"/>
        </w:tabs>
        <w:rPr>
          <w:sz w:val="22"/>
          <w:szCs w:val="22"/>
        </w:rPr>
      </w:pPr>
    </w:p>
    <w:p w14:paraId="4C05B028" w14:textId="77777777" w:rsidR="00073721" w:rsidRPr="00943861" w:rsidRDefault="00073721" w:rsidP="00073721">
      <w:pPr>
        <w:pStyle w:val="NormalWeb"/>
        <w:spacing w:before="0" w:beforeAutospacing="0" w:after="0" w:afterAutospacing="0"/>
        <w:ind w:left="-426" w:right="-518"/>
        <w:contextualSpacing/>
        <w:jc w:val="center"/>
        <w:rPr>
          <w:rFonts w:ascii="Arial" w:hAnsi="Arial" w:cs="Arial"/>
          <w:sz w:val="22"/>
          <w:szCs w:val="22"/>
        </w:rPr>
      </w:pPr>
      <w:r w:rsidRPr="00943861">
        <w:rPr>
          <w:rFonts w:ascii="Arial" w:hAnsi="Arial" w:cs="Arial"/>
          <w:sz w:val="22"/>
          <w:szCs w:val="22"/>
        </w:rPr>
        <w:t xml:space="preserve">Para consultas de medios y periodistas, contactar a: </w:t>
      </w:r>
      <w:hyperlink r:id="rId10" w:history="1">
        <w:r w:rsidRPr="00943861">
          <w:rPr>
            <w:rStyle w:val="Hipervnculo"/>
            <w:rFonts w:ascii="Arial" w:hAnsi="Arial" w:cs="Arial"/>
            <w:sz w:val="22"/>
            <w:szCs w:val="22"/>
          </w:rPr>
          <w:t>comunicacionsocial@inegi.org.mx</w:t>
        </w:r>
      </w:hyperlink>
      <w:r w:rsidRPr="00943861">
        <w:rPr>
          <w:rFonts w:ascii="Arial" w:hAnsi="Arial" w:cs="Arial"/>
          <w:sz w:val="22"/>
          <w:szCs w:val="22"/>
        </w:rPr>
        <w:t xml:space="preserve"> </w:t>
      </w:r>
    </w:p>
    <w:p w14:paraId="1143CD78" w14:textId="77777777" w:rsidR="00073721" w:rsidRPr="00943861" w:rsidRDefault="00073721" w:rsidP="00073721">
      <w:pPr>
        <w:pStyle w:val="NormalWeb"/>
        <w:spacing w:before="0" w:beforeAutospacing="0" w:after="0" w:afterAutospacing="0"/>
        <w:ind w:left="-426" w:right="-518"/>
        <w:contextualSpacing/>
        <w:jc w:val="center"/>
        <w:rPr>
          <w:rFonts w:ascii="Arial" w:hAnsi="Arial" w:cs="Arial"/>
          <w:sz w:val="22"/>
          <w:szCs w:val="22"/>
        </w:rPr>
      </w:pPr>
      <w:r w:rsidRPr="00943861">
        <w:rPr>
          <w:rFonts w:ascii="Arial" w:hAnsi="Arial" w:cs="Arial"/>
          <w:sz w:val="22"/>
          <w:szCs w:val="22"/>
        </w:rPr>
        <w:t xml:space="preserve">o llamar al teléfono (55) 52-78-10-00, </w:t>
      </w:r>
      <w:proofErr w:type="spellStart"/>
      <w:r w:rsidRPr="00943861">
        <w:rPr>
          <w:rFonts w:ascii="Arial" w:hAnsi="Arial" w:cs="Arial"/>
          <w:sz w:val="22"/>
          <w:szCs w:val="22"/>
        </w:rPr>
        <w:t>exts</w:t>
      </w:r>
      <w:proofErr w:type="spellEnd"/>
      <w:r w:rsidRPr="00943861">
        <w:rPr>
          <w:rFonts w:ascii="Arial" w:hAnsi="Arial" w:cs="Arial"/>
          <w:sz w:val="22"/>
          <w:szCs w:val="22"/>
        </w:rPr>
        <w:t>. 1134, 1260 y 1241.</w:t>
      </w:r>
    </w:p>
    <w:p w14:paraId="712E2D63" w14:textId="77777777" w:rsidR="00073721" w:rsidRPr="00943861" w:rsidRDefault="00073721" w:rsidP="00073721">
      <w:pPr>
        <w:ind w:left="-426" w:right="-518"/>
        <w:contextualSpacing/>
        <w:jc w:val="center"/>
        <w:rPr>
          <w:sz w:val="22"/>
          <w:szCs w:val="22"/>
        </w:rPr>
      </w:pPr>
    </w:p>
    <w:p w14:paraId="13902308" w14:textId="77777777" w:rsidR="00073721" w:rsidRPr="00943861" w:rsidRDefault="00073721" w:rsidP="00073721">
      <w:pPr>
        <w:ind w:left="-426" w:right="-518"/>
        <w:contextualSpacing/>
        <w:jc w:val="center"/>
        <w:rPr>
          <w:sz w:val="22"/>
          <w:szCs w:val="22"/>
        </w:rPr>
      </w:pPr>
      <w:r w:rsidRPr="00943861">
        <w:rPr>
          <w:sz w:val="22"/>
          <w:szCs w:val="22"/>
        </w:rPr>
        <w:t xml:space="preserve">Dirección de Atención a Medios / Dirección General Adjunta de Comunicación </w:t>
      </w:r>
    </w:p>
    <w:p w14:paraId="1B9CAB52" w14:textId="77777777" w:rsidR="00073721" w:rsidRPr="001B5643" w:rsidRDefault="00073721" w:rsidP="00073721">
      <w:pPr>
        <w:ind w:left="-426" w:right="-518"/>
        <w:contextualSpacing/>
        <w:jc w:val="center"/>
        <w:rPr>
          <w:sz w:val="22"/>
          <w:szCs w:val="22"/>
        </w:rPr>
      </w:pPr>
    </w:p>
    <w:p w14:paraId="64653238" w14:textId="77777777" w:rsidR="00073721" w:rsidRDefault="00073721" w:rsidP="00073721">
      <w:pPr>
        <w:ind w:left="-425" w:right="-516"/>
        <w:contextualSpacing/>
        <w:jc w:val="center"/>
      </w:pPr>
      <w:r w:rsidRPr="00FF1218">
        <w:rPr>
          <w:noProof/>
          <w:lang w:val="es-MX" w:eastAsia="es-MX"/>
        </w:rPr>
        <w:drawing>
          <wp:inline distT="0" distB="0" distL="0" distR="0" wp14:anchorId="1D28CC15" wp14:editId="412A0DAE">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5BB411" wp14:editId="2A179A36">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83DFA2" wp14:editId="6C2737C5">
            <wp:extent cx="365760" cy="365760"/>
            <wp:effectExtent l="0" t="0" r="0" b="0"/>
            <wp:docPr id="3" name="Imagen 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936C50" wp14:editId="2DAF1AB2">
            <wp:extent cx="365760" cy="365760"/>
            <wp:effectExtent l="0" t="0" r="0" b="0"/>
            <wp:docPr id="5" name="Imagen 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19FEC24" wp14:editId="5F32F3DF">
            <wp:extent cx="2286000" cy="274320"/>
            <wp:effectExtent l="0" t="0" r="0" b="0"/>
            <wp:docPr id="7" name="Imagen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944687C" w14:textId="77777777" w:rsidR="00073721" w:rsidRPr="00157C43" w:rsidRDefault="00073721" w:rsidP="00073721">
      <w:pPr>
        <w:pStyle w:val="bullet"/>
        <w:tabs>
          <w:tab w:val="left" w:pos="8789"/>
        </w:tabs>
        <w:spacing w:before="0"/>
        <w:ind w:left="0" w:right="51" w:firstLine="0"/>
        <w:jc w:val="center"/>
        <w:rPr>
          <w:rFonts w:cs="Arial"/>
          <w:szCs w:val="24"/>
        </w:rPr>
        <w:sectPr w:rsidR="00073721" w:rsidRPr="00157C43" w:rsidSect="00EC0FA7">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r>
        <w:rPr>
          <w:rFonts w:cs="Arial"/>
          <w:szCs w:val="24"/>
        </w:rPr>
        <w:tab/>
      </w:r>
    </w:p>
    <w:p w14:paraId="7069243A" w14:textId="480A2C0E" w:rsidR="00073721" w:rsidRDefault="00073721" w:rsidP="00073721">
      <w:pPr>
        <w:pStyle w:val="p0"/>
        <w:keepLines w:val="0"/>
        <w:spacing w:before="0"/>
        <w:jc w:val="center"/>
        <w:rPr>
          <w:rStyle w:val="Hipervnculo"/>
          <w:rFonts w:ascii="Arial" w:hAnsi="Arial"/>
          <w:b/>
          <w:snapToGrid/>
          <w:color w:val="000000" w:themeColor="text1"/>
          <w:sz w:val="28"/>
          <w:szCs w:val="28"/>
          <w:u w:val="none"/>
          <w:lang w:val="es-MX"/>
        </w:rPr>
      </w:pPr>
      <w:r w:rsidRPr="00A62A48">
        <w:rPr>
          <w:rStyle w:val="Hipervnculo"/>
          <w:rFonts w:ascii="Arial" w:hAnsi="Arial"/>
          <w:b/>
          <w:snapToGrid/>
          <w:color w:val="000000" w:themeColor="text1"/>
          <w:sz w:val="28"/>
          <w:szCs w:val="28"/>
          <w:u w:val="none"/>
          <w:lang w:val="es-MX"/>
        </w:rPr>
        <w:lastRenderedPageBreak/>
        <w:t xml:space="preserve">   NOTA TÉCNICA</w:t>
      </w:r>
    </w:p>
    <w:p w14:paraId="4948F25F" w14:textId="77777777" w:rsidR="00073721" w:rsidRPr="00073721" w:rsidRDefault="00073721" w:rsidP="00073721">
      <w:pPr>
        <w:pStyle w:val="p0"/>
        <w:keepLines w:val="0"/>
        <w:spacing w:before="0"/>
        <w:jc w:val="center"/>
        <w:rPr>
          <w:rStyle w:val="Hipervnculo"/>
          <w:rFonts w:ascii="Arial" w:hAnsi="Arial"/>
          <w:b/>
          <w:snapToGrid/>
          <w:color w:val="000000" w:themeColor="text1"/>
          <w:sz w:val="16"/>
          <w:szCs w:val="16"/>
          <w:u w:val="none"/>
          <w:lang w:val="es-MX"/>
        </w:rPr>
      </w:pPr>
    </w:p>
    <w:p w14:paraId="4A128E23" w14:textId="77777777" w:rsidR="00467BD1" w:rsidRPr="002F4D9C" w:rsidRDefault="00467BD1" w:rsidP="00974690">
      <w:pPr>
        <w:pStyle w:val="Profesin"/>
        <w:outlineLvl w:val="0"/>
        <w:rPr>
          <w:b w:val="0"/>
          <w:caps w:val="0"/>
        </w:rPr>
      </w:pPr>
      <w:r w:rsidRPr="002F4D9C">
        <w:t>INDICADORES DE Empresas Comerciales</w:t>
      </w:r>
    </w:p>
    <w:p w14:paraId="44E3C063" w14:textId="124AAC9D" w:rsidR="00ED4D0D" w:rsidRPr="002F4D9C" w:rsidRDefault="00ED4D0D" w:rsidP="00073721">
      <w:pPr>
        <w:jc w:val="center"/>
        <w:rPr>
          <w:b/>
          <w:spacing w:val="25"/>
          <w:sz w:val="26"/>
        </w:rPr>
      </w:pPr>
      <w:r w:rsidRPr="002F4D9C">
        <w:rPr>
          <w:b/>
          <w:spacing w:val="25"/>
          <w:sz w:val="26"/>
        </w:rPr>
        <w:t xml:space="preserve">CIFRAS DURANTE </w:t>
      </w:r>
      <w:r w:rsidR="000D54F0">
        <w:rPr>
          <w:b/>
          <w:spacing w:val="25"/>
          <w:sz w:val="26"/>
        </w:rPr>
        <w:t>MAY</w:t>
      </w:r>
      <w:r w:rsidR="007F393B">
        <w:rPr>
          <w:b/>
          <w:spacing w:val="25"/>
          <w:sz w:val="26"/>
        </w:rPr>
        <w:t>O</w:t>
      </w:r>
      <w:r w:rsidR="00105AA0" w:rsidRPr="002F4D9C">
        <w:rPr>
          <w:b/>
          <w:spacing w:val="25"/>
          <w:sz w:val="26"/>
        </w:rPr>
        <w:t xml:space="preserve"> D</w:t>
      </w:r>
      <w:r w:rsidRPr="002F4D9C">
        <w:rPr>
          <w:b/>
          <w:spacing w:val="25"/>
          <w:sz w:val="26"/>
        </w:rPr>
        <w:t xml:space="preserve">E </w:t>
      </w:r>
      <w:r w:rsidR="00DF5A6D">
        <w:rPr>
          <w:b/>
          <w:spacing w:val="25"/>
          <w:sz w:val="26"/>
        </w:rPr>
        <w:t>2020</w:t>
      </w:r>
    </w:p>
    <w:p w14:paraId="7058707A" w14:textId="77777777" w:rsidR="00ED4D0D" w:rsidRPr="00073721" w:rsidRDefault="00ED4D0D" w:rsidP="00ED4D0D">
      <w:pPr>
        <w:jc w:val="center"/>
        <w:rPr>
          <w:b/>
          <w:i/>
          <w:spacing w:val="25"/>
        </w:rPr>
      </w:pPr>
      <w:r w:rsidRPr="00073721">
        <w:rPr>
          <w:b/>
          <w:i/>
          <w:spacing w:val="25"/>
        </w:rPr>
        <w:t>(Cifras desestacionalizadas)</w:t>
      </w:r>
    </w:p>
    <w:p w14:paraId="2C3F6914" w14:textId="602857C2" w:rsidR="00C805F6" w:rsidRPr="002F4D9C" w:rsidRDefault="00C805F6" w:rsidP="000B13D0">
      <w:pPr>
        <w:spacing w:before="120"/>
        <w:rPr>
          <w:b/>
          <w:snapToGrid w:val="0"/>
          <w:spacing w:val="6"/>
          <w:sz w:val="22"/>
          <w:szCs w:val="22"/>
        </w:rPr>
      </w:pPr>
    </w:p>
    <w:p w14:paraId="46D4AC28" w14:textId="77777777" w:rsidR="00467BD1" w:rsidRPr="002F4D9C" w:rsidRDefault="00467BD1" w:rsidP="00FA2839">
      <w:pPr>
        <w:pStyle w:val="p01"/>
        <w:keepLines w:val="0"/>
        <w:spacing w:before="480"/>
        <w:outlineLvl w:val="0"/>
        <w:rPr>
          <w:rFonts w:ascii="Arial" w:hAnsi="Arial" w:cs="Arial"/>
          <w:b/>
          <w:i/>
          <w:color w:val="auto"/>
          <w:szCs w:val="24"/>
        </w:rPr>
      </w:pPr>
      <w:r w:rsidRPr="002F4D9C">
        <w:rPr>
          <w:rFonts w:ascii="Arial" w:hAnsi="Arial" w:cs="Arial"/>
          <w:b/>
          <w:i/>
          <w:color w:val="auto"/>
          <w:szCs w:val="24"/>
          <w:lang w:val="es-MX"/>
        </w:rPr>
        <w:t>Indicadores de las Empresas Comerciales al por Mayor</w:t>
      </w:r>
    </w:p>
    <w:p w14:paraId="67DD4409" w14:textId="2191DD4A" w:rsidR="00ED4D0D" w:rsidRPr="002F4D9C" w:rsidRDefault="009E2BC4" w:rsidP="00BD60A9">
      <w:pPr>
        <w:pStyle w:val="Textoindependiente"/>
        <w:spacing w:before="360"/>
        <w:rPr>
          <w:color w:val="auto"/>
        </w:rPr>
      </w:pPr>
      <w:r w:rsidRPr="002F4D9C">
        <w:rPr>
          <w:color w:val="auto"/>
        </w:rPr>
        <w:t xml:space="preserve">Los resultados de la Encuesta Mensual sobre Empresas Comerciales (EMEC) que lleva a cabo el INEGI </w:t>
      </w:r>
      <w:r w:rsidRPr="002F4D9C">
        <w:rPr>
          <w:color w:val="auto"/>
          <w:shd w:val="clear" w:color="auto" w:fill="FFFFFF" w:themeFill="background1"/>
        </w:rPr>
        <w:t>muestran</w:t>
      </w:r>
      <w:r w:rsidRPr="002F4D9C">
        <w:rPr>
          <w:color w:val="auto"/>
        </w:rPr>
        <w:t xml:space="preserve"> que, </w:t>
      </w:r>
      <w:r w:rsidR="00EB4DDC" w:rsidRPr="002F4D9C">
        <w:rPr>
          <w:color w:val="auto"/>
        </w:rPr>
        <w:t xml:space="preserve">en su comparación mensual y </w:t>
      </w:r>
      <w:r w:rsidRPr="002F4D9C">
        <w:rPr>
          <w:color w:val="auto"/>
        </w:rPr>
        <w:t xml:space="preserve">con datos desestacionalizados, </w:t>
      </w:r>
      <w:r w:rsidR="005F72CB">
        <w:rPr>
          <w:color w:val="auto"/>
        </w:rPr>
        <w:t xml:space="preserve">durante </w:t>
      </w:r>
      <w:r w:rsidR="00F26432">
        <w:rPr>
          <w:color w:val="auto"/>
        </w:rPr>
        <w:t xml:space="preserve">el </w:t>
      </w:r>
      <w:r w:rsidR="00222960">
        <w:rPr>
          <w:color w:val="auto"/>
        </w:rPr>
        <w:t>quin</w:t>
      </w:r>
      <w:r w:rsidR="0043664D">
        <w:rPr>
          <w:color w:val="auto"/>
        </w:rPr>
        <w:t>to</w:t>
      </w:r>
      <w:r w:rsidR="00F26432">
        <w:rPr>
          <w:color w:val="auto"/>
        </w:rPr>
        <w:t xml:space="preserve"> mes</w:t>
      </w:r>
      <w:r w:rsidR="00347B5C" w:rsidRPr="002F4D9C">
        <w:rPr>
          <w:color w:val="auto"/>
        </w:rPr>
        <w:t xml:space="preserve"> </w:t>
      </w:r>
      <w:r w:rsidR="00EB4DDC" w:rsidRPr="002F4D9C">
        <w:rPr>
          <w:color w:val="auto"/>
        </w:rPr>
        <w:t>de</w:t>
      </w:r>
      <w:r w:rsidR="00222960">
        <w:rPr>
          <w:color w:val="auto"/>
        </w:rPr>
        <w:t>l</w:t>
      </w:r>
      <w:r w:rsidR="0043664D">
        <w:rPr>
          <w:color w:val="auto"/>
        </w:rPr>
        <w:t xml:space="preserve"> año</w:t>
      </w:r>
      <w:r w:rsidR="00963A13" w:rsidRPr="002F4D9C">
        <w:rPr>
          <w:color w:val="auto"/>
        </w:rPr>
        <w:t xml:space="preserve"> </w:t>
      </w:r>
      <w:r w:rsidR="00222960">
        <w:rPr>
          <w:color w:val="auto"/>
        </w:rPr>
        <w:t xml:space="preserve">en curso </w:t>
      </w:r>
      <w:r w:rsidRPr="002F4D9C">
        <w:rPr>
          <w:color w:val="auto"/>
        </w:rPr>
        <w:t xml:space="preserve">los Ingresos reales por suministro de bienes y servicios de las Empresas Comerciales al </w:t>
      </w:r>
      <w:r w:rsidR="00664719" w:rsidRPr="002F4D9C">
        <w:rPr>
          <w:color w:val="auto"/>
        </w:rPr>
        <w:t xml:space="preserve">por </w:t>
      </w:r>
      <w:r w:rsidRPr="002F4D9C">
        <w:rPr>
          <w:color w:val="auto"/>
        </w:rPr>
        <w:t xml:space="preserve">Mayor </w:t>
      </w:r>
      <w:r w:rsidR="00784CFC">
        <w:rPr>
          <w:color w:val="auto"/>
        </w:rPr>
        <w:t>descendi</w:t>
      </w:r>
      <w:r w:rsidR="00DB0284">
        <w:rPr>
          <w:color w:val="auto"/>
        </w:rPr>
        <w:t>e</w:t>
      </w:r>
      <w:r w:rsidR="005F72CB">
        <w:rPr>
          <w:color w:val="auto"/>
        </w:rPr>
        <w:t xml:space="preserve">ron </w:t>
      </w:r>
      <w:r w:rsidR="007B44D3">
        <w:rPr>
          <w:color w:val="auto"/>
        </w:rPr>
        <w:t>(</w:t>
      </w:r>
      <w:r w:rsidR="007B44D3">
        <w:rPr>
          <w:color w:val="auto"/>
        </w:rPr>
        <w:noBreakHyphen/>
        <w:t>)</w:t>
      </w:r>
      <w:r w:rsidR="00784CFC">
        <w:rPr>
          <w:color w:val="auto"/>
        </w:rPr>
        <w:t>5.1</w:t>
      </w:r>
      <w:r w:rsidR="00D103FF" w:rsidRPr="002F4D9C">
        <w:rPr>
          <w:color w:val="auto"/>
        </w:rPr>
        <w:t>%</w:t>
      </w:r>
      <w:r w:rsidR="00784CFC">
        <w:rPr>
          <w:color w:val="auto"/>
        </w:rPr>
        <w:t>,</w:t>
      </w:r>
      <w:r w:rsidR="00177010">
        <w:rPr>
          <w:color w:val="auto"/>
        </w:rPr>
        <w:t xml:space="preserve"> </w:t>
      </w:r>
      <w:r w:rsidR="00177010" w:rsidRPr="002F4D9C">
        <w:rPr>
          <w:color w:val="auto"/>
        </w:rPr>
        <w:t xml:space="preserve">el Personal ocupado total </w:t>
      </w:r>
      <w:r w:rsidR="00784CFC">
        <w:rPr>
          <w:color w:val="auto"/>
        </w:rPr>
        <w:t xml:space="preserve">fue inferior en </w:t>
      </w:r>
      <w:r w:rsidR="0043664D">
        <w:rPr>
          <w:color w:val="auto"/>
        </w:rPr>
        <w:t>(</w:t>
      </w:r>
      <w:r w:rsidR="0043664D">
        <w:rPr>
          <w:color w:val="auto"/>
        </w:rPr>
        <w:noBreakHyphen/>
        <w:t>)</w:t>
      </w:r>
      <w:r w:rsidR="00784CFC">
        <w:rPr>
          <w:color w:val="auto"/>
        </w:rPr>
        <w:t>3.4</w:t>
      </w:r>
      <w:r w:rsidR="0043664D">
        <w:rPr>
          <w:color w:val="auto"/>
        </w:rPr>
        <w:t>%</w:t>
      </w:r>
      <w:r w:rsidR="00784CFC">
        <w:rPr>
          <w:color w:val="auto"/>
        </w:rPr>
        <w:t xml:space="preserve"> y</w:t>
      </w:r>
      <w:r w:rsidR="00725011" w:rsidRPr="002F4D9C">
        <w:rPr>
          <w:color w:val="auto"/>
        </w:rPr>
        <w:t xml:space="preserve"> </w:t>
      </w:r>
      <w:r w:rsidR="00F26432" w:rsidRPr="002F4D9C">
        <w:rPr>
          <w:color w:val="auto"/>
        </w:rPr>
        <w:t xml:space="preserve">las Remuneraciones medias reales </w:t>
      </w:r>
      <w:r w:rsidR="00784CFC">
        <w:rPr>
          <w:color w:val="auto"/>
        </w:rPr>
        <w:t>e</w:t>
      </w:r>
      <w:r w:rsidR="00F26432">
        <w:rPr>
          <w:color w:val="auto"/>
        </w:rPr>
        <w:t xml:space="preserve">n </w:t>
      </w:r>
      <w:r w:rsidR="00784CFC">
        <w:rPr>
          <w:color w:val="auto"/>
        </w:rPr>
        <w:t>(</w:t>
      </w:r>
      <w:r w:rsidR="00784CFC">
        <w:rPr>
          <w:color w:val="auto"/>
        </w:rPr>
        <w:noBreakHyphen/>
        <w:t>)6</w:t>
      </w:r>
      <w:r w:rsidR="00F26432" w:rsidRPr="002F4D9C">
        <w:rPr>
          <w:color w:val="auto"/>
        </w:rPr>
        <w:t xml:space="preserve">% </w:t>
      </w:r>
      <w:r w:rsidR="009F344F" w:rsidRPr="002F4D9C">
        <w:rPr>
          <w:color w:val="auto"/>
        </w:rPr>
        <w:t xml:space="preserve">con relación al mes </w:t>
      </w:r>
      <w:r w:rsidR="008D65CE">
        <w:rPr>
          <w:color w:val="auto"/>
        </w:rPr>
        <w:t>inmediato anterior</w:t>
      </w:r>
      <w:r w:rsidR="00BF47C5" w:rsidRPr="002F4D9C">
        <w:rPr>
          <w:color w:val="auto"/>
        </w:rPr>
        <w:t>.</w:t>
      </w:r>
    </w:p>
    <w:p w14:paraId="2E87EE61" w14:textId="72B670E4" w:rsidR="00467BD1" w:rsidRPr="002F4D9C" w:rsidRDefault="00EB4DDC" w:rsidP="00BD60A9">
      <w:pPr>
        <w:pStyle w:val="Textoindependiente"/>
        <w:spacing w:before="360"/>
        <w:rPr>
          <w:color w:val="auto"/>
        </w:rPr>
      </w:pPr>
      <w:r w:rsidRPr="002F4D9C">
        <w:rPr>
          <w:color w:val="auto"/>
        </w:rPr>
        <w:t>A tasa</w:t>
      </w:r>
      <w:r w:rsidR="00BF47C5" w:rsidRPr="002F4D9C">
        <w:rPr>
          <w:color w:val="auto"/>
        </w:rPr>
        <w:t xml:space="preserve"> </w:t>
      </w:r>
      <w:r w:rsidR="009E2BC4" w:rsidRPr="002F4D9C">
        <w:rPr>
          <w:color w:val="auto"/>
        </w:rPr>
        <w:t xml:space="preserve">anual, las cifras desestacionalizadas indican que los Ingresos reales por suministro de bienes y servicios </w:t>
      </w:r>
      <w:r w:rsidR="00784CFC">
        <w:rPr>
          <w:color w:val="auto"/>
        </w:rPr>
        <w:t>disminuye</w:t>
      </w:r>
      <w:r w:rsidR="0070263D">
        <w:rPr>
          <w:color w:val="auto"/>
        </w:rPr>
        <w:t>ron</w:t>
      </w:r>
      <w:r w:rsidR="009F344F" w:rsidRPr="002F4D9C">
        <w:rPr>
          <w:color w:val="auto"/>
        </w:rPr>
        <w:t xml:space="preserve"> </w:t>
      </w:r>
      <w:r w:rsidR="00B152B9" w:rsidRPr="002F4D9C">
        <w:rPr>
          <w:color w:val="auto"/>
        </w:rPr>
        <w:t>(</w:t>
      </w:r>
      <w:r w:rsidR="00B152B9" w:rsidRPr="002F4D9C">
        <w:rPr>
          <w:color w:val="auto"/>
        </w:rPr>
        <w:noBreakHyphen/>
        <w:t>)</w:t>
      </w:r>
      <w:r w:rsidR="007B44D3">
        <w:rPr>
          <w:color w:val="auto"/>
        </w:rPr>
        <w:t>2</w:t>
      </w:r>
      <w:r w:rsidR="00784CFC">
        <w:rPr>
          <w:color w:val="auto"/>
        </w:rPr>
        <w:t>3</w:t>
      </w:r>
      <w:r w:rsidR="007B44D3">
        <w:rPr>
          <w:color w:val="auto"/>
        </w:rPr>
        <w:t>.</w:t>
      </w:r>
      <w:r w:rsidR="00784CFC">
        <w:rPr>
          <w:color w:val="auto"/>
        </w:rPr>
        <w:t>8</w:t>
      </w:r>
      <w:r w:rsidR="009E2BC4" w:rsidRPr="002F4D9C">
        <w:rPr>
          <w:color w:val="auto"/>
        </w:rPr>
        <w:t>%</w:t>
      </w:r>
      <w:r w:rsidR="00784CFC">
        <w:rPr>
          <w:color w:val="auto"/>
        </w:rPr>
        <w:t xml:space="preserve">, </w:t>
      </w:r>
      <w:r w:rsidR="007F59AE">
        <w:rPr>
          <w:color w:val="auto"/>
        </w:rPr>
        <w:t xml:space="preserve">el Personal ocupado total </w:t>
      </w:r>
      <w:r w:rsidR="00784CFC">
        <w:rPr>
          <w:color w:val="auto"/>
        </w:rPr>
        <w:t>retrocedió</w:t>
      </w:r>
      <w:r w:rsidR="007F59AE">
        <w:rPr>
          <w:color w:val="auto"/>
        </w:rPr>
        <w:t xml:space="preserve"> (</w:t>
      </w:r>
      <w:r w:rsidR="007F59AE">
        <w:rPr>
          <w:color w:val="auto"/>
        </w:rPr>
        <w:noBreakHyphen/>
        <w:t>)</w:t>
      </w:r>
      <w:r w:rsidR="00784CFC">
        <w:rPr>
          <w:color w:val="auto"/>
        </w:rPr>
        <w:t>4.7% y</w:t>
      </w:r>
      <w:r w:rsidR="007F59AE">
        <w:rPr>
          <w:color w:val="auto"/>
        </w:rPr>
        <w:t xml:space="preserve"> </w:t>
      </w:r>
      <w:r w:rsidR="00B152B9" w:rsidRPr="002F4D9C">
        <w:rPr>
          <w:color w:val="auto"/>
        </w:rPr>
        <w:t xml:space="preserve">las Remuneraciones medias reales </w:t>
      </w:r>
      <w:r w:rsidR="00784CFC">
        <w:rPr>
          <w:color w:val="auto"/>
        </w:rPr>
        <w:t>(</w:t>
      </w:r>
      <w:r w:rsidR="00784CFC">
        <w:rPr>
          <w:color w:val="auto"/>
        </w:rPr>
        <w:noBreakHyphen/>
        <w:t>)</w:t>
      </w:r>
      <w:r w:rsidR="007F59AE">
        <w:rPr>
          <w:color w:val="auto"/>
        </w:rPr>
        <w:t>3.</w:t>
      </w:r>
      <w:r w:rsidR="00784CFC">
        <w:rPr>
          <w:color w:val="auto"/>
        </w:rPr>
        <w:t>9</w:t>
      </w:r>
      <w:r w:rsidR="000964AE">
        <w:rPr>
          <w:color w:val="auto"/>
        </w:rPr>
        <w:t>%</w:t>
      </w:r>
      <w:r w:rsidR="00770BFA" w:rsidRPr="002F4D9C">
        <w:rPr>
          <w:color w:val="auto"/>
        </w:rPr>
        <w:t xml:space="preserve"> </w:t>
      </w:r>
      <w:r w:rsidR="00C6455A" w:rsidRPr="002F4D9C">
        <w:rPr>
          <w:color w:val="auto"/>
        </w:rPr>
        <w:t>en</w:t>
      </w:r>
      <w:r w:rsidR="006212A7" w:rsidRPr="002F4D9C">
        <w:rPr>
          <w:color w:val="auto"/>
        </w:rPr>
        <w:t xml:space="preserve"> </w:t>
      </w:r>
      <w:r w:rsidR="00222960">
        <w:rPr>
          <w:color w:val="auto"/>
        </w:rPr>
        <w:t>mayo</w:t>
      </w:r>
      <w:r w:rsidR="000032AE">
        <w:rPr>
          <w:color w:val="auto"/>
        </w:rPr>
        <w:t xml:space="preserve"> de</w:t>
      </w:r>
      <w:r w:rsidR="004E0A24">
        <w:rPr>
          <w:color w:val="auto"/>
        </w:rPr>
        <w:t xml:space="preserve"> 2020.</w:t>
      </w:r>
    </w:p>
    <w:p w14:paraId="2FD0C24D" w14:textId="41EA45FD" w:rsidR="008A48D7" w:rsidRDefault="008A48D7">
      <w:pPr>
        <w:jc w:val="left"/>
        <w:rPr>
          <w:snapToGrid w:val="0"/>
          <w:sz w:val="20"/>
        </w:rPr>
      </w:pPr>
      <w:r>
        <w:rPr>
          <w:snapToGrid w:val="0"/>
          <w:sz w:val="20"/>
        </w:rPr>
        <w:br w:type="page"/>
      </w:r>
    </w:p>
    <w:p w14:paraId="538BD1C0" w14:textId="77777777" w:rsidR="00974690" w:rsidRPr="002F4D9C" w:rsidRDefault="00974690">
      <w:pPr>
        <w:jc w:val="left"/>
        <w:rPr>
          <w:snapToGrid w:val="0"/>
          <w:sz w:val="20"/>
        </w:rPr>
      </w:pPr>
    </w:p>
    <w:p w14:paraId="76BACD40" w14:textId="77777777" w:rsidR="00467BD1" w:rsidRPr="002F4D9C" w:rsidRDefault="00467BD1" w:rsidP="000B6CEC">
      <w:pPr>
        <w:pStyle w:val="p0"/>
        <w:keepNext/>
        <w:keepLines w:val="0"/>
        <w:widowControl/>
        <w:spacing w:before="360"/>
        <w:jc w:val="center"/>
        <w:rPr>
          <w:rFonts w:ascii="Arial" w:hAnsi="Arial"/>
          <w:b/>
          <w:smallCaps/>
          <w:color w:val="auto"/>
          <w:sz w:val="22"/>
        </w:rPr>
      </w:pPr>
      <w:r w:rsidRPr="002F4D9C">
        <w:rPr>
          <w:rFonts w:ascii="Arial" w:hAnsi="Arial"/>
          <w:color w:val="auto"/>
          <w:sz w:val="20"/>
        </w:rPr>
        <w:t>Gráfica 1</w:t>
      </w:r>
    </w:p>
    <w:p w14:paraId="776102D0" w14:textId="38FF522A" w:rsidR="00467BD1" w:rsidRPr="002F4D9C" w:rsidRDefault="00467BD1" w:rsidP="00467BD1">
      <w:pPr>
        <w:pStyle w:val="p0"/>
        <w:keepLines w:val="0"/>
        <w:spacing w:before="0"/>
        <w:jc w:val="center"/>
        <w:rPr>
          <w:rFonts w:ascii="Arial" w:hAnsi="Arial"/>
          <w:b/>
          <w:smallCaps/>
          <w:color w:val="auto"/>
          <w:sz w:val="22"/>
        </w:rPr>
      </w:pPr>
      <w:r w:rsidRPr="002F4D9C">
        <w:rPr>
          <w:rFonts w:ascii="Arial" w:hAnsi="Arial"/>
          <w:b/>
          <w:smallCaps/>
          <w:color w:val="auto"/>
          <w:sz w:val="22"/>
        </w:rPr>
        <w:t xml:space="preserve">Indicadores de </w:t>
      </w:r>
      <w:r w:rsidR="00EA7C32" w:rsidRPr="002F4D9C">
        <w:rPr>
          <w:rFonts w:ascii="Arial" w:hAnsi="Arial"/>
          <w:b/>
          <w:smallCaps/>
          <w:color w:val="auto"/>
          <w:sz w:val="22"/>
        </w:rPr>
        <w:t xml:space="preserve">las </w:t>
      </w:r>
      <w:r w:rsidRPr="002F4D9C">
        <w:rPr>
          <w:rFonts w:ascii="Arial" w:hAnsi="Arial"/>
          <w:b/>
          <w:smallCaps/>
          <w:color w:val="auto"/>
          <w:sz w:val="22"/>
        </w:rPr>
        <w:t xml:space="preserve">Empresas Comerciales al por Mayor </w:t>
      </w:r>
      <w:r w:rsidR="00983FBC" w:rsidRPr="002F4D9C">
        <w:rPr>
          <w:rFonts w:ascii="Arial" w:hAnsi="Arial"/>
          <w:b/>
          <w:smallCaps/>
          <w:color w:val="auto"/>
          <w:sz w:val="22"/>
        </w:rPr>
        <w:t>a</w:t>
      </w:r>
      <w:r w:rsidR="00222960">
        <w:rPr>
          <w:rFonts w:ascii="Arial" w:hAnsi="Arial"/>
          <w:b/>
          <w:smallCaps/>
          <w:color w:val="auto"/>
          <w:sz w:val="22"/>
        </w:rPr>
        <w:t xml:space="preserve"> mayo</w:t>
      </w:r>
      <w:r w:rsidRPr="002F4D9C">
        <w:rPr>
          <w:rFonts w:ascii="Arial" w:hAnsi="Arial"/>
          <w:b/>
          <w:smallCaps/>
          <w:color w:val="auto"/>
          <w:sz w:val="22"/>
        </w:rPr>
        <w:t xml:space="preserve"> de </w:t>
      </w:r>
      <w:r w:rsidR="00DF5A6D">
        <w:rPr>
          <w:rFonts w:ascii="Arial" w:hAnsi="Arial"/>
          <w:b/>
          <w:smallCaps/>
          <w:color w:val="auto"/>
          <w:sz w:val="22"/>
        </w:rPr>
        <w:t>2020</w:t>
      </w:r>
    </w:p>
    <w:p w14:paraId="5FB5DB6C" w14:textId="77777777" w:rsidR="00467BD1" w:rsidRPr="002F4D9C" w:rsidRDefault="00467BD1" w:rsidP="00467BD1">
      <w:pPr>
        <w:pStyle w:val="p0"/>
        <w:keepLines w:val="0"/>
        <w:spacing w:before="0"/>
        <w:jc w:val="center"/>
        <w:rPr>
          <w:rFonts w:ascii="Arial" w:hAnsi="Arial"/>
          <w:b/>
          <w:smallCaps/>
          <w:color w:val="auto"/>
          <w:sz w:val="22"/>
        </w:rPr>
      </w:pPr>
      <w:r w:rsidRPr="002F4D9C">
        <w:rPr>
          <w:rFonts w:ascii="Arial" w:hAnsi="Arial"/>
          <w:b/>
          <w:smallCaps/>
          <w:color w:val="auto"/>
          <w:sz w:val="22"/>
        </w:rPr>
        <w:t>Series desestacionalizada</w:t>
      </w:r>
      <w:r w:rsidR="00D62591" w:rsidRPr="002F4D9C">
        <w:rPr>
          <w:rFonts w:ascii="Arial" w:hAnsi="Arial"/>
          <w:b/>
          <w:smallCaps/>
          <w:color w:val="auto"/>
          <w:sz w:val="22"/>
        </w:rPr>
        <w:t>s</w:t>
      </w:r>
      <w:r w:rsidRPr="002F4D9C">
        <w:rPr>
          <w:rFonts w:ascii="Arial" w:hAnsi="Arial"/>
          <w:b/>
          <w:smallCaps/>
          <w:color w:val="auto"/>
          <w:sz w:val="22"/>
        </w:rPr>
        <w:t xml:space="preserve"> y de tendencia-ciclo</w:t>
      </w:r>
    </w:p>
    <w:p w14:paraId="5EAFB3CC" w14:textId="77777777" w:rsidR="00467BD1" w:rsidRPr="002F4D9C" w:rsidRDefault="00467BD1" w:rsidP="00467BD1">
      <w:pPr>
        <w:pStyle w:val="Textoindependiente"/>
        <w:widowControl w:val="0"/>
        <w:spacing w:before="0"/>
        <w:jc w:val="center"/>
        <w:rPr>
          <w:color w:val="auto"/>
          <w:sz w:val="18"/>
          <w:szCs w:val="18"/>
        </w:rPr>
      </w:pPr>
      <w:r w:rsidRPr="002F4D9C">
        <w:rPr>
          <w:smallCaps/>
          <w:color w:val="auto"/>
          <w:sz w:val="18"/>
          <w:szCs w:val="18"/>
        </w:rPr>
        <w:t>(</w:t>
      </w:r>
      <w:r w:rsidRPr="002F4D9C">
        <w:rPr>
          <w:color w:val="auto"/>
          <w:sz w:val="18"/>
          <w:szCs w:val="18"/>
        </w:rPr>
        <w:t>Índice base 20</w:t>
      </w:r>
      <w:r w:rsidR="006D01F3" w:rsidRPr="002F4D9C">
        <w:rPr>
          <w:color w:val="auto"/>
          <w:sz w:val="18"/>
          <w:szCs w:val="18"/>
        </w:rPr>
        <w:t>13</w:t>
      </w:r>
      <w:r w:rsidRPr="002F4D9C">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2F4D9C" w14:paraId="07EB0657" w14:textId="77777777" w:rsidTr="001E274D">
        <w:trPr>
          <w:jc w:val="center"/>
        </w:trPr>
        <w:tc>
          <w:tcPr>
            <w:tcW w:w="6980" w:type="dxa"/>
          </w:tcPr>
          <w:p w14:paraId="159172BA" w14:textId="77777777" w:rsidR="00467BD1" w:rsidRPr="002F4D9C" w:rsidRDefault="00467BD1" w:rsidP="00AB5964">
            <w:pPr>
              <w:pStyle w:val="Textoindependiente"/>
              <w:widowControl w:val="0"/>
              <w:spacing w:after="60"/>
              <w:jc w:val="center"/>
              <w:rPr>
                <w:color w:val="auto"/>
                <w:sz w:val="20"/>
                <w:szCs w:val="18"/>
              </w:rPr>
            </w:pPr>
            <w:r w:rsidRPr="002F4D9C">
              <w:rPr>
                <w:color w:val="auto"/>
                <w:sz w:val="20"/>
              </w:rPr>
              <w:t xml:space="preserve">Ingresos </w:t>
            </w:r>
            <w:r w:rsidR="00F00159" w:rsidRPr="002F4D9C">
              <w:rPr>
                <w:color w:val="auto"/>
                <w:sz w:val="20"/>
              </w:rPr>
              <w:t xml:space="preserve">reales </w:t>
            </w:r>
            <w:r w:rsidRPr="002F4D9C">
              <w:rPr>
                <w:color w:val="auto"/>
                <w:sz w:val="20"/>
              </w:rPr>
              <w:t>por suministro de bienes y servicios</w:t>
            </w:r>
          </w:p>
        </w:tc>
      </w:tr>
      <w:tr w:rsidR="00467BD1" w:rsidRPr="002F4D9C" w14:paraId="7C3661BC" w14:textId="77777777" w:rsidTr="000032AE">
        <w:tblPrEx>
          <w:tblCellMar>
            <w:left w:w="70" w:type="dxa"/>
            <w:right w:w="70" w:type="dxa"/>
          </w:tblCellMar>
        </w:tblPrEx>
        <w:trPr>
          <w:trHeight w:val="3969"/>
          <w:jc w:val="center"/>
        </w:trPr>
        <w:tc>
          <w:tcPr>
            <w:tcW w:w="6980" w:type="dxa"/>
          </w:tcPr>
          <w:p w14:paraId="5E5EF6FE" w14:textId="7FEEB82B" w:rsidR="00467BD1" w:rsidRPr="002F4D9C" w:rsidRDefault="007F393B" w:rsidP="00AA2115">
            <w:pPr>
              <w:pStyle w:val="Textoindependiente"/>
              <w:widowControl w:val="0"/>
              <w:spacing w:before="20" w:after="20"/>
              <w:jc w:val="center"/>
              <w:rPr>
                <w:sz w:val="18"/>
                <w:szCs w:val="18"/>
              </w:rPr>
            </w:pPr>
            <w:r>
              <w:rPr>
                <w:noProof/>
                <w:lang w:val="es-MX" w:eastAsia="es-MX"/>
              </w:rPr>
              <w:drawing>
                <wp:inline distT="0" distB="0" distL="0" distR="0" wp14:anchorId="6873B2A1" wp14:editId="7C675B70">
                  <wp:extent cx="4320000" cy="2528405"/>
                  <wp:effectExtent l="0" t="0" r="23495" b="2476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2F4D9C" w14:paraId="20650B41" w14:textId="77777777" w:rsidTr="001E274D">
        <w:trPr>
          <w:jc w:val="center"/>
        </w:trPr>
        <w:tc>
          <w:tcPr>
            <w:tcW w:w="6980" w:type="dxa"/>
          </w:tcPr>
          <w:p w14:paraId="4D5065FA" w14:textId="77777777" w:rsidR="00467BD1" w:rsidRPr="002F4D9C" w:rsidRDefault="00467BD1" w:rsidP="00AB5964">
            <w:pPr>
              <w:pStyle w:val="p0"/>
              <w:keepLines w:val="0"/>
              <w:spacing w:before="600" w:after="60"/>
              <w:jc w:val="center"/>
              <w:rPr>
                <w:rFonts w:ascii="Arial" w:hAnsi="Arial"/>
                <w:color w:val="auto"/>
                <w:sz w:val="20"/>
              </w:rPr>
            </w:pPr>
            <w:r w:rsidRPr="002F4D9C">
              <w:rPr>
                <w:rFonts w:ascii="Arial" w:hAnsi="Arial"/>
                <w:color w:val="auto"/>
                <w:sz w:val="20"/>
              </w:rPr>
              <w:t>Personal ocupado</w:t>
            </w:r>
            <w:r w:rsidR="002F1F70" w:rsidRPr="002F4D9C">
              <w:rPr>
                <w:rFonts w:ascii="Arial" w:hAnsi="Arial"/>
                <w:color w:val="auto"/>
                <w:sz w:val="20"/>
              </w:rPr>
              <w:t xml:space="preserve"> total</w:t>
            </w:r>
          </w:p>
        </w:tc>
      </w:tr>
      <w:tr w:rsidR="00467BD1" w:rsidRPr="002F4D9C" w14:paraId="04A89193" w14:textId="77777777" w:rsidTr="000032AE">
        <w:tblPrEx>
          <w:tblCellMar>
            <w:left w:w="70" w:type="dxa"/>
            <w:right w:w="70" w:type="dxa"/>
          </w:tblCellMar>
        </w:tblPrEx>
        <w:trPr>
          <w:trHeight w:val="3969"/>
          <w:jc w:val="center"/>
        </w:trPr>
        <w:tc>
          <w:tcPr>
            <w:tcW w:w="6980" w:type="dxa"/>
          </w:tcPr>
          <w:p w14:paraId="5F6D7183" w14:textId="3D28D5ED" w:rsidR="00467BD1" w:rsidRPr="002F4D9C" w:rsidRDefault="007F393B" w:rsidP="00AA2115">
            <w:pPr>
              <w:pStyle w:val="p0"/>
              <w:keepNext/>
              <w:spacing w:before="0"/>
              <w:jc w:val="center"/>
              <w:rPr>
                <w:rFonts w:ascii="Arial" w:hAnsi="Arial"/>
                <w:color w:val="auto"/>
                <w:sz w:val="20"/>
              </w:rPr>
            </w:pPr>
            <w:r>
              <w:rPr>
                <w:noProof/>
                <w:lang w:val="es-MX" w:eastAsia="es-MX"/>
              </w:rPr>
              <w:drawing>
                <wp:inline distT="0" distB="0" distL="0" distR="0" wp14:anchorId="1B96730C" wp14:editId="1A57AB5D">
                  <wp:extent cx="4320000" cy="2528405"/>
                  <wp:effectExtent l="0" t="0" r="23495" b="2476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51E565DB" w14:textId="77777777" w:rsidR="00A50405" w:rsidRPr="002F4D9C" w:rsidRDefault="00A50405">
      <w:r w:rsidRPr="002F4D9C">
        <w:br w:type="page"/>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2F4D9C" w14:paraId="45160E7C" w14:textId="77777777" w:rsidTr="00AA2115">
        <w:trPr>
          <w:jc w:val="center"/>
        </w:trPr>
        <w:tc>
          <w:tcPr>
            <w:tcW w:w="0" w:type="auto"/>
          </w:tcPr>
          <w:p w14:paraId="688157E6" w14:textId="77777777" w:rsidR="00467BD1" w:rsidRPr="002F4D9C" w:rsidRDefault="00467BD1" w:rsidP="00AB5964">
            <w:pPr>
              <w:pStyle w:val="p0"/>
              <w:keepLines w:val="0"/>
              <w:spacing w:before="0" w:after="60"/>
              <w:jc w:val="center"/>
              <w:rPr>
                <w:rFonts w:ascii="Arial" w:hAnsi="Arial"/>
                <w:color w:val="auto"/>
                <w:sz w:val="20"/>
              </w:rPr>
            </w:pPr>
            <w:r w:rsidRPr="002F4D9C">
              <w:rPr>
                <w:rFonts w:ascii="Arial" w:hAnsi="Arial"/>
                <w:color w:val="auto"/>
                <w:sz w:val="20"/>
              </w:rPr>
              <w:lastRenderedPageBreak/>
              <w:t>Remuneraciones medias reales</w:t>
            </w:r>
          </w:p>
        </w:tc>
      </w:tr>
      <w:tr w:rsidR="006B1D4D" w:rsidRPr="002F4D9C" w14:paraId="1B12ED6E" w14:textId="77777777" w:rsidTr="000032AE">
        <w:tblPrEx>
          <w:tblCellMar>
            <w:left w:w="70" w:type="dxa"/>
            <w:right w:w="70" w:type="dxa"/>
          </w:tblCellMar>
        </w:tblPrEx>
        <w:trPr>
          <w:trHeight w:val="3969"/>
          <w:jc w:val="center"/>
        </w:trPr>
        <w:tc>
          <w:tcPr>
            <w:tcW w:w="6980" w:type="dxa"/>
          </w:tcPr>
          <w:p w14:paraId="7A369584" w14:textId="206BCCAA" w:rsidR="00467BD1" w:rsidRPr="002F4D9C" w:rsidRDefault="007F393B" w:rsidP="00AA2115">
            <w:pPr>
              <w:pStyle w:val="p0"/>
              <w:keepLines w:val="0"/>
              <w:spacing w:before="0"/>
              <w:jc w:val="center"/>
              <w:rPr>
                <w:rFonts w:ascii="Arial" w:hAnsi="Arial"/>
                <w:color w:val="auto"/>
                <w:sz w:val="20"/>
              </w:rPr>
            </w:pPr>
            <w:r>
              <w:rPr>
                <w:noProof/>
                <w:lang w:val="es-MX" w:eastAsia="es-MX"/>
              </w:rPr>
              <w:drawing>
                <wp:inline distT="0" distB="0" distL="0" distR="0" wp14:anchorId="695B6E3B" wp14:editId="280E7281">
                  <wp:extent cx="4320000" cy="2528405"/>
                  <wp:effectExtent l="0" t="0" r="23495" b="24765"/>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02B4DD5" w14:textId="77777777" w:rsidR="00467BD1" w:rsidRPr="002F4D9C" w:rsidRDefault="00467BD1" w:rsidP="00085572">
      <w:pPr>
        <w:pStyle w:val="Textoindependiente"/>
        <w:spacing w:before="0"/>
        <w:ind w:left="1134" w:firstLine="238"/>
        <w:rPr>
          <w:color w:val="auto"/>
          <w:sz w:val="16"/>
          <w:szCs w:val="16"/>
        </w:rPr>
      </w:pPr>
      <w:r w:rsidRPr="002F4D9C">
        <w:rPr>
          <w:color w:val="auto"/>
          <w:sz w:val="16"/>
          <w:szCs w:val="16"/>
        </w:rPr>
        <w:t>Fuente: INEGI.</w:t>
      </w:r>
    </w:p>
    <w:p w14:paraId="5855B90C" w14:textId="77777777" w:rsidR="00467BD1" w:rsidRPr="002F4D9C" w:rsidRDefault="00467BD1" w:rsidP="00A50405">
      <w:pPr>
        <w:pStyle w:val="p01"/>
        <w:keepNext/>
        <w:spacing w:before="840"/>
        <w:outlineLvl w:val="0"/>
        <w:rPr>
          <w:rFonts w:ascii="Arial" w:hAnsi="Arial" w:cs="Arial"/>
          <w:b/>
          <w:i/>
          <w:color w:val="auto"/>
          <w:szCs w:val="24"/>
          <w:lang w:val="es-MX"/>
        </w:rPr>
      </w:pPr>
      <w:r w:rsidRPr="002F4D9C">
        <w:rPr>
          <w:rFonts w:ascii="Arial" w:hAnsi="Arial" w:cs="Arial"/>
          <w:b/>
          <w:i/>
          <w:color w:val="auto"/>
          <w:szCs w:val="24"/>
          <w:lang w:val="es-MX"/>
        </w:rPr>
        <w:t xml:space="preserve">Indicadores de las Empresas Comerciales al por Menor </w:t>
      </w:r>
    </w:p>
    <w:p w14:paraId="6BA8E4F0" w14:textId="1DA8261D" w:rsidR="003012FA" w:rsidRPr="002F4D9C" w:rsidRDefault="009E2BC4" w:rsidP="003012FA">
      <w:pPr>
        <w:pStyle w:val="Textoindependiente"/>
        <w:keepNext/>
        <w:keepLines/>
        <w:spacing w:before="360"/>
        <w:outlineLvl w:val="0"/>
        <w:rPr>
          <w:color w:val="auto"/>
        </w:rPr>
      </w:pPr>
      <w:r w:rsidRPr="002F4D9C">
        <w:rPr>
          <w:color w:val="auto"/>
        </w:rPr>
        <w:t>Desde una perspectiva mensual y</w:t>
      </w:r>
      <w:r w:rsidR="000032AE">
        <w:rPr>
          <w:color w:val="auto"/>
        </w:rPr>
        <w:t xml:space="preserve"> con cifras desestacionalizadas</w:t>
      </w:r>
      <w:r w:rsidR="00CD7E7A">
        <w:rPr>
          <w:color w:val="auto"/>
        </w:rPr>
        <w:t xml:space="preserve"> </w:t>
      </w:r>
      <w:r w:rsidRPr="002F4D9C">
        <w:rPr>
          <w:color w:val="auto"/>
        </w:rPr>
        <w:t xml:space="preserve">los Ingresos reales por suministro de bienes y servicios </w:t>
      </w:r>
      <w:r w:rsidR="000032AE" w:rsidRPr="002F4D9C">
        <w:rPr>
          <w:color w:val="auto"/>
        </w:rPr>
        <w:t>de las Empresas Comerciales</w:t>
      </w:r>
      <w:r w:rsidR="000032AE" w:rsidRPr="002F4D9C">
        <w:rPr>
          <w:snapToGrid w:val="0"/>
          <w:color w:val="auto"/>
          <w:sz w:val="22"/>
          <w:szCs w:val="22"/>
        </w:rPr>
        <w:t xml:space="preserve"> </w:t>
      </w:r>
      <w:r w:rsidR="000032AE" w:rsidRPr="002F4D9C">
        <w:rPr>
          <w:color w:val="auto"/>
        </w:rPr>
        <w:t xml:space="preserve">al por Menor </w:t>
      </w:r>
      <w:r w:rsidR="00464C61">
        <w:rPr>
          <w:color w:val="auto"/>
        </w:rPr>
        <w:t>presentaron un</w:t>
      </w:r>
      <w:r w:rsidR="00784CFC">
        <w:rPr>
          <w:color w:val="auto"/>
        </w:rPr>
        <w:t xml:space="preserve"> incremento</w:t>
      </w:r>
      <w:r w:rsidR="00464C61">
        <w:rPr>
          <w:color w:val="auto"/>
        </w:rPr>
        <w:t xml:space="preserve"> de </w:t>
      </w:r>
      <w:r w:rsidR="00784CFC">
        <w:rPr>
          <w:color w:val="auto"/>
        </w:rPr>
        <w:t>0.8</w:t>
      </w:r>
      <w:r w:rsidR="000032AE">
        <w:rPr>
          <w:color w:val="auto"/>
        </w:rPr>
        <w:t>%</w:t>
      </w:r>
      <w:r w:rsidR="00784CFC">
        <w:rPr>
          <w:color w:val="auto"/>
        </w:rPr>
        <w:t xml:space="preserve"> y</w:t>
      </w:r>
      <w:r w:rsidR="00464C61">
        <w:rPr>
          <w:color w:val="auto"/>
        </w:rPr>
        <w:t xml:space="preserve"> </w:t>
      </w:r>
      <w:r w:rsidR="007B44D3">
        <w:rPr>
          <w:color w:val="auto"/>
        </w:rPr>
        <w:t xml:space="preserve">el Personal ocupado total </w:t>
      </w:r>
      <w:r w:rsidR="00784CFC">
        <w:rPr>
          <w:color w:val="auto"/>
        </w:rPr>
        <w:t>de 1</w:t>
      </w:r>
      <w:r w:rsidR="007B44D3">
        <w:rPr>
          <w:color w:val="auto"/>
        </w:rPr>
        <w:t>%</w:t>
      </w:r>
      <w:r w:rsidR="00784CFC">
        <w:rPr>
          <w:color w:val="auto"/>
        </w:rPr>
        <w:t>, mientras que</w:t>
      </w:r>
      <w:r w:rsidR="007B44D3">
        <w:rPr>
          <w:color w:val="auto"/>
        </w:rPr>
        <w:t xml:space="preserve"> </w:t>
      </w:r>
      <w:r w:rsidR="00CD7E7A" w:rsidRPr="002F4D9C">
        <w:rPr>
          <w:color w:val="auto"/>
        </w:rPr>
        <w:t>las Remuneraciones medias reales</w:t>
      </w:r>
      <w:r w:rsidR="00DB1379">
        <w:rPr>
          <w:color w:val="auto"/>
        </w:rPr>
        <w:t xml:space="preserve"> </w:t>
      </w:r>
      <w:r w:rsidR="00784CFC">
        <w:rPr>
          <w:color w:val="auto"/>
        </w:rPr>
        <w:t>retrocedieron</w:t>
      </w:r>
      <w:r w:rsidR="00464C61">
        <w:rPr>
          <w:color w:val="auto"/>
        </w:rPr>
        <w:t xml:space="preserve"> (</w:t>
      </w:r>
      <w:r w:rsidR="00464C61">
        <w:rPr>
          <w:color w:val="auto"/>
        </w:rPr>
        <w:noBreakHyphen/>
        <w:t>)</w:t>
      </w:r>
      <w:r w:rsidR="007B44D3">
        <w:rPr>
          <w:color w:val="auto"/>
        </w:rPr>
        <w:t>0.</w:t>
      </w:r>
      <w:r w:rsidR="00784CFC">
        <w:rPr>
          <w:color w:val="auto"/>
        </w:rPr>
        <w:t>3</w:t>
      </w:r>
      <w:r w:rsidR="007B44D3">
        <w:rPr>
          <w:color w:val="auto"/>
        </w:rPr>
        <w:t xml:space="preserve">% </w:t>
      </w:r>
      <w:r w:rsidR="00995B68">
        <w:rPr>
          <w:color w:val="auto"/>
        </w:rPr>
        <w:t xml:space="preserve">en </w:t>
      </w:r>
      <w:r w:rsidR="00DB1379">
        <w:rPr>
          <w:color w:val="auto"/>
        </w:rPr>
        <w:t xml:space="preserve">el </w:t>
      </w:r>
      <w:r w:rsidR="00222960">
        <w:rPr>
          <w:color w:val="auto"/>
        </w:rPr>
        <w:t>quin</w:t>
      </w:r>
      <w:r w:rsidR="00995B68">
        <w:rPr>
          <w:color w:val="auto"/>
        </w:rPr>
        <w:t>to</w:t>
      </w:r>
      <w:r w:rsidR="00DB1379">
        <w:rPr>
          <w:color w:val="auto"/>
        </w:rPr>
        <w:t xml:space="preserve"> mes de</w:t>
      </w:r>
      <w:r w:rsidR="00222960">
        <w:rPr>
          <w:color w:val="auto"/>
        </w:rPr>
        <w:t xml:space="preserve"> </w:t>
      </w:r>
      <w:r w:rsidR="002449A0">
        <w:rPr>
          <w:color w:val="auto"/>
        </w:rPr>
        <w:t>este año</w:t>
      </w:r>
      <w:r w:rsidR="00EB4DDC" w:rsidRPr="002F4D9C">
        <w:rPr>
          <w:color w:val="auto"/>
        </w:rPr>
        <w:t>.</w:t>
      </w:r>
    </w:p>
    <w:p w14:paraId="4963B463" w14:textId="00998C4D" w:rsidR="00085572" w:rsidRPr="002F4D9C" w:rsidRDefault="00EB4DDC" w:rsidP="00266227">
      <w:pPr>
        <w:pStyle w:val="Textoindependiente"/>
        <w:spacing w:before="360"/>
        <w:outlineLvl w:val="0"/>
        <w:rPr>
          <w:color w:val="auto"/>
        </w:rPr>
      </w:pPr>
      <w:r w:rsidRPr="002F4D9C">
        <w:rPr>
          <w:color w:val="auto"/>
        </w:rPr>
        <w:t>En su comparación anual</w:t>
      </w:r>
      <w:r w:rsidR="009E2BC4" w:rsidRPr="002F4D9C">
        <w:rPr>
          <w:color w:val="auto"/>
        </w:rPr>
        <w:t>, los Ingresos reales por suministro de bienes y servici</w:t>
      </w:r>
      <w:r w:rsidR="009740EA" w:rsidRPr="002F4D9C">
        <w:rPr>
          <w:color w:val="auto"/>
        </w:rPr>
        <w:t>o</w:t>
      </w:r>
      <w:r w:rsidR="009E2BC4" w:rsidRPr="002F4D9C">
        <w:rPr>
          <w:color w:val="auto"/>
        </w:rPr>
        <w:t xml:space="preserve">s </w:t>
      </w:r>
      <w:r w:rsidR="00784CFC">
        <w:rPr>
          <w:color w:val="auto"/>
        </w:rPr>
        <w:t>mostra</w:t>
      </w:r>
      <w:r w:rsidR="00995B68">
        <w:rPr>
          <w:color w:val="auto"/>
        </w:rPr>
        <w:t>ron</w:t>
      </w:r>
      <w:r w:rsidR="00DB1379">
        <w:rPr>
          <w:color w:val="auto"/>
        </w:rPr>
        <w:t xml:space="preserve"> </w:t>
      </w:r>
      <w:r w:rsidR="00784CFC">
        <w:rPr>
          <w:color w:val="auto"/>
        </w:rPr>
        <w:t xml:space="preserve">una caída de </w:t>
      </w:r>
      <w:r w:rsidR="00DB1379">
        <w:rPr>
          <w:color w:val="auto"/>
        </w:rPr>
        <w:t>(</w:t>
      </w:r>
      <w:r w:rsidR="00DB1379">
        <w:rPr>
          <w:color w:val="auto"/>
        </w:rPr>
        <w:noBreakHyphen/>
        <w:t>)</w:t>
      </w:r>
      <w:r w:rsidR="00464C61">
        <w:rPr>
          <w:color w:val="auto"/>
        </w:rPr>
        <w:t>23.</w:t>
      </w:r>
      <w:r w:rsidR="00784CFC">
        <w:rPr>
          <w:color w:val="auto"/>
        </w:rPr>
        <w:t>4</w:t>
      </w:r>
      <w:r w:rsidR="007B44D3">
        <w:rPr>
          <w:color w:val="auto"/>
        </w:rPr>
        <w:t>%</w:t>
      </w:r>
      <w:r w:rsidR="00464C61">
        <w:rPr>
          <w:color w:val="auto"/>
        </w:rPr>
        <w:t xml:space="preserve"> y </w:t>
      </w:r>
      <w:r w:rsidR="00464C61" w:rsidRPr="002F4D9C">
        <w:rPr>
          <w:color w:val="auto"/>
        </w:rPr>
        <w:t xml:space="preserve">el Personal ocupado total </w:t>
      </w:r>
      <w:r w:rsidR="00784CFC">
        <w:rPr>
          <w:color w:val="auto"/>
        </w:rPr>
        <w:t>de</w:t>
      </w:r>
      <w:r w:rsidR="00464C61">
        <w:rPr>
          <w:color w:val="auto"/>
        </w:rPr>
        <w:t xml:space="preserve"> (</w:t>
      </w:r>
      <w:r w:rsidR="00464C61">
        <w:rPr>
          <w:color w:val="auto"/>
        </w:rPr>
        <w:noBreakHyphen/>
        <w:t>)</w:t>
      </w:r>
      <w:r w:rsidR="00784CFC">
        <w:rPr>
          <w:color w:val="auto"/>
        </w:rPr>
        <w:t>8.4</w:t>
      </w:r>
      <w:r w:rsidR="00464C61" w:rsidRPr="002F4D9C">
        <w:rPr>
          <w:color w:val="auto"/>
        </w:rPr>
        <w:t>%</w:t>
      </w:r>
      <w:r w:rsidR="00464C61">
        <w:rPr>
          <w:color w:val="auto"/>
        </w:rPr>
        <w:t xml:space="preserve">, </w:t>
      </w:r>
      <w:r w:rsidR="00784CFC">
        <w:rPr>
          <w:color w:val="auto"/>
        </w:rPr>
        <w:t>en tanto</w:t>
      </w:r>
      <w:r w:rsidR="00464C61">
        <w:rPr>
          <w:color w:val="auto"/>
        </w:rPr>
        <w:t xml:space="preserve"> que</w:t>
      </w:r>
      <w:r w:rsidR="007B44D3">
        <w:rPr>
          <w:color w:val="auto"/>
        </w:rPr>
        <w:t xml:space="preserve"> l</w:t>
      </w:r>
      <w:r w:rsidR="00CD7E7A" w:rsidRPr="002F4D9C">
        <w:rPr>
          <w:color w:val="auto"/>
        </w:rPr>
        <w:t xml:space="preserve">as Remuneraciones medias reales </w:t>
      </w:r>
      <w:r w:rsidR="00784CFC">
        <w:rPr>
          <w:color w:val="auto"/>
        </w:rPr>
        <w:t>aum</w:t>
      </w:r>
      <w:r w:rsidR="00995B68">
        <w:rPr>
          <w:color w:val="auto"/>
        </w:rPr>
        <w:t>en</w:t>
      </w:r>
      <w:r w:rsidR="006E65F3">
        <w:rPr>
          <w:color w:val="auto"/>
        </w:rPr>
        <w:t>taron</w:t>
      </w:r>
      <w:r w:rsidR="00CD7E7A">
        <w:rPr>
          <w:color w:val="auto"/>
        </w:rPr>
        <w:t xml:space="preserve"> </w:t>
      </w:r>
      <w:r w:rsidR="00464C61">
        <w:rPr>
          <w:color w:val="auto"/>
        </w:rPr>
        <w:t>0.</w:t>
      </w:r>
      <w:r w:rsidR="00784CFC">
        <w:rPr>
          <w:color w:val="auto"/>
        </w:rPr>
        <w:t>2</w:t>
      </w:r>
      <w:r w:rsidR="00CD7E7A" w:rsidRPr="002F4D9C">
        <w:rPr>
          <w:color w:val="auto"/>
        </w:rPr>
        <w:t>%</w:t>
      </w:r>
      <w:r w:rsidR="00DB1379">
        <w:rPr>
          <w:color w:val="auto"/>
        </w:rPr>
        <w:t xml:space="preserve"> </w:t>
      </w:r>
      <w:r w:rsidR="00F1163D" w:rsidRPr="002F4D9C">
        <w:rPr>
          <w:color w:val="auto"/>
        </w:rPr>
        <w:t>en</w:t>
      </w:r>
      <w:r w:rsidR="009E2BC4" w:rsidRPr="002F4D9C">
        <w:rPr>
          <w:color w:val="auto"/>
        </w:rPr>
        <w:t xml:space="preserve"> </w:t>
      </w:r>
      <w:r w:rsidR="00222960">
        <w:rPr>
          <w:color w:val="auto"/>
        </w:rPr>
        <w:t>mayo</w:t>
      </w:r>
      <w:r w:rsidR="00CD7E7A">
        <w:rPr>
          <w:color w:val="auto"/>
        </w:rPr>
        <w:t xml:space="preserve"> </w:t>
      </w:r>
      <w:r w:rsidR="00F1163D" w:rsidRPr="002F4D9C">
        <w:rPr>
          <w:color w:val="auto"/>
        </w:rPr>
        <w:t>de</w:t>
      </w:r>
      <w:r w:rsidR="00347B5C" w:rsidRPr="002F4D9C">
        <w:rPr>
          <w:color w:val="auto"/>
        </w:rPr>
        <w:t xml:space="preserve"> </w:t>
      </w:r>
      <w:r w:rsidR="00DF5A6D">
        <w:rPr>
          <w:color w:val="auto"/>
        </w:rPr>
        <w:t>2020</w:t>
      </w:r>
      <w:r w:rsidR="006867CC" w:rsidRPr="002F4D9C">
        <w:rPr>
          <w:color w:val="auto"/>
        </w:rPr>
        <w:t>,</w:t>
      </w:r>
      <w:r w:rsidR="009E2BC4" w:rsidRPr="002F4D9C">
        <w:rPr>
          <w:color w:val="auto"/>
        </w:rPr>
        <w:t xml:space="preserve"> con series ajustadas por estacionalidad</w:t>
      </w:r>
      <w:r w:rsidR="00467BD1" w:rsidRPr="002F4D9C">
        <w:rPr>
          <w:color w:val="auto"/>
        </w:rPr>
        <w:t xml:space="preserve">. </w:t>
      </w:r>
    </w:p>
    <w:p w14:paraId="110C14B5" w14:textId="77777777" w:rsidR="00085572" w:rsidRPr="002F4D9C" w:rsidRDefault="00085572">
      <w:pPr>
        <w:jc w:val="left"/>
      </w:pPr>
      <w:r w:rsidRPr="002F4D9C">
        <w:br w:type="page"/>
      </w:r>
    </w:p>
    <w:p w14:paraId="178315F5" w14:textId="77777777" w:rsidR="00467BD1" w:rsidRPr="002F4D9C" w:rsidRDefault="00467BD1" w:rsidP="00467BD1">
      <w:pPr>
        <w:pStyle w:val="p0"/>
        <w:keepNext/>
        <w:spacing w:before="360"/>
        <w:jc w:val="center"/>
        <w:rPr>
          <w:rFonts w:ascii="Arial" w:hAnsi="Arial"/>
          <w:b/>
          <w:smallCaps/>
          <w:color w:val="auto"/>
          <w:sz w:val="22"/>
        </w:rPr>
      </w:pPr>
      <w:r w:rsidRPr="002F4D9C">
        <w:rPr>
          <w:rFonts w:ascii="Arial" w:hAnsi="Arial"/>
          <w:color w:val="auto"/>
          <w:sz w:val="20"/>
        </w:rPr>
        <w:lastRenderedPageBreak/>
        <w:t>Gráfica 2</w:t>
      </w:r>
    </w:p>
    <w:p w14:paraId="1AEE264E" w14:textId="53A2C04C" w:rsidR="00467BD1" w:rsidRPr="002F4D9C" w:rsidRDefault="00467BD1" w:rsidP="00467BD1">
      <w:pPr>
        <w:pStyle w:val="p0"/>
        <w:keepNext/>
        <w:spacing w:before="0"/>
        <w:jc w:val="center"/>
        <w:rPr>
          <w:rFonts w:ascii="Arial" w:hAnsi="Arial"/>
          <w:b/>
          <w:smallCaps/>
          <w:color w:val="auto"/>
          <w:sz w:val="22"/>
        </w:rPr>
      </w:pPr>
      <w:r w:rsidRPr="002F4D9C">
        <w:rPr>
          <w:rFonts w:ascii="Arial" w:hAnsi="Arial"/>
          <w:b/>
          <w:smallCaps/>
          <w:color w:val="auto"/>
          <w:sz w:val="22"/>
        </w:rPr>
        <w:t>Indicadores</w:t>
      </w:r>
      <w:r w:rsidRPr="002F4D9C">
        <w:rPr>
          <w:rFonts w:ascii="Arial" w:hAnsi="Arial"/>
          <w:b/>
          <w:color w:val="auto"/>
          <w:sz w:val="22"/>
          <w:szCs w:val="22"/>
        </w:rPr>
        <w:t xml:space="preserve"> </w:t>
      </w:r>
      <w:r w:rsidRPr="002F4D9C">
        <w:rPr>
          <w:rFonts w:ascii="Arial" w:hAnsi="Arial"/>
          <w:b/>
          <w:smallCaps/>
          <w:color w:val="auto"/>
          <w:sz w:val="22"/>
        </w:rPr>
        <w:t>de las Empresas Comerciales</w:t>
      </w:r>
      <w:r w:rsidRPr="002F4D9C">
        <w:rPr>
          <w:rFonts w:ascii="Arial" w:hAnsi="Arial"/>
          <w:b/>
          <w:color w:val="auto"/>
          <w:sz w:val="22"/>
          <w:szCs w:val="22"/>
        </w:rPr>
        <w:t xml:space="preserve"> </w:t>
      </w:r>
      <w:r w:rsidRPr="002F4D9C">
        <w:rPr>
          <w:rFonts w:ascii="Arial" w:hAnsi="Arial"/>
          <w:b/>
          <w:smallCaps/>
          <w:color w:val="auto"/>
          <w:sz w:val="22"/>
        </w:rPr>
        <w:t xml:space="preserve">al por Menor </w:t>
      </w:r>
      <w:r w:rsidR="00983FBC" w:rsidRPr="002F4D9C">
        <w:rPr>
          <w:rFonts w:ascii="Arial" w:hAnsi="Arial"/>
          <w:b/>
          <w:smallCaps/>
          <w:color w:val="auto"/>
          <w:sz w:val="22"/>
        </w:rPr>
        <w:t>a</w:t>
      </w:r>
      <w:r w:rsidR="00222960">
        <w:rPr>
          <w:rFonts w:ascii="Arial" w:hAnsi="Arial"/>
          <w:b/>
          <w:smallCaps/>
          <w:color w:val="auto"/>
          <w:sz w:val="22"/>
        </w:rPr>
        <w:t xml:space="preserve"> mayo</w:t>
      </w:r>
      <w:r w:rsidRPr="002F4D9C">
        <w:rPr>
          <w:rFonts w:ascii="Arial" w:hAnsi="Arial"/>
          <w:b/>
          <w:smallCaps/>
          <w:color w:val="auto"/>
          <w:sz w:val="22"/>
        </w:rPr>
        <w:t xml:space="preserve"> de </w:t>
      </w:r>
      <w:r w:rsidR="00DF5A6D">
        <w:rPr>
          <w:rFonts w:ascii="Arial" w:hAnsi="Arial"/>
          <w:b/>
          <w:smallCaps/>
          <w:color w:val="auto"/>
          <w:sz w:val="22"/>
        </w:rPr>
        <w:t>2020</w:t>
      </w:r>
    </w:p>
    <w:p w14:paraId="3D40510F" w14:textId="77777777" w:rsidR="00467BD1" w:rsidRPr="002F4D9C" w:rsidRDefault="00467BD1" w:rsidP="009E2FC7">
      <w:pPr>
        <w:pStyle w:val="p0"/>
        <w:keepNext/>
        <w:tabs>
          <w:tab w:val="center" w:pos="4703"/>
          <w:tab w:val="right" w:pos="9406"/>
        </w:tabs>
        <w:spacing w:before="0"/>
        <w:jc w:val="center"/>
        <w:rPr>
          <w:rFonts w:ascii="Arial" w:hAnsi="Arial"/>
          <w:b/>
          <w:smallCaps/>
          <w:color w:val="auto"/>
          <w:sz w:val="22"/>
        </w:rPr>
      </w:pPr>
      <w:r w:rsidRPr="002F4D9C">
        <w:rPr>
          <w:rFonts w:ascii="Arial" w:hAnsi="Arial"/>
          <w:b/>
          <w:smallCaps/>
          <w:color w:val="auto"/>
          <w:sz w:val="22"/>
        </w:rPr>
        <w:t>Series desestacionalizada</w:t>
      </w:r>
      <w:r w:rsidR="00D62591" w:rsidRPr="002F4D9C">
        <w:rPr>
          <w:rFonts w:ascii="Arial" w:hAnsi="Arial"/>
          <w:b/>
          <w:smallCaps/>
          <w:color w:val="auto"/>
          <w:sz w:val="22"/>
        </w:rPr>
        <w:t>s</w:t>
      </w:r>
      <w:r w:rsidRPr="002F4D9C">
        <w:rPr>
          <w:rFonts w:ascii="Arial" w:hAnsi="Arial"/>
          <w:b/>
          <w:smallCaps/>
          <w:color w:val="auto"/>
          <w:sz w:val="22"/>
        </w:rPr>
        <w:t xml:space="preserve"> y de tendencia-ciclo</w:t>
      </w:r>
    </w:p>
    <w:p w14:paraId="6772744E" w14:textId="77777777" w:rsidR="00467BD1" w:rsidRPr="002F4D9C" w:rsidRDefault="00467BD1" w:rsidP="00467BD1">
      <w:pPr>
        <w:pStyle w:val="p0"/>
        <w:keepNext/>
        <w:spacing w:before="0"/>
        <w:jc w:val="center"/>
        <w:rPr>
          <w:rFonts w:ascii="Arial" w:hAnsi="Arial"/>
          <w:color w:val="auto"/>
          <w:sz w:val="18"/>
          <w:szCs w:val="18"/>
        </w:rPr>
      </w:pPr>
      <w:r w:rsidRPr="002F4D9C">
        <w:rPr>
          <w:rFonts w:ascii="Arial" w:hAnsi="Arial"/>
          <w:smallCaps/>
          <w:color w:val="auto"/>
          <w:sz w:val="18"/>
          <w:szCs w:val="18"/>
        </w:rPr>
        <w:t>(</w:t>
      </w:r>
      <w:r w:rsidRPr="002F4D9C">
        <w:rPr>
          <w:rFonts w:ascii="Arial" w:hAnsi="Arial"/>
          <w:color w:val="auto"/>
          <w:sz w:val="18"/>
          <w:szCs w:val="18"/>
        </w:rPr>
        <w:t>Índice base 20</w:t>
      </w:r>
      <w:r w:rsidR="0073065B" w:rsidRPr="002F4D9C">
        <w:rPr>
          <w:rFonts w:ascii="Arial" w:hAnsi="Arial"/>
          <w:color w:val="auto"/>
          <w:sz w:val="18"/>
          <w:szCs w:val="18"/>
        </w:rPr>
        <w:t>13</w:t>
      </w:r>
      <w:r w:rsidRPr="002F4D9C">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2F4D9C" w14:paraId="5D175937" w14:textId="77777777" w:rsidTr="00AA2115">
        <w:trPr>
          <w:jc w:val="center"/>
        </w:trPr>
        <w:tc>
          <w:tcPr>
            <w:tcW w:w="0" w:type="auto"/>
          </w:tcPr>
          <w:p w14:paraId="2CE4B598" w14:textId="77777777" w:rsidR="00467BD1" w:rsidRPr="002F4D9C" w:rsidRDefault="00467BD1" w:rsidP="00AB5964">
            <w:pPr>
              <w:pStyle w:val="Textoindependiente"/>
              <w:widowControl w:val="0"/>
              <w:spacing w:after="60"/>
              <w:jc w:val="center"/>
              <w:rPr>
                <w:color w:val="auto"/>
                <w:sz w:val="20"/>
                <w:szCs w:val="18"/>
              </w:rPr>
            </w:pPr>
            <w:r w:rsidRPr="002F4D9C">
              <w:rPr>
                <w:color w:val="auto"/>
                <w:sz w:val="20"/>
              </w:rPr>
              <w:t xml:space="preserve">Ingresos </w:t>
            </w:r>
            <w:r w:rsidR="00F00159" w:rsidRPr="002F4D9C">
              <w:rPr>
                <w:color w:val="auto"/>
                <w:sz w:val="20"/>
              </w:rPr>
              <w:t xml:space="preserve">reales </w:t>
            </w:r>
            <w:r w:rsidRPr="002F4D9C">
              <w:rPr>
                <w:color w:val="auto"/>
                <w:sz w:val="20"/>
              </w:rPr>
              <w:t>por suministro de bienes y servicios</w:t>
            </w:r>
          </w:p>
        </w:tc>
      </w:tr>
      <w:tr w:rsidR="00467BD1" w:rsidRPr="002F4D9C" w14:paraId="5051CE8D" w14:textId="77777777" w:rsidTr="00DB1379">
        <w:tblPrEx>
          <w:tblCellMar>
            <w:left w:w="70" w:type="dxa"/>
            <w:right w:w="70" w:type="dxa"/>
          </w:tblCellMar>
        </w:tblPrEx>
        <w:trPr>
          <w:trHeight w:val="3969"/>
          <w:jc w:val="center"/>
        </w:trPr>
        <w:tc>
          <w:tcPr>
            <w:tcW w:w="6980" w:type="dxa"/>
          </w:tcPr>
          <w:p w14:paraId="63C67A61" w14:textId="3666E0AE" w:rsidR="00467BD1" w:rsidRPr="002F4D9C" w:rsidRDefault="007F393B" w:rsidP="00AA2115">
            <w:pPr>
              <w:pStyle w:val="Textoindependiente"/>
              <w:widowControl w:val="0"/>
              <w:spacing w:before="20" w:after="20"/>
              <w:jc w:val="center"/>
              <w:rPr>
                <w:sz w:val="18"/>
                <w:szCs w:val="18"/>
              </w:rPr>
            </w:pPr>
            <w:r>
              <w:rPr>
                <w:noProof/>
                <w:lang w:val="es-MX" w:eastAsia="es-MX"/>
              </w:rPr>
              <w:drawing>
                <wp:inline distT="0" distB="0" distL="0" distR="0" wp14:anchorId="239EAE89" wp14:editId="4E3A4152">
                  <wp:extent cx="4320000" cy="2528405"/>
                  <wp:effectExtent l="0" t="0" r="23495" b="24765"/>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67BD1" w:rsidRPr="002F4D9C" w14:paraId="2C1C2067" w14:textId="77777777" w:rsidTr="00AA2115">
        <w:trPr>
          <w:jc w:val="center"/>
        </w:trPr>
        <w:tc>
          <w:tcPr>
            <w:tcW w:w="0" w:type="auto"/>
          </w:tcPr>
          <w:p w14:paraId="6D6DE5F7" w14:textId="77777777" w:rsidR="00467BD1" w:rsidRPr="002F4D9C" w:rsidRDefault="00467BD1" w:rsidP="00AB5964">
            <w:pPr>
              <w:pStyle w:val="p0"/>
              <w:keepLines w:val="0"/>
              <w:spacing w:before="600" w:after="60"/>
              <w:jc w:val="center"/>
              <w:rPr>
                <w:rFonts w:ascii="Arial" w:hAnsi="Arial"/>
                <w:color w:val="auto"/>
                <w:sz w:val="20"/>
              </w:rPr>
            </w:pPr>
            <w:r w:rsidRPr="002F4D9C">
              <w:rPr>
                <w:rFonts w:ascii="Arial" w:hAnsi="Arial"/>
                <w:color w:val="auto"/>
                <w:sz w:val="20"/>
              </w:rPr>
              <w:t>Personal ocupado</w:t>
            </w:r>
            <w:r w:rsidR="002F1F70" w:rsidRPr="002F4D9C">
              <w:rPr>
                <w:rFonts w:ascii="Arial" w:hAnsi="Arial"/>
                <w:color w:val="auto"/>
                <w:sz w:val="20"/>
              </w:rPr>
              <w:t xml:space="preserve"> total</w:t>
            </w:r>
          </w:p>
        </w:tc>
      </w:tr>
      <w:tr w:rsidR="00467BD1" w:rsidRPr="002F4D9C" w14:paraId="6D05195A" w14:textId="77777777" w:rsidTr="00DB1379">
        <w:tblPrEx>
          <w:tblCellMar>
            <w:left w:w="70" w:type="dxa"/>
            <w:right w:w="70" w:type="dxa"/>
          </w:tblCellMar>
        </w:tblPrEx>
        <w:trPr>
          <w:trHeight w:val="3969"/>
          <w:jc w:val="center"/>
        </w:trPr>
        <w:tc>
          <w:tcPr>
            <w:tcW w:w="6980" w:type="dxa"/>
          </w:tcPr>
          <w:p w14:paraId="4E13EA01" w14:textId="6A48C860" w:rsidR="00467BD1" w:rsidRPr="002F4D9C" w:rsidRDefault="007F393B" w:rsidP="00AA2115">
            <w:pPr>
              <w:pStyle w:val="p0"/>
              <w:keepLines w:val="0"/>
              <w:spacing w:before="20" w:after="20"/>
              <w:jc w:val="center"/>
              <w:rPr>
                <w:rFonts w:ascii="Arial" w:hAnsi="Arial"/>
                <w:sz w:val="20"/>
              </w:rPr>
            </w:pPr>
            <w:r>
              <w:rPr>
                <w:noProof/>
                <w:lang w:val="es-MX" w:eastAsia="es-MX"/>
              </w:rPr>
              <w:drawing>
                <wp:inline distT="0" distB="0" distL="0" distR="0" wp14:anchorId="011E452B" wp14:editId="00C2C5CB">
                  <wp:extent cx="4320000" cy="2528405"/>
                  <wp:effectExtent l="0" t="0" r="23495" b="24765"/>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77AA8E99" w14:textId="77777777" w:rsidR="00085572" w:rsidRPr="002F4D9C" w:rsidRDefault="00085572">
      <w:r w:rsidRPr="002F4D9C">
        <w:br w:type="page"/>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2F4D9C" w14:paraId="1CFA9538" w14:textId="77777777" w:rsidTr="00AA2115">
        <w:trPr>
          <w:jc w:val="center"/>
        </w:trPr>
        <w:tc>
          <w:tcPr>
            <w:tcW w:w="0" w:type="auto"/>
          </w:tcPr>
          <w:p w14:paraId="652D7BFD" w14:textId="77777777" w:rsidR="00467BD1" w:rsidRPr="002F4D9C" w:rsidRDefault="00467BD1" w:rsidP="00AB5964">
            <w:pPr>
              <w:pStyle w:val="p0"/>
              <w:keepLines w:val="0"/>
              <w:spacing w:before="0" w:after="60"/>
              <w:jc w:val="center"/>
              <w:rPr>
                <w:rFonts w:ascii="Arial" w:hAnsi="Arial"/>
                <w:color w:val="auto"/>
                <w:sz w:val="20"/>
              </w:rPr>
            </w:pPr>
            <w:r w:rsidRPr="002F4D9C">
              <w:rPr>
                <w:rFonts w:ascii="Arial" w:hAnsi="Arial"/>
                <w:color w:val="auto"/>
                <w:sz w:val="20"/>
              </w:rPr>
              <w:lastRenderedPageBreak/>
              <w:t>Remuneraciones medias reales</w:t>
            </w:r>
          </w:p>
        </w:tc>
      </w:tr>
      <w:tr w:rsidR="006B1D4D" w:rsidRPr="002F4D9C" w14:paraId="00F6AB55" w14:textId="77777777" w:rsidTr="00DB1379">
        <w:tblPrEx>
          <w:tblCellMar>
            <w:left w:w="70" w:type="dxa"/>
            <w:right w:w="70" w:type="dxa"/>
          </w:tblCellMar>
        </w:tblPrEx>
        <w:trPr>
          <w:trHeight w:val="3969"/>
          <w:jc w:val="center"/>
        </w:trPr>
        <w:tc>
          <w:tcPr>
            <w:tcW w:w="6980" w:type="dxa"/>
          </w:tcPr>
          <w:p w14:paraId="543B45EE" w14:textId="678F95EB" w:rsidR="00467BD1" w:rsidRPr="002F4D9C" w:rsidRDefault="007F393B" w:rsidP="00AA2115">
            <w:pPr>
              <w:pStyle w:val="p0"/>
              <w:keepLines w:val="0"/>
              <w:spacing w:before="20" w:after="20"/>
              <w:jc w:val="center"/>
              <w:rPr>
                <w:rFonts w:ascii="Arial" w:hAnsi="Arial"/>
                <w:color w:val="auto"/>
                <w:sz w:val="20"/>
              </w:rPr>
            </w:pPr>
            <w:r>
              <w:rPr>
                <w:noProof/>
                <w:lang w:val="es-MX" w:eastAsia="es-MX"/>
              </w:rPr>
              <w:drawing>
                <wp:inline distT="0" distB="0" distL="0" distR="0" wp14:anchorId="26452E11" wp14:editId="5BA79E4A">
                  <wp:extent cx="4320000" cy="2528405"/>
                  <wp:effectExtent l="0" t="0" r="23495" b="2476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21796A0" w14:textId="77777777" w:rsidR="00467BD1" w:rsidRPr="002F4D9C" w:rsidRDefault="00467BD1" w:rsidP="00085572">
      <w:pPr>
        <w:pStyle w:val="Textoindependiente"/>
        <w:widowControl w:val="0"/>
        <w:spacing w:before="20"/>
        <w:ind w:firstLine="1372"/>
        <w:jc w:val="left"/>
        <w:rPr>
          <w:color w:val="auto"/>
          <w:sz w:val="16"/>
          <w:szCs w:val="16"/>
        </w:rPr>
      </w:pPr>
      <w:r w:rsidRPr="002F4D9C">
        <w:rPr>
          <w:color w:val="auto"/>
          <w:sz w:val="16"/>
          <w:szCs w:val="16"/>
        </w:rPr>
        <w:t>Fuente: INEGI.</w:t>
      </w:r>
    </w:p>
    <w:p w14:paraId="2DFA3B30" w14:textId="77777777" w:rsidR="00467BD1" w:rsidRPr="002F4D9C" w:rsidRDefault="00467BD1" w:rsidP="00467BD1">
      <w:pPr>
        <w:rPr>
          <w:b/>
          <w:i/>
        </w:rPr>
      </w:pPr>
      <w:r w:rsidRPr="002F4D9C">
        <w:rPr>
          <w:b/>
          <w:i/>
        </w:rPr>
        <w:br w:type="page"/>
      </w:r>
    </w:p>
    <w:p w14:paraId="73BD7537" w14:textId="77777777" w:rsidR="00467BD1" w:rsidRPr="002F4D9C" w:rsidRDefault="00467BD1" w:rsidP="00CA2057">
      <w:pPr>
        <w:pStyle w:val="p01"/>
        <w:keepLines w:val="0"/>
        <w:widowControl w:val="0"/>
        <w:spacing w:before="120"/>
        <w:outlineLvl w:val="0"/>
        <w:rPr>
          <w:rFonts w:ascii="Arial" w:hAnsi="Arial" w:cs="Arial"/>
          <w:b/>
          <w:i/>
          <w:color w:val="auto"/>
          <w:szCs w:val="24"/>
          <w:lang w:val="es-MX"/>
        </w:rPr>
      </w:pPr>
      <w:r w:rsidRPr="002F4D9C">
        <w:rPr>
          <w:rFonts w:ascii="Arial" w:hAnsi="Arial" w:cs="Arial"/>
          <w:b/>
          <w:i/>
          <w:color w:val="auto"/>
          <w:szCs w:val="24"/>
          <w:lang w:val="es-MX"/>
        </w:rPr>
        <w:lastRenderedPageBreak/>
        <w:t>Cifras originales</w:t>
      </w:r>
    </w:p>
    <w:p w14:paraId="4646C032" w14:textId="77777777" w:rsidR="00467BD1" w:rsidRPr="002F4D9C" w:rsidRDefault="00467BD1" w:rsidP="00CA2057">
      <w:pPr>
        <w:widowControl w:val="0"/>
        <w:spacing w:before="360"/>
        <w:jc w:val="center"/>
        <w:rPr>
          <w:sz w:val="20"/>
          <w:szCs w:val="20"/>
        </w:rPr>
      </w:pPr>
      <w:r w:rsidRPr="002F4D9C">
        <w:rPr>
          <w:sz w:val="20"/>
          <w:szCs w:val="20"/>
        </w:rPr>
        <w:t>Cuadro 2</w:t>
      </w:r>
    </w:p>
    <w:p w14:paraId="23480E1D" w14:textId="22A7A6BB" w:rsidR="00467BD1" w:rsidRPr="002F4D9C" w:rsidRDefault="00467BD1" w:rsidP="00CA2057">
      <w:pPr>
        <w:widowControl w:val="0"/>
        <w:jc w:val="center"/>
        <w:rPr>
          <w:b/>
          <w:smallCaps/>
          <w:sz w:val="22"/>
          <w:szCs w:val="22"/>
        </w:rPr>
      </w:pPr>
      <w:r w:rsidRPr="002F4D9C">
        <w:rPr>
          <w:b/>
          <w:smallCaps/>
          <w:sz w:val="22"/>
          <w:szCs w:val="22"/>
        </w:rPr>
        <w:t xml:space="preserve">Indicadores de las Empresas Comerciales </w:t>
      </w:r>
      <w:r w:rsidRPr="002F4D9C">
        <w:rPr>
          <w:b/>
          <w:smallCaps/>
          <w:sz w:val="22"/>
          <w:szCs w:val="22"/>
        </w:rPr>
        <w:br/>
        <w:t xml:space="preserve">por entidad federativa según sector de actividad </w:t>
      </w:r>
      <w:r w:rsidRPr="002F4D9C">
        <w:rPr>
          <w:b/>
          <w:smallCaps/>
          <w:sz w:val="22"/>
          <w:szCs w:val="22"/>
        </w:rPr>
        <w:br/>
        <w:t xml:space="preserve">durante </w:t>
      </w:r>
      <w:proofErr w:type="spellStart"/>
      <w:r w:rsidR="00222960">
        <w:rPr>
          <w:b/>
          <w:smallCaps/>
          <w:sz w:val="22"/>
          <w:szCs w:val="22"/>
        </w:rPr>
        <w:t>mayo</w:t>
      </w:r>
      <w:r w:rsidRPr="002F4D9C">
        <w:rPr>
          <w:b/>
          <w:sz w:val="22"/>
          <w:szCs w:val="22"/>
          <w:vertAlign w:val="superscript"/>
        </w:rPr>
        <w:t>p</w:t>
      </w:r>
      <w:proofErr w:type="spellEnd"/>
      <w:r w:rsidRPr="002F4D9C">
        <w:rPr>
          <w:b/>
          <w:smallCaps/>
          <w:sz w:val="22"/>
          <w:szCs w:val="22"/>
          <w:vertAlign w:val="superscript"/>
        </w:rPr>
        <w:t>/</w:t>
      </w:r>
      <w:r w:rsidRPr="002F4D9C">
        <w:rPr>
          <w:b/>
          <w:smallCaps/>
          <w:sz w:val="22"/>
          <w:szCs w:val="22"/>
        </w:rPr>
        <w:t xml:space="preserve"> de </w:t>
      </w:r>
      <w:r w:rsidR="00DF5A6D">
        <w:rPr>
          <w:b/>
          <w:smallCaps/>
          <w:sz w:val="22"/>
          <w:szCs w:val="22"/>
        </w:rPr>
        <w:t>2020</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2F4D9C"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2F4D9C" w:rsidRDefault="00467BD1" w:rsidP="00AA2115">
            <w:pPr>
              <w:spacing w:before="20" w:after="20"/>
              <w:jc w:val="center"/>
              <w:rPr>
                <w:bCs/>
                <w:sz w:val="16"/>
                <w:szCs w:val="16"/>
              </w:rPr>
            </w:pPr>
            <w:r w:rsidRPr="002F4D9C">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2F4D9C" w:rsidRDefault="00467BD1" w:rsidP="00FB4F25">
            <w:pPr>
              <w:spacing w:before="40" w:after="40"/>
              <w:jc w:val="center"/>
              <w:rPr>
                <w:color w:val="000000"/>
                <w:sz w:val="16"/>
                <w:szCs w:val="18"/>
              </w:rPr>
            </w:pPr>
            <w:r w:rsidRPr="002F4D9C">
              <w:rPr>
                <w:color w:val="000000"/>
                <w:sz w:val="16"/>
                <w:szCs w:val="18"/>
              </w:rPr>
              <w:t xml:space="preserve">Empresas Comerciales </w:t>
            </w:r>
            <w:r w:rsidRPr="002F4D9C">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2F4D9C" w:rsidRDefault="00467BD1" w:rsidP="00FB4F25">
            <w:pPr>
              <w:spacing w:before="40" w:after="40"/>
              <w:jc w:val="center"/>
              <w:rPr>
                <w:color w:val="000000"/>
                <w:sz w:val="16"/>
                <w:szCs w:val="18"/>
              </w:rPr>
            </w:pPr>
            <w:r w:rsidRPr="002F4D9C">
              <w:rPr>
                <w:color w:val="000000"/>
                <w:sz w:val="16"/>
                <w:szCs w:val="18"/>
              </w:rPr>
              <w:t xml:space="preserve">Empresas Comerciales </w:t>
            </w:r>
            <w:r w:rsidRPr="002F4D9C">
              <w:rPr>
                <w:color w:val="000000"/>
                <w:sz w:val="16"/>
                <w:szCs w:val="18"/>
              </w:rPr>
              <w:br/>
              <w:t>al por Menor</w:t>
            </w:r>
          </w:p>
        </w:tc>
      </w:tr>
      <w:tr w:rsidR="00467BD1" w:rsidRPr="002F4D9C"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2F4D9C"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2F4D9C" w:rsidRDefault="00467BD1" w:rsidP="00457A06">
            <w:pPr>
              <w:spacing w:before="40" w:after="40"/>
              <w:ind w:left="-57" w:right="-40"/>
              <w:jc w:val="center"/>
              <w:rPr>
                <w:bCs/>
                <w:sz w:val="16"/>
                <w:szCs w:val="16"/>
              </w:rPr>
            </w:pPr>
            <w:r w:rsidRPr="002F4D9C">
              <w:rPr>
                <w:bCs/>
                <w:sz w:val="16"/>
                <w:szCs w:val="16"/>
              </w:rPr>
              <w:t xml:space="preserve">Ingresos por suministro </w:t>
            </w:r>
            <w:r w:rsidR="00876DC6" w:rsidRPr="002F4D9C">
              <w:rPr>
                <w:bCs/>
                <w:sz w:val="16"/>
                <w:szCs w:val="16"/>
              </w:rPr>
              <w:br/>
            </w:r>
            <w:r w:rsidRPr="002F4D9C">
              <w:rPr>
                <w:bCs/>
                <w:sz w:val="16"/>
                <w:szCs w:val="16"/>
              </w:rPr>
              <w:t>de bienes y servicios</w:t>
            </w:r>
            <w:r w:rsidR="00F00159" w:rsidRPr="002F4D9C">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2F4D9C" w:rsidRDefault="00467BD1" w:rsidP="00770BFA">
            <w:pPr>
              <w:spacing w:before="40" w:after="40"/>
              <w:ind w:left="-39" w:right="-35"/>
              <w:jc w:val="center"/>
              <w:rPr>
                <w:bCs/>
                <w:sz w:val="16"/>
                <w:szCs w:val="16"/>
              </w:rPr>
            </w:pPr>
            <w:r w:rsidRPr="002F4D9C">
              <w:rPr>
                <w:bCs/>
                <w:color w:val="000000"/>
                <w:sz w:val="16"/>
                <w:szCs w:val="16"/>
              </w:rPr>
              <w:t>Personal ocupado</w:t>
            </w:r>
            <w:r w:rsidR="00770BFA" w:rsidRPr="002F4D9C">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2F4D9C" w:rsidRDefault="00467BD1" w:rsidP="00876DC6">
            <w:pPr>
              <w:spacing w:before="40" w:after="40"/>
              <w:jc w:val="center"/>
              <w:rPr>
                <w:bCs/>
                <w:sz w:val="16"/>
                <w:szCs w:val="16"/>
              </w:rPr>
            </w:pPr>
            <w:r w:rsidRPr="002F4D9C">
              <w:rPr>
                <w:bCs/>
                <w:color w:val="000000"/>
                <w:sz w:val="16"/>
                <w:szCs w:val="16"/>
              </w:rPr>
              <w:t>Remunera-</w:t>
            </w:r>
            <w:r w:rsidRPr="002F4D9C">
              <w:rPr>
                <w:b/>
                <w:smallCaps/>
                <w:sz w:val="22"/>
              </w:rPr>
              <w:br/>
            </w:r>
            <w:proofErr w:type="spellStart"/>
            <w:r w:rsidRPr="002F4D9C">
              <w:rPr>
                <w:bCs/>
                <w:color w:val="000000"/>
                <w:sz w:val="16"/>
                <w:szCs w:val="16"/>
              </w:rPr>
              <w:t>ciones</w:t>
            </w:r>
            <w:proofErr w:type="spellEnd"/>
            <w:r w:rsidRPr="002F4D9C">
              <w:rPr>
                <w:bCs/>
                <w:color w:val="000000"/>
                <w:sz w:val="16"/>
                <w:szCs w:val="16"/>
              </w:rPr>
              <w:t xml:space="preserve"> </w:t>
            </w:r>
            <w:r w:rsidR="00B6264B" w:rsidRPr="002F4D9C">
              <w:rPr>
                <w:bCs/>
                <w:color w:val="000000"/>
                <w:sz w:val="16"/>
                <w:szCs w:val="16"/>
              </w:rPr>
              <w:br/>
            </w:r>
            <w:r w:rsidRPr="002F4D9C">
              <w:rPr>
                <w:bCs/>
                <w:color w:val="000000"/>
                <w:sz w:val="16"/>
                <w:szCs w:val="16"/>
              </w:rPr>
              <w:t>medias</w:t>
            </w:r>
            <w:r w:rsidR="00876DC6" w:rsidRPr="002F4D9C">
              <w:rPr>
                <w:bCs/>
                <w:color w:val="000000"/>
                <w:sz w:val="16"/>
                <w:szCs w:val="16"/>
              </w:rPr>
              <w:t xml:space="preserve"> </w:t>
            </w:r>
            <w:r w:rsidR="00876DC6" w:rsidRPr="002F4D9C">
              <w:rPr>
                <w:bCs/>
                <w:color w:val="000000"/>
                <w:sz w:val="16"/>
                <w:szCs w:val="16"/>
              </w:rPr>
              <w:br/>
            </w:r>
            <w:r w:rsidRPr="002F4D9C">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2F4D9C" w:rsidRDefault="00467BD1" w:rsidP="00FB4F25">
            <w:pPr>
              <w:spacing w:before="40" w:after="40"/>
              <w:ind w:left="-56" w:right="-39"/>
              <w:jc w:val="center"/>
              <w:rPr>
                <w:bCs/>
                <w:sz w:val="16"/>
                <w:szCs w:val="16"/>
              </w:rPr>
            </w:pPr>
            <w:r w:rsidRPr="002F4D9C">
              <w:rPr>
                <w:bCs/>
                <w:sz w:val="16"/>
                <w:szCs w:val="16"/>
              </w:rPr>
              <w:t xml:space="preserve">Ingresos por suministro </w:t>
            </w:r>
            <w:r w:rsidR="00876DC6" w:rsidRPr="002F4D9C">
              <w:rPr>
                <w:bCs/>
                <w:sz w:val="16"/>
                <w:szCs w:val="16"/>
              </w:rPr>
              <w:br/>
            </w:r>
            <w:r w:rsidRPr="002F4D9C">
              <w:rPr>
                <w:bCs/>
                <w:sz w:val="16"/>
                <w:szCs w:val="16"/>
              </w:rPr>
              <w:t>de bienes y servicios</w:t>
            </w:r>
            <w:r w:rsidR="00F00159" w:rsidRPr="002F4D9C">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2F4D9C" w:rsidRDefault="00770BFA" w:rsidP="00FB4F25">
            <w:pPr>
              <w:spacing w:before="40" w:after="40"/>
              <w:ind w:left="-39" w:right="-35"/>
              <w:jc w:val="center"/>
              <w:rPr>
                <w:bCs/>
                <w:sz w:val="16"/>
                <w:szCs w:val="16"/>
              </w:rPr>
            </w:pPr>
            <w:r w:rsidRPr="002F4D9C">
              <w:rPr>
                <w:bCs/>
                <w:color w:val="000000"/>
                <w:sz w:val="16"/>
                <w:szCs w:val="16"/>
              </w:rPr>
              <w:t>Personal ocupado</w:t>
            </w:r>
            <w:r w:rsidRPr="002F4D9C">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2F4D9C" w:rsidRDefault="00467BD1" w:rsidP="00876DC6">
            <w:pPr>
              <w:spacing w:before="40" w:after="40"/>
              <w:jc w:val="center"/>
              <w:rPr>
                <w:bCs/>
                <w:sz w:val="16"/>
                <w:szCs w:val="16"/>
              </w:rPr>
            </w:pPr>
            <w:r w:rsidRPr="002F4D9C">
              <w:rPr>
                <w:bCs/>
                <w:color w:val="000000"/>
                <w:sz w:val="16"/>
                <w:szCs w:val="16"/>
              </w:rPr>
              <w:t>Remunera-</w:t>
            </w:r>
            <w:r w:rsidRPr="002F4D9C">
              <w:rPr>
                <w:b/>
                <w:smallCaps/>
                <w:sz w:val="22"/>
              </w:rPr>
              <w:br/>
            </w:r>
            <w:proofErr w:type="spellStart"/>
            <w:r w:rsidRPr="002F4D9C">
              <w:rPr>
                <w:bCs/>
                <w:color w:val="000000"/>
                <w:sz w:val="16"/>
                <w:szCs w:val="16"/>
              </w:rPr>
              <w:t>ciones</w:t>
            </w:r>
            <w:proofErr w:type="spellEnd"/>
            <w:r w:rsidRPr="002F4D9C">
              <w:rPr>
                <w:bCs/>
                <w:color w:val="000000"/>
                <w:sz w:val="16"/>
                <w:szCs w:val="16"/>
              </w:rPr>
              <w:t xml:space="preserve"> </w:t>
            </w:r>
            <w:r w:rsidR="00B6264B" w:rsidRPr="002F4D9C">
              <w:rPr>
                <w:bCs/>
                <w:color w:val="000000"/>
                <w:sz w:val="16"/>
                <w:szCs w:val="16"/>
              </w:rPr>
              <w:br/>
            </w:r>
            <w:r w:rsidRPr="002F4D9C">
              <w:rPr>
                <w:bCs/>
                <w:color w:val="000000"/>
                <w:sz w:val="16"/>
                <w:szCs w:val="16"/>
              </w:rPr>
              <w:t xml:space="preserve">medias </w:t>
            </w:r>
            <w:r w:rsidR="00876DC6" w:rsidRPr="002F4D9C">
              <w:rPr>
                <w:bCs/>
                <w:color w:val="000000"/>
                <w:sz w:val="16"/>
                <w:szCs w:val="16"/>
              </w:rPr>
              <w:br/>
            </w:r>
            <w:r w:rsidRPr="002F4D9C">
              <w:rPr>
                <w:bCs/>
                <w:color w:val="000000"/>
                <w:sz w:val="16"/>
                <w:szCs w:val="16"/>
              </w:rPr>
              <w:t>reales</w:t>
            </w:r>
          </w:p>
        </w:tc>
      </w:tr>
      <w:tr w:rsidR="00467BD1" w:rsidRPr="002F4D9C"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2F4D9C"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2F4D9C" w:rsidRDefault="00467BD1" w:rsidP="00FB4F25">
            <w:pPr>
              <w:spacing w:before="40" w:after="40"/>
              <w:jc w:val="center"/>
              <w:rPr>
                <w:bCs/>
                <w:sz w:val="16"/>
                <w:szCs w:val="16"/>
              </w:rPr>
            </w:pPr>
            <w:r w:rsidRPr="002F4D9C">
              <w:rPr>
                <w:bCs/>
                <w:sz w:val="16"/>
                <w:szCs w:val="16"/>
              </w:rPr>
              <w:t>Variación porcentual anual respecto a igual mes de un año antes</w:t>
            </w:r>
          </w:p>
        </w:tc>
      </w:tr>
      <w:tr w:rsidR="00A374F3" w:rsidRPr="002F4D9C" w14:paraId="6191BF9B" w14:textId="77777777" w:rsidTr="00A374F3">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A374F3" w:rsidRPr="002F4D9C" w:rsidRDefault="00A374F3" w:rsidP="00A374F3">
            <w:pPr>
              <w:ind w:left="97"/>
              <w:jc w:val="left"/>
              <w:rPr>
                <w:b/>
                <w:bCs/>
                <w:sz w:val="16"/>
                <w:szCs w:val="16"/>
              </w:rPr>
            </w:pPr>
            <w:r w:rsidRPr="002F4D9C">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4395C40F" w:rsidR="00A374F3" w:rsidRPr="007C298E" w:rsidRDefault="00A374F3" w:rsidP="009F32AF">
            <w:pPr>
              <w:tabs>
                <w:tab w:val="left" w:pos="194"/>
                <w:tab w:val="decimal" w:pos="575"/>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t>2</w:t>
            </w:r>
            <w:r w:rsidR="009F32AF">
              <w:rPr>
                <w:b/>
                <w:bCs/>
                <w:color w:val="000000"/>
                <w:sz w:val="16"/>
                <w:szCs w:val="16"/>
              </w:rPr>
              <w:t>5</w:t>
            </w:r>
            <w:r>
              <w:rPr>
                <w:b/>
                <w:bCs/>
                <w:color w:val="000000"/>
                <w:sz w:val="16"/>
                <w:szCs w:val="16"/>
              </w:rPr>
              <w:t>.</w:t>
            </w:r>
            <w:r w:rsidR="009F32AF">
              <w:rPr>
                <w:b/>
                <w:bCs/>
                <w:color w:val="000000"/>
                <w:sz w:val="16"/>
                <w:szCs w:val="16"/>
              </w:rPr>
              <w:t>9</w:t>
            </w:r>
          </w:p>
        </w:tc>
        <w:tc>
          <w:tcPr>
            <w:tcW w:w="942" w:type="dxa"/>
            <w:tcBorders>
              <w:top w:val="single" w:sz="6" w:space="0" w:color="404040"/>
              <w:left w:val="nil"/>
              <w:bottom w:val="nil"/>
              <w:right w:val="nil"/>
            </w:tcBorders>
            <w:shd w:val="clear" w:color="auto" w:fill="auto"/>
            <w:noWrap/>
            <w:vAlign w:val="center"/>
          </w:tcPr>
          <w:p w14:paraId="0BF31045" w14:textId="0B21E6BB" w:rsidR="00A374F3" w:rsidRPr="007C298E" w:rsidRDefault="00A374F3" w:rsidP="009F32AF">
            <w:pPr>
              <w:tabs>
                <w:tab w:val="left" w:pos="194"/>
                <w:tab w:val="decimal" w:pos="517"/>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r>
            <w:r w:rsidR="009F32AF">
              <w:rPr>
                <w:b/>
                <w:bCs/>
                <w:color w:val="000000"/>
                <w:sz w:val="16"/>
                <w:szCs w:val="16"/>
              </w:rPr>
              <w:t>4.7</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37D1AE4B" w:rsidR="00A374F3" w:rsidRPr="007C298E" w:rsidRDefault="009F32AF" w:rsidP="009F32AF">
            <w:pPr>
              <w:tabs>
                <w:tab w:val="left" w:pos="194"/>
                <w:tab w:val="decimal" w:pos="517"/>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t>5.6</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62B16B05" w:rsidR="00A374F3" w:rsidRPr="00A374F3" w:rsidRDefault="00A374F3" w:rsidP="00A374F3">
            <w:pPr>
              <w:tabs>
                <w:tab w:val="left" w:pos="194"/>
                <w:tab w:val="decimal" w:pos="588"/>
              </w:tabs>
              <w:jc w:val="left"/>
              <w:rPr>
                <w:b/>
                <w:bCs/>
                <w:color w:val="000000"/>
                <w:sz w:val="16"/>
                <w:szCs w:val="16"/>
              </w:rPr>
            </w:pPr>
            <w:r>
              <w:rPr>
                <w:b/>
                <w:bCs/>
                <w:color w:val="000000"/>
                <w:sz w:val="16"/>
                <w:szCs w:val="16"/>
              </w:rPr>
              <w:tab/>
              <w:t>(-)</w:t>
            </w:r>
            <w:r>
              <w:rPr>
                <w:b/>
                <w:bCs/>
                <w:color w:val="000000"/>
                <w:sz w:val="16"/>
                <w:szCs w:val="16"/>
              </w:rPr>
              <w:tab/>
              <w:t>23.</w:t>
            </w:r>
            <w:r w:rsidR="009F32AF">
              <w:rPr>
                <w:b/>
                <w:bCs/>
                <w:color w:val="000000"/>
                <w:sz w:val="16"/>
                <w:szCs w:val="16"/>
              </w:rPr>
              <w:t>7</w:t>
            </w:r>
          </w:p>
        </w:tc>
        <w:tc>
          <w:tcPr>
            <w:tcW w:w="934" w:type="dxa"/>
            <w:tcBorders>
              <w:top w:val="single" w:sz="6" w:space="0" w:color="404040"/>
              <w:left w:val="nil"/>
              <w:bottom w:val="nil"/>
              <w:right w:val="nil"/>
            </w:tcBorders>
            <w:shd w:val="clear" w:color="auto" w:fill="auto"/>
            <w:noWrap/>
            <w:vAlign w:val="center"/>
          </w:tcPr>
          <w:p w14:paraId="2DF5B9B3" w14:textId="7F3BBF4C" w:rsidR="00A374F3" w:rsidRPr="00A374F3" w:rsidRDefault="009F32AF" w:rsidP="005E37BC">
            <w:pPr>
              <w:tabs>
                <w:tab w:val="left" w:pos="194"/>
                <w:tab w:val="decimal" w:pos="588"/>
              </w:tabs>
              <w:jc w:val="left"/>
              <w:rPr>
                <w:b/>
                <w:bCs/>
                <w:color w:val="000000"/>
                <w:sz w:val="16"/>
                <w:szCs w:val="16"/>
              </w:rPr>
            </w:pPr>
            <w:r>
              <w:rPr>
                <w:b/>
                <w:bCs/>
                <w:color w:val="000000"/>
                <w:sz w:val="16"/>
                <w:szCs w:val="16"/>
              </w:rPr>
              <w:tab/>
              <w:t>(-)</w:t>
            </w:r>
            <w:r>
              <w:rPr>
                <w:b/>
                <w:bCs/>
                <w:color w:val="000000"/>
                <w:sz w:val="16"/>
                <w:szCs w:val="16"/>
              </w:rPr>
              <w:tab/>
              <w:t>8.4</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440F2851" w:rsidR="00A374F3" w:rsidRPr="00A374F3" w:rsidRDefault="009F32AF" w:rsidP="009F32AF">
            <w:pPr>
              <w:tabs>
                <w:tab w:val="left" w:pos="194"/>
                <w:tab w:val="decimal" w:pos="588"/>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t>0.7</w:t>
            </w:r>
          </w:p>
        </w:tc>
      </w:tr>
      <w:tr w:rsidR="009F32AF" w:rsidRPr="002F4D9C" w14:paraId="22FE8CEA"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9F32AF" w:rsidRPr="002F4D9C" w:rsidRDefault="009F32AF" w:rsidP="009F32AF">
            <w:pPr>
              <w:ind w:left="96"/>
              <w:jc w:val="left"/>
              <w:rPr>
                <w:bCs/>
                <w:sz w:val="16"/>
                <w:szCs w:val="16"/>
              </w:rPr>
            </w:pPr>
            <w:r w:rsidRPr="002F4D9C">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39ED34D0"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17.6</w:t>
            </w:r>
          </w:p>
        </w:tc>
        <w:tc>
          <w:tcPr>
            <w:tcW w:w="942" w:type="dxa"/>
            <w:tcBorders>
              <w:top w:val="nil"/>
              <w:left w:val="nil"/>
              <w:bottom w:val="nil"/>
              <w:right w:val="nil"/>
            </w:tcBorders>
            <w:shd w:val="clear" w:color="auto" w:fill="auto"/>
            <w:noWrap/>
            <w:vAlign w:val="center"/>
          </w:tcPr>
          <w:p w14:paraId="65AE1AE2" w14:textId="1B1413EB" w:rsidR="009F32AF" w:rsidRPr="009F32AF" w:rsidRDefault="009F32AF" w:rsidP="009F32AF">
            <w:pPr>
              <w:tabs>
                <w:tab w:val="decimal" w:pos="517"/>
              </w:tabs>
              <w:jc w:val="left"/>
              <w:rPr>
                <w:bCs/>
                <w:color w:val="000000"/>
                <w:sz w:val="16"/>
                <w:szCs w:val="16"/>
              </w:rPr>
            </w:pPr>
            <w:r w:rsidRPr="009F32AF">
              <w:rPr>
                <w:bCs/>
                <w:color w:val="000000"/>
                <w:sz w:val="16"/>
                <w:szCs w:val="16"/>
              </w:rPr>
              <w:t>0.4</w:t>
            </w:r>
          </w:p>
        </w:tc>
        <w:tc>
          <w:tcPr>
            <w:tcW w:w="1042" w:type="dxa"/>
            <w:tcBorders>
              <w:top w:val="nil"/>
              <w:left w:val="nil"/>
              <w:bottom w:val="nil"/>
              <w:right w:val="single" w:sz="6" w:space="0" w:color="404040"/>
            </w:tcBorders>
            <w:shd w:val="clear" w:color="auto" w:fill="auto"/>
            <w:noWrap/>
            <w:vAlign w:val="center"/>
          </w:tcPr>
          <w:p w14:paraId="634A436A" w14:textId="6AC3073E"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13.7</w:t>
            </w:r>
          </w:p>
        </w:tc>
        <w:tc>
          <w:tcPr>
            <w:tcW w:w="991" w:type="dxa"/>
            <w:tcBorders>
              <w:top w:val="nil"/>
              <w:left w:val="single" w:sz="6" w:space="0" w:color="404040"/>
              <w:bottom w:val="nil"/>
              <w:right w:val="nil"/>
            </w:tcBorders>
            <w:shd w:val="clear" w:color="auto" w:fill="auto"/>
            <w:noWrap/>
            <w:vAlign w:val="center"/>
          </w:tcPr>
          <w:p w14:paraId="33092841" w14:textId="0D8FB7FB" w:rsidR="009F32AF" w:rsidRPr="007C298E"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16.7</w:t>
            </w:r>
          </w:p>
        </w:tc>
        <w:tc>
          <w:tcPr>
            <w:tcW w:w="934" w:type="dxa"/>
            <w:tcBorders>
              <w:top w:val="nil"/>
              <w:left w:val="nil"/>
              <w:bottom w:val="nil"/>
              <w:right w:val="nil"/>
            </w:tcBorders>
            <w:shd w:val="clear" w:color="auto" w:fill="auto"/>
            <w:noWrap/>
            <w:vAlign w:val="center"/>
          </w:tcPr>
          <w:p w14:paraId="015A0AED" w14:textId="40863E4E" w:rsidR="009F32AF" w:rsidRPr="007C298E"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6.1</w:t>
            </w:r>
          </w:p>
        </w:tc>
        <w:tc>
          <w:tcPr>
            <w:tcW w:w="1050" w:type="dxa"/>
            <w:tcBorders>
              <w:top w:val="nil"/>
              <w:left w:val="nil"/>
              <w:bottom w:val="nil"/>
              <w:right w:val="single" w:sz="8" w:space="0" w:color="404040"/>
            </w:tcBorders>
            <w:shd w:val="clear" w:color="auto" w:fill="auto"/>
            <w:noWrap/>
            <w:vAlign w:val="center"/>
          </w:tcPr>
          <w:p w14:paraId="7661DA3F" w14:textId="1C78B91C" w:rsidR="009F32AF" w:rsidRPr="005E37BC"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3.1</w:t>
            </w:r>
          </w:p>
        </w:tc>
      </w:tr>
      <w:tr w:rsidR="009F32AF" w:rsidRPr="002F4D9C" w14:paraId="137E942F"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9F32AF" w:rsidRPr="002F4D9C" w:rsidRDefault="009F32AF" w:rsidP="009F32AF">
            <w:pPr>
              <w:spacing w:before="20" w:after="20"/>
              <w:ind w:left="97"/>
              <w:jc w:val="left"/>
              <w:rPr>
                <w:bCs/>
                <w:sz w:val="16"/>
                <w:szCs w:val="16"/>
              </w:rPr>
            </w:pPr>
            <w:r w:rsidRPr="002F4D9C">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4738ECE2"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15.6</w:t>
            </w:r>
          </w:p>
        </w:tc>
        <w:tc>
          <w:tcPr>
            <w:tcW w:w="942" w:type="dxa"/>
            <w:tcBorders>
              <w:top w:val="nil"/>
              <w:left w:val="nil"/>
              <w:bottom w:val="nil"/>
              <w:right w:val="nil"/>
            </w:tcBorders>
            <w:shd w:val="clear" w:color="auto" w:fill="auto"/>
            <w:noWrap/>
            <w:vAlign w:val="center"/>
          </w:tcPr>
          <w:p w14:paraId="68EAC415" w14:textId="2526C26D" w:rsidR="009F32AF" w:rsidRPr="009F32AF" w:rsidRDefault="009F32AF" w:rsidP="009F32AF">
            <w:pPr>
              <w:tabs>
                <w:tab w:val="decimal" w:pos="517"/>
              </w:tabs>
              <w:jc w:val="left"/>
              <w:rPr>
                <w:bCs/>
                <w:color w:val="000000"/>
                <w:sz w:val="16"/>
                <w:szCs w:val="16"/>
              </w:rPr>
            </w:pPr>
            <w:r w:rsidRPr="009F32AF">
              <w:rPr>
                <w:bCs/>
                <w:color w:val="000000"/>
                <w:sz w:val="16"/>
                <w:szCs w:val="16"/>
              </w:rPr>
              <w:t>0.5</w:t>
            </w:r>
          </w:p>
        </w:tc>
        <w:tc>
          <w:tcPr>
            <w:tcW w:w="1042" w:type="dxa"/>
            <w:tcBorders>
              <w:top w:val="nil"/>
              <w:left w:val="nil"/>
              <w:bottom w:val="nil"/>
              <w:right w:val="single" w:sz="6" w:space="0" w:color="404040"/>
            </w:tcBorders>
            <w:shd w:val="clear" w:color="auto" w:fill="auto"/>
            <w:noWrap/>
            <w:vAlign w:val="center"/>
          </w:tcPr>
          <w:p w14:paraId="11713FC2" w14:textId="70ED2E76"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7.3</w:t>
            </w:r>
          </w:p>
        </w:tc>
        <w:tc>
          <w:tcPr>
            <w:tcW w:w="991" w:type="dxa"/>
            <w:tcBorders>
              <w:top w:val="nil"/>
              <w:left w:val="single" w:sz="6" w:space="0" w:color="404040"/>
              <w:bottom w:val="nil"/>
              <w:right w:val="nil"/>
            </w:tcBorders>
            <w:shd w:val="clear" w:color="auto" w:fill="auto"/>
            <w:noWrap/>
            <w:vAlign w:val="center"/>
          </w:tcPr>
          <w:p w14:paraId="40A7BF0E" w14:textId="7967ED24"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10.0</w:t>
            </w:r>
          </w:p>
        </w:tc>
        <w:tc>
          <w:tcPr>
            <w:tcW w:w="934" w:type="dxa"/>
            <w:tcBorders>
              <w:top w:val="nil"/>
              <w:left w:val="nil"/>
              <w:bottom w:val="nil"/>
              <w:right w:val="nil"/>
            </w:tcBorders>
            <w:shd w:val="clear" w:color="auto" w:fill="auto"/>
            <w:noWrap/>
            <w:vAlign w:val="center"/>
          </w:tcPr>
          <w:p w14:paraId="7E596428" w14:textId="082046E5"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2.9</w:t>
            </w:r>
          </w:p>
        </w:tc>
        <w:tc>
          <w:tcPr>
            <w:tcW w:w="1050" w:type="dxa"/>
            <w:tcBorders>
              <w:top w:val="nil"/>
              <w:left w:val="nil"/>
              <w:bottom w:val="nil"/>
              <w:right w:val="single" w:sz="8" w:space="0" w:color="404040"/>
            </w:tcBorders>
            <w:shd w:val="clear" w:color="auto" w:fill="auto"/>
            <w:noWrap/>
            <w:vAlign w:val="center"/>
          </w:tcPr>
          <w:p w14:paraId="46645E33" w14:textId="6439C2E7" w:rsidR="009F32AF" w:rsidRPr="005E37BC"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3.6</w:t>
            </w:r>
          </w:p>
        </w:tc>
      </w:tr>
      <w:tr w:rsidR="009F32AF" w:rsidRPr="002F4D9C" w14:paraId="3A583C28"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9F32AF" w:rsidRPr="002F4D9C" w:rsidRDefault="009F32AF" w:rsidP="009F32AF">
            <w:pPr>
              <w:spacing w:before="20" w:after="20"/>
              <w:ind w:left="97"/>
              <w:jc w:val="left"/>
              <w:rPr>
                <w:bCs/>
                <w:sz w:val="16"/>
                <w:szCs w:val="16"/>
              </w:rPr>
            </w:pPr>
            <w:r w:rsidRPr="002F4D9C">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17C3534B"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44.9</w:t>
            </w:r>
          </w:p>
        </w:tc>
        <w:tc>
          <w:tcPr>
            <w:tcW w:w="942" w:type="dxa"/>
            <w:tcBorders>
              <w:top w:val="nil"/>
              <w:left w:val="nil"/>
              <w:bottom w:val="nil"/>
              <w:right w:val="nil"/>
            </w:tcBorders>
            <w:shd w:val="clear" w:color="auto" w:fill="auto"/>
            <w:noWrap/>
            <w:vAlign w:val="center"/>
          </w:tcPr>
          <w:p w14:paraId="412635B7" w14:textId="4AA4FFCD"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6.6</w:t>
            </w:r>
          </w:p>
        </w:tc>
        <w:tc>
          <w:tcPr>
            <w:tcW w:w="1042" w:type="dxa"/>
            <w:tcBorders>
              <w:top w:val="nil"/>
              <w:left w:val="nil"/>
              <w:bottom w:val="nil"/>
              <w:right w:val="single" w:sz="6" w:space="0" w:color="404040"/>
            </w:tcBorders>
            <w:shd w:val="clear" w:color="auto" w:fill="auto"/>
            <w:noWrap/>
            <w:vAlign w:val="center"/>
          </w:tcPr>
          <w:p w14:paraId="71E7799B" w14:textId="1E0EF3BF"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6.9</w:t>
            </w:r>
          </w:p>
        </w:tc>
        <w:tc>
          <w:tcPr>
            <w:tcW w:w="991" w:type="dxa"/>
            <w:tcBorders>
              <w:top w:val="nil"/>
              <w:left w:val="single" w:sz="6" w:space="0" w:color="404040"/>
              <w:bottom w:val="nil"/>
              <w:right w:val="nil"/>
            </w:tcBorders>
            <w:shd w:val="clear" w:color="auto" w:fill="auto"/>
            <w:noWrap/>
            <w:vAlign w:val="center"/>
          </w:tcPr>
          <w:p w14:paraId="58311E20" w14:textId="1FCCD5CA"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29.1</w:t>
            </w:r>
          </w:p>
        </w:tc>
        <w:tc>
          <w:tcPr>
            <w:tcW w:w="934" w:type="dxa"/>
            <w:tcBorders>
              <w:top w:val="nil"/>
              <w:left w:val="nil"/>
              <w:bottom w:val="nil"/>
              <w:right w:val="nil"/>
            </w:tcBorders>
            <w:shd w:val="clear" w:color="auto" w:fill="auto"/>
            <w:noWrap/>
            <w:vAlign w:val="center"/>
          </w:tcPr>
          <w:p w14:paraId="6F5DA456" w14:textId="7A995175"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6.8</w:t>
            </w:r>
          </w:p>
        </w:tc>
        <w:tc>
          <w:tcPr>
            <w:tcW w:w="1050" w:type="dxa"/>
            <w:tcBorders>
              <w:top w:val="nil"/>
              <w:left w:val="nil"/>
              <w:bottom w:val="nil"/>
              <w:right w:val="single" w:sz="8" w:space="0" w:color="404040"/>
            </w:tcBorders>
            <w:shd w:val="clear" w:color="auto" w:fill="auto"/>
            <w:noWrap/>
            <w:vAlign w:val="center"/>
          </w:tcPr>
          <w:p w14:paraId="76767AF7" w14:textId="5CBA33D0" w:rsidR="009F32AF" w:rsidRPr="005E37BC"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0.9</w:t>
            </w:r>
          </w:p>
        </w:tc>
      </w:tr>
      <w:tr w:rsidR="009F32AF" w:rsidRPr="002F4D9C" w14:paraId="0E0D3193"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9F32AF" w:rsidRPr="002F4D9C" w:rsidRDefault="009F32AF" w:rsidP="009F32AF">
            <w:pPr>
              <w:spacing w:before="20" w:after="20"/>
              <w:ind w:left="97"/>
              <w:jc w:val="left"/>
              <w:rPr>
                <w:bCs/>
                <w:sz w:val="16"/>
                <w:szCs w:val="16"/>
              </w:rPr>
            </w:pPr>
            <w:r w:rsidRPr="002F4D9C">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34B829BC" w:rsidR="009F32AF" w:rsidRPr="009F32AF" w:rsidRDefault="009F32AF" w:rsidP="009F32AF">
            <w:pPr>
              <w:tabs>
                <w:tab w:val="decimal" w:pos="575"/>
              </w:tabs>
              <w:jc w:val="left"/>
              <w:rPr>
                <w:bCs/>
                <w:color w:val="000000"/>
                <w:sz w:val="16"/>
                <w:szCs w:val="16"/>
              </w:rPr>
            </w:pPr>
            <w:r w:rsidRPr="009F32AF">
              <w:rPr>
                <w:bCs/>
                <w:color w:val="000000"/>
                <w:sz w:val="16"/>
                <w:szCs w:val="16"/>
              </w:rPr>
              <w:t>8.9</w:t>
            </w:r>
          </w:p>
        </w:tc>
        <w:tc>
          <w:tcPr>
            <w:tcW w:w="942" w:type="dxa"/>
            <w:tcBorders>
              <w:top w:val="nil"/>
              <w:left w:val="nil"/>
              <w:bottom w:val="nil"/>
              <w:right w:val="nil"/>
            </w:tcBorders>
            <w:shd w:val="clear" w:color="auto" w:fill="auto"/>
            <w:noWrap/>
            <w:vAlign w:val="center"/>
          </w:tcPr>
          <w:p w14:paraId="04C14569" w14:textId="0D550FE1"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17.7</w:t>
            </w:r>
          </w:p>
        </w:tc>
        <w:tc>
          <w:tcPr>
            <w:tcW w:w="1042" w:type="dxa"/>
            <w:tcBorders>
              <w:top w:val="nil"/>
              <w:left w:val="nil"/>
              <w:bottom w:val="nil"/>
              <w:right w:val="single" w:sz="6" w:space="0" w:color="404040"/>
            </w:tcBorders>
            <w:shd w:val="clear" w:color="auto" w:fill="auto"/>
            <w:noWrap/>
            <w:vAlign w:val="center"/>
          </w:tcPr>
          <w:p w14:paraId="0590892A" w14:textId="18887EBC" w:rsidR="009F32AF" w:rsidRPr="007C298E" w:rsidRDefault="009F32AF" w:rsidP="009F32AF">
            <w:pPr>
              <w:tabs>
                <w:tab w:val="decimal" w:pos="517"/>
              </w:tabs>
              <w:jc w:val="left"/>
              <w:rPr>
                <w:color w:val="000000"/>
                <w:sz w:val="16"/>
                <w:szCs w:val="16"/>
              </w:rPr>
            </w:pPr>
            <w:r>
              <w:rPr>
                <w:color w:val="000000"/>
                <w:sz w:val="16"/>
                <w:szCs w:val="16"/>
              </w:rPr>
              <w:t>0.9</w:t>
            </w:r>
          </w:p>
        </w:tc>
        <w:tc>
          <w:tcPr>
            <w:tcW w:w="991" w:type="dxa"/>
            <w:tcBorders>
              <w:top w:val="nil"/>
              <w:left w:val="single" w:sz="6" w:space="0" w:color="404040"/>
              <w:bottom w:val="nil"/>
              <w:right w:val="nil"/>
            </w:tcBorders>
            <w:shd w:val="clear" w:color="auto" w:fill="auto"/>
            <w:noWrap/>
            <w:vAlign w:val="center"/>
          </w:tcPr>
          <w:p w14:paraId="14EAD6B2" w14:textId="5574BFCE"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15.9</w:t>
            </w:r>
          </w:p>
        </w:tc>
        <w:tc>
          <w:tcPr>
            <w:tcW w:w="934" w:type="dxa"/>
            <w:tcBorders>
              <w:top w:val="nil"/>
              <w:left w:val="nil"/>
              <w:bottom w:val="nil"/>
              <w:right w:val="nil"/>
            </w:tcBorders>
            <w:shd w:val="clear" w:color="auto" w:fill="auto"/>
            <w:noWrap/>
            <w:vAlign w:val="center"/>
          </w:tcPr>
          <w:p w14:paraId="103B1441" w14:textId="436FBD39"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2.6</w:t>
            </w:r>
          </w:p>
        </w:tc>
        <w:tc>
          <w:tcPr>
            <w:tcW w:w="1050" w:type="dxa"/>
            <w:tcBorders>
              <w:top w:val="nil"/>
              <w:left w:val="nil"/>
              <w:bottom w:val="nil"/>
              <w:right w:val="single" w:sz="8" w:space="0" w:color="404040"/>
            </w:tcBorders>
            <w:shd w:val="clear" w:color="auto" w:fill="auto"/>
            <w:noWrap/>
            <w:vAlign w:val="center"/>
          </w:tcPr>
          <w:p w14:paraId="4584ADD2" w14:textId="159E6788" w:rsidR="009F32AF" w:rsidRPr="007C298E"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4.0</w:t>
            </w:r>
          </w:p>
        </w:tc>
      </w:tr>
      <w:tr w:rsidR="009F32AF" w:rsidRPr="002F4D9C" w14:paraId="1AA69D88"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9F32AF" w:rsidRPr="002F4D9C" w:rsidRDefault="009F32AF" w:rsidP="009F32AF">
            <w:pPr>
              <w:spacing w:before="20" w:after="20"/>
              <w:ind w:left="97"/>
              <w:jc w:val="left"/>
              <w:rPr>
                <w:bCs/>
                <w:sz w:val="16"/>
                <w:szCs w:val="16"/>
              </w:rPr>
            </w:pPr>
            <w:r w:rsidRPr="002F4D9C">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566FF5F7"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28.5</w:t>
            </w:r>
          </w:p>
        </w:tc>
        <w:tc>
          <w:tcPr>
            <w:tcW w:w="942" w:type="dxa"/>
            <w:tcBorders>
              <w:top w:val="nil"/>
              <w:left w:val="nil"/>
              <w:bottom w:val="nil"/>
              <w:right w:val="nil"/>
            </w:tcBorders>
            <w:shd w:val="clear" w:color="auto" w:fill="auto"/>
            <w:noWrap/>
            <w:vAlign w:val="center"/>
          </w:tcPr>
          <w:p w14:paraId="19F6CCAF" w14:textId="37B04C5A"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4.5</w:t>
            </w:r>
          </w:p>
        </w:tc>
        <w:tc>
          <w:tcPr>
            <w:tcW w:w="1042" w:type="dxa"/>
            <w:tcBorders>
              <w:top w:val="nil"/>
              <w:left w:val="nil"/>
              <w:bottom w:val="nil"/>
              <w:right w:val="single" w:sz="6" w:space="0" w:color="404040"/>
            </w:tcBorders>
            <w:shd w:val="clear" w:color="auto" w:fill="auto"/>
            <w:noWrap/>
            <w:vAlign w:val="center"/>
          </w:tcPr>
          <w:p w14:paraId="2C172586" w14:textId="72D019FF"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4.9</w:t>
            </w:r>
          </w:p>
        </w:tc>
        <w:tc>
          <w:tcPr>
            <w:tcW w:w="991" w:type="dxa"/>
            <w:tcBorders>
              <w:top w:val="nil"/>
              <w:left w:val="single" w:sz="6" w:space="0" w:color="404040"/>
              <w:bottom w:val="nil"/>
              <w:right w:val="nil"/>
            </w:tcBorders>
            <w:shd w:val="clear" w:color="auto" w:fill="auto"/>
            <w:noWrap/>
            <w:vAlign w:val="center"/>
          </w:tcPr>
          <w:p w14:paraId="0F075841" w14:textId="23F68E61"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19.6</w:t>
            </w:r>
          </w:p>
        </w:tc>
        <w:tc>
          <w:tcPr>
            <w:tcW w:w="934" w:type="dxa"/>
            <w:tcBorders>
              <w:top w:val="nil"/>
              <w:left w:val="nil"/>
              <w:bottom w:val="nil"/>
              <w:right w:val="nil"/>
            </w:tcBorders>
            <w:shd w:val="clear" w:color="auto" w:fill="auto"/>
            <w:noWrap/>
            <w:vAlign w:val="center"/>
          </w:tcPr>
          <w:p w14:paraId="27D16F89" w14:textId="364EF1E9"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3.3</w:t>
            </w:r>
          </w:p>
        </w:tc>
        <w:tc>
          <w:tcPr>
            <w:tcW w:w="1050" w:type="dxa"/>
            <w:tcBorders>
              <w:top w:val="nil"/>
              <w:left w:val="nil"/>
              <w:bottom w:val="nil"/>
              <w:right w:val="single" w:sz="8" w:space="0" w:color="404040"/>
            </w:tcBorders>
            <w:shd w:val="clear" w:color="auto" w:fill="auto"/>
            <w:noWrap/>
            <w:vAlign w:val="center"/>
          </w:tcPr>
          <w:p w14:paraId="28B09DE8" w14:textId="4A13B660" w:rsidR="009F32AF" w:rsidRPr="007C298E" w:rsidRDefault="009F32AF" w:rsidP="009F32AF">
            <w:pPr>
              <w:tabs>
                <w:tab w:val="decimal" w:pos="588"/>
              </w:tabs>
              <w:jc w:val="left"/>
              <w:rPr>
                <w:bCs/>
                <w:color w:val="000000"/>
                <w:sz w:val="16"/>
                <w:szCs w:val="16"/>
              </w:rPr>
            </w:pPr>
            <w:r>
              <w:rPr>
                <w:color w:val="000000"/>
                <w:sz w:val="16"/>
                <w:szCs w:val="16"/>
              </w:rPr>
              <w:t>0.5</w:t>
            </w:r>
          </w:p>
        </w:tc>
      </w:tr>
      <w:tr w:rsidR="009F32AF" w:rsidRPr="002F4D9C" w14:paraId="56BCF494"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9F32AF" w:rsidRPr="002F4D9C" w:rsidRDefault="009F32AF" w:rsidP="009F32AF">
            <w:pPr>
              <w:spacing w:before="20" w:after="20"/>
              <w:ind w:left="97"/>
              <w:jc w:val="left"/>
              <w:rPr>
                <w:bCs/>
                <w:sz w:val="16"/>
                <w:szCs w:val="16"/>
              </w:rPr>
            </w:pPr>
            <w:r w:rsidRPr="002F4D9C">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067BEA9F"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5.9</w:t>
            </w:r>
          </w:p>
        </w:tc>
        <w:tc>
          <w:tcPr>
            <w:tcW w:w="942" w:type="dxa"/>
            <w:tcBorders>
              <w:top w:val="nil"/>
              <w:left w:val="nil"/>
              <w:bottom w:val="nil"/>
              <w:right w:val="nil"/>
            </w:tcBorders>
            <w:shd w:val="clear" w:color="auto" w:fill="auto"/>
            <w:noWrap/>
            <w:vAlign w:val="center"/>
          </w:tcPr>
          <w:p w14:paraId="1A639D41" w14:textId="0BE4E12C"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0.3</w:t>
            </w:r>
          </w:p>
        </w:tc>
        <w:tc>
          <w:tcPr>
            <w:tcW w:w="1042" w:type="dxa"/>
            <w:tcBorders>
              <w:top w:val="nil"/>
              <w:left w:val="nil"/>
              <w:bottom w:val="nil"/>
              <w:right w:val="single" w:sz="6" w:space="0" w:color="404040"/>
            </w:tcBorders>
            <w:shd w:val="clear" w:color="auto" w:fill="auto"/>
            <w:noWrap/>
            <w:vAlign w:val="center"/>
          </w:tcPr>
          <w:p w14:paraId="7A9488C6" w14:textId="7F8737DA"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12.5</w:t>
            </w:r>
          </w:p>
        </w:tc>
        <w:tc>
          <w:tcPr>
            <w:tcW w:w="991" w:type="dxa"/>
            <w:tcBorders>
              <w:top w:val="nil"/>
              <w:left w:val="single" w:sz="6" w:space="0" w:color="404040"/>
              <w:bottom w:val="nil"/>
              <w:right w:val="nil"/>
            </w:tcBorders>
            <w:shd w:val="clear" w:color="auto" w:fill="auto"/>
            <w:noWrap/>
            <w:vAlign w:val="center"/>
          </w:tcPr>
          <w:p w14:paraId="2F4FFCAE" w14:textId="4AAB340D"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20.3</w:t>
            </w:r>
          </w:p>
        </w:tc>
        <w:tc>
          <w:tcPr>
            <w:tcW w:w="934" w:type="dxa"/>
            <w:tcBorders>
              <w:top w:val="nil"/>
              <w:left w:val="nil"/>
              <w:bottom w:val="nil"/>
              <w:right w:val="nil"/>
            </w:tcBorders>
            <w:shd w:val="clear" w:color="auto" w:fill="auto"/>
            <w:noWrap/>
            <w:vAlign w:val="center"/>
          </w:tcPr>
          <w:p w14:paraId="2A9D76A7" w14:textId="72B46054"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6.8</w:t>
            </w:r>
          </w:p>
        </w:tc>
        <w:tc>
          <w:tcPr>
            <w:tcW w:w="1050" w:type="dxa"/>
            <w:tcBorders>
              <w:top w:val="nil"/>
              <w:left w:val="nil"/>
              <w:bottom w:val="nil"/>
              <w:right w:val="single" w:sz="8" w:space="0" w:color="404040"/>
            </w:tcBorders>
            <w:shd w:val="clear" w:color="auto" w:fill="auto"/>
            <w:noWrap/>
            <w:vAlign w:val="center"/>
          </w:tcPr>
          <w:p w14:paraId="75DDBD88" w14:textId="17D01E45" w:rsidR="009F32AF" w:rsidRPr="007C298E"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0.9</w:t>
            </w:r>
          </w:p>
        </w:tc>
      </w:tr>
      <w:tr w:rsidR="009F32AF" w:rsidRPr="002F4D9C" w14:paraId="67167560" w14:textId="77777777" w:rsidTr="009F32AF">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9F32AF" w:rsidRPr="002F4D9C" w:rsidRDefault="009F32AF" w:rsidP="009F32AF">
            <w:pPr>
              <w:spacing w:before="20" w:after="20"/>
              <w:ind w:left="97"/>
              <w:jc w:val="left"/>
              <w:rPr>
                <w:bCs/>
                <w:sz w:val="16"/>
                <w:szCs w:val="16"/>
              </w:rPr>
            </w:pPr>
            <w:r w:rsidRPr="002F4D9C">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409B0036"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5.9</w:t>
            </w:r>
          </w:p>
        </w:tc>
        <w:tc>
          <w:tcPr>
            <w:tcW w:w="942" w:type="dxa"/>
            <w:tcBorders>
              <w:top w:val="nil"/>
              <w:left w:val="nil"/>
              <w:bottom w:val="nil"/>
              <w:right w:val="nil"/>
            </w:tcBorders>
            <w:shd w:val="clear" w:color="auto" w:fill="auto"/>
            <w:noWrap/>
            <w:vAlign w:val="center"/>
          </w:tcPr>
          <w:p w14:paraId="6B5E9EEC" w14:textId="3716086D"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9.4</w:t>
            </w:r>
          </w:p>
        </w:tc>
        <w:tc>
          <w:tcPr>
            <w:tcW w:w="1042" w:type="dxa"/>
            <w:tcBorders>
              <w:top w:val="nil"/>
              <w:left w:val="nil"/>
              <w:bottom w:val="nil"/>
              <w:right w:val="single" w:sz="6" w:space="0" w:color="404040"/>
            </w:tcBorders>
            <w:shd w:val="clear" w:color="auto" w:fill="auto"/>
            <w:noWrap/>
            <w:vAlign w:val="center"/>
          </w:tcPr>
          <w:p w14:paraId="2803B5C7" w14:textId="35D8E84F" w:rsidR="009F32AF" w:rsidRPr="007C298E" w:rsidRDefault="009F32AF" w:rsidP="009F32AF">
            <w:pPr>
              <w:tabs>
                <w:tab w:val="decimal" w:pos="517"/>
              </w:tabs>
              <w:jc w:val="left"/>
              <w:rPr>
                <w:color w:val="000000"/>
                <w:sz w:val="16"/>
                <w:szCs w:val="16"/>
              </w:rPr>
            </w:pPr>
            <w:r>
              <w:rPr>
                <w:color w:val="000000"/>
                <w:sz w:val="16"/>
                <w:szCs w:val="16"/>
              </w:rPr>
              <w:t>3.8</w:t>
            </w:r>
          </w:p>
        </w:tc>
        <w:tc>
          <w:tcPr>
            <w:tcW w:w="991" w:type="dxa"/>
            <w:tcBorders>
              <w:top w:val="nil"/>
              <w:left w:val="single" w:sz="6" w:space="0" w:color="404040"/>
              <w:bottom w:val="nil"/>
              <w:right w:val="nil"/>
            </w:tcBorders>
            <w:shd w:val="clear" w:color="auto" w:fill="auto"/>
            <w:noWrap/>
            <w:vAlign w:val="center"/>
          </w:tcPr>
          <w:p w14:paraId="31615874" w14:textId="1972ABB2"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11.1</w:t>
            </w:r>
          </w:p>
        </w:tc>
        <w:tc>
          <w:tcPr>
            <w:tcW w:w="934" w:type="dxa"/>
            <w:tcBorders>
              <w:top w:val="nil"/>
              <w:left w:val="nil"/>
              <w:bottom w:val="nil"/>
              <w:right w:val="nil"/>
            </w:tcBorders>
            <w:shd w:val="clear" w:color="auto" w:fill="auto"/>
            <w:noWrap/>
            <w:vAlign w:val="center"/>
          </w:tcPr>
          <w:p w14:paraId="7E8B26B7" w14:textId="0A8DE6BE"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4.7</w:t>
            </w:r>
          </w:p>
        </w:tc>
        <w:tc>
          <w:tcPr>
            <w:tcW w:w="1050" w:type="dxa"/>
            <w:tcBorders>
              <w:top w:val="nil"/>
              <w:left w:val="nil"/>
              <w:bottom w:val="nil"/>
              <w:right w:val="single" w:sz="8" w:space="0" w:color="404040"/>
            </w:tcBorders>
            <w:shd w:val="clear" w:color="auto" w:fill="auto"/>
            <w:noWrap/>
            <w:vAlign w:val="center"/>
          </w:tcPr>
          <w:p w14:paraId="3B592CBF" w14:textId="3CF6E51C" w:rsidR="009F32AF" w:rsidRPr="007C298E"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0.1</w:t>
            </w:r>
          </w:p>
        </w:tc>
      </w:tr>
      <w:tr w:rsidR="009F32AF" w:rsidRPr="002F4D9C" w14:paraId="2DF7397F"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9F32AF" w:rsidRPr="002F4D9C" w:rsidRDefault="009F32AF" w:rsidP="009F32AF">
            <w:pPr>
              <w:spacing w:before="20" w:after="20"/>
              <w:ind w:left="97"/>
              <w:jc w:val="left"/>
              <w:rPr>
                <w:bCs/>
                <w:sz w:val="16"/>
                <w:szCs w:val="16"/>
              </w:rPr>
            </w:pPr>
            <w:r w:rsidRPr="002F4D9C">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41D5642D"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21.2</w:t>
            </w:r>
          </w:p>
        </w:tc>
        <w:tc>
          <w:tcPr>
            <w:tcW w:w="942" w:type="dxa"/>
            <w:tcBorders>
              <w:top w:val="nil"/>
              <w:left w:val="nil"/>
              <w:bottom w:val="nil"/>
              <w:right w:val="nil"/>
            </w:tcBorders>
            <w:shd w:val="clear" w:color="auto" w:fill="auto"/>
            <w:noWrap/>
            <w:vAlign w:val="center"/>
          </w:tcPr>
          <w:p w14:paraId="42997623" w14:textId="3069C763"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4.0</w:t>
            </w:r>
          </w:p>
        </w:tc>
        <w:tc>
          <w:tcPr>
            <w:tcW w:w="1042" w:type="dxa"/>
            <w:tcBorders>
              <w:top w:val="nil"/>
              <w:left w:val="nil"/>
              <w:bottom w:val="nil"/>
              <w:right w:val="single" w:sz="6" w:space="0" w:color="404040"/>
            </w:tcBorders>
            <w:shd w:val="clear" w:color="auto" w:fill="auto"/>
            <w:noWrap/>
            <w:vAlign w:val="center"/>
          </w:tcPr>
          <w:p w14:paraId="145607CA" w14:textId="737E36F5" w:rsidR="009F32AF" w:rsidRPr="007C298E" w:rsidRDefault="009F32AF" w:rsidP="009F32AF">
            <w:pPr>
              <w:tabs>
                <w:tab w:val="decimal" w:pos="517"/>
              </w:tabs>
              <w:jc w:val="left"/>
              <w:rPr>
                <w:color w:val="000000"/>
                <w:sz w:val="16"/>
                <w:szCs w:val="16"/>
              </w:rPr>
            </w:pPr>
            <w:r>
              <w:rPr>
                <w:color w:val="000000"/>
                <w:sz w:val="16"/>
                <w:szCs w:val="16"/>
              </w:rPr>
              <w:t>0.1</w:t>
            </w:r>
          </w:p>
        </w:tc>
        <w:tc>
          <w:tcPr>
            <w:tcW w:w="991" w:type="dxa"/>
            <w:tcBorders>
              <w:top w:val="nil"/>
              <w:left w:val="single" w:sz="6" w:space="0" w:color="404040"/>
              <w:bottom w:val="nil"/>
              <w:right w:val="nil"/>
            </w:tcBorders>
            <w:shd w:val="clear" w:color="auto" w:fill="auto"/>
            <w:noWrap/>
            <w:vAlign w:val="center"/>
          </w:tcPr>
          <w:p w14:paraId="43759983" w14:textId="78BD900A"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15.3</w:t>
            </w:r>
          </w:p>
        </w:tc>
        <w:tc>
          <w:tcPr>
            <w:tcW w:w="934" w:type="dxa"/>
            <w:tcBorders>
              <w:top w:val="nil"/>
              <w:left w:val="nil"/>
              <w:bottom w:val="nil"/>
              <w:right w:val="nil"/>
            </w:tcBorders>
            <w:shd w:val="clear" w:color="auto" w:fill="auto"/>
            <w:noWrap/>
            <w:vAlign w:val="center"/>
          </w:tcPr>
          <w:p w14:paraId="118F1B39" w14:textId="47514C67"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3.2</w:t>
            </w:r>
          </w:p>
        </w:tc>
        <w:tc>
          <w:tcPr>
            <w:tcW w:w="1050" w:type="dxa"/>
            <w:tcBorders>
              <w:top w:val="nil"/>
              <w:left w:val="nil"/>
              <w:bottom w:val="nil"/>
              <w:right w:val="single" w:sz="8" w:space="0" w:color="404040"/>
            </w:tcBorders>
            <w:shd w:val="clear" w:color="auto" w:fill="auto"/>
            <w:noWrap/>
            <w:vAlign w:val="center"/>
          </w:tcPr>
          <w:p w14:paraId="3A140B03" w14:textId="12BF340E" w:rsidR="009F32AF" w:rsidRPr="007C298E" w:rsidRDefault="009F32AF" w:rsidP="009F32AF">
            <w:pPr>
              <w:tabs>
                <w:tab w:val="decimal" w:pos="588"/>
              </w:tabs>
              <w:jc w:val="left"/>
              <w:rPr>
                <w:bCs/>
                <w:color w:val="000000"/>
                <w:sz w:val="16"/>
                <w:szCs w:val="16"/>
              </w:rPr>
            </w:pPr>
            <w:r>
              <w:rPr>
                <w:color w:val="000000"/>
                <w:sz w:val="16"/>
                <w:szCs w:val="16"/>
              </w:rPr>
              <w:t>5.4</w:t>
            </w:r>
          </w:p>
        </w:tc>
      </w:tr>
      <w:tr w:rsidR="009F32AF" w:rsidRPr="002F4D9C" w14:paraId="64F59367"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9F32AF" w:rsidRPr="002F4D9C" w:rsidRDefault="009F32AF" w:rsidP="009F32AF">
            <w:pPr>
              <w:spacing w:before="20" w:after="20"/>
              <w:ind w:left="97"/>
              <w:jc w:val="left"/>
              <w:rPr>
                <w:bCs/>
                <w:sz w:val="16"/>
                <w:szCs w:val="16"/>
              </w:rPr>
            </w:pPr>
            <w:r w:rsidRPr="002F4D9C">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23634B90"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31.5</w:t>
            </w:r>
          </w:p>
        </w:tc>
        <w:tc>
          <w:tcPr>
            <w:tcW w:w="942" w:type="dxa"/>
            <w:tcBorders>
              <w:top w:val="nil"/>
              <w:left w:val="nil"/>
              <w:bottom w:val="nil"/>
              <w:right w:val="nil"/>
            </w:tcBorders>
            <w:shd w:val="clear" w:color="auto" w:fill="auto"/>
            <w:noWrap/>
            <w:vAlign w:val="center"/>
          </w:tcPr>
          <w:p w14:paraId="01289560" w14:textId="1C69236F"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5.7</w:t>
            </w:r>
          </w:p>
        </w:tc>
        <w:tc>
          <w:tcPr>
            <w:tcW w:w="1042" w:type="dxa"/>
            <w:tcBorders>
              <w:top w:val="nil"/>
              <w:left w:val="nil"/>
              <w:bottom w:val="nil"/>
              <w:right w:val="single" w:sz="6" w:space="0" w:color="404040"/>
            </w:tcBorders>
            <w:shd w:val="clear" w:color="auto" w:fill="auto"/>
            <w:noWrap/>
            <w:vAlign w:val="center"/>
          </w:tcPr>
          <w:p w14:paraId="0CF7279F" w14:textId="5A2B2243"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7.0</w:t>
            </w:r>
          </w:p>
        </w:tc>
        <w:tc>
          <w:tcPr>
            <w:tcW w:w="991" w:type="dxa"/>
            <w:tcBorders>
              <w:top w:val="nil"/>
              <w:left w:val="single" w:sz="6" w:space="0" w:color="404040"/>
              <w:bottom w:val="nil"/>
              <w:right w:val="nil"/>
            </w:tcBorders>
            <w:shd w:val="clear" w:color="auto" w:fill="auto"/>
            <w:noWrap/>
            <w:vAlign w:val="center"/>
          </w:tcPr>
          <w:p w14:paraId="00B7A488" w14:textId="5DF0547C"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34.2</w:t>
            </w:r>
          </w:p>
        </w:tc>
        <w:tc>
          <w:tcPr>
            <w:tcW w:w="934" w:type="dxa"/>
            <w:tcBorders>
              <w:top w:val="nil"/>
              <w:left w:val="nil"/>
              <w:bottom w:val="nil"/>
              <w:right w:val="nil"/>
            </w:tcBorders>
            <w:shd w:val="clear" w:color="auto" w:fill="auto"/>
            <w:noWrap/>
            <w:vAlign w:val="center"/>
          </w:tcPr>
          <w:p w14:paraId="202FA301" w14:textId="7E69C031"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10.7</w:t>
            </w:r>
          </w:p>
        </w:tc>
        <w:tc>
          <w:tcPr>
            <w:tcW w:w="1050" w:type="dxa"/>
            <w:tcBorders>
              <w:top w:val="nil"/>
              <w:left w:val="nil"/>
              <w:bottom w:val="nil"/>
              <w:right w:val="single" w:sz="8" w:space="0" w:color="404040"/>
            </w:tcBorders>
            <w:shd w:val="clear" w:color="auto" w:fill="auto"/>
            <w:noWrap/>
            <w:vAlign w:val="center"/>
          </w:tcPr>
          <w:p w14:paraId="5E8D11ED" w14:textId="0726B41F" w:rsidR="009F32AF" w:rsidRPr="007C298E"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7.7</w:t>
            </w:r>
          </w:p>
        </w:tc>
      </w:tr>
      <w:tr w:rsidR="009F32AF" w:rsidRPr="002F4D9C" w14:paraId="3828D442"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9F32AF" w:rsidRPr="002F4D9C" w:rsidRDefault="009F32AF" w:rsidP="009F32AF">
            <w:pPr>
              <w:spacing w:before="20" w:after="20"/>
              <w:ind w:left="97"/>
              <w:jc w:val="left"/>
              <w:rPr>
                <w:bCs/>
                <w:sz w:val="16"/>
                <w:szCs w:val="16"/>
              </w:rPr>
            </w:pPr>
            <w:r w:rsidRPr="002F4D9C">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5E9B09AF"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15.2</w:t>
            </w:r>
          </w:p>
        </w:tc>
        <w:tc>
          <w:tcPr>
            <w:tcW w:w="942" w:type="dxa"/>
            <w:tcBorders>
              <w:top w:val="nil"/>
              <w:left w:val="nil"/>
              <w:bottom w:val="nil"/>
              <w:right w:val="nil"/>
            </w:tcBorders>
            <w:shd w:val="clear" w:color="auto" w:fill="auto"/>
            <w:noWrap/>
            <w:vAlign w:val="center"/>
          </w:tcPr>
          <w:p w14:paraId="5C03D933" w14:textId="3E8D31FC"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13.2</w:t>
            </w:r>
          </w:p>
        </w:tc>
        <w:tc>
          <w:tcPr>
            <w:tcW w:w="1042" w:type="dxa"/>
            <w:tcBorders>
              <w:top w:val="nil"/>
              <w:left w:val="nil"/>
              <w:bottom w:val="nil"/>
              <w:right w:val="single" w:sz="6" w:space="0" w:color="404040"/>
            </w:tcBorders>
            <w:shd w:val="clear" w:color="auto" w:fill="auto"/>
            <w:noWrap/>
            <w:vAlign w:val="center"/>
          </w:tcPr>
          <w:p w14:paraId="1AB05D56" w14:textId="66CFC0EA"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0.3</w:t>
            </w:r>
          </w:p>
        </w:tc>
        <w:tc>
          <w:tcPr>
            <w:tcW w:w="991" w:type="dxa"/>
            <w:tcBorders>
              <w:top w:val="nil"/>
              <w:left w:val="single" w:sz="6" w:space="0" w:color="404040"/>
              <w:bottom w:val="nil"/>
              <w:right w:val="nil"/>
            </w:tcBorders>
            <w:shd w:val="clear" w:color="auto" w:fill="auto"/>
            <w:noWrap/>
            <w:vAlign w:val="center"/>
          </w:tcPr>
          <w:p w14:paraId="7AF95D9E" w14:textId="7F91130B"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8.2</w:t>
            </w:r>
          </w:p>
        </w:tc>
        <w:tc>
          <w:tcPr>
            <w:tcW w:w="934" w:type="dxa"/>
            <w:tcBorders>
              <w:top w:val="nil"/>
              <w:left w:val="nil"/>
              <w:bottom w:val="nil"/>
              <w:right w:val="nil"/>
            </w:tcBorders>
            <w:shd w:val="clear" w:color="auto" w:fill="auto"/>
            <w:noWrap/>
            <w:vAlign w:val="center"/>
          </w:tcPr>
          <w:p w14:paraId="4B896B23" w14:textId="0E63DEFB"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4.3</w:t>
            </w:r>
          </w:p>
        </w:tc>
        <w:tc>
          <w:tcPr>
            <w:tcW w:w="1050" w:type="dxa"/>
            <w:tcBorders>
              <w:top w:val="nil"/>
              <w:left w:val="nil"/>
              <w:bottom w:val="nil"/>
              <w:right w:val="single" w:sz="8" w:space="0" w:color="404040"/>
            </w:tcBorders>
            <w:shd w:val="clear" w:color="auto" w:fill="auto"/>
            <w:noWrap/>
            <w:vAlign w:val="center"/>
          </w:tcPr>
          <w:p w14:paraId="71DFF78D" w14:textId="7AB3FF09" w:rsidR="009F32AF" w:rsidRPr="007C298E" w:rsidRDefault="009F32AF" w:rsidP="009F32AF">
            <w:pPr>
              <w:tabs>
                <w:tab w:val="decimal" w:pos="588"/>
              </w:tabs>
              <w:jc w:val="left"/>
              <w:rPr>
                <w:bCs/>
                <w:color w:val="000000"/>
                <w:sz w:val="16"/>
                <w:szCs w:val="16"/>
              </w:rPr>
            </w:pPr>
            <w:r>
              <w:rPr>
                <w:color w:val="000000"/>
                <w:sz w:val="16"/>
                <w:szCs w:val="16"/>
              </w:rPr>
              <w:t>0.3</w:t>
            </w:r>
          </w:p>
        </w:tc>
      </w:tr>
      <w:tr w:rsidR="009F32AF" w:rsidRPr="002F4D9C" w14:paraId="452FDEDC"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9F32AF" w:rsidRPr="002F4D9C" w:rsidRDefault="009F32AF" w:rsidP="009F32AF">
            <w:pPr>
              <w:spacing w:before="20" w:after="20"/>
              <w:ind w:left="97"/>
              <w:jc w:val="left"/>
              <w:rPr>
                <w:bCs/>
                <w:sz w:val="16"/>
                <w:szCs w:val="16"/>
              </w:rPr>
            </w:pPr>
            <w:r w:rsidRPr="002F4D9C">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740C4308"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25.1</w:t>
            </w:r>
          </w:p>
        </w:tc>
        <w:tc>
          <w:tcPr>
            <w:tcW w:w="942" w:type="dxa"/>
            <w:tcBorders>
              <w:top w:val="nil"/>
              <w:left w:val="nil"/>
              <w:bottom w:val="nil"/>
              <w:right w:val="nil"/>
            </w:tcBorders>
            <w:shd w:val="clear" w:color="auto" w:fill="auto"/>
            <w:noWrap/>
            <w:vAlign w:val="center"/>
          </w:tcPr>
          <w:p w14:paraId="1A145F69" w14:textId="33C91B93"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6.8</w:t>
            </w:r>
          </w:p>
        </w:tc>
        <w:tc>
          <w:tcPr>
            <w:tcW w:w="1042" w:type="dxa"/>
            <w:tcBorders>
              <w:top w:val="nil"/>
              <w:left w:val="nil"/>
              <w:bottom w:val="nil"/>
              <w:right w:val="single" w:sz="6" w:space="0" w:color="404040"/>
            </w:tcBorders>
            <w:shd w:val="clear" w:color="auto" w:fill="auto"/>
            <w:noWrap/>
            <w:vAlign w:val="center"/>
          </w:tcPr>
          <w:p w14:paraId="1A9D0BE0" w14:textId="688D4842"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13.2</w:t>
            </w:r>
          </w:p>
        </w:tc>
        <w:tc>
          <w:tcPr>
            <w:tcW w:w="991" w:type="dxa"/>
            <w:tcBorders>
              <w:top w:val="nil"/>
              <w:left w:val="single" w:sz="6" w:space="0" w:color="404040"/>
              <w:bottom w:val="nil"/>
              <w:right w:val="nil"/>
            </w:tcBorders>
            <w:shd w:val="clear" w:color="auto" w:fill="auto"/>
            <w:noWrap/>
            <w:vAlign w:val="center"/>
          </w:tcPr>
          <w:p w14:paraId="15DD43DB" w14:textId="214598E9"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22.7</w:t>
            </w:r>
          </w:p>
        </w:tc>
        <w:tc>
          <w:tcPr>
            <w:tcW w:w="934" w:type="dxa"/>
            <w:tcBorders>
              <w:top w:val="nil"/>
              <w:left w:val="nil"/>
              <w:bottom w:val="nil"/>
              <w:right w:val="nil"/>
            </w:tcBorders>
            <w:shd w:val="clear" w:color="auto" w:fill="auto"/>
            <w:noWrap/>
            <w:vAlign w:val="center"/>
          </w:tcPr>
          <w:p w14:paraId="6480D3DE" w14:textId="75803700"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4.7</w:t>
            </w:r>
          </w:p>
        </w:tc>
        <w:tc>
          <w:tcPr>
            <w:tcW w:w="1050" w:type="dxa"/>
            <w:tcBorders>
              <w:top w:val="nil"/>
              <w:left w:val="nil"/>
              <w:bottom w:val="nil"/>
              <w:right w:val="single" w:sz="8" w:space="0" w:color="404040"/>
            </w:tcBorders>
            <w:shd w:val="clear" w:color="auto" w:fill="auto"/>
            <w:noWrap/>
            <w:vAlign w:val="center"/>
          </w:tcPr>
          <w:p w14:paraId="3D4CC50A" w14:textId="4E649F09" w:rsidR="009F32AF" w:rsidRPr="007C298E"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5.2</w:t>
            </w:r>
          </w:p>
        </w:tc>
      </w:tr>
      <w:tr w:rsidR="009F32AF" w:rsidRPr="002F4D9C" w14:paraId="49D52FDC"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9F32AF" w:rsidRPr="002F4D9C" w:rsidRDefault="009F32AF" w:rsidP="009F32AF">
            <w:pPr>
              <w:spacing w:before="20" w:after="20"/>
              <w:ind w:left="97"/>
              <w:jc w:val="left"/>
              <w:rPr>
                <w:bCs/>
                <w:sz w:val="16"/>
                <w:szCs w:val="16"/>
              </w:rPr>
            </w:pPr>
            <w:r w:rsidRPr="002F4D9C">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714A20CF"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22.6</w:t>
            </w:r>
          </w:p>
        </w:tc>
        <w:tc>
          <w:tcPr>
            <w:tcW w:w="942" w:type="dxa"/>
            <w:tcBorders>
              <w:top w:val="nil"/>
              <w:left w:val="nil"/>
              <w:bottom w:val="nil"/>
              <w:right w:val="nil"/>
            </w:tcBorders>
            <w:shd w:val="clear" w:color="auto" w:fill="auto"/>
            <w:noWrap/>
            <w:vAlign w:val="center"/>
          </w:tcPr>
          <w:p w14:paraId="0DD1C88A" w14:textId="0D18EFDC"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15.6</w:t>
            </w:r>
          </w:p>
        </w:tc>
        <w:tc>
          <w:tcPr>
            <w:tcW w:w="1042" w:type="dxa"/>
            <w:tcBorders>
              <w:top w:val="nil"/>
              <w:left w:val="nil"/>
              <w:bottom w:val="nil"/>
              <w:right w:val="single" w:sz="6" w:space="0" w:color="404040"/>
            </w:tcBorders>
            <w:shd w:val="clear" w:color="auto" w:fill="auto"/>
            <w:noWrap/>
            <w:vAlign w:val="center"/>
          </w:tcPr>
          <w:p w14:paraId="4407044A" w14:textId="43D403F6"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4.3</w:t>
            </w:r>
          </w:p>
        </w:tc>
        <w:tc>
          <w:tcPr>
            <w:tcW w:w="991" w:type="dxa"/>
            <w:tcBorders>
              <w:top w:val="nil"/>
              <w:left w:val="single" w:sz="6" w:space="0" w:color="404040"/>
              <w:bottom w:val="nil"/>
              <w:right w:val="nil"/>
            </w:tcBorders>
            <w:shd w:val="clear" w:color="auto" w:fill="auto"/>
            <w:noWrap/>
            <w:vAlign w:val="center"/>
          </w:tcPr>
          <w:p w14:paraId="5C3C6086" w14:textId="03D02F18"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19.2</w:t>
            </w:r>
          </w:p>
        </w:tc>
        <w:tc>
          <w:tcPr>
            <w:tcW w:w="934" w:type="dxa"/>
            <w:tcBorders>
              <w:top w:val="nil"/>
              <w:left w:val="nil"/>
              <w:bottom w:val="nil"/>
              <w:right w:val="nil"/>
            </w:tcBorders>
            <w:shd w:val="clear" w:color="auto" w:fill="auto"/>
            <w:noWrap/>
            <w:vAlign w:val="center"/>
          </w:tcPr>
          <w:p w14:paraId="134FE620" w14:textId="1FCE578D"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8.0</w:t>
            </w:r>
          </w:p>
        </w:tc>
        <w:tc>
          <w:tcPr>
            <w:tcW w:w="1050" w:type="dxa"/>
            <w:tcBorders>
              <w:top w:val="nil"/>
              <w:left w:val="nil"/>
              <w:bottom w:val="nil"/>
              <w:right w:val="single" w:sz="8" w:space="0" w:color="404040"/>
            </w:tcBorders>
            <w:shd w:val="clear" w:color="auto" w:fill="auto"/>
            <w:noWrap/>
            <w:vAlign w:val="center"/>
          </w:tcPr>
          <w:p w14:paraId="7B3C0D3F" w14:textId="33B55A89" w:rsidR="009F32AF" w:rsidRPr="007C298E" w:rsidRDefault="009F32AF" w:rsidP="009F32AF">
            <w:pPr>
              <w:tabs>
                <w:tab w:val="decimal" w:pos="588"/>
              </w:tabs>
              <w:jc w:val="left"/>
              <w:rPr>
                <w:bCs/>
                <w:color w:val="000000"/>
                <w:sz w:val="16"/>
                <w:szCs w:val="16"/>
              </w:rPr>
            </w:pPr>
            <w:r>
              <w:rPr>
                <w:color w:val="000000"/>
                <w:sz w:val="16"/>
                <w:szCs w:val="16"/>
              </w:rPr>
              <w:t>9.6</w:t>
            </w:r>
          </w:p>
        </w:tc>
      </w:tr>
      <w:tr w:rsidR="009F32AF" w:rsidRPr="002F4D9C" w14:paraId="7793830F"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9F32AF" w:rsidRPr="002F4D9C" w:rsidRDefault="009F32AF" w:rsidP="009F32AF">
            <w:pPr>
              <w:spacing w:before="20" w:after="20"/>
              <w:ind w:left="96"/>
              <w:jc w:val="left"/>
              <w:rPr>
                <w:bCs/>
                <w:sz w:val="16"/>
                <w:szCs w:val="16"/>
              </w:rPr>
            </w:pPr>
            <w:r w:rsidRPr="002F4D9C">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601B8E86"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10.8</w:t>
            </w:r>
          </w:p>
        </w:tc>
        <w:tc>
          <w:tcPr>
            <w:tcW w:w="942" w:type="dxa"/>
            <w:tcBorders>
              <w:top w:val="nil"/>
              <w:left w:val="nil"/>
              <w:bottom w:val="nil"/>
              <w:right w:val="nil"/>
            </w:tcBorders>
            <w:shd w:val="clear" w:color="auto" w:fill="auto"/>
            <w:noWrap/>
            <w:vAlign w:val="center"/>
          </w:tcPr>
          <w:p w14:paraId="132225AA" w14:textId="187958C7"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6.3</w:t>
            </w:r>
          </w:p>
        </w:tc>
        <w:tc>
          <w:tcPr>
            <w:tcW w:w="1042" w:type="dxa"/>
            <w:tcBorders>
              <w:top w:val="nil"/>
              <w:left w:val="nil"/>
              <w:bottom w:val="nil"/>
              <w:right w:val="single" w:sz="6" w:space="0" w:color="404040"/>
            </w:tcBorders>
            <w:shd w:val="clear" w:color="auto" w:fill="auto"/>
            <w:noWrap/>
            <w:vAlign w:val="center"/>
          </w:tcPr>
          <w:p w14:paraId="200BB3E4" w14:textId="20DC4BC0" w:rsidR="009F32AF" w:rsidRPr="007C298E" w:rsidRDefault="009F32AF" w:rsidP="009F32AF">
            <w:pPr>
              <w:tabs>
                <w:tab w:val="decimal" w:pos="517"/>
              </w:tabs>
              <w:jc w:val="left"/>
              <w:rPr>
                <w:color w:val="000000"/>
                <w:sz w:val="16"/>
                <w:szCs w:val="16"/>
              </w:rPr>
            </w:pPr>
            <w:r>
              <w:rPr>
                <w:color w:val="000000"/>
                <w:sz w:val="16"/>
                <w:szCs w:val="16"/>
              </w:rPr>
              <w:t>10.7</w:t>
            </w:r>
          </w:p>
        </w:tc>
        <w:tc>
          <w:tcPr>
            <w:tcW w:w="991" w:type="dxa"/>
            <w:tcBorders>
              <w:top w:val="nil"/>
              <w:left w:val="single" w:sz="6" w:space="0" w:color="404040"/>
              <w:bottom w:val="nil"/>
              <w:right w:val="nil"/>
            </w:tcBorders>
            <w:shd w:val="clear" w:color="auto" w:fill="auto"/>
            <w:noWrap/>
            <w:vAlign w:val="center"/>
          </w:tcPr>
          <w:p w14:paraId="7C00F017" w14:textId="3601425D"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41.6</w:t>
            </w:r>
          </w:p>
        </w:tc>
        <w:tc>
          <w:tcPr>
            <w:tcW w:w="934" w:type="dxa"/>
            <w:tcBorders>
              <w:top w:val="nil"/>
              <w:left w:val="nil"/>
              <w:bottom w:val="nil"/>
              <w:right w:val="nil"/>
            </w:tcBorders>
            <w:shd w:val="clear" w:color="auto" w:fill="auto"/>
            <w:noWrap/>
            <w:vAlign w:val="center"/>
          </w:tcPr>
          <w:p w14:paraId="4B07A062" w14:textId="7C30F38D"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9.6</w:t>
            </w:r>
          </w:p>
        </w:tc>
        <w:tc>
          <w:tcPr>
            <w:tcW w:w="1050" w:type="dxa"/>
            <w:tcBorders>
              <w:top w:val="nil"/>
              <w:left w:val="nil"/>
              <w:bottom w:val="nil"/>
              <w:right w:val="single" w:sz="8" w:space="0" w:color="404040"/>
            </w:tcBorders>
            <w:shd w:val="clear" w:color="auto" w:fill="auto"/>
            <w:noWrap/>
            <w:vAlign w:val="center"/>
          </w:tcPr>
          <w:p w14:paraId="7EA0BD85" w14:textId="55F97210" w:rsidR="009F32AF" w:rsidRPr="007C298E" w:rsidRDefault="009F32AF" w:rsidP="009F32AF">
            <w:pPr>
              <w:tabs>
                <w:tab w:val="decimal" w:pos="588"/>
              </w:tabs>
              <w:jc w:val="left"/>
              <w:rPr>
                <w:bCs/>
                <w:color w:val="000000"/>
                <w:sz w:val="16"/>
                <w:szCs w:val="16"/>
              </w:rPr>
            </w:pPr>
            <w:r>
              <w:rPr>
                <w:color w:val="000000"/>
                <w:sz w:val="16"/>
                <w:szCs w:val="16"/>
              </w:rPr>
              <w:t>0.9</w:t>
            </w:r>
          </w:p>
        </w:tc>
      </w:tr>
      <w:tr w:rsidR="009F32AF" w:rsidRPr="002F4D9C" w14:paraId="5719F551"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9F32AF" w:rsidRPr="002F4D9C" w:rsidRDefault="009F32AF" w:rsidP="009F32AF">
            <w:pPr>
              <w:spacing w:before="20" w:after="20"/>
              <w:ind w:left="97"/>
              <w:jc w:val="left"/>
              <w:rPr>
                <w:bCs/>
                <w:sz w:val="16"/>
                <w:szCs w:val="16"/>
              </w:rPr>
            </w:pPr>
            <w:r w:rsidRPr="002F4D9C">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3E6222B2"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20.2</w:t>
            </w:r>
          </w:p>
        </w:tc>
        <w:tc>
          <w:tcPr>
            <w:tcW w:w="942" w:type="dxa"/>
            <w:tcBorders>
              <w:top w:val="nil"/>
              <w:left w:val="nil"/>
              <w:bottom w:val="nil"/>
              <w:right w:val="nil"/>
            </w:tcBorders>
            <w:shd w:val="clear" w:color="auto" w:fill="auto"/>
            <w:noWrap/>
            <w:vAlign w:val="center"/>
          </w:tcPr>
          <w:p w14:paraId="713C4591" w14:textId="22B1BB9A"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3.6</w:t>
            </w:r>
          </w:p>
        </w:tc>
        <w:tc>
          <w:tcPr>
            <w:tcW w:w="1042" w:type="dxa"/>
            <w:tcBorders>
              <w:top w:val="nil"/>
              <w:left w:val="nil"/>
              <w:bottom w:val="nil"/>
              <w:right w:val="single" w:sz="6" w:space="0" w:color="404040"/>
            </w:tcBorders>
            <w:shd w:val="clear" w:color="auto" w:fill="auto"/>
            <w:noWrap/>
            <w:vAlign w:val="center"/>
          </w:tcPr>
          <w:p w14:paraId="3045C3B6" w14:textId="41101598"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7.7</w:t>
            </w:r>
          </w:p>
        </w:tc>
        <w:tc>
          <w:tcPr>
            <w:tcW w:w="991" w:type="dxa"/>
            <w:tcBorders>
              <w:top w:val="nil"/>
              <w:left w:val="single" w:sz="6" w:space="0" w:color="404040"/>
              <w:bottom w:val="nil"/>
              <w:right w:val="nil"/>
            </w:tcBorders>
            <w:shd w:val="clear" w:color="auto" w:fill="auto"/>
            <w:noWrap/>
            <w:vAlign w:val="center"/>
          </w:tcPr>
          <w:p w14:paraId="7F71F6A7" w14:textId="774AF147"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22.8</w:t>
            </w:r>
          </w:p>
        </w:tc>
        <w:tc>
          <w:tcPr>
            <w:tcW w:w="934" w:type="dxa"/>
            <w:tcBorders>
              <w:top w:val="nil"/>
              <w:left w:val="nil"/>
              <w:bottom w:val="nil"/>
              <w:right w:val="nil"/>
            </w:tcBorders>
            <w:shd w:val="clear" w:color="auto" w:fill="auto"/>
            <w:noWrap/>
            <w:vAlign w:val="center"/>
          </w:tcPr>
          <w:p w14:paraId="52106731" w14:textId="4323E859"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5.3</w:t>
            </w:r>
          </w:p>
        </w:tc>
        <w:tc>
          <w:tcPr>
            <w:tcW w:w="1050" w:type="dxa"/>
            <w:tcBorders>
              <w:top w:val="nil"/>
              <w:left w:val="nil"/>
              <w:bottom w:val="nil"/>
              <w:right w:val="single" w:sz="8" w:space="0" w:color="404040"/>
            </w:tcBorders>
            <w:shd w:val="clear" w:color="auto" w:fill="auto"/>
            <w:noWrap/>
            <w:vAlign w:val="center"/>
          </w:tcPr>
          <w:p w14:paraId="5A53ACD3" w14:textId="2752AB9E" w:rsidR="009F32AF" w:rsidRPr="007C298E" w:rsidRDefault="009F32AF" w:rsidP="009F32AF">
            <w:pPr>
              <w:tabs>
                <w:tab w:val="left" w:pos="194"/>
                <w:tab w:val="decimal" w:pos="588"/>
              </w:tabs>
              <w:jc w:val="left"/>
              <w:rPr>
                <w:bCs/>
                <w:color w:val="000000"/>
                <w:sz w:val="16"/>
                <w:szCs w:val="16"/>
              </w:rPr>
            </w:pPr>
            <w:r>
              <w:rPr>
                <w:color w:val="000000"/>
                <w:sz w:val="16"/>
                <w:szCs w:val="16"/>
              </w:rPr>
              <w:tab/>
              <w:t>(-)</w:t>
            </w:r>
            <w:r>
              <w:rPr>
                <w:color w:val="000000"/>
                <w:sz w:val="16"/>
                <w:szCs w:val="16"/>
              </w:rPr>
              <w:tab/>
              <w:t>3.9</w:t>
            </w:r>
          </w:p>
        </w:tc>
      </w:tr>
      <w:tr w:rsidR="009F32AF" w:rsidRPr="002F4D9C" w14:paraId="70148ECF"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9F32AF" w:rsidRPr="002F4D9C" w:rsidRDefault="009F32AF" w:rsidP="009F32AF">
            <w:pPr>
              <w:spacing w:before="20" w:after="20"/>
              <w:ind w:left="97"/>
              <w:jc w:val="left"/>
              <w:rPr>
                <w:bCs/>
                <w:sz w:val="16"/>
                <w:szCs w:val="16"/>
              </w:rPr>
            </w:pPr>
            <w:r w:rsidRPr="002F4D9C">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627DBA4F"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19.1</w:t>
            </w:r>
          </w:p>
        </w:tc>
        <w:tc>
          <w:tcPr>
            <w:tcW w:w="942" w:type="dxa"/>
            <w:tcBorders>
              <w:top w:val="nil"/>
              <w:left w:val="nil"/>
              <w:bottom w:val="nil"/>
              <w:right w:val="nil"/>
            </w:tcBorders>
            <w:shd w:val="clear" w:color="auto" w:fill="auto"/>
            <w:noWrap/>
            <w:vAlign w:val="center"/>
          </w:tcPr>
          <w:p w14:paraId="60D2E44A" w14:textId="0A64F842"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7.0</w:t>
            </w:r>
          </w:p>
        </w:tc>
        <w:tc>
          <w:tcPr>
            <w:tcW w:w="1042" w:type="dxa"/>
            <w:tcBorders>
              <w:top w:val="nil"/>
              <w:left w:val="nil"/>
              <w:bottom w:val="nil"/>
              <w:right w:val="single" w:sz="6" w:space="0" w:color="404040"/>
            </w:tcBorders>
            <w:shd w:val="clear" w:color="auto" w:fill="auto"/>
            <w:noWrap/>
            <w:vAlign w:val="center"/>
          </w:tcPr>
          <w:p w14:paraId="158CDCB4" w14:textId="07611ABC"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2.5</w:t>
            </w:r>
          </w:p>
        </w:tc>
        <w:tc>
          <w:tcPr>
            <w:tcW w:w="991" w:type="dxa"/>
            <w:tcBorders>
              <w:top w:val="nil"/>
              <w:left w:val="single" w:sz="6" w:space="0" w:color="404040"/>
              <w:bottom w:val="nil"/>
              <w:right w:val="nil"/>
            </w:tcBorders>
            <w:shd w:val="clear" w:color="auto" w:fill="auto"/>
            <w:noWrap/>
            <w:vAlign w:val="center"/>
          </w:tcPr>
          <w:p w14:paraId="57FB957E" w14:textId="5C4AD4D8"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16.9</w:t>
            </w:r>
          </w:p>
        </w:tc>
        <w:tc>
          <w:tcPr>
            <w:tcW w:w="934" w:type="dxa"/>
            <w:tcBorders>
              <w:top w:val="nil"/>
              <w:left w:val="nil"/>
              <w:bottom w:val="nil"/>
              <w:right w:val="nil"/>
            </w:tcBorders>
            <w:shd w:val="clear" w:color="auto" w:fill="auto"/>
            <w:noWrap/>
            <w:vAlign w:val="center"/>
          </w:tcPr>
          <w:p w14:paraId="69A2F423" w14:textId="162265F2"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7.8</w:t>
            </w:r>
          </w:p>
        </w:tc>
        <w:tc>
          <w:tcPr>
            <w:tcW w:w="1050" w:type="dxa"/>
            <w:tcBorders>
              <w:top w:val="nil"/>
              <w:left w:val="nil"/>
              <w:bottom w:val="nil"/>
              <w:right w:val="single" w:sz="8" w:space="0" w:color="404040"/>
            </w:tcBorders>
            <w:shd w:val="clear" w:color="auto" w:fill="auto"/>
            <w:noWrap/>
            <w:vAlign w:val="center"/>
          </w:tcPr>
          <w:p w14:paraId="2B7CDC1A" w14:textId="06C6B72A" w:rsidR="009F32AF" w:rsidRPr="007C298E" w:rsidRDefault="009F32AF" w:rsidP="009F32AF">
            <w:pPr>
              <w:tabs>
                <w:tab w:val="decimal" w:pos="588"/>
              </w:tabs>
              <w:jc w:val="left"/>
              <w:rPr>
                <w:bCs/>
                <w:color w:val="000000"/>
                <w:sz w:val="16"/>
                <w:szCs w:val="16"/>
              </w:rPr>
            </w:pPr>
            <w:r>
              <w:rPr>
                <w:color w:val="000000"/>
                <w:sz w:val="16"/>
                <w:szCs w:val="16"/>
              </w:rPr>
              <w:t>0.5</w:t>
            </w:r>
          </w:p>
        </w:tc>
      </w:tr>
      <w:tr w:rsidR="009F32AF" w:rsidRPr="002F4D9C" w14:paraId="0B357A9F"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9F32AF" w:rsidRPr="002F4D9C" w:rsidRDefault="009F32AF" w:rsidP="009F32AF">
            <w:pPr>
              <w:spacing w:before="20" w:after="20"/>
              <w:ind w:left="97"/>
              <w:jc w:val="left"/>
              <w:rPr>
                <w:bCs/>
                <w:sz w:val="16"/>
                <w:szCs w:val="16"/>
              </w:rPr>
            </w:pPr>
            <w:r w:rsidRPr="002F4D9C">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68DB09A3"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16.4</w:t>
            </w:r>
          </w:p>
        </w:tc>
        <w:tc>
          <w:tcPr>
            <w:tcW w:w="942" w:type="dxa"/>
            <w:tcBorders>
              <w:top w:val="nil"/>
              <w:left w:val="nil"/>
              <w:bottom w:val="nil"/>
              <w:right w:val="nil"/>
            </w:tcBorders>
            <w:shd w:val="clear" w:color="auto" w:fill="auto"/>
            <w:noWrap/>
            <w:vAlign w:val="center"/>
          </w:tcPr>
          <w:p w14:paraId="604F4EB7" w14:textId="452F53CE"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3.6</w:t>
            </w:r>
          </w:p>
        </w:tc>
        <w:tc>
          <w:tcPr>
            <w:tcW w:w="1042" w:type="dxa"/>
            <w:tcBorders>
              <w:top w:val="nil"/>
              <w:left w:val="nil"/>
              <w:bottom w:val="nil"/>
              <w:right w:val="single" w:sz="6" w:space="0" w:color="404040"/>
            </w:tcBorders>
            <w:shd w:val="clear" w:color="auto" w:fill="auto"/>
            <w:noWrap/>
            <w:vAlign w:val="center"/>
          </w:tcPr>
          <w:p w14:paraId="5D8BA7DB" w14:textId="24D957C4"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9.0</w:t>
            </w:r>
          </w:p>
        </w:tc>
        <w:tc>
          <w:tcPr>
            <w:tcW w:w="991" w:type="dxa"/>
            <w:tcBorders>
              <w:top w:val="nil"/>
              <w:left w:val="single" w:sz="6" w:space="0" w:color="404040"/>
              <w:bottom w:val="nil"/>
              <w:right w:val="nil"/>
            </w:tcBorders>
            <w:shd w:val="clear" w:color="auto" w:fill="auto"/>
            <w:noWrap/>
            <w:vAlign w:val="center"/>
          </w:tcPr>
          <w:p w14:paraId="51B3738B" w14:textId="639199EF"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19.4</w:t>
            </w:r>
          </w:p>
        </w:tc>
        <w:tc>
          <w:tcPr>
            <w:tcW w:w="934" w:type="dxa"/>
            <w:tcBorders>
              <w:top w:val="nil"/>
              <w:left w:val="nil"/>
              <w:bottom w:val="nil"/>
              <w:right w:val="nil"/>
            </w:tcBorders>
            <w:shd w:val="clear" w:color="auto" w:fill="auto"/>
            <w:noWrap/>
            <w:vAlign w:val="center"/>
          </w:tcPr>
          <w:p w14:paraId="6C64866B" w14:textId="0B3BA18F"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3.8</w:t>
            </w:r>
          </w:p>
        </w:tc>
        <w:tc>
          <w:tcPr>
            <w:tcW w:w="1050" w:type="dxa"/>
            <w:tcBorders>
              <w:top w:val="nil"/>
              <w:left w:val="nil"/>
              <w:bottom w:val="nil"/>
              <w:right w:val="single" w:sz="8" w:space="0" w:color="404040"/>
            </w:tcBorders>
            <w:shd w:val="clear" w:color="auto" w:fill="auto"/>
            <w:noWrap/>
            <w:vAlign w:val="center"/>
          </w:tcPr>
          <w:p w14:paraId="6785986D" w14:textId="3055C3E9" w:rsidR="009F32AF" w:rsidRPr="007C298E" w:rsidRDefault="009F32AF" w:rsidP="009F32AF">
            <w:pPr>
              <w:tabs>
                <w:tab w:val="decimal" w:pos="588"/>
              </w:tabs>
              <w:jc w:val="left"/>
              <w:rPr>
                <w:bCs/>
                <w:color w:val="000000"/>
                <w:sz w:val="16"/>
                <w:szCs w:val="16"/>
              </w:rPr>
            </w:pPr>
            <w:r>
              <w:rPr>
                <w:color w:val="000000"/>
                <w:sz w:val="16"/>
                <w:szCs w:val="16"/>
              </w:rPr>
              <w:t>0.8</w:t>
            </w:r>
          </w:p>
        </w:tc>
      </w:tr>
      <w:tr w:rsidR="009F32AF" w:rsidRPr="002F4D9C" w14:paraId="6CBD1E1B"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9F32AF" w:rsidRPr="002F4D9C" w:rsidRDefault="009F32AF" w:rsidP="009F32AF">
            <w:pPr>
              <w:spacing w:before="20" w:after="20"/>
              <w:ind w:left="97"/>
              <w:jc w:val="left"/>
              <w:rPr>
                <w:bCs/>
                <w:sz w:val="16"/>
                <w:szCs w:val="16"/>
              </w:rPr>
            </w:pPr>
            <w:r w:rsidRPr="002F4D9C">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07A7DF1B"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9.2</w:t>
            </w:r>
          </w:p>
        </w:tc>
        <w:tc>
          <w:tcPr>
            <w:tcW w:w="942" w:type="dxa"/>
            <w:tcBorders>
              <w:top w:val="nil"/>
              <w:left w:val="nil"/>
              <w:bottom w:val="nil"/>
              <w:right w:val="nil"/>
            </w:tcBorders>
            <w:shd w:val="clear" w:color="auto" w:fill="auto"/>
            <w:noWrap/>
            <w:vAlign w:val="center"/>
          </w:tcPr>
          <w:p w14:paraId="14A7F4B3" w14:textId="42652042"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8.2</w:t>
            </w:r>
          </w:p>
        </w:tc>
        <w:tc>
          <w:tcPr>
            <w:tcW w:w="1042" w:type="dxa"/>
            <w:tcBorders>
              <w:top w:val="nil"/>
              <w:left w:val="nil"/>
              <w:bottom w:val="nil"/>
              <w:right w:val="single" w:sz="6" w:space="0" w:color="404040"/>
            </w:tcBorders>
            <w:shd w:val="clear" w:color="auto" w:fill="auto"/>
            <w:noWrap/>
            <w:vAlign w:val="center"/>
          </w:tcPr>
          <w:p w14:paraId="0A632F9A" w14:textId="7B46BAD2"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8.3</w:t>
            </w:r>
          </w:p>
        </w:tc>
        <w:tc>
          <w:tcPr>
            <w:tcW w:w="991" w:type="dxa"/>
            <w:tcBorders>
              <w:top w:val="nil"/>
              <w:left w:val="single" w:sz="6" w:space="0" w:color="404040"/>
              <w:bottom w:val="nil"/>
              <w:right w:val="nil"/>
            </w:tcBorders>
            <w:shd w:val="clear" w:color="auto" w:fill="auto"/>
            <w:noWrap/>
            <w:vAlign w:val="center"/>
          </w:tcPr>
          <w:p w14:paraId="1A25DFBE" w14:textId="7C710047"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15.4</w:t>
            </w:r>
          </w:p>
        </w:tc>
        <w:tc>
          <w:tcPr>
            <w:tcW w:w="934" w:type="dxa"/>
            <w:tcBorders>
              <w:top w:val="nil"/>
              <w:left w:val="nil"/>
              <w:bottom w:val="nil"/>
              <w:right w:val="nil"/>
            </w:tcBorders>
            <w:shd w:val="clear" w:color="auto" w:fill="auto"/>
            <w:noWrap/>
            <w:vAlign w:val="center"/>
          </w:tcPr>
          <w:p w14:paraId="3A0549BA" w14:textId="156F6E13"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0.7</w:t>
            </w:r>
          </w:p>
        </w:tc>
        <w:tc>
          <w:tcPr>
            <w:tcW w:w="1050" w:type="dxa"/>
            <w:tcBorders>
              <w:top w:val="nil"/>
              <w:left w:val="nil"/>
              <w:bottom w:val="nil"/>
              <w:right w:val="single" w:sz="8" w:space="0" w:color="404040"/>
            </w:tcBorders>
            <w:shd w:val="clear" w:color="auto" w:fill="auto"/>
            <w:noWrap/>
            <w:vAlign w:val="center"/>
          </w:tcPr>
          <w:p w14:paraId="77EA25E8" w14:textId="6C0E1472"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6.2</w:t>
            </w:r>
          </w:p>
        </w:tc>
      </w:tr>
      <w:tr w:rsidR="009F32AF" w:rsidRPr="002F4D9C" w14:paraId="273263B7"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9F32AF" w:rsidRPr="002F4D9C" w:rsidRDefault="009F32AF" w:rsidP="009F32AF">
            <w:pPr>
              <w:spacing w:before="20" w:after="20"/>
              <w:ind w:left="97"/>
              <w:jc w:val="left"/>
              <w:rPr>
                <w:bCs/>
                <w:sz w:val="16"/>
                <w:szCs w:val="16"/>
              </w:rPr>
            </w:pPr>
            <w:r w:rsidRPr="002F4D9C">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5AD1E274"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10.1</w:t>
            </w:r>
          </w:p>
        </w:tc>
        <w:tc>
          <w:tcPr>
            <w:tcW w:w="942" w:type="dxa"/>
            <w:tcBorders>
              <w:top w:val="nil"/>
              <w:left w:val="nil"/>
              <w:bottom w:val="nil"/>
              <w:right w:val="nil"/>
            </w:tcBorders>
            <w:shd w:val="clear" w:color="auto" w:fill="auto"/>
            <w:noWrap/>
            <w:vAlign w:val="center"/>
          </w:tcPr>
          <w:p w14:paraId="1623B186" w14:textId="5212F5AD"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8.9</w:t>
            </w:r>
          </w:p>
        </w:tc>
        <w:tc>
          <w:tcPr>
            <w:tcW w:w="1042" w:type="dxa"/>
            <w:tcBorders>
              <w:top w:val="nil"/>
              <w:left w:val="nil"/>
              <w:bottom w:val="nil"/>
              <w:right w:val="single" w:sz="6" w:space="0" w:color="404040"/>
            </w:tcBorders>
            <w:shd w:val="clear" w:color="auto" w:fill="auto"/>
            <w:noWrap/>
            <w:vAlign w:val="center"/>
          </w:tcPr>
          <w:p w14:paraId="725E1BE5" w14:textId="735EE860"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3.6</w:t>
            </w:r>
          </w:p>
        </w:tc>
        <w:tc>
          <w:tcPr>
            <w:tcW w:w="991" w:type="dxa"/>
            <w:tcBorders>
              <w:top w:val="nil"/>
              <w:left w:val="single" w:sz="6" w:space="0" w:color="404040"/>
              <w:bottom w:val="nil"/>
              <w:right w:val="nil"/>
            </w:tcBorders>
            <w:shd w:val="clear" w:color="auto" w:fill="auto"/>
            <w:noWrap/>
            <w:vAlign w:val="center"/>
          </w:tcPr>
          <w:p w14:paraId="1F612591" w14:textId="142A1256"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22.6</w:t>
            </w:r>
          </w:p>
        </w:tc>
        <w:tc>
          <w:tcPr>
            <w:tcW w:w="934" w:type="dxa"/>
            <w:tcBorders>
              <w:top w:val="nil"/>
              <w:left w:val="nil"/>
              <w:bottom w:val="nil"/>
              <w:right w:val="nil"/>
            </w:tcBorders>
            <w:shd w:val="clear" w:color="auto" w:fill="auto"/>
            <w:noWrap/>
            <w:vAlign w:val="center"/>
          </w:tcPr>
          <w:p w14:paraId="6CEAEB70" w14:textId="15E1184A"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5.2</w:t>
            </w:r>
          </w:p>
        </w:tc>
        <w:tc>
          <w:tcPr>
            <w:tcW w:w="1050" w:type="dxa"/>
            <w:tcBorders>
              <w:top w:val="nil"/>
              <w:left w:val="nil"/>
              <w:bottom w:val="nil"/>
              <w:right w:val="single" w:sz="8" w:space="0" w:color="404040"/>
            </w:tcBorders>
            <w:shd w:val="clear" w:color="auto" w:fill="auto"/>
            <w:noWrap/>
            <w:vAlign w:val="center"/>
          </w:tcPr>
          <w:p w14:paraId="0B5717A2" w14:textId="409EC48A"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1.5</w:t>
            </w:r>
          </w:p>
        </w:tc>
      </w:tr>
      <w:tr w:rsidR="009F32AF" w:rsidRPr="002F4D9C" w14:paraId="2891A770"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9F32AF" w:rsidRPr="002F4D9C" w:rsidRDefault="009F32AF" w:rsidP="009F32AF">
            <w:pPr>
              <w:spacing w:before="20" w:after="20"/>
              <w:ind w:left="97"/>
              <w:jc w:val="left"/>
              <w:rPr>
                <w:bCs/>
                <w:sz w:val="16"/>
                <w:szCs w:val="16"/>
              </w:rPr>
            </w:pPr>
            <w:r w:rsidRPr="002F4D9C">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42251FBC"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32.7</w:t>
            </w:r>
          </w:p>
        </w:tc>
        <w:tc>
          <w:tcPr>
            <w:tcW w:w="942" w:type="dxa"/>
            <w:tcBorders>
              <w:top w:val="nil"/>
              <w:left w:val="nil"/>
              <w:bottom w:val="nil"/>
              <w:right w:val="nil"/>
            </w:tcBorders>
            <w:shd w:val="clear" w:color="auto" w:fill="auto"/>
            <w:noWrap/>
            <w:vAlign w:val="center"/>
          </w:tcPr>
          <w:p w14:paraId="2A4AAD2C" w14:textId="09E81E3E"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4.5</w:t>
            </w:r>
          </w:p>
        </w:tc>
        <w:tc>
          <w:tcPr>
            <w:tcW w:w="1042" w:type="dxa"/>
            <w:tcBorders>
              <w:top w:val="nil"/>
              <w:left w:val="nil"/>
              <w:bottom w:val="nil"/>
              <w:right w:val="single" w:sz="6" w:space="0" w:color="404040"/>
            </w:tcBorders>
            <w:shd w:val="clear" w:color="auto" w:fill="auto"/>
            <w:noWrap/>
            <w:vAlign w:val="center"/>
          </w:tcPr>
          <w:p w14:paraId="0DE24B20" w14:textId="6A6B6BE5" w:rsidR="009F32AF" w:rsidRPr="007C298E" w:rsidRDefault="009F32AF" w:rsidP="009F32AF">
            <w:pPr>
              <w:tabs>
                <w:tab w:val="decimal" w:pos="517"/>
              </w:tabs>
              <w:jc w:val="left"/>
              <w:rPr>
                <w:color w:val="000000"/>
                <w:sz w:val="16"/>
                <w:szCs w:val="16"/>
              </w:rPr>
            </w:pPr>
            <w:r>
              <w:rPr>
                <w:color w:val="000000"/>
                <w:sz w:val="16"/>
                <w:szCs w:val="16"/>
              </w:rPr>
              <w:t>0.0</w:t>
            </w:r>
          </w:p>
        </w:tc>
        <w:tc>
          <w:tcPr>
            <w:tcW w:w="991" w:type="dxa"/>
            <w:tcBorders>
              <w:top w:val="nil"/>
              <w:left w:val="single" w:sz="6" w:space="0" w:color="404040"/>
              <w:bottom w:val="nil"/>
              <w:right w:val="nil"/>
            </w:tcBorders>
            <w:shd w:val="clear" w:color="auto" w:fill="auto"/>
            <w:noWrap/>
            <w:vAlign w:val="center"/>
          </w:tcPr>
          <w:p w14:paraId="3D68D1CF" w14:textId="212A8118"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21.7</w:t>
            </w:r>
          </w:p>
        </w:tc>
        <w:tc>
          <w:tcPr>
            <w:tcW w:w="934" w:type="dxa"/>
            <w:tcBorders>
              <w:top w:val="nil"/>
              <w:left w:val="nil"/>
              <w:bottom w:val="nil"/>
              <w:right w:val="nil"/>
            </w:tcBorders>
            <w:shd w:val="clear" w:color="auto" w:fill="auto"/>
            <w:noWrap/>
            <w:vAlign w:val="center"/>
          </w:tcPr>
          <w:p w14:paraId="7945BB1A" w14:textId="09BB489C"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1.1</w:t>
            </w:r>
          </w:p>
        </w:tc>
        <w:tc>
          <w:tcPr>
            <w:tcW w:w="1050" w:type="dxa"/>
            <w:tcBorders>
              <w:top w:val="nil"/>
              <w:left w:val="nil"/>
              <w:bottom w:val="nil"/>
              <w:right w:val="single" w:sz="8" w:space="0" w:color="404040"/>
            </w:tcBorders>
            <w:shd w:val="clear" w:color="auto" w:fill="auto"/>
            <w:noWrap/>
            <w:vAlign w:val="center"/>
          </w:tcPr>
          <w:p w14:paraId="0327CA89" w14:textId="3CD7CCD2" w:rsidR="009F32AF" w:rsidRPr="005E37BC" w:rsidRDefault="009F32AF" w:rsidP="009F32AF">
            <w:pPr>
              <w:tabs>
                <w:tab w:val="decimal" w:pos="588"/>
              </w:tabs>
              <w:jc w:val="left"/>
              <w:rPr>
                <w:color w:val="000000"/>
                <w:sz w:val="16"/>
                <w:szCs w:val="16"/>
              </w:rPr>
            </w:pPr>
            <w:r>
              <w:rPr>
                <w:color w:val="000000"/>
                <w:sz w:val="16"/>
                <w:szCs w:val="16"/>
              </w:rPr>
              <w:t>2.0</w:t>
            </w:r>
          </w:p>
        </w:tc>
      </w:tr>
      <w:tr w:rsidR="009F32AF" w:rsidRPr="002F4D9C" w14:paraId="256F54F8"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9F32AF" w:rsidRPr="002F4D9C" w:rsidRDefault="009F32AF" w:rsidP="009F32AF">
            <w:pPr>
              <w:spacing w:before="20" w:after="20"/>
              <w:ind w:left="97"/>
              <w:jc w:val="left"/>
              <w:rPr>
                <w:bCs/>
                <w:sz w:val="16"/>
                <w:szCs w:val="16"/>
              </w:rPr>
            </w:pPr>
            <w:r w:rsidRPr="002F4D9C">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3BC21594"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28.4</w:t>
            </w:r>
          </w:p>
        </w:tc>
        <w:tc>
          <w:tcPr>
            <w:tcW w:w="942" w:type="dxa"/>
            <w:tcBorders>
              <w:top w:val="nil"/>
              <w:left w:val="nil"/>
              <w:bottom w:val="nil"/>
              <w:right w:val="nil"/>
            </w:tcBorders>
            <w:shd w:val="clear" w:color="auto" w:fill="auto"/>
            <w:noWrap/>
            <w:vAlign w:val="center"/>
          </w:tcPr>
          <w:p w14:paraId="36C899B4" w14:textId="0AF326AA"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12.0</w:t>
            </w:r>
          </w:p>
        </w:tc>
        <w:tc>
          <w:tcPr>
            <w:tcW w:w="1042" w:type="dxa"/>
            <w:tcBorders>
              <w:top w:val="nil"/>
              <w:left w:val="nil"/>
              <w:bottom w:val="nil"/>
              <w:right w:val="single" w:sz="6" w:space="0" w:color="404040"/>
            </w:tcBorders>
            <w:shd w:val="clear" w:color="auto" w:fill="auto"/>
            <w:noWrap/>
            <w:vAlign w:val="center"/>
          </w:tcPr>
          <w:p w14:paraId="48BD6EC0" w14:textId="1828E384"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0.7</w:t>
            </w:r>
          </w:p>
        </w:tc>
        <w:tc>
          <w:tcPr>
            <w:tcW w:w="991" w:type="dxa"/>
            <w:tcBorders>
              <w:top w:val="nil"/>
              <w:left w:val="single" w:sz="6" w:space="0" w:color="404040"/>
              <w:bottom w:val="nil"/>
              <w:right w:val="nil"/>
            </w:tcBorders>
            <w:shd w:val="clear" w:color="auto" w:fill="auto"/>
            <w:noWrap/>
            <w:vAlign w:val="center"/>
          </w:tcPr>
          <w:p w14:paraId="264E85DB" w14:textId="73C93EEC"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15.6</w:t>
            </w:r>
          </w:p>
        </w:tc>
        <w:tc>
          <w:tcPr>
            <w:tcW w:w="934" w:type="dxa"/>
            <w:tcBorders>
              <w:top w:val="nil"/>
              <w:left w:val="nil"/>
              <w:bottom w:val="nil"/>
              <w:right w:val="nil"/>
            </w:tcBorders>
            <w:shd w:val="clear" w:color="auto" w:fill="auto"/>
            <w:noWrap/>
            <w:vAlign w:val="center"/>
          </w:tcPr>
          <w:p w14:paraId="2D71EEB0" w14:textId="62FCF21C"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1.0</w:t>
            </w:r>
          </w:p>
        </w:tc>
        <w:tc>
          <w:tcPr>
            <w:tcW w:w="1050" w:type="dxa"/>
            <w:tcBorders>
              <w:top w:val="nil"/>
              <w:left w:val="nil"/>
              <w:bottom w:val="nil"/>
              <w:right w:val="single" w:sz="8" w:space="0" w:color="404040"/>
            </w:tcBorders>
            <w:shd w:val="clear" w:color="auto" w:fill="auto"/>
            <w:noWrap/>
            <w:vAlign w:val="center"/>
          </w:tcPr>
          <w:p w14:paraId="06DE9E66" w14:textId="46AEF3BD" w:rsidR="009F32AF" w:rsidRPr="005E37BC" w:rsidRDefault="009F32AF" w:rsidP="009F32AF">
            <w:pPr>
              <w:tabs>
                <w:tab w:val="decimal" w:pos="588"/>
              </w:tabs>
              <w:jc w:val="left"/>
              <w:rPr>
                <w:color w:val="000000"/>
                <w:sz w:val="16"/>
                <w:szCs w:val="16"/>
              </w:rPr>
            </w:pPr>
            <w:r>
              <w:rPr>
                <w:color w:val="000000"/>
                <w:sz w:val="16"/>
                <w:szCs w:val="16"/>
              </w:rPr>
              <w:t>2.8</w:t>
            </w:r>
          </w:p>
        </w:tc>
      </w:tr>
      <w:tr w:rsidR="009F32AF" w:rsidRPr="002F4D9C" w14:paraId="73D4028C"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9F32AF" w:rsidRPr="002F4D9C" w:rsidRDefault="009F32AF" w:rsidP="009F32AF">
            <w:pPr>
              <w:spacing w:before="20" w:after="20"/>
              <w:ind w:left="97"/>
              <w:jc w:val="left"/>
              <w:rPr>
                <w:bCs/>
                <w:sz w:val="16"/>
                <w:szCs w:val="16"/>
              </w:rPr>
            </w:pPr>
            <w:r w:rsidRPr="002F4D9C">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4DE2CBDD"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17.4</w:t>
            </w:r>
          </w:p>
        </w:tc>
        <w:tc>
          <w:tcPr>
            <w:tcW w:w="942" w:type="dxa"/>
            <w:tcBorders>
              <w:top w:val="nil"/>
              <w:left w:val="nil"/>
              <w:bottom w:val="nil"/>
              <w:right w:val="nil"/>
            </w:tcBorders>
            <w:shd w:val="clear" w:color="auto" w:fill="auto"/>
            <w:noWrap/>
            <w:vAlign w:val="center"/>
          </w:tcPr>
          <w:p w14:paraId="5777B38E" w14:textId="5AC14A12"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4.5</w:t>
            </w:r>
          </w:p>
        </w:tc>
        <w:tc>
          <w:tcPr>
            <w:tcW w:w="1042" w:type="dxa"/>
            <w:tcBorders>
              <w:top w:val="nil"/>
              <w:left w:val="nil"/>
              <w:bottom w:val="nil"/>
              <w:right w:val="single" w:sz="6" w:space="0" w:color="404040"/>
            </w:tcBorders>
            <w:shd w:val="clear" w:color="auto" w:fill="auto"/>
            <w:noWrap/>
            <w:vAlign w:val="center"/>
          </w:tcPr>
          <w:p w14:paraId="263031F1" w14:textId="6AEB4587"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2.9</w:t>
            </w:r>
          </w:p>
        </w:tc>
        <w:tc>
          <w:tcPr>
            <w:tcW w:w="991" w:type="dxa"/>
            <w:tcBorders>
              <w:top w:val="nil"/>
              <w:left w:val="single" w:sz="6" w:space="0" w:color="404040"/>
              <w:bottom w:val="nil"/>
              <w:right w:val="nil"/>
            </w:tcBorders>
            <w:shd w:val="clear" w:color="auto" w:fill="auto"/>
            <w:noWrap/>
            <w:vAlign w:val="center"/>
          </w:tcPr>
          <w:p w14:paraId="21F8BED9" w14:textId="022D0A82"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25.7</w:t>
            </w:r>
          </w:p>
        </w:tc>
        <w:tc>
          <w:tcPr>
            <w:tcW w:w="934" w:type="dxa"/>
            <w:tcBorders>
              <w:top w:val="nil"/>
              <w:left w:val="nil"/>
              <w:bottom w:val="nil"/>
              <w:right w:val="nil"/>
            </w:tcBorders>
            <w:shd w:val="clear" w:color="auto" w:fill="auto"/>
            <w:noWrap/>
            <w:vAlign w:val="center"/>
          </w:tcPr>
          <w:p w14:paraId="5EBE4B92" w14:textId="29E9A9DE"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4.1</w:t>
            </w:r>
          </w:p>
        </w:tc>
        <w:tc>
          <w:tcPr>
            <w:tcW w:w="1050" w:type="dxa"/>
            <w:tcBorders>
              <w:top w:val="nil"/>
              <w:left w:val="nil"/>
              <w:bottom w:val="nil"/>
              <w:right w:val="single" w:sz="8" w:space="0" w:color="404040"/>
            </w:tcBorders>
            <w:shd w:val="clear" w:color="auto" w:fill="auto"/>
            <w:noWrap/>
            <w:vAlign w:val="center"/>
          </w:tcPr>
          <w:p w14:paraId="4565F77B" w14:textId="508A1261"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6.8</w:t>
            </w:r>
          </w:p>
        </w:tc>
      </w:tr>
      <w:tr w:rsidR="009F32AF" w:rsidRPr="002F4D9C" w14:paraId="5B4D207B"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9F32AF" w:rsidRPr="002F4D9C" w:rsidRDefault="009F32AF" w:rsidP="009F32AF">
            <w:pPr>
              <w:spacing w:before="20" w:after="20"/>
              <w:ind w:left="97"/>
              <w:jc w:val="left"/>
              <w:rPr>
                <w:bCs/>
                <w:sz w:val="16"/>
                <w:szCs w:val="16"/>
              </w:rPr>
            </w:pPr>
            <w:r w:rsidRPr="002F4D9C">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01E8BD6B"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33.0</w:t>
            </w:r>
          </w:p>
        </w:tc>
        <w:tc>
          <w:tcPr>
            <w:tcW w:w="942" w:type="dxa"/>
            <w:tcBorders>
              <w:top w:val="nil"/>
              <w:left w:val="nil"/>
              <w:bottom w:val="nil"/>
              <w:right w:val="nil"/>
            </w:tcBorders>
            <w:shd w:val="clear" w:color="auto" w:fill="auto"/>
            <w:noWrap/>
            <w:vAlign w:val="center"/>
          </w:tcPr>
          <w:p w14:paraId="40A6CA74" w14:textId="0D33CA78"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2.9</w:t>
            </w:r>
          </w:p>
        </w:tc>
        <w:tc>
          <w:tcPr>
            <w:tcW w:w="1042" w:type="dxa"/>
            <w:tcBorders>
              <w:top w:val="nil"/>
              <w:left w:val="nil"/>
              <w:bottom w:val="nil"/>
              <w:right w:val="single" w:sz="6" w:space="0" w:color="404040"/>
            </w:tcBorders>
            <w:shd w:val="clear" w:color="auto" w:fill="auto"/>
            <w:noWrap/>
            <w:vAlign w:val="center"/>
          </w:tcPr>
          <w:p w14:paraId="59B19330" w14:textId="537EEB43"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15.9</w:t>
            </w:r>
          </w:p>
        </w:tc>
        <w:tc>
          <w:tcPr>
            <w:tcW w:w="991" w:type="dxa"/>
            <w:tcBorders>
              <w:top w:val="nil"/>
              <w:left w:val="single" w:sz="6" w:space="0" w:color="404040"/>
              <w:bottom w:val="nil"/>
              <w:right w:val="nil"/>
            </w:tcBorders>
            <w:shd w:val="clear" w:color="auto" w:fill="auto"/>
            <w:noWrap/>
            <w:vAlign w:val="center"/>
          </w:tcPr>
          <w:p w14:paraId="0C688A7B" w14:textId="20F64C74"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24.1</w:t>
            </w:r>
          </w:p>
        </w:tc>
        <w:tc>
          <w:tcPr>
            <w:tcW w:w="934" w:type="dxa"/>
            <w:tcBorders>
              <w:top w:val="nil"/>
              <w:left w:val="nil"/>
              <w:bottom w:val="nil"/>
              <w:right w:val="nil"/>
            </w:tcBorders>
            <w:shd w:val="clear" w:color="auto" w:fill="auto"/>
            <w:noWrap/>
            <w:vAlign w:val="center"/>
          </w:tcPr>
          <w:p w14:paraId="219555B2" w14:textId="5A87EB38"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1.5</w:t>
            </w:r>
          </w:p>
        </w:tc>
        <w:tc>
          <w:tcPr>
            <w:tcW w:w="1050" w:type="dxa"/>
            <w:tcBorders>
              <w:top w:val="nil"/>
              <w:left w:val="nil"/>
              <w:bottom w:val="nil"/>
              <w:right w:val="single" w:sz="8" w:space="0" w:color="404040"/>
            </w:tcBorders>
            <w:shd w:val="clear" w:color="auto" w:fill="auto"/>
            <w:noWrap/>
            <w:vAlign w:val="center"/>
          </w:tcPr>
          <w:p w14:paraId="79054C4D" w14:textId="5F40B730"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5.9</w:t>
            </w:r>
          </w:p>
        </w:tc>
      </w:tr>
      <w:tr w:rsidR="009F32AF" w:rsidRPr="002F4D9C" w14:paraId="39EBF2C1"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9F32AF" w:rsidRPr="002F4D9C" w:rsidRDefault="009F32AF" w:rsidP="009F32AF">
            <w:pPr>
              <w:spacing w:before="20" w:after="20"/>
              <w:ind w:left="97"/>
              <w:jc w:val="left"/>
              <w:rPr>
                <w:bCs/>
                <w:sz w:val="16"/>
                <w:szCs w:val="16"/>
              </w:rPr>
            </w:pPr>
            <w:r w:rsidRPr="002F4D9C">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6FA70A47"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51.8</w:t>
            </w:r>
          </w:p>
        </w:tc>
        <w:tc>
          <w:tcPr>
            <w:tcW w:w="942" w:type="dxa"/>
            <w:tcBorders>
              <w:top w:val="nil"/>
              <w:left w:val="nil"/>
              <w:bottom w:val="nil"/>
              <w:right w:val="nil"/>
            </w:tcBorders>
            <w:shd w:val="clear" w:color="auto" w:fill="auto"/>
            <w:noWrap/>
            <w:vAlign w:val="center"/>
          </w:tcPr>
          <w:p w14:paraId="6B37BCF5" w14:textId="64200070"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14.2</w:t>
            </w:r>
          </w:p>
        </w:tc>
        <w:tc>
          <w:tcPr>
            <w:tcW w:w="1042" w:type="dxa"/>
            <w:tcBorders>
              <w:top w:val="nil"/>
              <w:left w:val="nil"/>
              <w:bottom w:val="nil"/>
              <w:right w:val="single" w:sz="6" w:space="0" w:color="404040"/>
            </w:tcBorders>
            <w:shd w:val="clear" w:color="auto" w:fill="auto"/>
            <w:noWrap/>
            <w:vAlign w:val="center"/>
          </w:tcPr>
          <w:p w14:paraId="5458F498" w14:textId="43310641" w:rsidR="009F32AF" w:rsidRPr="007C298E" w:rsidRDefault="009F32AF" w:rsidP="009F32AF">
            <w:pPr>
              <w:tabs>
                <w:tab w:val="decimal" w:pos="517"/>
              </w:tabs>
              <w:jc w:val="left"/>
              <w:rPr>
                <w:color w:val="000000"/>
                <w:sz w:val="16"/>
                <w:szCs w:val="16"/>
              </w:rPr>
            </w:pPr>
            <w:r>
              <w:rPr>
                <w:color w:val="000000"/>
                <w:sz w:val="16"/>
                <w:szCs w:val="16"/>
              </w:rPr>
              <w:t>0.8</w:t>
            </w:r>
          </w:p>
        </w:tc>
        <w:tc>
          <w:tcPr>
            <w:tcW w:w="991" w:type="dxa"/>
            <w:tcBorders>
              <w:top w:val="nil"/>
              <w:left w:val="single" w:sz="6" w:space="0" w:color="404040"/>
              <w:bottom w:val="nil"/>
              <w:right w:val="nil"/>
            </w:tcBorders>
            <w:shd w:val="clear" w:color="auto" w:fill="auto"/>
            <w:noWrap/>
            <w:vAlign w:val="center"/>
          </w:tcPr>
          <w:p w14:paraId="73AC5324" w14:textId="06BDCE85"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43.5</w:t>
            </w:r>
          </w:p>
        </w:tc>
        <w:tc>
          <w:tcPr>
            <w:tcW w:w="934" w:type="dxa"/>
            <w:tcBorders>
              <w:top w:val="nil"/>
              <w:left w:val="nil"/>
              <w:bottom w:val="nil"/>
              <w:right w:val="nil"/>
            </w:tcBorders>
            <w:shd w:val="clear" w:color="auto" w:fill="auto"/>
            <w:noWrap/>
            <w:vAlign w:val="center"/>
          </w:tcPr>
          <w:p w14:paraId="34FE89CF" w14:textId="69A713D5"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11.8</w:t>
            </w:r>
          </w:p>
        </w:tc>
        <w:tc>
          <w:tcPr>
            <w:tcW w:w="1050" w:type="dxa"/>
            <w:tcBorders>
              <w:top w:val="nil"/>
              <w:left w:val="nil"/>
              <w:bottom w:val="nil"/>
              <w:right w:val="single" w:sz="8" w:space="0" w:color="404040"/>
            </w:tcBorders>
            <w:shd w:val="clear" w:color="auto" w:fill="auto"/>
            <w:noWrap/>
            <w:vAlign w:val="center"/>
          </w:tcPr>
          <w:p w14:paraId="23F99C3F" w14:textId="1E2CBF95"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4.0</w:t>
            </w:r>
          </w:p>
        </w:tc>
      </w:tr>
      <w:tr w:rsidR="009F32AF" w:rsidRPr="002F4D9C" w14:paraId="350C4C31"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9F32AF" w:rsidRPr="002F4D9C" w:rsidRDefault="009F32AF" w:rsidP="009F32AF">
            <w:pPr>
              <w:spacing w:before="20" w:after="20"/>
              <w:ind w:left="97"/>
              <w:jc w:val="left"/>
              <w:rPr>
                <w:bCs/>
                <w:sz w:val="16"/>
                <w:szCs w:val="16"/>
              </w:rPr>
            </w:pPr>
            <w:r w:rsidRPr="002F4D9C">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1B977E1C"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24.0</w:t>
            </w:r>
          </w:p>
        </w:tc>
        <w:tc>
          <w:tcPr>
            <w:tcW w:w="942" w:type="dxa"/>
            <w:tcBorders>
              <w:top w:val="nil"/>
              <w:left w:val="nil"/>
              <w:bottom w:val="nil"/>
              <w:right w:val="nil"/>
            </w:tcBorders>
            <w:shd w:val="clear" w:color="auto" w:fill="auto"/>
            <w:noWrap/>
            <w:vAlign w:val="center"/>
          </w:tcPr>
          <w:p w14:paraId="350BC27D" w14:textId="77BA3FE7"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0.7</w:t>
            </w:r>
          </w:p>
        </w:tc>
        <w:tc>
          <w:tcPr>
            <w:tcW w:w="1042" w:type="dxa"/>
            <w:tcBorders>
              <w:top w:val="nil"/>
              <w:left w:val="nil"/>
              <w:bottom w:val="nil"/>
              <w:right w:val="single" w:sz="6" w:space="0" w:color="404040"/>
            </w:tcBorders>
            <w:shd w:val="clear" w:color="auto" w:fill="auto"/>
            <w:noWrap/>
            <w:vAlign w:val="center"/>
          </w:tcPr>
          <w:p w14:paraId="1F30FBFF" w14:textId="0E76A0B0"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11.0</w:t>
            </w:r>
          </w:p>
        </w:tc>
        <w:tc>
          <w:tcPr>
            <w:tcW w:w="991" w:type="dxa"/>
            <w:tcBorders>
              <w:top w:val="nil"/>
              <w:left w:val="single" w:sz="6" w:space="0" w:color="404040"/>
              <w:bottom w:val="nil"/>
              <w:right w:val="nil"/>
            </w:tcBorders>
            <w:shd w:val="clear" w:color="auto" w:fill="auto"/>
            <w:noWrap/>
            <w:vAlign w:val="center"/>
          </w:tcPr>
          <w:p w14:paraId="35401D29" w14:textId="659687C5"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27.7</w:t>
            </w:r>
          </w:p>
        </w:tc>
        <w:tc>
          <w:tcPr>
            <w:tcW w:w="934" w:type="dxa"/>
            <w:tcBorders>
              <w:top w:val="nil"/>
              <w:left w:val="nil"/>
              <w:bottom w:val="nil"/>
              <w:right w:val="nil"/>
            </w:tcBorders>
            <w:shd w:val="clear" w:color="auto" w:fill="auto"/>
            <w:noWrap/>
            <w:vAlign w:val="center"/>
          </w:tcPr>
          <w:p w14:paraId="77AB7838" w14:textId="663E725C"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4.0</w:t>
            </w:r>
          </w:p>
        </w:tc>
        <w:tc>
          <w:tcPr>
            <w:tcW w:w="1050" w:type="dxa"/>
            <w:tcBorders>
              <w:top w:val="nil"/>
              <w:left w:val="nil"/>
              <w:bottom w:val="nil"/>
              <w:right w:val="single" w:sz="8" w:space="0" w:color="404040"/>
            </w:tcBorders>
            <w:shd w:val="clear" w:color="auto" w:fill="auto"/>
            <w:noWrap/>
            <w:vAlign w:val="center"/>
          </w:tcPr>
          <w:p w14:paraId="083003BE" w14:textId="58750602"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5.1</w:t>
            </w:r>
          </w:p>
        </w:tc>
      </w:tr>
      <w:tr w:rsidR="009F32AF" w:rsidRPr="002F4D9C" w14:paraId="254D5879"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9F32AF" w:rsidRPr="002F4D9C" w:rsidRDefault="009F32AF" w:rsidP="009F32AF">
            <w:pPr>
              <w:spacing w:before="20" w:after="20"/>
              <w:ind w:left="97"/>
              <w:jc w:val="left"/>
              <w:rPr>
                <w:bCs/>
                <w:sz w:val="16"/>
                <w:szCs w:val="16"/>
              </w:rPr>
            </w:pPr>
            <w:r w:rsidRPr="002F4D9C">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12A6AF3A"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20.5</w:t>
            </w:r>
          </w:p>
        </w:tc>
        <w:tc>
          <w:tcPr>
            <w:tcW w:w="942" w:type="dxa"/>
            <w:tcBorders>
              <w:top w:val="nil"/>
              <w:left w:val="nil"/>
              <w:bottom w:val="nil"/>
              <w:right w:val="nil"/>
            </w:tcBorders>
            <w:shd w:val="clear" w:color="auto" w:fill="auto"/>
            <w:noWrap/>
            <w:vAlign w:val="center"/>
          </w:tcPr>
          <w:p w14:paraId="153AE4A0" w14:textId="67805D1C"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3.7</w:t>
            </w:r>
          </w:p>
        </w:tc>
        <w:tc>
          <w:tcPr>
            <w:tcW w:w="1042" w:type="dxa"/>
            <w:tcBorders>
              <w:top w:val="nil"/>
              <w:left w:val="nil"/>
              <w:bottom w:val="nil"/>
              <w:right w:val="single" w:sz="6" w:space="0" w:color="404040"/>
            </w:tcBorders>
            <w:shd w:val="clear" w:color="auto" w:fill="auto"/>
            <w:noWrap/>
            <w:vAlign w:val="center"/>
          </w:tcPr>
          <w:p w14:paraId="0F618101" w14:textId="67CE33D7"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6.7</w:t>
            </w:r>
          </w:p>
        </w:tc>
        <w:tc>
          <w:tcPr>
            <w:tcW w:w="991" w:type="dxa"/>
            <w:tcBorders>
              <w:top w:val="nil"/>
              <w:left w:val="single" w:sz="6" w:space="0" w:color="404040"/>
              <w:bottom w:val="nil"/>
              <w:right w:val="nil"/>
            </w:tcBorders>
            <w:shd w:val="clear" w:color="auto" w:fill="auto"/>
            <w:noWrap/>
            <w:vAlign w:val="center"/>
          </w:tcPr>
          <w:p w14:paraId="2A9EC3A7" w14:textId="38E52D6E"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26.4</w:t>
            </w:r>
          </w:p>
        </w:tc>
        <w:tc>
          <w:tcPr>
            <w:tcW w:w="934" w:type="dxa"/>
            <w:tcBorders>
              <w:top w:val="nil"/>
              <w:left w:val="nil"/>
              <w:bottom w:val="nil"/>
              <w:right w:val="nil"/>
            </w:tcBorders>
            <w:shd w:val="clear" w:color="auto" w:fill="auto"/>
            <w:noWrap/>
            <w:vAlign w:val="center"/>
          </w:tcPr>
          <w:p w14:paraId="27C4B1AA" w14:textId="4083C12E"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4.4</w:t>
            </w:r>
          </w:p>
        </w:tc>
        <w:tc>
          <w:tcPr>
            <w:tcW w:w="1050" w:type="dxa"/>
            <w:tcBorders>
              <w:top w:val="nil"/>
              <w:left w:val="nil"/>
              <w:bottom w:val="nil"/>
              <w:right w:val="single" w:sz="8" w:space="0" w:color="404040"/>
            </w:tcBorders>
            <w:shd w:val="clear" w:color="auto" w:fill="auto"/>
            <w:noWrap/>
            <w:vAlign w:val="center"/>
          </w:tcPr>
          <w:p w14:paraId="3FE091FC" w14:textId="658896A2" w:rsidR="009F32AF" w:rsidRPr="005E37BC" w:rsidRDefault="009F32AF" w:rsidP="009F32AF">
            <w:pPr>
              <w:tabs>
                <w:tab w:val="decimal" w:pos="588"/>
              </w:tabs>
              <w:jc w:val="left"/>
              <w:rPr>
                <w:color w:val="000000"/>
                <w:sz w:val="16"/>
                <w:szCs w:val="16"/>
              </w:rPr>
            </w:pPr>
            <w:r>
              <w:rPr>
                <w:color w:val="000000"/>
                <w:sz w:val="16"/>
                <w:szCs w:val="16"/>
              </w:rPr>
              <w:t>3.9</w:t>
            </w:r>
          </w:p>
        </w:tc>
      </w:tr>
      <w:tr w:rsidR="009F32AF" w:rsidRPr="002F4D9C" w14:paraId="580DD6AD"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9F32AF" w:rsidRPr="002F4D9C" w:rsidRDefault="009F32AF" w:rsidP="009F32AF">
            <w:pPr>
              <w:spacing w:before="20" w:after="20"/>
              <w:ind w:left="97"/>
              <w:jc w:val="left"/>
              <w:rPr>
                <w:bCs/>
                <w:sz w:val="16"/>
                <w:szCs w:val="16"/>
              </w:rPr>
            </w:pPr>
            <w:r w:rsidRPr="002F4D9C">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77A5AAEC"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2.2</w:t>
            </w:r>
          </w:p>
        </w:tc>
        <w:tc>
          <w:tcPr>
            <w:tcW w:w="942" w:type="dxa"/>
            <w:tcBorders>
              <w:top w:val="nil"/>
              <w:left w:val="nil"/>
              <w:bottom w:val="nil"/>
              <w:right w:val="nil"/>
            </w:tcBorders>
            <w:shd w:val="clear" w:color="auto" w:fill="auto"/>
            <w:noWrap/>
            <w:vAlign w:val="center"/>
          </w:tcPr>
          <w:p w14:paraId="5270EDA7" w14:textId="404FFE7C"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6.8</w:t>
            </w:r>
          </w:p>
        </w:tc>
        <w:tc>
          <w:tcPr>
            <w:tcW w:w="1042" w:type="dxa"/>
            <w:tcBorders>
              <w:top w:val="nil"/>
              <w:left w:val="nil"/>
              <w:bottom w:val="nil"/>
              <w:right w:val="single" w:sz="6" w:space="0" w:color="404040"/>
            </w:tcBorders>
            <w:shd w:val="clear" w:color="auto" w:fill="auto"/>
            <w:noWrap/>
            <w:vAlign w:val="center"/>
          </w:tcPr>
          <w:p w14:paraId="515A07E4" w14:textId="2F3F5A44"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1.3</w:t>
            </w:r>
          </w:p>
        </w:tc>
        <w:tc>
          <w:tcPr>
            <w:tcW w:w="991" w:type="dxa"/>
            <w:tcBorders>
              <w:top w:val="nil"/>
              <w:left w:val="single" w:sz="6" w:space="0" w:color="404040"/>
              <w:bottom w:val="nil"/>
              <w:right w:val="nil"/>
            </w:tcBorders>
            <w:shd w:val="clear" w:color="auto" w:fill="auto"/>
            <w:noWrap/>
            <w:vAlign w:val="center"/>
          </w:tcPr>
          <w:p w14:paraId="05EDA912" w14:textId="4A914BFB"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17.9</w:t>
            </w:r>
          </w:p>
        </w:tc>
        <w:tc>
          <w:tcPr>
            <w:tcW w:w="934" w:type="dxa"/>
            <w:tcBorders>
              <w:top w:val="nil"/>
              <w:left w:val="nil"/>
              <w:bottom w:val="nil"/>
              <w:right w:val="nil"/>
            </w:tcBorders>
            <w:shd w:val="clear" w:color="auto" w:fill="auto"/>
            <w:noWrap/>
            <w:vAlign w:val="center"/>
          </w:tcPr>
          <w:p w14:paraId="097BD8F5" w14:textId="419C3D8A"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2.4</w:t>
            </w:r>
          </w:p>
        </w:tc>
        <w:tc>
          <w:tcPr>
            <w:tcW w:w="1050" w:type="dxa"/>
            <w:tcBorders>
              <w:top w:val="nil"/>
              <w:left w:val="nil"/>
              <w:bottom w:val="nil"/>
              <w:right w:val="single" w:sz="8" w:space="0" w:color="404040"/>
            </w:tcBorders>
            <w:shd w:val="clear" w:color="auto" w:fill="auto"/>
            <w:noWrap/>
            <w:vAlign w:val="center"/>
          </w:tcPr>
          <w:p w14:paraId="6F3ED211" w14:textId="22F54485" w:rsidR="009F32AF" w:rsidRPr="005E37BC" w:rsidRDefault="009F32AF" w:rsidP="009F32AF">
            <w:pPr>
              <w:tabs>
                <w:tab w:val="decimal" w:pos="588"/>
              </w:tabs>
              <w:jc w:val="left"/>
              <w:rPr>
                <w:color w:val="000000"/>
                <w:sz w:val="16"/>
                <w:szCs w:val="16"/>
              </w:rPr>
            </w:pPr>
            <w:r>
              <w:rPr>
                <w:color w:val="000000"/>
                <w:sz w:val="16"/>
                <w:szCs w:val="16"/>
              </w:rPr>
              <w:t>3.3</w:t>
            </w:r>
          </w:p>
        </w:tc>
      </w:tr>
      <w:tr w:rsidR="009F32AF" w:rsidRPr="002F4D9C" w14:paraId="6EDCB38A"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9F32AF" w:rsidRPr="002F4D9C" w:rsidRDefault="009F32AF" w:rsidP="009F32AF">
            <w:pPr>
              <w:spacing w:before="20" w:after="20"/>
              <w:ind w:left="97"/>
              <w:jc w:val="left"/>
              <w:rPr>
                <w:bCs/>
                <w:sz w:val="16"/>
                <w:szCs w:val="16"/>
              </w:rPr>
            </w:pPr>
            <w:r w:rsidRPr="002F4D9C">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62B8CBD4"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19.8</w:t>
            </w:r>
          </w:p>
        </w:tc>
        <w:tc>
          <w:tcPr>
            <w:tcW w:w="942" w:type="dxa"/>
            <w:tcBorders>
              <w:top w:val="nil"/>
              <w:left w:val="nil"/>
              <w:bottom w:val="nil"/>
              <w:right w:val="nil"/>
            </w:tcBorders>
            <w:shd w:val="clear" w:color="auto" w:fill="auto"/>
            <w:noWrap/>
            <w:vAlign w:val="center"/>
          </w:tcPr>
          <w:p w14:paraId="1758DE33" w14:textId="03F7DC41"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3.3</w:t>
            </w:r>
          </w:p>
        </w:tc>
        <w:tc>
          <w:tcPr>
            <w:tcW w:w="1042" w:type="dxa"/>
            <w:tcBorders>
              <w:top w:val="nil"/>
              <w:left w:val="nil"/>
              <w:bottom w:val="nil"/>
              <w:right w:val="single" w:sz="6" w:space="0" w:color="404040"/>
            </w:tcBorders>
            <w:shd w:val="clear" w:color="auto" w:fill="auto"/>
            <w:noWrap/>
            <w:vAlign w:val="center"/>
          </w:tcPr>
          <w:p w14:paraId="47510891" w14:textId="06CB641C"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4.5</w:t>
            </w:r>
          </w:p>
        </w:tc>
        <w:tc>
          <w:tcPr>
            <w:tcW w:w="991" w:type="dxa"/>
            <w:tcBorders>
              <w:top w:val="nil"/>
              <w:left w:val="single" w:sz="6" w:space="0" w:color="404040"/>
              <w:bottom w:val="nil"/>
              <w:right w:val="nil"/>
            </w:tcBorders>
            <w:shd w:val="clear" w:color="auto" w:fill="auto"/>
            <w:noWrap/>
            <w:vAlign w:val="center"/>
          </w:tcPr>
          <w:p w14:paraId="0AC28BCE" w14:textId="4EEE5FD6"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32.4</w:t>
            </w:r>
          </w:p>
        </w:tc>
        <w:tc>
          <w:tcPr>
            <w:tcW w:w="934" w:type="dxa"/>
            <w:tcBorders>
              <w:top w:val="nil"/>
              <w:left w:val="nil"/>
              <w:bottom w:val="nil"/>
              <w:right w:val="nil"/>
            </w:tcBorders>
            <w:shd w:val="clear" w:color="auto" w:fill="auto"/>
            <w:noWrap/>
            <w:vAlign w:val="center"/>
          </w:tcPr>
          <w:p w14:paraId="647A0B3E" w14:textId="7DCA02F7"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5.6</w:t>
            </w:r>
          </w:p>
        </w:tc>
        <w:tc>
          <w:tcPr>
            <w:tcW w:w="1050" w:type="dxa"/>
            <w:tcBorders>
              <w:top w:val="nil"/>
              <w:left w:val="nil"/>
              <w:bottom w:val="nil"/>
              <w:right w:val="single" w:sz="8" w:space="0" w:color="404040"/>
            </w:tcBorders>
            <w:shd w:val="clear" w:color="auto" w:fill="auto"/>
            <w:noWrap/>
            <w:vAlign w:val="center"/>
          </w:tcPr>
          <w:p w14:paraId="390E2636" w14:textId="4FF9F384"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5.2</w:t>
            </w:r>
          </w:p>
        </w:tc>
      </w:tr>
      <w:tr w:rsidR="009F32AF" w:rsidRPr="002F4D9C" w14:paraId="09BD79EB"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9F32AF" w:rsidRPr="002F4D9C" w:rsidRDefault="009F32AF" w:rsidP="009F32AF">
            <w:pPr>
              <w:spacing w:before="20" w:after="20"/>
              <w:ind w:left="97"/>
              <w:jc w:val="left"/>
              <w:rPr>
                <w:bCs/>
                <w:sz w:val="16"/>
                <w:szCs w:val="16"/>
              </w:rPr>
            </w:pPr>
            <w:r w:rsidRPr="002F4D9C">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0A5CA30B"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25.5</w:t>
            </w:r>
          </w:p>
        </w:tc>
        <w:tc>
          <w:tcPr>
            <w:tcW w:w="942" w:type="dxa"/>
            <w:tcBorders>
              <w:top w:val="nil"/>
              <w:left w:val="nil"/>
              <w:bottom w:val="nil"/>
              <w:right w:val="nil"/>
            </w:tcBorders>
            <w:shd w:val="clear" w:color="auto" w:fill="auto"/>
            <w:noWrap/>
            <w:vAlign w:val="center"/>
          </w:tcPr>
          <w:p w14:paraId="331C7084" w14:textId="36560FD8"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4.1</w:t>
            </w:r>
          </w:p>
        </w:tc>
        <w:tc>
          <w:tcPr>
            <w:tcW w:w="1042" w:type="dxa"/>
            <w:tcBorders>
              <w:top w:val="nil"/>
              <w:left w:val="nil"/>
              <w:bottom w:val="nil"/>
              <w:right w:val="single" w:sz="6" w:space="0" w:color="404040"/>
            </w:tcBorders>
            <w:shd w:val="clear" w:color="auto" w:fill="auto"/>
            <w:noWrap/>
            <w:vAlign w:val="center"/>
          </w:tcPr>
          <w:p w14:paraId="65155696" w14:textId="76869FCC" w:rsidR="009F32AF" w:rsidRPr="007C298E" w:rsidRDefault="009F32AF" w:rsidP="009F32AF">
            <w:pPr>
              <w:tabs>
                <w:tab w:val="decimal" w:pos="517"/>
              </w:tabs>
              <w:jc w:val="left"/>
              <w:rPr>
                <w:color w:val="000000"/>
                <w:sz w:val="16"/>
                <w:szCs w:val="16"/>
              </w:rPr>
            </w:pPr>
            <w:r>
              <w:rPr>
                <w:color w:val="000000"/>
                <w:sz w:val="16"/>
                <w:szCs w:val="16"/>
              </w:rPr>
              <w:t>0.2</w:t>
            </w:r>
          </w:p>
        </w:tc>
        <w:tc>
          <w:tcPr>
            <w:tcW w:w="991" w:type="dxa"/>
            <w:tcBorders>
              <w:top w:val="nil"/>
              <w:left w:val="single" w:sz="6" w:space="0" w:color="404040"/>
              <w:bottom w:val="nil"/>
              <w:right w:val="nil"/>
            </w:tcBorders>
            <w:shd w:val="clear" w:color="auto" w:fill="auto"/>
            <w:noWrap/>
            <w:vAlign w:val="center"/>
          </w:tcPr>
          <w:p w14:paraId="7EA7A223" w14:textId="6FA958DF"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11.2</w:t>
            </w:r>
          </w:p>
        </w:tc>
        <w:tc>
          <w:tcPr>
            <w:tcW w:w="934" w:type="dxa"/>
            <w:tcBorders>
              <w:top w:val="nil"/>
              <w:left w:val="nil"/>
              <w:bottom w:val="nil"/>
              <w:right w:val="nil"/>
            </w:tcBorders>
            <w:shd w:val="clear" w:color="auto" w:fill="auto"/>
            <w:noWrap/>
            <w:vAlign w:val="center"/>
          </w:tcPr>
          <w:p w14:paraId="00041D44" w14:textId="3646C362"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4.9</w:t>
            </w:r>
          </w:p>
        </w:tc>
        <w:tc>
          <w:tcPr>
            <w:tcW w:w="1050" w:type="dxa"/>
            <w:tcBorders>
              <w:top w:val="nil"/>
              <w:left w:val="nil"/>
              <w:bottom w:val="nil"/>
              <w:right w:val="single" w:sz="8" w:space="0" w:color="404040"/>
            </w:tcBorders>
            <w:shd w:val="clear" w:color="auto" w:fill="auto"/>
            <w:noWrap/>
            <w:vAlign w:val="center"/>
          </w:tcPr>
          <w:p w14:paraId="38E3799E" w14:textId="2D2EE5DF" w:rsidR="009F32AF" w:rsidRPr="005E37BC" w:rsidRDefault="009F32AF" w:rsidP="009F32AF">
            <w:pPr>
              <w:tabs>
                <w:tab w:val="decimal" w:pos="588"/>
              </w:tabs>
              <w:jc w:val="left"/>
              <w:rPr>
                <w:color w:val="000000"/>
                <w:sz w:val="16"/>
                <w:szCs w:val="16"/>
              </w:rPr>
            </w:pPr>
            <w:r>
              <w:rPr>
                <w:color w:val="000000"/>
                <w:sz w:val="16"/>
                <w:szCs w:val="16"/>
              </w:rPr>
              <w:t>0.9</w:t>
            </w:r>
          </w:p>
        </w:tc>
      </w:tr>
      <w:tr w:rsidR="009F32AF" w:rsidRPr="002F4D9C" w14:paraId="4E5561B3"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9F32AF" w:rsidRPr="002F4D9C" w:rsidRDefault="009F32AF" w:rsidP="009F32AF">
            <w:pPr>
              <w:spacing w:before="20" w:after="20"/>
              <w:ind w:left="97"/>
              <w:jc w:val="left"/>
              <w:rPr>
                <w:bCs/>
                <w:sz w:val="16"/>
                <w:szCs w:val="16"/>
              </w:rPr>
            </w:pPr>
            <w:r w:rsidRPr="002F4D9C">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11E884FD"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21.1</w:t>
            </w:r>
          </w:p>
        </w:tc>
        <w:tc>
          <w:tcPr>
            <w:tcW w:w="942" w:type="dxa"/>
            <w:tcBorders>
              <w:top w:val="nil"/>
              <w:left w:val="nil"/>
              <w:bottom w:val="nil"/>
              <w:right w:val="nil"/>
            </w:tcBorders>
            <w:shd w:val="clear" w:color="auto" w:fill="auto"/>
            <w:noWrap/>
            <w:vAlign w:val="center"/>
          </w:tcPr>
          <w:p w14:paraId="1CDC2048" w14:textId="2FC62AD2" w:rsidR="009F32AF" w:rsidRPr="009F32AF" w:rsidRDefault="009F32AF" w:rsidP="009F32AF">
            <w:pPr>
              <w:tabs>
                <w:tab w:val="decimal" w:pos="517"/>
              </w:tabs>
              <w:jc w:val="left"/>
              <w:rPr>
                <w:bCs/>
                <w:color w:val="000000"/>
                <w:sz w:val="16"/>
                <w:szCs w:val="16"/>
              </w:rPr>
            </w:pPr>
            <w:r w:rsidRPr="009F32AF">
              <w:rPr>
                <w:bCs/>
                <w:color w:val="000000"/>
                <w:sz w:val="16"/>
                <w:szCs w:val="16"/>
              </w:rPr>
              <w:t>12.4</w:t>
            </w:r>
          </w:p>
        </w:tc>
        <w:tc>
          <w:tcPr>
            <w:tcW w:w="1042" w:type="dxa"/>
            <w:tcBorders>
              <w:top w:val="nil"/>
              <w:left w:val="nil"/>
              <w:bottom w:val="nil"/>
              <w:right w:val="single" w:sz="6" w:space="0" w:color="404040"/>
            </w:tcBorders>
            <w:shd w:val="clear" w:color="auto" w:fill="auto"/>
            <w:noWrap/>
            <w:vAlign w:val="center"/>
          </w:tcPr>
          <w:p w14:paraId="43CF2892" w14:textId="38318DB6"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13.0</w:t>
            </w:r>
          </w:p>
        </w:tc>
        <w:tc>
          <w:tcPr>
            <w:tcW w:w="991" w:type="dxa"/>
            <w:tcBorders>
              <w:top w:val="nil"/>
              <w:left w:val="single" w:sz="6" w:space="0" w:color="404040"/>
              <w:bottom w:val="nil"/>
              <w:right w:val="nil"/>
            </w:tcBorders>
            <w:shd w:val="clear" w:color="auto" w:fill="auto"/>
            <w:noWrap/>
            <w:vAlign w:val="center"/>
          </w:tcPr>
          <w:p w14:paraId="7D544EA3" w14:textId="6381BAA4"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18.2</w:t>
            </w:r>
          </w:p>
        </w:tc>
        <w:tc>
          <w:tcPr>
            <w:tcW w:w="934" w:type="dxa"/>
            <w:tcBorders>
              <w:top w:val="nil"/>
              <w:left w:val="nil"/>
              <w:bottom w:val="nil"/>
              <w:right w:val="nil"/>
            </w:tcBorders>
            <w:shd w:val="clear" w:color="auto" w:fill="auto"/>
            <w:noWrap/>
            <w:vAlign w:val="center"/>
          </w:tcPr>
          <w:p w14:paraId="2659CF1C" w14:textId="38771F57"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7.5</w:t>
            </w:r>
          </w:p>
        </w:tc>
        <w:tc>
          <w:tcPr>
            <w:tcW w:w="1050" w:type="dxa"/>
            <w:tcBorders>
              <w:top w:val="nil"/>
              <w:left w:val="nil"/>
              <w:bottom w:val="nil"/>
              <w:right w:val="single" w:sz="8" w:space="0" w:color="404040"/>
            </w:tcBorders>
            <w:shd w:val="clear" w:color="auto" w:fill="auto"/>
            <w:noWrap/>
            <w:vAlign w:val="center"/>
          </w:tcPr>
          <w:p w14:paraId="5E6B1D71" w14:textId="67F8B0FA" w:rsidR="009F32AF" w:rsidRPr="005E37BC" w:rsidRDefault="009F32AF" w:rsidP="009F32AF">
            <w:pPr>
              <w:tabs>
                <w:tab w:val="decimal" w:pos="588"/>
              </w:tabs>
              <w:jc w:val="left"/>
              <w:rPr>
                <w:color w:val="000000"/>
                <w:sz w:val="16"/>
                <w:szCs w:val="16"/>
              </w:rPr>
            </w:pPr>
            <w:r>
              <w:rPr>
                <w:color w:val="000000"/>
                <w:sz w:val="16"/>
                <w:szCs w:val="16"/>
              </w:rPr>
              <w:t>2.7</w:t>
            </w:r>
          </w:p>
        </w:tc>
      </w:tr>
      <w:tr w:rsidR="009F32AF" w:rsidRPr="002F4D9C" w14:paraId="4C801674"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9F32AF" w:rsidRPr="002F4D9C" w:rsidRDefault="009F32AF" w:rsidP="009F32AF">
            <w:pPr>
              <w:spacing w:before="20" w:after="20"/>
              <w:ind w:left="97"/>
              <w:jc w:val="left"/>
              <w:rPr>
                <w:bCs/>
                <w:sz w:val="16"/>
                <w:szCs w:val="16"/>
              </w:rPr>
            </w:pPr>
            <w:r w:rsidRPr="002F4D9C">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5262B791"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20.6</w:t>
            </w:r>
          </w:p>
        </w:tc>
        <w:tc>
          <w:tcPr>
            <w:tcW w:w="942" w:type="dxa"/>
            <w:tcBorders>
              <w:top w:val="nil"/>
              <w:left w:val="nil"/>
              <w:bottom w:val="nil"/>
              <w:right w:val="nil"/>
            </w:tcBorders>
            <w:shd w:val="clear" w:color="auto" w:fill="auto"/>
            <w:noWrap/>
            <w:vAlign w:val="center"/>
          </w:tcPr>
          <w:p w14:paraId="6CA40FD6" w14:textId="3247EC7F"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2.2</w:t>
            </w:r>
          </w:p>
        </w:tc>
        <w:tc>
          <w:tcPr>
            <w:tcW w:w="1042" w:type="dxa"/>
            <w:tcBorders>
              <w:top w:val="nil"/>
              <w:left w:val="nil"/>
              <w:bottom w:val="nil"/>
              <w:right w:val="single" w:sz="6" w:space="0" w:color="404040"/>
            </w:tcBorders>
            <w:shd w:val="clear" w:color="auto" w:fill="auto"/>
            <w:noWrap/>
            <w:vAlign w:val="center"/>
          </w:tcPr>
          <w:p w14:paraId="6D0068B2" w14:textId="5831F961"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8.9</w:t>
            </w:r>
          </w:p>
        </w:tc>
        <w:tc>
          <w:tcPr>
            <w:tcW w:w="991" w:type="dxa"/>
            <w:tcBorders>
              <w:top w:val="nil"/>
              <w:left w:val="single" w:sz="6" w:space="0" w:color="404040"/>
              <w:bottom w:val="nil"/>
              <w:right w:val="nil"/>
            </w:tcBorders>
            <w:shd w:val="clear" w:color="auto" w:fill="auto"/>
            <w:noWrap/>
            <w:vAlign w:val="center"/>
          </w:tcPr>
          <w:p w14:paraId="43BD5A7E" w14:textId="2FB6993A"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16.4</w:t>
            </w:r>
          </w:p>
        </w:tc>
        <w:tc>
          <w:tcPr>
            <w:tcW w:w="934" w:type="dxa"/>
            <w:tcBorders>
              <w:top w:val="nil"/>
              <w:left w:val="nil"/>
              <w:bottom w:val="nil"/>
              <w:right w:val="nil"/>
            </w:tcBorders>
            <w:shd w:val="clear" w:color="auto" w:fill="auto"/>
            <w:noWrap/>
            <w:vAlign w:val="center"/>
          </w:tcPr>
          <w:p w14:paraId="524567EB" w14:textId="0C76B180"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5.3</w:t>
            </w:r>
          </w:p>
        </w:tc>
        <w:tc>
          <w:tcPr>
            <w:tcW w:w="1050" w:type="dxa"/>
            <w:tcBorders>
              <w:top w:val="nil"/>
              <w:left w:val="nil"/>
              <w:bottom w:val="nil"/>
              <w:right w:val="single" w:sz="8" w:space="0" w:color="404040"/>
            </w:tcBorders>
            <w:shd w:val="clear" w:color="auto" w:fill="auto"/>
            <w:noWrap/>
            <w:vAlign w:val="center"/>
          </w:tcPr>
          <w:p w14:paraId="4BB07B89" w14:textId="2822547B"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3.5</w:t>
            </w:r>
          </w:p>
        </w:tc>
      </w:tr>
      <w:tr w:rsidR="009F32AF" w:rsidRPr="002F4D9C" w14:paraId="3C648981" w14:textId="77777777" w:rsidTr="009F32A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9F32AF" w:rsidRPr="002F4D9C" w:rsidRDefault="009F32AF" w:rsidP="009F32AF">
            <w:pPr>
              <w:spacing w:before="20" w:after="20"/>
              <w:ind w:left="97"/>
              <w:jc w:val="left"/>
              <w:rPr>
                <w:bCs/>
                <w:sz w:val="16"/>
                <w:szCs w:val="16"/>
              </w:rPr>
            </w:pPr>
            <w:r w:rsidRPr="002F4D9C">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72E2851D"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23.1</w:t>
            </w:r>
          </w:p>
        </w:tc>
        <w:tc>
          <w:tcPr>
            <w:tcW w:w="942" w:type="dxa"/>
            <w:tcBorders>
              <w:top w:val="nil"/>
              <w:left w:val="nil"/>
              <w:bottom w:val="nil"/>
              <w:right w:val="nil"/>
            </w:tcBorders>
            <w:shd w:val="clear" w:color="auto" w:fill="auto"/>
            <w:noWrap/>
            <w:vAlign w:val="center"/>
          </w:tcPr>
          <w:p w14:paraId="637BDE76" w14:textId="2A27DC4F"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6.5</w:t>
            </w:r>
          </w:p>
        </w:tc>
        <w:tc>
          <w:tcPr>
            <w:tcW w:w="1042" w:type="dxa"/>
            <w:tcBorders>
              <w:top w:val="nil"/>
              <w:left w:val="nil"/>
              <w:bottom w:val="nil"/>
              <w:right w:val="single" w:sz="6" w:space="0" w:color="404040"/>
            </w:tcBorders>
            <w:shd w:val="clear" w:color="auto" w:fill="auto"/>
            <w:noWrap/>
            <w:vAlign w:val="center"/>
          </w:tcPr>
          <w:p w14:paraId="221240FE" w14:textId="4578C842"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8.0</w:t>
            </w:r>
          </w:p>
        </w:tc>
        <w:tc>
          <w:tcPr>
            <w:tcW w:w="991" w:type="dxa"/>
            <w:tcBorders>
              <w:top w:val="nil"/>
              <w:left w:val="single" w:sz="6" w:space="0" w:color="404040"/>
              <w:bottom w:val="nil"/>
              <w:right w:val="nil"/>
            </w:tcBorders>
            <w:shd w:val="clear" w:color="auto" w:fill="auto"/>
            <w:noWrap/>
            <w:vAlign w:val="center"/>
          </w:tcPr>
          <w:p w14:paraId="315407DF" w14:textId="1CD63404"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21.2</w:t>
            </w:r>
          </w:p>
        </w:tc>
        <w:tc>
          <w:tcPr>
            <w:tcW w:w="934" w:type="dxa"/>
            <w:tcBorders>
              <w:top w:val="nil"/>
              <w:left w:val="nil"/>
              <w:bottom w:val="nil"/>
              <w:right w:val="nil"/>
            </w:tcBorders>
            <w:shd w:val="clear" w:color="auto" w:fill="auto"/>
            <w:noWrap/>
            <w:vAlign w:val="center"/>
          </w:tcPr>
          <w:p w14:paraId="7FBEC74E" w14:textId="5B2113ED" w:rsidR="009F32AF" w:rsidRPr="007C298E" w:rsidRDefault="009F32AF" w:rsidP="009F32AF">
            <w:pPr>
              <w:tabs>
                <w:tab w:val="decimal" w:pos="588"/>
              </w:tabs>
              <w:jc w:val="left"/>
              <w:rPr>
                <w:color w:val="000000"/>
                <w:sz w:val="16"/>
                <w:szCs w:val="16"/>
              </w:rPr>
            </w:pPr>
            <w:r>
              <w:rPr>
                <w:color w:val="000000"/>
                <w:sz w:val="16"/>
                <w:szCs w:val="16"/>
              </w:rPr>
              <w:t>1.3</w:t>
            </w:r>
          </w:p>
        </w:tc>
        <w:tc>
          <w:tcPr>
            <w:tcW w:w="1050" w:type="dxa"/>
            <w:tcBorders>
              <w:top w:val="nil"/>
              <w:left w:val="nil"/>
              <w:bottom w:val="nil"/>
              <w:right w:val="single" w:sz="8" w:space="0" w:color="404040"/>
            </w:tcBorders>
            <w:shd w:val="clear" w:color="auto" w:fill="auto"/>
            <w:noWrap/>
            <w:vAlign w:val="center"/>
          </w:tcPr>
          <w:p w14:paraId="54F0FE9C" w14:textId="7E3E9C5A"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5.2</w:t>
            </w:r>
          </w:p>
        </w:tc>
      </w:tr>
      <w:tr w:rsidR="009F32AF" w:rsidRPr="002F4D9C" w14:paraId="742B1974" w14:textId="77777777" w:rsidTr="009F32AF">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9F32AF" w:rsidRPr="002F4D9C" w:rsidRDefault="009F32AF" w:rsidP="009F32AF">
            <w:pPr>
              <w:spacing w:before="20" w:after="20"/>
              <w:ind w:left="97"/>
              <w:jc w:val="left"/>
              <w:rPr>
                <w:bCs/>
                <w:sz w:val="16"/>
                <w:szCs w:val="16"/>
              </w:rPr>
            </w:pPr>
            <w:r w:rsidRPr="002F4D9C">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3FCC2DB0" w:rsidR="009F32AF" w:rsidRPr="009F32AF" w:rsidRDefault="009F32AF" w:rsidP="009F32AF">
            <w:pPr>
              <w:tabs>
                <w:tab w:val="left" w:pos="194"/>
                <w:tab w:val="decimal" w:pos="575"/>
              </w:tabs>
              <w:jc w:val="left"/>
              <w:rPr>
                <w:bCs/>
                <w:color w:val="000000"/>
                <w:sz w:val="16"/>
                <w:szCs w:val="16"/>
              </w:rPr>
            </w:pPr>
            <w:r w:rsidRPr="009F32AF">
              <w:rPr>
                <w:bCs/>
                <w:color w:val="000000"/>
                <w:sz w:val="16"/>
                <w:szCs w:val="16"/>
              </w:rPr>
              <w:tab/>
              <w:t>(-)</w:t>
            </w:r>
            <w:r w:rsidRPr="009F32AF">
              <w:rPr>
                <w:bCs/>
                <w:color w:val="000000"/>
                <w:sz w:val="16"/>
                <w:szCs w:val="16"/>
              </w:rPr>
              <w:tab/>
              <w:t>23.3</w:t>
            </w:r>
          </w:p>
        </w:tc>
        <w:tc>
          <w:tcPr>
            <w:tcW w:w="942" w:type="dxa"/>
            <w:tcBorders>
              <w:top w:val="nil"/>
              <w:left w:val="nil"/>
              <w:bottom w:val="single" w:sz="8" w:space="0" w:color="404040"/>
              <w:right w:val="nil"/>
            </w:tcBorders>
            <w:shd w:val="clear" w:color="auto" w:fill="auto"/>
            <w:noWrap/>
            <w:vAlign w:val="center"/>
          </w:tcPr>
          <w:p w14:paraId="2448AE91" w14:textId="316BB959" w:rsidR="009F32AF" w:rsidRPr="009F32AF" w:rsidRDefault="009F32AF" w:rsidP="009F32AF">
            <w:pPr>
              <w:tabs>
                <w:tab w:val="left" w:pos="194"/>
                <w:tab w:val="decimal" w:pos="517"/>
              </w:tabs>
              <w:jc w:val="left"/>
              <w:rPr>
                <w:bCs/>
                <w:color w:val="000000"/>
                <w:sz w:val="16"/>
                <w:szCs w:val="16"/>
              </w:rPr>
            </w:pPr>
            <w:r w:rsidRPr="009F32AF">
              <w:rPr>
                <w:bCs/>
                <w:color w:val="000000"/>
                <w:sz w:val="16"/>
                <w:szCs w:val="16"/>
              </w:rPr>
              <w:tab/>
              <w:t>(-)</w:t>
            </w:r>
            <w:r w:rsidRPr="009F32AF">
              <w:rPr>
                <w:bCs/>
                <w:color w:val="000000"/>
                <w:sz w:val="16"/>
                <w:szCs w:val="16"/>
              </w:rPr>
              <w:tab/>
              <w:t>7.1</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2FA9FFA5" w:rsidR="009F32AF" w:rsidRPr="007C298E" w:rsidRDefault="009F32AF" w:rsidP="009F32AF">
            <w:pPr>
              <w:tabs>
                <w:tab w:val="left" w:pos="194"/>
                <w:tab w:val="decimal" w:pos="517"/>
              </w:tabs>
              <w:jc w:val="left"/>
              <w:rPr>
                <w:color w:val="000000"/>
                <w:sz w:val="16"/>
                <w:szCs w:val="16"/>
              </w:rPr>
            </w:pPr>
            <w:r>
              <w:rPr>
                <w:color w:val="000000"/>
                <w:sz w:val="16"/>
                <w:szCs w:val="16"/>
              </w:rPr>
              <w:tab/>
              <w:t>(-)</w:t>
            </w:r>
            <w:r>
              <w:rPr>
                <w:color w:val="000000"/>
                <w:sz w:val="16"/>
                <w:szCs w:val="16"/>
              </w:rPr>
              <w:tab/>
              <w:t>5.7</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1DDE5910"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28.1</w:t>
            </w:r>
          </w:p>
        </w:tc>
        <w:tc>
          <w:tcPr>
            <w:tcW w:w="934" w:type="dxa"/>
            <w:tcBorders>
              <w:top w:val="nil"/>
              <w:left w:val="nil"/>
              <w:bottom w:val="single" w:sz="8" w:space="0" w:color="404040"/>
              <w:right w:val="nil"/>
            </w:tcBorders>
            <w:shd w:val="clear" w:color="auto" w:fill="auto"/>
            <w:noWrap/>
            <w:vAlign w:val="center"/>
          </w:tcPr>
          <w:p w14:paraId="172367C7" w14:textId="331C55D1" w:rsidR="009F32AF" w:rsidRPr="007C298E"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6.2</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0077C2CB" w:rsidR="009F32AF" w:rsidRPr="005E37BC" w:rsidRDefault="009F32AF" w:rsidP="009F32AF">
            <w:pPr>
              <w:tabs>
                <w:tab w:val="left" w:pos="194"/>
                <w:tab w:val="decimal" w:pos="588"/>
              </w:tabs>
              <w:jc w:val="left"/>
              <w:rPr>
                <w:color w:val="000000"/>
                <w:sz w:val="16"/>
                <w:szCs w:val="16"/>
              </w:rPr>
            </w:pPr>
            <w:r>
              <w:rPr>
                <w:color w:val="000000"/>
                <w:sz w:val="16"/>
                <w:szCs w:val="16"/>
              </w:rPr>
              <w:tab/>
              <w:t>(-)</w:t>
            </w:r>
            <w:r>
              <w:rPr>
                <w:color w:val="000000"/>
                <w:sz w:val="16"/>
                <w:szCs w:val="16"/>
              </w:rPr>
              <w:tab/>
              <w:t>6.2</w:t>
            </w:r>
          </w:p>
        </w:tc>
      </w:tr>
    </w:tbl>
    <w:p w14:paraId="347C75D8" w14:textId="77777777" w:rsidR="00467BD1" w:rsidRPr="002F4D9C" w:rsidRDefault="00467BD1" w:rsidP="009D4C7B">
      <w:pPr>
        <w:pStyle w:val="Textoindependiente"/>
        <w:widowControl w:val="0"/>
        <w:tabs>
          <w:tab w:val="left" w:pos="798"/>
        </w:tabs>
        <w:spacing w:before="0"/>
        <w:ind w:left="350" w:firstLine="266"/>
        <w:rPr>
          <w:color w:val="auto"/>
          <w:sz w:val="16"/>
          <w:szCs w:val="16"/>
        </w:rPr>
      </w:pPr>
      <w:r w:rsidRPr="002F4D9C">
        <w:rPr>
          <w:color w:val="auto"/>
          <w:sz w:val="18"/>
          <w:szCs w:val="18"/>
          <w:vertAlign w:val="superscript"/>
        </w:rPr>
        <w:t>p/</w:t>
      </w:r>
      <w:r w:rsidR="009D4C7B" w:rsidRPr="002F4D9C">
        <w:rPr>
          <w:color w:val="auto"/>
          <w:sz w:val="18"/>
          <w:szCs w:val="18"/>
          <w:vertAlign w:val="superscript"/>
        </w:rPr>
        <w:tab/>
      </w:r>
      <w:r w:rsidRPr="002F4D9C">
        <w:rPr>
          <w:color w:val="auto"/>
          <w:sz w:val="16"/>
          <w:szCs w:val="16"/>
        </w:rPr>
        <w:t>Cifras preliminares.</w:t>
      </w:r>
    </w:p>
    <w:p w14:paraId="25C1BF4E" w14:textId="77777777" w:rsidR="00F00159" w:rsidRPr="002F4D9C" w:rsidRDefault="00F00159" w:rsidP="009D4C7B">
      <w:pPr>
        <w:pStyle w:val="Textoindependiente"/>
        <w:widowControl w:val="0"/>
        <w:tabs>
          <w:tab w:val="left" w:pos="798"/>
        </w:tabs>
        <w:spacing w:before="0"/>
        <w:ind w:left="350" w:firstLine="266"/>
        <w:rPr>
          <w:color w:val="auto"/>
          <w:sz w:val="16"/>
          <w:szCs w:val="16"/>
        </w:rPr>
      </w:pPr>
      <w:r w:rsidRPr="002F4D9C">
        <w:rPr>
          <w:color w:val="auto"/>
          <w:sz w:val="16"/>
          <w:szCs w:val="16"/>
        </w:rPr>
        <w:t>*</w:t>
      </w:r>
      <w:r w:rsidR="009D4C7B" w:rsidRPr="002F4D9C">
        <w:rPr>
          <w:color w:val="auto"/>
          <w:sz w:val="16"/>
          <w:szCs w:val="16"/>
        </w:rPr>
        <w:tab/>
      </w:r>
      <w:r w:rsidRPr="002F4D9C">
        <w:rPr>
          <w:color w:val="auto"/>
          <w:sz w:val="16"/>
          <w:szCs w:val="16"/>
        </w:rPr>
        <w:t>En términos reales</w:t>
      </w:r>
      <w:r w:rsidR="00A2246F" w:rsidRPr="002F4D9C">
        <w:rPr>
          <w:color w:val="auto"/>
          <w:sz w:val="16"/>
          <w:szCs w:val="16"/>
        </w:rPr>
        <w:t>.</w:t>
      </w:r>
    </w:p>
    <w:p w14:paraId="14D4D307" w14:textId="5C28B0AF" w:rsidR="00467BD1" w:rsidRPr="002F4D9C" w:rsidRDefault="00467BD1" w:rsidP="00EA7C32">
      <w:pPr>
        <w:pStyle w:val="Textoindependiente"/>
        <w:widowControl w:val="0"/>
        <w:tabs>
          <w:tab w:val="left" w:pos="1232"/>
        </w:tabs>
        <w:spacing w:before="0"/>
        <w:ind w:left="350" w:firstLine="266"/>
        <w:rPr>
          <w:color w:val="auto"/>
          <w:sz w:val="16"/>
          <w:szCs w:val="16"/>
        </w:rPr>
      </w:pPr>
      <w:r w:rsidRPr="002F4D9C">
        <w:rPr>
          <w:color w:val="auto"/>
          <w:sz w:val="16"/>
          <w:szCs w:val="16"/>
        </w:rPr>
        <w:t>Fuente:</w:t>
      </w:r>
      <w:r w:rsidR="0084284A" w:rsidRPr="002F4D9C">
        <w:rPr>
          <w:color w:val="auto"/>
          <w:sz w:val="16"/>
          <w:szCs w:val="16"/>
        </w:rPr>
        <w:t xml:space="preserve"> </w:t>
      </w:r>
      <w:r w:rsidRPr="002F4D9C">
        <w:rPr>
          <w:color w:val="auto"/>
          <w:sz w:val="16"/>
          <w:szCs w:val="16"/>
        </w:rPr>
        <w:t>INEGI.</w:t>
      </w:r>
    </w:p>
    <w:p w14:paraId="43B07628" w14:textId="77777777" w:rsidR="006E7FD7" w:rsidRPr="002F4D9C" w:rsidRDefault="006E7FD7">
      <w:pPr>
        <w:jc w:val="left"/>
        <w:rPr>
          <w:b/>
          <w:i/>
          <w:snapToGrid w:val="0"/>
        </w:rPr>
      </w:pPr>
      <w:r w:rsidRPr="002F4D9C">
        <w:rPr>
          <w:b/>
          <w:i/>
        </w:rPr>
        <w:br w:type="page"/>
      </w:r>
    </w:p>
    <w:p w14:paraId="5F99723E" w14:textId="77777777" w:rsidR="00901366" w:rsidRPr="007A4D41" w:rsidRDefault="00901366" w:rsidP="00901366">
      <w:pPr>
        <w:pStyle w:val="p0"/>
        <w:keepLines w:val="0"/>
        <w:spacing w:before="600"/>
        <w:jc w:val="left"/>
        <w:rPr>
          <w:b/>
          <w:i/>
          <w:color w:val="auto"/>
        </w:rPr>
      </w:pPr>
      <w:r w:rsidRPr="007A4D41">
        <w:rPr>
          <w:b/>
          <w:i/>
          <w:color w:val="auto"/>
        </w:rPr>
        <w:lastRenderedPageBreak/>
        <w:t>Nota al usuario</w:t>
      </w:r>
    </w:p>
    <w:p w14:paraId="571AA5B9" w14:textId="4AF92796" w:rsidR="00901366" w:rsidRPr="00457519" w:rsidRDefault="00D54859" w:rsidP="00EA274B">
      <w:pPr>
        <w:pStyle w:val="p0"/>
        <w:keepLines w:val="0"/>
        <w:widowControl/>
        <w:rPr>
          <w:rFonts w:ascii="Arial" w:hAnsi="Arial"/>
          <w:color w:val="auto"/>
        </w:rPr>
      </w:pPr>
      <w:r w:rsidRPr="00D54859">
        <w:rPr>
          <w:rFonts w:ascii="Arial" w:hAnsi="Arial"/>
          <w:color w:val="auto"/>
        </w:rPr>
        <w:t xml:space="preserve">De acuerdo con lo publicado por el INEGI en su Comunicado de Prensa del 31 de marzo de 2020, en el cual se dieron a conocer las medidas extraordinarias que tomó el Instituto por el estado de emergencia sanitaria originada por el COVID 19, la captación de la Encuesta Mensual sobre Empresas Comerciales </w:t>
      </w:r>
      <w:r w:rsidR="007D4901">
        <w:rPr>
          <w:rFonts w:ascii="Arial" w:hAnsi="Arial"/>
          <w:color w:val="auto"/>
        </w:rPr>
        <w:t xml:space="preserve">(EMEC) </w:t>
      </w:r>
      <w:r w:rsidRPr="00D54859">
        <w:rPr>
          <w:rFonts w:ascii="Arial" w:hAnsi="Arial"/>
          <w:color w:val="auto"/>
        </w:rPr>
        <w:t xml:space="preserve">correspondiente al mes de </w:t>
      </w:r>
      <w:r w:rsidR="00A45043">
        <w:rPr>
          <w:rFonts w:ascii="Arial" w:hAnsi="Arial"/>
          <w:color w:val="auto"/>
        </w:rPr>
        <w:t>mayo</w:t>
      </w:r>
      <w:r w:rsidRPr="00D54859">
        <w:rPr>
          <w:rFonts w:ascii="Arial" w:hAnsi="Arial"/>
          <w:color w:val="auto"/>
        </w:rPr>
        <w:t xml:space="preserve"> se realizó en los tiempos establecidos mediante Internet y asistencia telefónica con el fin de evitar el contacto </w:t>
      </w:r>
      <w:r w:rsidRPr="007A4D41">
        <w:rPr>
          <w:rFonts w:ascii="Arial" w:hAnsi="Arial"/>
          <w:color w:val="auto"/>
        </w:rPr>
        <w:t>presencial</w:t>
      </w:r>
      <w:r w:rsidR="00901366" w:rsidRPr="007A4D41">
        <w:rPr>
          <w:rFonts w:ascii="Arial" w:hAnsi="Arial"/>
          <w:color w:val="auto"/>
        </w:rPr>
        <w:t>.</w:t>
      </w:r>
    </w:p>
    <w:p w14:paraId="7BCED6F4" w14:textId="7EF2D06D" w:rsidR="003E704C" w:rsidRPr="003E704C" w:rsidRDefault="00AF15C1" w:rsidP="00AF15C1">
      <w:pPr>
        <w:pStyle w:val="p0"/>
        <w:keepLines w:val="0"/>
        <w:widowControl/>
        <w:rPr>
          <w:rFonts w:ascii="Arial" w:hAnsi="Arial"/>
          <w:color w:val="auto"/>
        </w:rPr>
      </w:pPr>
      <w:r w:rsidRPr="00AF15C1">
        <w:rPr>
          <w:rFonts w:ascii="Arial" w:hAnsi="Arial"/>
          <w:color w:val="auto"/>
        </w:rPr>
        <w:t>En este contexto, la Tasa de No Respuesta en dicho mes registró porcentajes apropiados conforme al diseño estadístico de la EMEC, lo que permitió la generación de estadísticas con niveles altos de cobertura y precisión, salvo en las actividades de Comercio al por mayor de artículos de perfumería, cosméticos y joyería, Comercio al por mayor de materias primas agropecuarias y forestales, Comercio al por mayor de materias primas para la industria, Comercio al por mayor de materiales de desecho, Intermediación de comercio al por mayor exclusivamente a través de Internet y otros medios electrónicos, Comercio al por menor de ropa, bisutería y accesorios de vestir, Comercio al por menor de artículos para el esparcimiento, Comercio al por menor de mobiliario equipo y accesorios de cómputo, teléfonos y otros aparatos de comunicación, Comercio al por menor de artículos usados, Comercio al por menor exclusivamente a través de Internet, y catálogos impresos, televisión y similares, que en conjunto representan el 16.8% con relación a la variable de ingresos de todo el comercio, para las que se recomienda el uso con reserva de las estimaciones</w:t>
      </w:r>
      <w:r w:rsidR="003E704C" w:rsidRPr="00A665D6">
        <w:rPr>
          <w:rFonts w:ascii="Arial" w:hAnsi="Arial"/>
          <w:color w:val="auto"/>
        </w:rPr>
        <w:t>.</w:t>
      </w:r>
    </w:p>
    <w:p w14:paraId="5FFF3AFA" w14:textId="0A04C23B" w:rsidR="00A45043" w:rsidRDefault="00A45043" w:rsidP="00EA274B">
      <w:pPr>
        <w:pStyle w:val="p0"/>
        <w:keepLines w:val="0"/>
        <w:widowControl/>
        <w:spacing w:before="360"/>
        <w:rPr>
          <w:b/>
          <w:i/>
          <w:color w:val="auto"/>
        </w:rPr>
      </w:pPr>
      <w:r w:rsidRPr="00D86C22">
        <w:rPr>
          <w:color w:val="auto"/>
          <w:lang w:val="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86C22">
        <w:rPr>
          <w:color w:val="auto"/>
          <w:lang w:val="es-MX"/>
        </w:rPr>
        <w:t>outliers</w:t>
      </w:r>
      <w:proofErr w:type="spellEnd"/>
      <w:r w:rsidRPr="00D86C22">
        <w:rPr>
          <w:color w:val="auto"/>
          <w:lang w:val="es-MX"/>
        </w:rPr>
        <w:t>) en los modelos de ajuste estacional para los meses de la contingencia. Lo anterior con el objetivo de que los grandes cambios en las cifras originales no influyan de manera desproporcionada en los factores estacionales utilizados.</w:t>
      </w:r>
    </w:p>
    <w:p w14:paraId="6B4487FE" w14:textId="54F95215" w:rsidR="008A48D7" w:rsidRDefault="00467BD1" w:rsidP="00EA274B">
      <w:pPr>
        <w:pStyle w:val="p0"/>
        <w:keepLines w:val="0"/>
        <w:widowControl/>
        <w:spacing w:before="360"/>
        <w:rPr>
          <w:b/>
          <w:i/>
          <w:color w:val="auto"/>
        </w:rPr>
      </w:pPr>
      <w:r w:rsidRPr="002F4D9C">
        <w:rPr>
          <w:b/>
          <w:i/>
          <w:color w:val="auto"/>
        </w:rPr>
        <w:t>Nota metodológica</w:t>
      </w:r>
    </w:p>
    <w:p w14:paraId="60C0E951" w14:textId="77777777" w:rsidR="008A48D7" w:rsidRDefault="00840AB4" w:rsidP="008A48D7">
      <w:pPr>
        <w:pStyle w:val="p0"/>
        <w:keepLines w:val="0"/>
        <w:widowControl/>
        <w:rPr>
          <w:rFonts w:ascii="Arial" w:hAnsi="Arial"/>
          <w:color w:val="auto"/>
        </w:rPr>
      </w:pPr>
      <w:r w:rsidRPr="002F4D9C">
        <w:rPr>
          <w:rFonts w:ascii="Arial" w:hAnsi="Arial"/>
          <w:color w:val="auto"/>
        </w:rPr>
        <w:t>Con las variables captadas por la Encuesta Mensual sobre Empresas Comerciales, se generan índices y tasas de variación de: personal ocupado total, remuneraciones totales, remuneración total, ingresos totales por suministro de bienes y servicios, gastos totales por suministro de bienes y servicios (nacional) y, mercancías compradas para su reventa (entidad)</w:t>
      </w:r>
      <w:r w:rsidR="00770BFA" w:rsidRPr="002F4D9C">
        <w:rPr>
          <w:rFonts w:ascii="Arial" w:hAnsi="Arial"/>
          <w:color w:val="auto"/>
        </w:rPr>
        <w:t>. El año base para la generación de cada uno de los índices que presenta la EMEC es 2013; la elección de este periodo se debe a que dicho año es el referente de la información de los Censos Económicos 2014, al igual que el del Sistema de Cuentas Nacionales de México.</w:t>
      </w:r>
    </w:p>
    <w:p w14:paraId="3411AE2C" w14:textId="739C062E" w:rsidR="008A48D7" w:rsidRDefault="00770BFA" w:rsidP="008A48D7">
      <w:pPr>
        <w:pStyle w:val="p0"/>
        <w:keepLines w:val="0"/>
        <w:widowControl/>
        <w:rPr>
          <w:rFonts w:ascii="Arial" w:hAnsi="Arial"/>
          <w:color w:val="auto"/>
        </w:rPr>
      </w:pPr>
      <w:r w:rsidRPr="002F4D9C">
        <w:rPr>
          <w:rFonts w:ascii="Arial" w:hAnsi="Arial"/>
          <w:color w:val="auto"/>
        </w:rPr>
        <w:lastRenderedPageBreak/>
        <w:t>Para deflactar los ingresos por suministro de bienes y servicios, gastos por consumo de bienes y servicios, y remuneraciones, la EMEC utiliza los índices de precios publicados por el INEGI, de acuerdo con las características de cada una de las variables y utilizando los deflactores disponibles según el área geográfica correspondiente.</w:t>
      </w:r>
    </w:p>
    <w:p w14:paraId="72D55D50" w14:textId="2553905F" w:rsidR="00467BD1" w:rsidRPr="002F4D9C" w:rsidRDefault="00770BFA" w:rsidP="008A48D7">
      <w:pPr>
        <w:pStyle w:val="p0"/>
        <w:keepLines w:val="0"/>
        <w:widowControl/>
        <w:rPr>
          <w:rFonts w:ascii="Arial" w:hAnsi="Arial"/>
          <w:color w:val="auto"/>
        </w:rPr>
      </w:pPr>
      <w:r w:rsidRPr="002F4D9C">
        <w:rPr>
          <w:rFonts w:ascii="Arial" w:hAnsi="Arial"/>
          <w:color w:val="auto"/>
        </w:rPr>
        <w:t xml:space="preserve">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w:t>
      </w:r>
      <w:r w:rsidR="00840AB4" w:rsidRPr="002F4D9C">
        <w:rPr>
          <w:rFonts w:ascii="Arial" w:hAnsi="Arial"/>
          <w:color w:val="auto"/>
        </w:rPr>
        <w:t>adquisici</w:t>
      </w:r>
      <w:r w:rsidRPr="002F4D9C">
        <w:rPr>
          <w:rFonts w:ascii="Arial" w:hAnsi="Arial"/>
          <w:color w:val="auto"/>
        </w:rPr>
        <w:t>ón de juguetes en los meses previos a la Navidad provocada por la expectativa de mayores ventas en diciembre</w:t>
      </w:r>
      <w:r w:rsidR="00467BD1" w:rsidRPr="002F4D9C">
        <w:rPr>
          <w:rFonts w:ascii="Arial" w:hAnsi="Arial"/>
          <w:color w:val="auto"/>
        </w:rPr>
        <w:t>.</w:t>
      </w:r>
    </w:p>
    <w:p w14:paraId="7E69CBBB" w14:textId="77777777" w:rsidR="00770BFA" w:rsidRPr="002F4D9C" w:rsidRDefault="00770BFA" w:rsidP="00770BFA">
      <w:pPr>
        <w:pStyle w:val="p0"/>
        <w:keepLines w:val="0"/>
        <w:rPr>
          <w:rFonts w:ascii="Arial" w:hAnsi="Arial"/>
          <w:color w:val="auto"/>
        </w:rPr>
      </w:pPr>
      <w:r w:rsidRPr="002F4D9C">
        <w:rPr>
          <w:rFonts w:ascii="Arial" w:hAnsi="Arial"/>
          <w:color w:val="auto"/>
        </w:rPr>
        <w:t xml:space="preserve">En este sentido, la desestacionalización o ajuste estacional de series económicas consiste en remover estas influencias </w:t>
      </w:r>
      <w:proofErr w:type="spellStart"/>
      <w:r w:rsidRPr="002F4D9C">
        <w:rPr>
          <w:rFonts w:ascii="Arial" w:hAnsi="Arial"/>
          <w:color w:val="auto"/>
        </w:rPr>
        <w:t>intra-anuales</w:t>
      </w:r>
      <w:proofErr w:type="spellEnd"/>
      <w:r w:rsidRPr="002F4D9C">
        <w:rPr>
          <w:rFonts w:ascii="Arial" w:hAnsi="Arial"/>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2F4D9C">
        <w:rPr>
          <w:rFonts w:ascii="Arial" w:hAnsi="Arial"/>
          <w:color w:val="auto"/>
        </w:rPr>
        <w:t>la misma</w:t>
      </w:r>
      <w:proofErr w:type="gramEnd"/>
      <w:r w:rsidRPr="002F4D9C">
        <w:rPr>
          <w:rFonts w:ascii="Arial" w:hAnsi="Arial"/>
          <w:color w:val="auto"/>
        </w:rPr>
        <w:t xml:space="preserve">,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3BB9C6EF" w14:textId="394637A4" w:rsidR="00770BFA" w:rsidRPr="002F4D9C" w:rsidRDefault="00770BFA" w:rsidP="003073B5">
      <w:pPr>
        <w:pStyle w:val="p0"/>
        <w:keepLines w:val="0"/>
        <w:rPr>
          <w:rFonts w:ascii="Arial" w:hAnsi="Arial"/>
          <w:color w:val="auto"/>
        </w:rPr>
      </w:pPr>
      <w:r w:rsidRPr="002F4D9C">
        <w:rPr>
          <w:rFonts w:ascii="Arial" w:hAnsi="Arial"/>
          <w:color w:val="000000" w:themeColor="text1"/>
          <w:spacing w:val="-6"/>
        </w:rPr>
        <w:t>Cabe señalar que, al irse agregando la información de noviembre de los últimos</w:t>
      </w:r>
      <w:r w:rsidR="004817D3" w:rsidRPr="002F4D9C">
        <w:rPr>
          <w:rFonts w:ascii="Arial" w:hAnsi="Arial"/>
          <w:color w:val="000000" w:themeColor="text1"/>
          <w:spacing w:val="-6"/>
        </w:rPr>
        <w:t xml:space="preserve"> años, el efecto del “Buen F</w:t>
      </w:r>
      <w:r w:rsidRPr="002F4D9C">
        <w:rPr>
          <w:rFonts w:ascii="Arial" w:hAnsi="Arial"/>
          <w:color w:val="000000" w:themeColor="text1"/>
          <w:spacing w:val="-6"/>
        </w:rPr>
        <w:t>in” se ha ido incorporando gradualmente en el ajuste estacional de las ventas al por menor</w:t>
      </w:r>
      <w:r w:rsidRPr="002F4D9C">
        <w:rPr>
          <w:rFonts w:ascii="Arial" w:hAnsi="Arial"/>
          <w:color w:val="000000" w:themeColor="text1"/>
        </w:rPr>
        <w:t>.</w:t>
      </w:r>
    </w:p>
    <w:p w14:paraId="61119E5B" w14:textId="77777777" w:rsidR="0043428A" w:rsidRPr="002F4D9C" w:rsidRDefault="0043428A" w:rsidP="00391641">
      <w:pPr>
        <w:spacing w:before="240"/>
        <w:rPr>
          <w:szCs w:val="20"/>
        </w:rPr>
      </w:pPr>
      <w:r w:rsidRPr="002F4D9C">
        <w:rPr>
          <w:szCs w:val="20"/>
        </w:rPr>
        <w:t>Las series originales se ajustan estacionalmente mediante el paquete estadís</w:t>
      </w:r>
      <w:r w:rsidR="00EF7683" w:rsidRPr="002F4D9C">
        <w:rPr>
          <w:szCs w:val="20"/>
        </w:rPr>
        <w:t>tico X</w:t>
      </w:r>
      <w:r w:rsidR="00EF7683" w:rsidRPr="002F4D9C">
        <w:rPr>
          <w:szCs w:val="20"/>
        </w:rPr>
        <w:noBreakHyphen/>
        <w:t>13ARIMA</w:t>
      </w:r>
      <w:r w:rsidR="00EF7683" w:rsidRPr="002F4D9C">
        <w:rPr>
          <w:szCs w:val="20"/>
        </w:rPr>
        <w:noBreakHyphen/>
        <w:t>SEATS</w:t>
      </w:r>
      <w:r w:rsidRPr="002F4D9C">
        <w:rPr>
          <w:szCs w:val="20"/>
        </w:rPr>
        <w:t>. Para conocer la metodología se sugiere consultar la siguiente liga:</w:t>
      </w:r>
    </w:p>
    <w:p w14:paraId="7BF4F999" w14:textId="6525CA0D" w:rsidR="00770BFA" w:rsidRPr="002F4D9C" w:rsidRDefault="00460FAA" w:rsidP="00391641">
      <w:pPr>
        <w:pStyle w:val="parrafo1"/>
        <w:widowControl w:val="0"/>
        <w:spacing w:before="120"/>
        <w:ind w:left="0" w:right="0"/>
        <w:rPr>
          <w:rStyle w:val="Hipervnculo"/>
          <w:rFonts w:cs="Arial"/>
          <w:lang w:eastAsia="en-US"/>
        </w:rPr>
      </w:pPr>
      <w:hyperlink r:id="rId33" w:history="1">
        <w:r w:rsidR="00840AB4" w:rsidRPr="002F4D9C">
          <w:rPr>
            <w:rStyle w:val="Hipervnculo"/>
            <w:rFonts w:cs="Arial"/>
            <w:lang w:eastAsia="en-US"/>
          </w:rPr>
          <w:t>https://www.inegi.org.mx/app/biblioteca/ficha.html?upc=702825099060</w:t>
        </w:r>
      </w:hyperlink>
    </w:p>
    <w:p w14:paraId="00185C0C" w14:textId="77777777" w:rsidR="00770BFA" w:rsidRPr="002F4D9C" w:rsidRDefault="00770BFA" w:rsidP="00770BFA">
      <w:pPr>
        <w:pStyle w:val="p0"/>
        <w:rPr>
          <w:rFonts w:ascii="Arial" w:hAnsi="Arial"/>
          <w:color w:val="auto"/>
        </w:rPr>
      </w:pPr>
      <w:r w:rsidRPr="002F4D9C">
        <w:rPr>
          <w:rFonts w:ascii="Arial" w:hAnsi="Arial"/>
          <w:noProof/>
          <w:color w:val="auto"/>
          <w:lang w:val="es-MX" w:eastAsia="es-MX"/>
        </w:rPr>
        <w:drawing>
          <wp:anchor distT="0" distB="0" distL="114300" distR="114300" simplePos="0" relativeHeight="251659264" behindDoc="1" locked="0" layoutInCell="1" allowOverlap="1" wp14:anchorId="480E602A" wp14:editId="49E1594C">
            <wp:simplePos x="0" y="0"/>
            <wp:positionH relativeFrom="column">
              <wp:posOffset>904240</wp:posOffset>
            </wp:positionH>
            <wp:positionV relativeFrom="paragraph">
              <wp:posOffset>523240</wp:posOffset>
            </wp:positionV>
            <wp:extent cx="152400" cy="152400"/>
            <wp:effectExtent l="0" t="0" r="0" b="0"/>
            <wp:wrapTight wrapText="bothSides">
              <wp:wrapPolygon edited="0">
                <wp:start x="0" y="0"/>
                <wp:lineTo x="0" y="18900"/>
                <wp:lineTo x="18900" y="18900"/>
                <wp:lineTo x="18900" y="0"/>
                <wp:lineTo x="0" y="0"/>
              </wp:wrapPolygon>
            </wp:wrapTight>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2F4D9C">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2F4D9C">
        <w:rPr>
          <w:rFonts w:ascii="Arial" w:hAnsi="Arial"/>
          <w:color w:val="auto"/>
        </w:rPr>
        <w:noBreakHyphen/>
        <w:t>ciclo” de las Empresas Comerciales.</w:t>
      </w:r>
    </w:p>
    <w:p w14:paraId="418FD668" w14:textId="77777777" w:rsidR="00770BFA" w:rsidRPr="002F4D9C" w:rsidRDefault="00770BFA" w:rsidP="00770BFA">
      <w:pPr>
        <w:pStyle w:val="p0"/>
        <w:rPr>
          <w:rFonts w:ascii="Arial" w:hAnsi="Arial"/>
          <w:color w:val="auto"/>
        </w:rPr>
      </w:pPr>
      <w:r w:rsidRPr="002F4D9C">
        <w:rPr>
          <w:rFonts w:ascii="Arial" w:hAnsi="Arial"/>
          <w:color w:val="auto"/>
        </w:rPr>
        <w:lastRenderedPageBreak/>
        <w:t>El objetivo de la EMEC es el de generar información estadística de coyuntura de forma oportuna, para conocer la dinámica y tendencias de la actividad comercial del país; los alcances a nivel nacional son por rama de actividad para los dos sectores comerciales; Comercio al por Mayor y Comercio al por Menor.</w:t>
      </w:r>
    </w:p>
    <w:p w14:paraId="46212767" w14:textId="24ED5BD3" w:rsidR="00770BFA" w:rsidRPr="002F4D9C" w:rsidRDefault="00770BFA" w:rsidP="00770BFA">
      <w:pPr>
        <w:pStyle w:val="p0"/>
        <w:rPr>
          <w:rFonts w:ascii="Arial" w:hAnsi="Arial"/>
          <w:color w:val="auto"/>
        </w:rPr>
      </w:pPr>
      <w:r w:rsidRPr="002F4D9C">
        <w:rPr>
          <w:rFonts w:ascii="Arial" w:hAnsi="Arial"/>
          <w:color w:val="auto"/>
        </w:rPr>
        <w:t xml:space="preserve">El </w:t>
      </w:r>
      <w:r w:rsidR="00974690" w:rsidRPr="002F4D9C">
        <w:rPr>
          <w:rFonts w:ascii="Arial" w:hAnsi="Arial"/>
          <w:color w:val="auto"/>
        </w:rPr>
        <w:t>d</w:t>
      </w:r>
      <w:r w:rsidRPr="002F4D9C">
        <w:rPr>
          <w:rFonts w:ascii="Arial" w:hAnsi="Arial"/>
          <w:color w:val="auto"/>
        </w:rPr>
        <w:t xml:space="preserve">iseño </w:t>
      </w:r>
      <w:r w:rsidR="00974690" w:rsidRPr="002F4D9C">
        <w:rPr>
          <w:rFonts w:ascii="Arial" w:hAnsi="Arial"/>
          <w:color w:val="auto"/>
        </w:rPr>
        <w:t>e</w:t>
      </w:r>
      <w:r w:rsidRPr="002F4D9C">
        <w:rPr>
          <w:rFonts w:ascii="Arial" w:hAnsi="Arial"/>
          <w:color w:val="auto"/>
        </w:rPr>
        <w:t xml:space="preserve">stadístico de la EMEC define un esquema de muestreo mixto; </w:t>
      </w:r>
      <w:r w:rsidR="00974690" w:rsidRPr="002F4D9C">
        <w:rPr>
          <w:rFonts w:ascii="Arial" w:hAnsi="Arial"/>
          <w:color w:val="auto"/>
        </w:rPr>
        <w:t>p</w:t>
      </w:r>
      <w:r w:rsidRPr="002F4D9C">
        <w:rPr>
          <w:rFonts w:ascii="Arial" w:hAnsi="Arial"/>
          <w:color w:val="auto"/>
        </w:rPr>
        <w:t>robabilístico para cada una de</w:t>
      </w:r>
      <w:r w:rsidR="006867CC" w:rsidRPr="002F4D9C">
        <w:rPr>
          <w:rFonts w:ascii="Arial" w:hAnsi="Arial"/>
          <w:color w:val="auto"/>
        </w:rPr>
        <w:t xml:space="preserve"> las 22 ramas de actividad del Comercio al por M</w:t>
      </w:r>
      <w:r w:rsidRPr="002F4D9C">
        <w:rPr>
          <w:rFonts w:ascii="Arial" w:hAnsi="Arial"/>
          <w:color w:val="auto"/>
        </w:rPr>
        <w:t xml:space="preserve">enor y </w:t>
      </w:r>
      <w:r w:rsidR="00974690" w:rsidRPr="002F4D9C">
        <w:rPr>
          <w:rFonts w:ascii="Arial" w:hAnsi="Arial"/>
          <w:color w:val="auto"/>
        </w:rPr>
        <w:t>n</w:t>
      </w:r>
      <w:r w:rsidRPr="002F4D9C">
        <w:rPr>
          <w:rFonts w:ascii="Arial" w:hAnsi="Arial"/>
          <w:color w:val="auto"/>
        </w:rPr>
        <w:t xml:space="preserve">o </w:t>
      </w:r>
      <w:r w:rsidR="00974690" w:rsidRPr="002F4D9C">
        <w:rPr>
          <w:rFonts w:ascii="Arial" w:hAnsi="Arial"/>
          <w:color w:val="auto"/>
        </w:rPr>
        <w:t>p</w:t>
      </w:r>
      <w:r w:rsidRPr="002F4D9C">
        <w:rPr>
          <w:rFonts w:ascii="Arial" w:hAnsi="Arial"/>
          <w:color w:val="auto"/>
        </w:rPr>
        <w:t xml:space="preserve">robabilístico </w:t>
      </w:r>
      <w:r w:rsidR="006867CC" w:rsidRPr="002F4D9C">
        <w:rPr>
          <w:rFonts w:ascii="Arial" w:hAnsi="Arial"/>
          <w:color w:val="auto"/>
        </w:rPr>
        <w:t>para las</w:t>
      </w:r>
      <w:r w:rsidRPr="002F4D9C">
        <w:rPr>
          <w:rFonts w:ascii="Arial" w:hAnsi="Arial"/>
          <w:color w:val="auto"/>
        </w:rPr>
        <w:t xml:space="preserve"> 18 ramas de actividad del Comercio al por Mayor</w:t>
      </w:r>
      <w:r w:rsidR="006B73DF">
        <w:rPr>
          <w:rFonts w:ascii="Arial" w:hAnsi="Arial"/>
          <w:color w:val="auto"/>
        </w:rPr>
        <w:t>; considera a todas las unidades económicas comerciales, independientemente de su tamaño</w:t>
      </w:r>
      <w:r w:rsidRPr="002F4D9C">
        <w:rPr>
          <w:rFonts w:ascii="Arial" w:hAnsi="Arial"/>
          <w:color w:val="auto"/>
        </w:rPr>
        <w:t>, obteniendo así una cobertura del 74% en el Comercio al por Mayor y una estimación del 100% en el Comercio al por Menor. En ambos sectores respecto al total de los ingresos por suministro de bienes y servicios a nivel nacional.</w:t>
      </w:r>
    </w:p>
    <w:p w14:paraId="00F176CF" w14:textId="77777777" w:rsidR="006E7FD7" w:rsidRPr="002F4D9C" w:rsidRDefault="00770BFA" w:rsidP="005E54CF">
      <w:pPr>
        <w:pStyle w:val="p0"/>
        <w:keepNext/>
        <w:spacing w:after="240"/>
        <w:rPr>
          <w:rFonts w:ascii="Arial" w:hAnsi="Arial"/>
          <w:color w:val="auto"/>
        </w:rPr>
      </w:pPr>
      <w:r w:rsidRPr="002F4D9C">
        <w:rPr>
          <w:rFonts w:ascii="Arial" w:hAnsi="Arial"/>
          <w:color w:val="auto"/>
        </w:rPr>
        <w:t>Los resultados se presentan según el Sistema de Clasificación Industrial de América del Norte 2013 (SCIAN); a nivel de sector, subsector y por rama de actividad comercial.</w:t>
      </w:r>
      <w:r w:rsidR="00467BD1" w:rsidRPr="002F4D9C">
        <w:rPr>
          <w:rFonts w:ascii="Arial" w:hAnsi="Arial"/>
          <w:color w:val="auto"/>
        </w:rPr>
        <w:t xml:space="preserve"> </w:t>
      </w:r>
    </w:p>
    <w:p w14:paraId="4A679540" w14:textId="77777777" w:rsidR="006E7FD7" w:rsidRPr="002F4D9C" w:rsidRDefault="006E7FD7" w:rsidP="005E54CF">
      <w:pPr>
        <w:keepNext/>
        <w:keepLines/>
        <w:widowControl w:val="0"/>
        <w:jc w:val="left"/>
        <w:rPr>
          <w:snapToGrid w:val="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770BFA" w:rsidRPr="002F4D9C" w14:paraId="478F2D58" w14:textId="77777777" w:rsidTr="00AA2115">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2D59EFB" w14:textId="77777777" w:rsidR="00770BFA" w:rsidRPr="002F4D9C" w:rsidRDefault="00770BFA" w:rsidP="005E54CF">
            <w:pPr>
              <w:keepNext/>
              <w:keepLines/>
              <w:widowControl w:val="0"/>
              <w:spacing w:before="60" w:after="60"/>
              <w:rPr>
                <w:snapToGrid w:val="0"/>
                <w:sz w:val="20"/>
                <w:szCs w:val="20"/>
              </w:rPr>
            </w:pPr>
            <w:r w:rsidRPr="002F4D9C">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5840C33F" w14:textId="77777777" w:rsidR="00770BFA" w:rsidRPr="002F4D9C" w:rsidRDefault="00770BFA" w:rsidP="005E54CF">
            <w:pPr>
              <w:keepNext/>
              <w:keepLines/>
              <w:widowControl w:val="0"/>
              <w:spacing w:before="60" w:after="60"/>
              <w:ind w:hanging="15"/>
              <w:jc w:val="center"/>
              <w:rPr>
                <w:snapToGrid w:val="0"/>
                <w:sz w:val="20"/>
                <w:szCs w:val="20"/>
              </w:rPr>
            </w:pPr>
            <w:r w:rsidRPr="002F4D9C">
              <w:rPr>
                <w:snapToGrid w:val="0"/>
                <w:sz w:val="20"/>
                <w:szCs w:val="20"/>
              </w:rPr>
              <w:t>Subsectores del Comercio al por Menor</w:t>
            </w:r>
          </w:p>
        </w:tc>
      </w:tr>
      <w:tr w:rsidR="00770BFA" w:rsidRPr="002F4D9C" w14:paraId="61CBE85F" w14:textId="77777777" w:rsidTr="00AA2115">
        <w:tc>
          <w:tcPr>
            <w:tcW w:w="4320" w:type="dxa"/>
            <w:tcBorders>
              <w:top w:val="single" w:sz="8" w:space="0" w:color="404040"/>
              <w:left w:val="single" w:sz="8" w:space="0" w:color="404040"/>
              <w:bottom w:val="single" w:sz="8" w:space="0" w:color="404040"/>
              <w:right w:val="single" w:sz="8" w:space="0" w:color="404040"/>
            </w:tcBorders>
          </w:tcPr>
          <w:p w14:paraId="5ACB5133" w14:textId="77777777" w:rsidR="00770BFA" w:rsidRPr="002F4D9C" w:rsidRDefault="00770BFA" w:rsidP="005E54CF">
            <w:pPr>
              <w:keepNext/>
              <w:keepLines/>
              <w:widowControl w:val="0"/>
              <w:numPr>
                <w:ilvl w:val="0"/>
                <w:numId w:val="21"/>
              </w:numPr>
              <w:tabs>
                <w:tab w:val="clear" w:pos="720"/>
                <w:tab w:val="num" w:pos="318"/>
              </w:tabs>
              <w:spacing w:before="40"/>
              <w:ind w:left="323" w:hanging="289"/>
              <w:jc w:val="left"/>
              <w:rPr>
                <w:snapToGrid w:val="0"/>
                <w:sz w:val="20"/>
                <w:szCs w:val="20"/>
              </w:rPr>
            </w:pPr>
            <w:r w:rsidRPr="002F4D9C">
              <w:rPr>
                <w:snapToGrid w:val="0"/>
                <w:sz w:val="20"/>
                <w:szCs w:val="20"/>
              </w:rPr>
              <w:t>Abarrotes, alimentos, bebidas, hielo y tabaco.</w:t>
            </w:r>
          </w:p>
          <w:p w14:paraId="44F6EF43" w14:textId="77777777" w:rsidR="00770BFA" w:rsidRPr="002F4D9C" w:rsidRDefault="00770BFA" w:rsidP="005E54CF">
            <w:pPr>
              <w:keepNext/>
              <w:keepLines/>
              <w:widowControl w:val="0"/>
              <w:numPr>
                <w:ilvl w:val="0"/>
                <w:numId w:val="21"/>
              </w:numPr>
              <w:tabs>
                <w:tab w:val="clear" w:pos="720"/>
                <w:tab w:val="num" w:pos="318"/>
              </w:tabs>
              <w:spacing w:before="40"/>
              <w:ind w:left="323" w:hanging="289"/>
              <w:jc w:val="left"/>
              <w:rPr>
                <w:snapToGrid w:val="0"/>
                <w:sz w:val="20"/>
                <w:szCs w:val="20"/>
              </w:rPr>
            </w:pPr>
            <w:r w:rsidRPr="002F4D9C">
              <w:rPr>
                <w:snapToGrid w:val="0"/>
                <w:sz w:val="20"/>
                <w:szCs w:val="20"/>
              </w:rPr>
              <w:t>Productos textiles y calzado.</w:t>
            </w:r>
          </w:p>
          <w:p w14:paraId="5045C018"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Productos farmacéuticos, de perfumería, artículos para el esparcimiento y electrodomésticos menores y aparatos de línea blanca.</w:t>
            </w:r>
          </w:p>
          <w:p w14:paraId="1EE741FF"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Materias primas agropecuarias y forestales, para la industria, y materiales de desecho.</w:t>
            </w:r>
          </w:p>
          <w:p w14:paraId="28DB8EFB"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Maquinaria, equipo y mobiliario para actividades agropecuarias, industriales, de servicios y comerciales, y de otra maquinaria y equipo de uso general.</w:t>
            </w:r>
          </w:p>
          <w:p w14:paraId="0A0907A2"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Camiones y de partes y refacciones nuevas para automóviles, camionetas y camiones.</w:t>
            </w:r>
          </w:p>
          <w:p w14:paraId="17767A2A"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37396C75"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Abarrotes, alimentos, bebidas, hielo y tabaco.</w:t>
            </w:r>
          </w:p>
          <w:p w14:paraId="31029E1F" w14:textId="77777777" w:rsidR="00770BFA" w:rsidRPr="002F4D9C" w:rsidRDefault="00770BFA" w:rsidP="005E54CF">
            <w:pPr>
              <w:keepNext/>
              <w:keepLines/>
              <w:widowControl w:val="0"/>
              <w:numPr>
                <w:ilvl w:val="0"/>
                <w:numId w:val="22"/>
              </w:numPr>
              <w:tabs>
                <w:tab w:val="clear" w:pos="720"/>
                <w:tab w:val="num" w:pos="318"/>
              </w:tabs>
              <w:spacing w:before="40"/>
              <w:ind w:left="335" w:hanging="301"/>
              <w:jc w:val="left"/>
              <w:rPr>
                <w:snapToGrid w:val="0"/>
                <w:sz w:val="20"/>
                <w:szCs w:val="20"/>
              </w:rPr>
            </w:pPr>
            <w:r w:rsidRPr="002F4D9C">
              <w:rPr>
                <w:snapToGrid w:val="0"/>
                <w:sz w:val="20"/>
                <w:szCs w:val="20"/>
              </w:rPr>
              <w:t>Tiendas de autoservicio y departamentales.</w:t>
            </w:r>
          </w:p>
          <w:p w14:paraId="4C78C807"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Productos textiles, bisutería, accesorios de vestir y calzado.</w:t>
            </w:r>
          </w:p>
          <w:p w14:paraId="509E9A4B"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para el cuidado de la salud.</w:t>
            </w:r>
          </w:p>
          <w:p w14:paraId="6F9222B5"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de papelería, para el esparcimiento y otros artículos de uso personal.</w:t>
            </w:r>
          </w:p>
          <w:p w14:paraId="544A766F"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 xml:space="preserve">Enseres domésticos, </w:t>
            </w:r>
            <w:proofErr w:type="gramStart"/>
            <w:r w:rsidRPr="002F4D9C">
              <w:rPr>
                <w:snapToGrid w:val="0"/>
                <w:sz w:val="20"/>
                <w:szCs w:val="20"/>
              </w:rPr>
              <w:t>computadoras,  artículos</w:t>
            </w:r>
            <w:proofErr w:type="gramEnd"/>
            <w:r w:rsidRPr="002F4D9C">
              <w:rPr>
                <w:snapToGrid w:val="0"/>
                <w:sz w:val="20"/>
                <w:szCs w:val="20"/>
              </w:rPr>
              <w:t xml:space="preserve"> para la decoración de interiores y artículos usados.</w:t>
            </w:r>
          </w:p>
          <w:p w14:paraId="47AE63C1"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de ferretería, tlapalería y vidrios.</w:t>
            </w:r>
          </w:p>
          <w:p w14:paraId="0835BE61"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Vehículos de motor, refacciones, combustibles y lubricantes.</w:t>
            </w:r>
          </w:p>
          <w:p w14:paraId="10D54BDC"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Comercio al por menor exclusivamente a través de Internet, y catálogos impresos, televisión y similares.</w:t>
            </w:r>
          </w:p>
        </w:tc>
      </w:tr>
    </w:tbl>
    <w:p w14:paraId="669E8037" w14:textId="77777777" w:rsidR="00770BFA" w:rsidRPr="002F4D9C" w:rsidRDefault="00770BFA" w:rsidP="005E54CF">
      <w:pPr>
        <w:pStyle w:val="p0"/>
        <w:keepNext/>
        <w:rPr>
          <w:rFonts w:ascii="Arial" w:hAnsi="Arial"/>
          <w:color w:val="auto"/>
        </w:rPr>
      </w:pPr>
      <w:r w:rsidRPr="002F4D9C">
        <w:rPr>
          <w:rFonts w:ascii="Arial" w:hAnsi="Arial"/>
          <w:color w:val="auto"/>
        </w:rPr>
        <w:t>La cobertura geográfica es a nivel nacional; por entidad federativa se dispone de información con datos indicativos (muestrales) por sector de actividad; 43 Comercio al por Mayor y 46 Comercio al por Menor.</w:t>
      </w:r>
    </w:p>
    <w:p w14:paraId="69A9B9E9" w14:textId="575078F5" w:rsidR="00770BFA" w:rsidRPr="002F4D9C" w:rsidRDefault="00770BFA" w:rsidP="00770BFA">
      <w:pPr>
        <w:pStyle w:val="p0"/>
        <w:rPr>
          <w:rFonts w:ascii="Arial" w:hAnsi="Arial"/>
          <w:color w:val="auto"/>
        </w:rPr>
      </w:pPr>
      <w:r w:rsidRPr="002F4D9C">
        <w:rPr>
          <w:rFonts w:ascii="Arial" w:hAnsi="Arial"/>
          <w:color w:val="auto"/>
        </w:rPr>
        <w:t>En este sentido, la información por entidad federativa deberá considerarse con reserva al tratarse de datos muestrales. Esto implica que</w:t>
      </w:r>
      <w:r w:rsidR="00D5022C" w:rsidRPr="002F4D9C">
        <w:rPr>
          <w:rFonts w:ascii="Arial" w:hAnsi="Arial"/>
          <w:color w:val="auto"/>
        </w:rPr>
        <w:t>,</w:t>
      </w:r>
      <w:r w:rsidRPr="002F4D9C">
        <w:rPr>
          <w:rFonts w:ascii="Arial" w:hAnsi="Arial"/>
          <w:color w:val="auto"/>
        </w:rPr>
        <w:t xml:space="preserve"> los resultados por entidad federativa </w:t>
      </w:r>
      <w:r w:rsidR="006867CC" w:rsidRPr="002F4D9C">
        <w:rPr>
          <w:rFonts w:ascii="Arial" w:hAnsi="Arial"/>
          <w:color w:val="auto"/>
        </w:rPr>
        <w:t>no son aditivos en el caso del Comercio al por M</w:t>
      </w:r>
      <w:r w:rsidRPr="002F4D9C">
        <w:rPr>
          <w:rFonts w:ascii="Arial" w:hAnsi="Arial"/>
          <w:color w:val="auto"/>
        </w:rPr>
        <w:t xml:space="preserve">enor. </w:t>
      </w:r>
    </w:p>
    <w:p w14:paraId="2C2E8F78" w14:textId="77777777" w:rsidR="00A45043" w:rsidRDefault="00A45043">
      <w:pPr>
        <w:jc w:val="left"/>
        <w:rPr>
          <w:snapToGrid w:val="0"/>
        </w:rPr>
      </w:pPr>
      <w:r>
        <w:br w:type="page"/>
      </w:r>
    </w:p>
    <w:p w14:paraId="2F4E0A1E" w14:textId="54787508" w:rsidR="00770BFA" w:rsidRPr="002F4D9C" w:rsidRDefault="00770BFA" w:rsidP="00770BFA">
      <w:pPr>
        <w:pStyle w:val="p0"/>
        <w:keepLines w:val="0"/>
        <w:rPr>
          <w:rFonts w:ascii="Arial" w:hAnsi="Arial"/>
          <w:color w:val="auto"/>
        </w:rPr>
      </w:pPr>
      <w:r w:rsidRPr="002F4D9C">
        <w:rPr>
          <w:rFonts w:ascii="Arial" w:hAnsi="Arial"/>
          <w:color w:val="auto"/>
        </w:rPr>
        <w:lastRenderedPageBreak/>
        <w:t xml:space="preserve">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w:t>
      </w:r>
      <w:r w:rsidR="00974690" w:rsidRPr="002F4D9C">
        <w:rPr>
          <w:rFonts w:ascii="Arial" w:hAnsi="Arial"/>
          <w:color w:val="auto"/>
        </w:rPr>
        <w:t>s</w:t>
      </w:r>
      <w:r w:rsidRPr="002F4D9C">
        <w:rPr>
          <w:rFonts w:ascii="Arial" w:hAnsi="Arial"/>
          <w:color w:val="auto"/>
        </w:rPr>
        <w:t xml:space="preserve">ectores de </w:t>
      </w:r>
      <w:r w:rsidR="00974690" w:rsidRPr="002F4D9C">
        <w:rPr>
          <w:rFonts w:ascii="Arial" w:hAnsi="Arial"/>
          <w:color w:val="auto"/>
        </w:rPr>
        <w:t>c</w:t>
      </w:r>
      <w:r w:rsidRPr="002F4D9C">
        <w:rPr>
          <w:rFonts w:ascii="Arial" w:hAnsi="Arial"/>
          <w:color w:val="auto"/>
        </w:rPr>
        <w:t>omercio.</w:t>
      </w:r>
    </w:p>
    <w:p w14:paraId="5FE6FF02" w14:textId="77777777" w:rsidR="00770BFA" w:rsidRPr="002F4D9C" w:rsidRDefault="00770BFA" w:rsidP="00770BFA">
      <w:pPr>
        <w:pStyle w:val="p0"/>
        <w:keepLines w:val="0"/>
        <w:rPr>
          <w:rFonts w:ascii="Arial" w:hAnsi="Arial"/>
          <w:color w:val="auto"/>
        </w:rPr>
      </w:pPr>
      <w:r w:rsidRPr="002F4D9C">
        <w:rPr>
          <w:rFonts w:ascii="Arial" w:hAnsi="Arial"/>
          <w:color w:val="auto"/>
        </w:rPr>
        <w:t>Es importante señalar que los resultados presentados en las series se deberán considerar como preliminares y sujetos a una continua revisión y actualización, cuyo sustento será la investigación constante de las categorías que componen a las actividades en estudio.</w:t>
      </w:r>
    </w:p>
    <w:p w14:paraId="3BD1CEF6" w14:textId="77777777" w:rsidR="00770BFA" w:rsidRPr="002F4D9C" w:rsidRDefault="00770BFA" w:rsidP="00770BFA">
      <w:pPr>
        <w:pStyle w:val="p0"/>
        <w:rPr>
          <w:rFonts w:ascii="Arial" w:hAnsi="Arial"/>
          <w:color w:val="auto"/>
        </w:rPr>
      </w:pPr>
      <w:r w:rsidRPr="002F4D9C">
        <w:rPr>
          <w:rFonts w:ascii="Arial" w:hAnsi="Arial"/>
          <w:color w:val="auto"/>
        </w:rPr>
        <w:t>La información contenida en este documento es generada por el INEGI a través de la Encuesta Mensual sobre Empresas Comerciales y se da a conocer en la fecha establecida en el Calendario de difusión de información estadística y geográfica y de Interés Nacional.</w:t>
      </w:r>
    </w:p>
    <w:p w14:paraId="7AFD8808" w14:textId="77777777" w:rsidR="00467BD1" w:rsidRPr="002F4D9C" w:rsidRDefault="00770BFA" w:rsidP="00770BFA">
      <w:pPr>
        <w:pStyle w:val="p0"/>
        <w:keepLines w:val="0"/>
        <w:rPr>
          <w:rFonts w:ascii="Arial" w:hAnsi="Arial"/>
          <w:color w:val="auto"/>
        </w:rPr>
      </w:pPr>
      <w:r w:rsidRPr="002F4D9C">
        <w:rPr>
          <w:rFonts w:ascii="Arial" w:hAnsi="Arial"/>
          <w:color w:val="auto"/>
        </w:rPr>
        <w:t>Las cifras aquí mencionadas podrán ser consultadas en la página del INEGI en Internet</w:t>
      </w:r>
      <w:r w:rsidR="00467BD1" w:rsidRPr="002F4D9C">
        <w:rPr>
          <w:rFonts w:ascii="Arial" w:hAnsi="Arial"/>
          <w:color w:val="auto"/>
        </w:rPr>
        <w:t>.</w:t>
      </w:r>
    </w:p>
    <w:p w14:paraId="1FAFA663" w14:textId="7C95C5A3" w:rsidR="00D5022C" w:rsidRPr="002F4D9C" w:rsidRDefault="00D5022C" w:rsidP="00D5022C">
      <w:pPr>
        <w:pStyle w:val="Textocomentario"/>
        <w:spacing w:before="240"/>
        <w:rPr>
          <w:rFonts w:ascii="Arial" w:hAnsi="Arial" w:cs="Arial"/>
          <w:sz w:val="24"/>
          <w:szCs w:val="24"/>
        </w:rPr>
      </w:pPr>
      <w:r w:rsidRPr="002F4D9C">
        <w:rPr>
          <w:rFonts w:ascii="Arial" w:hAnsi="Arial" w:cs="Arial"/>
          <w:sz w:val="24"/>
          <w:szCs w:val="24"/>
        </w:rPr>
        <w:t xml:space="preserve">Tema: </w:t>
      </w:r>
      <w:hyperlink r:id="rId35" w:history="1">
        <w:r w:rsidRPr="002F4D9C">
          <w:rPr>
            <w:rStyle w:val="Hipervnculo"/>
            <w:rFonts w:ascii="Arial" w:hAnsi="Arial" w:cs="Arial"/>
            <w:sz w:val="24"/>
            <w:szCs w:val="24"/>
          </w:rPr>
          <w:t>https://www.inegi.org.mx/temas/comercioemp/</w:t>
        </w:r>
      </w:hyperlink>
    </w:p>
    <w:p w14:paraId="308EEF58" w14:textId="6B252495" w:rsidR="00D5022C" w:rsidRPr="002F4D9C" w:rsidRDefault="00D5022C" w:rsidP="00D5022C">
      <w:pPr>
        <w:pStyle w:val="Textocomentario"/>
        <w:rPr>
          <w:rFonts w:ascii="Arial" w:hAnsi="Arial" w:cs="Arial"/>
          <w:sz w:val="24"/>
          <w:szCs w:val="24"/>
        </w:rPr>
      </w:pPr>
      <w:r w:rsidRPr="002F4D9C">
        <w:rPr>
          <w:rFonts w:ascii="Arial" w:hAnsi="Arial" w:cs="Arial"/>
          <w:sz w:val="24"/>
          <w:szCs w:val="24"/>
        </w:rPr>
        <w:t xml:space="preserve">Programa: </w:t>
      </w:r>
      <w:hyperlink r:id="rId36" w:history="1">
        <w:r w:rsidRPr="002F4D9C">
          <w:rPr>
            <w:rStyle w:val="Hipervnculo"/>
            <w:rFonts w:ascii="Arial" w:hAnsi="Arial" w:cs="Arial"/>
            <w:sz w:val="24"/>
            <w:szCs w:val="24"/>
          </w:rPr>
          <w:t>https://www.inegi.org.mx/programas/emec/2013/</w:t>
        </w:r>
      </w:hyperlink>
    </w:p>
    <w:p w14:paraId="7680D277" w14:textId="77777777" w:rsidR="00D5022C" w:rsidRPr="002F4D9C" w:rsidRDefault="00D5022C" w:rsidP="00D5022C">
      <w:pPr>
        <w:pStyle w:val="Textocomentario"/>
        <w:rPr>
          <w:rFonts w:ascii="Arial" w:hAnsi="Arial" w:cs="Arial"/>
          <w:snapToGrid w:val="0"/>
          <w:sz w:val="24"/>
          <w:szCs w:val="24"/>
        </w:rPr>
      </w:pPr>
      <w:r w:rsidRPr="002F4D9C">
        <w:rPr>
          <w:rFonts w:ascii="Arial" w:hAnsi="Arial" w:cs="Arial"/>
          <w:sz w:val="24"/>
          <w:szCs w:val="24"/>
        </w:rPr>
        <w:t xml:space="preserve">Banco de Información Económica: </w:t>
      </w:r>
      <w:hyperlink r:id="rId37" w:history="1">
        <w:r w:rsidRPr="002F4D9C">
          <w:rPr>
            <w:rStyle w:val="Hipervnculo"/>
            <w:rFonts w:ascii="Arial" w:hAnsi="Arial" w:cs="Arial"/>
            <w:sz w:val="24"/>
            <w:szCs w:val="24"/>
          </w:rPr>
          <w:t>https://www.inegi.org.mx/sistemas/bie/</w:t>
        </w:r>
      </w:hyperlink>
    </w:p>
    <w:sectPr w:rsidR="00D5022C" w:rsidRPr="002F4D9C" w:rsidSect="005D0D51">
      <w:headerReference w:type="default" r:id="rId38"/>
      <w:footerReference w:type="default" r:id="rId3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1C35D" w14:textId="77777777" w:rsidR="007909D7" w:rsidRDefault="007909D7">
      <w:r>
        <w:separator/>
      </w:r>
    </w:p>
  </w:endnote>
  <w:endnote w:type="continuationSeparator" w:id="0">
    <w:p w14:paraId="41FAB7E6" w14:textId="77777777" w:rsidR="007909D7" w:rsidRDefault="0079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9DD9E" w14:textId="77777777" w:rsidR="00460FAA" w:rsidRDefault="00460F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518DE" w14:textId="77777777" w:rsidR="00073721" w:rsidRPr="007E58A5" w:rsidRDefault="00073721" w:rsidP="00EC0FA7">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A0D2A" w14:textId="77777777" w:rsidR="00460FAA" w:rsidRDefault="00460FA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6AEE6" w14:textId="77777777" w:rsidR="009F32AF" w:rsidRDefault="009F32AF"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C1BCD" w14:textId="77777777" w:rsidR="007909D7" w:rsidRDefault="007909D7">
      <w:r>
        <w:separator/>
      </w:r>
    </w:p>
  </w:footnote>
  <w:footnote w:type="continuationSeparator" w:id="0">
    <w:p w14:paraId="49B7352D" w14:textId="77777777" w:rsidR="007909D7" w:rsidRDefault="007909D7">
      <w:r>
        <w:continuationSeparator/>
      </w:r>
    </w:p>
  </w:footnote>
  <w:footnote w:id="1">
    <w:p w14:paraId="40C2A733" w14:textId="77777777" w:rsidR="00073721" w:rsidRPr="00914A0F" w:rsidRDefault="00073721" w:rsidP="00073721">
      <w:pPr>
        <w:pStyle w:val="Textonotapie"/>
        <w:ind w:left="168" w:right="-547" w:hanging="168"/>
        <w:rPr>
          <w:lang w:val="es-ES"/>
        </w:rPr>
      </w:pPr>
      <w:r w:rsidRPr="00914A0F">
        <w:rPr>
          <w:rStyle w:val="Refdenotaalpie"/>
          <w:sz w:val="18"/>
          <w:szCs w:val="18"/>
        </w:rPr>
        <w:footnoteRef/>
      </w:r>
      <w:r w:rsidRPr="00914A0F">
        <w:tab/>
      </w:r>
      <w:r w:rsidRPr="00914A0F">
        <w:rPr>
          <w:sz w:val="16"/>
          <w:szCs w:val="16"/>
          <w:lang w:val="es-ES"/>
        </w:rPr>
        <w:t xml:space="preserve">Se refiere al monto que obtuvo la empresa por todas aquellas actividades de producción, comercialización o prestación de servicios que realizó en el mes de referencia. </w:t>
      </w:r>
    </w:p>
  </w:footnote>
  <w:footnote w:id="2">
    <w:p w14:paraId="06952CAB" w14:textId="77777777" w:rsidR="00073721" w:rsidRDefault="00073721" w:rsidP="00073721">
      <w:pPr>
        <w:pStyle w:val="Textonotapie"/>
        <w:ind w:left="168" w:right="-547" w:hanging="168"/>
        <w:rPr>
          <w:sz w:val="16"/>
          <w:szCs w:val="16"/>
        </w:rPr>
      </w:pPr>
      <w:r w:rsidRPr="00914A0F">
        <w:rPr>
          <w:rStyle w:val="Refdenotaalpie"/>
          <w:sz w:val="18"/>
          <w:szCs w:val="18"/>
        </w:rPr>
        <w:footnoteRef/>
      </w:r>
      <w:r w:rsidRPr="00914A0F">
        <w:tab/>
      </w:r>
      <w:r w:rsidRPr="00140D9C">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23DF4722" w14:textId="77777777" w:rsidR="00073721" w:rsidRDefault="00073721" w:rsidP="00073721">
      <w:pPr>
        <w:pStyle w:val="Textonotapie"/>
        <w:ind w:left="168" w:right="-547" w:hanging="168"/>
        <w:rPr>
          <w:sz w:val="16"/>
          <w:szCs w:val="16"/>
        </w:rPr>
      </w:pPr>
    </w:p>
    <w:p w14:paraId="47B8A0DE" w14:textId="77777777" w:rsidR="00073721" w:rsidRDefault="00073721" w:rsidP="00073721">
      <w:pPr>
        <w:pStyle w:val="Textonotapie"/>
        <w:ind w:left="168" w:hanging="168"/>
      </w:pPr>
    </w:p>
  </w:footnote>
  <w:footnote w:id="3">
    <w:p w14:paraId="1100435C" w14:textId="77777777" w:rsidR="00073721" w:rsidRDefault="00073721" w:rsidP="00073721">
      <w:pPr>
        <w:pStyle w:val="Textonotapie"/>
        <w:ind w:left="168" w:right="-547" w:hanging="168"/>
        <w:rPr>
          <w:sz w:val="16"/>
        </w:rPr>
      </w:pPr>
      <w:r w:rsidRPr="00D54859">
        <w:rPr>
          <w:rStyle w:val="Refdenotaalpie"/>
          <w:sz w:val="18"/>
        </w:rPr>
        <w:footnoteRef/>
      </w:r>
      <w:r>
        <w:tab/>
      </w:r>
      <w:r w:rsidRPr="00D54859">
        <w:rPr>
          <w:sz w:val="16"/>
        </w:rPr>
        <w:t>En este contexto, la Tasa de No Respuesta en dicho mes registró porcentajes apropiados conforme al diseño estadístico de la EMEC, lo que permitió la generación de estadísticas con niveles altos de cobertura y precisión</w:t>
      </w:r>
      <w:r w:rsidRPr="00AF15C1">
        <w:rPr>
          <w:sz w:val="16"/>
        </w:rPr>
        <w:t>, salvo en las actividades de Comercio al por mayor de artículos de perfumería, cosméticos y joyería, Comercio al por mayor de materias primas agropecuarias y forestales, Comercio al por mayor de materias primas para la industria, Comercio al por mayor de materiales de desecho, Intermediación de comercio al por mayor exclusivamente a través de Internet y otros medios electrónicos, Comercio al por menor de ropa, bisutería y accesorios de vestir, Comercio al por menor de artículos para el esparcimiento, Comercio al por menor de mobiliario equipo y accesorios de cómputo, teléfonos y otros aparatos de comunicación, Comercio al por menor de artículos usados, Comercio al por menor exclusivamente a través de Internet, y catálogos impresos, televisión y similares, que en conjunto representan el 16.8% con relación a la variable de ingresos de todo el comercio, para las que se recomienda el uso con reserva</w:t>
      </w:r>
      <w:r w:rsidRPr="00A665D6">
        <w:rPr>
          <w:sz w:val="16"/>
        </w:rPr>
        <w:t xml:space="preserve"> de las estimaciones.</w:t>
      </w:r>
    </w:p>
    <w:p w14:paraId="5224EAAD" w14:textId="77777777" w:rsidR="00073721" w:rsidRPr="00A76EE0" w:rsidRDefault="00073721" w:rsidP="00073721">
      <w:pPr>
        <w:pStyle w:val="Textonotapie"/>
        <w:ind w:left="168" w:right="-547" w:hanging="168"/>
        <w:rPr>
          <w:sz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096CB" w14:textId="77777777" w:rsidR="00460FAA" w:rsidRDefault="00460F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BC8E9" w14:textId="3A8AC5CF" w:rsidR="00073721" w:rsidRPr="00265B8C" w:rsidRDefault="00073721" w:rsidP="00460FAA">
    <w:pPr>
      <w:pStyle w:val="Encabezado"/>
      <w:framePr w:w="5594" w:hSpace="141" w:wrap="auto" w:vAnchor="text" w:hAnchor="page" w:x="5505" w:y="32"/>
      <w:ind w:left="567" w:hanging="11"/>
      <w:jc w:val="right"/>
      <w:rPr>
        <w:b/>
        <w:color w:val="002060"/>
      </w:rPr>
    </w:pPr>
    <w:r w:rsidRPr="00265B8C">
      <w:rPr>
        <w:b/>
        <w:color w:val="002060"/>
      </w:rPr>
      <w:t xml:space="preserve">COMUNICADO DE PRENSA NÚM. </w:t>
    </w:r>
    <w:r w:rsidR="00460FAA">
      <w:rPr>
        <w:b/>
        <w:color w:val="002060"/>
      </w:rPr>
      <w:t>341</w:t>
    </w:r>
    <w:r w:rsidRPr="00265B8C">
      <w:rPr>
        <w:b/>
        <w:color w:val="002060"/>
      </w:rPr>
      <w:t>/</w:t>
    </w:r>
    <w:r>
      <w:rPr>
        <w:b/>
        <w:color w:val="002060"/>
      </w:rPr>
      <w:t>20</w:t>
    </w:r>
  </w:p>
  <w:p w14:paraId="0F67793A" w14:textId="77777777" w:rsidR="00073721" w:rsidRPr="00265B8C" w:rsidRDefault="00073721" w:rsidP="00460FAA">
    <w:pPr>
      <w:pStyle w:val="Encabezado"/>
      <w:framePr w:w="5594" w:hSpace="141" w:wrap="auto" w:vAnchor="text" w:hAnchor="page" w:x="5505" w:y="32"/>
      <w:ind w:left="567" w:hanging="11"/>
      <w:jc w:val="right"/>
      <w:rPr>
        <w:b/>
        <w:color w:val="002060"/>
        <w:lang w:val="pt-BR"/>
      </w:rPr>
    </w:pPr>
    <w:r>
      <w:rPr>
        <w:b/>
        <w:color w:val="002060"/>
        <w:lang w:val="pt-BR"/>
      </w:rPr>
      <w:t xml:space="preserve">22 </w:t>
    </w:r>
    <w:r w:rsidRPr="00265B8C">
      <w:rPr>
        <w:b/>
        <w:color w:val="002060"/>
        <w:lang w:val="pt-BR"/>
      </w:rPr>
      <w:t>DE</w:t>
    </w:r>
    <w:r>
      <w:rPr>
        <w:b/>
        <w:color w:val="002060"/>
        <w:lang w:val="pt-BR"/>
      </w:rPr>
      <w:t xml:space="preserve"> JULIO DE</w:t>
    </w:r>
    <w:r w:rsidRPr="00265B8C">
      <w:rPr>
        <w:b/>
        <w:color w:val="002060"/>
        <w:lang w:val="pt-BR"/>
      </w:rPr>
      <w:t xml:space="preserve"> 20</w:t>
    </w:r>
    <w:r>
      <w:rPr>
        <w:b/>
        <w:color w:val="002060"/>
        <w:lang w:val="pt-BR"/>
      </w:rPr>
      <w:t>20</w:t>
    </w:r>
  </w:p>
  <w:p w14:paraId="0FA24CD0" w14:textId="77777777" w:rsidR="00073721" w:rsidRPr="00265B8C" w:rsidRDefault="00073721" w:rsidP="00460FAA">
    <w:pPr>
      <w:pStyle w:val="Encabezado"/>
      <w:framePr w:w="5594" w:hSpace="141" w:wrap="auto" w:vAnchor="text" w:hAnchor="page" w:x="5505"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p w14:paraId="60697784" w14:textId="77777777" w:rsidR="00073721" w:rsidRDefault="00073721" w:rsidP="00EC0FA7">
    <w:pPr>
      <w:pStyle w:val="Encabezado"/>
      <w:ind w:left="-993"/>
    </w:pPr>
    <w:r>
      <w:rPr>
        <w:noProof/>
      </w:rPr>
      <w:drawing>
        <wp:inline distT="0" distB="0" distL="0" distR="0" wp14:anchorId="65AB3D84" wp14:editId="7563ECA8">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BA1E2" w14:textId="77777777" w:rsidR="00460FAA" w:rsidRDefault="00460FA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5C07" w14:textId="5B15D220" w:rsidR="009F32AF" w:rsidRDefault="009F32AF" w:rsidP="00073721">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72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4AE"/>
    <w:rsid w:val="00096737"/>
    <w:rsid w:val="00096967"/>
    <w:rsid w:val="00097C0A"/>
    <w:rsid w:val="00097D4F"/>
    <w:rsid w:val="000A0344"/>
    <w:rsid w:val="000A0823"/>
    <w:rsid w:val="000A1595"/>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222E"/>
    <w:rsid w:val="001323BB"/>
    <w:rsid w:val="00132A32"/>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4A84"/>
    <w:rsid w:val="00164CD1"/>
    <w:rsid w:val="001655BD"/>
    <w:rsid w:val="00165810"/>
    <w:rsid w:val="00165E36"/>
    <w:rsid w:val="00165F6B"/>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10"/>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E2D"/>
    <w:rsid w:val="001C48C7"/>
    <w:rsid w:val="001C4A9E"/>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357"/>
    <w:rsid w:val="002954FD"/>
    <w:rsid w:val="00296242"/>
    <w:rsid w:val="00296CE6"/>
    <w:rsid w:val="002973DF"/>
    <w:rsid w:val="002978A2"/>
    <w:rsid w:val="00297D6A"/>
    <w:rsid w:val="002A0190"/>
    <w:rsid w:val="002A0983"/>
    <w:rsid w:val="002A0BF5"/>
    <w:rsid w:val="002A1128"/>
    <w:rsid w:val="002A158C"/>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3D3"/>
    <w:rsid w:val="002B6815"/>
    <w:rsid w:val="002B6AB1"/>
    <w:rsid w:val="002B71D1"/>
    <w:rsid w:val="002B7D3C"/>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CD4"/>
    <w:rsid w:val="002D0321"/>
    <w:rsid w:val="002D0952"/>
    <w:rsid w:val="002D0E7A"/>
    <w:rsid w:val="002D155B"/>
    <w:rsid w:val="002D1AD3"/>
    <w:rsid w:val="002D32A8"/>
    <w:rsid w:val="002D40A5"/>
    <w:rsid w:val="002D48E1"/>
    <w:rsid w:val="002D4CA6"/>
    <w:rsid w:val="002D61C8"/>
    <w:rsid w:val="002D629E"/>
    <w:rsid w:val="002D6AD3"/>
    <w:rsid w:val="002D6E9A"/>
    <w:rsid w:val="002D726B"/>
    <w:rsid w:val="002D75DB"/>
    <w:rsid w:val="002E0067"/>
    <w:rsid w:val="002E02D0"/>
    <w:rsid w:val="002E0489"/>
    <w:rsid w:val="002E04C0"/>
    <w:rsid w:val="002E0544"/>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431"/>
    <w:rsid w:val="002F47E7"/>
    <w:rsid w:val="002F4D9C"/>
    <w:rsid w:val="002F510D"/>
    <w:rsid w:val="002F55DA"/>
    <w:rsid w:val="002F580E"/>
    <w:rsid w:val="002F5F61"/>
    <w:rsid w:val="00300081"/>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891"/>
    <w:rsid w:val="00386A21"/>
    <w:rsid w:val="0038735C"/>
    <w:rsid w:val="003874B4"/>
    <w:rsid w:val="00387631"/>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AD3"/>
    <w:rsid w:val="00394D56"/>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5F0A"/>
    <w:rsid w:val="003F6DF4"/>
    <w:rsid w:val="003F7022"/>
    <w:rsid w:val="003F7263"/>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5C30"/>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20"/>
    <w:rsid w:val="0043729C"/>
    <w:rsid w:val="004373A1"/>
    <w:rsid w:val="00440392"/>
    <w:rsid w:val="00440502"/>
    <w:rsid w:val="00440621"/>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5A32"/>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519"/>
    <w:rsid w:val="00457958"/>
    <w:rsid w:val="00457A06"/>
    <w:rsid w:val="00460FAA"/>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3E1"/>
    <w:rsid w:val="00495FFF"/>
    <w:rsid w:val="00496A9F"/>
    <w:rsid w:val="00497358"/>
    <w:rsid w:val="00497641"/>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2F8"/>
    <w:rsid w:val="00567500"/>
    <w:rsid w:val="0056753D"/>
    <w:rsid w:val="00567811"/>
    <w:rsid w:val="00567CDA"/>
    <w:rsid w:val="00570163"/>
    <w:rsid w:val="005701B3"/>
    <w:rsid w:val="005702BD"/>
    <w:rsid w:val="005704B1"/>
    <w:rsid w:val="00572582"/>
    <w:rsid w:val="00572749"/>
    <w:rsid w:val="00573802"/>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9E5"/>
    <w:rsid w:val="005A1473"/>
    <w:rsid w:val="005A14D6"/>
    <w:rsid w:val="005A19FF"/>
    <w:rsid w:val="005A1B5B"/>
    <w:rsid w:val="005A2074"/>
    <w:rsid w:val="005A24AE"/>
    <w:rsid w:val="005A3394"/>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E77"/>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7B6"/>
    <w:rsid w:val="00670D2E"/>
    <w:rsid w:val="0067269F"/>
    <w:rsid w:val="006726CB"/>
    <w:rsid w:val="0067272F"/>
    <w:rsid w:val="00672F30"/>
    <w:rsid w:val="0067388B"/>
    <w:rsid w:val="00673BA4"/>
    <w:rsid w:val="00674C5D"/>
    <w:rsid w:val="00674ED8"/>
    <w:rsid w:val="00675793"/>
    <w:rsid w:val="00675C5E"/>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3DF"/>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E9"/>
    <w:rsid w:val="006E0A47"/>
    <w:rsid w:val="006E0B21"/>
    <w:rsid w:val="006E0E6E"/>
    <w:rsid w:val="006E171B"/>
    <w:rsid w:val="006E2018"/>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DB5"/>
    <w:rsid w:val="006E6F3D"/>
    <w:rsid w:val="006E7FD7"/>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63D"/>
    <w:rsid w:val="00702723"/>
    <w:rsid w:val="0070303A"/>
    <w:rsid w:val="0070328F"/>
    <w:rsid w:val="00704346"/>
    <w:rsid w:val="007043D3"/>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01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60978"/>
    <w:rsid w:val="00760D42"/>
    <w:rsid w:val="007623B0"/>
    <w:rsid w:val="00762A7D"/>
    <w:rsid w:val="00763B9E"/>
    <w:rsid w:val="00764588"/>
    <w:rsid w:val="007648FE"/>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700E"/>
    <w:rsid w:val="00787339"/>
    <w:rsid w:val="00787B59"/>
    <w:rsid w:val="007900A9"/>
    <w:rsid w:val="007909D7"/>
    <w:rsid w:val="007910C3"/>
    <w:rsid w:val="00791110"/>
    <w:rsid w:val="00791250"/>
    <w:rsid w:val="0079150D"/>
    <w:rsid w:val="00791DE1"/>
    <w:rsid w:val="00793181"/>
    <w:rsid w:val="007936BD"/>
    <w:rsid w:val="007936C1"/>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D41"/>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D3"/>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98E"/>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B5"/>
    <w:rsid w:val="007E64FF"/>
    <w:rsid w:val="007E6F62"/>
    <w:rsid w:val="007E6FEA"/>
    <w:rsid w:val="007E7C7B"/>
    <w:rsid w:val="007E7E0F"/>
    <w:rsid w:val="007E7F8F"/>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375A"/>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768"/>
    <w:rsid w:val="008658AB"/>
    <w:rsid w:val="00865B18"/>
    <w:rsid w:val="0086672E"/>
    <w:rsid w:val="00866CF2"/>
    <w:rsid w:val="008675EC"/>
    <w:rsid w:val="008679CE"/>
    <w:rsid w:val="00867DA7"/>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5CE"/>
    <w:rsid w:val="008D6A6E"/>
    <w:rsid w:val="008D781F"/>
    <w:rsid w:val="008D7DBE"/>
    <w:rsid w:val="008E02B7"/>
    <w:rsid w:val="008E20BE"/>
    <w:rsid w:val="008E241B"/>
    <w:rsid w:val="008E264E"/>
    <w:rsid w:val="008E3096"/>
    <w:rsid w:val="008E330C"/>
    <w:rsid w:val="008E332F"/>
    <w:rsid w:val="008E36A1"/>
    <w:rsid w:val="008E4114"/>
    <w:rsid w:val="008E45EA"/>
    <w:rsid w:val="008E4A1A"/>
    <w:rsid w:val="008E5E01"/>
    <w:rsid w:val="008E69A3"/>
    <w:rsid w:val="008E7CC9"/>
    <w:rsid w:val="008F02A1"/>
    <w:rsid w:val="008F0E69"/>
    <w:rsid w:val="008F12FF"/>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3DD"/>
    <w:rsid w:val="0091148A"/>
    <w:rsid w:val="009116EC"/>
    <w:rsid w:val="00912347"/>
    <w:rsid w:val="0091268D"/>
    <w:rsid w:val="009129C1"/>
    <w:rsid w:val="00913378"/>
    <w:rsid w:val="00913B74"/>
    <w:rsid w:val="00913EBB"/>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623B"/>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D17"/>
    <w:rsid w:val="00963947"/>
    <w:rsid w:val="00963A13"/>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0EA"/>
    <w:rsid w:val="00974690"/>
    <w:rsid w:val="00974A1E"/>
    <w:rsid w:val="0097559A"/>
    <w:rsid w:val="00975D48"/>
    <w:rsid w:val="00976546"/>
    <w:rsid w:val="00976CB4"/>
    <w:rsid w:val="00976FCF"/>
    <w:rsid w:val="00977202"/>
    <w:rsid w:val="00977480"/>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3307"/>
    <w:rsid w:val="009A3520"/>
    <w:rsid w:val="009A3547"/>
    <w:rsid w:val="009A395E"/>
    <w:rsid w:val="009A39FF"/>
    <w:rsid w:val="009A3CB5"/>
    <w:rsid w:val="009A3EAF"/>
    <w:rsid w:val="009A3F33"/>
    <w:rsid w:val="009A5501"/>
    <w:rsid w:val="009A5AE0"/>
    <w:rsid w:val="009A6621"/>
    <w:rsid w:val="009A6AEA"/>
    <w:rsid w:val="009A6CC5"/>
    <w:rsid w:val="009A7661"/>
    <w:rsid w:val="009A7BC4"/>
    <w:rsid w:val="009B05C1"/>
    <w:rsid w:val="009B08B3"/>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1082"/>
    <w:rsid w:val="009D1C00"/>
    <w:rsid w:val="009D20AC"/>
    <w:rsid w:val="009D20C9"/>
    <w:rsid w:val="009D21C8"/>
    <w:rsid w:val="009D26D8"/>
    <w:rsid w:val="009D30F9"/>
    <w:rsid w:val="009D3192"/>
    <w:rsid w:val="009D31C0"/>
    <w:rsid w:val="009D322C"/>
    <w:rsid w:val="009D334F"/>
    <w:rsid w:val="009D339D"/>
    <w:rsid w:val="009D347E"/>
    <w:rsid w:val="009D34BA"/>
    <w:rsid w:val="009D372A"/>
    <w:rsid w:val="009D3A26"/>
    <w:rsid w:val="009D3BAC"/>
    <w:rsid w:val="009D3EDD"/>
    <w:rsid w:val="009D48BA"/>
    <w:rsid w:val="009D4B7E"/>
    <w:rsid w:val="009D4C7B"/>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59BF"/>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CCF"/>
    <w:rsid w:val="00A35D65"/>
    <w:rsid w:val="00A35FDD"/>
    <w:rsid w:val="00A36CF6"/>
    <w:rsid w:val="00A36EC5"/>
    <w:rsid w:val="00A374F3"/>
    <w:rsid w:val="00A37EDA"/>
    <w:rsid w:val="00A4035D"/>
    <w:rsid w:val="00A413A3"/>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04C5"/>
    <w:rsid w:val="00AA1128"/>
    <w:rsid w:val="00AA1A7C"/>
    <w:rsid w:val="00AA1ADA"/>
    <w:rsid w:val="00AA20B3"/>
    <w:rsid w:val="00AA2115"/>
    <w:rsid w:val="00AA2A7D"/>
    <w:rsid w:val="00AA2A95"/>
    <w:rsid w:val="00AA2E95"/>
    <w:rsid w:val="00AA2ECC"/>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49C3"/>
    <w:rsid w:val="00AB55F8"/>
    <w:rsid w:val="00AB5964"/>
    <w:rsid w:val="00AB5DF2"/>
    <w:rsid w:val="00AB6164"/>
    <w:rsid w:val="00AB6C4D"/>
    <w:rsid w:val="00AB7866"/>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293"/>
    <w:rsid w:val="00B31602"/>
    <w:rsid w:val="00B318FE"/>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411A"/>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2315"/>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431"/>
    <w:rsid w:val="00B93500"/>
    <w:rsid w:val="00B93D97"/>
    <w:rsid w:val="00B94392"/>
    <w:rsid w:val="00B955F5"/>
    <w:rsid w:val="00B95663"/>
    <w:rsid w:val="00B95A36"/>
    <w:rsid w:val="00B95CCC"/>
    <w:rsid w:val="00B95F44"/>
    <w:rsid w:val="00B96D3C"/>
    <w:rsid w:val="00B97577"/>
    <w:rsid w:val="00B9781E"/>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1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BCD"/>
    <w:rsid w:val="00C66E74"/>
    <w:rsid w:val="00C67029"/>
    <w:rsid w:val="00C702C6"/>
    <w:rsid w:val="00C70B38"/>
    <w:rsid w:val="00C70B43"/>
    <w:rsid w:val="00C71A56"/>
    <w:rsid w:val="00C730CC"/>
    <w:rsid w:val="00C7532A"/>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991"/>
    <w:rsid w:val="00CA4A1E"/>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1F9"/>
    <w:rsid w:val="00CC2B9C"/>
    <w:rsid w:val="00CC326E"/>
    <w:rsid w:val="00CC38EE"/>
    <w:rsid w:val="00CC49B3"/>
    <w:rsid w:val="00CC566D"/>
    <w:rsid w:val="00CC6AA6"/>
    <w:rsid w:val="00CC6ACF"/>
    <w:rsid w:val="00CC722F"/>
    <w:rsid w:val="00CC726E"/>
    <w:rsid w:val="00CC7476"/>
    <w:rsid w:val="00CC75EE"/>
    <w:rsid w:val="00CD087C"/>
    <w:rsid w:val="00CD0BAE"/>
    <w:rsid w:val="00CD1017"/>
    <w:rsid w:val="00CD129C"/>
    <w:rsid w:val="00CD12BA"/>
    <w:rsid w:val="00CD181E"/>
    <w:rsid w:val="00CD2C45"/>
    <w:rsid w:val="00CD387C"/>
    <w:rsid w:val="00CD474C"/>
    <w:rsid w:val="00CD49B6"/>
    <w:rsid w:val="00CD5589"/>
    <w:rsid w:val="00CD5CCC"/>
    <w:rsid w:val="00CD6B16"/>
    <w:rsid w:val="00CD6B5E"/>
    <w:rsid w:val="00CD7422"/>
    <w:rsid w:val="00CD7E7A"/>
    <w:rsid w:val="00CE0950"/>
    <w:rsid w:val="00CE0FC5"/>
    <w:rsid w:val="00CE11D8"/>
    <w:rsid w:val="00CE1648"/>
    <w:rsid w:val="00CE1A90"/>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42FA"/>
    <w:rsid w:val="00D14873"/>
    <w:rsid w:val="00D14C06"/>
    <w:rsid w:val="00D14DAF"/>
    <w:rsid w:val="00D1564A"/>
    <w:rsid w:val="00D156E5"/>
    <w:rsid w:val="00D15AF0"/>
    <w:rsid w:val="00D16747"/>
    <w:rsid w:val="00D16BA9"/>
    <w:rsid w:val="00D175C7"/>
    <w:rsid w:val="00D17E09"/>
    <w:rsid w:val="00D20886"/>
    <w:rsid w:val="00D20F34"/>
    <w:rsid w:val="00D2211E"/>
    <w:rsid w:val="00D22E00"/>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DBF"/>
    <w:rsid w:val="00D46F26"/>
    <w:rsid w:val="00D472FC"/>
    <w:rsid w:val="00D47591"/>
    <w:rsid w:val="00D5022C"/>
    <w:rsid w:val="00D50F4A"/>
    <w:rsid w:val="00D51089"/>
    <w:rsid w:val="00D52173"/>
    <w:rsid w:val="00D5228C"/>
    <w:rsid w:val="00D52743"/>
    <w:rsid w:val="00D52E06"/>
    <w:rsid w:val="00D53650"/>
    <w:rsid w:val="00D5459F"/>
    <w:rsid w:val="00D54859"/>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5847"/>
    <w:rsid w:val="00D6616F"/>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6C22"/>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7645"/>
    <w:rsid w:val="00DA7E15"/>
    <w:rsid w:val="00DA7FC8"/>
    <w:rsid w:val="00DB0284"/>
    <w:rsid w:val="00DB02FF"/>
    <w:rsid w:val="00DB10BD"/>
    <w:rsid w:val="00DB1379"/>
    <w:rsid w:val="00DB1433"/>
    <w:rsid w:val="00DB197C"/>
    <w:rsid w:val="00DB1AAF"/>
    <w:rsid w:val="00DB1DB6"/>
    <w:rsid w:val="00DB26B5"/>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B97"/>
    <w:rsid w:val="00E46852"/>
    <w:rsid w:val="00E46AB1"/>
    <w:rsid w:val="00E476C1"/>
    <w:rsid w:val="00E479FF"/>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5073"/>
    <w:rsid w:val="00E65E8C"/>
    <w:rsid w:val="00E66800"/>
    <w:rsid w:val="00E66D78"/>
    <w:rsid w:val="00E673C1"/>
    <w:rsid w:val="00E67C5C"/>
    <w:rsid w:val="00E67E55"/>
    <w:rsid w:val="00E70504"/>
    <w:rsid w:val="00E70783"/>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D2F"/>
    <w:rsid w:val="00E97EA7"/>
    <w:rsid w:val="00E97FB1"/>
    <w:rsid w:val="00EA0514"/>
    <w:rsid w:val="00EA1266"/>
    <w:rsid w:val="00EA1514"/>
    <w:rsid w:val="00EA16E1"/>
    <w:rsid w:val="00EA1767"/>
    <w:rsid w:val="00EA1D3A"/>
    <w:rsid w:val="00EA1F8E"/>
    <w:rsid w:val="00EA2360"/>
    <w:rsid w:val="00EA272B"/>
    <w:rsid w:val="00EA274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57"/>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EE2"/>
    <w:rsid w:val="00F2305F"/>
    <w:rsid w:val="00F232DA"/>
    <w:rsid w:val="00F23613"/>
    <w:rsid w:val="00F242B4"/>
    <w:rsid w:val="00F24874"/>
    <w:rsid w:val="00F24980"/>
    <w:rsid w:val="00F24B20"/>
    <w:rsid w:val="00F24BEA"/>
    <w:rsid w:val="00F24EF6"/>
    <w:rsid w:val="00F25A7A"/>
    <w:rsid w:val="00F25C36"/>
    <w:rsid w:val="00F26145"/>
    <w:rsid w:val="00F26264"/>
    <w:rsid w:val="00F26345"/>
    <w:rsid w:val="00F2634C"/>
    <w:rsid w:val="00F26432"/>
    <w:rsid w:val="00F26D6D"/>
    <w:rsid w:val="00F30616"/>
    <w:rsid w:val="00F319CF"/>
    <w:rsid w:val="00F319F9"/>
    <w:rsid w:val="00F32AF9"/>
    <w:rsid w:val="00F33B96"/>
    <w:rsid w:val="00F346B1"/>
    <w:rsid w:val="00F34753"/>
    <w:rsid w:val="00F3484E"/>
    <w:rsid w:val="00F34E84"/>
    <w:rsid w:val="00F34FB3"/>
    <w:rsid w:val="00F35B9E"/>
    <w:rsid w:val="00F35F60"/>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2839"/>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784"/>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C14"/>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07372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footer" Target="footer4.xml"/><Relationship Id="rId21" Type="http://schemas.openxmlformats.org/officeDocument/2006/relationships/header" Target="header1.xml"/><Relationship Id="rId34" Type="http://schemas.openxmlformats.org/officeDocument/2006/relationships/image" Target="media/image7.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hyperlink" Target="https://www.inegi.org.mx/sistemas/b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hyperlink" Target="https://www.inegi.org.mx/programas/emec/2013/" TargetMode="Externa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temas/comercioemp/"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Datos!$C$90:$C$161</c:f>
              <c:numCache>
                <c:formatCode>0.0_)</c:formatCode>
                <c:ptCount val="65"/>
                <c:pt idx="0">
                  <c:v>104.701153075665</c:v>
                </c:pt>
                <c:pt idx="1">
                  <c:v>105.18268522943499</c:v>
                </c:pt>
                <c:pt idx="2">
                  <c:v>105.454756799002</c:v>
                </c:pt>
                <c:pt idx="3">
                  <c:v>105.31183611669699</c:v>
                </c:pt>
                <c:pt idx="4">
                  <c:v>105.41456017794</c:v>
                </c:pt>
                <c:pt idx="5">
                  <c:v>105.862942858869</c:v>
                </c:pt>
                <c:pt idx="6">
                  <c:v>107.931753924899</c:v>
                </c:pt>
                <c:pt idx="7">
                  <c:v>105.762089841337</c:v>
                </c:pt>
                <c:pt idx="8">
                  <c:v>104.622157405742</c:v>
                </c:pt>
                <c:pt idx="9">
                  <c:v>105.205718431295</c:v>
                </c:pt>
                <c:pt idx="10">
                  <c:v>104.709664394397</c:v>
                </c:pt>
                <c:pt idx="11">
                  <c:v>102.15217619255699</c:v>
                </c:pt>
                <c:pt idx="12">
                  <c:v>104.36786584748199</c:v>
                </c:pt>
                <c:pt idx="13">
                  <c:v>104.375499770692</c:v>
                </c:pt>
                <c:pt idx="14">
                  <c:v>104.268893869081</c:v>
                </c:pt>
                <c:pt idx="15">
                  <c:v>105.356312500672</c:v>
                </c:pt>
                <c:pt idx="16">
                  <c:v>106.303602308514</c:v>
                </c:pt>
                <c:pt idx="17">
                  <c:v>106.26022143594901</c:v>
                </c:pt>
                <c:pt idx="18">
                  <c:v>105.804152456235</c:v>
                </c:pt>
                <c:pt idx="19">
                  <c:v>106.150919968428</c:v>
                </c:pt>
                <c:pt idx="20">
                  <c:v>106.76448175825</c:v>
                </c:pt>
                <c:pt idx="21">
                  <c:v>106.344898983673</c:v>
                </c:pt>
                <c:pt idx="22">
                  <c:v>104.806909756184</c:v>
                </c:pt>
                <c:pt idx="23">
                  <c:v>107.33405464179199</c:v>
                </c:pt>
                <c:pt idx="24">
                  <c:v>107.955912759889</c:v>
                </c:pt>
                <c:pt idx="25">
                  <c:v>107.620500511234</c:v>
                </c:pt>
                <c:pt idx="26">
                  <c:v>107.208218915266</c:v>
                </c:pt>
                <c:pt idx="27">
                  <c:v>107.18736973866299</c:v>
                </c:pt>
                <c:pt idx="28">
                  <c:v>106.474696372764</c:v>
                </c:pt>
                <c:pt idx="29">
                  <c:v>106.46328180632</c:v>
                </c:pt>
                <c:pt idx="30">
                  <c:v>107.53152405079101</c:v>
                </c:pt>
                <c:pt idx="31">
                  <c:v>108.092286987528</c:v>
                </c:pt>
                <c:pt idx="32">
                  <c:v>107.181705850745</c:v>
                </c:pt>
                <c:pt idx="33">
                  <c:v>107.561034855659</c:v>
                </c:pt>
                <c:pt idx="34">
                  <c:v>108.01959632480499</c:v>
                </c:pt>
                <c:pt idx="35">
                  <c:v>108.726190409769</c:v>
                </c:pt>
                <c:pt idx="36">
                  <c:v>107.11816793887201</c:v>
                </c:pt>
                <c:pt idx="37">
                  <c:v>108.500829081875</c:v>
                </c:pt>
                <c:pt idx="38">
                  <c:v>111.258423699256</c:v>
                </c:pt>
                <c:pt idx="39">
                  <c:v>110.370003832317</c:v>
                </c:pt>
                <c:pt idx="40">
                  <c:v>111.331990212185</c:v>
                </c:pt>
                <c:pt idx="41">
                  <c:v>110.649722469503</c:v>
                </c:pt>
                <c:pt idx="42">
                  <c:v>109.693864136128</c:v>
                </c:pt>
                <c:pt idx="43">
                  <c:v>109.612368820931</c:v>
                </c:pt>
                <c:pt idx="44">
                  <c:v>110.227450389697</c:v>
                </c:pt>
                <c:pt idx="45">
                  <c:v>112.103761025273</c:v>
                </c:pt>
                <c:pt idx="46">
                  <c:v>109.178010878162</c:v>
                </c:pt>
                <c:pt idx="47">
                  <c:v>106.59112492063301</c:v>
                </c:pt>
                <c:pt idx="48">
                  <c:v>107.85756543002</c:v>
                </c:pt>
                <c:pt idx="49">
                  <c:v>107.958734483265</c:v>
                </c:pt>
                <c:pt idx="50">
                  <c:v>107.96710341098</c:v>
                </c:pt>
                <c:pt idx="51">
                  <c:v>107.78962644584099</c:v>
                </c:pt>
                <c:pt idx="52">
                  <c:v>107.16737441804</c:v>
                </c:pt>
                <c:pt idx="53">
                  <c:v>107.367511363777</c:v>
                </c:pt>
                <c:pt idx="54">
                  <c:v>107.21031371988801</c:v>
                </c:pt>
                <c:pt idx="55">
                  <c:v>107.024620537263</c:v>
                </c:pt>
                <c:pt idx="56">
                  <c:v>106.643426884596</c:v>
                </c:pt>
                <c:pt idx="57">
                  <c:v>105.34358533277801</c:v>
                </c:pt>
                <c:pt idx="58">
                  <c:v>105.627976156795</c:v>
                </c:pt>
                <c:pt idx="59">
                  <c:v>105.773777490716</c:v>
                </c:pt>
                <c:pt idx="60">
                  <c:v>106.02698677049599</c:v>
                </c:pt>
                <c:pt idx="61">
                  <c:v>105.768441264145</c:v>
                </c:pt>
                <c:pt idx="62">
                  <c:v>105.12377988896399</c:v>
                </c:pt>
                <c:pt idx="63">
                  <c:v>86.031909009587295</c:v>
                </c:pt>
                <c:pt idx="64">
                  <c:v>81.619774792713898</c:v>
                </c:pt>
              </c:numCache>
            </c:numRef>
          </c:val>
          <c:extLst>
            <c:ext xmlns:c16="http://schemas.microsoft.com/office/drawing/2014/chart" uri="{C3380CC4-5D6E-409C-BE32-E72D297353CC}">
              <c16:uniqueId val="{00000000-7EA9-4195-A027-BC683B9768C9}"/>
            </c:ext>
          </c:extLst>
        </c:ser>
        <c:dLbls>
          <c:showLegendKey val="0"/>
          <c:showVal val="0"/>
          <c:showCatName val="0"/>
          <c:showSerName val="0"/>
          <c:showPercent val="0"/>
          <c:showBubbleSize val="0"/>
        </c:dLbls>
        <c:gapWidth val="55"/>
        <c:axId val="489210176"/>
        <c:axId val="489210568"/>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Datos!$D$90:$D$161</c:f>
              <c:numCache>
                <c:formatCode>0.0_)</c:formatCode>
                <c:ptCount val="65"/>
                <c:pt idx="0">
                  <c:v>105.244862028977</c:v>
                </c:pt>
                <c:pt idx="1">
                  <c:v>105.311915897978</c:v>
                </c:pt>
                <c:pt idx="2">
                  <c:v>105.364542265042</c:v>
                </c:pt>
                <c:pt idx="3">
                  <c:v>105.452820687143</c:v>
                </c:pt>
                <c:pt idx="4">
                  <c:v>105.57345216122501</c:v>
                </c:pt>
                <c:pt idx="5">
                  <c:v>105.66497922107</c:v>
                </c:pt>
                <c:pt idx="6">
                  <c:v>105.63785420790499</c:v>
                </c:pt>
                <c:pt idx="7">
                  <c:v>105.48420095118399</c:v>
                </c:pt>
                <c:pt idx="8">
                  <c:v>105.245404971073</c:v>
                </c:pt>
                <c:pt idx="9">
                  <c:v>104.9402685166</c:v>
                </c:pt>
                <c:pt idx="10">
                  <c:v>104.620832661907</c:v>
                </c:pt>
                <c:pt idx="11">
                  <c:v>104.39100565291901</c:v>
                </c:pt>
                <c:pt idx="12">
                  <c:v>104.347821300761</c:v>
                </c:pt>
                <c:pt idx="13">
                  <c:v>104.51088515140501</c:v>
                </c:pt>
                <c:pt idx="14">
                  <c:v>104.83099169917</c:v>
                </c:pt>
                <c:pt idx="15">
                  <c:v>105.24210629336</c:v>
                </c:pt>
                <c:pt idx="16">
                  <c:v>105.656393771502</c:v>
                </c:pt>
                <c:pt idx="17">
                  <c:v>105.976892146143</c:v>
                </c:pt>
                <c:pt idx="18">
                  <c:v>106.18075690312401</c:v>
                </c:pt>
                <c:pt idx="19">
                  <c:v>106.32365371943099</c:v>
                </c:pt>
                <c:pt idx="20">
                  <c:v>106.489273678451</c:v>
                </c:pt>
                <c:pt idx="21">
                  <c:v>106.733231067261</c:v>
                </c:pt>
                <c:pt idx="22">
                  <c:v>107.051097324556</c:v>
                </c:pt>
                <c:pt idx="23">
                  <c:v>107.34164777760699</c:v>
                </c:pt>
                <c:pt idx="24">
                  <c:v>107.479260899588</c:v>
                </c:pt>
                <c:pt idx="25">
                  <c:v>107.42942641344101</c:v>
                </c:pt>
                <c:pt idx="26">
                  <c:v>107.26835573613801</c:v>
                </c:pt>
                <c:pt idx="27">
                  <c:v>107.08473083991601</c:v>
                </c:pt>
                <c:pt idx="28">
                  <c:v>106.96184534037501</c:v>
                </c:pt>
                <c:pt idx="29">
                  <c:v>106.959025274064</c:v>
                </c:pt>
                <c:pt idx="30">
                  <c:v>107.077541439059</c:v>
                </c:pt>
                <c:pt idx="31">
                  <c:v>107.293020180486</c:v>
                </c:pt>
                <c:pt idx="32">
                  <c:v>107.541762688576</c:v>
                </c:pt>
                <c:pt idx="33">
                  <c:v>107.79770696769999</c:v>
                </c:pt>
                <c:pt idx="34">
                  <c:v>108.06996819023399</c:v>
                </c:pt>
                <c:pt idx="35">
                  <c:v>108.40117032700699</c:v>
                </c:pt>
                <c:pt idx="36">
                  <c:v>108.84822628032001</c:v>
                </c:pt>
                <c:pt idx="37">
                  <c:v>109.36902684306401</c:v>
                </c:pt>
                <c:pt idx="38">
                  <c:v>109.83246022644801</c:v>
                </c:pt>
                <c:pt idx="39">
                  <c:v>110.163396663193</c:v>
                </c:pt>
                <c:pt idx="40">
                  <c:v>110.345190411781</c:v>
                </c:pt>
                <c:pt idx="41">
                  <c:v>110.36967046769</c:v>
                </c:pt>
                <c:pt idx="42">
                  <c:v>110.262960931008</c:v>
                </c:pt>
                <c:pt idx="43">
                  <c:v>110.049223001041</c:v>
                </c:pt>
                <c:pt idx="44">
                  <c:v>109.765436651844</c:v>
                </c:pt>
                <c:pt idx="45">
                  <c:v>109.441296087304</c:v>
                </c:pt>
                <c:pt idx="46">
                  <c:v>109.087559759111</c:v>
                </c:pt>
                <c:pt idx="47">
                  <c:v>108.710491719434</c:v>
                </c:pt>
                <c:pt idx="48">
                  <c:v>108.331980998291</c:v>
                </c:pt>
                <c:pt idx="49">
                  <c:v>108.00248140441199</c:v>
                </c:pt>
                <c:pt idx="50">
                  <c:v>107.768448643997</c:v>
                </c:pt>
                <c:pt idx="51">
                  <c:v>107.618196069742</c:v>
                </c:pt>
                <c:pt idx="52">
                  <c:v>107.491764418193</c:v>
                </c:pt>
                <c:pt idx="53">
                  <c:v>107.33331671295301</c:v>
                </c:pt>
                <c:pt idx="54">
                  <c:v>107.097392705473</c:v>
                </c:pt>
                <c:pt idx="55">
                  <c:v>106.796271021804</c:v>
                </c:pt>
                <c:pt idx="56">
                  <c:v>106.490894967228</c:v>
                </c:pt>
                <c:pt idx="57">
                  <c:v>106.217430295797</c:v>
                </c:pt>
                <c:pt idx="58">
                  <c:v>105.97990191869199</c:v>
                </c:pt>
                <c:pt idx="59">
                  <c:v>105.786216553907</c:v>
                </c:pt>
                <c:pt idx="60">
                  <c:v>105.644440671018</c:v>
                </c:pt>
                <c:pt idx="61">
                  <c:v>105.524855874176</c:v>
                </c:pt>
                <c:pt idx="62">
                  <c:v>105.39266780773301</c:v>
                </c:pt>
                <c:pt idx="63">
                  <c:v>105.22525124764</c:v>
                </c:pt>
                <c:pt idx="64">
                  <c:v>105.049877545236</c:v>
                </c:pt>
              </c:numCache>
            </c:numRef>
          </c:val>
          <c:smooth val="0"/>
          <c:extLst>
            <c:ext xmlns:c16="http://schemas.microsoft.com/office/drawing/2014/chart" uri="{C3380CC4-5D6E-409C-BE32-E72D297353CC}">
              <c16:uniqueId val="{00000001-7EA9-4195-A027-BC683B9768C9}"/>
            </c:ext>
          </c:extLst>
        </c:ser>
        <c:dLbls>
          <c:showLegendKey val="0"/>
          <c:showVal val="0"/>
          <c:showCatName val="0"/>
          <c:showSerName val="0"/>
          <c:showPercent val="0"/>
          <c:showBubbleSize val="0"/>
        </c:dLbls>
        <c:marker val="1"/>
        <c:smooth val="0"/>
        <c:axId val="489210176"/>
        <c:axId val="489210568"/>
      </c:lineChart>
      <c:catAx>
        <c:axId val="48921017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89210568"/>
        <c:crosses val="autoZero"/>
        <c:auto val="1"/>
        <c:lblAlgn val="ctr"/>
        <c:lblOffset val="100"/>
        <c:tickLblSkip val="1"/>
        <c:tickMarkSkip val="12"/>
        <c:noMultiLvlLbl val="1"/>
      </c:catAx>
      <c:valAx>
        <c:axId val="489210568"/>
        <c:scaling>
          <c:orientation val="minMax"/>
          <c:max val="12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89210176"/>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Datos!$E$90:$E$161</c:f>
              <c:numCache>
                <c:formatCode>0.0_)</c:formatCode>
                <c:ptCount val="65"/>
                <c:pt idx="0">
                  <c:v>103.609751506081</c:v>
                </c:pt>
                <c:pt idx="1">
                  <c:v>104.496809266187</c:v>
                </c:pt>
                <c:pt idx="2">
                  <c:v>105.18730676472001</c:v>
                </c:pt>
                <c:pt idx="3">
                  <c:v>104.807249738552</c:v>
                </c:pt>
                <c:pt idx="4">
                  <c:v>105.21190222219199</c:v>
                </c:pt>
                <c:pt idx="5">
                  <c:v>105.956653145648</c:v>
                </c:pt>
                <c:pt idx="6">
                  <c:v>106.806669003682</c:v>
                </c:pt>
                <c:pt idx="7">
                  <c:v>107.924101633837</c:v>
                </c:pt>
                <c:pt idx="8">
                  <c:v>106.94234208844701</c:v>
                </c:pt>
                <c:pt idx="9">
                  <c:v>106.875493769126</c:v>
                </c:pt>
                <c:pt idx="10">
                  <c:v>107.045881856623</c:v>
                </c:pt>
                <c:pt idx="11">
                  <c:v>107.790533125129</c:v>
                </c:pt>
                <c:pt idx="12">
                  <c:v>108.894483171856</c:v>
                </c:pt>
                <c:pt idx="13">
                  <c:v>108.912993950141</c:v>
                </c:pt>
                <c:pt idx="14">
                  <c:v>109.674622909435</c:v>
                </c:pt>
                <c:pt idx="15">
                  <c:v>109.977828830593</c:v>
                </c:pt>
                <c:pt idx="16">
                  <c:v>110.333169365039</c:v>
                </c:pt>
                <c:pt idx="17">
                  <c:v>111.931260442289</c:v>
                </c:pt>
                <c:pt idx="18">
                  <c:v>111.265139181488</c:v>
                </c:pt>
                <c:pt idx="19">
                  <c:v>112.520362199614</c:v>
                </c:pt>
                <c:pt idx="20">
                  <c:v>112.44736798748799</c:v>
                </c:pt>
                <c:pt idx="21">
                  <c:v>114.470871657882</c:v>
                </c:pt>
                <c:pt idx="22">
                  <c:v>113.278414418591</c:v>
                </c:pt>
                <c:pt idx="23">
                  <c:v>113.229911434017</c:v>
                </c:pt>
                <c:pt idx="24">
                  <c:v>112.344772642435</c:v>
                </c:pt>
                <c:pt idx="25">
                  <c:v>112.164718281812</c:v>
                </c:pt>
                <c:pt idx="26">
                  <c:v>111.67690732614101</c:v>
                </c:pt>
                <c:pt idx="27">
                  <c:v>111.73910349266001</c:v>
                </c:pt>
                <c:pt idx="28">
                  <c:v>111.619811977419</c:v>
                </c:pt>
                <c:pt idx="29">
                  <c:v>111.06270029980099</c:v>
                </c:pt>
                <c:pt idx="30">
                  <c:v>111.591490682106</c:v>
                </c:pt>
                <c:pt idx="31">
                  <c:v>111.125717334973</c:v>
                </c:pt>
                <c:pt idx="32">
                  <c:v>110.45257584652801</c:v>
                </c:pt>
                <c:pt idx="33">
                  <c:v>111.639747788129</c:v>
                </c:pt>
                <c:pt idx="34">
                  <c:v>110.899117911356</c:v>
                </c:pt>
                <c:pt idx="35">
                  <c:v>111.834029224247</c:v>
                </c:pt>
                <c:pt idx="36">
                  <c:v>111.89961955455701</c:v>
                </c:pt>
                <c:pt idx="37">
                  <c:v>111.99769558539499</c:v>
                </c:pt>
                <c:pt idx="38">
                  <c:v>114.02450555192</c:v>
                </c:pt>
                <c:pt idx="39">
                  <c:v>112.789544864082</c:v>
                </c:pt>
                <c:pt idx="40">
                  <c:v>113.12206430647601</c:v>
                </c:pt>
                <c:pt idx="41">
                  <c:v>113.52753457593001</c:v>
                </c:pt>
                <c:pt idx="42">
                  <c:v>113.656042980428</c:v>
                </c:pt>
                <c:pt idx="43">
                  <c:v>113.067432984706</c:v>
                </c:pt>
                <c:pt idx="44">
                  <c:v>114.36067908022601</c:v>
                </c:pt>
                <c:pt idx="45">
                  <c:v>113.898564752685</c:v>
                </c:pt>
                <c:pt idx="46">
                  <c:v>114.14507191179101</c:v>
                </c:pt>
                <c:pt idx="47">
                  <c:v>111.83762955300099</c:v>
                </c:pt>
                <c:pt idx="48">
                  <c:v>112.80091490540001</c:v>
                </c:pt>
                <c:pt idx="49">
                  <c:v>114.96535603866</c:v>
                </c:pt>
                <c:pt idx="50">
                  <c:v>114.987625811955</c:v>
                </c:pt>
                <c:pt idx="51">
                  <c:v>115.442549824434</c:v>
                </c:pt>
                <c:pt idx="52">
                  <c:v>115.91771737760099</c:v>
                </c:pt>
                <c:pt idx="53">
                  <c:v>115.59799534679399</c:v>
                </c:pt>
                <c:pt idx="54">
                  <c:v>115.623062545171</c:v>
                </c:pt>
                <c:pt idx="55">
                  <c:v>116.012093598329</c:v>
                </c:pt>
                <c:pt idx="56">
                  <c:v>117.087624890142</c:v>
                </c:pt>
                <c:pt idx="57">
                  <c:v>114.35940879736199</c:v>
                </c:pt>
                <c:pt idx="58">
                  <c:v>116.26876244658099</c:v>
                </c:pt>
                <c:pt idx="59">
                  <c:v>115.52309772945701</c:v>
                </c:pt>
                <c:pt idx="60">
                  <c:v>115.604047834393</c:v>
                </c:pt>
                <c:pt idx="61">
                  <c:v>114.66508993071299</c:v>
                </c:pt>
                <c:pt idx="62">
                  <c:v>113.77636353949499</c:v>
                </c:pt>
                <c:pt idx="63">
                  <c:v>88.126948610885194</c:v>
                </c:pt>
                <c:pt idx="64">
                  <c:v>88.808540779464494</c:v>
                </c:pt>
              </c:numCache>
            </c:numRef>
          </c:val>
          <c:extLst>
            <c:ext xmlns:c16="http://schemas.microsoft.com/office/drawing/2014/chart" uri="{C3380CC4-5D6E-409C-BE32-E72D297353CC}">
              <c16:uniqueId val="{00000000-A1BA-4C79-8958-7F6C3F060AEF}"/>
            </c:ext>
          </c:extLst>
        </c:ser>
        <c:dLbls>
          <c:showLegendKey val="0"/>
          <c:showVal val="0"/>
          <c:showCatName val="0"/>
          <c:showSerName val="0"/>
          <c:showPercent val="0"/>
          <c:showBubbleSize val="0"/>
        </c:dLbls>
        <c:gapWidth val="55"/>
        <c:axId val="507951408"/>
        <c:axId val="500902672"/>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Datos!$F$90:$F$161</c:f>
              <c:numCache>
                <c:formatCode>0.0_)</c:formatCode>
                <c:ptCount val="65"/>
                <c:pt idx="0">
                  <c:v>103.57513952610999</c:v>
                </c:pt>
                <c:pt idx="1">
                  <c:v>104.18000287012499</c:v>
                </c:pt>
                <c:pt idx="2">
                  <c:v>104.70872423733699</c:v>
                </c:pt>
                <c:pt idx="3">
                  <c:v>105.17123736081101</c:v>
                </c:pt>
                <c:pt idx="4">
                  <c:v>105.61143921034299</c:v>
                </c:pt>
                <c:pt idx="5">
                  <c:v>106.008164436672</c:v>
                </c:pt>
                <c:pt idx="6">
                  <c:v>106.33075802246999</c:v>
                </c:pt>
                <c:pt idx="7">
                  <c:v>106.61077633929899</c:v>
                </c:pt>
                <c:pt idx="8">
                  <c:v>106.860182122921</c:v>
                </c:pt>
                <c:pt idx="9">
                  <c:v>107.119761756348</c:v>
                </c:pt>
                <c:pt idx="10">
                  <c:v>107.449996677028</c:v>
                </c:pt>
                <c:pt idx="11">
                  <c:v>107.88314672191299</c:v>
                </c:pt>
                <c:pt idx="12">
                  <c:v>108.420168310435</c:v>
                </c:pt>
                <c:pt idx="13">
                  <c:v>108.995799019213</c:v>
                </c:pt>
                <c:pt idx="14">
                  <c:v>109.562944459541</c:v>
                </c:pt>
                <c:pt idx="15">
                  <c:v>110.10435986471801</c:v>
                </c:pt>
                <c:pt idx="16">
                  <c:v>110.630171713929</c:v>
                </c:pt>
                <c:pt idx="17">
                  <c:v>111.16767386070499</c:v>
                </c:pt>
                <c:pt idx="18">
                  <c:v>111.73169474077299</c:v>
                </c:pt>
                <c:pt idx="19">
                  <c:v>112.27169949992501</c:v>
                </c:pt>
                <c:pt idx="20">
                  <c:v>112.71092102055</c:v>
                </c:pt>
                <c:pt idx="21">
                  <c:v>112.982638266607</c:v>
                </c:pt>
                <c:pt idx="22">
                  <c:v>113.039147401886</c:v>
                </c:pt>
                <c:pt idx="23">
                  <c:v>112.90370541337499</c:v>
                </c:pt>
                <c:pt idx="24">
                  <c:v>112.615706625005</c:v>
                </c:pt>
                <c:pt idx="25">
                  <c:v>112.25157128317301</c:v>
                </c:pt>
                <c:pt idx="26">
                  <c:v>111.928829508851</c:v>
                </c:pt>
                <c:pt idx="27">
                  <c:v>111.660448511385</c:v>
                </c:pt>
                <c:pt idx="28">
                  <c:v>111.469971497469</c:v>
                </c:pt>
                <c:pt idx="29">
                  <c:v>111.316649126477</c:v>
                </c:pt>
                <c:pt idx="30">
                  <c:v>111.184225344827</c:v>
                </c:pt>
                <c:pt idx="31">
                  <c:v>111.09135000035501</c:v>
                </c:pt>
                <c:pt idx="32">
                  <c:v>111.0680379929</c:v>
                </c:pt>
                <c:pt idx="33">
                  <c:v>111.1383293647</c:v>
                </c:pt>
                <c:pt idx="34">
                  <c:v>111.312474277463</c:v>
                </c:pt>
                <c:pt idx="35">
                  <c:v>111.566694169394</c:v>
                </c:pt>
                <c:pt idx="36">
                  <c:v>111.876074135555</c:v>
                </c:pt>
                <c:pt idx="37">
                  <c:v>112.22835152730801</c:v>
                </c:pt>
                <c:pt idx="38">
                  <c:v>112.556594489381</c:v>
                </c:pt>
                <c:pt idx="39">
                  <c:v>112.85571134066799</c:v>
                </c:pt>
                <c:pt idx="40">
                  <c:v>113.12398659242599</c:v>
                </c:pt>
                <c:pt idx="41">
                  <c:v>113.350595560177</c:v>
                </c:pt>
                <c:pt idx="42">
                  <c:v>113.55424847377699</c:v>
                </c:pt>
                <c:pt idx="43">
                  <c:v>113.701565027942</c:v>
                </c:pt>
                <c:pt idx="44">
                  <c:v>113.807583652739</c:v>
                </c:pt>
                <c:pt idx="45">
                  <c:v>113.89703954026599</c:v>
                </c:pt>
                <c:pt idx="46">
                  <c:v>113.992970598105</c:v>
                </c:pt>
                <c:pt idx="47">
                  <c:v>114.149543670119</c:v>
                </c:pt>
                <c:pt idx="48">
                  <c:v>114.39033292788901</c:v>
                </c:pt>
                <c:pt idx="49">
                  <c:v>114.695779651998</c:v>
                </c:pt>
                <c:pt idx="50">
                  <c:v>115.034635151622</c:v>
                </c:pt>
                <c:pt idx="51">
                  <c:v>115.359151307362</c:v>
                </c:pt>
                <c:pt idx="52">
                  <c:v>115.593475867839</c:v>
                </c:pt>
                <c:pt idx="53">
                  <c:v>115.75201148335699</c:v>
                </c:pt>
                <c:pt idx="54">
                  <c:v>115.853319130195</c:v>
                </c:pt>
                <c:pt idx="55">
                  <c:v>115.94131637023</c:v>
                </c:pt>
                <c:pt idx="56">
                  <c:v>116.01053667404901</c:v>
                </c:pt>
                <c:pt idx="57">
                  <c:v>116.00332538647</c:v>
                </c:pt>
                <c:pt idx="58">
                  <c:v>115.883090695154</c:v>
                </c:pt>
                <c:pt idx="59">
                  <c:v>115.63483968186</c:v>
                </c:pt>
                <c:pt idx="60">
                  <c:v>115.308439972543</c:v>
                </c:pt>
                <c:pt idx="61">
                  <c:v>114.98326092558401</c:v>
                </c:pt>
                <c:pt idx="62">
                  <c:v>114.70585817652101</c:v>
                </c:pt>
                <c:pt idx="63">
                  <c:v>114.529703441864</c:v>
                </c:pt>
                <c:pt idx="64">
                  <c:v>114.449490782265</c:v>
                </c:pt>
              </c:numCache>
            </c:numRef>
          </c:val>
          <c:smooth val="0"/>
          <c:extLst>
            <c:ext xmlns:c16="http://schemas.microsoft.com/office/drawing/2014/chart" uri="{C3380CC4-5D6E-409C-BE32-E72D297353CC}">
              <c16:uniqueId val="{00000001-A1BA-4C79-8958-7F6C3F060AEF}"/>
            </c:ext>
          </c:extLst>
        </c:ser>
        <c:dLbls>
          <c:showLegendKey val="0"/>
          <c:showVal val="0"/>
          <c:showCatName val="0"/>
          <c:showSerName val="0"/>
          <c:showPercent val="0"/>
          <c:showBubbleSize val="0"/>
        </c:dLbls>
        <c:marker val="1"/>
        <c:smooth val="0"/>
        <c:axId val="507951408"/>
        <c:axId val="500902672"/>
      </c:lineChart>
      <c:catAx>
        <c:axId val="50795140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500902672"/>
        <c:crosses val="autoZero"/>
        <c:auto val="1"/>
        <c:lblAlgn val="ctr"/>
        <c:lblOffset val="100"/>
        <c:tickLblSkip val="1"/>
        <c:tickMarkSkip val="12"/>
        <c:noMultiLvlLbl val="1"/>
      </c:catAx>
      <c:valAx>
        <c:axId val="500902672"/>
        <c:scaling>
          <c:orientation val="minMax"/>
          <c:max val="13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507951408"/>
        <c:crosses val="autoZero"/>
        <c:crossBetween val="between"/>
        <c:majorUnit val="10"/>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Datos!$C$90:$C$161</c:f>
              <c:numCache>
                <c:formatCode>0.0_)</c:formatCode>
                <c:ptCount val="65"/>
                <c:pt idx="0">
                  <c:v>104.701153075665</c:v>
                </c:pt>
                <c:pt idx="1">
                  <c:v>105.18268522943499</c:v>
                </c:pt>
                <c:pt idx="2">
                  <c:v>105.454756799002</c:v>
                </c:pt>
                <c:pt idx="3">
                  <c:v>105.31183611669699</c:v>
                </c:pt>
                <c:pt idx="4">
                  <c:v>105.41456017794</c:v>
                </c:pt>
                <c:pt idx="5">
                  <c:v>105.862942858869</c:v>
                </c:pt>
                <c:pt idx="6">
                  <c:v>107.931753924899</c:v>
                </c:pt>
                <c:pt idx="7">
                  <c:v>105.762089841337</c:v>
                </c:pt>
                <c:pt idx="8">
                  <c:v>104.622157405742</c:v>
                </c:pt>
                <c:pt idx="9">
                  <c:v>105.205718431295</c:v>
                </c:pt>
                <c:pt idx="10">
                  <c:v>104.709664394397</c:v>
                </c:pt>
                <c:pt idx="11">
                  <c:v>102.15217619255699</c:v>
                </c:pt>
                <c:pt idx="12">
                  <c:v>104.36786584748199</c:v>
                </c:pt>
                <c:pt idx="13">
                  <c:v>104.375499770692</c:v>
                </c:pt>
                <c:pt idx="14">
                  <c:v>104.268893869081</c:v>
                </c:pt>
                <c:pt idx="15">
                  <c:v>105.356312500672</c:v>
                </c:pt>
                <c:pt idx="16">
                  <c:v>106.303602308514</c:v>
                </c:pt>
                <c:pt idx="17">
                  <c:v>106.26022143594901</c:v>
                </c:pt>
                <c:pt idx="18">
                  <c:v>105.804152456235</c:v>
                </c:pt>
                <c:pt idx="19">
                  <c:v>106.150919968428</c:v>
                </c:pt>
                <c:pt idx="20">
                  <c:v>106.76448175825</c:v>
                </c:pt>
                <c:pt idx="21">
                  <c:v>106.344898983673</c:v>
                </c:pt>
                <c:pt idx="22">
                  <c:v>104.806909756184</c:v>
                </c:pt>
                <c:pt idx="23">
                  <c:v>107.33405464179199</c:v>
                </c:pt>
                <c:pt idx="24">
                  <c:v>107.955912759889</c:v>
                </c:pt>
                <c:pt idx="25">
                  <c:v>107.620500511234</c:v>
                </c:pt>
                <c:pt idx="26">
                  <c:v>107.208218915266</c:v>
                </c:pt>
                <c:pt idx="27">
                  <c:v>107.18736973866299</c:v>
                </c:pt>
                <c:pt idx="28">
                  <c:v>106.474696372764</c:v>
                </c:pt>
                <c:pt idx="29">
                  <c:v>106.46328180632</c:v>
                </c:pt>
                <c:pt idx="30">
                  <c:v>107.53152405079101</c:v>
                </c:pt>
                <c:pt idx="31">
                  <c:v>108.092286987528</c:v>
                </c:pt>
                <c:pt idx="32">
                  <c:v>107.181705850745</c:v>
                </c:pt>
                <c:pt idx="33">
                  <c:v>107.561034855659</c:v>
                </c:pt>
                <c:pt idx="34">
                  <c:v>108.01959632480499</c:v>
                </c:pt>
                <c:pt idx="35">
                  <c:v>108.726190409769</c:v>
                </c:pt>
                <c:pt idx="36">
                  <c:v>107.11816793887201</c:v>
                </c:pt>
                <c:pt idx="37">
                  <c:v>108.500829081875</c:v>
                </c:pt>
                <c:pt idx="38">
                  <c:v>111.258423699256</c:v>
                </c:pt>
                <c:pt idx="39">
                  <c:v>110.370003832317</c:v>
                </c:pt>
                <c:pt idx="40">
                  <c:v>111.331990212185</c:v>
                </c:pt>
                <c:pt idx="41">
                  <c:v>110.649722469503</c:v>
                </c:pt>
                <c:pt idx="42">
                  <c:v>109.693864136128</c:v>
                </c:pt>
                <c:pt idx="43">
                  <c:v>109.612368820931</c:v>
                </c:pt>
                <c:pt idx="44">
                  <c:v>110.227450389697</c:v>
                </c:pt>
                <c:pt idx="45">
                  <c:v>112.103761025273</c:v>
                </c:pt>
                <c:pt idx="46">
                  <c:v>109.178010878162</c:v>
                </c:pt>
                <c:pt idx="47">
                  <c:v>106.59112492063301</c:v>
                </c:pt>
                <c:pt idx="48">
                  <c:v>107.85756543002</c:v>
                </c:pt>
                <c:pt idx="49">
                  <c:v>107.958734483265</c:v>
                </c:pt>
                <c:pt idx="50">
                  <c:v>107.96710341098</c:v>
                </c:pt>
                <c:pt idx="51">
                  <c:v>107.78962644584099</c:v>
                </c:pt>
                <c:pt idx="52">
                  <c:v>107.16737441804</c:v>
                </c:pt>
                <c:pt idx="53">
                  <c:v>107.367511363777</c:v>
                </c:pt>
                <c:pt idx="54">
                  <c:v>107.21031371988801</c:v>
                </c:pt>
                <c:pt idx="55">
                  <c:v>107.024620537263</c:v>
                </c:pt>
                <c:pt idx="56">
                  <c:v>106.643426884596</c:v>
                </c:pt>
                <c:pt idx="57">
                  <c:v>105.34358533277801</c:v>
                </c:pt>
                <c:pt idx="58">
                  <c:v>105.627976156795</c:v>
                </c:pt>
                <c:pt idx="59">
                  <c:v>105.773777490716</c:v>
                </c:pt>
                <c:pt idx="60">
                  <c:v>106.02698677049599</c:v>
                </c:pt>
                <c:pt idx="61">
                  <c:v>105.768441264145</c:v>
                </c:pt>
                <c:pt idx="62">
                  <c:v>105.12377988896399</c:v>
                </c:pt>
                <c:pt idx="63">
                  <c:v>86.031909009587295</c:v>
                </c:pt>
                <c:pt idx="64">
                  <c:v>81.619774792713898</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489210176"/>
        <c:axId val="489210568"/>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Datos!$D$90:$D$161</c:f>
              <c:numCache>
                <c:formatCode>0.0_)</c:formatCode>
                <c:ptCount val="65"/>
                <c:pt idx="0">
                  <c:v>105.244862028977</c:v>
                </c:pt>
                <c:pt idx="1">
                  <c:v>105.311915897978</c:v>
                </c:pt>
                <c:pt idx="2">
                  <c:v>105.364542265042</c:v>
                </c:pt>
                <c:pt idx="3">
                  <c:v>105.452820687143</c:v>
                </c:pt>
                <c:pt idx="4">
                  <c:v>105.57345216122501</c:v>
                </c:pt>
                <c:pt idx="5">
                  <c:v>105.66497922107</c:v>
                </c:pt>
                <c:pt idx="6">
                  <c:v>105.63785420790499</c:v>
                </c:pt>
                <c:pt idx="7">
                  <c:v>105.48420095118399</c:v>
                </c:pt>
                <c:pt idx="8">
                  <c:v>105.245404971073</c:v>
                </c:pt>
                <c:pt idx="9">
                  <c:v>104.9402685166</c:v>
                </c:pt>
                <c:pt idx="10">
                  <c:v>104.620832661907</c:v>
                </c:pt>
                <c:pt idx="11">
                  <c:v>104.39100565291901</c:v>
                </c:pt>
                <c:pt idx="12">
                  <c:v>104.347821300761</c:v>
                </c:pt>
                <c:pt idx="13">
                  <c:v>104.51088515140501</c:v>
                </c:pt>
                <c:pt idx="14">
                  <c:v>104.83099169917</c:v>
                </c:pt>
                <c:pt idx="15">
                  <c:v>105.24210629336</c:v>
                </c:pt>
                <c:pt idx="16">
                  <c:v>105.656393771502</c:v>
                </c:pt>
                <c:pt idx="17">
                  <c:v>105.976892146143</c:v>
                </c:pt>
                <c:pt idx="18">
                  <c:v>106.18075690312401</c:v>
                </c:pt>
                <c:pt idx="19">
                  <c:v>106.32365371943099</c:v>
                </c:pt>
                <c:pt idx="20">
                  <c:v>106.489273678451</c:v>
                </c:pt>
                <c:pt idx="21">
                  <c:v>106.733231067261</c:v>
                </c:pt>
                <c:pt idx="22">
                  <c:v>107.051097324556</c:v>
                </c:pt>
                <c:pt idx="23">
                  <c:v>107.34164777760699</c:v>
                </c:pt>
                <c:pt idx="24">
                  <c:v>107.479260899588</c:v>
                </c:pt>
                <c:pt idx="25">
                  <c:v>107.42942641344101</c:v>
                </c:pt>
                <c:pt idx="26">
                  <c:v>107.26835573613801</c:v>
                </c:pt>
                <c:pt idx="27">
                  <c:v>107.08473083991601</c:v>
                </c:pt>
                <c:pt idx="28">
                  <c:v>106.96184534037501</c:v>
                </c:pt>
                <c:pt idx="29">
                  <c:v>106.959025274064</c:v>
                </c:pt>
                <c:pt idx="30">
                  <c:v>107.077541439059</c:v>
                </c:pt>
                <c:pt idx="31">
                  <c:v>107.293020180486</c:v>
                </c:pt>
                <c:pt idx="32">
                  <c:v>107.541762688576</c:v>
                </c:pt>
                <c:pt idx="33">
                  <c:v>107.79770696769999</c:v>
                </c:pt>
                <c:pt idx="34">
                  <c:v>108.06996819023399</c:v>
                </c:pt>
                <c:pt idx="35">
                  <c:v>108.40117032700699</c:v>
                </c:pt>
                <c:pt idx="36">
                  <c:v>108.84822628032001</c:v>
                </c:pt>
                <c:pt idx="37">
                  <c:v>109.36902684306401</c:v>
                </c:pt>
                <c:pt idx="38">
                  <c:v>109.83246022644801</c:v>
                </c:pt>
                <c:pt idx="39">
                  <c:v>110.163396663193</c:v>
                </c:pt>
                <c:pt idx="40">
                  <c:v>110.345190411781</c:v>
                </c:pt>
                <c:pt idx="41">
                  <c:v>110.36967046769</c:v>
                </c:pt>
                <c:pt idx="42">
                  <c:v>110.262960931008</c:v>
                </c:pt>
                <c:pt idx="43">
                  <c:v>110.049223001041</c:v>
                </c:pt>
                <c:pt idx="44">
                  <c:v>109.765436651844</c:v>
                </c:pt>
                <c:pt idx="45">
                  <c:v>109.441296087304</c:v>
                </c:pt>
                <c:pt idx="46">
                  <c:v>109.087559759111</c:v>
                </c:pt>
                <c:pt idx="47">
                  <c:v>108.710491719434</c:v>
                </c:pt>
                <c:pt idx="48">
                  <c:v>108.331980998291</c:v>
                </c:pt>
                <c:pt idx="49">
                  <c:v>108.00248140441199</c:v>
                </c:pt>
                <c:pt idx="50">
                  <c:v>107.768448643997</c:v>
                </c:pt>
                <c:pt idx="51">
                  <c:v>107.618196069742</c:v>
                </c:pt>
                <c:pt idx="52">
                  <c:v>107.491764418193</c:v>
                </c:pt>
                <c:pt idx="53">
                  <c:v>107.33331671295301</c:v>
                </c:pt>
                <c:pt idx="54">
                  <c:v>107.097392705473</c:v>
                </c:pt>
                <c:pt idx="55">
                  <c:v>106.796271021804</c:v>
                </c:pt>
                <c:pt idx="56">
                  <c:v>106.490894967228</c:v>
                </c:pt>
                <c:pt idx="57">
                  <c:v>106.217430295797</c:v>
                </c:pt>
                <c:pt idx="58">
                  <c:v>105.97990191869199</c:v>
                </c:pt>
                <c:pt idx="59">
                  <c:v>105.786216553907</c:v>
                </c:pt>
                <c:pt idx="60">
                  <c:v>105.644440671018</c:v>
                </c:pt>
                <c:pt idx="61">
                  <c:v>105.524855874176</c:v>
                </c:pt>
                <c:pt idx="62">
                  <c:v>105.39266780773301</c:v>
                </c:pt>
                <c:pt idx="63">
                  <c:v>105.22525124764</c:v>
                </c:pt>
                <c:pt idx="64">
                  <c:v>105.049877545236</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489210176"/>
        <c:axId val="489210568"/>
      </c:lineChart>
      <c:catAx>
        <c:axId val="48921017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89210568"/>
        <c:crosses val="autoZero"/>
        <c:auto val="1"/>
        <c:lblAlgn val="ctr"/>
        <c:lblOffset val="100"/>
        <c:tickLblSkip val="1"/>
        <c:tickMarkSkip val="12"/>
        <c:noMultiLvlLbl val="1"/>
      </c:catAx>
      <c:valAx>
        <c:axId val="489210568"/>
        <c:scaling>
          <c:orientation val="minMax"/>
          <c:max val="12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89210176"/>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Datos!$G$90:$G$161</c:f>
              <c:numCache>
                <c:formatCode>0.0_)</c:formatCode>
                <c:ptCount val="65"/>
                <c:pt idx="0">
                  <c:v>103.39173648399201</c:v>
                </c:pt>
                <c:pt idx="1">
                  <c:v>103.804134662167</c:v>
                </c:pt>
                <c:pt idx="2">
                  <c:v>103.94821716149001</c:v>
                </c:pt>
                <c:pt idx="3">
                  <c:v>104.181590940912</c:v>
                </c:pt>
                <c:pt idx="4">
                  <c:v>104.241715773523</c:v>
                </c:pt>
                <c:pt idx="5">
                  <c:v>104.454678667688</c:v>
                </c:pt>
                <c:pt idx="6">
                  <c:v>103.74025993437</c:v>
                </c:pt>
                <c:pt idx="7">
                  <c:v>103.163718933528</c:v>
                </c:pt>
                <c:pt idx="8">
                  <c:v>103.810697650931</c:v>
                </c:pt>
                <c:pt idx="9">
                  <c:v>103.97044582136201</c:v>
                </c:pt>
                <c:pt idx="10">
                  <c:v>104.110982703579</c:v>
                </c:pt>
                <c:pt idx="11">
                  <c:v>104.431625179233</c:v>
                </c:pt>
                <c:pt idx="12">
                  <c:v>104.630332587629</c:v>
                </c:pt>
                <c:pt idx="13">
                  <c:v>104.872047391046</c:v>
                </c:pt>
                <c:pt idx="14">
                  <c:v>105.502293215834</c:v>
                </c:pt>
                <c:pt idx="15">
                  <c:v>105.923579209697</c:v>
                </c:pt>
                <c:pt idx="16">
                  <c:v>106.12927955392399</c:v>
                </c:pt>
                <c:pt idx="17">
                  <c:v>106.44674418109901</c:v>
                </c:pt>
                <c:pt idx="18">
                  <c:v>106.384094920767</c:v>
                </c:pt>
                <c:pt idx="19">
                  <c:v>107.051722226788</c:v>
                </c:pt>
                <c:pt idx="20">
                  <c:v>107.539807701157</c:v>
                </c:pt>
                <c:pt idx="21">
                  <c:v>107.771603858738</c:v>
                </c:pt>
                <c:pt idx="22">
                  <c:v>108.342766632067</c:v>
                </c:pt>
                <c:pt idx="23">
                  <c:v>108.324603596789</c:v>
                </c:pt>
                <c:pt idx="24">
                  <c:v>108.90858845336</c:v>
                </c:pt>
                <c:pt idx="25">
                  <c:v>107.80553477302701</c:v>
                </c:pt>
                <c:pt idx="26">
                  <c:v>108.037273238635</c:v>
                </c:pt>
                <c:pt idx="27">
                  <c:v>108.005853605415</c:v>
                </c:pt>
                <c:pt idx="28">
                  <c:v>108.41824038455501</c:v>
                </c:pt>
                <c:pt idx="29">
                  <c:v>108.756917638161</c:v>
                </c:pt>
                <c:pt idx="30">
                  <c:v>110.91394651136299</c:v>
                </c:pt>
                <c:pt idx="31">
                  <c:v>111.198039050728</c:v>
                </c:pt>
                <c:pt idx="32">
                  <c:v>111.534732275229</c:v>
                </c:pt>
                <c:pt idx="33">
                  <c:v>111.605386870356</c:v>
                </c:pt>
                <c:pt idx="34">
                  <c:v>111.90379467443501</c:v>
                </c:pt>
                <c:pt idx="35">
                  <c:v>112.077085559099</c:v>
                </c:pt>
                <c:pt idx="36">
                  <c:v>112.292085013951</c:v>
                </c:pt>
                <c:pt idx="37">
                  <c:v>112.812601438043</c:v>
                </c:pt>
                <c:pt idx="38">
                  <c:v>113.170887284797</c:v>
                </c:pt>
                <c:pt idx="39">
                  <c:v>113.69000570912701</c:v>
                </c:pt>
                <c:pt idx="40">
                  <c:v>114.49534578790301</c:v>
                </c:pt>
                <c:pt idx="41">
                  <c:v>114.130368472957</c:v>
                </c:pt>
                <c:pt idx="42">
                  <c:v>114.635737667752</c:v>
                </c:pt>
                <c:pt idx="43">
                  <c:v>114.844571515304</c:v>
                </c:pt>
                <c:pt idx="44">
                  <c:v>114.60119309129099</c:v>
                </c:pt>
                <c:pt idx="45">
                  <c:v>115.350856106737</c:v>
                </c:pt>
                <c:pt idx="46">
                  <c:v>115.41375455848799</c:v>
                </c:pt>
                <c:pt idx="47">
                  <c:v>115.57406515925599</c:v>
                </c:pt>
                <c:pt idx="48">
                  <c:v>115.706581217589</c:v>
                </c:pt>
                <c:pt idx="49">
                  <c:v>115.89644139763899</c:v>
                </c:pt>
                <c:pt idx="50">
                  <c:v>116.121923279889</c:v>
                </c:pt>
                <c:pt idx="51">
                  <c:v>116.452202943929</c:v>
                </c:pt>
                <c:pt idx="52">
                  <c:v>116.829823623949</c:v>
                </c:pt>
                <c:pt idx="53">
                  <c:v>117.134643294743</c:v>
                </c:pt>
                <c:pt idx="54">
                  <c:v>116.998268833067</c:v>
                </c:pt>
                <c:pt idx="55">
                  <c:v>116.744900649185</c:v>
                </c:pt>
                <c:pt idx="56">
                  <c:v>116.72000552019701</c:v>
                </c:pt>
                <c:pt idx="57">
                  <c:v>116.917207541457</c:v>
                </c:pt>
                <c:pt idx="58">
                  <c:v>116.92216172492</c:v>
                </c:pt>
                <c:pt idx="59">
                  <c:v>117.26217577714201</c:v>
                </c:pt>
                <c:pt idx="60">
                  <c:v>117.395210855</c:v>
                </c:pt>
                <c:pt idx="61">
                  <c:v>117.387694757776</c:v>
                </c:pt>
                <c:pt idx="62">
                  <c:v>117.39918513238899</c:v>
                </c:pt>
                <c:pt idx="63">
                  <c:v>115.231618447389</c:v>
                </c:pt>
                <c:pt idx="64">
                  <c:v>111.322063554138</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328118008"/>
        <c:axId val="328121928"/>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Datos!$H$90:$H$161</c:f>
              <c:numCache>
                <c:formatCode>_(* #,##0.0_);_(* \(#,##0.0\);_(* "-"_);_(@_)</c:formatCode>
                <c:ptCount val="65"/>
                <c:pt idx="0">
                  <c:v>103.503820581573</c:v>
                </c:pt>
                <c:pt idx="1">
                  <c:v>103.742858855487</c:v>
                </c:pt>
                <c:pt idx="2" formatCode="0.0_)">
                  <c:v>103.98054464176001</c:v>
                </c:pt>
                <c:pt idx="3" formatCode="0.0_)">
                  <c:v>104.146961630275</c:v>
                </c:pt>
                <c:pt idx="4" formatCode="0.0_)">
                  <c:v>104.20312720227901</c:v>
                </c:pt>
                <c:pt idx="5" formatCode="0.0_)">
                  <c:v>104.13760904094001</c:v>
                </c:pt>
                <c:pt idx="6" formatCode="0.0_)">
                  <c:v>104.011040152273</c:v>
                </c:pt>
                <c:pt idx="7" formatCode="0.0_)">
                  <c:v>103.891859431906</c:v>
                </c:pt>
                <c:pt idx="8" formatCode="0.0_)">
                  <c:v>103.863646572785</c:v>
                </c:pt>
                <c:pt idx="9" formatCode="0.0_)">
                  <c:v>103.954533882577</c:v>
                </c:pt>
                <c:pt idx="10" formatCode="0.0_)">
                  <c:v>104.127253476094</c:v>
                </c:pt>
                <c:pt idx="11" formatCode="0.0_)">
                  <c:v>104.35504195535</c:v>
                </c:pt>
                <c:pt idx="12" formatCode="0.0_)">
                  <c:v>104.649653097222</c:v>
                </c:pt>
                <c:pt idx="13" formatCode="0.0_)">
                  <c:v>105.015701534358</c:v>
                </c:pt>
                <c:pt idx="14" formatCode="0.0_)">
                  <c:v>105.429595430166</c:v>
                </c:pt>
                <c:pt idx="15" formatCode="0.0_)">
                  <c:v>105.824137512843</c:v>
                </c:pt>
                <c:pt idx="16" formatCode="0.0_)">
                  <c:v>106.15089360480501</c:v>
                </c:pt>
                <c:pt idx="17" formatCode="0.0_)">
                  <c:v>106.429088703654</c:v>
                </c:pt>
                <c:pt idx="18" formatCode="0.0_)">
                  <c:v>106.71355828433499</c:v>
                </c:pt>
                <c:pt idx="19" formatCode="0.0_)">
                  <c:v>107.072497114924</c:v>
                </c:pt>
                <c:pt idx="20" formatCode="0.0_)">
                  <c:v>107.463279456835</c:v>
                </c:pt>
                <c:pt idx="21" formatCode="0.0_)">
                  <c:v>107.854439157006</c:v>
                </c:pt>
                <c:pt idx="22" formatCode="0.0_)">
                  <c:v>108.22240868526001</c:v>
                </c:pt>
                <c:pt idx="23" formatCode="0.0_)">
                  <c:v>108.535039956465</c:v>
                </c:pt>
                <c:pt idx="24" formatCode="0.0_)">
                  <c:v>108.73427342808699</c:v>
                </c:pt>
                <c:pt idx="25" formatCode="0.0_)">
                  <c:v>108.763090229193</c:v>
                </c:pt>
                <c:pt idx="26" formatCode="0.0_)">
                  <c:v>108.688603693934</c:v>
                </c:pt>
                <c:pt idx="27" formatCode="0.0_)">
                  <c:v>108.69726144524201</c:v>
                </c:pt>
                <c:pt idx="28" formatCode="0.0_)">
                  <c:v>108.98254143612699</c:v>
                </c:pt>
                <c:pt idx="29" formatCode="0.0_)">
                  <c:v>109.61777583927</c:v>
                </c:pt>
                <c:pt idx="30" formatCode="0.0_)">
                  <c:v>110.405566491287</c:v>
                </c:pt>
                <c:pt idx="31" formatCode="0.0_)">
                  <c:v>111.099601386171</c:v>
                </c:pt>
                <c:pt idx="32" formatCode="0.0_)">
                  <c:v>111.550943025134</c:v>
                </c:pt>
                <c:pt idx="33" formatCode="0.0_)">
                  <c:v>111.782679755879</c:v>
                </c:pt>
                <c:pt idx="34" formatCode="0.0_)">
                  <c:v>111.92984629235799</c:v>
                </c:pt>
                <c:pt idx="35" formatCode="0.0_)">
                  <c:v>112.11474751666201</c:v>
                </c:pt>
                <c:pt idx="36" formatCode="0.0_)">
                  <c:v>112.40407772151499</c:v>
                </c:pt>
                <c:pt idx="37" formatCode="0.0_)">
                  <c:v>112.793021711134</c:v>
                </c:pt>
                <c:pt idx="38" formatCode="0.0_)">
                  <c:v>113.220249343839</c:v>
                </c:pt>
                <c:pt idx="39" formatCode="0.0_)">
                  <c:v>113.632551701804</c:v>
                </c:pt>
                <c:pt idx="40" formatCode="0.0_)">
                  <c:v>113.992184122618</c:v>
                </c:pt>
                <c:pt idx="41" formatCode="0.0_)">
                  <c:v>114.291271320927</c:v>
                </c:pt>
                <c:pt idx="42" formatCode="0.0_)">
                  <c:v>114.56276807594099</c:v>
                </c:pt>
                <c:pt idx="43" formatCode="0.0_)">
                  <c:v>114.819193750266</c:v>
                </c:pt>
                <c:pt idx="44" formatCode="0.0_)">
                  <c:v>115.06153935968599</c:v>
                </c:pt>
                <c:pt idx="45" formatCode="0.0_)">
                  <c:v>115.264759015216</c:v>
                </c:pt>
                <c:pt idx="46" formatCode="0.0_)">
                  <c:v>115.426291709738</c:v>
                </c:pt>
                <c:pt idx="47" formatCode="0.0_)">
                  <c:v>115.573324942076</c:v>
                </c:pt>
                <c:pt idx="48" formatCode="0.0_)">
                  <c:v>115.71703917600701</c:v>
                </c:pt>
                <c:pt idx="49" formatCode="0.0_)">
                  <c:v>115.90296138610201</c:v>
                </c:pt>
                <c:pt idx="50" formatCode="0.0_)">
                  <c:v>116.173668476012</c:v>
                </c:pt>
                <c:pt idx="51" formatCode="0.0_)">
                  <c:v>116.50045111712799</c:v>
                </c:pt>
                <c:pt idx="52" formatCode="0.0_)">
                  <c:v>116.794938430082</c:v>
                </c:pt>
                <c:pt idx="53" formatCode="0.0_)">
                  <c:v>116.94864293068299</c:v>
                </c:pt>
                <c:pt idx="54" formatCode="0.0_)">
                  <c:v>116.947264900077</c:v>
                </c:pt>
                <c:pt idx="55" formatCode="0.0_)">
                  <c:v>116.855384463424</c:v>
                </c:pt>
                <c:pt idx="56" formatCode="0.0_)">
                  <c:v>116.795165626201</c:v>
                </c:pt>
                <c:pt idx="57" formatCode="0.0_)">
                  <c:v>116.85471551479201</c:v>
                </c:pt>
                <c:pt idx="58" formatCode="0.0_)">
                  <c:v>117.018203860914</c:v>
                </c:pt>
                <c:pt idx="59" formatCode="0.0_)">
                  <c:v>117.203646006469</c:v>
                </c:pt>
                <c:pt idx="60" formatCode="0.0_)">
                  <c:v>117.34373601934</c:v>
                </c:pt>
                <c:pt idx="61" formatCode="0.0_)">
                  <c:v>117.41104485075201</c:v>
                </c:pt>
                <c:pt idx="62" formatCode="0.0_)">
                  <c:v>117.396987720902</c:v>
                </c:pt>
                <c:pt idx="63" formatCode="0.0_)">
                  <c:v>117.303905570277</c:v>
                </c:pt>
                <c:pt idx="64" formatCode="0.0_)">
                  <c:v>117.158503276153</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328118008"/>
        <c:axId val="328121928"/>
      </c:lineChart>
      <c:catAx>
        <c:axId val="32811800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8121928"/>
        <c:crosses val="autoZero"/>
        <c:auto val="1"/>
        <c:lblAlgn val="ctr"/>
        <c:lblOffset val="100"/>
        <c:tickLblSkip val="1"/>
        <c:tickMarkSkip val="12"/>
        <c:noMultiLvlLbl val="1"/>
      </c:catAx>
      <c:valAx>
        <c:axId val="328121928"/>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8118008"/>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Datos!$K$90:$K$161</c:f>
              <c:numCache>
                <c:formatCode>0.0</c:formatCode>
                <c:ptCount val="65"/>
                <c:pt idx="0">
                  <c:v>99.395445683164297</c:v>
                </c:pt>
                <c:pt idx="1">
                  <c:v>99.752135279231197</c:v>
                </c:pt>
                <c:pt idx="2">
                  <c:v>99.50782977019</c:v>
                </c:pt>
                <c:pt idx="3">
                  <c:v>99.396120268651799</c:v>
                </c:pt>
                <c:pt idx="4">
                  <c:v>100.13610335514301</c:v>
                </c:pt>
                <c:pt idx="5">
                  <c:v>100.42043165514799</c:v>
                </c:pt>
                <c:pt idx="6">
                  <c:v>100.33616945745</c:v>
                </c:pt>
                <c:pt idx="7">
                  <c:v>101.023952459593</c:v>
                </c:pt>
                <c:pt idx="8">
                  <c:v>101.89258188749</c:v>
                </c:pt>
                <c:pt idx="9">
                  <c:v>101.88437823448</c:v>
                </c:pt>
                <c:pt idx="10">
                  <c:v>101.086165431762</c:v>
                </c:pt>
                <c:pt idx="11">
                  <c:v>99.432751536703606</c:v>
                </c:pt>
                <c:pt idx="12">
                  <c:v>103.65052016650201</c:v>
                </c:pt>
                <c:pt idx="13">
                  <c:v>104.230572266412</c:v>
                </c:pt>
                <c:pt idx="14">
                  <c:v>105.46476817388201</c:v>
                </c:pt>
                <c:pt idx="15">
                  <c:v>104.768813477706</c:v>
                </c:pt>
                <c:pt idx="16">
                  <c:v>105.612563623255</c:v>
                </c:pt>
                <c:pt idx="17">
                  <c:v>105.814197671602</c:v>
                </c:pt>
                <c:pt idx="18">
                  <c:v>106.874541835139</c:v>
                </c:pt>
                <c:pt idx="19">
                  <c:v>106.707384616726</c:v>
                </c:pt>
                <c:pt idx="20">
                  <c:v>105.223857660344</c:v>
                </c:pt>
                <c:pt idx="21">
                  <c:v>105.45019185737</c:v>
                </c:pt>
                <c:pt idx="22">
                  <c:v>102.69862781536099</c:v>
                </c:pt>
                <c:pt idx="23">
                  <c:v>105.229035576079</c:v>
                </c:pt>
                <c:pt idx="24">
                  <c:v>105.38906534847</c:v>
                </c:pt>
                <c:pt idx="25">
                  <c:v>105.41029316463</c:v>
                </c:pt>
                <c:pt idx="26">
                  <c:v>105.732283729496</c:v>
                </c:pt>
                <c:pt idx="27">
                  <c:v>107.781068848858</c:v>
                </c:pt>
                <c:pt idx="28">
                  <c:v>106.013993560496</c:v>
                </c:pt>
                <c:pt idx="29">
                  <c:v>106.23918839986401</c:v>
                </c:pt>
                <c:pt idx="30">
                  <c:v>106.013291190567</c:v>
                </c:pt>
                <c:pt idx="31">
                  <c:v>104.453692083609</c:v>
                </c:pt>
                <c:pt idx="32">
                  <c:v>105.42546156041701</c:v>
                </c:pt>
                <c:pt idx="33">
                  <c:v>104.474174086963</c:v>
                </c:pt>
                <c:pt idx="34">
                  <c:v>104.50132787394</c:v>
                </c:pt>
                <c:pt idx="35">
                  <c:v>106.469372985353</c:v>
                </c:pt>
                <c:pt idx="36">
                  <c:v>105.42494048533599</c:v>
                </c:pt>
                <c:pt idx="37">
                  <c:v>104.090277774833</c:v>
                </c:pt>
                <c:pt idx="38">
                  <c:v>105.88463685682299</c:v>
                </c:pt>
                <c:pt idx="39">
                  <c:v>106.63953059567601</c:v>
                </c:pt>
                <c:pt idx="40">
                  <c:v>106.656290055318</c:v>
                </c:pt>
                <c:pt idx="41">
                  <c:v>107.651739457795</c:v>
                </c:pt>
                <c:pt idx="42">
                  <c:v>106.988957930582</c:v>
                </c:pt>
                <c:pt idx="43">
                  <c:v>107.039289334632</c:v>
                </c:pt>
                <c:pt idx="44">
                  <c:v>107.38160740887</c:v>
                </c:pt>
                <c:pt idx="45">
                  <c:v>105.411942174655</c:v>
                </c:pt>
                <c:pt idx="46">
                  <c:v>110.602531981289</c:v>
                </c:pt>
                <c:pt idx="47">
                  <c:v>106.645986888802</c:v>
                </c:pt>
                <c:pt idx="48">
                  <c:v>105.98198984064901</c:v>
                </c:pt>
                <c:pt idx="49">
                  <c:v>105.685273361032</c:v>
                </c:pt>
                <c:pt idx="50">
                  <c:v>104.083936433212</c:v>
                </c:pt>
                <c:pt idx="51">
                  <c:v>104.14840748338401</c:v>
                </c:pt>
                <c:pt idx="52">
                  <c:v>105.22062560393699</c:v>
                </c:pt>
                <c:pt idx="53">
                  <c:v>103.77115131916</c:v>
                </c:pt>
                <c:pt idx="54">
                  <c:v>104.19230999667801</c:v>
                </c:pt>
                <c:pt idx="55">
                  <c:v>105.20408403178401</c:v>
                </c:pt>
                <c:pt idx="56">
                  <c:v>104.166332112818</c:v>
                </c:pt>
                <c:pt idx="57">
                  <c:v>104.917137377495</c:v>
                </c:pt>
                <c:pt idx="58">
                  <c:v>105.429459300323</c:v>
                </c:pt>
                <c:pt idx="59">
                  <c:v>103.312937602598</c:v>
                </c:pt>
                <c:pt idx="60">
                  <c:v>102.742202288128</c:v>
                </c:pt>
                <c:pt idx="61">
                  <c:v>102.29124787948599</c:v>
                </c:pt>
                <c:pt idx="62">
                  <c:v>102.545234324692</c:v>
                </c:pt>
                <c:pt idx="63">
                  <c:v>107.553981062795</c:v>
                </c:pt>
                <c:pt idx="64">
                  <c:v>101.10625847886899</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328123888"/>
        <c:axId val="328121144"/>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Datos!$L$90:$L$161</c:f>
              <c:numCache>
                <c:formatCode>0.0</c:formatCode>
                <c:ptCount val="65"/>
                <c:pt idx="0">
                  <c:v>98.978219737386993</c:v>
                </c:pt>
                <c:pt idx="1">
                  <c:v>99.246339264775003</c:v>
                </c:pt>
                <c:pt idx="2">
                  <c:v>99.513639186386797</c:v>
                </c:pt>
                <c:pt idx="3">
                  <c:v>99.762272241517294</c:v>
                </c:pt>
                <c:pt idx="4">
                  <c:v>100.029391551114</c:v>
                </c:pt>
                <c:pt idx="5">
                  <c:v>100.32500632922</c:v>
                </c:pt>
                <c:pt idx="6">
                  <c:v>100.646009189419</c:v>
                </c:pt>
                <c:pt idx="7">
                  <c:v>100.987841186349</c:v>
                </c:pt>
                <c:pt idx="8">
                  <c:v>101.31580428653101</c:v>
                </c:pt>
                <c:pt idx="9">
                  <c:v>101.694831411468</c:v>
                </c:pt>
                <c:pt idx="10">
                  <c:v>102.182648948229</c:v>
                </c:pt>
                <c:pt idx="11">
                  <c:v>102.790133512257</c:v>
                </c:pt>
                <c:pt idx="12">
                  <c:v>103.453232202027</c:v>
                </c:pt>
                <c:pt idx="13">
                  <c:v>104.123456233365</c:v>
                </c:pt>
                <c:pt idx="14">
                  <c:v>104.785800254807</c:v>
                </c:pt>
                <c:pt idx="15">
                  <c:v>105.366654377963</c:v>
                </c:pt>
                <c:pt idx="16">
                  <c:v>105.794551112561</c:v>
                </c:pt>
                <c:pt idx="17">
                  <c:v>106.057168835415</c:v>
                </c:pt>
                <c:pt idx="18">
                  <c:v>106.161701339611</c:v>
                </c:pt>
                <c:pt idx="19">
                  <c:v>106.096948223661</c:v>
                </c:pt>
                <c:pt idx="20">
                  <c:v>105.89495711972801</c:v>
                </c:pt>
                <c:pt idx="21">
                  <c:v>105.616272609598</c:v>
                </c:pt>
                <c:pt idx="22">
                  <c:v>105.37726240783699</c:v>
                </c:pt>
                <c:pt idx="23">
                  <c:v>105.298298829961</c:v>
                </c:pt>
                <c:pt idx="24">
                  <c:v>105.39747378204601</c:v>
                </c:pt>
                <c:pt idx="25">
                  <c:v>105.646618392593</c:v>
                </c:pt>
                <c:pt idx="26">
                  <c:v>105.90124044251699</c:v>
                </c:pt>
                <c:pt idx="27">
                  <c:v>106.072838003638</c:v>
                </c:pt>
                <c:pt idx="28">
                  <c:v>106.111551493535</c:v>
                </c:pt>
                <c:pt idx="29">
                  <c:v>105.955294624953</c:v>
                </c:pt>
                <c:pt idx="30">
                  <c:v>105.63673611204401</c:v>
                </c:pt>
                <c:pt idx="31">
                  <c:v>105.268812085227</c:v>
                </c:pt>
                <c:pt idx="32">
                  <c:v>104.968350211128</c:v>
                </c:pt>
                <c:pt idx="33">
                  <c:v>104.81302415767099</c:v>
                </c:pt>
                <c:pt idx="34">
                  <c:v>104.832166368112</c:v>
                </c:pt>
                <c:pt idx="35">
                  <c:v>104.989771444076</c:v>
                </c:pt>
                <c:pt idx="36">
                  <c:v>105.27664298263601</c:v>
                </c:pt>
                <c:pt idx="37">
                  <c:v>105.64705814533799</c:v>
                </c:pt>
                <c:pt idx="38">
                  <c:v>106.05165953279101</c:v>
                </c:pt>
                <c:pt idx="39">
                  <c:v>106.456786304628</c:v>
                </c:pt>
                <c:pt idx="40">
                  <c:v>106.79649488839701</c:v>
                </c:pt>
                <c:pt idx="41">
                  <c:v>107.064778206111</c:v>
                </c:pt>
                <c:pt idx="42">
                  <c:v>107.244359737913</c:v>
                </c:pt>
                <c:pt idx="43">
                  <c:v>107.309677188759</c:v>
                </c:pt>
                <c:pt idx="44">
                  <c:v>107.29067710032599</c:v>
                </c:pt>
                <c:pt idx="45">
                  <c:v>107.17850417445</c:v>
                </c:pt>
                <c:pt idx="46">
                  <c:v>106.9055031164</c:v>
                </c:pt>
                <c:pt idx="47">
                  <c:v>106.48240011739399</c:v>
                </c:pt>
                <c:pt idx="48">
                  <c:v>105.954551585649</c:v>
                </c:pt>
                <c:pt idx="49">
                  <c:v>105.368610914838</c:v>
                </c:pt>
                <c:pt idx="50">
                  <c:v>104.86346196354501</c:v>
                </c:pt>
                <c:pt idx="51">
                  <c:v>104.51220668215799</c:v>
                </c:pt>
                <c:pt idx="52">
                  <c:v>104.339434997474</c:v>
                </c:pt>
                <c:pt idx="53">
                  <c:v>104.35325651665001</c:v>
                </c:pt>
                <c:pt idx="54">
                  <c:v>104.487528917189</c:v>
                </c:pt>
                <c:pt idx="55">
                  <c:v>104.62651213758301</c:v>
                </c:pt>
                <c:pt idx="56">
                  <c:v>104.63851972991201</c:v>
                </c:pt>
                <c:pt idx="57">
                  <c:v>104.46356940239799</c:v>
                </c:pt>
                <c:pt idx="58">
                  <c:v>104.129315444509</c:v>
                </c:pt>
                <c:pt idx="59">
                  <c:v>103.65105386895701</c:v>
                </c:pt>
                <c:pt idx="60">
                  <c:v>103.080203785246</c:v>
                </c:pt>
                <c:pt idx="61">
                  <c:v>102.532735304309</c:v>
                </c:pt>
                <c:pt idx="62">
                  <c:v>102.07121583950401</c:v>
                </c:pt>
                <c:pt idx="63">
                  <c:v>101.72962074717201</c:v>
                </c:pt>
                <c:pt idx="64">
                  <c:v>101.50863713862</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328123888"/>
        <c:axId val="328121144"/>
      </c:lineChart>
      <c:catAx>
        <c:axId val="32812388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8121144"/>
        <c:crosses val="autoZero"/>
        <c:auto val="1"/>
        <c:lblAlgn val="ctr"/>
        <c:lblOffset val="100"/>
        <c:tickLblSkip val="1"/>
        <c:tickMarkSkip val="12"/>
        <c:noMultiLvlLbl val="1"/>
      </c:catAx>
      <c:valAx>
        <c:axId val="328121144"/>
        <c:scaling>
          <c:orientation val="minMax"/>
          <c:max val="11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8123888"/>
        <c:crosses val="autoZero"/>
        <c:crossBetween val="between"/>
        <c:majorUnit val="5"/>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Datos!$E$90:$E$161</c:f>
              <c:numCache>
                <c:formatCode>0.0_)</c:formatCode>
                <c:ptCount val="65"/>
                <c:pt idx="0">
                  <c:v>103.609751506081</c:v>
                </c:pt>
                <c:pt idx="1">
                  <c:v>104.496809266187</c:v>
                </c:pt>
                <c:pt idx="2">
                  <c:v>105.18730676472001</c:v>
                </c:pt>
                <c:pt idx="3">
                  <c:v>104.807249738552</c:v>
                </c:pt>
                <c:pt idx="4">
                  <c:v>105.21190222219199</c:v>
                </c:pt>
                <c:pt idx="5">
                  <c:v>105.956653145648</c:v>
                </c:pt>
                <c:pt idx="6">
                  <c:v>106.806669003682</c:v>
                </c:pt>
                <c:pt idx="7">
                  <c:v>107.924101633837</c:v>
                </c:pt>
                <c:pt idx="8">
                  <c:v>106.94234208844701</c:v>
                </c:pt>
                <c:pt idx="9">
                  <c:v>106.875493769126</c:v>
                </c:pt>
                <c:pt idx="10">
                  <c:v>107.045881856623</c:v>
                </c:pt>
                <c:pt idx="11">
                  <c:v>107.790533125129</c:v>
                </c:pt>
                <c:pt idx="12">
                  <c:v>108.894483171856</c:v>
                </c:pt>
                <c:pt idx="13">
                  <c:v>108.912993950141</c:v>
                </c:pt>
                <c:pt idx="14">
                  <c:v>109.674622909435</c:v>
                </c:pt>
                <c:pt idx="15">
                  <c:v>109.977828830593</c:v>
                </c:pt>
                <c:pt idx="16">
                  <c:v>110.333169365039</c:v>
                </c:pt>
                <c:pt idx="17">
                  <c:v>111.931260442289</c:v>
                </c:pt>
                <c:pt idx="18">
                  <c:v>111.265139181488</c:v>
                </c:pt>
                <c:pt idx="19">
                  <c:v>112.520362199614</c:v>
                </c:pt>
                <c:pt idx="20">
                  <c:v>112.44736798748799</c:v>
                </c:pt>
                <c:pt idx="21">
                  <c:v>114.470871657882</c:v>
                </c:pt>
                <c:pt idx="22">
                  <c:v>113.278414418591</c:v>
                </c:pt>
                <c:pt idx="23">
                  <c:v>113.229911434017</c:v>
                </c:pt>
                <c:pt idx="24">
                  <c:v>112.344772642435</c:v>
                </c:pt>
                <c:pt idx="25">
                  <c:v>112.164718281812</c:v>
                </c:pt>
                <c:pt idx="26">
                  <c:v>111.67690732614101</c:v>
                </c:pt>
                <c:pt idx="27">
                  <c:v>111.73910349266001</c:v>
                </c:pt>
                <c:pt idx="28">
                  <c:v>111.619811977419</c:v>
                </c:pt>
                <c:pt idx="29">
                  <c:v>111.06270029980099</c:v>
                </c:pt>
                <c:pt idx="30">
                  <c:v>111.591490682106</c:v>
                </c:pt>
                <c:pt idx="31">
                  <c:v>111.125717334973</c:v>
                </c:pt>
                <c:pt idx="32">
                  <c:v>110.45257584652801</c:v>
                </c:pt>
                <c:pt idx="33">
                  <c:v>111.639747788129</c:v>
                </c:pt>
                <c:pt idx="34">
                  <c:v>110.899117911356</c:v>
                </c:pt>
                <c:pt idx="35">
                  <c:v>111.834029224247</c:v>
                </c:pt>
                <c:pt idx="36">
                  <c:v>111.89961955455701</c:v>
                </c:pt>
                <c:pt idx="37">
                  <c:v>111.99769558539499</c:v>
                </c:pt>
                <c:pt idx="38">
                  <c:v>114.02450555192</c:v>
                </c:pt>
                <c:pt idx="39">
                  <c:v>112.789544864082</c:v>
                </c:pt>
                <c:pt idx="40">
                  <c:v>113.12206430647601</c:v>
                </c:pt>
                <c:pt idx="41">
                  <c:v>113.52753457593001</c:v>
                </c:pt>
                <c:pt idx="42">
                  <c:v>113.656042980428</c:v>
                </c:pt>
                <c:pt idx="43">
                  <c:v>113.067432984706</c:v>
                </c:pt>
                <c:pt idx="44">
                  <c:v>114.36067908022601</c:v>
                </c:pt>
                <c:pt idx="45">
                  <c:v>113.898564752685</c:v>
                </c:pt>
                <c:pt idx="46">
                  <c:v>114.14507191179101</c:v>
                </c:pt>
                <c:pt idx="47">
                  <c:v>111.83762955300099</c:v>
                </c:pt>
                <c:pt idx="48">
                  <c:v>112.80091490540001</c:v>
                </c:pt>
                <c:pt idx="49">
                  <c:v>114.96535603866</c:v>
                </c:pt>
                <c:pt idx="50">
                  <c:v>114.987625811955</c:v>
                </c:pt>
                <c:pt idx="51">
                  <c:v>115.442549824434</c:v>
                </c:pt>
                <c:pt idx="52">
                  <c:v>115.91771737760099</c:v>
                </c:pt>
                <c:pt idx="53">
                  <c:v>115.59799534679399</c:v>
                </c:pt>
                <c:pt idx="54">
                  <c:v>115.623062545171</c:v>
                </c:pt>
                <c:pt idx="55">
                  <c:v>116.012093598329</c:v>
                </c:pt>
                <c:pt idx="56">
                  <c:v>117.087624890142</c:v>
                </c:pt>
                <c:pt idx="57">
                  <c:v>114.35940879736199</c:v>
                </c:pt>
                <c:pt idx="58">
                  <c:v>116.26876244658099</c:v>
                </c:pt>
                <c:pt idx="59">
                  <c:v>115.52309772945701</c:v>
                </c:pt>
                <c:pt idx="60">
                  <c:v>115.604047834393</c:v>
                </c:pt>
                <c:pt idx="61">
                  <c:v>114.66508993071299</c:v>
                </c:pt>
                <c:pt idx="62">
                  <c:v>113.77636353949499</c:v>
                </c:pt>
                <c:pt idx="63">
                  <c:v>88.126948610885194</c:v>
                </c:pt>
                <c:pt idx="64">
                  <c:v>88.808540779464494</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507951408"/>
        <c:axId val="500902672"/>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Datos!$F$90:$F$161</c:f>
              <c:numCache>
                <c:formatCode>0.0_)</c:formatCode>
                <c:ptCount val="65"/>
                <c:pt idx="0">
                  <c:v>103.57513952610999</c:v>
                </c:pt>
                <c:pt idx="1">
                  <c:v>104.18000287012499</c:v>
                </c:pt>
                <c:pt idx="2">
                  <c:v>104.70872423733699</c:v>
                </c:pt>
                <c:pt idx="3">
                  <c:v>105.17123736081101</c:v>
                </c:pt>
                <c:pt idx="4">
                  <c:v>105.61143921034299</c:v>
                </c:pt>
                <c:pt idx="5">
                  <c:v>106.008164436672</c:v>
                </c:pt>
                <c:pt idx="6">
                  <c:v>106.33075802246999</c:v>
                </c:pt>
                <c:pt idx="7">
                  <c:v>106.61077633929899</c:v>
                </c:pt>
                <c:pt idx="8">
                  <c:v>106.860182122921</c:v>
                </c:pt>
                <c:pt idx="9">
                  <c:v>107.119761756348</c:v>
                </c:pt>
                <c:pt idx="10">
                  <c:v>107.449996677028</c:v>
                </c:pt>
                <c:pt idx="11">
                  <c:v>107.88314672191299</c:v>
                </c:pt>
                <c:pt idx="12">
                  <c:v>108.420168310435</c:v>
                </c:pt>
                <c:pt idx="13">
                  <c:v>108.995799019213</c:v>
                </c:pt>
                <c:pt idx="14">
                  <c:v>109.562944459541</c:v>
                </c:pt>
                <c:pt idx="15">
                  <c:v>110.10435986471801</c:v>
                </c:pt>
                <c:pt idx="16">
                  <c:v>110.630171713929</c:v>
                </c:pt>
                <c:pt idx="17">
                  <c:v>111.16767386070499</c:v>
                </c:pt>
                <c:pt idx="18">
                  <c:v>111.73169474077299</c:v>
                </c:pt>
                <c:pt idx="19">
                  <c:v>112.27169949992501</c:v>
                </c:pt>
                <c:pt idx="20">
                  <c:v>112.71092102055</c:v>
                </c:pt>
                <c:pt idx="21">
                  <c:v>112.982638266607</c:v>
                </c:pt>
                <c:pt idx="22">
                  <c:v>113.039147401886</c:v>
                </c:pt>
                <c:pt idx="23">
                  <c:v>112.90370541337499</c:v>
                </c:pt>
                <c:pt idx="24">
                  <c:v>112.615706625005</c:v>
                </c:pt>
                <c:pt idx="25">
                  <c:v>112.25157128317301</c:v>
                </c:pt>
                <c:pt idx="26">
                  <c:v>111.928829508851</c:v>
                </c:pt>
                <c:pt idx="27">
                  <c:v>111.660448511385</c:v>
                </c:pt>
                <c:pt idx="28">
                  <c:v>111.469971497469</c:v>
                </c:pt>
                <c:pt idx="29">
                  <c:v>111.316649126477</c:v>
                </c:pt>
                <c:pt idx="30">
                  <c:v>111.184225344827</c:v>
                </c:pt>
                <c:pt idx="31">
                  <c:v>111.09135000035501</c:v>
                </c:pt>
                <c:pt idx="32">
                  <c:v>111.0680379929</c:v>
                </c:pt>
                <c:pt idx="33">
                  <c:v>111.1383293647</c:v>
                </c:pt>
                <c:pt idx="34">
                  <c:v>111.312474277463</c:v>
                </c:pt>
                <c:pt idx="35">
                  <c:v>111.566694169394</c:v>
                </c:pt>
                <c:pt idx="36">
                  <c:v>111.876074135555</c:v>
                </c:pt>
                <c:pt idx="37">
                  <c:v>112.22835152730801</c:v>
                </c:pt>
                <c:pt idx="38">
                  <c:v>112.556594489381</c:v>
                </c:pt>
                <c:pt idx="39">
                  <c:v>112.85571134066799</c:v>
                </c:pt>
                <c:pt idx="40">
                  <c:v>113.12398659242599</c:v>
                </c:pt>
                <c:pt idx="41">
                  <c:v>113.350595560177</c:v>
                </c:pt>
                <c:pt idx="42">
                  <c:v>113.55424847377699</c:v>
                </c:pt>
                <c:pt idx="43">
                  <c:v>113.701565027942</c:v>
                </c:pt>
                <c:pt idx="44">
                  <c:v>113.807583652739</c:v>
                </c:pt>
                <c:pt idx="45">
                  <c:v>113.89703954026599</c:v>
                </c:pt>
                <c:pt idx="46">
                  <c:v>113.992970598105</c:v>
                </c:pt>
                <c:pt idx="47">
                  <c:v>114.149543670119</c:v>
                </c:pt>
                <c:pt idx="48">
                  <c:v>114.39033292788901</c:v>
                </c:pt>
                <c:pt idx="49">
                  <c:v>114.695779651998</c:v>
                </c:pt>
                <c:pt idx="50">
                  <c:v>115.034635151622</c:v>
                </c:pt>
                <c:pt idx="51">
                  <c:v>115.359151307362</c:v>
                </c:pt>
                <c:pt idx="52">
                  <c:v>115.593475867839</c:v>
                </c:pt>
                <c:pt idx="53">
                  <c:v>115.75201148335699</c:v>
                </c:pt>
                <c:pt idx="54">
                  <c:v>115.853319130195</c:v>
                </c:pt>
                <c:pt idx="55">
                  <c:v>115.94131637023</c:v>
                </c:pt>
                <c:pt idx="56">
                  <c:v>116.01053667404901</c:v>
                </c:pt>
                <c:pt idx="57">
                  <c:v>116.00332538647</c:v>
                </c:pt>
                <c:pt idx="58">
                  <c:v>115.883090695154</c:v>
                </c:pt>
                <c:pt idx="59">
                  <c:v>115.63483968186</c:v>
                </c:pt>
                <c:pt idx="60">
                  <c:v>115.308439972543</c:v>
                </c:pt>
                <c:pt idx="61">
                  <c:v>114.98326092558401</c:v>
                </c:pt>
                <c:pt idx="62">
                  <c:v>114.70585817652101</c:v>
                </c:pt>
                <c:pt idx="63">
                  <c:v>114.529703441864</c:v>
                </c:pt>
                <c:pt idx="64">
                  <c:v>114.449490782265</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507951408"/>
        <c:axId val="500902672"/>
      </c:lineChart>
      <c:catAx>
        <c:axId val="50795140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500902672"/>
        <c:crosses val="autoZero"/>
        <c:auto val="1"/>
        <c:lblAlgn val="ctr"/>
        <c:lblOffset val="100"/>
        <c:tickLblSkip val="1"/>
        <c:tickMarkSkip val="12"/>
        <c:noMultiLvlLbl val="1"/>
      </c:catAx>
      <c:valAx>
        <c:axId val="500902672"/>
        <c:scaling>
          <c:orientation val="minMax"/>
          <c:max val="13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507951408"/>
        <c:crosses val="autoZero"/>
        <c:crossBetween val="between"/>
        <c:majorUnit val="10"/>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Datos!$I$90:$I$161</c:f>
              <c:numCache>
                <c:formatCode>0.0_)</c:formatCode>
                <c:ptCount val="65"/>
                <c:pt idx="0">
                  <c:v>100.330481362935</c:v>
                </c:pt>
                <c:pt idx="1">
                  <c:v>101.013019707501</c:v>
                </c:pt>
                <c:pt idx="2">
                  <c:v>100.202871818571</c:v>
                </c:pt>
                <c:pt idx="3">
                  <c:v>100.30736186740999</c:v>
                </c:pt>
                <c:pt idx="4">
                  <c:v>100.30162753742</c:v>
                </c:pt>
                <c:pt idx="5">
                  <c:v>100.620671964116</c:v>
                </c:pt>
                <c:pt idx="6">
                  <c:v>100.750613893929</c:v>
                </c:pt>
                <c:pt idx="7">
                  <c:v>100.746599288849</c:v>
                </c:pt>
                <c:pt idx="8">
                  <c:v>101.301187083741</c:v>
                </c:pt>
                <c:pt idx="9">
                  <c:v>101.03511809425</c:v>
                </c:pt>
                <c:pt idx="10">
                  <c:v>101.25108479375299</c:v>
                </c:pt>
                <c:pt idx="11">
                  <c:v>101.245479262413</c:v>
                </c:pt>
                <c:pt idx="12">
                  <c:v>101.74410959058601</c:v>
                </c:pt>
                <c:pt idx="13">
                  <c:v>101.891133144379</c:v>
                </c:pt>
                <c:pt idx="14">
                  <c:v>102.228447207</c:v>
                </c:pt>
                <c:pt idx="15">
                  <c:v>102.322253710192</c:v>
                </c:pt>
                <c:pt idx="16">
                  <c:v>102.530467394124</c:v>
                </c:pt>
                <c:pt idx="17">
                  <c:v>102.386151864345</c:v>
                </c:pt>
                <c:pt idx="18">
                  <c:v>102.483635656441</c:v>
                </c:pt>
                <c:pt idx="19">
                  <c:v>102.297485993077</c:v>
                </c:pt>
                <c:pt idx="20">
                  <c:v>102.21559897683601</c:v>
                </c:pt>
                <c:pt idx="21">
                  <c:v>103.125191124126</c:v>
                </c:pt>
                <c:pt idx="22">
                  <c:v>102.539019654082</c:v>
                </c:pt>
                <c:pt idx="23">
                  <c:v>102.718082311598</c:v>
                </c:pt>
                <c:pt idx="24">
                  <c:v>103.050120010306</c:v>
                </c:pt>
                <c:pt idx="25">
                  <c:v>103.08044309909801</c:v>
                </c:pt>
                <c:pt idx="26">
                  <c:v>102.800862368612</c:v>
                </c:pt>
                <c:pt idx="27">
                  <c:v>102.921857987072</c:v>
                </c:pt>
                <c:pt idx="28">
                  <c:v>103.017633534715</c:v>
                </c:pt>
                <c:pt idx="29">
                  <c:v>103.399609363023</c:v>
                </c:pt>
                <c:pt idx="30">
                  <c:v>103.600258989805</c:v>
                </c:pt>
                <c:pt idx="31">
                  <c:v>103.788019135583</c:v>
                </c:pt>
                <c:pt idx="32">
                  <c:v>104.13407270719399</c:v>
                </c:pt>
                <c:pt idx="33">
                  <c:v>104.47970578421599</c:v>
                </c:pt>
                <c:pt idx="34">
                  <c:v>104.236818496494</c:v>
                </c:pt>
                <c:pt idx="35">
                  <c:v>103.51992045822099</c:v>
                </c:pt>
                <c:pt idx="36">
                  <c:v>104.356953191069</c:v>
                </c:pt>
                <c:pt idx="37">
                  <c:v>104.417383999379</c:v>
                </c:pt>
                <c:pt idx="38">
                  <c:v>105.592846409736</c:v>
                </c:pt>
                <c:pt idx="39">
                  <c:v>105.557805333891</c:v>
                </c:pt>
                <c:pt idx="40">
                  <c:v>104.99617450180401</c:v>
                </c:pt>
                <c:pt idx="41">
                  <c:v>104.865872193111</c:v>
                </c:pt>
                <c:pt idx="42">
                  <c:v>104.82140365256301</c:v>
                </c:pt>
                <c:pt idx="43">
                  <c:v>104.814793925846</c:v>
                </c:pt>
                <c:pt idx="44">
                  <c:v>104.081430301563</c:v>
                </c:pt>
                <c:pt idx="45">
                  <c:v>104.18633569397301</c:v>
                </c:pt>
                <c:pt idx="46">
                  <c:v>104.486374287836</c:v>
                </c:pt>
                <c:pt idx="47">
                  <c:v>104.25820953482101</c:v>
                </c:pt>
                <c:pt idx="48">
                  <c:v>102.046921734355</c:v>
                </c:pt>
                <c:pt idx="49">
                  <c:v>103.624876500808</c:v>
                </c:pt>
                <c:pt idx="50">
                  <c:v>102.997996377891</c:v>
                </c:pt>
                <c:pt idx="51">
                  <c:v>104.195753431775</c:v>
                </c:pt>
                <c:pt idx="52">
                  <c:v>104.522807199564</c:v>
                </c:pt>
                <c:pt idx="53">
                  <c:v>104.625294947006</c:v>
                </c:pt>
                <c:pt idx="54">
                  <c:v>104.525324096544</c:v>
                </c:pt>
                <c:pt idx="55">
                  <c:v>104.69620731424899</c:v>
                </c:pt>
                <c:pt idx="56">
                  <c:v>104.792427284572</c:v>
                </c:pt>
                <c:pt idx="57">
                  <c:v>104.37854770979</c:v>
                </c:pt>
                <c:pt idx="58">
                  <c:v>104.17335015556699</c:v>
                </c:pt>
                <c:pt idx="59">
                  <c:v>104.555359789368</c:v>
                </c:pt>
                <c:pt idx="60">
                  <c:v>104.371109677531</c:v>
                </c:pt>
                <c:pt idx="61">
                  <c:v>104.80854045772401</c:v>
                </c:pt>
                <c:pt idx="62">
                  <c:v>104.072729281797</c:v>
                </c:pt>
                <c:pt idx="63">
                  <c:v>94.7359644487927</c:v>
                </c:pt>
                <c:pt idx="64">
                  <c:v>95.696416763849101</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489211352"/>
        <c:axId val="489208608"/>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Datos!$J$90:$J$161</c:f>
              <c:numCache>
                <c:formatCode>0.0_)</c:formatCode>
                <c:ptCount val="65"/>
                <c:pt idx="0">
                  <c:v>99.824973340523997</c:v>
                </c:pt>
                <c:pt idx="1">
                  <c:v>100.01189861388001</c:v>
                </c:pt>
                <c:pt idx="2">
                  <c:v>100.16512000922199</c:v>
                </c:pt>
                <c:pt idx="3">
                  <c:v>100.298285739671</c:v>
                </c:pt>
                <c:pt idx="4">
                  <c:v>100.43314431200101</c:v>
                </c:pt>
                <c:pt idx="5">
                  <c:v>100.581599145955</c:v>
                </c:pt>
                <c:pt idx="6">
                  <c:v>100.729303079555</c:v>
                </c:pt>
                <c:pt idx="7">
                  <c:v>100.872298452709</c:v>
                </c:pt>
                <c:pt idx="8">
                  <c:v>101.003123669514</c:v>
                </c:pt>
                <c:pt idx="9">
                  <c:v>101.13108270536</c:v>
                </c:pt>
                <c:pt idx="10">
                  <c:v>101.273840155369</c:v>
                </c:pt>
                <c:pt idx="11">
                  <c:v>101.45372576315999</c:v>
                </c:pt>
                <c:pt idx="12">
                  <c:v>101.67371675261199</c:v>
                </c:pt>
                <c:pt idx="13">
                  <c:v>101.914472199588</c:v>
                </c:pt>
                <c:pt idx="14">
                  <c:v>102.144387142469</c:v>
                </c:pt>
                <c:pt idx="15">
                  <c:v>102.316829564305</c:v>
                </c:pt>
                <c:pt idx="16">
                  <c:v>102.404528156379</c:v>
                </c:pt>
                <c:pt idx="17">
                  <c:v>102.424874836131</c:v>
                </c:pt>
                <c:pt idx="18">
                  <c:v>102.404925123026</c:v>
                </c:pt>
                <c:pt idx="19">
                  <c:v>102.38903937931001</c:v>
                </c:pt>
                <c:pt idx="20">
                  <c:v>102.416305522448</c:v>
                </c:pt>
                <c:pt idx="21">
                  <c:v>102.502531437453</c:v>
                </c:pt>
                <c:pt idx="22">
                  <c:v>102.628175773866</c:v>
                </c:pt>
                <c:pt idx="23">
                  <c:v>102.75399297737501</c:v>
                </c:pt>
                <c:pt idx="24">
                  <c:v>102.84778707758601</c:v>
                </c:pt>
                <c:pt idx="25">
                  <c:v>102.908075339539</c:v>
                </c:pt>
                <c:pt idx="26">
                  <c:v>102.952029325122</c:v>
                </c:pt>
                <c:pt idx="27">
                  <c:v>103.01581523212</c:v>
                </c:pt>
                <c:pt idx="28">
                  <c:v>103.140733059346</c:v>
                </c:pt>
                <c:pt idx="29">
                  <c:v>103.337567898822</c:v>
                </c:pt>
                <c:pt idx="30">
                  <c:v>103.59291200958199</c:v>
                </c:pt>
                <c:pt idx="31">
                  <c:v>103.85874243859701</c:v>
                </c:pt>
                <c:pt idx="32">
                  <c:v>104.07404912864401</c:v>
                </c:pt>
                <c:pt idx="33">
                  <c:v>104.216857428407</c:v>
                </c:pt>
                <c:pt idx="34">
                  <c:v>104.30967611730399</c:v>
                </c:pt>
                <c:pt idx="35">
                  <c:v>104.389688384837</c:v>
                </c:pt>
                <c:pt idx="36">
                  <c:v>104.488378182164</c:v>
                </c:pt>
                <c:pt idx="37">
                  <c:v>104.61146336691699</c:v>
                </c:pt>
                <c:pt idx="38">
                  <c:v>104.75521909834001</c:v>
                </c:pt>
                <c:pt idx="39">
                  <c:v>104.88624664497</c:v>
                </c:pt>
                <c:pt idx="40">
                  <c:v>104.946552377413</c:v>
                </c:pt>
                <c:pt idx="41">
                  <c:v>104.91095220862201</c:v>
                </c:pt>
                <c:pt idx="42">
                  <c:v>104.80226537722299</c:v>
                </c:pt>
                <c:pt idx="43">
                  <c:v>104.653847333808</c:v>
                </c:pt>
                <c:pt idx="44">
                  <c:v>104.504247170483</c:v>
                </c:pt>
                <c:pt idx="45">
                  <c:v>104.3767390901</c:v>
                </c:pt>
                <c:pt idx="46">
                  <c:v>104.269399100432</c:v>
                </c:pt>
                <c:pt idx="47">
                  <c:v>104.187603520523</c:v>
                </c:pt>
                <c:pt idx="48">
                  <c:v>104.146286579237</c:v>
                </c:pt>
                <c:pt idx="49">
                  <c:v>104.151353721174</c:v>
                </c:pt>
                <c:pt idx="50">
                  <c:v>104.198055703249</c:v>
                </c:pt>
                <c:pt idx="51">
                  <c:v>104.289633516414</c:v>
                </c:pt>
                <c:pt idx="52">
                  <c:v>104.418771633989</c:v>
                </c:pt>
                <c:pt idx="53">
                  <c:v>104.540432532184</c:v>
                </c:pt>
                <c:pt idx="54">
                  <c:v>104.61364037536801</c:v>
                </c:pt>
                <c:pt idx="55">
                  <c:v>104.629972323849</c:v>
                </c:pt>
                <c:pt idx="56">
                  <c:v>104.604167881932</c:v>
                </c:pt>
                <c:pt idx="57">
                  <c:v>104.548866420289</c:v>
                </c:pt>
                <c:pt idx="58">
                  <c:v>104.48082089848999</c:v>
                </c:pt>
                <c:pt idx="59">
                  <c:v>104.410835202501</c:v>
                </c:pt>
                <c:pt idx="60">
                  <c:v>104.34128564205101</c:v>
                </c:pt>
                <c:pt idx="61">
                  <c:v>104.279940185133</c:v>
                </c:pt>
                <c:pt idx="62">
                  <c:v>104.233129504624</c:v>
                </c:pt>
                <c:pt idx="63">
                  <c:v>104.19755839932699</c:v>
                </c:pt>
                <c:pt idx="64">
                  <c:v>104.179839481904</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489211352"/>
        <c:axId val="489208608"/>
      </c:lineChart>
      <c:catAx>
        <c:axId val="4892113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89208608"/>
        <c:crosses val="autoZero"/>
        <c:auto val="1"/>
        <c:lblAlgn val="ctr"/>
        <c:lblOffset val="100"/>
        <c:tickLblSkip val="1"/>
        <c:tickMarkSkip val="12"/>
        <c:noMultiLvlLbl val="1"/>
      </c:catAx>
      <c:valAx>
        <c:axId val="489208608"/>
        <c:scaling>
          <c:orientation val="minMax"/>
          <c:max val="110"/>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89211352"/>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Datos!$M$90:$M$161</c:f>
              <c:numCache>
                <c:formatCode>0.0</c:formatCode>
                <c:ptCount val="65"/>
                <c:pt idx="0">
                  <c:v>102.70855044465701</c:v>
                </c:pt>
                <c:pt idx="1">
                  <c:v>102.76422726961999</c:v>
                </c:pt>
                <c:pt idx="2">
                  <c:v>102.761569648666</c:v>
                </c:pt>
                <c:pt idx="3">
                  <c:v>103.594448664799</c:v>
                </c:pt>
                <c:pt idx="4">
                  <c:v>104.38483786784001</c:v>
                </c:pt>
                <c:pt idx="5">
                  <c:v>104.817984050118</c:v>
                </c:pt>
                <c:pt idx="6">
                  <c:v>105.003970382437</c:v>
                </c:pt>
                <c:pt idx="7">
                  <c:v>105.198253271254</c:v>
                </c:pt>
                <c:pt idx="8">
                  <c:v>104.917147339786</c:v>
                </c:pt>
                <c:pt idx="9">
                  <c:v>105.606886271664</c:v>
                </c:pt>
                <c:pt idx="10">
                  <c:v>105.56197763706299</c:v>
                </c:pt>
                <c:pt idx="11">
                  <c:v>104.109012022548</c:v>
                </c:pt>
                <c:pt idx="12">
                  <c:v>105.76460528333899</c:v>
                </c:pt>
                <c:pt idx="13">
                  <c:v>106.43012674692601</c:v>
                </c:pt>
                <c:pt idx="14">
                  <c:v>106.53922464233599</c:v>
                </c:pt>
                <c:pt idx="15">
                  <c:v>105.945533065199</c:v>
                </c:pt>
                <c:pt idx="16">
                  <c:v>107.70258284700699</c:v>
                </c:pt>
                <c:pt idx="17">
                  <c:v>107.704380969974</c:v>
                </c:pt>
                <c:pt idx="18">
                  <c:v>109.249157383997</c:v>
                </c:pt>
                <c:pt idx="19">
                  <c:v>109.27059485426101</c:v>
                </c:pt>
                <c:pt idx="20">
                  <c:v>109.226983937264</c:v>
                </c:pt>
                <c:pt idx="21">
                  <c:v>109.058866035048</c:v>
                </c:pt>
                <c:pt idx="22">
                  <c:v>109.178042074789</c:v>
                </c:pt>
                <c:pt idx="23">
                  <c:v>109.550058470108</c:v>
                </c:pt>
                <c:pt idx="24">
                  <c:v>108.061476056967</c:v>
                </c:pt>
                <c:pt idx="25">
                  <c:v>106.987819916745</c:v>
                </c:pt>
                <c:pt idx="26">
                  <c:v>109.24243659528599</c:v>
                </c:pt>
                <c:pt idx="27">
                  <c:v>107.96466015865001</c:v>
                </c:pt>
                <c:pt idx="28">
                  <c:v>108.29957030326599</c:v>
                </c:pt>
                <c:pt idx="29">
                  <c:v>108.65649449705199</c:v>
                </c:pt>
                <c:pt idx="30">
                  <c:v>108.073294281709</c:v>
                </c:pt>
                <c:pt idx="31">
                  <c:v>108.61867741383899</c:v>
                </c:pt>
                <c:pt idx="32">
                  <c:v>107.893644822097</c:v>
                </c:pt>
                <c:pt idx="33">
                  <c:v>108.539016642137</c:v>
                </c:pt>
                <c:pt idx="34">
                  <c:v>108.40134404945501</c:v>
                </c:pt>
                <c:pt idx="35">
                  <c:v>109.94572109866</c:v>
                </c:pt>
                <c:pt idx="36">
                  <c:v>108.636653791721</c:v>
                </c:pt>
                <c:pt idx="37">
                  <c:v>108.993708894777</c:v>
                </c:pt>
                <c:pt idx="38">
                  <c:v>109.39058940842899</c:v>
                </c:pt>
                <c:pt idx="39">
                  <c:v>110.084607681893</c:v>
                </c:pt>
                <c:pt idx="40">
                  <c:v>109.30968595543899</c:v>
                </c:pt>
                <c:pt idx="41">
                  <c:v>109.590614008109</c:v>
                </c:pt>
                <c:pt idx="42">
                  <c:v>109.520569532347</c:v>
                </c:pt>
                <c:pt idx="43">
                  <c:v>109.20962103686099</c:v>
                </c:pt>
                <c:pt idx="44">
                  <c:v>110.40941187502401</c:v>
                </c:pt>
                <c:pt idx="45">
                  <c:v>109.882998639075</c:v>
                </c:pt>
                <c:pt idx="46">
                  <c:v>110.79237301220699</c:v>
                </c:pt>
                <c:pt idx="47">
                  <c:v>110.436674255875</c:v>
                </c:pt>
                <c:pt idx="48">
                  <c:v>112.47695126907701</c:v>
                </c:pt>
                <c:pt idx="49">
                  <c:v>113.010733320293</c:v>
                </c:pt>
                <c:pt idx="50">
                  <c:v>113.161492751241</c:v>
                </c:pt>
                <c:pt idx="51">
                  <c:v>113.62309925658499</c:v>
                </c:pt>
                <c:pt idx="52">
                  <c:v>113.96826841862701</c:v>
                </c:pt>
                <c:pt idx="53">
                  <c:v>113.492388264152</c:v>
                </c:pt>
                <c:pt idx="54">
                  <c:v>113.054076010057</c:v>
                </c:pt>
                <c:pt idx="55">
                  <c:v>114.182996946868</c:v>
                </c:pt>
                <c:pt idx="56">
                  <c:v>114.84402964051699</c:v>
                </c:pt>
                <c:pt idx="57">
                  <c:v>115.228688184074</c:v>
                </c:pt>
                <c:pt idx="58">
                  <c:v>117.06184826059101</c:v>
                </c:pt>
                <c:pt idx="59">
                  <c:v>115.021283175574</c:v>
                </c:pt>
                <c:pt idx="60">
                  <c:v>115.492665884</c:v>
                </c:pt>
                <c:pt idx="61">
                  <c:v>115.27240580261299</c:v>
                </c:pt>
                <c:pt idx="62">
                  <c:v>115.224621394254</c:v>
                </c:pt>
                <c:pt idx="63">
                  <c:v>114.522529534944</c:v>
                </c:pt>
                <c:pt idx="64">
                  <c:v>114.188784294795</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501487744"/>
        <c:axId val="501486176"/>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Datos!$A$90:$B$161</c:f>
              <c:multiLvlStrCache>
                <c:ptCount val="65"/>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Datos!$N$90:$N$161</c:f>
              <c:numCache>
                <c:formatCode>0.0</c:formatCode>
                <c:ptCount val="65"/>
                <c:pt idx="0">
                  <c:v>102.47751631094999</c:v>
                </c:pt>
                <c:pt idx="1">
                  <c:v>102.75156508924501</c:v>
                </c:pt>
                <c:pt idx="2">
                  <c:v>103.172861278825</c:v>
                </c:pt>
                <c:pt idx="3">
                  <c:v>103.668805064948</c:v>
                </c:pt>
                <c:pt idx="4">
                  <c:v>104.16393645833401</c:v>
                </c:pt>
                <c:pt idx="5">
                  <c:v>104.591612069566</c:v>
                </c:pt>
                <c:pt idx="6">
                  <c:v>104.929108502856</c:v>
                </c:pt>
                <c:pt idx="7">
                  <c:v>105.14646446582201</c:v>
                </c:pt>
                <c:pt idx="8">
                  <c:v>105.26521440939599</c:v>
                </c:pt>
                <c:pt idx="9">
                  <c:v>105.35512229933801</c:v>
                </c:pt>
                <c:pt idx="10">
                  <c:v>105.474763434102</c:v>
                </c:pt>
                <c:pt idx="11">
                  <c:v>105.65907231250701</c:v>
                </c:pt>
                <c:pt idx="12">
                  <c:v>105.89683949448499</c:v>
                </c:pt>
                <c:pt idx="13">
                  <c:v>106.19993812267001</c:v>
                </c:pt>
                <c:pt idx="14">
                  <c:v>106.594174215526</c:v>
                </c:pt>
                <c:pt idx="15">
                  <c:v>107.089483557964</c:v>
                </c:pt>
                <c:pt idx="16">
                  <c:v>107.65200478786799</c:v>
                </c:pt>
                <c:pt idx="17">
                  <c:v>108.19702751857599</c:v>
                </c:pt>
                <c:pt idx="18">
                  <c:v>108.687384273916</c:v>
                </c:pt>
                <c:pt idx="19">
                  <c:v>109.06083509111799</c:v>
                </c:pt>
                <c:pt idx="20">
                  <c:v>109.249234264943</c:v>
                </c:pt>
                <c:pt idx="21">
                  <c:v>109.253079956904</c:v>
                </c:pt>
                <c:pt idx="22">
                  <c:v>109.11756136434801</c:v>
                </c:pt>
                <c:pt idx="23">
                  <c:v>108.89934299586299</c:v>
                </c:pt>
                <c:pt idx="24">
                  <c:v>108.67881564526699</c:v>
                </c:pt>
                <c:pt idx="25">
                  <c:v>108.503022162736</c:v>
                </c:pt>
                <c:pt idx="26">
                  <c:v>108.385702902848</c:v>
                </c:pt>
                <c:pt idx="27">
                  <c:v>108.326228754355</c:v>
                </c:pt>
                <c:pt idx="28">
                  <c:v>108.311317149836</c:v>
                </c:pt>
                <c:pt idx="29">
                  <c:v>108.311047153342</c:v>
                </c:pt>
                <c:pt idx="30">
                  <c:v>108.305426895862</c:v>
                </c:pt>
                <c:pt idx="31">
                  <c:v>108.297103785901</c:v>
                </c:pt>
                <c:pt idx="32">
                  <c:v>108.316563750756</c:v>
                </c:pt>
                <c:pt idx="33">
                  <c:v>108.353978542691</c:v>
                </c:pt>
                <c:pt idx="34">
                  <c:v>108.448741664506</c:v>
                </c:pt>
                <c:pt idx="35">
                  <c:v>108.63004686959</c:v>
                </c:pt>
                <c:pt idx="36">
                  <c:v>108.86904603712701</c:v>
                </c:pt>
                <c:pt idx="37">
                  <c:v>109.126360432559</c:v>
                </c:pt>
                <c:pt idx="38">
                  <c:v>109.33825674121</c:v>
                </c:pt>
                <c:pt idx="39">
                  <c:v>109.473805982814</c:v>
                </c:pt>
                <c:pt idx="40">
                  <c:v>109.538244788242</c:v>
                </c:pt>
                <c:pt idx="41">
                  <c:v>109.55015998751099</c:v>
                </c:pt>
                <c:pt idx="42">
                  <c:v>109.557754593609</c:v>
                </c:pt>
                <c:pt idx="43">
                  <c:v>109.633551351297</c:v>
                </c:pt>
                <c:pt idx="44">
                  <c:v>109.863773171993</c:v>
                </c:pt>
                <c:pt idx="45">
                  <c:v>110.27452081872801</c:v>
                </c:pt>
                <c:pt idx="46">
                  <c:v>110.831748868112</c:v>
                </c:pt>
                <c:pt idx="47">
                  <c:v>111.482851723398</c:v>
                </c:pt>
                <c:pt idx="48">
                  <c:v>112.15791882629701</c:v>
                </c:pt>
                <c:pt idx="49">
                  <c:v>112.75996842619401</c:v>
                </c:pt>
                <c:pt idx="50">
                  <c:v>113.220370038913</c:v>
                </c:pt>
                <c:pt idx="51">
                  <c:v>113.523360976205</c:v>
                </c:pt>
                <c:pt idx="52">
                  <c:v>113.70536680094099</c:v>
                </c:pt>
                <c:pt idx="53">
                  <c:v>113.880379950177</c:v>
                </c:pt>
                <c:pt idx="54">
                  <c:v>114.10170744311201</c:v>
                </c:pt>
                <c:pt idx="55">
                  <c:v>114.388526627864</c:v>
                </c:pt>
                <c:pt idx="56">
                  <c:v>114.69908486731499</c:v>
                </c:pt>
                <c:pt idx="57">
                  <c:v>114.99769143706099</c:v>
                </c:pt>
                <c:pt idx="58">
                  <c:v>115.23622128893599</c:v>
                </c:pt>
                <c:pt idx="59">
                  <c:v>115.345764493084</c:v>
                </c:pt>
                <c:pt idx="60">
                  <c:v>115.3066822558</c:v>
                </c:pt>
                <c:pt idx="61">
                  <c:v>115.149576180032</c:v>
                </c:pt>
                <c:pt idx="62">
                  <c:v>114.927476535007</c:v>
                </c:pt>
                <c:pt idx="63">
                  <c:v>114.715767115232</c:v>
                </c:pt>
                <c:pt idx="64">
                  <c:v>114.572420766744</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501487744"/>
        <c:axId val="501486176"/>
      </c:lineChart>
      <c:catAx>
        <c:axId val="50148774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501486176"/>
        <c:crosses val="autoZero"/>
        <c:auto val="1"/>
        <c:lblAlgn val="ctr"/>
        <c:lblOffset val="100"/>
        <c:tickLblSkip val="1"/>
        <c:tickMarkSkip val="12"/>
        <c:noMultiLvlLbl val="1"/>
      </c:catAx>
      <c:valAx>
        <c:axId val="501486176"/>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501487744"/>
        <c:crosses val="autoZero"/>
        <c:crossBetween val="between"/>
        <c:majorUnit val="5"/>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6FC2B-565D-4B8B-858C-0C31C662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54</TotalTime>
  <Pages>13</Pages>
  <Words>2707</Words>
  <Characters>14886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15</cp:revision>
  <cp:lastPrinted>2020-03-20T20:54:00Z</cp:lastPrinted>
  <dcterms:created xsi:type="dcterms:W3CDTF">2020-07-20T16:57:00Z</dcterms:created>
  <dcterms:modified xsi:type="dcterms:W3CDTF">2020-07-21T22:57:00Z</dcterms:modified>
  <cp:category>Encuesta Nacional de Ocupación y Empleo</cp:category>
  <cp:version>1</cp:version>
</cp:coreProperties>
</file>