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EBC34" w14:textId="77777777" w:rsidR="002E33F0" w:rsidRDefault="002E33F0" w:rsidP="002E33F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3D0FCF3" wp14:editId="5384B1FF">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873BE52" w14:textId="77777777" w:rsidR="002E33F0" w:rsidRPr="00265B8C" w:rsidRDefault="002E33F0" w:rsidP="002E33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0FCF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873BE52" w14:textId="77777777" w:rsidR="002E33F0" w:rsidRPr="00265B8C" w:rsidRDefault="002E33F0" w:rsidP="002E33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9F6F78C" w14:textId="77777777" w:rsidR="002E33F0" w:rsidRDefault="002E33F0" w:rsidP="002E33F0">
      <w:pPr>
        <w:pStyle w:val="Ttulo"/>
        <w:widowControl w:val="0"/>
        <w:contextualSpacing/>
        <w:rPr>
          <w:caps/>
          <w:snapToGrid w:val="0"/>
          <w:spacing w:val="25"/>
          <w:sz w:val="28"/>
          <w:szCs w:val="28"/>
          <w:lang w:val="es-MX"/>
        </w:rPr>
      </w:pPr>
    </w:p>
    <w:p w14:paraId="52839BD6" w14:textId="77777777" w:rsidR="002E33F0" w:rsidRDefault="002E33F0" w:rsidP="002E33F0">
      <w:pPr>
        <w:pStyle w:val="Ttulo"/>
        <w:widowControl w:val="0"/>
        <w:rPr>
          <w:caps/>
          <w:snapToGrid w:val="0"/>
          <w:spacing w:val="25"/>
          <w:sz w:val="28"/>
          <w:lang w:val="es-MX"/>
        </w:rPr>
      </w:pPr>
    </w:p>
    <w:p w14:paraId="1DFE42C0" w14:textId="77777777" w:rsidR="002E33F0" w:rsidRPr="00F07122" w:rsidRDefault="002E33F0" w:rsidP="002E33F0">
      <w:pPr>
        <w:pStyle w:val="Ttulo"/>
        <w:widowControl w:val="0"/>
        <w:rPr>
          <w:caps/>
          <w:snapToGrid w:val="0"/>
          <w:spacing w:val="25"/>
          <w:sz w:val="28"/>
          <w:szCs w:val="28"/>
          <w:lang w:val="es-MX"/>
        </w:rPr>
      </w:pPr>
      <w:r w:rsidRPr="00F07122">
        <w:rPr>
          <w:caps/>
          <w:snapToGrid w:val="0"/>
          <w:spacing w:val="25"/>
          <w:sz w:val="28"/>
          <w:szCs w:val="28"/>
          <w:lang w:val="es-MX"/>
        </w:rPr>
        <w:t>indicadores DEL SECTOR MANUFACTURERO</w:t>
      </w:r>
    </w:p>
    <w:p w14:paraId="3E5389B4" w14:textId="77777777" w:rsidR="002E33F0" w:rsidRPr="002E33F0" w:rsidRDefault="002E33F0" w:rsidP="002E33F0">
      <w:pPr>
        <w:pStyle w:val="Ttulo"/>
        <w:widowControl w:val="0"/>
        <w:rPr>
          <w:caps/>
          <w:snapToGrid w:val="0"/>
          <w:spacing w:val="25"/>
          <w:sz w:val="26"/>
          <w:szCs w:val="26"/>
          <w:lang w:val="es-MX"/>
        </w:rPr>
      </w:pPr>
      <w:r w:rsidRPr="002E33F0">
        <w:rPr>
          <w:caps/>
          <w:snapToGrid w:val="0"/>
          <w:spacing w:val="25"/>
          <w:sz w:val="26"/>
          <w:szCs w:val="26"/>
          <w:lang w:val="es-MX"/>
        </w:rPr>
        <w:t>CIFRAS DURANTE JUNIO DE 2020</w:t>
      </w:r>
    </w:p>
    <w:p w14:paraId="25D6A2F2" w14:textId="77777777" w:rsidR="002E33F0" w:rsidRPr="00F07122" w:rsidRDefault="002E33F0" w:rsidP="002E33F0">
      <w:pPr>
        <w:pStyle w:val="Ttulo"/>
        <w:widowControl w:val="0"/>
        <w:rPr>
          <w:i/>
          <w:caps/>
          <w:snapToGrid w:val="0"/>
          <w:spacing w:val="25"/>
          <w:szCs w:val="24"/>
          <w:lang w:val="es-MX"/>
        </w:rPr>
      </w:pPr>
      <w:r w:rsidRPr="00F07122">
        <w:rPr>
          <w:i/>
          <w:snapToGrid w:val="0"/>
          <w:spacing w:val="25"/>
          <w:szCs w:val="24"/>
          <w:lang w:val="es-MX"/>
        </w:rPr>
        <w:t>(Cifras desestacionalizadas)</w:t>
      </w:r>
    </w:p>
    <w:p w14:paraId="3635EE9D" w14:textId="77777777" w:rsidR="002E33F0" w:rsidRPr="007556F8" w:rsidRDefault="002E33F0" w:rsidP="002E33F0">
      <w:pPr>
        <w:pStyle w:val="bulnot"/>
        <w:widowControl w:val="0"/>
        <w:tabs>
          <w:tab w:val="clear" w:pos="851"/>
        </w:tabs>
        <w:spacing w:before="240"/>
        <w:ind w:left="-284" w:right="-547" w:firstLine="0"/>
        <w:rPr>
          <w:b w:val="0"/>
          <w:bCs/>
          <w:color w:val="auto"/>
          <w:sz w:val="24"/>
          <w:szCs w:val="24"/>
        </w:rPr>
      </w:pPr>
      <w:r w:rsidRPr="007556F8">
        <w:rPr>
          <w:b w:val="0"/>
          <w:bCs/>
          <w:color w:val="auto"/>
          <w:sz w:val="24"/>
          <w:szCs w:val="24"/>
        </w:rPr>
        <w:t>El Instituto Nacional de Estadística y Geografía (INEGI) informa que con base en los resultados de la Encuesta Mensual de la Industria Manufacturera (EMIM), durante el sexto mes de 2020, el personal ocupado total del sector manufacturero no registró variación en su comparación mensual, con datos ajustados por estacionalidad</w:t>
      </w:r>
      <w:r w:rsidRPr="007556F8">
        <w:rPr>
          <w:b w:val="0"/>
          <w:bCs/>
          <w:color w:val="auto"/>
          <w:sz w:val="24"/>
          <w:szCs w:val="24"/>
          <w:vertAlign w:val="superscript"/>
        </w:rPr>
        <w:footnoteReference w:id="1"/>
      </w:r>
      <w:r w:rsidRPr="007556F8">
        <w:rPr>
          <w:b w:val="0"/>
          <w:bCs/>
          <w:color w:val="auto"/>
          <w:sz w:val="24"/>
          <w:szCs w:val="24"/>
        </w:rPr>
        <w:t>.</w:t>
      </w:r>
    </w:p>
    <w:p w14:paraId="4E0FC890" w14:textId="77777777" w:rsidR="002E33F0" w:rsidRDefault="002E33F0" w:rsidP="002E33F0">
      <w:pPr>
        <w:pStyle w:val="p0"/>
        <w:keepLines w:val="0"/>
        <w:spacing w:before="0"/>
        <w:ind w:hanging="11"/>
        <w:jc w:val="center"/>
        <w:rPr>
          <w:rFonts w:ascii="Arial" w:hAnsi="Arial"/>
          <w:b/>
          <w:smallCaps/>
          <w:color w:val="auto"/>
          <w:sz w:val="22"/>
          <w:szCs w:val="22"/>
        </w:rPr>
      </w:pPr>
    </w:p>
    <w:p w14:paraId="4E8E19BF" w14:textId="77777777" w:rsidR="002E33F0" w:rsidRDefault="002E33F0" w:rsidP="002E33F0">
      <w:pPr>
        <w:pStyle w:val="p0"/>
        <w:keepLines w:val="0"/>
        <w:spacing w:before="0"/>
        <w:ind w:hanging="11"/>
        <w:jc w:val="center"/>
        <w:rPr>
          <w:rFonts w:ascii="Arial" w:hAnsi="Arial"/>
          <w:b/>
          <w:smallCaps/>
          <w:color w:val="auto"/>
          <w:sz w:val="22"/>
          <w:szCs w:val="22"/>
        </w:rPr>
      </w:pPr>
    </w:p>
    <w:p w14:paraId="3C7EA1A2" w14:textId="77777777" w:rsidR="002E33F0" w:rsidRPr="004867D2" w:rsidRDefault="002E33F0" w:rsidP="002E33F0">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junio</w:t>
      </w:r>
      <w:r w:rsidRPr="004867D2">
        <w:rPr>
          <w:rFonts w:ascii="Arial" w:hAnsi="Arial"/>
          <w:b/>
          <w:smallCaps/>
          <w:color w:val="auto"/>
          <w:sz w:val="22"/>
          <w:szCs w:val="22"/>
        </w:rPr>
        <w:t xml:space="preserve"> de 20</w:t>
      </w:r>
      <w:r>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610B973F" w14:textId="77777777" w:rsidR="002E33F0" w:rsidRPr="004867D2" w:rsidRDefault="002E33F0" w:rsidP="002E33F0">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14B62C19" w14:textId="77777777" w:rsidR="002E33F0" w:rsidRPr="004867D2" w:rsidRDefault="002E33F0" w:rsidP="002E33F0">
      <w:pPr>
        <w:widowControl w:val="0"/>
        <w:jc w:val="center"/>
        <w:rPr>
          <w:sz w:val="18"/>
        </w:rPr>
      </w:pPr>
      <w:r>
        <w:rPr>
          <w:noProof/>
          <w:lang w:val="es-MX" w:eastAsia="es-MX"/>
        </w:rPr>
        <w:drawing>
          <wp:inline distT="0" distB="0" distL="0" distR="0" wp14:anchorId="24AD5490" wp14:editId="2891D262">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67740" w14:textId="77777777" w:rsidR="002E33F0" w:rsidRPr="004867D2" w:rsidRDefault="002E33F0" w:rsidP="002E33F0">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77D9A69E" w14:textId="77777777" w:rsidR="002E33F0" w:rsidRDefault="002E33F0" w:rsidP="002E33F0">
      <w:pPr>
        <w:pStyle w:val="p0"/>
        <w:keepLines w:val="0"/>
        <w:spacing w:before="120"/>
        <w:ind w:hanging="11"/>
        <w:jc w:val="center"/>
        <w:rPr>
          <w:rFonts w:ascii="Arial" w:hAnsi="Arial"/>
          <w:b/>
          <w:smallCaps/>
          <w:color w:val="auto"/>
          <w:sz w:val="22"/>
          <w:szCs w:val="22"/>
        </w:rPr>
      </w:pPr>
    </w:p>
    <w:p w14:paraId="73D9E977" w14:textId="77777777" w:rsidR="002E33F0" w:rsidRPr="007556F8" w:rsidRDefault="002E33F0" w:rsidP="002E33F0">
      <w:pPr>
        <w:pStyle w:val="bulnot"/>
        <w:widowControl w:val="0"/>
        <w:tabs>
          <w:tab w:val="clear" w:pos="851"/>
        </w:tabs>
        <w:spacing w:before="240"/>
        <w:ind w:left="-284" w:right="-547" w:firstLine="0"/>
        <w:rPr>
          <w:b w:val="0"/>
          <w:bCs/>
          <w:color w:val="auto"/>
          <w:sz w:val="24"/>
          <w:szCs w:val="24"/>
        </w:rPr>
      </w:pPr>
      <w:r w:rsidRPr="007556F8">
        <w:rPr>
          <w:b w:val="0"/>
          <w:bCs/>
          <w:color w:val="auto"/>
          <w:sz w:val="24"/>
          <w:szCs w:val="24"/>
        </w:rPr>
        <w:t>Las horas trabajadas se incrementaron 17.8% y las remuneraciones medias reales pagadas</w:t>
      </w:r>
      <w:r w:rsidRPr="007556F8">
        <w:rPr>
          <w:b w:val="0"/>
          <w:bCs/>
          <w:color w:val="auto"/>
          <w:sz w:val="24"/>
          <w:szCs w:val="24"/>
          <w:vertAlign w:val="superscript"/>
        </w:rPr>
        <w:footnoteReference w:id="2"/>
      </w:r>
      <w:r w:rsidRPr="007556F8">
        <w:rPr>
          <w:b w:val="0"/>
          <w:bCs/>
          <w:color w:val="auto"/>
          <w:sz w:val="24"/>
          <w:szCs w:val="24"/>
        </w:rPr>
        <w:t>, que incluyen sueldos, salarios y prestaciones sociales 1.7% en junio de este año respecto al mes precedente, con cifras desestacionalizadas.</w:t>
      </w:r>
    </w:p>
    <w:p w14:paraId="09DE73FE" w14:textId="77777777" w:rsidR="002E33F0" w:rsidRPr="00CF2F0E" w:rsidRDefault="002E33F0" w:rsidP="002E33F0">
      <w:pPr>
        <w:pStyle w:val="bulnot"/>
        <w:widowControl w:val="0"/>
        <w:tabs>
          <w:tab w:val="clear" w:pos="851"/>
        </w:tabs>
        <w:spacing w:before="0"/>
        <w:ind w:left="-284" w:right="-688" w:firstLine="0"/>
        <w:rPr>
          <w:b w:val="0"/>
          <w:bCs/>
          <w:color w:val="auto"/>
          <w:sz w:val="24"/>
          <w:szCs w:val="24"/>
        </w:rPr>
      </w:pPr>
    </w:p>
    <w:p w14:paraId="36149132" w14:textId="77777777" w:rsidR="002E33F0" w:rsidRDefault="002E33F0" w:rsidP="002E33F0">
      <w:pPr>
        <w:pStyle w:val="bulnot"/>
        <w:widowControl w:val="0"/>
        <w:tabs>
          <w:tab w:val="clear" w:pos="851"/>
        </w:tabs>
        <w:spacing w:before="0"/>
        <w:ind w:left="-284" w:right="-688" w:firstLine="0"/>
        <w:rPr>
          <w:b w:val="0"/>
          <w:bCs/>
          <w:color w:val="auto"/>
          <w:sz w:val="24"/>
          <w:szCs w:val="24"/>
        </w:rPr>
      </w:pPr>
    </w:p>
    <w:p w14:paraId="4E12EE4D" w14:textId="77777777" w:rsidR="002E33F0"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474CD039" w14:textId="77777777" w:rsidR="002E33F0"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68DCE2C9" w14:textId="77777777" w:rsidR="002E33F0"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7CF52F2E" w14:textId="77777777" w:rsidR="002E33F0" w:rsidRPr="004867D2"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junio</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20</w:t>
      </w:r>
    </w:p>
    <w:p w14:paraId="651FE2B5" w14:textId="77777777" w:rsidR="002E33F0" w:rsidRPr="004867D2"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2E33F0" w:rsidRPr="004867D2" w14:paraId="71FD39C9" w14:textId="77777777" w:rsidTr="007B1A96">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2248" w14:textId="77777777" w:rsidR="002E33F0" w:rsidRPr="004867D2" w:rsidRDefault="002E33F0" w:rsidP="007B1A96">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7B4E68A" w14:textId="77777777" w:rsidR="002E33F0" w:rsidRPr="004867D2" w:rsidRDefault="002E33F0" w:rsidP="007B1A96">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2E33F0" w:rsidRPr="004867D2" w14:paraId="694F4A74" w14:textId="77777777" w:rsidTr="007B1A96">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1A9EC563" w14:textId="77777777" w:rsidR="002E33F0" w:rsidRPr="004867D2" w:rsidRDefault="002E33F0" w:rsidP="007B1A96">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58073A0F" w14:textId="77777777" w:rsidR="002E33F0" w:rsidRPr="004867D2" w:rsidRDefault="002E33F0" w:rsidP="007B1A96">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284B3C26" w14:textId="77777777" w:rsidR="002E33F0" w:rsidRPr="004867D2" w:rsidRDefault="002E33F0" w:rsidP="007B1A96">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2E33F0" w:rsidRPr="004867D2" w14:paraId="36EA2E76" w14:textId="77777777" w:rsidTr="007B1A96">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1E83D60" w14:textId="77777777" w:rsidR="002E33F0" w:rsidRPr="004867D2" w:rsidRDefault="002E33F0" w:rsidP="007B1A96">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658761AA" w14:textId="77777777" w:rsidR="002E33F0" w:rsidRDefault="002E33F0" w:rsidP="007B1A96">
            <w:pPr>
              <w:tabs>
                <w:tab w:val="decimal" w:pos="745"/>
              </w:tabs>
              <w:jc w:val="left"/>
              <w:rPr>
                <w:b/>
                <w:bCs/>
                <w:color w:val="000000"/>
                <w:sz w:val="18"/>
                <w:szCs w:val="18"/>
                <w:lang w:val="es-MX" w:eastAsia="es-MX"/>
              </w:rPr>
            </w:pPr>
            <w:r>
              <w:rPr>
                <w:b/>
                <w:bCs/>
                <w:color w:val="000000"/>
                <w:sz w:val="18"/>
                <w:szCs w:val="18"/>
              </w:rPr>
              <w:t>0.0</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15BAB624" w14:textId="77777777" w:rsidR="002E33F0" w:rsidRDefault="002E33F0" w:rsidP="007B1A96">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5.7</w:t>
            </w:r>
          </w:p>
        </w:tc>
      </w:tr>
      <w:tr w:rsidR="002E33F0" w:rsidRPr="004867D2" w14:paraId="4E631EC7"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054539"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23D8C2C" w14:textId="77777777" w:rsidR="002E33F0" w:rsidRDefault="002E33F0" w:rsidP="007B1A96">
            <w:pPr>
              <w:tabs>
                <w:tab w:val="decimal" w:pos="745"/>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E37667A" w14:textId="77777777" w:rsidR="002E33F0" w:rsidRDefault="002E33F0" w:rsidP="007B1A96">
            <w:pPr>
              <w:tabs>
                <w:tab w:val="left" w:pos="423"/>
                <w:tab w:val="decimal" w:pos="849"/>
              </w:tabs>
              <w:jc w:val="left"/>
              <w:rPr>
                <w:color w:val="000000"/>
                <w:sz w:val="18"/>
                <w:szCs w:val="18"/>
              </w:rPr>
            </w:pPr>
            <w:r>
              <w:rPr>
                <w:color w:val="000000"/>
                <w:sz w:val="18"/>
                <w:szCs w:val="18"/>
              </w:rPr>
              <w:tab/>
              <w:t>(-)</w:t>
            </w:r>
            <w:r>
              <w:rPr>
                <w:color w:val="000000"/>
                <w:sz w:val="18"/>
                <w:szCs w:val="18"/>
              </w:rPr>
              <w:tab/>
              <w:t>6.2</w:t>
            </w:r>
          </w:p>
        </w:tc>
      </w:tr>
      <w:tr w:rsidR="002E33F0" w:rsidRPr="004867D2" w14:paraId="778BF18F"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A08492"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0AAB6E" w14:textId="77777777" w:rsidR="002E33F0" w:rsidRDefault="002E33F0" w:rsidP="007B1A96">
            <w:pPr>
              <w:tabs>
                <w:tab w:val="left" w:pos="339"/>
                <w:tab w:val="decimal" w:pos="745"/>
              </w:tabs>
              <w:jc w:val="left"/>
              <w:rPr>
                <w:color w:val="000000"/>
                <w:sz w:val="18"/>
                <w:szCs w:val="18"/>
              </w:rPr>
            </w:pPr>
            <w:r>
              <w:rPr>
                <w:color w:val="000000"/>
                <w:sz w:val="18"/>
                <w:szCs w:val="18"/>
              </w:rPr>
              <w:tab/>
              <w:t>(-)</w:t>
            </w:r>
            <w:r>
              <w:rPr>
                <w:color w:val="000000"/>
                <w:sz w:val="18"/>
                <w:szCs w:val="18"/>
              </w:rPr>
              <w:tab/>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C5F855B" w14:textId="77777777" w:rsidR="002E33F0" w:rsidRDefault="002E33F0" w:rsidP="007B1A96">
            <w:pPr>
              <w:tabs>
                <w:tab w:val="left" w:pos="423"/>
                <w:tab w:val="decimal" w:pos="849"/>
              </w:tabs>
              <w:jc w:val="left"/>
              <w:rPr>
                <w:color w:val="000000"/>
                <w:sz w:val="18"/>
                <w:szCs w:val="18"/>
              </w:rPr>
            </w:pPr>
            <w:r>
              <w:rPr>
                <w:color w:val="000000"/>
                <w:sz w:val="18"/>
                <w:szCs w:val="18"/>
              </w:rPr>
              <w:tab/>
              <w:t>(-)</w:t>
            </w:r>
            <w:r>
              <w:rPr>
                <w:color w:val="000000"/>
                <w:sz w:val="18"/>
                <w:szCs w:val="18"/>
              </w:rPr>
              <w:tab/>
              <w:t>3.7</w:t>
            </w:r>
          </w:p>
        </w:tc>
      </w:tr>
      <w:tr w:rsidR="002E33F0" w:rsidRPr="004867D2" w14:paraId="7DB21F34"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BF04BE" w14:textId="77777777" w:rsidR="002E33F0" w:rsidRPr="004867D2" w:rsidRDefault="002E33F0" w:rsidP="007B1A96">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1125C85D" w14:textId="77777777" w:rsidR="002E33F0" w:rsidRDefault="002E33F0" w:rsidP="007B1A96">
            <w:pPr>
              <w:tabs>
                <w:tab w:val="decimal" w:pos="745"/>
              </w:tabs>
              <w:jc w:val="left"/>
              <w:rPr>
                <w:b/>
                <w:bCs/>
                <w:color w:val="000000"/>
                <w:sz w:val="18"/>
                <w:szCs w:val="18"/>
              </w:rPr>
            </w:pPr>
            <w:r>
              <w:rPr>
                <w:b/>
                <w:bCs/>
                <w:color w:val="000000"/>
                <w:sz w:val="18"/>
                <w:szCs w:val="18"/>
              </w:rPr>
              <w:t>17.8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1845B5E" w14:textId="77777777" w:rsidR="002E33F0" w:rsidRDefault="002E33F0" w:rsidP="007B1A96">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14.3</w:t>
            </w:r>
          </w:p>
        </w:tc>
      </w:tr>
      <w:tr w:rsidR="002E33F0" w:rsidRPr="004867D2" w14:paraId="0619C104"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640A0C"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9E24773" w14:textId="77777777" w:rsidR="002E33F0" w:rsidRDefault="002E33F0" w:rsidP="007B1A96">
            <w:pPr>
              <w:tabs>
                <w:tab w:val="decimal" w:pos="745"/>
              </w:tabs>
              <w:jc w:val="left"/>
              <w:rPr>
                <w:color w:val="000000"/>
                <w:sz w:val="18"/>
                <w:szCs w:val="18"/>
              </w:rPr>
            </w:pPr>
            <w:r>
              <w:rPr>
                <w:color w:val="000000"/>
                <w:sz w:val="18"/>
                <w:szCs w:val="18"/>
              </w:rPr>
              <w:t>20.6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8DBDF7E" w14:textId="77777777" w:rsidR="002E33F0" w:rsidRDefault="002E33F0" w:rsidP="007B1A96">
            <w:pPr>
              <w:tabs>
                <w:tab w:val="left" w:pos="423"/>
                <w:tab w:val="decimal" w:pos="849"/>
              </w:tabs>
              <w:jc w:val="left"/>
              <w:rPr>
                <w:color w:val="000000"/>
                <w:sz w:val="18"/>
                <w:szCs w:val="18"/>
              </w:rPr>
            </w:pPr>
            <w:r>
              <w:rPr>
                <w:color w:val="000000"/>
                <w:sz w:val="18"/>
                <w:szCs w:val="18"/>
              </w:rPr>
              <w:tab/>
              <w:t>(-)</w:t>
            </w:r>
            <w:r>
              <w:rPr>
                <w:color w:val="000000"/>
                <w:sz w:val="18"/>
                <w:szCs w:val="18"/>
              </w:rPr>
              <w:tab/>
              <w:t>15.0</w:t>
            </w:r>
          </w:p>
        </w:tc>
      </w:tr>
      <w:tr w:rsidR="002E33F0" w:rsidRPr="004867D2" w14:paraId="254503AF"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E5A92"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B55BA5" w14:textId="77777777" w:rsidR="002E33F0" w:rsidRDefault="002E33F0" w:rsidP="007B1A96">
            <w:pPr>
              <w:tabs>
                <w:tab w:val="decimal" w:pos="745"/>
              </w:tabs>
              <w:jc w:val="left"/>
              <w:rPr>
                <w:sz w:val="18"/>
                <w:szCs w:val="18"/>
              </w:rPr>
            </w:pPr>
            <w:r>
              <w:rPr>
                <w:sz w:val="18"/>
                <w:szCs w:val="18"/>
              </w:rPr>
              <w:t>12.8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289A327" w14:textId="77777777" w:rsidR="002E33F0" w:rsidRDefault="002E33F0" w:rsidP="007B1A96">
            <w:pPr>
              <w:tabs>
                <w:tab w:val="left" w:pos="423"/>
                <w:tab w:val="decimal" w:pos="849"/>
              </w:tabs>
              <w:jc w:val="left"/>
              <w:rPr>
                <w:sz w:val="18"/>
                <w:szCs w:val="18"/>
              </w:rPr>
            </w:pPr>
            <w:r>
              <w:rPr>
                <w:sz w:val="18"/>
                <w:szCs w:val="18"/>
              </w:rPr>
              <w:tab/>
              <w:t>(-)</w:t>
            </w:r>
            <w:r>
              <w:rPr>
                <w:sz w:val="18"/>
                <w:szCs w:val="18"/>
              </w:rPr>
              <w:tab/>
              <w:t>13.2</w:t>
            </w:r>
          </w:p>
        </w:tc>
      </w:tr>
      <w:tr w:rsidR="002E33F0" w:rsidRPr="004867D2" w14:paraId="538E26E5"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3AB156E" w14:textId="77777777" w:rsidR="002E33F0" w:rsidRPr="004867D2" w:rsidRDefault="002E33F0" w:rsidP="007B1A96">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35621A64" w14:textId="77777777" w:rsidR="002E33F0" w:rsidRDefault="002E33F0" w:rsidP="007B1A96">
            <w:pPr>
              <w:tabs>
                <w:tab w:val="decimal" w:pos="745"/>
              </w:tabs>
              <w:jc w:val="left"/>
              <w:rPr>
                <w:b/>
                <w:bCs/>
                <w:color w:val="000000"/>
                <w:sz w:val="18"/>
                <w:szCs w:val="18"/>
              </w:rPr>
            </w:pPr>
            <w:r>
              <w:rPr>
                <w:b/>
                <w:bCs/>
                <w:color w:val="000000"/>
                <w:sz w:val="18"/>
                <w:szCs w:val="18"/>
              </w:rPr>
              <w:t>1.7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F9B4AB8" w14:textId="77777777" w:rsidR="002E33F0" w:rsidRDefault="002E33F0" w:rsidP="007B1A96">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1.5</w:t>
            </w:r>
          </w:p>
        </w:tc>
      </w:tr>
      <w:tr w:rsidR="002E33F0" w:rsidRPr="004867D2" w14:paraId="6EEC3BA1"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7705EC"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42AE355" w14:textId="77777777" w:rsidR="002E33F0" w:rsidRDefault="002E33F0" w:rsidP="007B1A96">
            <w:pPr>
              <w:tabs>
                <w:tab w:val="decimal" w:pos="745"/>
              </w:tabs>
              <w:jc w:val="left"/>
              <w:rPr>
                <w:color w:val="000000"/>
                <w:sz w:val="18"/>
                <w:szCs w:val="18"/>
              </w:rPr>
            </w:pPr>
            <w:r>
              <w:rPr>
                <w:color w:val="000000"/>
                <w:sz w:val="18"/>
                <w:szCs w:val="18"/>
              </w:rPr>
              <w:t>2.3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C602159" w14:textId="77777777" w:rsidR="002E33F0" w:rsidRDefault="002E33F0" w:rsidP="007B1A96">
            <w:pPr>
              <w:tabs>
                <w:tab w:val="left" w:pos="423"/>
                <w:tab w:val="decimal" w:pos="849"/>
              </w:tabs>
              <w:jc w:val="left"/>
              <w:rPr>
                <w:color w:val="000000"/>
                <w:sz w:val="18"/>
                <w:szCs w:val="18"/>
              </w:rPr>
            </w:pPr>
            <w:r>
              <w:rPr>
                <w:color w:val="000000"/>
                <w:sz w:val="18"/>
                <w:szCs w:val="18"/>
              </w:rPr>
              <w:tab/>
              <w:t>(-)</w:t>
            </w:r>
            <w:r>
              <w:rPr>
                <w:color w:val="000000"/>
                <w:sz w:val="18"/>
                <w:szCs w:val="18"/>
              </w:rPr>
              <w:tab/>
              <w:t>2.6</w:t>
            </w:r>
          </w:p>
        </w:tc>
      </w:tr>
      <w:tr w:rsidR="002E33F0" w:rsidRPr="004867D2" w14:paraId="7E5D8BAB" w14:textId="77777777" w:rsidTr="007B1A96">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B889B1"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D875564" w14:textId="77777777" w:rsidR="002E33F0" w:rsidRDefault="002E33F0" w:rsidP="007B1A96">
            <w:pPr>
              <w:tabs>
                <w:tab w:val="decimal" w:pos="745"/>
              </w:tabs>
              <w:jc w:val="left"/>
              <w:rPr>
                <w:color w:val="000000"/>
                <w:sz w:val="18"/>
                <w:szCs w:val="18"/>
              </w:rPr>
            </w:pPr>
            <w:r>
              <w:rPr>
                <w:color w:val="000000"/>
                <w:sz w:val="18"/>
                <w:szCs w:val="18"/>
              </w:rPr>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BE3D48A" w14:textId="77777777" w:rsidR="002E33F0" w:rsidRDefault="002E33F0" w:rsidP="007B1A96">
            <w:pPr>
              <w:tabs>
                <w:tab w:val="left" w:pos="423"/>
                <w:tab w:val="decimal" w:pos="849"/>
              </w:tabs>
              <w:jc w:val="left"/>
              <w:rPr>
                <w:color w:val="000000"/>
                <w:sz w:val="18"/>
                <w:szCs w:val="18"/>
              </w:rPr>
            </w:pPr>
            <w:r>
              <w:rPr>
                <w:color w:val="000000"/>
                <w:sz w:val="18"/>
                <w:szCs w:val="18"/>
              </w:rPr>
              <w:tab/>
              <w:t>(-)</w:t>
            </w:r>
            <w:r>
              <w:rPr>
                <w:color w:val="000000"/>
                <w:sz w:val="18"/>
                <w:szCs w:val="18"/>
              </w:rPr>
              <w:tab/>
              <w:t>2.1</w:t>
            </w:r>
          </w:p>
        </w:tc>
      </w:tr>
      <w:tr w:rsidR="002E33F0" w:rsidRPr="004867D2" w14:paraId="03AE3A4B" w14:textId="77777777" w:rsidTr="007B1A96">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5C421A5" w14:textId="77777777" w:rsidR="002E33F0" w:rsidRPr="004867D2" w:rsidRDefault="002E33F0" w:rsidP="007B1A96">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04BA0F7" w14:textId="77777777" w:rsidR="002E33F0" w:rsidRDefault="002E33F0" w:rsidP="007B1A96">
            <w:pPr>
              <w:tabs>
                <w:tab w:val="decimal" w:pos="745"/>
              </w:tabs>
              <w:jc w:val="left"/>
              <w:rPr>
                <w:color w:val="000000"/>
                <w:sz w:val="18"/>
                <w:szCs w:val="18"/>
              </w:rPr>
            </w:pPr>
            <w:r>
              <w:rPr>
                <w:color w:val="000000"/>
                <w:sz w:val="18"/>
                <w:szCs w:val="18"/>
              </w:rPr>
              <w:t>0.0</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606AFE64" w14:textId="77777777" w:rsidR="002E33F0" w:rsidRDefault="002E33F0" w:rsidP="007B1A96">
            <w:pPr>
              <w:tabs>
                <w:tab w:val="decimal" w:pos="849"/>
              </w:tabs>
              <w:jc w:val="left"/>
              <w:rPr>
                <w:color w:val="000000"/>
                <w:sz w:val="18"/>
                <w:szCs w:val="18"/>
              </w:rPr>
            </w:pPr>
            <w:r>
              <w:rPr>
                <w:color w:val="000000"/>
                <w:sz w:val="18"/>
                <w:szCs w:val="18"/>
              </w:rPr>
              <w:t>0.0</w:t>
            </w:r>
          </w:p>
        </w:tc>
      </w:tr>
    </w:tbl>
    <w:p w14:paraId="4DFEFB4E" w14:textId="77777777" w:rsidR="002E33F0" w:rsidRPr="004867D2" w:rsidRDefault="002E33F0" w:rsidP="002E33F0">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49FBB1AF" w14:textId="77777777" w:rsidR="002E33F0" w:rsidRPr="004867D2" w:rsidRDefault="002E33F0" w:rsidP="002E33F0">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57DC51F3" w14:textId="77777777" w:rsidR="002E33F0" w:rsidRDefault="002E33F0" w:rsidP="002E33F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3A40CD24" w14:textId="77777777" w:rsidR="002E33F0" w:rsidRPr="007556F8" w:rsidRDefault="002E33F0" w:rsidP="002E33F0">
      <w:pPr>
        <w:pStyle w:val="bulnot"/>
        <w:widowControl w:val="0"/>
        <w:tabs>
          <w:tab w:val="clear" w:pos="851"/>
        </w:tabs>
        <w:spacing w:before="120"/>
        <w:ind w:left="-284" w:right="-547" w:firstLine="0"/>
        <w:rPr>
          <w:b w:val="0"/>
          <w:bCs/>
          <w:color w:val="auto"/>
          <w:sz w:val="24"/>
          <w:szCs w:val="24"/>
        </w:rPr>
      </w:pPr>
      <w:r w:rsidRPr="007556F8">
        <w:rPr>
          <w:b w:val="0"/>
          <w:bCs/>
          <w:color w:val="auto"/>
          <w:sz w:val="24"/>
          <w:szCs w:val="24"/>
        </w:rPr>
        <w:t>A tasa anual</w:t>
      </w:r>
      <w:r w:rsidRPr="007556F8">
        <w:rPr>
          <w:b w:val="0"/>
          <w:bCs/>
          <w:color w:val="auto"/>
          <w:sz w:val="24"/>
          <w:szCs w:val="24"/>
          <w:vertAlign w:val="superscript"/>
        </w:rPr>
        <w:footnoteReference w:id="3"/>
      </w:r>
      <w:r w:rsidRPr="007556F8">
        <w:rPr>
          <w:b w:val="0"/>
          <w:bCs/>
          <w:color w:val="auto"/>
          <w:sz w:val="24"/>
          <w:szCs w:val="24"/>
        </w:rPr>
        <w:t>,</w:t>
      </w:r>
      <w:r w:rsidRPr="007556F8">
        <w:rPr>
          <w:rFonts w:cs="Arial"/>
          <w:b w:val="0"/>
          <w:bCs/>
          <w:color w:val="auto"/>
          <w:sz w:val="24"/>
          <w:szCs w:val="24"/>
        </w:rPr>
        <w:t xml:space="preserve"> el personal ocupado total descendió (</w:t>
      </w:r>
      <w:r w:rsidRPr="007556F8">
        <w:rPr>
          <w:rFonts w:cs="Arial"/>
          <w:b w:val="0"/>
          <w:bCs/>
          <w:color w:val="auto"/>
          <w:sz w:val="24"/>
          <w:szCs w:val="24"/>
        </w:rPr>
        <w:noBreakHyphen/>
        <w:t>)5.7%, l</w:t>
      </w:r>
      <w:r w:rsidRPr="007556F8">
        <w:rPr>
          <w:b w:val="0"/>
          <w:bCs/>
          <w:color w:val="auto"/>
          <w:sz w:val="24"/>
          <w:szCs w:val="24"/>
        </w:rPr>
        <w:t xml:space="preserve">as </w:t>
      </w:r>
      <w:r w:rsidRPr="007556F8">
        <w:rPr>
          <w:rFonts w:cs="Arial"/>
          <w:b w:val="0"/>
          <w:bCs/>
          <w:color w:val="auto"/>
          <w:sz w:val="24"/>
          <w:szCs w:val="24"/>
        </w:rPr>
        <w:t>horas trabajadas fueron menores en (</w:t>
      </w:r>
      <w:r w:rsidRPr="007556F8">
        <w:rPr>
          <w:rFonts w:cs="Arial"/>
          <w:b w:val="0"/>
          <w:bCs/>
          <w:color w:val="auto"/>
          <w:sz w:val="24"/>
          <w:szCs w:val="24"/>
        </w:rPr>
        <w:noBreakHyphen/>
        <w:t>)14.3% y</w:t>
      </w:r>
      <w:r w:rsidRPr="007556F8">
        <w:rPr>
          <w:b w:val="0"/>
          <w:bCs/>
          <w:color w:val="auto"/>
          <w:sz w:val="24"/>
          <w:szCs w:val="24"/>
        </w:rPr>
        <w:t xml:space="preserve"> las remuneraciones medias reales en (</w:t>
      </w:r>
      <w:r w:rsidRPr="007556F8">
        <w:rPr>
          <w:b w:val="0"/>
          <w:bCs/>
          <w:color w:val="auto"/>
          <w:sz w:val="24"/>
          <w:szCs w:val="24"/>
        </w:rPr>
        <w:noBreakHyphen/>
        <w:t>)</w:t>
      </w:r>
      <w:r w:rsidRPr="007556F8">
        <w:rPr>
          <w:rFonts w:cs="Arial"/>
          <w:b w:val="0"/>
          <w:bCs/>
          <w:color w:val="auto"/>
          <w:sz w:val="24"/>
          <w:szCs w:val="24"/>
        </w:rPr>
        <w:t>1.5% durante junio de 2020 con relación a igual mes de un año antes</w:t>
      </w:r>
      <w:r w:rsidRPr="007556F8">
        <w:rPr>
          <w:b w:val="0"/>
          <w:bCs/>
          <w:color w:val="auto"/>
          <w:sz w:val="24"/>
          <w:szCs w:val="24"/>
        </w:rPr>
        <w:t>.</w:t>
      </w:r>
    </w:p>
    <w:p w14:paraId="630AAD33" w14:textId="77777777" w:rsidR="002E33F0" w:rsidRPr="007556F8" w:rsidRDefault="002E33F0" w:rsidP="002E33F0">
      <w:pPr>
        <w:pStyle w:val="bulnot"/>
        <w:widowControl w:val="0"/>
        <w:tabs>
          <w:tab w:val="clear" w:pos="851"/>
        </w:tabs>
        <w:spacing w:before="240"/>
        <w:ind w:left="-284" w:right="-547" w:firstLine="0"/>
        <w:rPr>
          <w:b w:val="0"/>
          <w:bCs/>
          <w:color w:val="auto"/>
          <w:sz w:val="24"/>
          <w:szCs w:val="24"/>
        </w:rPr>
      </w:pPr>
      <w:r w:rsidRPr="007556F8">
        <w:rPr>
          <w:b w:val="0"/>
          <w:bCs/>
          <w:color w:val="auto"/>
          <w:sz w:val="24"/>
          <w:szCs w:val="24"/>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correspondiente al mes de </w:t>
      </w:r>
      <w:proofErr w:type="gramStart"/>
      <w:r w:rsidRPr="007556F8">
        <w:rPr>
          <w:b w:val="0"/>
          <w:bCs/>
          <w:color w:val="auto"/>
          <w:sz w:val="24"/>
          <w:szCs w:val="24"/>
        </w:rPr>
        <w:t>junio</w:t>
      </w:r>
      <w:r>
        <w:rPr>
          <w:b w:val="0"/>
          <w:bCs/>
          <w:color w:val="auto"/>
          <w:sz w:val="24"/>
          <w:szCs w:val="24"/>
        </w:rPr>
        <w:t>,</w:t>
      </w:r>
      <w:proofErr w:type="gramEnd"/>
      <w:r>
        <w:rPr>
          <w:b w:val="0"/>
          <w:bCs/>
          <w:color w:val="auto"/>
          <w:sz w:val="24"/>
          <w:szCs w:val="24"/>
        </w:rPr>
        <w:t xml:space="preserve"> </w:t>
      </w:r>
      <w:r w:rsidRPr="007556F8">
        <w:rPr>
          <w:b w:val="0"/>
          <w:bCs/>
          <w:color w:val="auto"/>
          <w:sz w:val="24"/>
          <w:szCs w:val="24"/>
        </w:rPr>
        <w:t>se realizó en los tiempos establecidos mediante Internet y asistencia telefónica con el fin de evitar el contacto presencial</w:t>
      </w:r>
      <w:r w:rsidRPr="007556F8">
        <w:rPr>
          <w:rStyle w:val="Refdenotaalpie"/>
          <w:b w:val="0"/>
          <w:bCs/>
          <w:color w:val="auto"/>
          <w:sz w:val="24"/>
          <w:szCs w:val="24"/>
        </w:rPr>
        <w:footnoteReference w:id="4"/>
      </w:r>
      <w:r w:rsidRPr="007556F8">
        <w:rPr>
          <w:b w:val="0"/>
          <w:bCs/>
          <w:color w:val="auto"/>
          <w:sz w:val="24"/>
          <w:szCs w:val="24"/>
        </w:rPr>
        <w:t>.</w:t>
      </w:r>
    </w:p>
    <w:p w14:paraId="2BA3768A" w14:textId="77777777" w:rsidR="002E33F0" w:rsidRPr="00874520" w:rsidRDefault="002E33F0" w:rsidP="002E33F0">
      <w:pPr>
        <w:spacing w:before="360"/>
        <w:ind w:left="-284" w:right="-547"/>
        <w:jc w:val="center"/>
        <w:rPr>
          <w:b/>
          <w:color w:val="000000"/>
        </w:rPr>
      </w:pPr>
      <w:r w:rsidRPr="00874520">
        <w:rPr>
          <w:b/>
          <w:color w:val="000000"/>
        </w:rPr>
        <w:t>Se anexa Nota Técnica</w:t>
      </w:r>
    </w:p>
    <w:p w14:paraId="39074D05" w14:textId="77777777" w:rsidR="002E33F0" w:rsidRDefault="002E33F0" w:rsidP="002E33F0">
      <w:pPr>
        <w:pStyle w:val="NormalWeb"/>
        <w:spacing w:before="0" w:beforeAutospacing="0" w:after="0" w:afterAutospacing="0"/>
        <w:ind w:left="-426" w:right="-518"/>
        <w:contextualSpacing/>
        <w:jc w:val="center"/>
        <w:rPr>
          <w:rFonts w:ascii="Arial" w:hAnsi="Arial" w:cs="Arial"/>
          <w:sz w:val="22"/>
          <w:szCs w:val="22"/>
        </w:rPr>
      </w:pPr>
    </w:p>
    <w:p w14:paraId="68229E31" w14:textId="77777777" w:rsidR="002E33F0" w:rsidRPr="00CF2F0E" w:rsidRDefault="002E33F0" w:rsidP="002E33F0">
      <w:pPr>
        <w:pStyle w:val="NormalWeb"/>
        <w:spacing w:before="240" w:beforeAutospacing="0" w:after="0" w:afterAutospacing="0"/>
        <w:ind w:left="-426" w:right="-518"/>
        <w:contextualSpacing/>
        <w:jc w:val="center"/>
        <w:rPr>
          <w:rFonts w:ascii="Arial" w:hAnsi="Arial" w:cs="Arial"/>
          <w:sz w:val="16"/>
          <w:szCs w:val="16"/>
        </w:rPr>
      </w:pPr>
    </w:p>
    <w:p w14:paraId="131BB4CA" w14:textId="77777777" w:rsidR="002E33F0" w:rsidRPr="00B45B69" w:rsidRDefault="002E33F0" w:rsidP="002E33F0">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Para consultas de medios y periodistas, contactar a: </w:t>
      </w:r>
      <w:hyperlink r:id="rId9" w:history="1">
        <w:r w:rsidRPr="00B45B69">
          <w:rPr>
            <w:rStyle w:val="Hipervnculo"/>
            <w:rFonts w:ascii="Arial" w:hAnsi="Arial" w:cs="Arial"/>
            <w:sz w:val="20"/>
            <w:szCs w:val="20"/>
          </w:rPr>
          <w:t>comunicacionsocial@inegi.org.mx</w:t>
        </w:r>
      </w:hyperlink>
      <w:r w:rsidRPr="00B45B69">
        <w:rPr>
          <w:rFonts w:ascii="Arial" w:hAnsi="Arial" w:cs="Arial"/>
          <w:sz w:val="20"/>
          <w:szCs w:val="20"/>
        </w:rPr>
        <w:t xml:space="preserve"> </w:t>
      </w:r>
    </w:p>
    <w:p w14:paraId="28F36DF2" w14:textId="77777777" w:rsidR="002E33F0" w:rsidRPr="00B45B69" w:rsidRDefault="002E33F0" w:rsidP="002E33F0">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o llamar al teléfono (55) 52-78-10-00, </w:t>
      </w:r>
      <w:proofErr w:type="spellStart"/>
      <w:r w:rsidRPr="00B45B69">
        <w:rPr>
          <w:rFonts w:ascii="Arial" w:hAnsi="Arial" w:cs="Arial"/>
          <w:sz w:val="20"/>
          <w:szCs w:val="20"/>
        </w:rPr>
        <w:t>exts</w:t>
      </w:r>
      <w:proofErr w:type="spellEnd"/>
      <w:r w:rsidRPr="00B45B69">
        <w:rPr>
          <w:rFonts w:ascii="Arial" w:hAnsi="Arial" w:cs="Arial"/>
          <w:sz w:val="20"/>
          <w:szCs w:val="20"/>
        </w:rPr>
        <w:t>. 1134, 1260 y 1241.</w:t>
      </w:r>
    </w:p>
    <w:p w14:paraId="1DCD981C" w14:textId="77777777" w:rsidR="002E33F0" w:rsidRPr="00B45B69" w:rsidRDefault="002E33F0" w:rsidP="002E33F0">
      <w:pPr>
        <w:ind w:left="-426" w:right="-518"/>
        <w:contextualSpacing/>
        <w:jc w:val="center"/>
        <w:rPr>
          <w:sz w:val="20"/>
          <w:szCs w:val="20"/>
        </w:rPr>
      </w:pPr>
      <w:r w:rsidRPr="00B45B69">
        <w:rPr>
          <w:sz w:val="20"/>
          <w:szCs w:val="20"/>
        </w:rPr>
        <w:t>Dirección de Atención a Medios / Dirección General Adjunta de Comunicación</w:t>
      </w:r>
    </w:p>
    <w:p w14:paraId="735130AD" w14:textId="77777777" w:rsidR="002E33F0" w:rsidRDefault="002E33F0" w:rsidP="002E33F0">
      <w:pPr>
        <w:ind w:left="-425" w:right="-516"/>
        <w:contextualSpacing/>
        <w:jc w:val="center"/>
        <w:rPr>
          <w:noProof/>
          <w:sz w:val="20"/>
          <w:lang w:eastAsia="es-MX"/>
        </w:rPr>
      </w:pPr>
    </w:p>
    <w:p w14:paraId="0CC55A22" w14:textId="77777777" w:rsidR="002E33F0" w:rsidRPr="005167F5" w:rsidRDefault="002E33F0" w:rsidP="002E33F0">
      <w:pPr>
        <w:ind w:left="-425" w:right="-516"/>
        <w:contextualSpacing/>
        <w:jc w:val="center"/>
        <w:rPr>
          <w:sz w:val="18"/>
          <w:szCs w:val="18"/>
        </w:rPr>
      </w:pPr>
      <w:r w:rsidRPr="008F0992">
        <w:rPr>
          <w:noProof/>
          <w:sz w:val="20"/>
          <w:lang w:val="es-MX" w:eastAsia="es-MX"/>
        </w:rPr>
        <w:drawing>
          <wp:inline distT="0" distB="0" distL="0" distR="0" wp14:anchorId="7D40CAAC" wp14:editId="39AC16DB">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9F59877" wp14:editId="7DE6DCF3">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CB760AC" wp14:editId="42046CD8">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ED06373" wp14:editId="5B840978">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736C2080" wp14:editId="1627BB86">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0A1F7271" w14:textId="77777777" w:rsidR="002E33F0" w:rsidRPr="00157C43" w:rsidRDefault="002E33F0" w:rsidP="002E33F0">
      <w:pPr>
        <w:pStyle w:val="bullet"/>
        <w:tabs>
          <w:tab w:val="left" w:pos="8789"/>
        </w:tabs>
        <w:spacing w:before="0"/>
        <w:ind w:left="0" w:right="51" w:firstLine="0"/>
        <w:jc w:val="center"/>
        <w:rPr>
          <w:rFonts w:cs="Arial"/>
          <w:szCs w:val="24"/>
        </w:rPr>
        <w:sectPr w:rsidR="002E33F0" w:rsidRPr="00157C43" w:rsidSect="00FE231A">
          <w:headerReference w:type="default" r:id="rId20"/>
          <w:footerReference w:type="default" r:id="rId21"/>
          <w:pgSz w:w="12240" w:h="15840" w:code="1"/>
          <w:pgMar w:top="1" w:right="1701" w:bottom="0" w:left="1588" w:header="510" w:footer="510" w:gutter="0"/>
          <w:cols w:space="720"/>
          <w:docGrid w:linePitch="272"/>
        </w:sectPr>
      </w:pPr>
    </w:p>
    <w:p w14:paraId="73761358" w14:textId="105480A5" w:rsidR="002E33F0" w:rsidRDefault="002E33F0" w:rsidP="002E33F0">
      <w:pPr>
        <w:pStyle w:val="Ttulo"/>
        <w:widowControl w:val="0"/>
        <w:tabs>
          <w:tab w:val="left" w:pos="1134"/>
        </w:tabs>
        <w:rPr>
          <w:rFonts w:cs="Arial"/>
          <w:sz w:val="28"/>
          <w:szCs w:val="28"/>
        </w:rPr>
      </w:pPr>
      <w:r w:rsidRPr="004A4DCA">
        <w:rPr>
          <w:rFonts w:cs="Arial"/>
          <w:sz w:val="28"/>
          <w:szCs w:val="28"/>
        </w:rPr>
        <w:lastRenderedPageBreak/>
        <w:t>NOTA TÉCNICA</w:t>
      </w:r>
    </w:p>
    <w:p w14:paraId="14D7F404" w14:textId="77777777" w:rsidR="002E33F0" w:rsidRPr="002E33F0" w:rsidRDefault="002E33F0" w:rsidP="002E33F0">
      <w:pPr>
        <w:pStyle w:val="Ttulo"/>
        <w:widowControl w:val="0"/>
        <w:tabs>
          <w:tab w:val="left" w:pos="1134"/>
        </w:tabs>
        <w:rPr>
          <w:rFonts w:cs="Arial"/>
          <w:sz w:val="16"/>
          <w:szCs w:val="16"/>
        </w:rPr>
      </w:pPr>
    </w:p>
    <w:p w14:paraId="4CFE09C1" w14:textId="77777777" w:rsidR="00095006" w:rsidRPr="002E33F0" w:rsidRDefault="00095006" w:rsidP="00A76EE0">
      <w:pPr>
        <w:pStyle w:val="Ttulo"/>
        <w:widowControl w:val="0"/>
        <w:rPr>
          <w:caps/>
          <w:snapToGrid w:val="0"/>
          <w:color w:val="000000" w:themeColor="text1"/>
          <w:spacing w:val="25"/>
          <w:sz w:val="28"/>
          <w:lang w:val="es-MX"/>
        </w:rPr>
      </w:pPr>
      <w:r w:rsidRPr="002E33F0">
        <w:rPr>
          <w:caps/>
          <w:snapToGrid w:val="0"/>
          <w:color w:val="000000" w:themeColor="text1"/>
          <w:spacing w:val="25"/>
          <w:sz w:val="28"/>
          <w:lang w:val="es-MX"/>
        </w:rPr>
        <w:t>indicadores DEL SECTOR MANUFACTURERO</w:t>
      </w:r>
    </w:p>
    <w:p w14:paraId="48C8FE84" w14:textId="4050228B" w:rsidR="00095006" w:rsidRPr="002E33F0" w:rsidRDefault="00095006" w:rsidP="002E33F0">
      <w:pPr>
        <w:pStyle w:val="Ttulo"/>
        <w:widowControl w:val="0"/>
        <w:rPr>
          <w:caps/>
          <w:snapToGrid w:val="0"/>
          <w:color w:val="000000" w:themeColor="text1"/>
          <w:spacing w:val="25"/>
          <w:sz w:val="26"/>
          <w:szCs w:val="26"/>
          <w:lang w:val="es-MX"/>
        </w:rPr>
      </w:pPr>
      <w:r w:rsidRPr="002E33F0">
        <w:rPr>
          <w:caps/>
          <w:snapToGrid w:val="0"/>
          <w:color w:val="000000" w:themeColor="text1"/>
          <w:spacing w:val="25"/>
          <w:sz w:val="26"/>
          <w:szCs w:val="26"/>
          <w:lang w:val="es-MX"/>
        </w:rPr>
        <w:t xml:space="preserve">CIFRAS DURANTE </w:t>
      </w:r>
      <w:r w:rsidR="005763C8" w:rsidRPr="002E33F0">
        <w:rPr>
          <w:caps/>
          <w:snapToGrid w:val="0"/>
          <w:color w:val="000000" w:themeColor="text1"/>
          <w:spacing w:val="25"/>
          <w:sz w:val="26"/>
          <w:szCs w:val="26"/>
          <w:lang w:val="es-MX"/>
        </w:rPr>
        <w:t>JUNI</w:t>
      </w:r>
      <w:r w:rsidR="00DB2E1D" w:rsidRPr="002E33F0">
        <w:rPr>
          <w:caps/>
          <w:snapToGrid w:val="0"/>
          <w:color w:val="000000" w:themeColor="text1"/>
          <w:spacing w:val="25"/>
          <w:sz w:val="26"/>
          <w:szCs w:val="26"/>
          <w:lang w:val="es-MX"/>
        </w:rPr>
        <w:t>O</w:t>
      </w:r>
      <w:r w:rsidRPr="002E33F0">
        <w:rPr>
          <w:caps/>
          <w:snapToGrid w:val="0"/>
          <w:color w:val="000000" w:themeColor="text1"/>
          <w:spacing w:val="25"/>
          <w:sz w:val="26"/>
          <w:szCs w:val="26"/>
          <w:lang w:val="es-MX"/>
        </w:rPr>
        <w:t xml:space="preserve"> DE 20</w:t>
      </w:r>
      <w:r w:rsidR="00ED61FC" w:rsidRPr="002E33F0">
        <w:rPr>
          <w:caps/>
          <w:snapToGrid w:val="0"/>
          <w:color w:val="000000" w:themeColor="text1"/>
          <w:spacing w:val="25"/>
          <w:sz w:val="26"/>
          <w:szCs w:val="26"/>
          <w:lang w:val="es-MX"/>
        </w:rPr>
        <w:t>20</w:t>
      </w:r>
    </w:p>
    <w:p w14:paraId="61D8D9C7" w14:textId="77777777" w:rsidR="00095006" w:rsidRPr="002E33F0" w:rsidRDefault="00205C32" w:rsidP="00095006">
      <w:pPr>
        <w:pStyle w:val="Ttulo"/>
        <w:widowControl w:val="0"/>
        <w:rPr>
          <w:i/>
          <w:caps/>
          <w:snapToGrid w:val="0"/>
          <w:spacing w:val="25"/>
          <w:szCs w:val="24"/>
          <w:lang w:val="es-MX"/>
        </w:rPr>
      </w:pPr>
      <w:r w:rsidRPr="002E33F0">
        <w:rPr>
          <w:i/>
          <w:snapToGrid w:val="0"/>
          <w:spacing w:val="25"/>
          <w:szCs w:val="24"/>
          <w:lang w:val="es-MX"/>
        </w:rPr>
        <w:t>(Cifras desestacionalizadas)</w:t>
      </w:r>
    </w:p>
    <w:p w14:paraId="78B7CCCF" w14:textId="77777777" w:rsidR="007D32F4" w:rsidRDefault="00095006" w:rsidP="007D32F4">
      <w:pPr>
        <w:pStyle w:val="texto0"/>
        <w:keepLines w:val="0"/>
        <w:spacing w:before="600"/>
        <w:rPr>
          <w:rFonts w:cs="Arial"/>
          <w:color w:val="auto"/>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404490">
        <w:rPr>
          <w:rFonts w:cs="Arial"/>
          <w:color w:val="auto"/>
        </w:rPr>
        <w:t>para</w:t>
      </w:r>
      <w:r w:rsidR="00985D7A">
        <w:rPr>
          <w:rFonts w:cs="Arial"/>
          <w:color w:val="auto"/>
        </w:rPr>
        <w:t xml:space="preserve"> </w:t>
      </w:r>
      <w:r w:rsidR="005763C8">
        <w:rPr>
          <w:rFonts w:cs="Arial"/>
          <w:color w:val="auto"/>
        </w:rPr>
        <w:t>juni</w:t>
      </w:r>
      <w:r w:rsidR="00C012E6">
        <w:rPr>
          <w:rFonts w:cs="Arial"/>
          <w:color w:val="auto"/>
        </w:rPr>
        <w:t>o</w:t>
      </w:r>
      <w:r w:rsidR="003D23A8">
        <w:rPr>
          <w:rFonts w:cs="Arial"/>
          <w:color w:val="auto"/>
        </w:rPr>
        <w:t xml:space="preserve"> </w:t>
      </w:r>
      <w:r w:rsidR="00D04587">
        <w:rPr>
          <w:rFonts w:cs="Arial"/>
          <w:color w:val="auto"/>
        </w:rPr>
        <w:t>de</w:t>
      </w:r>
      <w:r w:rsidR="003D23A8">
        <w:rPr>
          <w:rFonts w:cs="Arial"/>
          <w:color w:val="auto"/>
        </w:rPr>
        <w:t xml:space="preserve"> 20</w:t>
      </w:r>
      <w:r w:rsidR="00ED61FC">
        <w:rPr>
          <w:rFonts w:cs="Arial"/>
          <w:color w:val="auto"/>
        </w:rPr>
        <w:t>20</w:t>
      </w:r>
      <w:r w:rsidRPr="004867D2">
        <w:rPr>
          <w:rFonts w:cs="Arial"/>
          <w:color w:val="auto"/>
        </w:rPr>
        <w:t>.</w:t>
      </w:r>
    </w:p>
    <w:p w14:paraId="25CA20D2" w14:textId="0B69E661" w:rsidR="00095006" w:rsidRPr="004867D2" w:rsidRDefault="00095006" w:rsidP="007D32F4">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5659D5A8" w14:textId="1D6695C1"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F37DBE">
        <w:rPr>
          <w:rFonts w:cs="Arial"/>
          <w:color w:val="auto"/>
        </w:rPr>
        <w:t xml:space="preserve">se mantuvo sin variación </w:t>
      </w:r>
      <w:r w:rsidR="00237F57">
        <w:rPr>
          <w:rFonts w:cs="Arial"/>
          <w:color w:val="auto"/>
        </w:rPr>
        <w:t>e</w:t>
      </w:r>
      <w:r w:rsidR="00D3544F">
        <w:rPr>
          <w:rFonts w:cs="Arial"/>
          <w:color w:val="auto"/>
        </w:rPr>
        <w:t>n</w:t>
      </w:r>
      <w:r w:rsidR="00237F57">
        <w:rPr>
          <w:rFonts w:cs="Arial"/>
          <w:color w:val="auto"/>
        </w:rPr>
        <w:t xml:space="preserve"> </w:t>
      </w:r>
      <w:r w:rsidR="00C012E6">
        <w:rPr>
          <w:rFonts w:cs="Arial"/>
          <w:color w:val="auto"/>
        </w:rPr>
        <w:t xml:space="preserve">el </w:t>
      </w:r>
      <w:r w:rsidR="005763C8">
        <w:rPr>
          <w:rFonts w:cs="Arial"/>
          <w:color w:val="auto"/>
        </w:rPr>
        <w:t>sex</w:t>
      </w:r>
      <w:r w:rsidR="00C012E6">
        <w:rPr>
          <w:rFonts w:cs="Arial"/>
          <w:color w:val="auto"/>
        </w:rPr>
        <w:t>to mes</w:t>
      </w:r>
      <w:r w:rsidR="002F7F8C">
        <w:rPr>
          <w:rFonts w:cs="Arial"/>
          <w:color w:val="auto"/>
        </w:rPr>
        <w:t xml:space="preserve"> </w:t>
      </w:r>
      <w:r w:rsidR="00B91315">
        <w:rPr>
          <w:rFonts w:cs="Arial"/>
          <w:color w:val="auto"/>
        </w:rPr>
        <w:t>de</w:t>
      </w:r>
      <w:r w:rsidR="005763C8">
        <w:rPr>
          <w:rFonts w:cs="Arial"/>
          <w:color w:val="auto"/>
        </w:rPr>
        <w:t>l año en curso</w:t>
      </w:r>
      <w:r w:rsidR="00061D51">
        <w:rPr>
          <w:rFonts w:cs="Arial"/>
          <w:color w:val="auto"/>
        </w:rPr>
        <w:t xml:space="preserve"> </w:t>
      </w:r>
      <w:r w:rsidR="00106FBF">
        <w:rPr>
          <w:rFonts w:cs="Arial"/>
          <w:color w:val="auto"/>
        </w:rPr>
        <w:t>con</w:t>
      </w:r>
      <w:r w:rsidR="002530DC">
        <w:rPr>
          <w:rFonts w:cs="Arial"/>
          <w:color w:val="auto"/>
        </w:rPr>
        <w:t xml:space="preserve"> relación al mes </w:t>
      </w:r>
      <w:r w:rsidR="005763C8">
        <w:rPr>
          <w:rFonts w:cs="Arial"/>
          <w:color w:val="auto"/>
        </w:rPr>
        <w:t>inmediato anterior</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835E4E">
        <w:rPr>
          <w:rFonts w:cs="Arial"/>
          <w:color w:val="auto"/>
        </w:rPr>
        <w:t xml:space="preserve">obreros </w:t>
      </w:r>
      <w:r w:rsidR="008E1801">
        <w:rPr>
          <w:rFonts w:cs="Arial"/>
          <w:color w:val="auto"/>
        </w:rPr>
        <w:t>aument</w:t>
      </w:r>
      <w:r w:rsidR="00061D51">
        <w:rPr>
          <w:rFonts w:cs="Arial"/>
          <w:color w:val="auto"/>
        </w:rPr>
        <w:t>ó</w:t>
      </w:r>
      <w:r w:rsidR="00473343">
        <w:rPr>
          <w:rFonts w:cs="Arial"/>
          <w:color w:val="auto"/>
        </w:rPr>
        <w:t xml:space="preserve"> </w:t>
      </w:r>
      <w:r w:rsidR="008E1801">
        <w:rPr>
          <w:rFonts w:cs="Arial"/>
          <w:color w:val="auto"/>
        </w:rPr>
        <w:t>0.1</w:t>
      </w:r>
      <w:r w:rsidR="00F80A1E">
        <w:rPr>
          <w:rFonts w:cs="Arial"/>
          <w:color w:val="auto"/>
        </w:rPr>
        <w:t>%</w:t>
      </w:r>
      <w:r w:rsidR="008E1801">
        <w:rPr>
          <w:rFonts w:cs="Arial"/>
          <w:color w:val="auto"/>
        </w:rPr>
        <w:t xml:space="preserve">, en tanto que </w:t>
      </w:r>
      <w:r w:rsidR="00061D51">
        <w:rPr>
          <w:rFonts w:cs="Arial"/>
          <w:color w:val="auto"/>
        </w:rPr>
        <w:t>el de</w:t>
      </w:r>
      <w:r w:rsidR="00835E4E">
        <w:rPr>
          <w:rFonts w:cs="Arial"/>
          <w:color w:val="auto"/>
        </w:rPr>
        <w:t xml:space="preserve"> los </w:t>
      </w:r>
      <w:r w:rsidR="0021691E">
        <w:rPr>
          <w:rFonts w:cs="Arial"/>
          <w:color w:val="auto"/>
        </w:rPr>
        <w:t xml:space="preserve">empleados </w:t>
      </w:r>
      <w:r w:rsidR="008E1801">
        <w:rPr>
          <w:rFonts w:cs="Arial"/>
          <w:color w:val="auto"/>
        </w:rPr>
        <w:t xml:space="preserve">descendió </w:t>
      </w:r>
      <w:r w:rsidR="00061D51">
        <w:rPr>
          <w:rFonts w:cs="Arial"/>
          <w:color w:val="auto"/>
        </w:rPr>
        <w:t>(</w:t>
      </w:r>
      <w:r w:rsidR="00061D51">
        <w:rPr>
          <w:rFonts w:cs="Arial"/>
          <w:color w:val="auto"/>
        </w:rPr>
        <w:noBreakHyphen/>
        <w:t>)</w:t>
      </w:r>
      <w:r w:rsidR="00F271AF">
        <w:rPr>
          <w:rFonts w:cs="Arial"/>
          <w:color w:val="auto"/>
        </w:rPr>
        <w:t>0</w:t>
      </w:r>
      <w:r w:rsidR="00F80A1E">
        <w:rPr>
          <w:rFonts w:cs="Arial"/>
          <w:color w:val="auto"/>
        </w:rPr>
        <w:t>.</w:t>
      </w:r>
      <w:r w:rsidR="00296D73">
        <w:rPr>
          <w:rFonts w:cs="Arial"/>
          <w:color w:val="auto"/>
        </w:rPr>
        <w:t>4</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54FD755" w14:textId="1B0B29F3"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C012E6">
        <w:rPr>
          <w:rFonts w:ascii="Arial" w:hAnsi="Arial"/>
          <w:b/>
          <w:smallCaps/>
          <w:color w:val="auto"/>
          <w:sz w:val="22"/>
          <w:szCs w:val="22"/>
        </w:rPr>
        <w:t xml:space="preserve"> </w:t>
      </w:r>
      <w:r w:rsidR="005763C8">
        <w:rPr>
          <w:rFonts w:ascii="Arial" w:hAnsi="Arial"/>
          <w:b/>
          <w:smallCaps/>
          <w:color w:val="auto"/>
          <w:sz w:val="22"/>
          <w:szCs w:val="22"/>
        </w:rPr>
        <w:t>juni</w:t>
      </w:r>
      <w:r w:rsidR="00C012E6">
        <w:rPr>
          <w:rFonts w:ascii="Arial" w:hAnsi="Arial"/>
          <w:b/>
          <w:smallCaps/>
          <w:color w:val="auto"/>
          <w:sz w:val="22"/>
          <w:szCs w:val="22"/>
        </w:rPr>
        <w:t>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0304B13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60E926B" w14:textId="34B3F8B3" w:rsidR="00095006" w:rsidRPr="004867D2" w:rsidRDefault="008E1801" w:rsidP="002A6A17">
      <w:pPr>
        <w:widowControl w:val="0"/>
        <w:jc w:val="center"/>
        <w:rPr>
          <w:sz w:val="18"/>
        </w:rPr>
      </w:pPr>
      <w:r>
        <w:rPr>
          <w:noProof/>
          <w:lang w:val="es-MX" w:eastAsia="es-MX"/>
        </w:rPr>
        <w:drawing>
          <wp:inline distT="0" distB="0" distL="0" distR="0" wp14:anchorId="2B51DC74" wp14:editId="47A7849E">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5338D062" w14:textId="17E8FAA4" w:rsidR="00095006" w:rsidRPr="001C753D" w:rsidRDefault="0004591A" w:rsidP="008969B9">
      <w:pPr>
        <w:pStyle w:val="texto0"/>
        <w:keepLines w:val="0"/>
        <w:spacing w:before="600"/>
        <w:rPr>
          <w:rFonts w:cs="Arial"/>
          <w:color w:val="auto"/>
          <w:spacing w:val="6"/>
        </w:rPr>
      </w:pPr>
      <w:r>
        <w:rPr>
          <w:rFonts w:cs="Arial"/>
          <w:color w:val="auto"/>
        </w:rPr>
        <w:t xml:space="preserve">En </w:t>
      </w:r>
      <w:r w:rsidR="005763C8">
        <w:rPr>
          <w:rFonts w:cs="Arial"/>
          <w:color w:val="auto"/>
        </w:rPr>
        <w:t>juni</w:t>
      </w:r>
      <w:r w:rsidR="00C012E6">
        <w:rPr>
          <w:rFonts w:cs="Arial"/>
          <w:color w:val="auto"/>
        </w:rPr>
        <w:t>o</w:t>
      </w:r>
      <w:r w:rsidR="00ED61FC">
        <w:rPr>
          <w:rFonts w:cs="Arial"/>
          <w:color w:val="auto"/>
        </w:rPr>
        <w:t xml:space="preserve"> de 2020</w:t>
      </w:r>
      <w:r w:rsidR="009B6D1E" w:rsidRPr="00EF4780">
        <w:rPr>
          <w:rFonts w:cs="Arial"/>
          <w:color w:val="auto"/>
        </w:rPr>
        <w:t xml:space="preserve">, </w:t>
      </w:r>
      <w:r w:rsidR="004916C9" w:rsidRPr="00EF4780">
        <w:rPr>
          <w:rFonts w:cs="Arial"/>
          <w:color w:val="auto"/>
        </w:rPr>
        <w:t xml:space="preserve">las horas trabajadas en las industrias manufactureras </w:t>
      </w:r>
      <w:r w:rsidR="008E1801">
        <w:rPr>
          <w:rFonts w:cs="Arial"/>
          <w:color w:val="auto"/>
        </w:rPr>
        <w:t>present</w:t>
      </w:r>
      <w:r w:rsidR="009C0A18">
        <w:rPr>
          <w:rFonts w:cs="Arial"/>
          <w:color w:val="auto"/>
        </w:rPr>
        <w:t>a</w:t>
      </w:r>
      <w:r w:rsidR="00C46E29">
        <w:rPr>
          <w:rFonts w:cs="Arial"/>
          <w:color w:val="auto"/>
        </w:rPr>
        <w:t xml:space="preserve">ron </w:t>
      </w:r>
      <w:r w:rsidR="00BD4890">
        <w:rPr>
          <w:rFonts w:cs="Arial"/>
          <w:color w:val="auto"/>
        </w:rPr>
        <w:t>un</w:t>
      </w:r>
      <w:r w:rsidR="00F271AF">
        <w:rPr>
          <w:rFonts w:cs="Arial"/>
          <w:color w:val="auto"/>
        </w:rPr>
        <w:t xml:space="preserve"> </w:t>
      </w:r>
      <w:r w:rsidR="008E1801">
        <w:rPr>
          <w:rFonts w:cs="Arial"/>
          <w:color w:val="auto"/>
        </w:rPr>
        <w:t>incremento de</w:t>
      </w:r>
      <w:r w:rsidR="00BD4890">
        <w:rPr>
          <w:rFonts w:cs="Arial"/>
          <w:color w:val="auto"/>
        </w:rPr>
        <w:t xml:space="preserve"> </w:t>
      </w:r>
      <w:r w:rsidR="008E1801">
        <w:rPr>
          <w:rFonts w:cs="Arial"/>
          <w:color w:val="auto"/>
        </w:rPr>
        <w:t>17.8</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sidR="005763C8">
        <w:rPr>
          <w:rFonts w:cs="Arial"/>
          <w:color w:val="auto"/>
        </w:rPr>
        <w:t>mayo</w:t>
      </w:r>
      <w:r w:rsidR="00ED61FC">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3938A2">
        <w:rPr>
          <w:rFonts w:cs="Arial"/>
          <w:color w:val="auto"/>
        </w:rPr>
        <w:t xml:space="preserve">obreros </w:t>
      </w:r>
      <w:r w:rsidR="008E1801">
        <w:rPr>
          <w:rFonts w:cs="Arial"/>
          <w:color w:val="auto"/>
        </w:rPr>
        <w:t>crecie</w:t>
      </w:r>
      <w:r w:rsidR="00473343">
        <w:rPr>
          <w:rFonts w:cs="Arial"/>
          <w:color w:val="auto"/>
        </w:rPr>
        <w:t xml:space="preserve">ron </w:t>
      </w:r>
      <w:r w:rsidR="008E1801">
        <w:rPr>
          <w:rFonts w:cs="Arial"/>
          <w:color w:val="auto"/>
        </w:rPr>
        <w:t>20.6</w:t>
      </w:r>
      <w:r w:rsidR="00473343">
        <w:rPr>
          <w:rFonts w:cs="Arial"/>
          <w:color w:val="auto"/>
        </w:rPr>
        <w:t xml:space="preserve">% y las de </w:t>
      </w:r>
      <w:r w:rsidR="003938A2">
        <w:rPr>
          <w:rFonts w:cs="Arial"/>
          <w:color w:val="auto"/>
        </w:rPr>
        <w:t xml:space="preserve">los </w:t>
      </w:r>
      <w:r w:rsidR="009C0A18">
        <w:rPr>
          <w:rFonts w:cs="Arial"/>
          <w:color w:val="auto"/>
        </w:rPr>
        <w:t>empleado</w:t>
      </w:r>
      <w:r w:rsidR="00E97A15">
        <w:rPr>
          <w:rFonts w:cs="Arial"/>
          <w:color w:val="auto"/>
        </w:rPr>
        <w:t>s</w:t>
      </w:r>
      <w:r w:rsidR="009B6D1E" w:rsidRPr="00EF4780">
        <w:rPr>
          <w:rFonts w:cs="Arial"/>
          <w:color w:val="auto"/>
        </w:rPr>
        <w:t xml:space="preserve"> </w:t>
      </w:r>
      <w:r w:rsidR="008E1801">
        <w:rPr>
          <w:rFonts w:cs="Arial"/>
          <w:color w:val="auto"/>
        </w:rPr>
        <w:t>12.8</w:t>
      </w:r>
      <w:r w:rsidR="00CA7807">
        <w:rPr>
          <w:rFonts w:cs="Arial"/>
          <w:color w:val="auto"/>
        </w:rPr>
        <w:t>%</w:t>
      </w:r>
      <w:r w:rsidR="00473343">
        <w:rPr>
          <w:rFonts w:cs="Arial"/>
          <w:color w:val="auto"/>
        </w:rPr>
        <w:t xml:space="preserve"> mensual</w:t>
      </w:r>
      <w:r w:rsidR="00CF17FD">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301BCD7" w14:textId="1154BFF3"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C012E6">
        <w:rPr>
          <w:rFonts w:ascii="Arial" w:hAnsi="Arial"/>
          <w:b/>
          <w:smallCaps/>
          <w:color w:val="auto"/>
          <w:sz w:val="22"/>
          <w:szCs w:val="22"/>
        </w:rPr>
        <w:t xml:space="preserve"> </w:t>
      </w:r>
      <w:r w:rsidR="005763C8">
        <w:rPr>
          <w:rFonts w:ascii="Arial" w:hAnsi="Arial"/>
          <w:b/>
          <w:smallCaps/>
          <w:color w:val="auto"/>
          <w:sz w:val="22"/>
          <w:szCs w:val="22"/>
        </w:rPr>
        <w:t>juni</w:t>
      </w:r>
      <w:r w:rsidR="00C012E6">
        <w:rPr>
          <w:rFonts w:ascii="Arial" w:hAnsi="Arial"/>
          <w:b/>
          <w:smallCaps/>
          <w:color w:val="auto"/>
          <w:sz w:val="22"/>
          <w:szCs w:val="22"/>
        </w:rPr>
        <w:t>o</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74B6339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CE6C7A9" w14:textId="5104C849" w:rsidR="00095006" w:rsidRPr="004867D2" w:rsidRDefault="008E1801" w:rsidP="00205C32">
      <w:pPr>
        <w:widowControl w:val="0"/>
        <w:jc w:val="center"/>
        <w:rPr>
          <w:sz w:val="18"/>
        </w:rPr>
      </w:pPr>
      <w:r>
        <w:rPr>
          <w:noProof/>
          <w:lang w:val="es-MX" w:eastAsia="es-MX"/>
        </w:rPr>
        <w:drawing>
          <wp:inline distT="0" distB="0" distL="0" distR="0" wp14:anchorId="6A2A5427" wp14:editId="4B7F2081">
            <wp:extent cx="5040000" cy="2880000"/>
            <wp:effectExtent l="0" t="0" r="27305" b="1587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32C703E5" w14:textId="04618D50"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8E1801">
        <w:rPr>
          <w:rFonts w:cs="Arial"/>
          <w:color w:val="auto"/>
        </w:rPr>
        <w:t>asce</w:t>
      </w:r>
      <w:r w:rsidR="00C012E6">
        <w:rPr>
          <w:rFonts w:cs="Arial"/>
          <w:color w:val="auto"/>
        </w:rPr>
        <w:t>n</w:t>
      </w:r>
      <w:r w:rsidR="00061D51">
        <w:rPr>
          <w:rFonts w:cs="Arial"/>
          <w:color w:val="auto"/>
        </w:rPr>
        <w:t>dieron</w:t>
      </w:r>
      <w:r w:rsidR="00212421">
        <w:rPr>
          <w:rFonts w:cs="Arial"/>
          <w:color w:val="auto"/>
        </w:rPr>
        <w:t xml:space="preserve"> </w:t>
      </w:r>
      <w:r w:rsidR="008E1801">
        <w:rPr>
          <w:rFonts w:cs="Arial"/>
          <w:color w:val="auto"/>
        </w:rPr>
        <w:t>1.7</w:t>
      </w:r>
      <w:r w:rsidR="00212421">
        <w:rPr>
          <w:rFonts w:cs="Arial"/>
          <w:color w:val="auto"/>
        </w:rPr>
        <w:t xml:space="preserve">% </w:t>
      </w:r>
      <w:r w:rsidR="00D10328">
        <w:rPr>
          <w:rFonts w:cs="Arial"/>
          <w:color w:val="auto"/>
        </w:rPr>
        <w:t>en</w:t>
      </w:r>
      <w:r w:rsidR="00985D7A">
        <w:rPr>
          <w:rFonts w:cs="Arial"/>
          <w:color w:val="auto"/>
        </w:rPr>
        <w:t xml:space="preserve"> </w:t>
      </w:r>
      <w:r w:rsidR="00ED61FC">
        <w:rPr>
          <w:rFonts w:cs="Arial"/>
          <w:color w:val="auto"/>
        </w:rPr>
        <w:t xml:space="preserve">el </w:t>
      </w:r>
      <w:r w:rsidR="005763C8">
        <w:rPr>
          <w:rFonts w:cs="Arial"/>
          <w:color w:val="auto"/>
        </w:rPr>
        <w:t>sext</w:t>
      </w:r>
      <w:r w:rsidR="00061D51">
        <w:rPr>
          <w:rFonts w:cs="Arial"/>
          <w:color w:val="auto"/>
        </w:rPr>
        <w:t>o</w:t>
      </w:r>
      <w:r w:rsidR="00223E3F">
        <w:rPr>
          <w:rFonts w:cs="Arial"/>
          <w:color w:val="auto"/>
        </w:rPr>
        <w:t xml:space="preserve"> mes de</w:t>
      </w:r>
      <w:r w:rsidR="005763C8">
        <w:rPr>
          <w:rFonts w:cs="Arial"/>
          <w:color w:val="auto"/>
        </w:rPr>
        <w:t xml:space="preserve"> este </w:t>
      </w:r>
      <w:r w:rsidR="00223E3F">
        <w:rPr>
          <w:rFonts w:cs="Arial"/>
          <w:color w:val="auto"/>
        </w:rPr>
        <w:t>año</w:t>
      </w:r>
      <w:r w:rsidR="00C012E6">
        <w:rPr>
          <w:rFonts w:cs="Arial"/>
          <w:color w:val="auto"/>
        </w:rPr>
        <w:t xml:space="preserve"> </w:t>
      </w:r>
      <w:r w:rsidR="008B00EA">
        <w:rPr>
          <w:rFonts w:cs="Arial"/>
          <w:color w:val="auto"/>
        </w:rPr>
        <w:t>respecto</w:t>
      </w:r>
      <w:r w:rsidR="00262641">
        <w:rPr>
          <w:rFonts w:cs="Arial"/>
          <w:color w:val="auto"/>
        </w:rPr>
        <w:t xml:space="preserve"> a las de</w:t>
      </w:r>
      <w:r w:rsidR="005763C8">
        <w:rPr>
          <w:rFonts w:cs="Arial"/>
          <w:color w:val="auto"/>
        </w:rPr>
        <w:t>l mes precedente</w:t>
      </w:r>
      <w:r w:rsidRPr="00FB5BBC">
        <w:rPr>
          <w:rFonts w:cs="Arial"/>
          <w:color w:val="auto"/>
        </w:rPr>
        <w:t xml:space="preserve">.  De manera desagregada, </w:t>
      </w:r>
      <w:r w:rsidR="008E1801">
        <w:rPr>
          <w:rFonts w:cs="Arial"/>
          <w:color w:val="auto"/>
        </w:rPr>
        <w:t xml:space="preserve">los salarios pagados a obreros fueron superiores en 2.3% y </w:t>
      </w:r>
      <w:r w:rsidR="00F271AF" w:rsidRPr="00FB5BBC">
        <w:rPr>
          <w:rFonts w:cs="Arial"/>
          <w:color w:val="auto"/>
        </w:rPr>
        <w:t xml:space="preserve">los </w:t>
      </w:r>
      <w:r w:rsidR="00F271AF">
        <w:rPr>
          <w:rFonts w:cs="Arial"/>
          <w:color w:val="auto"/>
        </w:rPr>
        <w:t>sueldos</w:t>
      </w:r>
      <w:r w:rsidR="00F271AF" w:rsidRPr="00FB5BBC">
        <w:rPr>
          <w:rFonts w:cs="Arial"/>
          <w:color w:val="auto"/>
        </w:rPr>
        <w:t xml:space="preserve"> pagados a </w:t>
      </w:r>
      <w:r w:rsidR="00F271AF">
        <w:rPr>
          <w:rFonts w:cs="Arial"/>
          <w:color w:val="auto"/>
        </w:rPr>
        <w:t>empleados</w:t>
      </w:r>
      <w:r w:rsidR="00F271AF" w:rsidRPr="00FB5BBC">
        <w:rPr>
          <w:rFonts w:cs="Arial"/>
          <w:color w:val="auto"/>
        </w:rPr>
        <w:t xml:space="preserve"> </w:t>
      </w:r>
      <w:r w:rsidR="004F348A">
        <w:rPr>
          <w:rFonts w:cs="Arial"/>
          <w:color w:val="auto"/>
        </w:rPr>
        <w:t xml:space="preserve">en </w:t>
      </w:r>
      <w:r w:rsidR="008E1801">
        <w:rPr>
          <w:rFonts w:cs="Arial"/>
          <w:color w:val="auto"/>
        </w:rPr>
        <w:t>1</w:t>
      </w:r>
      <w:r w:rsidR="00F271AF">
        <w:rPr>
          <w:rFonts w:cs="Arial"/>
          <w:color w:val="auto"/>
        </w:rPr>
        <w:t>.6</w:t>
      </w:r>
      <w:r w:rsidR="00C70054">
        <w:rPr>
          <w:rFonts w:cs="Arial"/>
          <w:color w:val="auto"/>
        </w:rPr>
        <w:t>%</w:t>
      </w:r>
      <w:r w:rsidR="008E1801">
        <w:rPr>
          <w:rFonts w:cs="Arial"/>
          <w:color w:val="auto"/>
        </w:rPr>
        <w:t xml:space="preserve">, mientras que </w:t>
      </w:r>
      <w:r w:rsidR="004F348A">
        <w:rPr>
          <w:rFonts w:cs="Arial"/>
          <w:color w:val="auto"/>
        </w:rPr>
        <w:t xml:space="preserve">las </w:t>
      </w:r>
      <w:r w:rsidR="00212421" w:rsidRPr="00FB5BBC">
        <w:rPr>
          <w:rFonts w:cs="Arial"/>
          <w:color w:val="auto"/>
        </w:rPr>
        <w:t>prestaciones sociales</w:t>
      </w:r>
      <w:r w:rsidR="009C0A18">
        <w:rPr>
          <w:rFonts w:cs="Arial"/>
          <w:color w:val="auto"/>
        </w:rPr>
        <w:t xml:space="preserve"> </w:t>
      </w:r>
      <w:r w:rsidR="008E1801">
        <w:rPr>
          <w:rFonts w:cs="Arial"/>
          <w:color w:val="auto"/>
        </w:rPr>
        <w:t>no registraron variación</w:t>
      </w:r>
      <w:r w:rsidR="004F348A">
        <w:rPr>
          <w:rFonts w:cs="Arial"/>
          <w:color w:val="auto"/>
        </w:rPr>
        <w:t xml:space="preserve"> </w:t>
      </w:r>
      <w:r w:rsidR="00CA7807">
        <w:rPr>
          <w:rFonts w:cs="Arial"/>
          <w:color w:val="auto"/>
        </w:rPr>
        <w:t>a</w:t>
      </w:r>
      <w:r w:rsidR="00E52B7F" w:rsidRPr="00FB5BBC">
        <w:rPr>
          <w:rFonts w:cs="Arial"/>
          <w:color w:val="auto"/>
        </w:rPr>
        <w:t xml:space="preserve">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7FFD4D43" w14:textId="630E8D9E"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C012E6">
        <w:rPr>
          <w:rFonts w:ascii="Arial" w:hAnsi="Arial"/>
          <w:b/>
          <w:smallCaps/>
          <w:color w:val="auto"/>
          <w:sz w:val="22"/>
          <w:szCs w:val="22"/>
        </w:rPr>
        <w:t xml:space="preserve"> </w:t>
      </w:r>
      <w:r w:rsidR="005763C8">
        <w:rPr>
          <w:rFonts w:ascii="Arial" w:hAnsi="Arial"/>
          <w:b/>
          <w:smallCaps/>
          <w:color w:val="auto"/>
          <w:sz w:val="22"/>
          <w:szCs w:val="22"/>
        </w:rPr>
        <w:t>juni</w:t>
      </w:r>
      <w:r w:rsidR="00C012E6">
        <w:rPr>
          <w:rFonts w:ascii="Arial" w:hAnsi="Arial"/>
          <w:b/>
          <w:smallCaps/>
          <w:color w:val="auto"/>
          <w:sz w:val="22"/>
          <w:szCs w:val="22"/>
        </w:rPr>
        <w:t>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3389FAA0" w14:textId="17831799"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8E1801">
        <w:rPr>
          <w:noProof/>
          <w:lang w:val="es-MX" w:eastAsia="es-MX"/>
        </w:rPr>
        <w:drawing>
          <wp:inline distT="0" distB="0" distL="0" distR="0" wp14:anchorId="1826C943" wp14:editId="72CA40FB">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AC8BB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58A0344" w14:textId="1C85C35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5763C8">
        <w:rPr>
          <w:rFonts w:ascii="Arial" w:hAnsi="Arial" w:cs="Arial"/>
          <w:b/>
          <w:i w:val="0"/>
          <w:smallCaps/>
          <w:color w:val="auto"/>
          <w:sz w:val="22"/>
          <w:szCs w:val="22"/>
        </w:rPr>
        <w:t>juni</w:t>
      </w:r>
      <w:r w:rsidR="00C012E6">
        <w:rPr>
          <w:rFonts w:ascii="Arial" w:hAnsi="Arial" w:cs="Arial"/>
          <w:b/>
          <w:i w:val="0"/>
          <w:smallCaps/>
          <w:color w:val="auto"/>
          <w:sz w:val="22"/>
          <w:szCs w:val="22"/>
        </w:rPr>
        <w:t>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20</w:t>
      </w:r>
    </w:p>
    <w:p w14:paraId="7AAC36D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4C0A67" w:rsidRPr="002F45F6" w14:paraId="40EB1C7F" w14:textId="77777777" w:rsidTr="004C0A67">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4C0A67" w:rsidRPr="006908C7" w:rsidRDefault="004C0A67" w:rsidP="004C0A67">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4C0A67" w:rsidRPr="006908C7" w:rsidRDefault="004C0A67" w:rsidP="004C0A67">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4EE9B83D" w:rsidR="004C0A67" w:rsidRDefault="004C0A67" w:rsidP="003F20E2">
            <w:pPr>
              <w:tabs>
                <w:tab w:val="left" w:pos="122"/>
                <w:tab w:val="decimal" w:pos="497"/>
              </w:tabs>
              <w:jc w:val="left"/>
              <w:rPr>
                <w:b/>
                <w:bCs/>
                <w:color w:val="000000"/>
                <w:sz w:val="16"/>
                <w:szCs w:val="16"/>
                <w:lang w:val="es-MX" w:eastAsia="es-MX"/>
              </w:rPr>
            </w:pPr>
            <w:r>
              <w:rPr>
                <w:b/>
                <w:bCs/>
                <w:color w:val="000000"/>
                <w:sz w:val="16"/>
                <w:szCs w:val="16"/>
              </w:rPr>
              <w:tab/>
              <w:t>(-)</w:t>
            </w:r>
            <w:r>
              <w:rPr>
                <w:b/>
                <w:bCs/>
                <w:color w:val="000000"/>
                <w:sz w:val="16"/>
                <w:szCs w:val="16"/>
              </w:rPr>
              <w:tab/>
              <w:t>5.7</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024AF654" w:rsidR="004C0A67" w:rsidRDefault="004C0A67" w:rsidP="003F20E2">
            <w:pPr>
              <w:tabs>
                <w:tab w:val="left" w:pos="137"/>
                <w:tab w:val="decimal" w:pos="529"/>
              </w:tabs>
              <w:jc w:val="left"/>
              <w:rPr>
                <w:b/>
                <w:bCs/>
                <w:color w:val="000000"/>
                <w:sz w:val="16"/>
                <w:szCs w:val="16"/>
              </w:rPr>
            </w:pPr>
            <w:r>
              <w:rPr>
                <w:b/>
                <w:bCs/>
                <w:color w:val="000000"/>
                <w:sz w:val="16"/>
                <w:szCs w:val="16"/>
              </w:rPr>
              <w:tab/>
              <w:t>(-)</w:t>
            </w:r>
            <w:r>
              <w:rPr>
                <w:b/>
                <w:bCs/>
                <w:color w:val="000000"/>
                <w:sz w:val="16"/>
                <w:szCs w:val="16"/>
              </w:rPr>
              <w:tab/>
              <w:t>12.7</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62559116" w:rsidR="004C0A67" w:rsidRDefault="004C0A67" w:rsidP="003F20E2">
            <w:pPr>
              <w:tabs>
                <w:tab w:val="left" w:pos="96"/>
                <w:tab w:val="decimal" w:pos="488"/>
              </w:tabs>
              <w:jc w:val="left"/>
              <w:rPr>
                <w:b/>
                <w:bCs/>
                <w:color w:val="000000"/>
                <w:sz w:val="16"/>
                <w:szCs w:val="16"/>
              </w:rPr>
            </w:pPr>
            <w:r>
              <w:rPr>
                <w:b/>
                <w:bCs/>
                <w:color w:val="000000"/>
                <w:sz w:val="16"/>
                <w:szCs w:val="16"/>
              </w:rPr>
              <w:tab/>
              <w:t>(-)</w:t>
            </w:r>
            <w:r>
              <w:rPr>
                <w:b/>
                <w:bCs/>
                <w:color w:val="000000"/>
                <w:sz w:val="16"/>
                <w:szCs w:val="16"/>
              </w:rPr>
              <w:tab/>
              <w:t>0.8</w:t>
            </w:r>
          </w:p>
        </w:tc>
      </w:tr>
      <w:tr w:rsidR="004C0A67" w:rsidRPr="002F45F6" w14:paraId="137F3214"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4C0A67" w:rsidRPr="004867D2" w:rsidRDefault="004C0A67" w:rsidP="004C0A67">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65E9655E"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6.2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25ADD466"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13.4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3539F5FB"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1.9</w:t>
            </w:r>
          </w:p>
        </w:tc>
      </w:tr>
      <w:tr w:rsidR="004C0A67" w:rsidRPr="002F45F6" w14:paraId="448ECA6E"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4C0A67" w:rsidRPr="004867D2" w:rsidRDefault="004C0A67" w:rsidP="004C0A67">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863FBE1"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3.7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604320DC"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4C232C43"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1.7</w:t>
            </w:r>
          </w:p>
        </w:tc>
      </w:tr>
      <w:tr w:rsidR="004C0A67" w:rsidRPr="002F45F6" w14:paraId="0561811F"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4C0A67" w:rsidRPr="004867D2" w:rsidRDefault="004C0A67" w:rsidP="004C0A67">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132E23C8" w:rsidR="004C0A67" w:rsidRDefault="004C0A67" w:rsidP="003F20E2">
            <w:pPr>
              <w:tabs>
                <w:tab w:val="left" w:pos="122"/>
                <w:tab w:val="decimal" w:pos="497"/>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77777777" w:rsidR="004C0A67" w:rsidRDefault="004C0A67" w:rsidP="003F20E2">
            <w:pPr>
              <w:tabs>
                <w:tab w:val="left" w:pos="137"/>
                <w:tab w:val="decimal" w:pos="529"/>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0A6769D2" w:rsidR="004C0A67" w:rsidRDefault="004C0A67" w:rsidP="003F20E2">
            <w:pPr>
              <w:tabs>
                <w:tab w:val="decimal" w:pos="488"/>
              </w:tabs>
              <w:jc w:val="left"/>
              <w:rPr>
                <w:color w:val="000000"/>
                <w:sz w:val="16"/>
                <w:szCs w:val="16"/>
              </w:rPr>
            </w:pPr>
            <w:r>
              <w:rPr>
                <w:color w:val="000000"/>
                <w:sz w:val="16"/>
                <w:szCs w:val="16"/>
              </w:rPr>
              <w:t>1.1</w:t>
            </w:r>
          </w:p>
        </w:tc>
      </w:tr>
      <w:tr w:rsidR="004C0A67" w:rsidRPr="002F45F6" w14:paraId="3DBCB6E7"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4C0A67" w:rsidRPr="006908C7" w:rsidRDefault="004C0A67" w:rsidP="004C0A67">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4C0A67" w:rsidRPr="006908C7" w:rsidRDefault="004C0A67" w:rsidP="004C0A67">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69480E0C" w:rsidR="004C0A67" w:rsidRDefault="004C0A67" w:rsidP="003F20E2">
            <w:pPr>
              <w:tabs>
                <w:tab w:val="left" w:pos="122"/>
                <w:tab w:val="decimal" w:pos="497"/>
              </w:tabs>
              <w:jc w:val="left"/>
              <w:rPr>
                <w:b/>
                <w:bCs/>
                <w:color w:val="000000"/>
                <w:sz w:val="16"/>
                <w:szCs w:val="16"/>
              </w:rPr>
            </w:pPr>
            <w:r>
              <w:rPr>
                <w:b/>
                <w:bCs/>
                <w:color w:val="000000"/>
                <w:sz w:val="16"/>
                <w:szCs w:val="16"/>
              </w:rPr>
              <w:tab/>
              <w:t>(-)</w:t>
            </w:r>
            <w:r>
              <w:rPr>
                <w:b/>
                <w:bCs/>
                <w:color w:val="000000"/>
                <w:sz w:val="16"/>
                <w:szCs w:val="16"/>
              </w:rPr>
              <w:tab/>
              <w:t>5.7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6DAE1743" w:rsidR="004C0A67" w:rsidRDefault="004C0A67" w:rsidP="003F20E2">
            <w:pPr>
              <w:tabs>
                <w:tab w:val="left" w:pos="137"/>
                <w:tab w:val="decimal" w:pos="529"/>
              </w:tabs>
              <w:jc w:val="left"/>
              <w:rPr>
                <w:b/>
                <w:bCs/>
                <w:color w:val="000000"/>
                <w:sz w:val="16"/>
                <w:szCs w:val="16"/>
              </w:rPr>
            </w:pPr>
            <w:r>
              <w:rPr>
                <w:b/>
                <w:bCs/>
                <w:color w:val="000000"/>
                <w:sz w:val="16"/>
                <w:szCs w:val="16"/>
              </w:rPr>
              <w:tab/>
              <w:t>(-)</w:t>
            </w:r>
            <w:r>
              <w:rPr>
                <w:b/>
                <w:bCs/>
                <w:color w:val="000000"/>
                <w:sz w:val="16"/>
                <w:szCs w:val="16"/>
              </w:rPr>
              <w:tab/>
              <w:t>12.7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27C4C3FE" w:rsidR="004C0A67" w:rsidRDefault="004C0A67" w:rsidP="003F20E2">
            <w:pPr>
              <w:tabs>
                <w:tab w:val="left" w:pos="96"/>
                <w:tab w:val="decimal" w:pos="488"/>
              </w:tabs>
              <w:jc w:val="left"/>
              <w:rPr>
                <w:b/>
                <w:bCs/>
                <w:color w:val="000000"/>
                <w:sz w:val="16"/>
                <w:szCs w:val="16"/>
              </w:rPr>
            </w:pPr>
            <w:r>
              <w:rPr>
                <w:b/>
                <w:bCs/>
                <w:color w:val="000000"/>
                <w:sz w:val="16"/>
                <w:szCs w:val="16"/>
              </w:rPr>
              <w:tab/>
              <w:t>(-)</w:t>
            </w:r>
            <w:r>
              <w:rPr>
                <w:b/>
                <w:bCs/>
                <w:color w:val="000000"/>
                <w:sz w:val="16"/>
                <w:szCs w:val="16"/>
              </w:rPr>
              <w:tab/>
              <w:t>0.8</w:t>
            </w:r>
          </w:p>
        </w:tc>
      </w:tr>
      <w:tr w:rsidR="004C0A67" w:rsidRPr="002F45F6" w14:paraId="02A68EE1"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01F1D30D"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1B03746F"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1553D3A6" w:rsidR="004C0A67" w:rsidRDefault="004C0A67" w:rsidP="003F20E2">
            <w:pPr>
              <w:tabs>
                <w:tab w:val="decimal" w:pos="488"/>
              </w:tabs>
              <w:jc w:val="left"/>
              <w:rPr>
                <w:color w:val="000000"/>
                <w:sz w:val="16"/>
                <w:szCs w:val="16"/>
              </w:rPr>
            </w:pPr>
            <w:r>
              <w:rPr>
                <w:color w:val="000000"/>
                <w:sz w:val="16"/>
                <w:szCs w:val="16"/>
              </w:rPr>
              <w:t>1.3</w:t>
            </w:r>
          </w:p>
        </w:tc>
      </w:tr>
      <w:tr w:rsidR="004C0A67" w:rsidRPr="002F45F6" w14:paraId="0AA1E476"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1AD61559" w:rsidR="004C0A67" w:rsidRDefault="004C0A67" w:rsidP="003F20E2">
            <w:pPr>
              <w:tabs>
                <w:tab w:val="decimal" w:pos="497"/>
              </w:tabs>
              <w:jc w:val="left"/>
              <w:rPr>
                <w:color w:val="000000"/>
                <w:sz w:val="16"/>
                <w:szCs w:val="16"/>
              </w:rPr>
            </w:pPr>
            <w:r>
              <w:rPr>
                <w:color w:val="000000"/>
                <w:sz w:val="16"/>
                <w:szCs w:val="16"/>
              </w:rPr>
              <w:t>0.0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1FD0E7DE"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0.6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5FEAE8D7"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2.0</w:t>
            </w:r>
          </w:p>
        </w:tc>
      </w:tr>
      <w:tr w:rsidR="004C0A67" w:rsidRPr="002F45F6" w14:paraId="765BCA39"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04F2EF5C"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F308A31"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45.2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0D296503"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12.4</w:t>
            </w:r>
          </w:p>
        </w:tc>
      </w:tr>
      <w:tr w:rsidR="004C0A67" w:rsidRPr="002F45F6" w14:paraId="2E6362A4"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2592A556"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22E81EC3"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25.2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6C2F6934" w:rsidR="004C0A67" w:rsidRDefault="004C0A67" w:rsidP="003F20E2">
            <w:pPr>
              <w:tabs>
                <w:tab w:val="decimal" w:pos="488"/>
              </w:tabs>
              <w:jc w:val="left"/>
              <w:rPr>
                <w:color w:val="000000"/>
                <w:sz w:val="16"/>
                <w:szCs w:val="16"/>
              </w:rPr>
            </w:pPr>
            <w:r>
              <w:rPr>
                <w:color w:val="000000"/>
                <w:sz w:val="16"/>
                <w:szCs w:val="16"/>
              </w:rPr>
              <w:t>1.3</w:t>
            </w:r>
          </w:p>
        </w:tc>
      </w:tr>
      <w:tr w:rsidR="004C0A67" w:rsidRPr="002F45F6" w14:paraId="233A0BC9"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5D92BEA3"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13.7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10C64214"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36.4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1013BF83"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12.9</w:t>
            </w:r>
          </w:p>
        </w:tc>
      </w:tr>
      <w:tr w:rsidR="004C0A67" w:rsidRPr="002F45F6" w14:paraId="5208CE1B"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4C0A67" w:rsidRPr="004867D2" w:rsidRDefault="004C0A67" w:rsidP="004C0A67">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7976F8BF"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17.1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615199B4"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43.8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31DC7A79"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9.4</w:t>
            </w:r>
          </w:p>
        </w:tc>
      </w:tr>
      <w:tr w:rsidR="004C0A67" w:rsidRPr="002F45F6" w14:paraId="6E73DB34"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4C0A67" w:rsidRPr="004867D2" w:rsidRDefault="004C0A67" w:rsidP="004C0A67">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01F3303E"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9.2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15A66421"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23.1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03C2ED4B"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1.9</w:t>
            </w:r>
          </w:p>
        </w:tc>
      </w:tr>
      <w:tr w:rsidR="004C0A67" w:rsidRPr="002F45F6" w14:paraId="4CF12556"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4C0A67" w:rsidRPr="004867D2" w:rsidRDefault="004C0A67" w:rsidP="004C0A67">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2FA279D7"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47BAD49A"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9.7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05C21E65" w:rsidR="004C0A67" w:rsidRDefault="004C0A67" w:rsidP="003F20E2">
            <w:pPr>
              <w:tabs>
                <w:tab w:val="decimal" w:pos="488"/>
              </w:tabs>
              <w:jc w:val="left"/>
              <w:rPr>
                <w:color w:val="000000"/>
                <w:sz w:val="16"/>
                <w:szCs w:val="16"/>
              </w:rPr>
            </w:pPr>
            <w:r>
              <w:rPr>
                <w:color w:val="000000"/>
                <w:sz w:val="16"/>
                <w:szCs w:val="16"/>
              </w:rPr>
              <w:t>0.0</w:t>
            </w:r>
          </w:p>
        </w:tc>
      </w:tr>
      <w:tr w:rsidR="004C0A67" w:rsidRPr="002F45F6" w14:paraId="0419FE7E"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4C0A67" w:rsidRPr="004867D2" w:rsidRDefault="004C0A67" w:rsidP="004C0A67">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36E2B17B"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1A880D81"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21.4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343D6B67"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3.3</w:t>
            </w:r>
          </w:p>
        </w:tc>
      </w:tr>
      <w:tr w:rsidR="004C0A67" w:rsidRPr="002F45F6" w14:paraId="54B678E0"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4C0A67" w:rsidRPr="004867D2" w:rsidRDefault="004C0A67" w:rsidP="004C0A67">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56C79087"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4B07D749"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8.1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16D189C5"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8.5</w:t>
            </w:r>
          </w:p>
        </w:tc>
      </w:tr>
      <w:tr w:rsidR="004C0A67" w:rsidRPr="002F45F6" w14:paraId="1D900A95"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11D53A0D"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4E304F3C"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4.4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2E5F2AFA"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1.4</w:t>
            </w:r>
          </w:p>
        </w:tc>
      </w:tr>
      <w:tr w:rsidR="004C0A67" w:rsidRPr="002F45F6" w14:paraId="69CF12C9"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163D8F7"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6.8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4D799F47"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324F93AB"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0.1</w:t>
            </w:r>
          </w:p>
        </w:tc>
      </w:tr>
      <w:tr w:rsidR="004C0A67" w:rsidRPr="002F45F6" w14:paraId="7469AF34"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1788588E"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4.3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4F633F51"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12.2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44BAFBC8"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2.7</w:t>
            </w:r>
          </w:p>
        </w:tc>
      </w:tr>
      <w:tr w:rsidR="004C0A67" w:rsidRPr="002F45F6" w14:paraId="13A108B6"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1926B746"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5.1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40F4D830"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554AC09A" w:rsidR="004C0A67" w:rsidRDefault="004C0A67" w:rsidP="003F20E2">
            <w:pPr>
              <w:tabs>
                <w:tab w:val="decimal" w:pos="488"/>
              </w:tabs>
              <w:jc w:val="left"/>
              <w:rPr>
                <w:color w:val="000000"/>
                <w:sz w:val="16"/>
                <w:szCs w:val="16"/>
              </w:rPr>
            </w:pPr>
            <w:r>
              <w:rPr>
                <w:color w:val="000000"/>
                <w:sz w:val="16"/>
                <w:szCs w:val="16"/>
              </w:rPr>
              <w:t>0.6</w:t>
            </w:r>
          </w:p>
        </w:tc>
      </w:tr>
      <w:tr w:rsidR="004C0A67" w:rsidRPr="002F45F6" w14:paraId="697656C5"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54D9E1EF"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6.9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0D364255"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7F6ACBA0" w:rsidR="004C0A67" w:rsidRDefault="004C0A67" w:rsidP="003F20E2">
            <w:pPr>
              <w:tabs>
                <w:tab w:val="decimal" w:pos="488"/>
              </w:tabs>
              <w:jc w:val="left"/>
              <w:rPr>
                <w:color w:val="000000"/>
                <w:sz w:val="16"/>
                <w:szCs w:val="16"/>
              </w:rPr>
            </w:pPr>
            <w:r>
              <w:rPr>
                <w:color w:val="000000"/>
                <w:sz w:val="16"/>
                <w:szCs w:val="16"/>
              </w:rPr>
              <w:t>3.3</w:t>
            </w:r>
          </w:p>
        </w:tc>
      </w:tr>
      <w:tr w:rsidR="004C0A67" w:rsidRPr="002F45F6" w14:paraId="7E94879D"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658E3F44"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8.3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20A1B9FF"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3D0F3D69" w:rsidR="004C0A67" w:rsidRDefault="004C0A67" w:rsidP="003F20E2">
            <w:pPr>
              <w:tabs>
                <w:tab w:val="decimal" w:pos="488"/>
              </w:tabs>
              <w:jc w:val="left"/>
              <w:rPr>
                <w:color w:val="000000"/>
                <w:sz w:val="16"/>
                <w:szCs w:val="16"/>
              </w:rPr>
            </w:pPr>
            <w:r>
              <w:rPr>
                <w:color w:val="000000"/>
                <w:sz w:val="16"/>
                <w:szCs w:val="16"/>
              </w:rPr>
              <w:t>4.1</w:t>
            </w:r>
          </w:p>
        </w:tc>
      </w:tr>
      <w:tr w:rsidR="004C0A67" w:rsidRPr="002F45F6" w14:paraId="7FB23894"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4C0A67" w:rsidRPr="004867D2" w:rsidRDefault="004C0A67" w:rsidP="004C0A67">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1AD4FF6E"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4.9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5BF766F2"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8.8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0AF9FAA6" w:rsidR="004C0A67" w:rsidRDefault="004C0A67" w:rsidP="003F20E2">
            <w:pPr>
              <w:tabs>
                <w:tab w:val="decimal" w:pos="488"/>
              </w:tabs>
              <w:jc w:val="left"/>
              <w:rPr>
                <w:color w:val="000000"/>
                <w:sz w:val="16"/>
                <w:szCs w:val="16"/>
              </w:rPr>
            </w:pPr>
            <w:r>
              <w:rPr>
                <w:color w:val="000000"/>
                <w:sz w:val="16"/>
                <w:szCs w:val="16"/>
              </w:rPr>
              <w:t>3.3</w:t>
            </w:r>
          </w:p>
        </w:tc>
      </w:tr>
      <w:tr w:rsidR="004C0A67" w:rsidRPr="002F45F6" w14:paraId="55D44C97"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3CAB5379"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1BEF6CF9"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7.1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740AD87E" w:rsidR="004C0A67" w:rsidRDefault="004C0A67" w:rsidP="003F20E2">
            <w:pPr>
              <w:tabs>
                <w:tab w:val="decimal" w:pos="488"/>
              </w:tabs>
              <w:jc w:val="left"/>
              <w:rPr>
                <w:color w:val="000000"/>
                <w:sz w:val="16"/>
                <w:szCs w:val="16"/>
              </w:rPr>
            </w:pPr>
            <w:r>
              <w:rPr>
                <w:color w:val="000000"/>
                <w:sz w:val="16"/>
                <w:szCs w:val="16"/>
              </w:rPr>
              <w:t>1.1</w:t>
            </w:r>
          </w:p>
        </w:tc>
      </w:tr>
      <w:tr w:rsidR="004C0A67" w:rsidRPr="002F45F6" w14:paraId="042ADE4D"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2EA803F2"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8.9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2DB5F5B4"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17.6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63EBCC24"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4.4</w:t>
            </w:r>
          </w:p>
        </w:tc>
      </w:tr>
      <w:tr w:rsidR="004C0A67" w:rsidRPr="002F45F6" w14:paraId="32764628" w14:textId="77777777" w:rsidTr="004C0A67">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68304816" w:rsidR="004C0A67" w:rsidRDefault="004C0A67" w:rsidP="003F20E2">
            <w:pPr>
              <w:tabs>
                <w:tab w:val="left" w:pos="122"/>
                <w:tab w:val="decimal" w:pos="497"/>
              </w:tabs>
              <w:jc w:val="left"/>
              <w:rPr>
                <w:color w:val="000000"/>
                <w:sz w:val="16"/>
                <w:szCs w:val="16"/>
              </w:rPr>
            </w:pPr>
            <w:r>
              <w:rPr>
                <w:color w:val="000000"/>
                <w:sz w:val="16"/>
                <w:szCs w:val="16"/>
              </w:rPr>
              <w:tab/>
              <w:t>(-)</w:t>
            </w:r>
            <w:r>
              <w:rPr>
                <w:color w:val="000000"/>
                <w:sz w:val="16"/>
                <w:szCs w:val="16"/>
              </w:rPr>
              <w:tab/>
              <w:t>10.4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046A0A15"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17.3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0358ADB4" w:rsidR="004C0A67" w:rsidRDefault="004C0A67" w:rsidP="003F20E2">
            <w:pPr>
              <w:tabs>
                <w:tab w:val="left" w:pos="96"/>
                <w:tab w:val="decimal" w:pos="488"/>
              </w:tabs>
              <w:jc w:val="left"/>
              <w:rPr>
                <w:color w:val="000000"/>
                <w:sz w:val="16"/>
                <w:szCs w:val="16"/>
              </w:rPr>
            </w:pPr>
            <w:r>
              <w:rPr>
                <w:color w:val="000000"/>
                <w:sz w:val="16"/>
                <w:szCs w:val="16"/>
              </w:rPr>
              <w:tab/>
              <w:t>(-)</w:t>
            </w:r>
            <w:r>
              <w:rPr>
                <w:color w:val="000000"/>
                <w:sz w:val="16"/>
                <w:szCs w:val="16"/>
              </w:rPr>
              <w:tab/>
              <w:t>2.4</w:t>
            </w:r>
          </w:p>
        </w:tc>
      </w:tr>
      <w:tr w:rsidR="004C0A67" w:rsidRPr="002F45F6" w14:paraId="4C1EF3DA" w14:textId="77777777" w:rsidTr="004C0A67">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4C0A67" w:rsidRPr="004867D2" w:rsidRDefault="004C0A67" w:rsidP="004C0A67">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4C0A67" w:rsidRPr="004867D2" w:rsidRDefault="004C0A67" w:rsidP="004C0A67">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5097851C" w:rsidR="004C0A67" w:rsidRDefault="004C0A67" w:rsidP="003F20E2">
            <w:pPr>
              <w:tabs>
                <w:tab w:val="decimal" w:pos="497"/>
              </w:tabs>
              <w:jc w:val="left"/>
              <w:rPr>
                <w:color w:val="000000"/>
                <w:sz w:val="16"/>
                <w:szCs w:val="16"/>
              </w:rPr>
            </w:pPr>
            <w:r>
              <w:rPr>
                <w:color w:val="000000"/>
                <w:sz w:val="16"/>
                <w:szCs w:val="16"/>
              </w:rPr>
              <w:t>2.4</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09E54B64" w:rsidR="004C0A67" w:rsidRDefault="004C0A67" w:rsidP="003F20E2">
            <w:pPr>
              <w:tabs>
                <w:tab w:val="left" w:pos="137"/>
                <w:tab w:val="decimal" w:pos="529"/>
              </w:tabs>
              <w:jc w:val="left"/>
              <w:rPr>
                <w:color w:val="000000"/>
                <w:sz w:val="16"/>
                <w:szCs w:val="16"/>
              </w:rPr>
            </w:pPr>
            <w:r>
              <w:rPr>
                <w:color w:val="000000"/>
                <w:sz w:val="16"/>
                <w:szCs w:val="16"/>
              </w:rPr>
              <w:tab/>
              <w:t>(-)</w:t>
            </w:r>
            <w:r>
              <w:rPr>
                <w:color w:val="000000"/>
                <w:sz w:val="16"/>
                <w:szCs w:val="16"/>
              </w:rPr>
              <w:tab/>
              <w:t>3.3</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61EC3011" w:rsidR="004C0A67" w:rsidRDefault="004C0A67" w:rsidP="003F20E2">
            <w:pPr>
              <w:tabs>
                <w:tab w:val="decimal" w:pos="488"/>
              </w:tabs>
              <w:jc w:val="left"/>
              <w:rPr>
                <w:color w:val="000000"/>
                <w:sz w:val="16"/>
                <w:szCs w:val="16"/>
              </w:rPr>
            </w:pPr>
            <w:r>
              <w:rPr>
                <w:color w:val="000000"/>
                <w:sz w:val="16"/>
                <w:szCs w:val="16"/>
              </w:rPr>
              <w:t>5.3</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598A982F"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D2B701A"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0C23F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6C0F71C9" w:rsidR="005D7A99" w:rsidRPr="00C168B2" w:rsidRDefault="005763C8" w:rsidP="005D7A99">
            <w:pPr>
              <w:tabs>
                <w:tab w:val="left" w:pos="993"/>
              </w:tabs>
              <w:snapToGrid w:val="0"/>
              <w:spacing w:before="60" w:after="60"/>
              <w:ind w:left="-113" w:right="-113"/>
              <w:jc w:val="center"/>
              <w:rPr>
                <w:sz w:val="16"/>
                <w:szCs w:val="16"/>
                <w:lang w:val="es-MX" w:eastAsia="es-MX"/>
              </w:rPr>
            </w:pPr>
            <w:r>
              <w:rPr>
                <w:sz w:val="16"/>
                <w:szCs w:val="16"/>
                <w:lang w:val="es-MX" w:eastAsia="es-MX"/>
              </w:rPr>
              <w:t>Juni</w:t>
            </w:r>
            <w:r w:rsidR="005D7A99">
              <w:rPr>
                <w:sz w:val="16"/>
                <w:szCs w:val="16"/>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0C23F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0C23F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0C23F9">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77777777" w:rsidR="005D7A99" w:rsidRPr="00C168B2" w:rsidRDefault="005D7A99" w:rsidP="000C23F9">
            <w:pPr>
              <w:tabs>
                <w:tab w:val="left" w:pos="993"/>
              </w:tabs>
              <w:snapToGrid w:val="0"/>
              <w:spacing w:before="60" w:after="60"/>
              <w:jc w:val="center"/>
              <w:rPr>
                <w:sz w:val="16"/>
                <w:szCs w:val="16"/>
                <w:lang w:val="es-MX" w:eastAsia="es-MX"/>
              </w:rPr>
            </w:pPr>
            <w:r w:rsidRPr="00C168B2">
              <w:rPr>
                <w:sz w:val="16"/>
                <w:szCs w:val="16"/>
                <w:lang w:val="es-MX" w:eastAsia="es-MX"/>
              </w:rPr>
              <w:t>201</w:t>
            </w:r>
            <w:r>
              <w:rPr>
                <w:sz w:val="16"/>
                <w:szCs w:val="16"/>
                <w:lang w:val="es-MX" w:eastAsia="es-MX"/>
              </w:rPr>
              <w:t>9</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77777777" w:rsidR="005D7A99" w:rsidRPr="00C168B2" w:rsidRDefault="005D7A99" w:rsidP="000C23F9">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20</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0C23F9">
            <w:pPr>
              <w:snapToGrid w:val="0"/>
              <w:spacing w:before="60" w:after="60"/>
              <w:jc w:val="center"/>
              <w:rPr>
                <w:sz w:val="16"/>
                <w:szCs w:val="16"/>
                <w:lang w:val="es-MX" w:eastAsia="es-MX"/>
              </w:rPr>
            </w:pPr>
          </w:p>
        </w:tc>
      </w:tr>
      <w:tr w:rsidR="004C0A67" w:rsidRPr="00C168B2" w14:paraId="525B2FBF" w14:textId="77777777" w:rsidTr="004C0A67">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4C0A67" w:rsidRPr="00C168B2" w:rsidRDefault="004C0A67" w:rsidP="004C0A67">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4C0A67" w:rsidRPr="00C168B2" w:rsidRDefault="004C0A67" w:rsidP="004C0A67">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3E37A1ED" w:rsidR="004C0A67" w:rsidRDefault="004C0A67" w:rsidP="004C0A67">
            <w:pPr>
              <w:tabs>
                <w:tab w:val="decimal" w:pos="300"/>
              </w:tabs>
              <w:jc w:val="left"/>
              <w:rPr>
                <w:b/>
                <w:bCs/>
                <w:color w:val="000000"/>
                <w:sz w:val="16"/>
                <w:szCs w:val="16"/>
                <w:lang w:val="es-MX" w:eastAsia="es-MX"/>
              </w:rPr>
            </w:pPr>
            <w:r>
              <w:rPr>
                <w:b/>
                <w:bCs/>
                <w:color w:val="000000"/>
                <w:sz w:val="16"/>
                <w:szCs w:val="16"/>
              </w:rPr>
              <w:t>81.3</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316919E6" w:rsidR="004C0A67" w:rsidRDefault="004C0A67" w:rsidP="004C0A67">
            <w:pPr>
              <w:tabs>
                <w:tab w:val="decimal" w:pos="300"/>
              </w:tabs>
              <w:jc w:val="left"/>
              <w:rPr>
                <w:b/>
                <w:bCs/>
                <w:color w:val="000000"/>
                <w:sz w:val="16"/>
                <w:szCs w:val="16"/>
              </w:rPr>
            </w:pPr>
            <w:r>
              <w:rPr>
                <w:b/>
                <w:bCs/>
                <w:color w:val="000000"/>
                <w:sz w:val="16"/>
                <w:szCs w:val="16"/>
              </w:rPr>
              <w:t>66.2</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18793B27" w:rsidR="004C0A67" w:rsidRDefault="004C0A67" w:rsidP="004C0A67">
            <w:pPr>
              <w:tabs>
                <w:tab w:val="left" w:pos="40"/>
                <w:tab w:val="decimal" w:pos="419"/>
              </w:tabs>
              <w:jc w:val="left"/>
              <w:rPr>
                <w:b/>
                <w:bCs/>
                <w:color w:val="000000"/>
                <w:sz w:val="16"/>
                <w:szCs w:val="16"/>
              </w:rPr>
            </w:pPr>
            <w:r>
              <w:rPr>
                <w:b/>
                <w:bCs/>
                <w:color w:val="000000"/>
                <w:sz w:val="16"/>
                <w:szCs w:val="16"/>
              </w:rPr>
              <w:tab/>
              <w:t>(-)</w:t>
            </w:r>
            <w:r>
              <w:rPr>
                <w:b/>
                <w:bCs/>
                <w:color w:val="000000"/>
                <w:sz w:val="16"/>
                <w:szCs w:val="16"/>
              </w:rPr>
              <w:tab/>
              <w:t>15.1</w:t>
            </w:r>
          </w:p>
        </w:tc>
      </w:tr>
      <w:tr w:rsidR="004C0A67" w:rsidRPr="00C168B2" w14:paraId="182724CF" w14:textId="77777777" w:rsidTr="004C0A67">
        <w:tc>
          <w:tcPr>
            <w:tcW w:w="708" w:type="dxa"/>
            <w:tcBorders>
              <w:top w:val="single" w:sz="4" w:space="0" w:color="C6D9F1"/>
              <w:bottom w:val="single" w:sz="4" w:space="0" w:color="C6D9F1"/>
            </w:tcBorders>
            <w:vAlign w:val="center"/>
            <w:hideMark/>
          </w:tcPr>
          <w:p w14:paraId="0F438423"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6937CC0D" w:rsidR="004C0A67" w:rsidRPr="00361281" w:rsidRDefault="004C0A67" w:rsidP="004C0A67">
            <w:pPr>
              <w:tabs>
                <w:tab w:val="decimal" w:pos="300"/>
              </w:tabs>
              <w:jc w:val="left"/>
              <w:rPr>
                <w:bCs/>
                <w:color w:val="000000"/>
                <w:sz w:val="16"/>
                <w:szCs w:val="16"/>
                <w:lang w:val="es-MX" w:eastAsia="es-MX"/>
              </w:rPr>
            </w:pPr>
            <w:r>
              <w:rPr>
                <w:color w:val="000000"/>
                <w:sz w:val="16"/>
                <w:szCs w:val="16"/>
              </w:rPr>
              <w:t>78.1</w:t>
            </w:r>
          </w:p>
        </w:tc>
        <w:tc>
          <w:tcPr>
            <w:tcW w:w="769" w:type="dxa"/>
            <w:tcBorders>
              <w:top w:val="single" w:sz="4" w:space="0" w:color="C6D9F1"/>
              <w:bottom w:val="single" w:sz="4" w:space="0" w:color="C6D9F1"/>
              <w:right w:val="single" w:sz="6" w:space="0" w:color="1F497D" w:themeColor="text2"/>
            </w:tcBorders>
            <w:vAlign w:val="center"/>
          </w:tcPr>
          <w:p w14:paraId="4FA872D5" w14:textId="25D39B5D" w:rsidR="004C0A67" w:rsidRPr="00361281" w:rsidRDefault="004C0A67" w:rsidP="004C0A67">
            <w:pPr>
              <w:tabs>
                <w:tab w:val="decimal" w:pos="300"/>
              </w:tabs>
              <w:jc w:val="left"/>
              <w:rPr>
                <w:bCs/>
                <w:color w:val="000000"/>
                <w:sz w:val="16"/>
                <w:szCs w:val="16"/>
              </w:rPr>
            </w:pPr>
            <w:r>
              <w:rPr>
                <w:color w:val="000000"/>
                <w:sz w:val="16"/>
                <w:szCs w:val="16"/>
              </w:rPr>
              <w:t>73.9</w:t>
            </w:r>
          </w:p>
        </w:tc>
        <w:tc>
          <w:tcPr>
            <w:tcW w:w="840" w:type="dxa"/>
            <w:tcBorders>
              <w:top w:val="single" w:sz="4" w:space="0" w:color="C6D9F1"/>
              <w:bottom w:val="single" w:sz="4" w:space="0" w:color="C6D9F1"/>
            </w:tcBorders>
            <w:vAlign w:val="center"/>
          </w:tcPr>
          <w:p w14:paraId="0C4A4434" w14:textId="70B7E14A"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4.2</w:t>
            </w:r>
          </w:p>
        </w:tc>
      </w:tr>
      <w:tr w:rsidR="004C0A67" w:rsidRPr="00C168B2" w14:paraId="6DBD7777" w14:textId="77777777" w:rsidTr="004C0A67">
        <w:tc>
          <w:tcPr>
            <w:tcW w:w="708" w:type="dxa"/>
            <w:tcBorders>
              <w:top w:val="single" w:sz="4" w:space="0" w:color="C6D9F1"/>
              <w:bottom w:val="single" w:sz="4" w:space="0" w:color="C6D9F1"/>
            </w:tcBorders>
            <w:vAlign w:val="center"/>
            <w:hideMark/>
          </w:tcPr>
          <w:p w14:paraId="30BBC93B"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33E1A4EC" w:rsidR="004C0A67" w:rsidRPr="00361281" w:rsidRDefault="004C0A67" w:rsidP="004C0A67">
            <w:pPr>
              <w:tabs>
                <w:tab w:val="decimal" w:pos="300"/>
              </w:tabs>
              <w:jc w:val="left"/>
              <w:rPr>
                <w:bCs/>
                <w:color w:val="000000"/>
                <w:sz w:val="16"/>
                <w:szCs w:val="16"/>
                <w:lang w:val="es-MX" w:eastAsia="es-MX"/>
              </w:rPr>
            </w:pPr>
            <w:r>
              <w:rPr>
                <w:color w:val="000000"/>
                <w:sz w:val="16"/>
                <w:szCs w:val="16"/>
              </w:rPr>
              <w:t>79.8</w:t>
            </w:r>
          </w:p>
        </w:tc>
        <w:tc>
          <w:tcPr>
            <w:tcW w:w="769" w:type="dxa"/>
            <w:tcBorders>
              <w:top w:val="single" w:sz="4" w:space="0" w:color="C6D9F1"/>
              <w:bottom w:val="single" w:sz="4" w:space="0" w:color="C6D9F1"/>
              <w:right w:val="single" w:sz="6" w:space="0" w:color="1F497D" w:themeColor="text2"/>
            </w:tcBorders>
            <w:vAlign w:val="center"/>
          </w:tcPr>
          <w:p w14:paraId="389FF9A7" w14:textId="4E966009" w:rsidR="004C0A67" w:rsidRPr="00361281" w:rsidRDefault="004C0A67" w:rsidP="004C0A67">
            <w:pPr>
              <w:tabs>
                <w:tab w:val="decimal" w:pos="300"/>
              </w:tabs>
              <w:jc w:val="left"/>
              <w:rPr>
                <w:bCs/>
                <w:color w:val="000000"/>
                <w:sz w:val="16"/>
                <w:szCs w:val="16"/>
              </w:rPr>
            </w:pPr>
            <w:r>
              <w:rPr>
                <w:color w:val="000000"/>
                <w:sz w:val="16"/>
                <w:szCs w:val="16"/>
              </w:rPr>
              <w:t>74.6</w:t>
            </w:r>
          </w:p>
        </w:tc>
        <w:tc>
          <w:tcPr>
            <w:tcW w:w="840" w:type="dxa"/>
            <w:tcBorders>
              <w:top w:val="single" w:sz="4" w:space="0" w:color="C6D9F1"/>
              <w:bottom w:val="single" w:sz="4" w:space="0" w:color="C6D9F1"/>
            </w:tcBorders>
            <w:vAlign w:val="center"/>
          </w:tcPr>
          <w:p w14:paraId="6C394FF6" w14:textId="23A3852D"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5.2</w:t>
            </w:r>
          </w:p>
        </w:tc>
      </w:tr>
      <w:tr w:rsidR="004C0A67" w:rsidRPr="00C168B2" w14:paraId="53202A21" w14:textId="77777777" w:rsidTr="004C0A67">
        <w:tc>
          <w:tcPr>
            <w:tcW w:w="708" w:type="dxa"/>
            <w:tcBorders>
              <w:top w:val="single" w:sz="4" w:space="0" w:color="C6D9F1"/>
              <w:bottom w:val="single" w:sz="4" w:space="0" w:color="C6D9F1"/>
            </w:tcBorders>
            <w:vAlign w:val="center"/>
            <w:hideMark/>
          </w:tcPr>
          <w:p w14:paraId="189D0E0A"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44DFEE35" w:rsidR="004C0A67" w:rsidRPr="00361281" w:rsidRDefault="004C0A67" w:rsidP="004C0A67">
            <w:pPr>
              <w:tabs>
                <w:tab w:val="decimal" w:pos="300"/>
              </w:tabs>
              <w:jc w:val="left"/>
              <w:rPr>
                <w:bCs/>
                <w:color w:val="000000"/>
                <w:sz w:val="16"/>
                <w:szCs w:val="16"/>
                <w:lang w:val="es-MX" w:eastAsia="es-MX"/>
              </w:rPr>
            </w:pPr>
            <w:r>
              <w:rPr>
                <w:color w:val="000000"/>
                <w:sz w:val="16"/>
                <w:szCs w:val="16"/>
              </w:rPr>
              <w:t>80.1</w:t>
            </w:r>
          </w:p>
        </w:tc>
        <w:tc>
          <w:tcPr>
            <w:tcW w:w="769" w:type="dxa"/>
            <w:tcBorders>
              <w:top w:val="single" w:sz="4" w:space="0" w:color="C6D9F1"/>
              <w:bottom w:val="single" w:sz="4" w:space="0" w:color="C6D9F1"/>
              <w:right w:val="single" w:sz="6" w:space="0" w:color="1F497D" w:themeColor="text2"/>
            </w:tcBorders>
            <w:vAlign w:val="center"/>
          </w:tcPr>
          <w:p w14:paraId="4A4EA92C" w14:textId="004DC723" w:rsidR="004C0A67" w:rsidRPr="00361281" w:rsidRDefault="004C0A67" w:rsidP="004C0A67">
            <w:pPr>
              <w:tabs>
                <w:tab w:val="decimal" w:pos="300"/>
              </w:tabs>
              <w:jc w:val="left"/>
              <w:rPr>
                <w:bCs/>
                <w:color w:val="000000"/>
                <w:sz w:val="16"/>
                <w:szCs w:val="16"/>
              </w:rPr>
            </w:pPr>
            <w:r>
              <w:rPr>
                <w:color w:val="000000"/>
                <w:sz w:val="16"/>
                <w:szCs w:val="16"/>
              </w:rPr>
              <w:t>44.2</w:t>
            </w:r>
          </w:p>
        </w:tc>
        <w:tc>
          <w:tcPr>
            <w:tcW w:w="840" w:type="dxa"/>
            <w:tcBorders>
              <w:top w:val="single" w:sz="4" w:space="0" w:color="C6D9F1"/>
              <w:bottom w:val="single" w:sz="4" w:space="0" w:color="C6D9F1"/>
            </w:tcBorders>
            <w:vAlign w:val="center"/>
          </w:tcPr>
          <w:p w14:paraId="46BCC6B7" w14:textId="470F225D"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35.9</w:t>
            </w:r>
          </w:p>
        </w:tc>
      </w:tr>
      <w:tr w:rsidR="004C0A67" w:rsidRPr="00C168B2" w14:paraId="180EAF40" w14:textId="77777777" w:rsidTr="004C0A67">
        <w:tc>
          <w:tcPr>
            <w:tcW w:w="708" w:type="dxa"/>
            <w:tcBorders>
              <w:top w:val="single" w:sz="4" w:space="0" w:color="C6D9F1"/>
              <w:bottom w:val="single" w:sz="4" w:space="0" w:color="C6D9F1"/>
            </w:tcBorders>
            <w:vAlign w:val="center"/>
            <w:hideMark/>
          </w:tcPr>
          <w:p w14:paraId="13FD110D"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3B444535" w:rsidR="004C0A67" w:rsidRPr="00361281" w:rsidRDefault="004C0A67" w:rsidP="004C0A67">
            <w:pPr>
              <w:tabs>
                <w:tab w:val="decimal" w:pos="300"/>
              </w:tabs>
              <w:jc w:val="left"/>
              <w:rPr>
                <w:bCs/>
                <w:color w:val="000000"/>
                <w:sz w:val="16"/>
                <w:szCs w:val="16"/>
                <w:lang w:val="es-MX" w:eastAsia="es-MX"/>
              </w:rPr>
            </w:pPr>
            <w:r>
              <w:rPr>
                <w:color w:val="000000"/>
                <w:sz w:val="16"/>
                <w:szCs w:val="16"/>
              </w:rPr>
              <w:t>75.8</w:t>
            </w:r>
          </w:p>
        </w:tc>
        <w:tc>
          <w:tcPr>
            <w:tcW w:w="769" w:type="dxa"/>
            <w:tcBorders>
              <w:top w:val="single" w:sz="4" w:space="0" w:color="C6D9F1"/>
              <w:bottom w:val="single" w:sz="4" w:space="0" w:color="C6D9F1"/>
              <w:right w:val="single" w:sz="6" w:space="0" w:color="1F497D" w:themeColor="text2"/>
            </w:tcBorders>
            <w:vAlign w:val="center"/>
          </w:tcPr>
          <w:p w14:paraId="50799976" w14:textId="70516D26" w:rsidR="004C0A67" w:rsidRPr="00361281" w:rsidRDefault="004C0A67" w:rsidP="004C0A67">
            <w:pPr>
              <w:tabs>
                <w:tab w:val="decimal" w:pos="300"/>
              </w:tabs>
              <w:jc w:val="left"/>
              <w:rPr>
                <w:bCs/>
                <w:color w:val="000000"/>
                <w:sz w:val="16"/>
                <w:szCs w:val="16"/>
              </w:rPr>
            </w:pPr>
            <w:r>
              <w:rPr>
                <w:color w:val="000000"/>
                <w:sz w:val="16"/>
                <w:szCs w:val="16"/>
              </w:rPr>
              <w:t>60.4</w:t>
            </w:r>
          </w:p>
        </w:tc>
        <w:tc>
          <w:tcPr>
            <w:tcW w:w="840" w:type="dxa"/>
            <w:tcBorders>
              <w:top w:val="single" w:sz="4" w:space="0" w:color="C6D9F1"/>
              <w:bottom w:val="single" w:sz="4" w:space="0" w:color="C6D9F1"/>
            </w:tcBorders>
            <w:vAlign w:val="center"/>
          </w:tcPr>
          <w:p w14:paraId="640111A4" w14:textId="4183B060"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15.4</w:t>
            </w:r>
          </w:p>
        </w:tc>
      </w:tr>
      <w:tr w:rsidR="004C0A67" w:rsidRPr="00C168B2" w14:paraId="08D6B7A3" w14:textId="77777777" w:rsidTr="004C0A67">
        <w:tc>
          <w:tcPr>
            <w:tcW w:w="708" w:type="dxa"/>
            <w:tcBorders>
              <w:top w:val="single" w:sz="4" w:space="0" w:color="C6D9F1"/>
              <w:bottom w:val="single" w:sz="4" w:space="0" w:color="C6D9F1"/>
            </w:tcBorders>
            <w:vAlign w:val="center"/>
            <w:hideMark/>
          </w:tcPr>
          <w:p w14:paraId="0665E898"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19C7A174" w:rsidR="004C0A67" w:rsidRPr="00361281" w:rsidRDefault="004C0A67" w:rsidP="004C0A67">
            <w:pPr>
              <w:tabs>
                <w:tab w:val="decimal" w:pos="300"/>
              </w:tabs>
              <w:jc w:val="left"/>
              <w:rPr>
                <w:bCs/>
                <w:color w:val="000000"/>
                <w:sz w:val="16"/>
                <w:szCs w:val="16"/>
                <w:lang w:val="es-MX" w:eastAsia="es-MX"/>
              </w:rPr>
            </w:pPr>
            <w:r>
              <w:rPr>
                <w:color w:val="000000"/>
                <w:sz w:val="16"/>
                <w:szCs w:val="16"/>
              </w:rPr>
              <w:t>82.4</w:t>
            </w:r>
          </w:p>
        </w:tc>
        <w:tc>
          <w:tcPr>
            <w:tcW w:w="769" w:type="dxa"/>
            <w:tcBorders>
              <w:top w:val="single" w:sz="4" w:space="0" w:color="C6D9F1"/>
              <w:bottom w:val="single" w:sz="4" w:space="0" w:color="C6D9F1"/>
              <w:right w:val="single" w:sz="6" w:space="0" w:color="1F497D" w:themeColor="text2"/>
            </w:tcBorders>
            <w:vAlign w:val="center"/>
          </w:tcPr>
          <w:p w14:paraId="61EB4DA2" w14:textId="2D9EE87B" w:rsidR="004C0A67" w:rsidRPr="00361281" w:rsidRDefault="004C0A67" w:rsidP="004C0A67">
            <w:pPr>
              <w:tabs>
                <w:tab w:val="decimal" w:pos="300"/>
              </w:tabs>
              <w:jc w:val="left"/>
              <w:rPr>
                <w:bCs/>
                <w:color w:val="000000"/>
                <w:sz w:val="16"/>
                <w:szCs w:val="16"/>
              </w:rPr>
            </w:pPr>
            <w:r>
              <w:rPr>
                <w:color w:val="000000"/>
                <w:sz w:val="16"/>
                <w:szCs w:val="16"/>
              </w:rPr>
              <w:t>40.8</w:t>
            </w:r>
          </w:p>
        </w:tc>
        <w:tc>
          <w:tcPr>
            <w:tcW w:w="840" w:type="dxa"/>
            <w:tcBorders>
              <w:top w:val="single" w:sz="4" w:space="0" w:color="C6D9F1"/>
              <w:bottom w:val="single" w:sz="4" w:space="0" w:color="C6D9F1"/>
            </w:tcBorders>
            <w:vAlign w:val="center"/>
          </w:tcPr>
          <w:p w14:paraId="1B0E260E" w14:textId="79D4086E"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41.6</w:t>
            </w:r>
          </w:p>
        </w:tc>
      </w:tr>
      <w:tr w:rsidR="004C0A67" w:rsidRPr="00C168B2" w14:paraId="7EA05C3C" w14:textId="77777777" w:rsidTr="004C0A67">
        <w:tc>
          <w:tcPr>
            <w:tcW w:w="708" w:type="dxa"/>
            <w:tcBorders>
              <w:top w:val="single" w:sz="4" w:space="0" w:color="C6D9F1"/>
              <w:bottom w:val="single" w:sz="4" w:space="0" w:color="C6D9F1"/>
            </w:tcBorders>
            <w:vAlign w:val="center"/>
            <w:hideMark/>
          </w:tcPr>
          <w:p w14:paraId="304FA5CF"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4C0A67" w:rsidRPr="00C168B2" w:rsidRDefault="004C0A67" w:rsidP="004C0A67">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007295B5" w:rsidR="004C0A67" w:rsidRPr="00361281" w:rsidRDefault="004C0A67" w:rsidP="004C0A67">
            <w:pPr>
              <w:tabs>
                <w:tab w:val="decimal" w:pos="300"/>
              </w:tabs>
              <w:jc w:val="left"/>
              <w:rPr>
                <w:bCs/>
                <w:color w:val="000000"/>
                <w:sz w:val="16"/>
                <w:szCs w:val="16"/>
                <w:lang w:val="es-MX" w:eastAsia="es-MX"/>
              </w:rPr>
            </w:pPr>
            <w:r>
              <w:rPr>
                <w:color w:val="000000"/>
                <w:sz w:val="16"/>
                <w:szCs w:val="16"/>
              </w:rPr>
              <w:t>82.8</w:t>
            </w:r>
          </w:p>
        </w:tc>
        <w:tc>
          <w:tcPr>
            <w:tcW w:w="769" w:type="dxa"/>
            <w:tcBorders>
              <w:top w:val="single" w:sz="4" w:space="0" w:color="C6D9F1"/>
              <w:bottom w:val="single" w:sz="4" w:space="0" w:color="C6D9F1"/>
              <w:right w:val="single" w:sz="6" w:space="0" w:color="1F497D" w:themeColor="text2"/>
            </w:tcBorders>
            <w:vAlign w:val="center"/>
          </w:tcPr>
          <w:p w14:paraId="557ED96E" w14:textId="7BE62EFD" w:rsidR="004C0A67" w:rsidRPr="00361281" w:rsidRDefault="004C0A67" w:rsidP="004C0A67">
            <w:pPr>
              <w:tabs>
                <w:tab w:val="decimal" w:pos="300"/>
              </w:tabs>
              <w:jc w:val="left"/>
              <w:rPr>
                <w:bCs/>
                <w:color w:val="000000"/>
                <w:sz w:val="16"/>
                <w:szCs w:val="16"/>
              </w:rPr>
            </w:pPr>
            <w:r>
              <w:rPr>
                <w:color w:val="000000"/>
                <w:sz w:val="16"/>
                <w:szCs w:val="16"/>
              </w:rPr>
              <w:t>40.4</w:t>
            </w:r>
          </w:p>
        </w:tc>
        <w:tc>
          <w:tcPr>
            <w:tcW w:w="840" w:type="dxa"/>
            <w:tcBorders>
              <w:top w:val="single" w:sz="4" w:space="0" w:color="C6D9F1"/>
              <w:bottom w:val="single" w:sz="4" w:space="0" w:color="C6D9F1"/>
            </w:tcBorders>
            <w:vAlign w:val="center"/>
          </w:tcPr>
          <w:p w14:paraId="7E683403" w14:textId="0025DEE7"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42.4</w:t>
            </w:r>
          </w:p>
        </w:tc>
      </w:tr>
      <w:tr w:rsidR="004C0A67" w:rsidRPr="00C168B2" w14:paraId="78C02309" w14:textId="77777777" w:rsidTr="004C0A67">
        <w:tc>
          <w:tcPr>
            <w:tcW w:w="708" w:type="dxa"/>
            <w:tcBorders>
              <w:top w:val="single" w:sz="4" w:space="0" w:color="C6D9F1"/>
              <w:bottom w:val="single" w:sz="4" w:space="0" w:color="C6D9F1"/>
            </w:tcBorders>
            <w:vAlign w:val="center"/>
            <w:hideMark/>
          </w:tcPr>
          <w:p w14:paraId="68FF6175"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4C0A67" w:rsidRPr="00C168B2" w:rsidRDefault="004C0A67" w:rsidP="004C0A67">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3AA7D92A" w:rsidR="004C0A67" w:rsidRPr="00361281" w:rsidRDefault="004C0A67" w:rsidP="004C0A67">
            <w:pPr>
              <w:tabs>
                <w:tab w:val="decimal" w:pos="300"/>
              </w:tabs>
              <w:jc w:val="left"/>
              <w:rPr>
                <w:bCs/>
                <w:color w:val="000000"/>
                <w:sz w:val="16"/>
                <w:szCs w:val="16"/>
                <w:lang w:val="es-MX" w:eastAsia="es-MX"/>
              </w:rPr>
            </w:pPr>
            <w:r>
              <w:rPr>
                <w:color w:val="000000"/>
                <w:sz w:val="16"/>
                <w:szCs w:val="16"/>
              </w:rPr>
              <w:t>76.6</w:t>
            </w:r>
          </w:p>
        </w:tc>
        <w:tc>
          <w:tcPr>
            <w:tcW w:w="769" w:type="dxa"/>
            <w:tcBorders>
              <w:top w:val="single" w:sz="4" w:space="0" w:color="C6D9F1"/>
              <w:bottom w:val="single" w:sz="4" w:space="0" w:color="C6D9F1"/>
              <w:right w:val="single" w:sz="6" w:space="0" w:color="1F497D" w:themeColor="text2"/>
            </w:tcBorders>
            <w:vAlign w:val="center"/>
          </w:tcPr>
          <w:p w14:paraId="42450060" w14:textId="24BE6E14" w:rsidR="004C0A67" w:rsidRPr="00361281" w:rsidRDefault="004C0A67" w:rsidP="004C0A67">
            <w:pPr>
              <w:tabs>
                <w:tab w:val="decimal" w:pos="300"/>
              </w:tabs>
              <w:jc w:val="left"/>
              <w:rPr>
                <w:bCs/>
                <w:color w:val="000000"/>
                <w:sz w:val="16"/>
                <w:szCs w:val="16"/>
              </w:rPr>
            </w:pPr>
            <w:r>
              <w:rPr>
                <w:color w:val="000000"/>
                <w:sz w:val="16"/>
                <w:szCs w:val="16"/>
              </w:rPr>
              <w:t>60.2</w:t>
            </w:r>
          </w:p>
        </w:tc>
        <w:tc>
          <w:tcPr>
            <w:tcW w:w="840" w:type="dxa"/>
            <w:tcBorders>
              <w:top w:val="single" w:sz="4" w:space="0" w:color="C6D9F1"/>
              <w:bottom w:val="single" w:sz="4" w:space="0" w:color="C6D9F1"/>
            </w:tcBorders>
            <w:vAlign w:val="center"/>
          </w:tcPr>
          <w:p w14:paraId="6C2C40D5" w14:textId="36B446B3"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16.4</w:t>
            </w:r>
          </w:p>
        </w:tc>
      </w:tr>
      <w:tr w:rsidR="004C0A67" w:rsidRPr="00C168B2" w14:paraId="7D7F32AA" w14:textId="77777777" w:rsidTr="004C0A67">
        <w:tc>
          <w:tcPr>
            <w:tcW w:w="708" w:type="dxa"/>
            <w:tcBorders>
              <w:top w:val="single" w:sz="4" w:space="0" w:color="C6D9F1"/>
              <w:bottom w:val="single" w:sz="4" w:space="0" w:color="C6D9F1"/>
            </w:tcBorders>
            <w:vAlign w:val="center"/>
            <w:hideMark/>
          </w:tcPr>
          <w:p w14:paraId="7E0D139E"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4C0A67" w:rsidRPr="00C168B2" w:rsidRDefault="004C0A67" w:rsidP="004C0A67">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27344C7E" w:rsidR="004C0A67" w:rsidRPr="00361281" w:rsidRDefault="004C0A67" w:rsidP="004C0A67">
            <w:pPr>
              <w:tabs>
                <w:tab w:val="decimal" w:pos="300"/>
              </w:tabs>
              <w:jc w:val="left"/>
              <w:rPr>
                <w:bCs/>
                <w:color w:val="000000"/>
                <w:sz w:val="16"/>
                <w:szCs w:val="16"/>
                <w:lang w:val="es-MX" w:eastAsia="es-MX"/>
              </w:rPr>
            </w:pPr>
            <w:r>
              <w:rPr>
                <w:color w:val="000000"/>
                <w:sz w:val="16"/>
                <w:szCs w:val="16"/>
              </w:rPr>
              <w:t>86.9</w:t>
            </w:r>
          </w:p>
        </w:tc>
        <w:tc>
          <w:tcPr>
            <w:tcW w:w="769" w:type="dxa"/>
            <w:tcBorders>
              <w:top w:val="single" w:sz="4" w:space="0" w:color="C6D9F1"/>
              <w:bottom w:val="single" w:sz="4" w:space="0" w:color="C6D9F1"/>
              <w:right w:val="single" w:sz="6" w:space="0" w:color="1F497D" w:themeColor="text2"/>
            </w:tcBorders>
            <w:vAlign w:val="center"/>
          </w:tcPr>
          <w:p w14:paraId="39D6883E" w14:textId="42991F38" w:rsidR="004C0A67" w:rsidRPr="00361281" w:rsidRDefault="004C0A67" w:rsidP="004C0A67">
            <w:pPr>
              <w:tabs>
                <w:tab w:val="decimal" w:pos="300"/>
              </w:tabs>
              <w:jc w:val="left"/>
              <w:rPr>
                <w:bCs/>
                <w:color w:val="000000"/>
                <w:sz w:val="16"/>
                <w:szCs w:val="16"/>
              </w:rPr>
            </w:pPr>
            <w:r>
              <w:rPr>
                <w:color w:val="000000"/>
                <w:sz w:val="16"/>
                <w:szCs w:val="16"/>
              </w:rPr>
              <w:t>74.9</w:t>
            </w:r>
          </w:p>
        </w:tc>
        <w:tc>
          <w:tcPr>
            <w:tcW w:w="840" w:type="dxa"/>
            <w:tcBorders>
              <w:top w:val="single" w:sz="4" w:space="0" w:color="C6D9F1"/>
              <w:bottom w:val="single" w:sz="4" w:space="0" w:color="C6D9F1"/>
            </w:tcBorders>
            <w:vAlign w:val="center"/>
          </w:tcPr>
          <w:p w14:paraId="76358012" w14:textId="224CDD54"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12.0</w:t>
            </w:r>
          </w:p>
        </w:tc>
      </w:tr>
      <w:tr w:rsidR="004C0A67" w:rsidRPr="00C168B2" w14:paraId="2787F9D4" w14:textId="77777777" w:rsidTr="004C0A67">
        <w:tc>
          <w:tcPr>
            <w:tcW w:w="708" w:type="dxa"/>
            <w:tcBorders>
              <w:top w:val="single" w:sz="4" w:space="0" w:color="C6D9F1"/>
              <w:bottom w:val="single" w:sz="4" w:space="0" w:color="C6D9F1"/>
            </w:tcBorders>
            <w:vAlign w:val="center"/>
            <w:hideMark/>
          </w:tcPr>
          <w:p w14:paraId="13C794FA"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4C0A67" w:rsidRPr="00C168B2" w:rsidRDefault="004C0A67" w:rsidP="004C0A67">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4B881AAE" w:rsidR="004C0A67" w:rsidRPr="00361281" w:rsidRDefault="004C0A67" w:rsidP="004C0A67">
            <w:pPr>
              <w:tabs>
                <w:tab w:val="decimal" w:pos="300"/>
              </w:tabs>
              <w:jc w:val="left"/>
              <w:rPr>
                <w:bCs/>
                <w:color w:val="000000"/>
                <w:sz w:val="16"/>
                <w:szCs w:val="16"/>
                <w:lang w:val="es-MX" w:eastAsia="es-MX"/>
              </w:rPr>
            </w:pPr>
            <w:r>
              <w:rPr>
                <w:color w:val="000000"/>
                <w:sz w:val="16"/>
                <w:szCs w:val="16"/>
              </w:rPr>
              <w:t>77.3</w:t>
            </w:r>
          </w:p>
        </w:tc>
        <w:tc>
          <w:tcPr>
            <w:tcW w:w="769" w:type="dxa"/>
            <w:tcBorders>
              <w:top w:val="single" w:sz="4" w:space="0" w:color="C6D9F1"/>
              <w:bottom w:val="single" w:sz="4" w:space="0" w:color="C6D9F1"/>
              <w:right w:val="single" w:sz="6" w:space="0" w:color="1F497D" w:themeColor="text2"/>
            </w:tcBorders>
            <w:vAlign w:val="center"/>
          </w:tcPr>
          <w:p w14:paraId="379560BE" w14:textId="6D80B220" w:rsidR="004C0A67" w:rsidRPr="00361281" w:rsidRDefault="004C0A67" w:rsidP="004C0A67">
            <w:pPr>
              <w:tabs>
                <w:tab w:val="decimal" w:pos="300"/>
              </w:tabs>
              <w:jc w:val="left"/>
              <w:rPr>
                <w:bCs/>
                <w:color w:val="000000"/>
                <w:sz w:val="16"/>
                <w:szCs w:val="16"/>
              </w:rPr>
            </w:pPr>
            <w:r>
              <w:rPr>
                <w:color w:val="000000"/>
                <w:sz w:val="16"/>
                <w:szCs w:val="16"/>
              </w:rPr>
              <w:t>51.2</w:t>
            </w:r>
          </w:p>
        </w:tc>
        <w:tc>
          <w:tcPr>
            <w:tcW w:w="840" w:type="dxa"/>
            <w:tcBorders>
              <w:top w:val="single" w:sz="4" w:space="0" w:color="C6D9F1"/>
              <w:bottom w:val="single" w:sz="4" w:space="0" w:color="C6D9F1"/>
            </w:tcBorders>
            <w:vAlign w:val="center"/>
          </w:tcPr>
          <w:p w14:paraId="78AD32EF" w14:textId="49A8D32C"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26.1</w:t>
            </w:r>
          </w:p>
        </w:tc>
      </w:tr>
      <w:tr w:rsidR="004C0A67" w:rsidRPr="00C168B2" w14:paraId="19CD7C5E" w14:textId="77777777" w:rsidTr="004C0A67">
        <w:tc>
          <w:tcPr>
            <w:tcW w:w="708" w:type="dxa"/>
            <w:tcBorders>
              <w:top w:val="single" w:sz="4" w:space="0" w:color="C6D9F1"/>
              <w:bottom w:val="single" w:sz="4" w:space="0" w:color="C6D9F1"/>
            </w:tcBorders>
            <w:vAlign w:val="center"/>
            <w:hideMark/>
          </w:tcPr>
          <w:p w14:paraId="26880F5C"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4C0A67" w:rsidRPr="00C168B2" w:rsidRDefault="004C0A67" w:rsidP="004C0A67">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5D238275" w:rsidR="004C0A67" w:rsidRPr="00361281" w:rsidRDefault="004C0A67" w:rsidP="004C0A67">
            <w:pPr>
              <w:tabs>
                <w:tab w:val="decimal" w:pos="300"/>
              </w:tabs>
              <w:jc w:val="left"/>
              <w:rPr>
                <w:bCs/>
                <w:color w:val="000000"/>
                <w:sz w:val="16"/>
                <w:szCs w:val="16"/>
                <w:lang w:val="es-MX" w:eastAsia="es-MX"/>
              </w:rPr>
            </w:pPr>
            <w:r>
              <w:rPr>
                <w:color w:val="000000"/>
                <w:sz w:val="16"/>
                <w:szCs w:val="16"/>
              </w:rPr>
              <w:t>44.1</w:t>
            </w:r>
          </w:p>
        </w:tc>
        <w:tc>
          <w:tcPr>
            <w:tcW w:w="769" w:type="dxa"/>
            <w:tcBorders>
              <w:top w:val="single" w:sz="4" w:space="0" w:color="C6D9F1"/>
              <w:bottom w:val="single" w:sz="4" w:space="0" w:color="C6D9F1"/>
              <w:right w:val="single" w:sz="6" w:space="0" w:color="1F497D" w:themeColor="text2"/>
            </w:tcBorders>
            <w:vAlign w:val="center"/>
          </w:tcPr>
          <w:p w14:paraId="41F6EAB6" w14:textId="4DC9EACB" w:rsidR="004C0A67" w:rsidRPr="00361281" w:rsidRDefault="004C0A67" w:rsidP="004C0A67">
            <w:pPr>
              <w:tabs>
                <w:tab w:val="decimal" w:pos="300"/>
              </w:tabs>
              <w:jc w:val="left"/>
              <w:rPr>
                <w:bCs/>
                <w:color w:val="000000"/>
                <w:sz w:val="16"/>
                <w:szCs w:val="16"/>
              </w:rPr>
            </w:pPr>
            <w:r>
              <w:rPr>
                <w:color w:val="000000"/>
                <w:sz w:val="16"/>
                <w:szCs w:val="16"/>
              </w:rPr>
              <w:t>37.3</w:t>
            </w:r>
          </w:p>
        </w:tc>
        <w:tc>
          <w:tcPr>
            <w:tcW w:w="840" w:type="dxa"/>
            <w:tcBorders>
              <w:top w:val="single" w:sz="4" w:space="0" w:color="C6D9F1"/>
              <w:bottom w:val="single" w:sz="4" w:space="0" w:color="C6D9F1"/>
            </w:tcBorders>
            <w:vAlign w:val="center"/>
          </w:tcPr>
          <w:p w14:paraId="3897275A" w14:textId="395FF372"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6.8</w:t>
            </w:r>
          </w:p>
        </w:tc>
      </w:tr>
      <w:tr w:rsidR="004C0A67" w:rsidRPr="00C168B2" w14:paraId="75B933F7" w14:textId="77777777" w:rsidTr="004C0A67">
        <w:tc>
          <w:tcPr>
            <w:tcW w:w="708" w:type="dxa"/>
            <w:tcBorders>
              <w:top w:val="single" w:sz="4" w:space="0" w:color="C6D9F1"/>
              <w:bottom w:val="single" w:sz="4" w:space="0" w:color="C6D9F1"/>
            </w:tcBorders>
            <w:vAlign w:val="center"/>
            <w:hideMark/>
          </w:tcPr>
          <w:p w14:paraId="7B28DF5D"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2D67126B" w:rsidR="004C0A67" w:rsidRPr="00361281" w:rsidRDefault="004C0A67" w:rsidP="004C0A67">
            <w:pPr>
              <w:tabs>
                <w:tab w:val="decimal" w:pos="300"/>
              </w:tabs>
              <w:jc w:val="left"/>
              <w:rPr>
                <w:bCs/>
                <w:color w:val="000000"/>
                <w:sz w:val="16"/>
                <w:szCs w:val="16"/>
                <w:lang w:val="es-MX" w:eastAsia="es-MX"/>
              </w:rPr>
            </w:pPr>
            <w:r>
              <w:rPr>
                <w:color w:val="000000"/>
                <w:sz w:val="16"/>
                <w:szCs w:val="16"/>
              </w:rPr>
              <w:t>72.7</w:t>
            </w:r>
          </w:p>
        </w:tc>
        <w:tc>
          <w:tcPr>
            <w:tcW w:w="769" w:type="dxa"/>
            <w:tcBorders>
              <w:top w:val="single" w:sz="4" w:space="0" w:color="C6D9F1"/>
              <w:bottom w:val="single" w:sz="4" w:space="0" w:color="C6D9F1"/>
              <w:right w:val="single" w:sz="6" w:space="0" w:color="1F497D" w:themeColor="text2"/>
            </w:tcBorders>
            <w:vAlign w:val="center"/>
          </w:tcPr>
          <w:p w14:paraId="647F2215" w14:textId="662504EE" w:rsidR="004C0A67" w:rsidRPr="00361281" w:rsidRDefault="004C0A67" w:rsidP="004C0A67">
            <w:pPr>
              <w:tabs>
                <w:tab w:val="decimal" w:pos="300"/>
              </w:tabs>
              <w:jc w:val="left"/>
              <w:rPr>
                <w:bCs/>
                <w:color w:val="000000"/>
                <w:sz w:val="16"/>
                <w:szCs w:val="16"/>
              </w:rPr>
            </w:pPr>
            <w:r>
              <w:rPr>
                <w:color w:val="000000"/>
                <w:sz w:val="16"/>
                <w:szCs w:val="16"/>
              </w:rPr>
              <w:t>63.0</w:t>
            </w:r>
          </w:p>
        </w:tc>
        <w:tc>
          <w:tcPr>
            <w:tcW w:w="840" w:type="dxa"/>
            <w:tcBorders>
              <w:top w:val="single" w:sz="4" w:space="0" w:color="C6D9F1"/>
              <w:bottom w:val="single" w:sz="4" w:space="0" w:color="C6D9F1"/>
            </w:tcBorders>
            <w:vAlign w:val="center"/>
          </w:tcPr>
          <w:p w14:paraId="7C4B744A" w14:textId="177A9E49"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9.7</w:t>
            </w:r>
          </w:p>
        </w:tc>
      </w:tr>
      <w:tr w:rsidR="004C0A67" w:rsidRPr="00C168B2" w14:paraId="3F473617" w14:textId="77777777" w:rsidTr="004C0A67">
        <w:tc>
          <w:tcPr>
            <w:tcW w:w="708" w:type="dxa"/>
            <w:tcBorders>
              <w:top w:val="single" w:sz="4" w:space="0" w:color="C6D9F1"/>
              <w:bottom w:val="single" w:sz="4" w:space="0" w:color="C6D9F1"/>
            </w:tcBorders>
            <w:vAlign w:val="center"/>
            <w:hideMark/>
          </w:tcPr>
          <w:p w14:paraId="5D0B78F3"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0B30F10E" w:rsidR="004C0A67" w:rsidRPr="00361281" w:rsidRDefault="004C0A67" w:rsidP="004C0A67">
            <w:pPr>
              <w:tabs>
                <w:tab w:val="decimal" w:pos="300"/>
              </w:tabs>
              <w:jc w:val="left"/>
              <w:rPr>
                <w:bCs/>
                <w:color w:val="000000"/>
                <w:sz w:val="16"/>
                <w:szCs w:val="16"/>
                <w:lang w:val="es-MX" w:eastAsia="es-MX"/>
              </w:rPr>
            </w:pPr>
            <w:r>
              <w:rPr>
                <w:color w:val="000000"/>
                <w:sz w:val="16"/>
                <w:szCs w:val="16"/>
              </w:rPr>
              <w:t>83.9</w:t>
            </w:r>
          </w:p>
        </w:tc>
        <w:tc>
          <w:tcPr>
            <w:tcW w:w="769" w:type="dxa"/>
            <w:tcBorders>
              <w:top w:val="single" w:sz="4" w:space="0" w:color="C6D9F1"/>
              <w:bottom w:val="single" w:sz="4" w:space="0" w:color="C6D9F1"/>
              <w:right w:val="single" w:sz="6" w:space="0" w:color="1F497D" w:themeColor="text2"/>
            </w:tcBorders>
            <w:vAlign w:val="center"/>
          </w:tcPr>
          <w:p w14:paraId="39A9E37F" w14:textId="5A02938E" w:rsidR="004C0A67" w:rsidRPr="00361281" w:rsidRDefault="004C0A67" w:rsidP="004C0A67">
            <w:pPr>
              <w:tabs>
                <w:tab w:val="decimal" w:pos="300"/>
              </w:tabs>
              <w:jc w:val="left"/>
              <w:rPr>
                <w:bCs/>
                <w:color w:val="000000"/>
                <w:sz w:val="16"/>
                <w:szCs w:val="16"/>
              </w:rPr>
            </w:pPr>
            <w:r>
              <w:rPr>
                <w:color w:val="000000"/>
                <w:sz w:val="16"/>
                <w:szCs w:val="16"/>
              </w:rPr>
              <w:t>66.2</w:t>
            </w:r>
          </w:p>
        </w:tc>
        <w:tc>
          <w:tcPr>
            <w:tcW w:w="840" w:type="dxa"/>
            <w:tcBorders>
              <w:top w:val="single" w:sz="4" w:space="0" w:color="C6D9F1"/>
              <w:bottom w:val="single" w:sz="4" w:space="0" w:color="C6D9F1"/>
            </w:tcBorders>
            <w:vAlign w:val="center"/>
          </w:tcPr>
          <w:p w14:paraId="45894C76" w14:textId="4FEF6A64"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17.7</w:t>
            </w:r>
          </w:p>
        </w:tc>
      </w:tr>
      <w:tr w:rsidR="004C0A67" w:rsidRPr="00C168B2" w14:paraId="006FD1C2" w14:textId="77777777" w:rsidTr="004C0A67">
        <w:tc>
          <w:tcPr>
            <w:tcW w:w="708" w:type="dxa"/>
            <w:tcBorders>
              <w:top w:val="single" w:sz="4" w:space="0" w:color="C6D9F1"/>
              <w:bottom w:val="single" w:sz="4" w:space="0" w:color="C6D9F1"/>
            </w:tcBorders>
            <w:vAlign w:val="center"/>
            <w:hideMark/>
          </w:tcPr>
          <w:p w14:paraId="29F2E76C"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36DAF718" w:rsidR="004C0A67" w:rsidRPr="00361281" w:rsidRDefault="004C0A67" w:rsidP="004C0A67">
            <w:pPr>
              <w:tabs>
                <w:tab w:val="decimal" w:pos="300"/>
              </w:tabs>
              <w:jc w:val="left"/>
              <w:rPr>
                <w:bCs/>
                <w:color w:val="000000"/>
                <w:sz w:val="16"/>
                <w:szCs w:val="16"/>
                <w:lang w:val="es-MX" w:eastAsia="es-MX"/>
              </w:rPr>
            </w:pPr>
            <w:r>
              <w:rPr>
                <w:color w:val="000000"/>
                <w:sz w:val="16"/>
                <w:szCs w:val="16"/>
              </w:rPr>
              <w:t>86.5</w:t>
            </w:r>
          </w:p>
        </w:tc>
        <w:tc>
          <w:tcPr>
            <w:tcW w:w="769" w:type="dxa"/>
            <w:tcBorders>
              <w:top w:val="single" w:sz="4" w:space="0" w:color="C6D9F1"/>
              <w:bottom w:val="single" w:sz="4" w:space="0" w:color="C6D9F1"/>
              <w:right w:val="single" w:sz="6" w:space="0" w:color="1F497D" w:themeColor="text2"/>
            </w:tcBorders>
            <w:vAlign w:val="center"/>
          </w:tcPr>
          <w:p w14:paraId="54114713" w14:textId="63C49ED4" w:rsidR="004C0A67" w:rsidRPr="00361281" w:rsidRDefault="004C0A67" w:rsidP="004C0A67">
            <w:pPr>
              <w:tabs>
                <w:tab w:val="decimal" w:pos="300"/>
              </w:tabs>
              <w:jc w:val="left"/>
              <w:rPr>
                <w:bCs/>
                <w:color w:val="000000"/>
                <w:sz w:val="16"/>
                <w:szCs w:val="16"/>
              </w:rPr>
            </w:pPr>
            <w:r>
              <w:rPr>
                <w:color w:val="000000"/>
                <w:sz w:val="16"/>
                <w:szCs w:val="16"/>
              </w:rPr>
              <w:t>72.0</w:t>
            </w:r>
          </w:p>
        </w:tc>
        <w:tc>
          <w:tcPr>
            <w:tcW w:w="840" w:type="dxa"/>
            <w:tcBorders>
              <w:top w:val="single" w:sz="4" w:space="0" w:color="C6D9F1"/>
              <w:bottom w:val="single" w:sz="4" w:space="0" w:color="C6D9F1"/>
            </w:tcBorders>
            <w:vAlign w:val="center"/>
          </w:tcPr>
          <w:p w14:paraId="35E07EDE" w14:textId="30193C54"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14.5</w:t>
            </w:r>
          </w:p>
        </w:tc>
      </w:tr>
      <w:tr w:rsidR="004C0A67" w:rsidRPr="00C168B2" w14:paraId="3B21A929" w14:textId="77777777" w:rsidTr="004C0A67">
        <w:tc>
          <w:tcPr>
            <w:tcW w:w="708" w:type="dxa"/>
            <w:tcBorders>
              <w:top w:val="single" w:sz="4" w:space="0" w:color="C6D9F1"/>
              <w:bottom w:val="single" w:sz="4" w:space="0" w:color="C6D9F1"/>
            </w:tcBorders>
            <w:vAlign w:val="center"/>
            <w:hideMark/>
          </w:tcPr>
          <w:p w14:paraId="5CCEC169"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2FCE9AF5" w:rsidR="004C0A67" w:rsidRPr="00361281" w:rsidRDefault="004C0A67" w:rsidP="004C0A67">
            <w:pPr>
              <w:tabs>
                <w:tab w:val="decimal" w:pos="300"/>
              </w:tabs>
              <w:jc w:val="left"/>
              <w:rPr>
                <w:bCs/>
                <w:color w:val="000000"/>
                <w:sz w:val="16"/>
                <w:szCs w:val="16"/>
                <w:lang w:val="es-MX" w:eastAsia="es-MX"/>
              </w:rPr>
            </w:pPr>
            <w:r>
              <w:rPr>
                <w:color w:val="000000"/>
                <w:sz w:val="16"/>
                <w:szCs w:val="16"/>
              </w:rPr>
              <w:t>79.6</w:t>
            </w:r>
          </w:p>
        </w:tc>
        <w:tc>
          <w:tcPr>
            <w:tcW w:w="769" w:type="dxa"/>
            <w:tcBorders>
              <w:top w:val="single" w:sz="4" w:space="0" w:color="C6D9F1"/>
              <w:bottom w:val="single" w:sz="4" w:space="0" w:color="C6D9F1"/>
              <w:right w:val="single" w:sz="6" w:space="0" w:color="1F497D" w:themeColor="text2"/>
            </w:tcBorders>
            <w:vAlign w:val="center"/>
          </w:tcPr>
          <w:p w14:paraId="0F619DB8" w14:textId="4E9708B8" w:rsidR="004C0A67" w:rsidRPr="00361281" w:rsidRDefault="004C0A67" w:rsidP="004C0A67">
            <w:pPr>
              <w:tabs>
                <w:tab w:val="decimal" w:pos="300"/>
              </w:tabs>
              <w:jc w:val="left"/>
              <w:rPr>
                <w:bCs/>
                <w:color w:val="000000"/>
                <w:sz w:val="16"/>
                <w:szCs w:val="16"/>
              </w:rPr>
            </w:pPr>
            <w:r>
              <w:rPr>
                <w:color w:val="000000"/>
                <w:sz w:val="16"/>
                <w:szCs w:val="16"/>
              </w:rPr>
              <w:t>59.8</w:t>
            </w:r>
          </w:p>
        </w:tc>
        <w:tc>
          <w:tcPr>
            <w:tcW w:w="840" w:type="dxa"/>
            <w:tcBorders>
              <w:top w:val="single" w:sz="4" w:space="0" w:color="C6D9F1"/>
              <w:bottom w:val="single" w:sz="4" w:space="0" w:color="C6D9F1"/>
            </w:tcBorders>
            <w:vAlign w:val="center"/>
          </w:tcPr>
          <w:p w14:paraId="2EEC5265" w14:textId="62340AD1"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19.8</w:t>
            </w:r>
          </w:p>
        </w:tc>
      </w:tr>
      <w:tr w:rsidR="004C0A67" w:rsidRPr="00C168B2" w14:paraId="704FAEFA" w14:textId="77777777" w:rsidTr="004C0A67">
        <w:tc>
          <w:tcPr>
            <w:tcW w:w="708" w:type="dxa"/>
            <w:tcBorders>
              <w:top w:val="single" w:sz="4" w:space="0" w:color="C6D9F1"/>
              <w:bottom w:val="single" w:sz="4" w:space="0" w:color="C6D9F1"/>
            </w:tcBorders>
            <w:vAlign w:val="center"/>
            <w:hideMark/>
          </w:tcPr>
          <w:p w14:paraId="156353C7"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621F96F1" w:rsidR="004C0A67" w:rsidRPr="00361281" w:rsidRDefault="004C0A67" w:rsidP="004C0A67">
            <w:pPr>
              <w:tabs>
                <w:tab w:val="decimal" w:pos="300"/>
              </w:tabs>
              <w:jc w:val="left"/>
              <w:rPr>
                <w:bCs/>
                <w:color w:val="000000"/>
                <w:sz w:val="16"/>
                <w:szCs w:val="16"/>
                <w:lang w:val="es-MX" w:eastAsia="es-MX"/>
              </w:rPr>
            </w:pPr>
            <w:r>
              <w:rPr>
                <w:color w:val="000000"/>
                <w:sz w:val="16"/>
                <w:szCs w:val="16"/>
              </w:rPr>
              <w:t>72.4</w:t>
            </w:r>
          </w:p>
        </w:tc>
        <w:tc>
          <w:tcPr>
            <w:tcW w:w="769" w:type="dxa"/>
            <w:tcBorders>
              <w:top w:val="single" w:sz="4" w:space="0" w:color="C6D9F1"/>
              <w:bottom w:val="single" w:sz="4" w:space="0" w:color="C6D9F1"/>
              <w:right w:val="single" w:sz="6" w:space="0" w:color="1F497D" w:themeColor="text2"/>
            </w:tcBorders>
            <w:vAlign w:val="center"/>
          </w:tcPr>
          <w:p w14:paraId="2C7E5316" w14:textId="0B41DF27" w:rsidR="004C0A67" w:rsidRPr="00361281" w:rsidRDefault="004C0A67" w:rsidP="004C0A67">
            <w:pPr>
              <w:tabs>
                <w:tab w:val="decimal" w:pos="300"/>
              </w:tabs>
              <w:jc w:val="left"/>
              <w:rPr>
                <w:bCs/>
                <w:color w:val="000000"/>
                <w:sz w:val="16"/>
                <w:szCs w:val="16"/>
              </w:rPr>
            </w:pPr>
            <w:r>
              <w:rPr>
                <w:color w:val="000000"/>
                <w:sz w:val="16"/>
                <w:szCs w:val="16"/>
              </w:rPr>
              <w:t>61.8</w:t>
            </w:r>
          </w:p>
        </w:tc>
        <w:tc>
          <w:tcPr>
            <w:tcW w:w="840" w:type="dxa"/>
            <w:tcBorders>
              <w:top w:val="single" w:sz="4" w:space="0" w:color="C6D9F1"/>
              <w:bottom w:val="single" w:sz="4" w:space="0" w:color="C6D9F1"/>
            </w:tcBorders>
            <w:vAlign w:val="center"/>
          </w:tcPr>
          <w:p w14:paraId="05462D97" w14:textId="06F21191"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10.6</w:t>
            </w:r>
          </w:p>
        </w:tc>
      </w:tr>
      <w:tr w:rsidR="004C0A67" w:rsidRPr="00C168B2" w14:paraId="3D6188F2" w14:textId="77777777" w:rsidTr="004C0A67">
        <w:tc>
          <w:tcPr>
            <w:tcW w:w="708" w:type="dxa"/>
            <w:tcBorders>
              <w:top w:val="single" w:sz="4" w:space="0" w:color="C6D9F1"/>
              <w:bottom w:val="single" w:sz="4" w:space="0" w:color="C6D9F1"/>
            </w:tcBorders>
            <w:vAlign w:val="center"/>
            <w:hideMark/>
          </w:tcPr>
          <w:p w14:paraId="3BF8A4B5"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5A1E85B5" w:rsidR="004C0A67" w:rsidRPr="00361281" w:rsidRDefault="004C0A67" w:rsidP="004C0A67">
            <w:pPr>
              <w:tabs>
                <w:tab w:val="decimal" w:pos="300"/>
              </w:tabs>
              <w:jc w:val="left"/>
              <w:rPr>
                <w:bCs/>
                <w:color w:val="000000"/>
                <w:sz w:val="16"/>
                <w:szCs w:val="16"/>
                <w:lang w:val="es-MX" w:eastAsia="es-MX"/>
              </w:rPr>
            </w:pPr>
            <w:r>
              <w:rPr>
                <w:color w:val="000000"/>
                <w:sz w:val="16"/>
                <w:szCs w:val="16"/>
              </w:rPr>
              <w:t>78.5</w:t>
            </w:r>
          </w:p>
        </w:tc>
        <w:tc>
          <w:tcPr>
            <w:tcW w:w="769" w:type="dxa"/>
            <w:tcBorders>
              <w:top w:val="single" w:sz="4" w:space="0" w:color="C6D9F1"/>
              <w:bottom w:val="single" w:sz="4" w:space="0" w:color="C6D9F1"/>
              <w:right w:val="single" w:sz="6" w:space="0" w:color="1F497D" w:themeColor="text2"/>
            </w:tcBorders>
            <w:vAlign w:val="center"/>
          </w:tcPr>
          <w:p w14:paraId="3F108636" w14:textId="6CFA388F" w:rsidR="004C0A67" w:rsidRPr="00361281" w:rsidRDefault="004C0A67" w:rsidP="004C0A67">
            <w:pPr>
              <w:tabs>
                <w:tab w:val="decimal" w:pos="300"/>
              </w:tabs>
              <w:jc w:val="left"/>
              <w:rPr>
                <w:bCs/>
                <w:color w:val="000000"/>
                <w:sz w:val="16"/>
                <w:szCs w:val="16"/>
              </w:rPr>
            </w:pPr>
            <w:r>
              <w:rPr>
                <w:color w:val="000000"/>
                <w:sz w:val="16"/>
                <w:szCs w:val="16"/>
              </w:rPr>
              <w:t>67.5</w:t>
            </w:r>
          </w:p>
        </w:tc>
        <w:tc>
          <w:tcPr>
            <w:tcW w:w="840" w:type="dxa"/>
            <w:tcBorders>
              <w:top w:val="single" w:sz="4" w:space="0" w:color="C6D9F1"/>
              <w:bottom w:val="single" w:sz="4" w:space="0" w:color="C6D9F1"/>
            </w:tcBorders>
            <w:vAlign w:val="center"/>
          </w:tcPr>
          <w:p w14:paraId="77F998A2" w14:textId="6B54520C"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11.0</w:t>
            </w:r>
          </w:p>
        </w:tc>
      </w:tr>
      <w:tr w:rsidR="004C0A67" w:rsidRPr="00C168B2" w14:paraId="393991CD" w14:textId="77777777" w:rsidTr="004C0A67">
        <w:tc>
          <w:tcPr>
            <w:tcW w:w="708" w:type="dxa"/>
            <w:tcBorders>
              <w:top w:val="single" w:sz="4" w:space="0" w:color="C6D9F1"/>
              <w:bottom w:val="single" w:sz="4" w:space="0" w:color="C6D9F1"/>
            </w:tcBorders>
            <w:vAlign w:val="center"/>
            <w:hideMark/>
          </w:tcPr>
          <w:p w14:paraId="61CF7CC3"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4C0A67" w:rsidRPr="00C168B2" w:rsidRDefault="004C0A67" w:rsidP="004C0A67">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517BC1EE" w:rsidR="004C0A67" w:rsidRPr="00361281" w:rsidRDefault="004C0A67" w:rsidP="004C0A67">
            <w:pPr>
              <w:tabs>
                <w:tab w:val="decimal" w:pos="300"/>
              </w:tabs>
              <w:jc w:val="left"/>
              <w:rPr>
                <w:bCs/>
                <w:color w:val="000000"/>
                <w:sz w:val="16"/>
                <w:szCs w:val="16"/>
                <w:lang w:val="es-MX" w:eastAsia="es-MX"/>
              </w:rPr>
            </w:pPr>
            <w:r>
              <w:rPr>
                <w:color w:val="000000"/>
                <w:sz w:val="16"/>
                <w:szCs w:val="16"/>
              </w:rPr>
              <w:t>84.3</w:t>
            </w:r>
          </w:p>
        </w:tc>
        <w:tc>
          <w:tcPr>
            <w:tcW w:w="769" w:type="dxa"/>
            <w:tcBorders>
              <w:top w:val="single" w:sz="4" w:space="0" w:color="C6D9F1"/>
              <w:bottom w:val="single" w:sz="4" w:space="0" w:color="C6D9F1"/>
              <w:right w:val="single" w:sz="6" w:space="0" w:color="1F497D" w:themeColor="text2"/>
            </w:tcBorders>
            <w:vAlign w:val="center"/>
          </w:tcPr>
          <w:p w14:paraId="1E07081D" w14:textId="066233DD" w:rsidR="004C0A67" w:rsidRPr="00361281" w:rsidRDefault="004C0A67" w:rsidP="004C0A67">
            <w:pPr>
              <w:tabs>
                <w:tab w:val="decimal" w:pos="300"/>
              </w:tabs>
              <w:jc w:val="left"/>
              <w:rPr>
                <w:bCs/>
                <w:color w:val="000000"/>
                <w:sz w:val="16"/>
                <w:szCs w:val="16"/>
              </w:rPr>
            </w:pPr>
            <w:r>
              <w:rPr>
                <w:color w:val="000000"/>
                <w:sz w:val="16"/>
                <w:szCs w:val="16"/>
              </w:rPr>
              <w:t>77.5</w:t>
            </w:r>
          </w:p>
        </w:tc>
        <w:tc>
          <w:tcPr>
            <w:tcW w:w="840" w:type="dxa"/>
            <w:tcBorders>
              <w:top w:val="single" w:sz="4" w:space="0" w:color="C6D9F1"/>
              <w:bottom w:val="single" w:sz="4" w:space="0" w:color="C6D9F1"/>
            </w:tcBorders>
            <w:vAlign w:val="center"/>
          </w:tcPr>
          <w:p w14:paraId="0ECF13DC" w14:textId="54230432"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6.8</w:t>
            </w:r>
          </w:p>
        </w:tc>
      </w:tr>
      <w:tr w:rsidR="004C0A67" w:rsidRPr="00C168B2" w14:paraId="0B09832D" w14:textId="77777777" w:rsidTr="004C0A67">
        <w:tc>
          <w:tcPr>
            <w:tcW w:w="708" w:type="dxa"/>
            <w:tcBorders>
              <w:top w:val="single" w:sz="4" w:space="0" w:color="C6D9F1"/>
              <w:bottom w:val="single" w:sz="4" w:space="0" w:color="C6D9F1"/>
            </w:tcBorders>
            <w:vAlign w:val="center"/>
            <w:hideMark/>
          </w:tcPr>
          <w:p w14:paraId="709B25C2"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61728C4A" w:rsidR="004C0A67" w:rsidRPr="00361281" w:rsidRDefault="004C0A67" w:rsidP="004C0A67">
            <w:pPr>
              <w:tabs>
                <w:tab w:val="decimal" w:pos="300"/>
              </w:tabs>
              <w:jc w:val="left"/>
              <w:rPr>
                <w:bCs/>
                <w:color w:val="000000"/>
                <w:sz w:val="16"/>
                <w:szCs w:val="16"/>
                <w:lang w:val="es-MX" w:eastAsia="es-MX"/>
              </w:rPr>
            </w:pPr>
            <w:r>
              <w:rPr>
                <w:color w:val="000000"/>
                <w:sz w:val="16"/>
                <w:szCs w:val="16"/>
              </w:rPr>
              <w:t>83.9</w:t>
            </w:r>
          </w:p>
        </w:tc>
        <w:tc>
          <w:tcPr>
            <w:tcW w:w="769" w:type="dxa"/>
            <w:tcBorders>
              <w:top w:val="single" w:sz="4" w:space="0" w:color="C6D9F1"/>
              <w:bottom w:val="single" w:sz="4" w:space="0" w:color="C6D9F1"/>
              <w:right w:val="single" w:sz="6" w:space="0" w:color="1F497D" w:themeColor="text2"/>
            </w:tcBorders>
            <w:vAlign w:val="center"/>
          </w:tcPr>
          <w:p w14:paraId="5CF802E3" w14:textId="0D447327" w:rsidR="004C0A67" w:rsidRPr="00361281" w:rsidRDefault="004C0A67" w:rsidP="004C0A67">
            <w:pPr>
              <w:tabs>
                <w:tab w:val="decimal" w:pos="300"/>
              </w:tabs>
              <w:jc w:val="left"/>
              <w:rPr>
                <w:bCs/>
                <w:color w:val="000000"/>
                <w:sz w:val="16"/>
                <w:szCs w:val="16"/>
              </w:rPr>
            </w:pPr>
            <w:r>
              <w:rPr>
                <w:color w:val="000000"/>
                <w:sz w:val="16"/>
                <w:szCs w:val="16"/>
              </w:rPr>
              <w:t>74.3</w:t>
            </w:r>
          </w:p>
        </w:tc>
        <w:tc>
          <w:tcPr>
            <w:tcW w:w="840" w:type="dxa"/>
            <w:tcBorders>
              <w:top w:val="single" w:sz="4" w:space="0" w:color="C6D9F1"/>
              <w:bottom w:val="single" w:sz="4" w:space="0" w:color="C6D9F1"/>
            </w:tcBorders>
            <w:vAlign w:val="center"/>
          </w:tcPr>
          <w:p w14:paraId="3193B813" w14:textId="5F994A01"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9.6</w:t>
            </w:r>
          </w:p>
        </w:tc>
      </w:tr>
      <w:tr w:rsidR="004C0A67" w:rsidRPr="00C168B2" w14:paraId="6E07E4F0" w14:textId="77777777" w:rsidTr="004C0A67">
        <w:tc>
          <w:tcPr>
            <w:tcW w:w="708" w:type="dxa"/>
            <w:tcBorders>
              <w:top w:val="single" w:sz="4" w:space="0" w:color="C6D9F1"/>
              <w:bottom w:val="single" w:sz="4" w:space="0" w:color="C6D9F1"/>
            </w:tcBorders>
            <w:vAlign w:val="center"/>
            <w:hideMark/>
          </w:tcPr>
          <w:p w14:paraId="06FA19C3"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406C6E25" w:rsidR="004C0A67" w:rsidRPr="00361281" w:rsidRDefault="004C0A67" w:rsidP="004C0A67">
            <w:pPr>
              <w:tabs>
                <w:tab w:val="decimal" w:pos="300"/>
              </w:tabs>
              <w:jc w:val="left"/>
              <w:rPr>
                <w:bCs/>
                <w:color w:val="000000"/>
                <w:sz w:val="16"/>
                <w:szCs w:val="16"/>
                <w:lang w:val="es-MX" w:eastAsia="es-MX"/>
              </w:rPr>
            </w:pPr>
            <w:r>
              <w:rPr>
                <w:color w:val="000000"/>
                <w:sz w:val="16"/>
                <w:szCs w:val="16"/>
              </w:rPr>
              <w:t>87.0</w:t>
            </w:r>
          </w:p>
        </w:tc>
        <w:tc>
          <w:tcPr>
            <w:tcW w:w="769" w:type="dxa"/>
            <w:tcBorders>
              <w:top w:val="single" w:sz="4" w:space="0" w:color="C6D9F1"/>
              <w:bottom w:val="single" w:sz="4" w:space="0" w:color="C6D9F1"/>
              <w:right w:val="single" w:sz="6" w:space="0" w:color="1F497D" w:themeColor="text2"/>
            </w:tcBorders>
            <w:vAlign w:val="center"/>
          </w:tcPr>
          <w:p w14:paraId="633C0D8B" w14:textId="5F39950B" w:rsidR="004C0A67" w:rsidRPr="00361281" w:rsidRDefault="004C0A67" w:rsidP="004C0A67">
            <w:pPr>
              <w:tabs>
                <w:tab w:val="decimal" w:pos="300"/>
              </w:tabs>
              <w:jc w:val="left"/>
              <w:rPr>
                <w:bCs/>
                <w:color w:val="000000"/>
                <w:sz w:val="16"/>
                <w:szCs w:val="16"/>
              </w:rPr>
            </w:pPr>
            <w:r>
              <w:rPr>
                <w:color w:val="000000"/>
                <w:sz w:val="16"/>
                <w:szCs w:val="16"/>
              </w:rPr>
              <w:t>65.6</w:t>
            </w:r>
          </w:p>
        </w:tc>
        <w:tc>
          <w:tcPr>
            <w:tcW w:w="840" w:type="dxa"/>
            <w:tcBorders>
              <w:top w:val="single" w:sz="4" w:space="0" w:color="C6D9F1"/>
              <w:bottom w:val="single" w:sz="4" w:space="0" w:color="C6D9F1"/>
            </w:tcBorders>
            <w:vAlign w:val="center"/>
          </w:tcPr>
          <w:p w14:paraId="11E08981" w14:textId="4E3AD185"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21.4</w:t>
            </w:r>
          </w:p>
        </w:tc>
      </w:tr>
      <w:tr w:rsidR="004C0A67" w:rsidRPr="00C168B2" w14:paraId="3CCBEDA3" w14:textId="77777777" w:rsidTr="004C0A67">
        <w:tc>
          <w:tcPr>
            <w:tcW w:w="708" w:type="dxa"/>
            <w:tcBorders>
              <w:top w:val="single" w:sz="4" w:space="0" w:color="C6D9F1"/>
              <w:bottom w:val="single" w:sz="4" w:space="0" w:color="C6D9F1"/>
            </w:tcBorders>
            <w:vAlign w:val="center"/>
            <w:hideMark/>
          </w:tcPr>
          <w:p w14:paraId="3FE6CB8A"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411CB10D" w:rsidR="004C0A67" w:rsidRPr="00361281" w:rsidRDefault="004C0A67" w:rsidP="004C0A67">
            <w:pPr>
              <w:tabs>
                <w:tab w:val="decimal" w:pos="300"/>
              </w:tabs>
              <w:jc w:val="left"/>
              <w:rPr>
                <w:bCs/>
                <w:color w:val="000000"/>
                <w:sz w:val="16"/>
                <w:szCs w:val="16"/>
                <w:lang w:val="es-MX" w:eastAsia="es-MX"/>
              </w:rPr>
            </w:pPr>
            <w:r>
              <w:rPr>
                <w:color w:val="000000"/>
                <w:sz w:val="16"/>
                <w:szCs w:val="16"/>
              </w:rPr>
              <w:t>85.7</w:t>
            </w:r>
          </w:p>
        </w:tc>
        <w:tc>
          <w:tcPr>
            <w:tcW w:w="769" w:type="dxa"/>
            <w:tcBorders>
              <w:top w:val="single" w:sz="4" w:space="0" w:color="C6D9F1"/>
              <w:bottom w:val="single" w:sz="4" w:space="0" w:color="C6D9F1"/>
              <w:right w:val="single" w:sz="6" w:space="0" w:color="1F497D" w:themeColor="text2"/>
            </w:tcBorders>
            <w:vAlign w:val="center"/>
          </w:tcPr>
          <w:p w14:paraId="2CE05EDA" w14:textId="00DE8564" w:rsidR="004C0A67" w:rsidRPr="00361281" w:rsidRDefault="004C0A67" w:rsidP="004C0A67">
            <w:pPr>
              <w:tabs>
                <w:tab w:val="decimal" w:pos="300"/>
              </w:tabs>
              <w:jc w:val="left"/>
              <w:rPr>
                <w:bCs/>
                <w:color w:val="000000"/>
                <w:sz w:val="16"/>
                <w:szCs w:val="16"/>
              </w:rPr>
            </w:pPr>
            <w:r>
              <w:rPr>
                <w:color w:val="000000"/>
                <w:sz w:val="16"/>
                <w:szCs w:val="16"/>
              </w:rPr>
              <w:t>68.1</w:t>
            </w:r>
          </w:p>
        </w:tc>
        <w:tc>
          <w:tcPr>
            <w:tcW w:w="840" w:type="dxa"/>
            <w:tcBorders>
              <w:top w:val="single" w:sz="4" w:space="0" w:color="C6D9F1"/>
              <w:bottom w:val="single" w:sz="4" w:space="0" w:color="C6D9F1"/>
            </w:tcBorders>
            <w:vAlign w:val="center"/>
          </w:tcPr>
          <w:p w14:paraId="36A3965B" w14:textId="19FE7E87"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17.6</w:t>
            </w:r>
          </w:p>
        </w:tc>
      </w:tr>
      <w:tr w:rsidR="004C0A67" w:rsidRPr="00C168B2" w14:paraId="5FBE8D5E" w14:textId="77777777" w:rsidTr="004C0A67">
        <w:tc>
          <w:tcPr>
            <w:tcW w:w="708" w:type="dxa"/>
            <w:tcBorders>
              <w:top w:val="single" w:sz="4" w:space="0" w:color="C6D9F1"/>
              <w:bottom w:val="single" w:sz="8" w:space="0" w:color="1F497D" w:themeColor="text2"/>
            </w:tcBorders>
            <w:vAlign w:val="center"/>
            <w:hideMark/>
          </w:tcPr>
          <w:p w14:paraId="7668521D" w14:textId="77777777" w:rsidR="004C0A67" w:rsidRPr="00C168B2" w:rsidRDefault="004C0A67" w:rsidP="004C0A67">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4C0A67" w:rsidRPr="00C168B2" w:rsidRDefault="004C0A67" w:rsidP="004C0A67">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3F3990A6" w:rsidR="004C0A67" w:rsidRPr="00361281" w:rsidRDefault="004C0A67" w:rsidP="004C0A67">
            <w:pPr>
              <w:tabs>
                <w:tab w:val="decimal" w:pos="300"/>
              </w:tabs>
              <w:jc w:val="left"/>
              <w:rPr>
                <w:bCs/>
                <w:color w:val="000000"/>
                <w:sz w:val="16"/>
                <w:szCs w:val="16"/>
                <w:lang w:val="es-MX" w:eastAsia="es-MX"/>
              </w:rPr>
            </w:pPr>
            <w:r>
              <w:rPr>
                <w:color w:val="000000"/>
                <w:sz w:val="16"/>
                <w:szCs w:val="16"/>
              </w:rPr>
              <w:t>84.4</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23192232" w:rsidR="004C0A67" w:rsidRPr="00361281" w:rsidRDefault="004C0A67" w:rsidP="004C0A67">
            <w:pPr>
              <w:tabs>
                <w:tab w:val="decimal" w:pos="300"/>
              </w:tabs>
              <w:jc w:val="left"/>
              <w:rPr>
                <w:bCs/>
                <w:color w:val="000000"/>
                <w:sz w:val="16"/>
                <w:szCs w:val="16"/>
              </w:rPr>
            </w:pPr>
            <w:r>
              <w:rPr>
                <w:color w:val="000000"/>
                <w:sz w:val="16"/>
                <w:szCs w:val="16"/>
              </w:rPr>
              <w:t>75.5</w:t>
            </w:r>
          </w:p>
        </w:tc>
        <w:tc>
          <w:tcPr>
            <w:tcW w:w="840" w:type="dxa"/>
            <w:tcBorders>
              <w:top w:val="single" w:sz="4" w:space="0" w:color="C6D9F1"/>
              <w:bottom w:val="single" w:sz="8" w:space="0" w:color="1F497D" w:themeColor="text2"/>
            </w:tcBorders>
            <w:vAlign w:val="center"/>
          </w:tcPr>
          <w:p w14:paraId="5213E17E" w14:textId="278FC080" w:rsidR="004C0A67" w:rsidRPr="005D7A99" w:rsidRDefault="004C0A67" w:rsidP="004C0A67">
            <w:pPr>
              <w:tabs>
                <w:tab w:val="left" w:pos="40"/>
                <w:tab w:val="decimal" w:pos="419"/>
              </w:tabs>
              <w:jc w:val="left"/>
              <w:rPr>
                <w:bCs/>
                <w:color w:val="000000"/>
                <w:sz w:val="16"/>
                <w:szCs w:val="16"/>
              </w:rPr>
            </w:pPr>
            <w:r>
              <w:rPr>
                <w:color w:val="000000"/>
                <w:sz w:val="16"/>
                <w:szCs w:val="16"/>
              </w:rPr>
              <w:tab/>
              <w:t>(-)</w:t>
            </w:r>
            <w:r>
              <w:rPr>
                <w:color w:val="000000"/>
                <w:sz w:val="16"/>
                <w:szCs w:val="16"/>
              </w:rPr>
              <w:tab/>
              <w:t>8.9</w:t>
            </w:r>
          </w:p>
        </w:tc>
      </w:tr>
    </w:tbl>
    <w:p w14:paraId="2C422CE3" w14:textId="77777777"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01C0BCDC" w14:textId="77777777" w:rsidR="005D7A99" w:rsidRPr="003537FD" w:rsidRDefault="005D7A99" w:rsidP="00A66035">
      <w:pPr>
        <w:pStyle w:val="p0"/>
        <w:keepLines w:val="0"/>
        <w:spacing w:before="20"/>
        <w:ind w:left="714"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5A1A06D5" w14:textId="77777777" w:rsidR="005D7A99" w:rsidRPr="00C168B2" w:rsidRDefault="005D7A99" w:rsidP="00A66035">
      <w:pPr>
        <w:pStyle w:val="p0"/>
        <w:keepLines w:val="0"/>
        <w:spacing w:before="20"/>
        <w:ind w:left="714" w:right="475"/>
        <w:rPr>
          <w:rFonts w:ascii="Arial" w:hAnsi="Arial"/>
          <w:color w:val="auto"/>
          <w:position w:val="-2"/>
          <w:sz w:val="18"/>
          <w:szCs w:val="18"/>
          <w:vertAlign w:val="superscript"/>
        </w:rPr>
      </w:pPr>
      <w:r w:rsidRPr="003537FD">
        <w:rPr>
          <w:rFonts w:ascii="Arial" w:hAnsi="Arial"/>
          <w:color w:val="auto"/>
          <w:position w:val="-2"/>
          <w:sz w:val="16"/>
          <w:szCs w:val="16"/>
        </w:rPr>
        <w:t>Este indicador se expresa en porcentaje, en virtud de que se obtiene como tal, mediante una pregunta del cuestionario de la EMIM. Es por ello que el resultado tiende a 100.0%, señalando con ello la capacidad de planta efectivamente utilizada en el mes de referencia. Derivado de ello, por diferencia se obtiene el porcentaje referente a la capacidad ociosa.</w:t>
      </w:r>
    </w:p>
    <w:p w14:paraId="3384FB17" w14:textId="77777777" w:rsidR="005D7A99" w:rsidRPr="00C168B2" w:rsidRDefault="005D7A99" w:rsidP="00A66035">
      <w:pPr>
        <w:pStyle w:val="p0"/>
        <w:keepLines w:val="0"/>
        <w:spacing w:before="20" w:line="200" w:lineRule="exact"/>
        <w:ind w:left="714"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0FA16671" w14:textId="5FDDA5BF" w:rsidR="005D7A99" w:rsidRDefault="005D7A99" w:rsidP="00A66035">
      <w:pPr>
        <w:pStyle w:val="p0"/>
        <w:keepLines w:val="0"/>
        <w:spacing w:before="20"/>
        <w:ind w:left="714" w:right="475" w:hanging="141"/>
        <w:rPr>
          <w:rFonts w:ascii="Arial" w:hAnsi="Arial"/>
          <w:color w:val="auto"/>
          <w:sz w:val="16"/>
          <w:szCs w:val="16"/>
        </w:rPr>
      </w:pPr>
      <w:r w:rsidRPr="00C168B2">
        <w:rPr>
          <w:rFonts w:ascii="Arial" w:hAnsi="Arial"/>
          <w:color w:val="auto"/>
          <w:sz w:val="16"/>
          <w:szCs w:val="16"/>
        </w:rPr>
        <w:t>Fuente:</w:t>
      </w:r>
      <w:r>
        <w:rPr>
          <w:rFonts w:ascii="Arial" w:hAnsi="Arial"/>
          <w:color w:val="auto"/>
          <w:sz w:val="16"/>
          <w:szCs w:val="16"/>
        </w:rPr>
        <w:t xml:space="preserve"> </w:t>
      </w:r>
      <w:r w:rsidRPr="00C168B2">
        <w:rPr>
          <w:rFonts w:ascii="Arial" w:hAnsi="Arial"/>
          <w:color w:val="auto"/>
          <w:sz w:val="16"/>
          <w:szCs w:val="16"/>
        </w:rPr>
        <w:t>INEGI.</w:t>
      </w:r>
    </w:p>
    <w:p w14:paraId="49E83D60" w14:textId="1236C559" w:rsidR="005D7A99" w:rsidRDefault="005D7A99">
      <w:pPr>
        <w:jc w:val="left"/>
        <w:rPr>
          <w:rFonts w:ascii="Helvetica" w:hAnsi="Helvetica"/>
          <w:b/>
          <w:i/>
          <w:snapToGrid w:val="0"/>
        </w:rPr>
      </w:pPr>
      <w:r>
        <w:rPr>
          <w:b/>
          <w:i/>
        </w:rPr>
        <w:br w:type="page"/>
      </w:r>
    </w:p>
    <w:p w14:paraId="6B6E3827" w14:textId="77777777" w:rsidR="00AD03E9" w:rsidRPr="004F6067" w:rsidRDefault="00AD03E9" w:rsidP="00AD03E9">
      <w:pPr>
        <w:pStyle w:val="p0"/>
        <w:keepLines w:val="0"/>
        <w:spacing w:before="600"/>
        <w:jc w:val="left"/>
        <w:rPr>
          <w:b/>
          <w:i/>
          <w:color w:val="auto"/>
        </w:rPr>
      </w:pPr>
      <w:r w:rsidRPr="004F6067">
        <w:rPr>
          <w:b/>
          <w:i/>
          <w:color w:val="auto"/>
        </w:rPr>
        <w:lastRenderedPageBreak/>
        <w:t>Nota al usuario</w:t>
      </w:r>
    </w:p>
    <w:p w14:paraId="7E6D1159" w14:textId="6B0F193F" w:rsidR="00AD03E9" w:rsidRPr="004F6067" w:rsidRDefault="00AD03E9" w:rsidP="00AD03E9">
      <w:pPr>
        <w:pStyle w:val="p0"/>
        <w:keepLines w:val="0"/>
        <w:widowControl/>
        <w:rPr>
          <w:color w:val="auto"/>
        </w:rPr>
      </w:pPr>
      <w:r w:rsidRPr="004F6067">
        <w:rPr>
          <w:color w:val="auto"/>
        </w:rPr>
        <w:t>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(EMIM) correspondiente a</w:t>
      </w:r>
      <w:r w:rsidR="00846870" w:rsidRPr="004F6067">
        <w:rPr>
          <w:color w:val="auto"/>
        </w:rPr>
        <w:t>l mes de</w:t>
      </w:r>
      <w:r w:rsidRPr="004F6067">
        <w:rPr>
          <w:color w:val="auto"/>
        </w:rPr>
        <w:t xml:space="preserve"> </w:t>
      </w:r>
      <w:r w:rsidR="005763C8">
        <w:rPr>
          <w:color w:val="auto"/>
        </w:rPr>
        <w:t>juni</w:t>
      </w:r>
      <w:r w:rsidR="00F271AF">
        <w:rPr>
          <w:color w:val="auto"/>
        </w:rPr>
        <w:t>o</w:t>
      </w:r>
      <w:r w:rsidR="00846870" w:rsidRPr="004F6067">
        <w:rPr>
          <w:color w:val="auto"/>
        </w:rPr>
        <w:t>,</w:t>
      </w:r>
      <w:r w:rsidRPr="004F6067">
        <w:rPr>
          <w:color w:val="auto"/>
        </w:rPr>
        <w:t xml:space="preserve"> se realizó en los tiempos establecidos mediante Internet y asistencia telefónica con el fin de evitar el contacto presencial.</w:t>
      </w:r>
    </w:p>
    <w:p w14:paraId="393F73CD" w14:textId="2B2FB6F5" w:rsidR="005F244A" w:rsidRPr="006F5DD3" w:rsidRDefault="00355BF0" w:rsidP="005F244A">
      <w:pPr>
        <w:pStyle w:val="p0"/>
        <w:keepLines w:val="0"/>
        <w:widowControl/>
        <w:rPr>
          <w:rFonts w:ascii="Arial" w:hAnsi="Arial"/>
          <w:snapToGrid/>
          <w:color w:val="auto"/>
          <w:lang w:val="es-MX" w:eastAsia="en-US"/>
        </w:rPr>
      </w:pPr>
      <w:r w:rsidRPr="005D7A99">
        <w:rPr>
          <w:rFonts w:ascii="Arial" w:hAnsi="Arial"/>
          <w:snapToGrid/>
          <w:color w:val="auto"/>
          <w:lang w:val="es-MX" w:eastAsia="en-US"/>
        </w:rPr>
        <w:t xml:space="preserve">En este contexto, la </w:t>
      </w:r>
      <w:r w:rsidR="005D7A99" w:rsidRPr="005D7A99">
        <w:rPr>
          <w:rFonts w:ascii="Arial" w:hAnsi="Arial"/>
          <w:snapToGrid/>
          <w:color w:val="auto"/>
          <w:lang w:val="es-MX" w:eastAsia="en-US"/>
        </w:rPr>
        <w:t>T</w:t>
      </w:r>
      <w:r w:rsidRPr="005D7A99">
        <w:rPr>
          <w:rFonts w:ascii="Arial" w:hAnsi="Arial"/>
          <w:snapToGrid/>
          <w:color w:val="auto"/>
          <w:lang w:val="es-MX" w:eastAsia="en-US"/>
        </w:rPr>
        <w:t xml:space="preserve">asa de no respuesta en dicho mes registró porcentajes apropiados conforme al diseño estadístico de la EMIM, lo que permitió la generación de estadísticas con niveles altos de cobertura y precisión. </w:t>
      </w:r>
      <w:r w:rsidR="006F5DD3" w:rsidRPr="006F5DD3">
        <w:rPr>
          <w:rFonts w:ascii="Arial" w:hAnsi="Arial"/>
          <w:snapToGrid/>
          <w:color w:val="auto"/>
          <w:lang w:val="es-MX" w:eastAsia="en-US"/>
        </w:rPr>
        <w:t>De las 223 clases de actividad que estudia la encuesta solo 16 presentaron problemas, las cuales representan 3.1% con relación a la variable de ingresos del total de las Industrias Manufactureras, entre las que se encuentran la Fabricación de bolsas y películas de plástico flexible, Fabricación de pinturas y recubrimientos, Fabricación de otros productos químicos básicos inorgánicos y Fabricación de estructuras metálicas, para las que se recomienda el uso con reserva de las estimaciones.</w:t>
      </w:r>
    </w:p>
    <w:p w14:paraId="4F65CC7F" w14:textId="63CF51D1" w:rsidR="003E6F4D" w:rsidRDefault="003E6F4D" w:rsidP="00846870">
      <w:pPr>
        <w:pStyle w:val="p0"/>
        <w:keepLines w:val="0"/>
        <w:widowControl/>
        <w:rPr>
          <w:color w:val="auto"/>
        </w:rPr>
      </w:pPr>
      <w:r w:rsidRPr="00665140">
        <w:rPr>
          <w:color w:val="auto"/>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665140">
        <w:rPr>
          <w:color w:val="auto"/>
          <w:lang w:val="es-MX"/>
        </w:rPr>
        <w:t>outliers</w:t>
      </w:r>
      <w:proofErr w:type="spellEnd"/>
      <w:r w:rsidRPr="00665140">
        <w:rPr>
          <w:color w:val="auto"/>
          <w:lang w:val="es-MX"/>
        </w:rPr>
        <w:t>) en los modelos de ajuste estacional para los meses de la contingencia. Lo anterior con el objetivo de que los grandes cambios en las cifras originales no influyan de manera desproporcionada en los factores estacionales utilizados.</w:t>
      </w:r>
    </w:p>
    <w:p w14:paraId="0745FB47" w14:textId="77777777" w:rsidR="00095006" w:rsidRPr="004867D2" w:rsidRDefault="00095006" w:rsidP="003E6F4D">
      <w:pPr>
        <w:pStyle w:val="p0"/>
        <w:keepLines w:val="0"/>
        <w:widowControl/>
        <w:spacing w:before="480"/>
        <w:rPr>
          <w:rFonts w:ascii="Arial" w:hAnsi="Arial"/>
          <w:b/>
          <w:i/>
          <w:color w:val="auto"/>
        </w:rPr>
      </w:pPr>
      <w:r w:rsidRPr="004867D2">
        <w:rPr>
          <w:rFonts w:ascii="Arial" w:hAnsi="Arial"/>
          <w:b/>
          <w:i/>
          <w:color w:val="auto"/>
        </w:rPr>
        <w:t>Nota metodológica</w:t>
      </w:r>
    </w:p>
    <w:p w14:paraId="22C57496"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C167543"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49D4BDA" w14:textId="77777777" w:rsidR="00DA7BD3" w:rsidRPr="00DA7BD3" w:rsidRDefault="00DA7BD3" w:rsidP="006B2FDE">
      <w:pPr>
        <w:pStyle w:val="p0"/>
        <w:keepLines w:val="0"/>
        <w:widowControl/>
        <w:rPr>
          <w:color w:val="auto"/>
        </w:rPr>
      </w:pPr>
      <w:r w:rsidRPr="00DA7BD3">
        <w:rPr>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w:t>
      </w:r>
      <w:r w:rsidRPr="00DA7BD3">
        <w:rPr>
          <w:color w:val="auto"/>
        </w:rPr>
        <w:lastRenderedPageBreak/>
        <w:t>estaciones del año, y otras fluctuaciones estacionales como, por ejemplo, la elevada producción de juguetes en los meses previos a la Navidad provocada por la expectativa de mayores ventas en diciembre.</w:t>
      </w:r>
    </w:p>
    <w:p w14:paraId="3173D319"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437624F2" w14:textId="77777777" w:rsidR="00BB4D99" w:rsidRPr="00DF01D9" w:rsidRDefault="00582021" w:rsidP="00DD3C6B">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67440F7" w14:textId="77777777" w:rsidR="00DA7BD3" w:rsidRPr="00814785" w:rsidRDefault="0022652C" w:rsidP="00DA7BD3">
      <w:pPr>
        <w:spacing w:before="120"/>
        <w:rPr>
          <w:rFonts w:ascii="Calibri" w:hAnsi="Calibri"/>
          <w:color w:val="1F497D"/>
          <w:sz w:val="20"/>
          <w:lang w:eastAsia="en-US"/>
        </w:rPr>
      </w:pPr>
      <w:hyperlink r:id="rId25" w:history="1">
        <w:r w:rsidR="00ED61FC" w:rsidRPr="00203B47">
          <w:rPr>
            <w:rStyle w:val="Hipervnculo"/>
            <w:sz w:val="22"/>
            <w:lang w:eastAsia="en-US"/>
          </w:rPr>
          <w:t>https://www.inegi.org.mx/app/biblioteca/ficha.html?upc=702825099060</w:t>
        </w:r>
      </w:hyperlink>
    </w:p>
    <w:p w14:paraId="54ED1088"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57B0276D" wp14:editId="1BE56887">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25A01237" w14:textId="77777777" w:rsidR="00DA7BD3" w:rsidRPr="00DA7BD3" w:rsidRDefault="00DA7BD3" w:rsidP="00467EDB">
      <w:pPr>
        <w:keepLines/>
        <w:spacing w:before="240"/>
      </w:pPr>
      <w:r w:rsidRPr="00DA7BD3">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08E79589"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7605C2C"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06BCCEB1" w14:textId="77777777" w:rsidR="00DA7BD3" w:rsidRPr="00DA7BD3" w:rsidRDefault="00DA7BD3" w:rsidP="00DA7BD3">
      <w:pPr>
        <w:spacing w:before="240"/>
      </w:pPr>
      <w:r w:rsidRPr="00DA7BD3">
        <w:lastRenderedPageBreak/>
        <w:t>La cobertura de la encuesta permite obtener estimaciones a nivel nacional, por clase de actividad, rama, subsector y sector del SCIAN 2013.</w:t>
      </w:r>
    </w:p>
    <w:p w14:paraId="14521373"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2BC0F0A1" w14:textId="77777777" w:rsidR="00DA7BD3" w:rsidRPr="00DA7BD3" w:rsidRDefault="00DA7BD3" w:rsidP="00DA7BD3">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4EBB5C6C"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04D57A3F"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0CBF82A7" w14:textId="77777777" w:rsidR="00DA7BD3" w:rsidRPr="00DA7BD3" w:rsidRDefault="00DA7BD3" w:rsidP="00DA7BD3">
      <w:pPr>
        <w:spacing w:before="24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A040A40"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7809FAF6"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31ED94AC"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31C3078B" w14:textId="77777777" w:rsidR="009B5782" w:rsidRDefault="009B5782" w:rsidP="006B2FDE">
      <w:pPr>
        <w:spacing w:before="240"/>
        <w:ind w:right="-34"/>
        <w:rPr>
          <w:rFonts w:eastAsiaTheme="minorHAnsi"/>
          <w:lang w:eastAsia="en-US"/>
        </w:rPr>
      </w:pPr>
    </w:p>
    <w:p w14:paraId="026D5425" w14:textId="3A463098" w:rsidR="00DA7BD3" w:rsidRPr="00FC70C5" w:rsidRDefault="00DA7BD3" w:rsidP="006B2FDE">
      <w:pPr>
        <w:spacing w:before="240"/>
        <w:ind w:right="-34"/>
        <w:rPr>
          <w:rStyle w:val="Hipervnculo"/>
          <w:sz w:val="22"/>
        </w:rPr>
      </w:pPr>
      <w:r>
        <w:rPr>
          <w:rFonts w:eastAsiaTheme="minorHAnsi"/>
          <w:lang w:eastAsia="en-US"/>
        </w:rPr>
        <w:lastRenderedPageBreak/>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27" w:history="1">
        <w:r w:rsidR="00BF4CCF" w:rsidRPr="00FC70C5">
          <w:rPr>
            <w:rStyle w:val="Hipervnculo"/>
            <w:sz w:val="22"/>
          </w:rPr>
          <w:t>https://www.inegi.org.mx/programas/emim/2013/</w:t>
        </w:r>
      </w:hyperlink>
    </w:p>
    <w:p w14:paraId="3741B1C2"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6E4D40A9" w14:textId="77777777" w:rsidR="00096FE0" w:rsidRPr="00FC70C5" w:rsidRDefault="00DA7BD3" w:rsidP="00DD3C6B">
      <w:pPr>
        <w:keepNext/>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24B6746E" w14:textId="77777777" w:rsidR="00DA7BD3" w:rsidRPr="00FC70C5" w:rsidRDefault="00DA7BD3" w:rsidP="00DD3C6B">
      <w:pPr>
        <w:pStyle w:val="Default"/>
        <w:keepNext/>
        <w:widowControl w:val="0"/>
        <w:spacing w:before="240"/>
        <w:rPr>
          <w:color w:val="0000FF"/>
          <w:sz w:val="22"/>
          <w:szCs w:val="22"/>
          <w:u w:val="single"/>
        </w:rPr>
      </w:pPr>
      <w:r w:rsidRPr="00FC70C5">
        <w:rPr>
          <w:color w:val="auto"/>
        </w:rPr>
        <w:t xml:space="preserve">Tema: </w:t>
      </w:r>
      <w:hyperlink r:id="rId28" w:history="1">
        <w:r w:rsidRPr="00FC70C5">
          <w:rPr>
            <w:rStyle w:val="Hipervnculo"/>
            <w:sz w:val="22"/>
            <w:szCs w:val="22"/>
          </w:rPr>
          <w:t>https://www.inegi.org.mx/temas/manufacturas/</w:t>
        </w:r>
      </w:hyperlink>
    </w:p>
    <w:p w14:paraId="069D5C22" w14:textId="77777777" w:rsidR="00DA7BD3" w:rsidRPr="00FC70C5" w:rsidRDefault="00DA7BD3" w:rsidP="00DD3C6B">
      <w:pPr>
        <w:pStyle w:val="Default"/>
        <w:keepNext/>
        <w:widowControl w:val="0"/>
        <w:rPr>
          <w:color w:val="0000FF"/>
          <w:sz w:val="22"/>
          <w:szCs w:val="22"/>
          <w:u w:val="single"/>
        </w:rPr>
      </w:pPr>
      <w:r w:rsidRPr="00FC70C5">
        <w:rPr>
          <w:color w:val="auto"/>
        </w:rPr>
        <w:t xml:space="preserve">Programa: </w:t>
      </w:r>
      <w:hyperlink r:id="rId29" w:history="1">
        <w:r w:rsidR="00BF4CCF" w:rsidRPr="00FC70C5">
          <w:rPr>
            <w:rStyle w:val="Hipervnculo"/>
            <w:sz w:val="22"/>
            <w:szCs w:val="22"/>
          </w:rPr>
          <w:t>https://www.inegi.org.mx/programas/emim/2013/</w:t>
        </w:r>
      </w:hyperlink>
    </w:p>
    <w:p w14:paraId="5DE4325B" w14:textId="77777777" w:rsidR="00DA7BD3" w:rsidRPr="00DA7BD3" w:rsidRDefault="00DA7BD3" w:rsidP="00DD3C6B">
      <w:pPr>
        <w:pStyle w:val="Default"/>
        <w:keepNext/>
        <w:widowControl w:val="0"/>
        <w:rPr>
          <w:rStyle w:val="Hipervnculo"/>
          <w:sz w:val="22"/>
          <w:szCs w:val="22"/>
        </w:rPr>
      </w:pPr>
      <w:r w:rsidRPr="00FC70C5">
        <w:rPr>
          <w:color w:val="auto"/>
        </w:rPr>
        <w:t xml:space="preserve">Banco de Información Económica: </w:t>
      </w:r>
      <w:hyperlink r:id="rId30" w:history="1">
        <w:r w:rsidR="00F12F8A" w:rsidRPr="004F7F89">
          <w:rPr>
            <w:rStyle w:val="Hipervnculo"/>
            <w:sz w:val="22"/>
            <w:szCs w:val="22"/>
          </w:rPr>
          <w:t>https://www.inegi.org.mx/sistemas/bie/</w:t>
        </w:r>
      </w:hyperlink>
    </w:p>
    <w:sectPr w:rsidR="00DA7BD3" w:rsidRPr="00DA7BD3"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6DBC9" w14:textId="77777777" w:rsidR="00BA0A7B" w:rsidRDefault="00BA0A7B">
      <w:r>
        <w:separator/>
      </w:r>
    </w:p>
  </w:endnote>
  <w:endnote w:type="continuationSeparator" w:id="0">
    <w:p w14:paraId="39FE4BCD" w14:textId="77777777" w:rsidR="00BA0A7B" w:rsidRDefault="00BA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44CE6" w14:textId="77777777" w:rsidR="002E33F0" w:rsidRPr="00155A97" w:rsidRDefault="002E33F0" w:rsidP="00FE231A">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653FC" w14:textId="77777777" w:rsidR="00F05C55" w:rsidRDefault="00F05C55"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21783" w14:textId="77777777" w:rsidR="00BA0A7B" w:rsidRDefault="00BA0A7B">
      <w:r>
        <w:separator/>
      </w:r>
    </w:p>
  </w:footnote>
  <w:footnote w:type="continuationSeparator" w:id="0">
    <w:p w14:paraId="52B13733" w14:textId="77777777" w:rsidR="00BA0A7B" w:rsidRDefault="00BA0A7B">
      <w:r>
        <w:continuationSeparator/>
      </w:r>
    </w:p>
  </w:footnote>
  <w:footnote w:id="1">
    <w:p w14:paraId="0D51C240" w14:textId="77777777" w:rsidR="002E33F0" w:rsidRPr="00BF4A44" w:rsidRDefault="002E33F0" w:rsidP="002E33F0">
      <w:pPr>
        <w:pStyle w:val="Textonotapie"/>
        <w:ind w:left="196" w:right="-547"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1495B811" w14:textId="77777777" w:rsidR="002E33F0" w:rsidRDefault="002E33F0" w:rsidP="002E33F0">
      <w:pPr>
        <w:pStyle w:val="Textonotapie"/>
        <w:ind w:left="196" w:right="-547"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4EC31B19" w14:textId="77777777" w:rsidR="002E33F0" w:rsidRPr="00BF4A44" w:rsidRDefault="002E33F0" w:rsidP="002E33F0">
      <w:pPr>
        <w:pStyle w:val="Textonotapie"/>
        <w:ind w:left="196" w:hanging="196"/>
      </w:pPr>
    </w:p>
  </w:footnote>
  <w:footnote w:id="3">
    <w:p w14:paraId="2DF36D64" w14:textId="77777777" w:rsidR="002E33F0" w:rsidRPr="00BF4A44" w:rsidRDefault="002E33F0" w:rsidP="002E33F0">
      <w:pPr>
        <w:pStyle w:val="Textonotapie"/>
        <w:ind w:left="196" w:right="-547"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footnote>
  <w:footnote w:id="4">
    <w:p w14:paraId="6EB870F7" w14:textId="77777777" w:rsidR="002E33F0" w:rsidRDefault="002E33F0" w:rsidP="002E33F0">
      <w:pPr>
        <w:pStyle w:val="Textonotapie"/>
        <w:ind w:left="196" w:right="-547" w:hanging="196"/>
        <w:rPr>
          <w:sz w:val="16"/>
          <w:szCs w:val="16"/>
          <w:lang w:val="es-MX" w:eastAsia="en-US"/>
        </w:rPr>
      </w:pPr>
      <w:r>
        <w:rPr>
          <w:rStyle w:val="Refdenotaalpie"/>
        </w:rPr>
        <w:footnoteRef/>
      </w:r>
      <w:r>
        <w:tab/>
      </w:r>
      <w:r w:rsidRPr="005D7A99">
        <w:rPr>
          <w:sz w:val="16"/>
          <w:szCs w:val="16"/>
          <w:lang w:val="es-MX" w:eastAsia="en-US"/>
        </w:rPr>
        <w:t xml:space="preserve">En este contexto, la Tasa de no respuesta en dicho mes registró porcentajes apropiados conforme al diseño estadístico de la EMIM, lo que permitió la generación de estadísticas con niveles altos de cobertura y precisión. </w:t>
      </w:r>
      <w:r w:rsidRPr="006F5DD3">
        <w:rPr>
          <w:sz w:val="16"/>
          <w:szCs w:val="16"/>
          <w:lang w:val="es-MX" w:eastAsia="en-US"/>
        </w:rPr>
        <w:t>De las 223 clases de actividad que estudia la encuesta solo 16 presentaron problemas, las cuales representan 3.1% con relación a la variable de ingresos del total de las Industrias Manufactureras, entre las que se encuentran la Fabricación de bolsas y películas de plástico flexible, Fabricación de pinturas y recubrimientos, Fabricación de otros productos químicos básicos inorgánicos y Fabricación de estructuras metálicas, para las que se recomienda el uso con reserva de las estimaciones.</w:t>
      </w:r>
    </w:p>
    <w:p w14:paraId="34D29331" w14:textId="77777777" w:rsidR="002E33F0" w:rsidRPr="006F5DD3" w:rsidRDefault="002E33F0" w:rsidP="002E33F0">
      <w:pPr>
        <w:pStyle w:val="Textonotapie"/>
        <w:ind w:left="196" w:right="-547" w:hanging="196"/>
        <w:rPr>
          <w:sz w:val="16"/>
          <w:szCs w:val="16"/>
          <w:lang w:val="es-MX"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822A" w14:textId="4281AA84" w:rsidR="002E33F0" w:rsidRPr="00265B8C" w:rsidRDefault="002E33F0" w:rsidP="0022652C">
    <w:pPr>
      <w:pStyle w:val="Encabezado"/>
      <w:framePr w:w="5813" w:hSpace="141" w:wrap="auto" w:vAnchor="text" w:hAnchor="page" w:x="5286" w:y="32"/>
      <w:ind w:left="567" w:hanging="11"/>
      <w:jc w:val="right"/>
      <w:rPr>
        <w:b/>
        <w:color w:val="002060"/>
      </w:rPr>
    </w:pPr>
    <w:r w:rsidRPr="00265B8C">
      <w:rPr>
        <w:b/>
        <w:color w:val="002060"/>
      </w:rPr>
      <w:t xml:space="preserve">COMUNICADO DE PRENSA NÚM. </w:t>
    </w:r>
    <w:r w:rsidR="0022652C">
      <w:rPr>
        <w:b/>
        <w:color w:val="002060"/>
      </w:rPr>
      <w:t>397</w:t>
    </w:r>
    <w:r w:rsidRPr="00265B8C">
      <w:rPr>
        <w:b/>
        <w:color w:val="002060"/>
      </w:rPr>
      <w:t>/</w:t>
    </w:r>
    <w:r>
      <w:rPr>
        <w:b/>
        <w:color w:val="002060"/>
      </w:rPr>
      <w:t>20</w:t>
    </w:r>
  </w:p>
  <w:p w14:paraId="0A3F440D" w14:textId="77777777" w:rsidR="002E33F0" w:rsidRPr="00265B8C" w:rsidRDefault="002E33F0" w:rsidP="0022652C">
    <w:pPr>
      <w:pStyle w:val="Encabezado"/>
      <w:framePr w:w="5813" w:hSpace="141" w:wrap="auto" w:vAnchor="text" w:hAnchor="page" w:x="5286" w:y="32"/>
      <w:ind w:left="567" w:hanging="11"/>
      <w:jc w:val="right"/>
      <w:rPr>
        <w:b/>
        <w:color w:val="002060"/>
        <w:lang w:val="pt-BR"/>
      </w:rPr>
    </w:pPr>
    <w:r>
      <w:rPr>
        <w:b/>
        <w:color w:val="002060"/>
        <w:lang w:val="pt-BR"/>
      </w:rPr>
      <w:t xml:space="preserve">18 </w:t>
    </w:r>
    <w:r w:rsidRPr="00265B8C">
      <w:rPr>
        <w:b/>
        <w:color w:val="002060"/>
        <w:lang w:val="pt-BR"/>
      </w:rPr>
      <w:t>DE</w:t>
    </w:r>
    <w:r>
      <w:rPr>
        <w:b/>
        <w:color w:val="002060"/>
        <w:lang w:val="pt-BR"/>
      </w:rPr>
      <w:t xml:space="preserve"> AGOSTO </w:t>
    </w:r>
    <w:r w:rsidRPr="00265B8C">
      <w:rPr>
        <w:b/>
        <w:color w:val="002060"/>
        <w:lang w:val="pt-BR"/>
      </w:rPr>
      <w:t>DE 20</w:t>
    </w:r>
    <w:r>
      <w:rPr>
        <w:b/>
        <w:color w:val="002060"/>
        <w:lang w:val="pt-BR"/>
      </w:rPr>
      <w:t>20</w:t>
    </w:r>
  </w:p>
  <w:p w14:paraId="38226271" w14:textId="77777777" w:rsidR="002E33F0" w:rsidRPr="00265B8C" w:rsidRDefault="002E33F0" w:rsidP="0022652C">
    <w:pPr>
      <w:pStyle w:val="Encabezado"/>
      <w:framePr w:w="5813" w:hSpace="141" w:wrap="auto" w:vAnchor="text" w:hAnchor="page" w:x="5286"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A2759FA" w14:textId="77777777" w:rsidR="002E33F0" w:rsidRDefault="002E33F0" w:rsidP="00FE231A">
    <w:pPr>
      <w:pStyle w:val="Encabezado"/>
      <w:ind w:left="-993"/>
    </w:pPr>
    <w:r>
      <w:rPr>
        <w:noProof/>
      </w:rPr>
      <w:drawing>
        <wp:inline distT="0" distB="0" distL="0" distR="0" wp14:anchorId="6D0769BE" wp14:editId="50708BDE">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23FC" w14:textId="61875468" w:rsidR="00F05C55" w:rsidRDefault="00F05C55" w:rsidP="002E33F0">
    <w:pPr>
      <w:pStyle w:val="Encabezado"/>
      <w:jc w:val="cente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3718"/>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52C"/>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58C"/>
    <w:rsid w:val="002A1A8C"/>
    <w:rsid w:val="002A24EB"/>
    <w:rsid w:val="002A2C5E"/>
    <w:rsid w:val="002A2D66"/>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5F11"/>
    <w:rsid w:val="002D61C8"/>
    <w:rsid w:val="002D629E"/>
    <w:rsid w:val="002D6E9A"/>
    <w:rsid w:val="002D726B"/>
    <w:rsid w:val="002D75DB"/>
    <w:rsid w:val="002E0067"/>
    <w:rsid w:val="002E02D0"/>
    <w:rsid w:val="002E0489"/>
    <w:rsid w:val="002E04C0"/>
    <w:rsid w:val="002E0544"/>
    <w:rsid w:val="002E1DF4"/>
    <w:rsid w:val="002E2C3B"/>
    <w:rsid w:val="002E33F0"/>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1ABA"/>
    <w:rsid w:val="003E4979"/>
    <w:rsid w:val="003E4B79"/>
    <w:rsid w:val="003E4B85"/>
    <w:rsid w:val="003E581F"/>
    <w:rsid w:val="003E5F16"/>
    <w:rsid w:val="003E634D"/>
    <w:rsid w:val="003E64BB"/>
    <w:rsid w:val="003E6AC1"/>
    <w:rsid w:val="003E6F4D"/>
    <w:rsid w:val="003E7EEA"/>
    <w:rsid w:val="003F01E7"/>
    <w:rsid w:val="003F18CF"/>
    <w:rsid w:val="003F20E2"/>
    <w:rsid w:val="003F2BFE"/>
    <w:rsid w:val="003F347D"/>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5BD"/>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C8"/>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2F4"/>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07FD1"/>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87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1B64"/>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4684"/>
    <w:rsid w:val="009B5782"/>
    <w:rsid w:val="009B5973"/>
    <w:rsid w:val="009B5B48"/>
    <w:rsid w:val="009B62E6"/>
    <w:rsid w:val="009B67C4"/>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3E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A7B"/>
    <w:rsid w:val="00BA0FE9"/>
    <w:rsid w:val="00BA139F"/>
    <w:rsid w:val="00BA1A0B"/>
    <w:rsid w:val="00BA1E85"/>
    <w:rsid w:val="00BA288C"/>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19DE"/>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A56"/>
    <w:rsid w:val="00C72AF3"/>
    <w:rsid w:val="00C730CC"/>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23"/>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73B"/>
    <w:rsid w:val="00F048D4"/>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5F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character" w:customStyle="1" w:styleId="PiedepginaCar">
    <w:name w:val="Pie de página Car"/>
    <w:basedOn w:val="Fuentedeprrafopredeter"/>
    <w:link w:val="Piedepgina"/>
    <w:uiPriority w:val="99"/>
    <w:rsid w:val="002E33F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mim/2013/" TargetMode="External"/><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DATOS!$C$101:$C$172</c:f>
              <c:numCache>
                <c:formatCode>0.0_)</c:formatCode>
                <c:ptCount val="66"/>
                <c:pt idx="0">
                  <c:v>104.319999098488</c:v>
                </c:pt>
                <c:pt idx="1">
                  <c:v>104.53464649658299</c:v>
                </c:pt>
                <c:pt idx="2">
                  <c:v>104.75811205575</c:v>
                </c:pt>
                <c:pt idx="3">
                  <c:v>105.067330469062</c:v>
                </c:pt>
                <c:pt idx="4">
                  <c:v>104.89580346497701</c:v>
                </c:pt>
                <c:pt idx="5">
                  <c:v>105.45339318979801</c:v>
                </c:pt>
                <c:pt idx="6">
                  <c:v>105.70367982387199</c:v>
                </c:pt>
                <c:pt idx="7">
                  <c:v>105.5933159075</c:v>
                </c:pt>
                <c:pt idx="8">
                  <c:v>106.010130379125</c:v>
                </c:pt>
                <c:pt idx="9">
                  <c:v>106.54990877596499</c:v>
                </c:pt>
                <c:pt idx="10">
                  <c:v>106.646967833129</c:v>
                </c:pt>
                <c:pt idx="11">
                  <c:v>106.908737102079</c:v>
                </c:pt>
                <c:pt idx="12">
                  <c:v>107.307420721203</c:v>
                </c:pt>
                <c:pt idx="13">
                  <c:v>107.387885143388</c:v>
                </c:pt>
                <c:pt idx="14">
                  <c:v>107.452613214132</c:v>
                </c:pt>
                <c:pt idx="15">
                  <c:v>107.686496879697</c:v>
                </c:pt>
                <c:pt idx="16">
                  <c:v>107.891720817592</c:v>
                </c:pt>
                <c:pt idx="17">
                  <c:v>108.172489308568</c:v>
                </c:pt>
                <c:pt idx="18">
                  <c:v>108.40887749350701</c:v>
                </c:pt>
                <c:pt idx="19">
                  <c:v>108.946554491339</c:v>
                </c:pt>
                <c:pt idx="20">
                  <c:v>109.422880123715</c:v>
                </c:pt>
                <c:pt idx="21">
                  <c:v>109.661669954673</c:v>
                </c:pt>
                <c:pt idx="22">
                  <c:v>110.05508962163699</c:v>
                </c:pt>
                <c:pt idx="23">
                  <c:v>110.359266286839</c:v>
                </c:pt>
                <c:pt idx="24">
                  <c:v>110.294456471293</c:v>
                </c:pt>
                <c:pt idx="25">
                  <c:v>110.940155263756</c:v>
                </c:pt>
                <c:pt idx="26">
                  <c:v>111.85617744450199</c:v>
                </c:pt>
                <c:pt idx="27">
                  <c:v>111.612578412586</c:v>
                </c:pt>
                <c:pt idx="28">
                  <c:v>111.578497846719</c:v>
                </c:pt>
                <c:pt idx="29">
                  <c:v>112.163810731618</c:v>
                </c:pt>
                <c:pt idx="30">
                  <c:v>112.610094195149</c:v>
                </c:pt>
                <c:pt idx="31">
                  <c:v>113.099023012869</c:v>
                </c:pt>
                <c:pt idx="32">
                  <c:v>113.117661005492</c:v>
                </c:pt>
                <c:pt idx="33">
                  <c:v>113.381464685175</c:v>
                </c:pt>
                <c:pt idx="34">
                  <c:v>113.68026225697901</c:v>
                </c:pt>
                <c:pt idx="35">
                  <c:v>113.804461291232</c:v>
                </c:pt>
                <c:pt idx="36">
                  <c:v>114.00351052447699</c:v>
                </c:pt>
                <c:pt idx="37">
                  <c:v>114.309040924939</c:v>
                </c:pt>
                <c:pt idx="38">
                  <c:v>114.546577870093</c:v>
                </c:pt>
                <c:pt idx="39">
                  <c:v>114.833448216924</c:v>
                </c:pt>
                <c:pt idx="40">
                  <c:v>115.062689275507</c:v>
                </c:pt>
                <c:pt idx="41">
                  <c:v>115.248566303584</c:v>
                </c:pt>
                <c:pt idx="42">
                  <c:v>115.296054500426</c:v>
                </c:pt>
                <c:pt idx="43">
                  <c:v>115.451995279819</c:v>
                </c:pt>
                <c:pt idx="44">
                  <c:v>115.824511372928</c:v>
                </c:pt>
                <c:pt idx="45">
                  <c:v>116.105678354616</c:v>
                </c:pt>
                <c:pt idx="46">
                  <c:v>116.212100805273</c:v>
                </c:pt>
                <c:pt idx="47">
                  <c:v>116.44890247315701</c:v>
                </c:pt>
                <c:pt idx="48">
                  <c:v>116.813981283359</c:v>
                </c:pt>
                <c:pt idx="49">
                  <c:v>116.88200665442</c:v>
                </c:pt>
                <c:pt idx="50">
                  <c:v>116.93621432216599</c:v>
                </c:pt>
                <c:pt idx="51">
                  <c:v>116.55055119561</c:v>
                </c:pt>
                <c:pt idx="52">
                  <c:v>116.651655255821</c:v>
                </c:pt>
                <c:pt idx="53">
                  <c:v>116.521980674709</c:v>
                </c:pt>
                <c:pt idx="54">
                  <c:v>116.384452074984</c:v>
                </c:pt>
                <c:pt idx="55">
                  <c:v>116.235058233461</c:v>
                </c:pt>
                <c:pt idx="56">
                  <c:v>115.733131629537</c:v>
                </c:pt>
                <c:pt idx="57">
                  <c:v>115.325043761112</c:v>
                </c:pt>
                <c:pt idx="58">
                  <c:v>115.04802390007001</c:v>
                </c:pt>
                <c:pt idx="59">
                  <c:v>114.854279665946</c:v>
                </c:pt>
                <c:pt idx="60">
                  <c:v>114.594536784387</c:v>
                </c:pt>
                <c:pt idx="61">
                  <c:v>114.456895865818</c:v>
                </c:pt>
                <c:pt idx="62">
                  <c:v>114.11446141397801</c:v>
                </c:pt>
                <c:pt idx="63">
                  <c:v>111.856530064279</c:v>
                </c:pt>
                <c:pt idx="64">
                  <c:v>109.883512078694</c:v>
                </c:pt>
                <c:pt idx="65">
                  <c:v>109.920440913663</c:v>
                </c:pt>
              </c:numCache>
            </c:numRef>
          </c:val>
          <c:extLst>
            <c:ext xmlns:c16="http://schemas.microsoft.com/office/drawing/2014/chart" uri="{C3380CC4-5D6E-409C-BE32-E72D297353CC}">
              <c16:uniqueId val="{00000000-81A9-451F-8083-40461409552A}"/>
            </c:ext>
          </c:extLst>
        </c:ser>
        <c:dLbls>
          <c:showLegendKey val="0"/>
          <c:showVal val="0"/>
          <c:showCatName val="0"/>
          <c:showSerName val="0"/>
          <c:showPercent val="0"/>
          <c:showBubbleSize val="0"/>
        </c:dLbls>
        <c:gapWidth val="45"/>
        <c:axId val="356917216"/>
        <c:axId val="356916432"/>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DATOS!$D$101:$D$172</c:f>
              <c:numCache>
                <c:formatCode>0.0_)</c:formatCode>
                <c:ptCount val="66"/>
                <c:pt idx="0">
                  <c:v>104.383472754709</c:v>
                </c:pt>
                <c:pt idx="1">
                  <c:v>104.55781854348599</c:v>
                </c:pt>
                <c:pt idx="2">
                  <c:v>104.774047746189</c:v>
                </c:pt>
                <c:pt idx="3">
                  <c:v>105.016109954859</c:v>
                </c:pt>
                <c:pt idx="4">
                  <c:v>105.255378691556</c:v>
                </c:pt>
                <c:pt idx="5">
                  <c:v>105.461871715036</c:v>
                </c:pt>
                <c:pt idx="6">
                  <c:v>105.646129414322</c:v>
                </c:pt>
                <c:pt idx="7">
                  <c:v>105.837108217872</c:v>
                </c:pt>
                <c:pt idx="8">
                  <c:v>106.060126130858</c:v>
                </c:pt>
                <c:pt idx="9">
                  <c:v>106.327026388156</c:v>
                </c:pt>
                <c:pt idx="10">
                  <c:v>106.63310271386401</c:v>
                </c:pt>
                <c:pt idx="11">
                  <c:v>106.929310996314</c:v>
                </c:pt>
                <c:pt idx="12">
                  <c:v>107.170183836801</c:v>
                </c:pt>
                <c:pt idx="13">
                  <c:v>107.354481893564</c:v>
                </c:pt>
                <c:pt idx="14">
                  <c:v>107.513767428272</c:v>
                </c:pt>
                <c:pt idx="15">
                  <c:v>107.678450331525</c:v>
                </c:pt>
                <c:pt idx="16">
                  <c:v>107.884647249205</c:v>
                </c:pt>
                <c:pt idx="17">
                  <c:v>108.170555525978</c:v>
                </c:pt>
                <c:pt idx="18">
                  <c:v>108.526764162319</c:v>
                </c:pt>
                <c:pt idx="19">
                  <c:v>108.926169086752</c:v>
                </c:pt>
                <c:pt idx="20">
                  <c:v>109.335246180643</c:v>
                </c:pt>
                <c:pt idx="21">
                  <c:v>109.71191605020201</c:v>
                </c:pt>
                <c:pt idx="22">
                  <c:v>110.03988784129901</c:v>
                </c:pt>
                <c:pt idx="23">
                  <c:v>110.340770544458</c:v>
                </c:pt>
                <c:pt idx="24">
                  <c:v>110.647611479034</c:v>
                </c:pt>
                <c:pt idx="25">
                  <c:v>110.968591350946</c:v>
                </c:pt>
                <c:pt idx="26">
                  <c:v>111.286550840985</c:v>
                </c:pt>
                <c:pt idx="27">
                  <c:v>111.599703799628</c:v>
                </c:pt>
                <c:pt idx="28">
                  <c:v>111.92094304278901</c:v>
                </c:pt>
                <c:pt idx="29">
                  <c:v>112.254548067139</c:v>
                </c:pt>
                <c:pt idx="30">
                  <c:v>112.587048427413</c:v>
                </c:pt>
                <c:pt idx="31">
                  <c:v>112.902113262848</c:v>
                </c:pt>
                <c:pt idx="32">
                  <c:v>113.178643205808</c:v>
                </c:pt>
                <c:pt idx="33">
                  <c:v>113.40923764547099</c:v>
                </c:pt>
                <c:pt idx="34">
                  <c:v>113.61415123543701</c:v>
                </c:pt>
                <c:pt idx="35">
                  <c:v>113.824287810653</c:v>
                </c:pt>
                <c:pt idx="36">
                  <c:v>114.048824671909</c:v>
                </c:pt>
                <c:pt idx="37">
                  <c:v>114.29154638335601</c:v>
                </c:pt>
                <c:pt idx="38">
                  <c:v>114.56168888131999</c:v>
                </c:pt>
                <c:pt idx="39">
                  <c:v>114.82548047949599</c:v>
                </c:pt>
                <c:pt idx="40">
                  <c:v>115.033339926789</c:v>
                </c:pt>
                <c:pt idx="41">
                  <c:v>115.19119959594499</c:v>
                </c:pt>
                <c:pt idx="42">
                  <c:v>115.349713426186</c:v>
                </c:pt>
                <c:pt idx="43">
                  <c:v>115.543997395102</c:v>
                </c:pt>
                <c:pt idx="44">
                  <c:v>115.773724089837</c:v>
                </c:pt>
                <c:pt idx="45">
                  <c:v>116.02660910660001</c:v>
                </c:pt>
                <c:pt idx="46">
                  <c:v>116.280948066555</c:v>
                </c:pt>
                <c:pt idx="47">
                  <c:v>116.523553965631</c:v>
                </c:pt>
                <c:pt idx="48">
                  <c:v>116.732535261683</c:v>
                </c:pt>
                <c:pt idx="49">
                  <c:v>116.866188116374</c:v>
                </c:pt>
                <c:pt idx="50">
                  <c:v>116.884004118197</c:v>
                </c:pt>
                <c:pt idx="51">
                  <c:v>116.79917578412601</c:v>
                </c:pt>
                <c:pt idx="52">
                  <c:v>116.67766439846901</c:v>
                </c:pt>
                <c:pt idx="53">
                  <c:v>116.544808467138</c:v>
                </c:pt>
                <c:pt idx="54">
                  <c:v>116.3621752742</c:v>
                </c:pt>
                <c:pt idx="55">
                  <c:v>116.09480149909299</c:v>
                </c:pt>
                <c:pt idx="56">
                  <c:v>115.75155107013499</c:v>
                </c:pt>
                <c:pt idx="57">
                  <c:v>115.389852344635</c:v>
                </c:pt>
                <c:pt idx="58">
                  <c:v>115.075833081122</c:v>
                </c:pt>
                <c:pt idx="59">
                  <c:v>114.82453816883501</c:v>
                </c:pt>
                <c:pt idx="60">
                  <c:v>114.60390666737</c:v>
                </c:pt>
                <c:pt idx="61">
                  <c:v>114.383290230787</c:v>
                </c:pt>
                <c:pt idx="62">
                  <c:v>114.17569991393199</c:v>
                </c:pt>
                <c:pt idx="63">
                  <c:v>114.01699953336799</c:v>
                </c:pt>
                <c:pt idx="64">
                  <c:v>113.91953048969</c:v>
                </c:pt>
                <c:pt idx="65">
                  <c:v>113.86226213598</c:v>
                </c:pt>
              </c:numCache>
            </c:numRef>
          </c:val>
          <c:smooth val="0"/>
          <c:extLst>
            <c:ext xmlns:c16="http://schemas.microsoft.com/office/drawing/2014/chart" uri="{C3380CC4-5D6E-409C-BE32-E72D297353CC}">
              <c16:uniqueId val="{00000001-81A9-451F-8083-40461409552A}"/>
            </c:ext>
          </c:extLst>
        </c:ser>
        <c:dLbls>
          <c:showLegendKey val="0"/>
          <c:showVal val="0"/>
          <c:showCatName val="0"/>
          <c:showSerName val="0"/>
          <c:showPercent val="0"/>
          <c:showBubbleSize val="0"/>
        </c:dLbls>
        <c:marker val="1"/>
        <c:smooth val="0"/>
        <c:axId val="356917216"/>
        <c:axId val="356916432"/>
      </c:lineChart>
      <c:catAx>
        <c:axId val="35691721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6916432"/>
        <c:crosses val="autoZero"/>
        <c:auto val="1"/>
        <c:lblAlgn val="ctr"/>
        <c:lblOffset val="100"/>
        <c:tickLblSkip val="1"/>
        <c:tickMarkSkip val="12"/>
        <c:noMultiLvlLbl val="1"/>
      </c:catAx>
      <c:valAx>
        <c:axId val="35691643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691721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DATOS!$C$101:$C$172</c:f>
              <c:numCache>
                <c:formatCode>0.0_)</c:formatCode>
                <c:ptCount val="66"/>
                <c:pt idx="0">
                  <c:v>104.319999098488</c:v>
                </c:pt>
                <c:pt idx="1">
                  <c:v>104.53464649658299</c:v>
                </c:pt>
                <c:pt idx="2">
                  <c:v>104.75811205575</c:v>
                </c:pt>
                <c:pt idx="3">
                  <c:v>105.067330469062</c:v>
                </c:pt>
                <c:pt idx="4">
                  <c:v>104.89580346497701</c:v>
                </c:pt>
                <c:pt idx="5">
                  <c:v>105.45339318979801</c:v>
                </c:pt>
                <c:pt idx="6">
                  <c:v>105.70367982387199</c:v>
                </c:pt>
                <c:pt idx="7">
                  <c:v>105.5933159075</c:v>
                </c:pt>
                <c:pt idx="8">
                  <c:v>106.010130379125</c:v>
                </c:pt>
                <c:pt idx="9">
                  <c:v>106.54990877596499</c:v>
                </c:pt>
                <c:pt idx="10">
                  <c:v>106.646967833129</c:v>
                </c:pt>
                <c:pt idx="11">
                  <c:v>106.908737102079</c:v>
                </c:pt>
                <c:pt idx="12">
                  <c:v>107.307420721203</c:v>
                </c:pt>
                <c:pt idx="13">
                  <c:v>107.387885143388</c:v>
                </c:pt>
                <c:pt idx="14">
                  <c:v>107.452613214132</c:v>
                </c:pt>
                <c:pt idx="15">
                  <c:v>107.686496879697</c:v>
                </c:pt>
                <c:pt idx="16">
                  <c:v>107.891720817592</c:v>
                </c:pt>
                <c:pt idx="17">
                  <c:v>108.172489308568</c:v>
                </c:pt>
                <c:pt idx="18">
                  <c:v>108.40887749350701</c:v>
                </c:pt>
                <c:pt idx="19">
                  <c:v>108.946554491339</c:v>
                </c:pt>
                <c:pt idx="20">
                  <c:v>109.422880123715</c:v>
                </c:pt>
                <c:pt idx="21">
                  <c:v>109.661669954673</c:v>
                </c:pt>
                <c:pt idx="22">
                  <c:v>110.05508962163699</c:v>
                </c:pt>
                <c:pt idx="23">
                  <c:v>110.359266286839</c:v>
                </c:pt>
                <c:pt idx="24">
                  <c:v>110.294456471293</c:v>
                </c:pt>
                <c:pt idx="25">
                  <c:v>110.940155263756</c:v>
                </c:pt>
                <c:pt idx="26">
                  <c:v>111.85617744450199</c:v>
                </c:pt>
                <c:pt idx="27">
                  <c:v>111.612578412586</c:v>
                </c:pt>
                <c:pt idx="28">
                  <c:v>111.578497846719</c:v>
                </c:pt>
                <c:pt idx="29">
                  <c:v>112.163810731618</c:v>
                </c:pt>
                <c:pt idx="30">
                  <c:v>112.610094195149</c:v>
                </c:pt>
                <c:pt idx="31">
                  <c:v>113.099023012869</c:v>
                </c:pt>
                <c:pt idx="32">
                  <c:v>113.117661005492</c:v>
                </c:pt>
                <c:pt idx="33">
                  <c:v>113.381464685175</c:v>
                </c:pt>
                <c:pt idx="34">
                  <c:v>113.68026225697901</c:v>
                </c:pt>
                <c:pt idx="35">
                  <c:v>113.804461291232</c:v>
                </c:pt>
                <c:pt idx="36">
                  <c:v>114.00351052447699</c:v>
                </c:pt>
                <c:pt idx="37">
                  <c:v>114.309040924939</c:v>
                </c:pt>
                <c:pt idx="38">
                  <c:v>114.546577870093</c:v>
                </c:pt>
                <c:pt idx="39">
                  <c:v>114.833448216924</c:v>
                </c:pt>
                <c:pt idx="40">
                  <c:v>115.062689275507</c:v>
                </c:pt>
                <c:pt idx="41">
                  <c:v>115.248566303584</c:v>
                </c:pt>
                <c:pt idx="42">
                  <c:v>115.296054500426</c:v>
                </c:pt>
                <c:pt idx="43">
                  <c:v>115.451995279819</c:v>
                </c:pt>
                <c:pt idx="44">
                  <c:v>115.824511372928</c:v>
                </c:pt>
                <c:pt idx="45">
                  <c:v>116.105678354616</c:v>
                </c:pt>
                <c:pt idx="46">
                  <c:v>116.212100805273</c:v>
                </c:pt>
                <c:pt idx="47">
                  <c:v>116.44890247315701</c:v>
                </c:pt>
                <c:pt idx="48">
                  <c:v>116.813981283359</c:v>
                </c:pt>
                <c:pt idx="49">
                  <c:v>116.88200665442</c:v>
                </c:pt>
                <c:pt idx="50">
                  <c:v>116.93621432216599</c:v>
                </c:pt>
                <c:pt idx="51">
                  <c:v>116.55055119561</c:v>
                </c:pt>
                <c:pt idx="52">
                  <c:v>116.651655255821</c:v>
                </c:pt>
                <c:pt idx="53">
                  <c:v>116.521980674709</c:v>
                </c:pt>
                <c:pt idx="54">
                  <c:v>116.384452074984</c:v>
                </c:pt>
                <c:pt idx="55">
                  <c:v>116.235058233461</c:v>
                </c:pt>
                <c:pt idx="56">
                  <c:v>115.733131629537</c:v>
                </c:pt>
                <c:pt idx="57">
                  <c:v>115.325043761112</c:v>
                </c:pt>
                <c:pt idx="58">
                  <c:v>115.04802390007001</c:v>
                </c:pt>
                <c:pt idx="59">
                  <c:v>114.854279665946</c:v>
                </c:pt>
                <c:pt idx="60">
                  <c:v>114.594536784387</c:v>
                </c:pt>
                <c:pt idx="61">
                  <c:v>114.456895865818</c:v>
                </c:pt>
                <c:pt idx="62">
                  <c:v>114.11446141397801</c:v>
                </c:pt>
                <c:pt idx="63">
                  <c:v>111.856530064279</c:v>
                </c:pt>
                <c:pt idx="64">
                  <c:v>109.883512078694</c:v>
                </c:pt>
                <c:pt idx="65">
                  <c:v>109.920440913663</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356917216"/>
        <c:axId val="356916432"/>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DATOS!$D$101:$D$172</c:f>
              <c:numCache>
                <c:formatCode>0.0_)</c:formatCode>
                <c:ptCount val="66"/>
                <c:pt idx="0">
                  <c:v>104.383472754709</c:v>
                </c:pt>
                <c:pt idx="1">
                  <c:v>104.55781854348599</c:v>
                </c:pt>
                <c:pt idx="2">
                  <c:v>104.774047746189</c:v>
                </c:pt>
                <c:pt idx="3">
                  <c:v>105.016109954859</c:v>
                </c:pt>
                <c:pt idx="4">
                  <c:v>105.255378691556</c:v>
                </c:pt>
                <c:pt idx="5">
                  <c:v>105.461871715036</c:v>
                </c:pt>
                <c:pt idx="6">
                  <c:v>105.646129414322</c:v>
                </c:pt>
                <c:pt idx="7">
                  <c:v>105.837108217872</c:v>
                </c:pt>
                <c:pt idx="8">
                  <c:v>106.060126130858</c:v>
                </c:pt>
                <c:pt idx="9">
                  <c:v>106.327026388156</c:v>
                </c:pt>
                <c:pt idx="10">
                  <c:v>106.63310271386401</c:v>
                </c:pt>
                <c:pt idx="11">
                  <c:v>106.929310996314</c:v>
                </c:pt>
                <c:pt idx="12">
                  <c:v>107.170183836801</c:v>
                </c:pt>
                <c:pt idx="13">
                  <c:v>107.354481893564</c:v>
                </c:pt>
                <c:pt idx="14">
                  <c:v>107.513767428272</c:v>
                </c:pt>
                <c:pt idx="15">
                  <c:v>107.678450331525</c:v>
                </c:pt>
                <c:pt idx="16">
                  <c:v>107.884647249205</c:v>
                </c:pt>
                <c:pt idx="17">
                  <c:v>108.170555525978</c:v>
                </c:pt>
                <c:pt idx="18">
                  <c:v>108.526764162319</c:v>
                </c:pt>
                <c:pt idx="19">
                  <c:v>108.926169086752</c:v>
                </c:pt>
                <c:pt idx="20">
                  <c:v>109.335246180643</c:v>
                </c:pt>
                <c:pt idx="21">
                  <c:v>109.71191605020201</c:v>
                </c:pt>
                <c:pt idx="22">
                  <c:v>110.03988784129901</c:v>
                </c:pt>
                <c:pt idx="23">
                  <c:v>110.340770544458</c:v>
                </c:pt>
                <c:pt idx="24">
                  <c:v>110.647611479034</c:v>
                </c:pt>
                <c:pt idx="25">
                  <c:v>110.968591350946</c:v>
                </c:pt>
                <c:pt idx="26">
                  <c:v>111.286550840985</c:v>
                </c:pt>
                <c:pt idx="27">
                  <c:v>111.599703799628</c:v>
                </c:pt>
                <c:pt idx="28">
                  <c:v>111.92094304278901</c:v>
                </c:pt>
                <c:pt idx="29">
                  <c:v>112.254548067139</c:v>
                </c:pt>
                <c:pt idx="30">
                  <c:v>112.587048427413</c:v>
                </c:pt>
                <c:pt idx="31">
                  <c:v>112.902113262848</c:v>
                </c:pt>
                <c:pt idx="32">
                  <c:v>113.178643205808</c:v>
                </c:pt>
                <c:pt idx="33">
                  <c:v>113.40923764547099</c:v>
                </c:pt>
                <c:pt idx="34">
                  <c:v>113.61415123543701</c:v>
                </c:pt>
                <c:pt idx="35">
                  <c:v>113.824287810653</c:v>
                </c:pt>
                <c:pt idx="36">
                  <c:v>114.048824671909</c:v>
                </c:pt>
                <c:pt idx="37">
                  <c:v>114.29154638335601</c:v>
                </c:pt>
                <c:pt idx="38">
                  <c:v>114.56168888131999</c:v>
                </c:pt>
                <c:pt idx="39">
                  <c:v>114.82548047949599</c:v>
                </c:pt>
                <c:pt idx="40">
                  <c:v>115.033339926789</c:v>
                </c:pt>
                <c:pt idx="41">
                  <c:v>115.19119959594499</c:v>
                </c:pt>
                <c:pt idx="42">
                  <c:v>115.349713426186</c:v>
                </c:pt>
                <c:pt idx="43">
                  <c:v>115.543997395102</c:v>
                </c:pt>
                <c:pt idx="44">
                  <c:v>115.773724089837</c:v>
                </c:pt>
                <c:pt idx="45">
                  <c:v>116.02660910660001</c:v>
                </c:pt>
                <c:pt idx="46">
                  <c:v>116.280948066555</c:v>
                </c:pt>
                <c:pt idx="47">
                  <c:v>116.523553965631</c:v>
                </c:pt>
                <c:pt idx="48">
                  <c:v>116.732535261683</c:v>
                </c:pt>
                <c:pt idx="49">
                  <c:v>116.866188116374</c:v>
                </c:pt>
                <c:pt idx="50">
                  <c:v>116.884004118197</c:v>
                </c:pt>
                <c:pt idx="51">
                  <c:v>116.79917578412601</c:v>
                </c:pt>
                <c:pt idx="52">
                  <c:v>116.67766439846901</c:v>
                </c:pt>
                <c:pt idx="53">
                  <c:v>116.544808467138</c:v>
                </c:pt>
                <c:pt idx="54">
                  <c:v>116.3621752742</c:v>
                </c:pt>
                <c:pt idx="55">
                  <c:v>116.09480149909299</c:v>
                </c:pt>
                <c:pt idx="56">
                  <c:v>115.75155107013499</c:v>
                </c:pt>
                <c:pt idx="57">
                  <c:v>115.389852344635</c:v>
                </c:pt>
                <c:pt idx="58">
                  <c:v>115.075833081122</c:v>
                </c:pt>
                <c:pt idx="59">
                  <c:v>114.82453816883501</c:v>
                </c:pt>
                <c:pt idx="60">
                  <c:v>114.60390666737</c:v>
                </c:pt>
                <c:pt idx="61">
                  <c:v>114.383290230787</c:v>
                </c:pt>
                <c:pt idx="62">
                  <c:v>114.17569991393199</c:v>
                </c:pt>
                <c:pt idx="63">
                  <c:v>114.01699953336799</c:v>
                </c:pt>
                <c:pt idx="64">
                  <c:v>113.91953048969</c:v>
                </c:pt>
                <c:pt idx="65">
                  <c:v>113.86226213598</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356917216"/>
        <c:axId val="356916432"/>
      </c:lineChart>
      <c:catAx>
        <c:axId val="35691721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6916432"/>
        <c:crosses val="autoZero"/>
        <c:auto val="1"/>
        <c:lblAlgn val="ctr"/>
        <c:lblOffset val="100"/>
        <c:tickLblSkip val="1"/>
        <c:tickMarkSkip val="12"/>
        <c:noMultiLvlLbl val="1"/>
      </c:catAx>
      <c:valAx>
        <c:axId val="35691643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691721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DATOS!$E$101:$E$172</c:f>
              <c:numCache>
                <c:formatCode>0.0_)</c:formatCode>
                <c:ptCount val="66"/>
                <c:pt idx="0">
                  <c:v>102.85827676903401</c:v>
                </c:pt>
                <c:pt idx="1">
                  <c:v>104.08806166810101</c:v>
                </c:pt>
                <c:pt idx="2">
                  <c:v>104.04934867509</c:v>
                </c:pt>
                <c:pt idx="3">
                  <c:v>105.067819210594</c:v>
                </c:pt>
                <c:pt idx="4">
                  <c:v>104.223602389993</c:v>
                </c:pt>
                <c:pt idx="5">
                  <c:v>104.73953023044299</c:v>
                </c:pt>
                <c:pt idx="6">
                  <c:v>105.21664980041</c:v>
                </c:pt>
                <c:pt idx="7">
                  <c:v>105.053432316412</c:v>
                </c:pt>
                <c:pt idx="8">
                  <c:v>105.406490794649</c:v>
                </c:pt>
                <c:pt idx="9">
                  <c:v>105.900960116326</c:v>
                </c:pt>
                <c:pt idx="10">
                  <c:v>106.215097888739</c:v>
                </c:pt>
                <c:pt idx="11">
                  <c:v>105.812834686888</c:v>
                </c:pt>
                <c:pt idx="12">
                  <c:v>106.53094753132901</c:v>
                </c:pt>
                <c:pt idx="13">
                  <c:v>106.813597565884</c:v>
                </c:pt>
                <c:pt idx="14">
                  <c:v>107.083437555145</c:v>
                </c:pt>
                <c:pt idx="15">
                  <c:v>107.376993395865</c:v>
                </c:pt>
                <c:pt idx="16">
                  <c:v>108.27618533218001</c:v>
                </c:pt>
                <c:pt idx="17">
                  <c:v>107.998535860118</c:v>
                </c:pt>
                <c:pt idx="18">
                  <c:v>107.87098478127299</c:v>
                </c:pt>
                <c:pt idx="19">
                  <c:v>108.570668139315</c:v>
                </c:pt>
                <c:pt idx="20">
                  <c:v>109.03298896464</c:v>
                </c:pt>
                <c:pt idx="21">
                  <c:v>109.26911529730501</c:v>
                </c:pt>
                <c:pt idx="22">
                  <c:v>109.90345842281999</c:v>
                </c:pt>
                <c:pt idx="23">
                  <c:v>111.11712553919</c:v>
                </c:pt>
                <c:pt idx="24">
                  <c:v>111.42138366327001</c:v>
                </c:pt>
                <c:pt idx="25">
                  <c:v>110.74524152647599</c:v>
                </c:pt>
                <c:pt idx="26">
                  <c:v>112.32298271304801</c:v>
                </c:pt>
                <c:pt idx="27">
                  <c:v>111.404109751709</c:v>
                </c:pt>
                <c:pt idx="28">
                  <c:v>111.99962641944801</c:v>
                </c:pt>
                <c:pt idx="29">
                  <c:v>112.79721799619701</c:v>
                </c:pt>
                <c:pt idx="30">
                  <c:v>112.62608514990001</c:v>
                </c:pt>
                <c:pt idx="31">
                  <c:v>113.186129821891</c:v>
                </c:pt>
                <c:pt idx="32">
                  <c:v>113.008737617158</c:v>
                </c:pt>
                <c:pt idx="33">
                  <c:v>113.094148688743</c:v>
                </c:pt>
                <c:pt idx="34">
                  <c:v>113.47655927720599</c:v>
                </c:pt>
                <c:pt idx="35">
                  <c:v>114.82312802734</c:v>
                </c:pt>
                <c:pt idx="36">
                  <c:v>113.89963171260401</c:v>
                </c:pt>
                <c:pt idx="37">
                  <c:v>114.027117815949</c:v>
                </c:pt>
                <c:pt idx="38">
                  <c:v>114.80948851525901</c:v>
                </c:pt>
                <c:pt idx="39">
                  <c:v>114.992546957549</c:v>
                </c:pt>
                <c:pt idx="40">
                  <c:v>115.396348537723</c:v>
                </c:pt>
                <c:pt idx="41">
                  <c:v>115.0608534907</c:v>
                </c:pt>
                <c:pt idx="42">
                  <c:v>115.795649630726</c:v>
                </c:pt>
                <c:pt idx="43">
                  <c:v>115.819018946421</c:v>
                </c:pt>
                <c:pt idx="44">
                  <c:v>116.461637356677</c:v>
                </c:pt>
                <c:pt idx="45">
                  <c:v>116.38791019345101</c:v>
                </c:pt>
                <c:pt idx="46">
                  <c:v>116.450103515235</c:v>
                </c:pt>
                <c:pt idx="47">
                  <c:v>116.002226599157</c:v>
                </c:pt>
                <c:pt idx="48">
                  <c:v>116.431247154703</c:v>
                </c:pt>
                <c:pt idx="49">
                  <c:v>116.550877952555</c:v>
                </c:pt>
                <c:pt idx="50">
                  <c:v>116.209995981918</c:v>
                </c:pt>
                <c:pt idx="51">
                  <c:v>116.46459005120001</c:v>
                </c:pt>
                <c:pt idx="52">
                  <c:v>116.307431197616</c:v>
                </c:pt>
                <c:pt idx="53">
                  <c:v>115.920488055804</c:v>
                </c:pt>
                <c:pt idx="54">
                  <c:v>117.06518578407101</c:v>
                </c:pt>
                <c:pt idx="55">
                  <c:v>115.773427526579</c:v>
                </c:pt>
                <c:pt idx="56">
                  <c:v>114.78891964853401</c:v>
                </c:pt>
                <c:pt idx="57">
                  <c:v>114.493037626725</c:v>
                </c:pt>
                <c:pt idx="58">
                  <c:v>113.986074635035</c:v>
                </c:pt>
                <c:pt idx="59">
                  <c:v>113.73712409300001</c:v>
                </c:pt>
                <c:pt idx="60">
                  <c:v>113.087354563265</c:v>
                </c:pt>
                <c:pt idx="61">
                  <c:v>113.535877997691</c:v>
                </c:pt>
                <c:pt idx="62">
                  <c:v>111.741573713817</c:v>
                </c:pt>
                <c:pt idx="63">
                  <c:v>79.7980804833321</c:v>
                </c:pt>
                <c:pt idx="64">
                  <c:v>84.320508158715498</c:v>
                </c:pt>
                <c:pt idx="65">
                  <c:v>99.315673923782796</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356918000"/>
        <c:axId val="356918392"/>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DATOS!$F$101:$F$172</c:f>
              <c:numCache>
                <c:formatCode>0.0_)</c:formatCode>
                <c:ptCount val="66"/>
                <c:pt idx="0">
                  <c:v>103.84829629414401</c:v>
                </c:pt>
                <c:pt idx="1">
                  <c:v>103.97999001018999</c:v>
                </c:pt>
                <c:pt idx="2">
                  <c:v>104.107091642168</c:v>
                </c:pt>
                <c:pt idx="3">
                  <c:v>104.255700084152</c:v>
                </c:pt>
                <c:pt idx="4">
                  <c:v>104.46117782101101</c:v>
                </c:pt>
                <c:pt idx="5">
                  <c:v>104.702510490495</c:v>
                </c:pt>
                <c:pt idx="6">
                  <c:v>104.959249085102</c:v>
                </c:pt>
                <c:pt idx="7">
                  <c:v>105.24575779459001</c:v>
                </c:pt>
                <c:pt idx="8">
                  <c:v>105.521961389673</c:v>
                </c:pt>
                <c:pt idx="9">
                  <c:v>105.75848533776799</c:v>
                </c:pt>
                <c:pt idx="10">
                  <c:v>105.98960552236299</c:v>
                </c:pt>
                <c:pt idx="11">
                  <c:v>106.215308338003</c:v>
                </c:pt>
                <c:pt idx="12">
                  <c:v>106.438923915448</c:v>
                </c:pt>
                <c:pt idx="13">
                  <c:v>106.747052361134</c:v>
                </c:pt>
                <c:pt idx="14">
                  <c:v>107.141548960634</c:v>
                </c:pt>
                <c:pt idx="15">
                  <c:v>107.493541899042</c:v>
                </c:pt>
                <c:pt idx="16">
                  <c:v>107.74004945647199</c:v>
                </c:pt>
                <c:pt idx="17">
                  <c:v>107.95967041760601</c:v>
                </c:pt>
                <c:pt idx="18">
                  <c:v>108.187151530538</c:v>
                </c:pt>
                <c:pt idx="19">
                  <c:v>108.459552318478</c:v>
                </c:pt>
                <c:pt idx="20">
                  <c:v>108.87179255107201</c:v>
                </c:pt>
                <c:pt idx="21">
                  <c:v>109.47035672534</c:v>
                </c:pt>
                <c:pt idx="22">
                  <c:v>110.139436626745</c:v>
                </c:pt>
                <c:pt idx="23">
                  <c:v>110.781725061356</c:v>
                </c:pt>
                <c:pt idx="24">
                  <c:v>111.28162704720501</c:v>
                </c:pt>
                <c:pt idx="25">
                  <c:v>111.530587316786</c:v>
                </c:pt>
                <c:pt idx="26">
                  <c:v>111.655605132373</c:v>
                </c:pt>
                <c:pt idx="27">
                  <c:v>111.82938358681901</c:v>
                </c:pt>
                <c:pt idx="28">
                  <c:v>112.141708233801</c:v>
                </c:pt>
                <c:pt idx="29">
                  <c:v>112.50185507771999</c:v>
                </c:pt>
                <c:pt idx="30">
                  <c:v>112.796837370435</c:v>
                </c:pt>
                <c:pt idx="31">
                  <c:v>112.975806131751</c:v>
                </c:pt>
                <c:pt idx="32">
                  <c:v>113.087080758675</c:v>
                </c:pt>
                <c:pt idx="33">
                  <c:v>113.249277624537</c:v>
                </c:pt>
                <c:pt idx="34">
                  <c:v>113.457343969459</c:v>
                </c:pt>
                <c:pt idx="35">
                  <c:v>113.687746607816</c:v>
                </c:pt>
                <c:pt idx="36">
                  <c:v>113.961237105411</c:v>
                </c:pt>
                <c:pt idx="37">
                  <c:v>114.287639306708</c:v>
                </c:pt>
                <c:pt idx="38">
                  <c:v>114.632188989738</c:v>
                </c:pt>
                <c:pt idx="39">
                  <c:v>114.959205065996</c:v>
                </c:pt>
                <c:pt idx="40">
                  <c:v>115.203978169157</c:v>
                </c:pt>
                <c:pt idx="41">
                  <c:v>115.40458167817999</c:v>
                </c:pt>
                <c:pt idx="42">
                  <c:v>115.653198127081</c:v>
                </c:pt>
                <c:pt idx="43">
                  <c:v>115.98541520646199</c:v>
                </c:pt>
                <c:pt idx="44">
                  <c:v>116.25331659933499</c:v>
                </c:pt>
                <c:pt idx="45">
                  <c:v>116.364996181579</c:v>
                </c:pt>
                <c:pt idx="46">
                  <c:v>116.357454585087</c:v>
                </c:pt>
                <c:pt idx="47">
                  <c:v>116.331830413505</c:v>
                </c:pt>
                <c:pt idx="48">
                  <c:v>116.33121859251401</c:v>
                </c:pt>
                <c:pt idx="49">
                  <c:v>116.38972907657499</c:v>
                </c:pt>
                <c:pt idx="50">
                  <c:v>116.414093561869</c:v>
                </c:pt>
                <c:pt idx="51">
                  <c:v>116.353080638119</c:v>
                </c:pt>
                <c:pt idx="52">
                  <c:v>116.24617412021</c:v>
                </c:pt>
                <c:pt idx="53">
                  <c:v>116.106291755754</c:v>
                </c:pt>
                <c:pt idx="54">
                  <c:v>115.862384128225</c:v>
                </c:pt>
                <c:pt idx="55">
                  <c:v>115.477939185436</c:v>
                </c:pt>
                <c:pt idx="56">
                  <c:v>115.015800209972</c:v>
                </c:pt>
                <c:pt idx="57">
                  <c:v>114.506950568661</c:v>
                </c:pt>
                <c:pt idx="58">
                  <c:v>114.021523116343</c:v>
                </c:pt>
                <c:pt idx="59">
                  <c:v>113.602768196084</c:v>
                </c:pt>
                <c:pt idx="60">
                  <c:v>113.20853897175</c:v>
                </c:pt>
                <c:pt idx="61">
                  <c:v>112.790034387932</c:v>
                </c:pt>
                <c:pt idx="62">
                  <c:v>112.433017584784</c:v>
                </c:pt>
                <c:pt idx="63">
                  <c:v>112.179063651639</c:v>
                </c:pt>
                <c:pt idx="64">
                  <c:v>111.992384311064</c:v>
                </c:pt>
                <c:pt idx="65">
                  <c:v>111.84313442105901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356918000"/>
        <c:axId val="356918392"/>
      </c:lineChart>
      <c:catAx>
        <c:axId val="3569180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6918392"/>
        <c:crosses val="autoZero"/>
        <c:auto val="1"/>
        <c:lblAlgn val="ctr"/>
        <c:lblOffset val="100"/>
        <c:tickLblSkip val="1"/>
        <c:tickMarkSkip val="12"/>
        <c:noMultiLvlLbl val="1"/>
      </c:catAx>
      <c:valAx>
        <c:axId val="356918392"/>
        <c:scaling>
          <c:orientation val="minMax"/>
          <c:max val="130"/>
          <c:min val="6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691800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DATOS!$G$101:$G$172</c:f>
              <c:numCache>
                <c:formatCode>0.0_)</c:formatCode>
                <c:ptCount val="66"/>
                <c:pt idx="0">
                  <c:v>100.95749388082</c:v>
                </c:pt>
                <c:pt idx="1">
                  <c:v>101.39534473388601</c:v>
                </c:pt>
                <c:pt idx="2">
                  <c:v>101.301449874813</c:v>
                </c:pt>
                <c:pt idx="3">
                  <c:v>100.96769562128399</c:v>
                </c:pt>
                <c:pt idx="4">
                  <c:v>101.13459148920001</c:v>
                </c:pt>
                <c:pt idx="5">
                  <c:v>101.320686937838</c:v>
                </c:pt>
                <c:pt idx="6">
                  <c:v>101.692201823628</c:v>
                </c:pt>
                <c:pt idx="7">
                  <c:v>101.49199210372601</c:v>
                </c:pt>
                <c:pt idx="8">
                  <c:v>101.30939918974801</c:v>
                </c:pt>
                <c:pt idx="9">
                  <c:v>102.21395708337</c:v>
                </c:pt>
                <c:pt idx="10">
                  <c:v>102.548751700965</c:v>
                </c:pt>
                <c:pt idx="11">
                  <c:v>101.782897479103</c:v>
                </c:pt>
                <c:pt idx="12">
                  <c:v>102.05777669384</c:v>
                </c:pt>
                <c:pt idx="13">
                  <c:v>101.87778123773199</c:v>
                </c:pt>
                <c:pt idx="14">
                  <c:v>102.381736464394</c:v>
                </c:pt>
                <c:pt idx="15">
                  <c:v>103.855961995638</c:v>
                </c:pt>
                <c:pt idx="16">
                  <c:v>103.569323435699</c:v>
                </c:pt>
                <c:pt idx="17">
                  <c:v>103.78899405683801</c:v>
                </c:pt>
                <c:pt idx="18">
                  <c:v>103.96909097848901</c:v>
                </c:pt>
                <c:pt idx="19">
                  <c:v>103.677503229615</c:v>
                </c:pt>
                <c:pt idx="20">
                  <c:v>105.319117772003</c:v>
                </c:pt>
                <c:pt idx="21">
                  <c:v>104.692096758848</c:v>
                </c:pt>
                <c:pt idx="22">
                  <c:v>103.58196713059399</c:v>
                </c:pt>
                <c:pt idx="23">
                  <c:v>104.25823751632301</c:v>
                </c:pt>
                <c:pt idx="24">
                  <c:v>104.079087343214</c:v>
                </c:pt>
                <c:pt idx="25">
                  <c:v>103.54910707771199</c:v>
                </c:pt>
                <c:pt idx="26">
                  <c:v>103.412937594626</c:v>
                </c:pt>
                <c:pt idx="27">
                  <c:v>103.60127458275601</c:v>
                </c:pt>
                <c:pt idx="28">
                  <c:v>103.834113069049</c:v>
                </c:pt>
                <c:pt idx="29">
                  <c:v>104.16165029067901</c:v>
                </c:pt>
                <c:pt idx="30">
                  <c:v>103.913440844786</c:v>
                </c:pt>
                <c:pt idx="31">
                  <c:v>103.339551648491</c:v>
                </c:pt>
                <c:pt idx="32">
                  <c:v>104.832186389337</c:v>
                </c:pt>
                <c:pt idx="33">
                  <c:v>104.138779597406</c:v>
                </c:pt>
                <c:pt idx="34">
                  <c:v>104.351982744235</c:v>
                </c:pt>
                <c:pt idx="35">
                  <c:v>104.112079868514</c:v>
                </c:pt>
                <c:pt idx="36">
                  <c:v>103.388869659588</c:v>
                </c:pt>
                <c:pt idx="37">
                  <c:v>104.18972995913199</c:v>
                </c:pt>
                <c:pt idx="38">
                  <c:v>104.794904298902</c:v>
                </c:pt>
                <c:pt idx="39">
                  <c:v>104.88694840010901</c:v>
                </c:pt>
                <c:pt idx="40">
                  <c:v>105.00552461202</c:v>
                </c:pt>
                <c:pt idx="41">
                  <c:v>105.468927445869</c:v>
                </c:pt>
                <c:pt idx="42">
                  <c:v>104.955416882791</c:v>
                </c:pt>
                <c:pt idx="43">
                  <c:v>105.344836331713</c:v>
                </c:pt>
                <c:pt idx="44">
                  <c:v>104.67635028482201</c:v>
                </c:pt>
                <c:pt idx="45">
                  <c:v>104.923533313513</c:v>
                </c:pt>
                <c:pt idx="46">
                  <c:v>105.197110244933</c:v>
                </c:pt>
                <c:pt idx="47">
                  <c:v>105.51337288183601</c:v>
                </c:pt>
                <c:pt idx="48">
                  <c:v>105.888728220209</c:v>
                </c:pt>
                <c:pt idx="49">
                  <c:v>106.97399949680501</c:v>
                </c:pt>
                <c:pt idx="50">
                  <c:v>107.407128551421</c:v>
                </c:pt>
                <c:pt idx="51">
                  <c:v>107.097329833202</c:v>
                </c:pt>
                <c:pt idx="52">
                  <c:v>107.56549761964099</c:v>
                </c:pt>
                <c:pt idx="53">
                  <c:v>107.29328439152199</c:v>
                </c:pt>
                <c:pt idx="54">
                  <c:v>107.734606520521</c:v>
                </c:pt>
                <c:pt idx="55">
                  <c:v>108.59193518436</c:v>
                </c:pt>
                <c:pt idx="56">
                  <c:v>108.49250512752501</c:v>
                </c:pt>
                <c:pt idx="57">
                  <c:v>108.315648996053</c:v>
                </c:pt>
                <c:pt idx="58">
                  <c:v>108.72856556860999</c:v>
                </c:pt>
                <c:pt idx="59">
                  <c:v>109.229870146333</c:v>
                </c:pt>
                <c:pt idx="60">
                  <c:v>108.771369372957</c:v>
                </c:pt>
                <c:pt idx="61">
                  <c:v>108.77647256841701</c:v>
                </c:pt>
                <c:pt idx="62">
                  <c:v>107.82669284359901</c:v>
                </c:pt>
                <c:pt idx="63">
                  <c:v>106.14699182363201</c:v>
                </c:pt>
                <c:pt idx="64">
                  <c:v>103.95473521448</c:v>
                </c:pt>
                <c:pt idx="65">
                  <c:v>105.713182443969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359632768"/>
        <c:axId val="359633552"/>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DATOS!$H$101:$H$172</c:f>
              <c:numCache>
                <c:formatCode>0.0_)</c:formatCode>
                <c:ptCount val="66"/>
                <c:pt idx="0">
                  <c:v>101.01234937304299</c:v>
                </c:pt>
                <c:pt idx="1">
                  <c:v>101.093632839089</c:v>
                </c:pt>
                <c:pt idx="2">
                  <c:v>101.16021436371</c:v>
                </c:pt>
                <c:pt idx="3">
                  <c:v>101.20938110326099</c:v>
                </c:pt>
                <c:pt idx="4">
                  <c:v>101.244843645477</c:v>
                </c:pt>
                <c:pt idx="5">
                  <c:v>101.31146748578</c:v>
                </c:pt>
                <c:pt idx="6">
                  <c:v>101.430692838507</c:v>
                </c:pt>
                <c:pt idx="7">
                  <c:v>101.60666309223301</c:v>
                </c:pt>
                <c:pt idx="8">
                  <c:v>101.786288325098</c:v>
                </c:pt>
                <c:pt idx="9">
                  <c:v>101.904066833472</c:v>
                </c:pt>
                <c:pt idx="10">
                  <c:v>101.96278783781101</c:v>
                </c:pt>
                <c:pt idx="11">
                  <c:v>102.014551457293</c:v>
                </c:pt>
                <c:pt idx="12">
                  <c:v>102.116216421774</c:v>
                </c:pt>
                <c:pt idx="13">
                  <c:v>102.31986079471601</c:v>
                </c:pt>
                <c:pt idx="14">
                  <c:v>102.623931966002</c:v>
                </c:pt>
                <c:pt idx="15">
                  <c:v>102.99625994207</c:v>
                </c:pt>
                <c:pt idx="16">
                  <c:v>103.396065649278</c:v>
                </c:pt>
                <c:pt idx="17">
                  <c:v>103.730936247296</c:v>
                </c:pt>
                <c:pt idx="18">
                  <c:v>103.958996530565</c:v>
                </c:pt>
                <c:pt idx="19">
                  <c:v>104.105574160412</c:v>
                </c:pt>
                <c:pt idx="20">
                  <c:v>104.1893818435</c:v>
                </c:pt>
                <c:pt idx="21">
                  <c:v>104.21939531506899</c:v>
                </c:pt>
                <c:pt idx="22">
                  <c:v>104.17504742979</c:v>
                </c:pt>
                <c:pt idx="23">
                  <c:v>104.043775298171</c:v>
                </c:pt>
                <c:pt idx="24">
                  <c:v>103.875235032182</c:v>
                </c:pt>
                <c:pt idx="25">
                  <c:v>103.737713422292</c:v>
                </c:pt>
                <c:pt idx="26">
                  <c:v>103.661289225411</c:v>
                </c:pt>
                <c:pt idx="27">
                  <c:v>103.67299295405</c:v>
                </c:pt>
                <c:pt idx="28">
                  <c:v>103.748401493247</c:v>
                </c:pt>
                <c:pt idx="29">
                  <c:v>103.867584669961</c:v>
                </c:pt>
                <c:pt idx="30">
                  <c:v>104.009733759719</c:v>
                </c:pt>
                <c:pt idx="31">
                  <c:v>104.123858114548</c:v>
                </c:pt>
                <c:pt idx="32">
                  <c:v>104.184401823488</c:v>
                </c:pt>
                <c:pt idx="33">
                  <c:v>104.206268555683</c:v>
                </c:pt>
                <c:pt idx="34">
                  <c:v>104.21727410606699</c:v>
                </c:pt>
                <c:pt idx="35">
                  <c:v>104.23785017710701</c:v>
                </c:pt>
                <c:pt idx="36">
                  <c:v>104.30572548323001</c:v>
                </c:pt>
                <c:pt idx="37">
                  <c:v>104.43497683861899</c:v>
                </c:pt>
                <c:pt idx="38">
                  <c:v>104.639190092226</c:v>
                </c:pt>
                <c:pt idx="39">
                  <c:v>104.87137368572</c:v>
                </c:pt>
                <c:pt idx="40">
                  <c:v>105.04592604996</c:v>
                </c:pt>
                <c:pt idx="41">
                  <c:v>105.12705489339299</c:v>
                </c:pt>
                <c:pt idx="42">
                  <c:v>105.110486177364</c:v>
                </c:pt>
                <c:pt idx="43">
                  <c:v>105.03339060031399</c:v>
                </c:pt>
                <c:pt idx="44">
                  <c:v>104.97217348063199</c:v>
                </c:pt>
                <c:pt idx="45">
                  <c:v>105.030647745756</c:v>
                </c:pt>
                <c:pt idx="46">
                  <c:v>105.25484096750699</c:v>
                </c:pt>
                <c:pt idx="47">
                  <c:v>105.648347911716</c:v>
                </c:pt>
                <c:pt idx="48">
                  <c:v>106.137022810479</c:v>
                </c:pt>
                <c:pt idx="49">
                  <c:v>106.602573808771</c:v>
                </c:pt>
                <c:pt idx="50">
                  <c:v>106.984028494621</c:v>
                </c:pt>
                <c:pt idx="51">
                  <c:v>107.269921987187</c:v>
                </c:pt>
                <c:pt idx="52">
                  <c:v>107.496474945552</c:v>
                </c:pt>
                <c:pt idx="53">
                  <c:v>107.69081793636499</c:v>
                </c:pt>
                <c:pt idx="54">
                  <c:v>107.902037078148</c:v>
                </c:pt>
                <c:pt idx="55">
                  <c:v>108.152263859718</c:v>
                </c:pt>
                <c:pt idx="56">
                  <c:v>108.433613548379</c:v>
                </c:pt>
                <c:pt idx="57">
                  <c:v>108.68175642864</c:v>
                </c:pt>
                <c:pt idx="58">
                  <c:v>108.837015844528</c:v>
                </c:pt>
                <c:pt idx="59">
                  <c:v>108.85847454825399</c:v>
                </c:pt>
                <c:pt idx="60">
                  <c:v>108.72115422497301</c:v>
                </c:pt>
                <c:pt idx="61">
                  <c:v>108.44142909219001</c:v>
                </c:pt>
                <c:pt idx="62">
                  <c:v>108.06345850098801</c:v>
                </c:pt>
                <c:pt idx="63">
                  <c:v>107.66795145082899</c:v>
                </c:pt>
                <c:pt idx="64">
                  <c:v>107.357401069077</c:v>
                </c:pt>
                <c:pt idx="65">
                  <c:v>107.192965731287</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359632768"/>
        <c:axId val="359633552"/>
      </c:lineChart>
      <c:catAx>
        <c:axId val="3596327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9633552"/>
        <c:crosses val="autoZero"/>
        <c:auto val="1"/>
        <c:lblAlgn val="ctr"/>
        <c:lblOffset val="100"/>
        <c:tickLblSkip val="1"/>
        <c:tickMarkSkip val="12"/>
        <c:noMultiLvlLbl val="1"/>
      </c:catAx>
      <c:valAx>
        <c:axId val="359633552"/>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963276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DBCC-0AF1-45DE-8D56-22EE8AC1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2785</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9</cp:revision>
  <cp:lastPrinted>2020-03-17T15:11:00Z</cp:lastPrinted>
  <dcterms:created xsi:type="dcterms:W3CDTF">2020-08-17T02:01:00Z</dcterms:created>
  <dcterms:modified xsi:type="dcterms:W3CDTF">2020-08-17T23:57:00Z</dcterms:modified>
  <cp:category>Encuesta Nacional de Ocupación y Empleo</cp:category>
  <cp:version>1</cp:version>
</cp:coreProperties>
</file>