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453" w:rsidRDefault="00C60D6E" w:rsidP="009749DA">
      <w:pPr>
        <w:pStyle w:val="Profesin"/>
        <w:contextualSpacing/>
      </w:pPr>
      <w:r w:rsidRPr="00915C3C">
        <w:t>RESULTADOS DE LA ENCUESTA NACIONAL</w:t>
      </w:r>
      <w:r>
        <w:t xml:space="preserve"> </w:t>
      </w:r>
      <w:r w:rsidRPr="00915C3C">
        <w:t>DE OCUPACIÓN Y EMPLEO</w:t>
      </w:r>
      <w:r>
        <w:t>. NUEVA EDICIÓN (enoe</w:t>
      </w:r>
      <w:r w:rsidRPr="00032BAD">
        <w:rPr>
          <w:vertAlign w:val="superscript"/>
        </w:rPr>
        <w:t>n</w:t>
      </w:r>
      <w:r>
        <w:t>)</w:t>
      </w:r>
      <w:r w:rsidR="00484A52">
        <w:t xml:space="preserve"> </w:t>
      </w:r>
    </w:p>
    <w:p w:rsidR="000E2453" w:rsidRPr="000F13CC" w:rsidRDefault="000E2453" w:rsidP="009749DA">
      <w:pPr>
        <w:pStyle w:val="Profesin"/>
        <w:contextualSpacing/>
        <w:rPr>
          <w:sz w:val="24"/>
        </w:rPr>
      </w:pPr>
      <w:r w:rsidRPr="000F13CC">
        <w:rPr>
          <w:sz w:val="24"/>
        </w:rPr>
        <w:t>CIFRAS DURANTE EL TERCER TRIMESTRE DE 2020</w:t>
      </w:r>
    </w:p>
    <w:p w:rsidR="00C60D6E" w:rsidRPr="000F13CC" w:rsidRDefault="00484A52" w:rsidP="009749DA">
      <w:pPr>
        <w:pStyle w:val="Profesin"/>
        <w:contextualSpacing/>
        <w:rPr>
          <w:sz w:val="24"/>
        </w:rPr>
      </w:pPr>
      <w:r w:rsidRPr="000F13CC">
        <w:rPr>
          <w:sz w:val="24"/>
        </w:rPr>
        <w:t>VERACRUZ DE IGNACIO DE LA LLAVE</w:t>
      </w:r>
    </w:p>
    <w:p w:rsidR="00E84930" w:rsidRPr="000F13CC" w:rsidRDefault="00E84930" w:rsidP="009749DA">
      <w:pPr>
        <w:pStyle w:val="Subttulo"/>
        <w:ind w:left="-567" w:right="-518"/>
        <w:rPr>
          <w:color w:val="000000" w:themeColor="text1"/>
          <w:sz w:val="22"/>
        </w:rPr>
      </w:pPr>
    </w:p>
    <w:p w:rsidR="00E84930" w:rsidRDefault="00E84930" w:rsidP="009749DA">
      <w:pPr>
        <w:pStyle w:val="Subttulo"/>
        <w:ind w:left="-567" w:right="-518"/>
        <w:jc w:val="both"/>
        <w:rPr>
          <w:b w:val="0"/>
          <w:color w:val="000000" w:themeColor="text1"/>
          <w:spacing w:val="10"/>
          <w:sz w:val="22"/>
          <w:szCs w:val="22"/>
        </w:rPr>
      </w:pPr>
      <w:r w:rsidRPr="00640491">
        <w:rPr>
          <w:b w:val="0"/>
          <w:color w:val="000000" w:themeColor="text1"/>
          <w:spacing w:val="10"/>
          <w:sz w:val="22"/>
          <w:szCs w:val="22"/>
        </w:rPr>
        <w:t xml:space="preserve">El INEGI </w:t>
      </w:r>
      <w:r w:rsidR="00945818">
        <w:rPr>
          <w:b w:val="0"/>
          <w:color w:val="000000" w:themeColor="text1"/>
          <w:spacing w:val="10"/>
          <w:sz w:val="22"/>
          <w:szCs w:val="22"/>
        </w:rPr>
        <w:t>presenta</w:t>
      </w:r>
      <w:r>
        <w:rPr>
          <w:b w:val="0"/>
          <w:color w:val="000000" w:themeColor="text1"/>
          <w:spacing w:val="10"/>
          <w:sz w:val="22"/>
          <w:szCs w:val="22"/>
        </w:rPr>
        <w:t xml:space="preserve"> los resultados </w:t>
      </w:r>
      <w:r w:rsidR="00945818">
        <w:rPr>
          <w:b w:val="0"/>
          <w:color w:val="000000" w:themeColor="text1"/>
          <w:spacing w:val="10"/>
          <w:sz w:val="22"/>
          <w:szCs w:val="22"/>
        </w:rPr>
        <w:t>trimestrales del primer</w:t>
      </w:r>
      <w:r>
        <w:rPr>
          <w:b w:val="0"/>
          <w:color w:val="000000" w:themeColor="text1"/>
          <w:spacing w:val="10"/>
          <w:sz w:val="22"/>
          <w:szCs w:val="22"/>
        </w:rPr>
        <w:t xml:space="preserve"> </w:t>
      </w:r>
      <w:r w:rsidRPr="00640491">
        <w:rPr>
          <w:b w:val="0"/>
          <w:color w:val="000000" w:themeColor="text1"/>
          <w:spacing w:val="10"/>
          <w:sz w:val="22"/>
          <w:szCs w:val="22"/>
        </w:rPr>
        <w:t xml:space="preserve">levantamiento de la Encuesta </w:t>
      </w:r>
      <w:r>
        <w:rPr>
          <w:b w:val="0"/>
          <w:color w:val="000000" w:themeColor="text1"/>
          <w:spacing w:val="10"/>
          <w:sz w:val="22"/>
          <w:szCs w:val="22"/>
        </w:rPr>
        <w:t>Nacional de Ocupación y Empleo</w:t>
      </w:r>
      <w:r w:rsidR="00945818">
        <w:rPr>
          <w:b w:val="0"/>
          <w:color w:val="000000" w:themeColor="text1"/>
          <w:spacing w:val="10"/>
          <w:sz w:val="22"/>
          <w:szCs w:val="22"/>
        </w:rPr>
        <w:t xml:space="preserve">. </w:t>
      </w:r>
      <w:r>
        <w:rPr>
          <w:b w:val="0"/>
          <w:color w:val="000000" w:themeColor="text1"/>
          <w:spacing w:val="10"/>
          <w:sz w:val="22"/>
          <w:szCs w:val="22"/>
        </w:rPr>
        <w:t>Nueva Edición (ENOE</w:t>
      </w:r>
      <w:r>
        <w:rPr>
          <w:b w:val="0"/>
          <w:color w:val="000000" w:themeColor="text1"/>
          <w:spacing w:val="10"/>
          <w:sz w:val="22"/>
          <w:szCs w:val="22"/>
          <w:vertAlign w:val="superscript"/>
        </w:rPr>
        <w:t>N</w:t>
      </w:r>
      <w:r>
        <w:rPr>
          <w:b w:val="0"/>
          <w:color w:val="000000" w:themeColor="text1"/>
          <w:spacing w:val="10"/>
          <w:sz w:val="22"/>
          <w:szCs w:val="22"/>
        </w:rPr>
        <w:t>)</w:t>
      </w:r>
      <w:r w:rsidRPr="00640491">
        <w:rPr>
          <w:b w:val="0"/>
          <w:color w:val="000000" w:themeColor="text1"/>
          <w:spacing w:val="10"/>
          <w:sz w:val="22"/>
          <w:szCs w:val="22"/>
        </w:rPr>
        <w:t xml:space="preserve"> </w:t>
      </w:r>
      <w:r w:rsidR="00945818">
        <w:rPr>
          <w:b w:val="0"/>
          <w:color w:val="000000" w:themeColor="text1"/>
          <w:spacing w:val="10"/>
          <w:sz w:val="22"/>
          <w:szCs w:val="22"/>
        </w:rPr>
        <w:t>para el</w:t>
      </w:r>
      <w:r w:rsidR="00945818" w:rsidRPr="00BC35EE">
        <w:rPr>
          <w:b w:val="0"/>
          <w:color w:val="000000" w:themeColor="text1"/>
          <w:spacing w:val="10"/>
          <w:sz w:val="22"/>
          <w:szCs w:val="22"/>
        </w:rPr>
        <w:t xml:space="preserve"> trimestre </w:t>
      </w:r>
      <w:r w:rsidR="00945818">
        <w:rPr>
          <w:b w:val="0"/>
          <w:color w:val="000000" w:themeColor="text1"/>
          <w:spacing w:val="10"/>
          <w:sz w:val="22"/>
          <w:szCs w:val="22"/>
        </w:rPr>
        <w:t>julio-septiembre</w:t>
      </w:r>
      <w:r w:rsidR="00945818" w:rsidRPr="00BC35EE">
        <w:rPr>
          <w:b w:val="0"/>
          <w:color w:val="000000" w:themeColor="text1"/>
          <w:spacing w:val="10"/>
          <w:sz w:val="22"/>
          <w:szCs w:val="22"/>
        </w:rPr>
        <w:t xml:space="preserve"> de 2020</w:t>
      </w:r>
      <w:r w:rsidR="007C3D68">
        <w:rPr>
          <w:b w:val="0"/>
          <w:color w:val="000000" w:themeColor="text1"/>
          <w:spacing w:val="10"/>
          <w:sz w:val="22"/>
          <w:szCs w:val="22"/>
        </w:rPr>
        <w:t xml:space="preserve"> </w:t>
      </w:r>
      <w:r w:rsidR="00753A2E" w:rsidRPr="007673EF">
        <w:rPr>
          <w:b w:val="0"/>
          <w:color w:val="000000" w:themeColor="text1"/>
          <w:spacing w:val="10"/>
          <w:sz w:val="22"/>
          <w:szCs w:val="22"/>
        </w:rPr>
        <w:t>que</w:t>
      </w:r>
      <w:r w:rsidR="007C3D68">
        <w:rPr>
          <w:b w:val="0"/>
          <w:color w:val="000000" w:themeColor="text1"/>
          <w:spacing w:val="10"/>
          <w:sz w:val="22"/>
          <w:szCs w:val="22"/>
        </w:rPr>
        <w:t>,</w:t>
      </w:r>
      <w:r w:rsidR="00753A2E" w:rsidRPr="007673EF">
        <w:rPr>
          <w:b w:val="0"/>
          <w:color w:val="000000" w:themeColor="text1"/>
          <w:spacing w:val="10"/>
          <w:sz w:val="22"/>
          <w:szCs w:val="22"/>
        </w:rPr>
        <w:t xml:space="preserve"> a diferencia de las publicaciones mensuales, en esta ocasió</w:t>
      </w:r>
      <w:r w:rsidR="00A020C6" w:rsidRPr="007673EF">
        <w:rPr>
          <w:b w:val="0"/>
          <w:color w:val="000000" w:themeColor="text1"/>
          <w:spacing w:val="10"/>
          <w:sz w:val="22"/>
          <w:szCs w:val="22"/>
        </w:rPr>
        <w:t>n</w:t>
      </w:r>
      <w:r w:rsidR="00753A2E" w:rsidRPr="007673EF">
        <w:rPr>
          <w:b w:val="0"/>
          <w:color w:val="000000" w:themeColor="text1"/>
          <w:spacing w:val="10"/>
          <w:sz w:val="22"/>
          <w:szCs w:val="22"/>
        </w:rPr>
        <w:t xml:space="preserve"> presenta las estimaciones de las 32 entidades federativas, así como de 39 ciudades autorrepresentadas de interés.</w:t>
      </w:r>
    </w:p>
    <w:p w:rsidR="00E84930" w:rsidRDefault="00E84930" w:rsidP="009749DA">
      <w:pPr>
        <w:pStyle w:val="Subttulo"/>
        <w:ind w:left="-567" w:right="-518"/>
        <w:jc w:val="both"/>
        <w:rPr>
          <w:b w:val="0"/>
          <w:color w:val="000000" w:themeColor="text1"/>
          <w:spacing w:val="10"/>
          <w:sz w:val="22"/>
          <w:szCs w:val="22"/>
        </w:rPr>
      </w:pPr>
    </w:p>
    <w:p w:rsidR="00E84930" w:rsidRDefault="00945818" w:rsidP="009749DA">
      <w:pPr>
        <w:pStyle w:val="Subttulo"/>
        <w:ind w:left="-567" w:right="-518"/>
        <w:jc w:val="both"/>
        <w:rPr>
          <w:b w:val="0"/>
          <w:color w:val="000000" w:themeColor="text1"/>
          <w:spacing w:val="10"/>
          <w:sz w:val="22"/>
          <w:szCs w:val="22"/>
        </w:rPr>
      </w:pPr>
      <w:r>
        <w:rPr>
          <w:b w:val="0"/>
          <w:color w:val="000000" w:themeColor="text1"/>
          <w:spacing w:val="10"/>
          <w:sz w:val="22"/>
          <w:szCs w:val="22"/>
        </w:rPr>
        <w:t>A partir de esta edición, el INEGI retoma la difusión de los datos trimestrales de ocupación y empleo con la ENOE</w:t>
      </w:r>
      <w:r>
        <w:rPr>
          <w:b w:val="0"/>
          <w:color w:val="000000" w:themeColor="text1"/>
          <w:spacing w:val="10"/>
          <w:sz w:val="22"/>
          <w:szCs w:val="22"/>
          <w:vertAlign w:val="superscript"/>
        </w:rPr>
        <w:t>N</w:t>
      </w:r>
      <w:r>
        <w:rPr>
          <w:b w:val="0"/>
          <w:color w:val="000000" w:themeColor="text1"/>
          <w:spacing w:val="10"/>
          <w:sz w:val="22"/>
          <w:szCs w:val="22"/>
        </w:rPr>
        <w:t xml:space="preserve"> después de la suspensión de la ENOE durante el </w:t>
      </w:r>
      <w:r w:rsidR="00BF6813">
        <w:rPr>
          <w:b w:val="0"/>
          <w:color w:val="000000" w:themeColor="text1"/>
          <w:spacing w:val="10"/>
          <w:sz w:val="22"/>
          <w:szCs w:val="22"/>
        </w:rPr>
        <w:t>segundo</w:t>
      </w:r>
      <w:r>
        <w:rPr>
          <w:b w:val="0"/>
          <w:color w:val="000000" w:themeColor="text1"/>
          <w:spacing w:val="10"/>
          <w:sz w:val="22"/>
          <w:szCs w:val="22"/>
        </w:rPr>
        <w:t xml:space="preserve"> trimestre de </w:t>
      </w:r>
      <w:r w:rsidR="00F236F6">
        <w:rPr>
          <w:b w:val="0"/>
          <w:color w:val="000000" w:themeColor="text1"/>
          <w:spacing w:val="10"/>
          <w:sz w:val="22"/>
          <w:szCs w:val="22"/>
        </w:rPr>
        <w:t xml:space="preserve">2020 debido a </w:t>
      </w:r>
      <w:r>
        <w:rPr>
          <w:b w:val="0"/>
          <w:color w:val="000000" w:themeColor="text1"/>
          <w:spacing w:val="10"/>
          <w:sz w:val="22"/>
          <w:szCs w:val="22"/>
        </w:rPr>
        <w:t>la pandemia originada por el COVID-19. Los principales resultados en el tercer trimestre de 2020 respecto al mismo periodo de 2019 son</w:t>
      </w:r>
      <w:r w:rsidR="00E84930" w:rsidRPr="00640491">
        <w:rPr>
          <w:b w:val="0"/>
          <w:color w:val="000000" w:themeColor="text1"/>
          <w:spacing w:val="10"/>
          <w:sz w:val="22"/>
          <w:szCs w:val="22"/>
        </w:rPr>
        <w:t>:</w:t>
      </w:r>
    </w:p>
    <w:p w:rsidR="00E84930" w:rsidRPr="00640491" w:rsidRDefault="00E84930" w:rsidP="009749DA">
      <w:pPr>
        <w:pStyle w:val="Subttulo"/>
        <w:ind w:left="-567" w:right="-518"/>
        <w:jc w:val="left"/>
        <w:rPr>
          <w:b w:val="0"/>
          <w:color w:val="000000" w:themeColor="text1"/>
          <w:spacing w:val="10"/>
          <w:sz w:val="22"/>
          <w:szCs w:val="22"/>
        </w:rPr>
      </w:pPr>
    </w:p>
    <w:p w:rsidR="00E84930" w:rsidRPr="007673EF" w:rsidRDefault="00F61CE8" w:rsidP="009749DA">
      <w:pPr>
        <w:pStyle w:val="Subttulo"/>
        <w:numPr>
          <w:ilvl w:val="2"/>
          <w:numId w:val="25"/>
        </w:numPr>
        <w:ind w:left="426" w:right="-93" w:hanging="426"/>
        <w:jc w:val="both"/>
        <w:rPr>
          <w:b w:val="0"/>
          <w:color w:val="000000" w:themeColor="text1"/>
          <w:spacing w:val="10"/>
          <w:sz w:val="22"/>
          <w:szCs w:val="22"/>
        </w:rPr>
      </w:pPr>
      <w:r w:rsidRPr="007673EF">
        <w:rPr>
          <w:b w:val="0"/>
          <w:color w:val="000000" w:themeColor="text1"/>
          <w:spacing w:val="10"/>
          <w:sz w:val="22"/>
          <w:szCs w:val="22"/>
        </w:rPr>
        <w:t xml:space="preserve">Una disminución </w:t>
      </w:r>
      <w:r w:rsidR="00D74E47" w:rsidRPr="007673EF">
        <w:rPr>
          <w:b w:val="0"/>
          <w:color w:val="000000" w:themeColor="text1"/>
          <w:spacing w:val="10"/>
          <w:sz w:val="22"/>
          <w:szCs w:val="22"/>
        </w:rPr>
        <w:t>(-)82</w:t>
      </w:r>
      <w:r w:rsidR="007673EF" w:rsidRPr="007673EF">
        <w:rPr>
          <w:b w:val="0"/>
          <w:color w:val="000000" w:themeColor="text1"/>
          <w:spacing w:val="10"/>
          <w:sz w:val="22"/>
          <w:szCs w:val="22"/>
        </w:rPr>
        <w:t>.2</w:t>
      </w:r>
      <w:r w:rsidR="00D74E47" w:rsidRPr="007673EF">
        <w:rPr>
          <w:b w:val="0"/>
          <w:color w:val="000000" w:themeColor="text1"/>
          <w:spacing w:val="10"/>
          <w:sz w:val="22"/>
          <w:szCs w:val="22"/>
        </w:rPr>
        <w:t xml:space="preserve"> </w:t>
      </w:r>
      <w:r w:rsidR="00162D4A" w:rsidRPr="007673EF">
        <w:rPr>
          <w:b w:val="0"/>
          <w:color w:val="000000" w:themeColor="text1"/>
          <w:spacing w:val="10"/>
          <w:sz w:val="22"/>
          <w:szCs w:val="22"/>
        </w:rPr>
        <w:t xml:space="preserve">mil </w:t>
      </w:r>
      <w:r w:rsidR="000D654B" w:rsidRPr="007673EF">
        <w:rPr>
          <w:b w:val="0"/>
          <w:color w:val="000000" w:themeColor="text1"/>
          <w:spacing w:val="10"/>
          <w:sz w:val="22"/>
          <w:szCs w:val="22"/>
        </w:rPr>
        <w:t xml:space="preserve">personas </w:t>
      </w:r>
      <w:r w:rsidRPr="007673EF">
        <w:rPr>
          <w:b w:val="0"/>
          <w:color w:val="000000" w:themeColor="text1"/>
          <w:spacing w:val="10"/>
          <w:sz w:val="22"/>
          <w:szCs w:val="22"/>
        </w:rPr>
        <w:t xml:space="preserve">en </w:t>
      </w:r>
      <w:r w:rsidR="00E84930" w:rsidRPr="007673EF">
        <w:rPr>
          <w:b w:val="0"/>
          <w:color w:val="000000" w:themeColor="text1"/>
          <w:spacing w:val="10"/>
          <w:sz w:val="22"/>
          <w:szCs w:val="22"/>
        </w:rPr>
        <w:t xml:space="preserve">la </w:t>
      </w:r>
      <w:r w:rsidR="00E84930" w:rsidRPr="007673EF">
        <w:rPr>
          <w:b w:val="0"/>
          <w:spacing w:val="10"/>
          <w:sz w:val="22"/>
          <w:szCs w:val="22"/>
        </w:rPr>
        <w:t>Población Económicamente Activa (PEA)</w:t>
      </w:r>
      <w:r w:rsidR="00E84930" w:rsidRPr="007673EF">
        <w:rPr>
          <w:b w:val="0"/>
          <w:color w:val="000000" w:themeColor="text1"/>
          <w:spacing w:val="10"/>
          <w:sz w:val="22"/>
          <w:szCs w:val="22"/>
        </w:rPr>
        <w:t>, al pasar de</w:t>
      </w:r>
      <w:r w:rsidR="00D74E47" w:rsidRPr="007673EF">
        <w:rPr>
          <w:b w:val="0"/>
          <w:color w:val="000000" w:themeColor="text1"/>
          <w:spacing w:val="10"/>
          <w:sz w:val="22"/>
          <w:szCs w:val="22"/>
        </w:rPr>
        <w:t xml:space="preserve"> </w:t>
      </w:r>
      <w:r w:rsidR="00162D4A" w:rsidRPr="007673EF">
        <w:rPr>
          <w:b w:val="0"/>
          <w:color w:val="000000" w:themeColor="text1"/>
          <w:spacing w:val="10"/>
          <w:sz w:val="22"/>
          <w:szCs w:val="22"/>
        </w:rPr>
        <w:t>3.4</w:t>
      </w:r>
      <w:r w:rsidR="00B85EC3" w:rsidRPr="007673EF">
        <w:rPr>
          <w:b w:val="0"/>
          <w:color w:val="000000" w:themeColor="text1"/>
          <w:spacing w:val="10"/>
          <w:sz w:val="22"/>
          <w:szCs w:val="22"/>
        </w:rPr>
        <w:t xml:space="preserve"> millones a </w:t>
      </w:r>
      <w:r w:rsidR="00D74E47" w:rsidRPr="007673EF">
        <w:rPr>
          <w:b w:val="0"/>
          <w:color w:val="000000" w:themeColor="text1"/>
          <w:spacing w:val="10"/>
          <w:sz w:val="22"/>
          <w:szCs w:val="22"/>
        </w:rPr>
        <w:t>3.</w:t>
      </w:r>
      <w:r w:rsidR="00F33703">
        <w:rPr>
          <w:b w:val="0"/>
          <w:color w:val="000000" w:themeColor="text1"/>
          <w:spacing w:val="10"/>
          <w:sz w:val="22"/>
          <w:szCs w:val="22"/>
        </w:rPr>
        <w:t>2</w:t>
      </w:r>
      <w:r w:rsidR="00E84930" w:rsidRPr="007673EF">
        <w:rPr>
          <w:b w:val="0"/>
          <w:color w:val="000000" w:themeColor="text1"/>
          <w:spacing w:val="10"/>
          <w:sz w:val="22"/>
          <w:szCs w:val="22"/>
        </w:rPr>
        <w:t xml:space="preserve"> millones</w:t>
      </w:r>
      <w:r w:rsidR="000E16CF" w:rsidRPr="007673EF">
        <w:rPr>
          <w:b w:val="0"/>
          <w:color w:val="000000" w:themeColor="text1"/>
          <w:spacing w:val="10"/>
          <w:sz w:val="22"/>
          <w:szCs w:val="22"/>
        </w:rPr>
        <w:t>.</w:t>
      </w:r>
    </w:p>
    <w:p w:rsidR="009F2D19" w:rsidRDefault="00E84930" w:rsidP="009749DA">
      <w:pPr>
        <w:pStyle w:val="Subttulo"/>
        <w:numPr>
          <w:ilvl w:val="2"/>
          <w:numId w:val="25"/>
        </w:numPr>
        <w:ind w:left="426" w:right="-93" w:hanging="426"/>
        <w:jc w:val="both"/>
        <w:rPr>
          <w:b w:val="0"/>
          <w:color w:val="000000" w:themeColor="text1"/>
          <w:spacing w:val="10"/>
          <w:sz w:val="22"/>
          <w:szCs w:val="22"/>
        </w:rPr>
      </w:pPr>
      <w:r w:rsidRPr="006E5F04">
        <w:rPr>
          <w:b w:val="0"/>
          <w:color w:val="000000" w:themeColor="text1"/>
          <w:spacing w:val="10"/>
          <w:sz w:val="22"/>
          <w:szCs w:val="22"/>
        </w:rPr>
        <w:t xml:space="preserve">La población </w:t>
      </w:r>
      <w:r w:rsidRPr="00F33703">
        <w:rPr>
          <w:b w:val="0"/>
          <w:color w:val="000000" w:themeColor="text1"/>
          <w:spacing w:val="10"/>
          <w:sz w:val="22"/>
          <w:szCs w:val="22"/>
        </w:rPr>
        <w:t xml:space="preserve">ocupada fue de </w:t>
      </w:r>
      <w:r w:rsidR="00162D4A" w:rsidRPr="00F33703">
        <w:rPr>
          <w:b w:val="0"/>
          <w:color w:val="000000" w:themeColor="text1"/>
          <w:spacing w:val="10"/>
          <w:sz w:val="22"/>
          <w:szCs w:val="22"/>
        </w:rPr>
        <w:t>3</w:t>
      </w:r>
      <w:r w:rsidR="00F33703" w:rsidRPr="00F33703">
        <w:rPr>
          <w:b w:val="0"/>
          <w:color w:val="000000" w:themeColor="text1"/>
          <w:spacing w:val="10"/>
          <w:sz w:val="22"/>
          <w:szCs w:val="22"/>
        </w:rPr>
        <w:t>.2</w:t>
      </w:r>
      <w:r w:rsidRPr="00F33703">
        <w:rPr>
          <w:b w:val="0"/>
          <w:color w:val="000000" w:themeColor="text1"/>
          <w:spacing w:val="10"/>
          <w:sz w:val="22"/>
          <w:szCs w:val="22"/>
        </w:rPr>
        <w:t xml:space="preserve"> millones de personas</w:t>
      </w:r>
      <w:r w:rsidR="009F2D19" w:rsidRPr="00F33703">
        <w:rPr>
          <w:b w:val="0"/>
          <w:color w:val="000000" w:themeColor="text1"/>
          <w:spacing w:val="10"/>
          <w:sz w:val="22"/>
          <w:szCs w:val="22"/>
        </w:rPr>
        <w:t>, re</w:t>
      </w:r>
      <w:r w:rsidR="00BF6813" w:rsidRPr="00F33703">
        <w:rPr>
          <w:b w:val="0"/>
          <w:color w:val="000000" w:themeColor="text1"/>
          <w:spacing w:val="10"/>
          <w:sz w:val="22"/>
          <w:szCs w:val="22"/>
        </w:rPr>
        <w:t>portando una disminución de (-)</w:t>
      </w:r>
      <w:r w:rsidR="004C5062" w:rsidRPr="00F33703">
        <w:rPr>
          <w:b w:val="0"/>
          <w:color w:val="000000" w:themeColor="text1"/>
          <w:spacing w:val="10"/>
          <w:sz w:val="22"/>
          <w:szCs w:val="22"/>
        </w:rPr>
        <w:t>5</w:t>
      </w:r>
      <w:r w:rsidR="00F33703" w:rsidRPr="00F33703">
        <w:rPr>
          <w:b w:val="0"/>
          <w:color w:val="000000" w:themeColor="text1"/>
          <w:spacing w:val="10"/>
          <w:sz w:val="22"/>
          <w:szCs w:val="22"/>
        </w:rPr>
        <w:t>2.8</w:t>
      </w:r>
      <w:r w:rsidR="004C5062" w:rsidRPr="00F33703">
        <w:rPr>
          <w:b w:val="0"/>
          <w:color w:val="000000" w:themeColor="text1"/>
          <w:spacing w:val="10"/>
          <w:sz w:val="22"/>
          <w:szCs w:val="22"/>
        </w:rPr>
        <w:t xml:space="preserve"> mil</w:t>
      </w:r>
      <w:r w:rsidR="009F2D19" w:rsidRPr="00F33703">
        <w:rPr>
          <w:b w:val="0"/>
          <w:color w:val="000000" w:themeColor="text1"/>
          <w:spacing w:val="10"/>
          <w:sz w:val="22"/>
          <w:szCs w:val="22"/>
        </w:rPr>
        <w:t>.</w:t>
      </w:r>
    </w:p>
    <w:p w:rsidR="009F2D19" w:rsidRPr="00757E8D" w:rsidRDefault="009F2D19" w:rsidP="009749DA">
      <w:pPr>
        <w:pStyle w:val="Subttulo"/>
        <w:numPr>
          <w:ilvl w:val="2"/>
          <w:numId w:val="25"/>
        </w:numPr>
        <w:ind w:left="426" w:right="-93" w:hanging="426"/>
        <w:jc w:val="both"/>
        <w:rPr>
          <w:b w:val="0"/>
          <w:color w:val="000000" w:themeColor="text1"/>
          <w:spacing w:val="10"/>
          <w:sz w:val="22"/>
          <w:szCs w:val="22"/>
        </w:rPr>
      </w:pPr>
      <w:r w:rsidRPr="00757E8D">
        <w:rPr>
          <w:b w:val="0"/>
          <w:color w:val="000000" w:themeColor="text1"/>
          <w:spacing w:val="10"/>
          <w:sz w:val="22"/>
          <w:szCs w:val="22"/>
        </w:rPr>
        <w:t xml:space="preserve">Los ocupados en actividades </w:t>
      </w:r>
      <w:r w:rsidR="00757E8D" w:rsidRPr="00757E8D">
        <w:rPr>
          <w:b w:val="0"/>
          <w:color w:val="000000" w:themeColor="text1"/>
          <w:spacing w:val="10"/>
          <w:sz w:val="22"/>
          <w:szCs w:val="22"/>
        </w:rPr>
        <w:t>terciarias</w:t>
      </w:r>
      <w:r w:rsidR="007A2B0A" w:rsidRPr="00757E8D">
        <w:rPr>
          <w:b w:val="0"/>
          <w:color w:val="000000" w:themeColor="text1"/>
          <w:spacing w:val="10"/>
          <w:sz w:val="22"/>
          <w:szCs w:val="22"/>
        </w:rPr>
        <w:t xml:space="preserve"> </w:t>
      </w:r>
      <w:r w:rsidR="00757E8D" w:rsidRPr="00757E8D">
        <w:rPr>
          <w:b w:val="0"/>
          <w:color w:val="000000" w:themeColor="text1"/>
          <w:spacing w:val="10"/>
          <w:sz w:val="22"/>
          <w:szCs w:val="22"/>
        </w:rPr>
        <w:t>aumentaron</w:t>
      </w:r>
      <w:r w:rsidR="00A30F13" w:rsidRPr="00757E8D">
        <w:rPr>
          <w:b w:val="0"/>
          <w:color w:val="000000" w:themeColor="text1"/>
          <w:spacing w:val="10"/>
          <w:sz w:val="22"/>
          <w:szCs w:val="22"/>
        </w:rPr>
        <w:t xml:space="preserve"> </w:t>
      </w:r>
      <w:r w:rsidR="00757E8D" w:rsidRPr="00757E8D">
        <w:rPr>
          <w:b w:val="0"/>
          <w:color w:val="000000" w:themeColor="text1"/>
          <w:spacing w:val="10"/>
          <w:sz w:val="22"/>
          <w:szCs w:val="22"/>
        </w:rPr>
        <w:t>65.4</w:t>
      </w:r>
      <w:r w:rsidR="00A559DC" w:rsidRPr="00757E8D">
        <w:rPr>
          <w:b w:val="0"/>
          <w:color w:val="000000" w:themeColor="text1"/>
          <w:spacing w:val="10"/>
          <w:sz w:val="22"/>
          <w:szCs w:val="22"/>
        </w:rPr>
        <w:t xml:space="preserve"> mil</w:t>
      </w:r>
      <w:r w:rsidRPr="00757E8D">
        <w:rPr>
          <w:b w:val="0"/>
          <w:color w:val="000000" w:themeColor="text1"/>
          <w:spacing w:val="10"/>
          <w:sz w:val="22"/>
          <w:szCs w:val="22"/>
        </w:rPr>
        <w:t xml:space="preserve">, siendo el impacto mayor en el sector </w:t>
      </w:r>
      <w:r w:rsidR="00757E8D" w:rsidRPr="00757E8D">
        <w:rPr>
          <w:b w:val="0"/>
          <w:color w:val="000000" w:themeColor="text1"/>
          <w:spacing w:val="10"/>
          <w:sz w:val="22"/>
          <w:szCs w:val="22"/>
        </w:rPr>
        <w:t>comercio</w:t>
      </w:r>
      <w:r w:rsidR="00A559DC" w:rsidRPr="00757E8D">
        <w:rPr>
          <w:b w:val="0"/>
          <w:color w:val="000000" w:themeColor="text1"/>
          <w:spacing w:val="10"/>
          <w:sz w:val="22"/>
          <w:szCs w:val="22"/>
        </w:rPr>
        <w:t xml:space="preserve">; y en </w:t>
      </w:r>
      <w:r w:rsidR="00757E8D" w:rsidRPr="00757E8D">
        <w:rPr>
          <w:b w:val="0"/>
          <w:color w:val="000000" w:themeColor="text1"/>
          <w:spacing w:val="10"/>
          <w:sz w:val="22"/>
          <w:szCs w:val="22"/>
        </w:rPr>
        <w:t>el sector de restaurantes y servicios de alojamiento</w:t>
      </w:r>
      <w:r w:rsidR="000E7CD4" w:rsidRPr="00757E8D">
        <w:rPr>
          <w:b w:val="0"/>
          <w:color w:val="000000" w:themeColor="text1"/>
          <w:spacing w:val="10"/>
          <w:sz w:val="22"/>
          <w:szCs w:val="22"/>
        </w:rPr>
        <w:t>;</w:t>
      </w:r>
      <w:r w:rsidR="001C6E34" w:rsidRPr="00757E8D">
        <w:rPr>
          <w:b w:val="0"/>
          <w:color w:val="000000" w:themeColor="text1"/>
          <w:spacing w:val="10"/>
          <w:sz w:val="22"/>
          <w:szCs w:val="22"/>
        </w:rPr>
        <w:t xml:space="preserve"> </w:t>
      </w:r>
      <w:r w:rsidRPr="00757E8D">
        <w:rPr>
          <w:b w:val="0"/>
          <w:color w:val="000000" w:themeColor="text1"/>
          <w:spacing w:val="10"/>
          <w:sz w:val="22"/>
          <w:szCs w:val="22"/>
        </w:rPr>
        <w:t>con un</w:t>
      </w:r>
      <w:r w:rsidR="00A30F13" w:rsidRPr="00757E8D">
        <w:rPr>
          <w:b w:val="0"/>
          <w:color w:val="000000" w:themeColor="text1"/>
          <w:spacing w:val="10"/>
          <w:sz w:val="22"/>
          <w:szCs w:val="22"/>
        </w:rPr>
        <w:t>a reducción de</w:t>
      </w:r>
      <w:r w:rsidRPr="00757E8D">
        <w:rPr>
          <w:b w:val="0"/>
          <w:color w:val="000000" w:themeColor="text1"/>
          <w:spacing w:val="10"/>
          <w:sz w:val="22"/>
          <w:szCs w:val="22"/>
        </w:rPr>
        <w:t xml:space="preserve"> </w:t>
      </w:r>
      <w:r w:rsidR="00757E8D" w:rsidRPr="00757E8D">
        <w:rPr>
          <w:b w:val="0"/>
          <w:color w:val="000000" w:themeColor="text1"/>
          <w:spacing w:val="10"/>
          <w:sz w:val="22"/>
          <w:szCs w:val="22"/>
        </w:rPr>
        <w:t>(-)60.4</w:t>
      </w:r>
      <w:r w:rsidR="00A559DC" w:rsidRPr="00757E8D">
        <w:rPr>
          <w:b w:val="0"/>
          <w:color w:val="000000" w:themeColor="text1"/>
          <w:spacing w:val="10"/>
          <w:sz w:val="22"/>
          <w:szCs w:val="22"/>
        </w:rPr>
        <w:t xml:space="preserve"> y de </w:t>
      </w:r>
      <w:r w:rsidR="00757E8D" w:rsidRPr="00757E8D">
        <w:rPr>
          <w:b w:val="0"/>
          <w:color w:val="000000" w:themeColor="text1"/>
          <w:spacing w:val="10"/>
          <w:sz w:val="22"/>
          <w:szCs w:val="22"/>
        </w:rPr>
        <w:t xml:space="preserve">(-)29.4 </w:t>
      </w:r>
      <w:r w:rsidR="00A559DC" w:rsidRPr="00757E8D">
        <w:rPr>
          <w:b w:val="0"/>
          <w:color w:val="000000" w:themeColor="text1"/>
          <w:spacing w:val="10"/>
          <w:sz w:val="22"/>
          <w:szCs w:val="22"/>
        </w:rPr>
        <w:t>mil respectivamente.</w:t>
      </w:r>
    </w:p>
    <w:p w:rsidR="003F2E12" w:rsidRPr="00C76B16" w:rsidRDefault="003F2E12" w:rsidP="003F2E12">
      <w:pPr>
        <w:pStyle w:val="Subttulo"/>
        <w:numPr>
          <w:ilvl w:val="2"/>
          <w:numId w:val="25"/>
        </w:numPr>
        <w:ind w:left="426" w:right="-93" w:hanging="426"/>
        <w:jc w:val="both"/>
        <w:rPr>
          <w:b w:val="0"/>
          <w:color w:val="000000" w:themeColor="text1"/>
          <w:spacing w:val="10"/>
          <w:sz w:val="22"/>
          <w:szCs w:val="22"/>
        </w:rPr>
      </w:pPr>
      <w:r w:rsidRPr="00C76B16">
        <w:rPr>
          <w:b w:val="0"/>
          <w:color w:val="000000" w:themeColor="text1"/>
          <w:spacing w:val="10"/>
          <w:sz w:val="22"/>
          <w:szCs w:val="22"/>
        </w:rPr>
        <w:t>Disminuyeron</w:t>
      </w:r>
      <w:r w:rsidR="008640CC" w:rsidRPr="00C76B16">
        <w:rPr>
          <w:b w:val="0"/>
          <w:color w:val="000000" w:themeColor="text1"/>
          <w:spacing w:val="10"/>
          <w:sz w:val="22"/>
          <w:szCs w:val="22"/>
        </w:rPr>
        <w:t xml:space="preserve"> los ocupados en jornadas de </w:t>
      </w:r>
      <w:r w:rsidR="00757E8D" w:rsidRPr="00C76B16">
        <w:rPr>
          <w:b w:val="0"/>
          <w:color w:val="000000" w:themeColor="text1"/>
          <w:spacing w:val="10"/>
          <w:sz w:val="22"/>
          <w:szCs w:val="22"/>
        </w:rPr>
        <w:t>más</w:t>
      </w:r>
      <w:r w:rsidR="008640CC" w:rsidRPr="00C76B16">
        <w:rPr>
          <w:b w:val="0"/>
          <w:color w:val="000000" w:themeColor="text1"/>
          <w:spacing w:val="10"/>
          <w:sz w:val="22"/>
          <w:szCs w:val="22"/>
        </w:rPr>
        <w:t xml:space="preserve"> 48 horas en (-)</w:t>
      </w:r>
      <w:r w:rsidR="00757E8D" w:rsidRPr="00C76B16">
        <w:rPr>
          <w:b w:val="0"/>
          <w:color w:val="000000" w:themeColor="text1"/>
          <w:spacing w:val="10"/>
          <w:sz w:val="22"/>
          <w:szCs w:val="22"/>
        </w:rPr>
        <w:t>98.5</w:t>
      </w:r>
      <w:r w:rsidR="003E345D" w:rsidRPr="00C76B16">
        <w:rPr>
          <w:b w:val="0"/>
          <w:color w:val="000000" w:themeColor="text1"/>
          <w:spacing w:val="10"/>
          <w:sz w:val="22"/>
          <w:szCs w:val="22"/>
        </w:rPr>
        <w:t xml:space="preserve"> mil</w:t>
      </w:r>
      <w:r w:rsidRPr="00C76B16">
        <w:rPr>
          <w:b w:val="0"/>
          <w:color w:val="000000" w:themeColor="text1"/>
          <w:spacing w:val="10"/>
          <w:sz w:val="22"/>
          <w:szCs w:val="22"/>
        </w:rPr>
        <w:t xml:space="preserve"> y</w:t>
      </w:r>
      <w:r w:rsidR="008640CC" w:rsidRPr="00C76B16">
        <w:rPr>
          <w:b w:val="0"/>
          <w:color w:val="000000" w:themeColor="text1"/>
          <w:spacing w:val="10"/>
          <w:sz w:val="22"/>
          <w:szCs w:val="22"/>
        </w:rPr>
        <w:t xml:space="preserve"> los ocupados en </w:t>
      </w:r>
      <w:r w:rsidR="00757E8D" w:rsidRPr="00C76B16">
        <w:rPr>
          <w:b w:val="0"/>
          <w:color w:val="000000" w:themeColor="text1"/>
          <w:spacing w:val="10"/>
          <w:sz w:val="22"/>
          <w:szCs w:val="22"/>
        </w:rPr>
        <w:t>micronegocios</w:t>
      </w:r>
      <w:r w:rsidR="00057EB7" w:rsidRPr="00C76B16">
        <w:rPr>
          <w:b w:val="0"/>
          <w:color w:val="000000" w:themeColor="text1"/>
          <w:spacing w:val="10"/>
          <w:sz w:val="22"/>
          <w:szCs w:val="22"/>
        </w:rPr>
        <w:t xml:space="preserve"> </w:t>
      </w:r>
      <w:r w:rsidR="008640CC" w:rsidRPr="00C76B16">
        <w:rPr>
          <w:b w:val="0"/>
          <w:color w:val="000000" w:themeColor="text1"/>
          <w:spacing w:val="10"/>
          <w:sz w:val="22"/>
          <w:szCs w:val="22"/>
        </w:rPr>
        <w:t>en (-)</w:t>
      </w:r>
      <w:r w:rsidR="00E85415" w:rsidRPr="00C76B16">
        <w:rPr>
          <w:b w:val="0"/>
          <w:color w:val="000000" w:themeColor="text1"/>
          <w:spacing w:val="10"/>
          <w:sz w:val="22"/>
          <w:szCs w:val="22"/>
        </w:rPr>
        <w:t xml:space="preserve">23.2 </w:t>
      </w:r>
      <w:r w:rsidR="00057EB7" w:rsidRPr="00C76B16">
        <w:rPr>
          <w:b w:val="0"/>
          <w:color w:val="000000" w:themeColor="text1"/>
          <w:spacing w:val="10"/>
          <w:sz w:val="22"/>
          <w:szCs w:val="22"/>
        </w:rPr>
        <w:t>mil</w:t>
      </w:r>
      <w:r w:rsidR="00E85415" w:rsidRPr="00C76B16">
        <w:rPr>
          <w:b w:val="0"/>
          <w:color w:val="000000" w:themeColor="text1"/>
          <w:spacing w:val="10"/>
          <w:sz w:val="22"/>
          <w:szCs w:val="22"/>
        </w:rPr>
        <w:t>.</w:t>
      </w:r>
      <w:r w:rsidRPr="00C76B16">
        <w:rPr>
          <w:b w:val="0"/>
          <w:color w:val="000000" w:themeColor="text1"/>
          <w:spacing w:val="10"/>
          <w:sz w:val="22"/>
          <w:szCs w:val="22"/>
        </w:rPr>
        <w:t xml:space="preserve"> </w:t>
      </w:r>
    </w:p>
    <w:p w:rsidR="008640CC" w:rsidRPr="008A0158" w:rsidRDefault="008640CC" w:rsidP="003F2E12">
      <w:pPr>
        <w:pStyle w:val="Subttulo"/>
        <w:numPr>
          <w:ilvl w:val="2"/>
          <w:numId w:val="25"/>
        </w:numPr>
        <w:ind w:left="426" w:right="-93" w:hanging="426"/>
        <w:jc w:val="both"/>
        <w:rPr>
          <w:b w:val="0"/>
          <w:color w:val="000000" w:themeColor="text1"/>
          <w:spacing w:val="10"/>
          <w:sz w:val="22"/>
          <w:szCs w:val="22"/>
        </w:rPr>
      </w:pPr>
      <w:r w:rsidRPr="00C76B16">
        <w:rPr>
          <w:b w:val="0"/>
          <w:color w:val="000000" w:themeColor="text1"/>
          <w:spacing w:val="10"/>
          <w:sz w:val="22"/>
          <w:szCs w:val="22"/>
        </w:rPr>
        <w:t xml:space="preserve">La </w:t>
      </w:r>
      <w:r w:rsidRPr="008A0158">
        <w:rPr>
          <w:b w:val="0"/>
          <w:color w:val="000000" w:themeColor="text1"/>
          <w:spacing w:val="10"/>
          <w:sz w:val="22"/>
          <w:szCs w:val="22"/>
        </w:rPr>
        <w:t>población subocupada aument</w:t>
      </w:r>
      <w:r w:rsidR="008B5E20" w:rsidRPr="008A0158">
        <w:rPr>
          <w:b w:val="0"/>
          <w:color w:val="000000" w:themeColor="text1"/>
          <w:spacing w:val="10"/>
          <w:sz w:val="22"/>
          <w:szCs w:val="22"/>
        </w:rPr>
        <w:t>ó</w:t>
      </w:r>
      <w:r w:rsidRPr="008A0158">
        <w:rPr>
          <w:b w:val="0"/>
          <w:color w:val="000000" w:themeColor="text1"/>
          <w:spacing w:val="10"/>
          <w:sz w:val="22"/>
          <w:szCs w:val="22"/>
        </w:rPr>
        <w:t xml:space="preserve"> </w:t>
      </w:r>
      <w:r w:rsidR="0017007B" w:rsidRPr="008A0158">
        <w:rPr>
          <w:b w:val="0"/>
          <w:color w:val="000000" w:themeColor="text1"/>
          <w:spacing w:val="10"/>
          <w:sz w:val="22"/>
          <w:szCs w:val="22"/>
        </w:rPr>
        <w:t>en</w:t>
      </w:r>
      <w:r w:rsidRPr="008A0158">
        <w:rPr>
          <w:b w:val="0"/>
          <w:color w:val="000000" w:themeColor="text1"/>
          <w:spacing w:val="10"/>
          <w:sz w:val="22"/>
          <w:szCs w:val="22"/>
        </w:rPr>
        <w:t xml:space="preserve"> </w:t>
      </w:r>
      <w:r w:rsidR="001C6E34" w:rsidRPr="008A0158">
        <w:rPr>
          <w:b w:val="0"/>
          <w:color w:val="000000" w:themeColor="text1"/>
          <w:spacing w:val="10"/>
          <w:sz w:val="22"/>
          <w:szCs w:val="22"/>
        </w:rPr>
        <w:t>44</w:t>
      </w:r>
      <w:r w:rsidR="00C76B16" w:rsidRPr="008A0158">
        <w:rPr>
          <w:b w:val="0"/>
          <w:color w:val="000000" w:themeColor="text1"/>
          <w:spacing w:val="10"/>
          <w:sz w:val="22"/>
          <w:szCs w:val="22"/>
        </w:rPr>
        <w:t>3.2</w:t>
      </w:r>
      <w:r w:rsidR="00047E68" w:rsidRPr="008A0158">
        <w:rPr>
          <w:b w:val="0"/>
          <w:color w:val="000000" w:themeColor="text1"/>
          <w:spacing w:val="10"/>
          <w:sz w:val="22"/>
          <w:szCs w:val="22"/>
        </w:rPr>
        <w:t xml:space="preserve"> mil</w:t>
      </w:r>
      <w:r w:rsidRPr="008A0158">
        <w:rPr>
          <w:b w:val="0"/>
          <w:color w:val="000000" w:themeColor="text1"/>
          <w:spacing w:val="10"/>
          <w:sz w:val="22"/>
          <w:szCs w:val="22"/>
        </w:rPr>
        <w:t xml:space="preserve">, </w:t>
      </w:r>
      <w:r w:rsidR="001C6E34" w:rsidRPr="008A0158">
        <w:rPr>
          <w:b w:val="0"/>
          <w:color w:val="000000" w:themeColor="text1"/>
          <w:spacing w:val="10"/>
          <w:sz w:val="22"/>
          <w:szCs w:val="22"/>
        </w:rPr>
        <w:t xml:space="preserve">al pasar de </w:t>
      </w:r>
      <w:r w:rsidR="00047E68" w:rsidRPr="008A0158">
        <w:rPr>
          <w:b w:val="0"/>
          <w:color w:val="000000" w:themeColor="text1"/>
          <w:spacing w:val="10"/>
          <w:sz w:val="22"/>
          <w:szCs w:val="22"/>
        </w:rPr>
        <w:t>30</w:t>
      </w:r>
      <w:r w:rsidR="00C76B16" w:rsidRPr="008A0158">
        <w:rPr>
          <w:b w:val="0"/>
          <w:color w:val="000000" w:themeColor="text1"/>
          <w:spacing w:val="10"/>
          <w:sz w:val="22"/>
          <w:szCs w:val="22"/>
        </w:rPr>
        <w:t>6.7</w:t>
      </w:r>
      <w:r w:rsidR="00A30F13" w:rsidRPr="008A0158">
        <w:rPr>
          <w:b w:val="0"/>
          <w:color w:val="000000" w:themeColor="text1"/>
          <w:spacing w:val="10"/>
          <w:sz w:val="22"/>
          <w:szCs w:val="22"/>
        </w:rPr>
        <w:t xml:space="preserve"> </w:t>
      </w:r>
      <w:r w:rsidR="00047E68" w:rsidRPr="008A0158">
        <w:rPr>
          <w:b w:val="0"/>
          <w:color w:val="000000" w:themeColor="text1"/>
          <w:spacing w:val="10"/>
          <w:sz w:val="22"/>
          <w:szCs w:val="22"/>
        </w:rPr>
        <w:t>mil</w:t>
      </w:r>
      <w:r w:rsidR="001C6E34" w:rsidRPr="008A0158">
        <w:rPr>
          <w:b w:val="0"/>
          <w:color w:val="000000" w:themeColor="text1"/>
          <w:spacing w:val="10"/>
          <w:sz w:val="22"/>
          <w:szCs w:val="22"/>
        </w:rPr>
        <w:t xml:space="preserve"> a </w:t>
      </w:r>
      <w:r w:rsidR="00047E68" w:rsidRPr="008A0158">
        <w:rPr>
          <w:b w:val="0"/>
          <w:color w:val="000000" w:themeColor="text1"/>
          <w:spacing w:val="10"/>
          <w:sz w:val="22"/>
          <w:szCs w:val="22"/>
        </w:rPr>
        <w:t>7</w:t>
      </w:r>
      <w:r w:rsidR="00C76B16" w:rsidRPr="008A0158">
        <w:rPr>
          <w:b w:val="0"/>
          <w:color w:val="000000" w:themeColor="text1"/>
          <w:spacing w:val="10"/>
          <w:sz w:val="22"/>
          <w:szCs w:val="22"/>
        </w:rPr>
        <w:t>49.9</w:t>
      </w:r>
      <w:r w:rsidR="00047E68" w:rsidRPr="008A0158">
        <w:rPr>
          <w:b w:val="0"/>
          <w:color w:val="000000" w:themeColor="text1"/>
          <w:spacing w:val="10"/>
          <w:sz w:val="22"/>
          <w:szCs w:val="22"/>
        </w:rPr>
        <w:t xml:space="preserve"> mil</w:t>
      </w:r>
      <w:r w:rsidR="001C6E34" w:rsidRPr="008A0158">
        <w:rPr>
          <w:b w:val="0"/>
          <w:color w:val="000000" w:themeColor="text1"/>
          <w:spacing w:val="10"/>
          <w:sz w:val="22"/>
          <w:szCs w:val="22"/>
        </w:rPr>
        <w:t>.</w:t>
      </w:r>
    </w:p>
    <w:p w:rsidR="001C6E34" w:rsidRPr="008A0158" w:rsidRDefault="00F418B0" w:rsidP="009749DA">
      <w:pPr>
        <w:pStyle w:val="Subttulo"/>
        <w:numPr>
          <w:ilvl w:val="2"/>
          <w:numId w:val="25"/>
        </w:numPr>
        <w:ind w:left="426" w:right="-93" w:hanging="426"/>
        <w:jc w:val="both"/>
        <w:rPr>
          <w:b w:val="0"/>
          <w:color w:val="000000" w:themeColor="text1"/>
          <w:spacing w:val="10"/>
          <w:sz w:val="22"/>
          <w:szCs w:val="22"/>
        </w:rPr>
      </w:pPr>
      <w:r w:rsidRPr="008A0158">
        <w:rPr>
          <w:b w:val="0"/>
          <w:spacing w:val="10"/>
          <w:sz w:val="22"/>
          <w:szCs w:val="22"/>
        </w:rPr>
        <w:t>L</w:t>
      </w:r>
      <w:r w:rsidR="001C6E34" w:rsidRPr="008A0158">
        <w:rPr>
          <w:b w:val="0"/>
          <w:spacing w:val="10"/>
          <w:sz w:val="22"/>
          <w:szCs w:val="22"/>
        </w:rPr>
        <w:t xml:space="preserve">a tasa de desocupación </w:t>
      </w:r>
      <w:r w:rsidR="00C45C05" w:rsidRPr="008A0158">
        <w:rPr>
          <w:b w:val="0"/>
          <w:spacing w:val="10"/>
          <w:sz w:val="22"/>
          <w:szCs w:val="22"/>
        </w:rPr>
        <w:t>disminuy</w:t>
      </w:r>
      <w:r w:rsidR="008A0158" w:rsidRPr="008A0158">
        <w:rPr>
          <w:b w:val="0"/>
          <w:spacing w:val="10"/>
          <w:sz w:val="22"/>
          <w:szCs w:val="22"/>
        </w:rPr>
        <w:t>ó</w:t>
      </w:r>
      <w:r w:rsidR="00C45C05" w:rsidRPr="008A0158">
        <w:rPr>
          <w:b w:val="0"/>
          <w:spacing w:val="10"/>
          <w:sz w:val="22"/>
          <w:szCs w:val="22"/>
        </w:rPr>
        <w:t xml:space="preserve"> (-) 0.8</w:t>
      </w:r>
      <w:r w:rsidR="001C6E34" w:rsidRPr="008A0158">
        <w:rPr>
          <w:b w:val="0"/>
          <w:spacing w:val="10"/>
          <w:sz w:val="22"/>
          <w:szCs w:val="22"/>
        </w:rPr>
        <w:t xml:space="preserve"> puntos porcentuales al pasar de 3.</w:t>
      </w:r>
      <w:r w:rsidR="00C45C05" w:rsidRPr="008A0158">
        <w:rPr>
          <w:b w:val="0"/>
          <w:spacing w:val="10"/>
          <w:sz w:val="22"/>
          <w:szCs w:val="22"/>
        </w:rPr>
        <w:t>6</w:t>
      </w:r>
      <w:r w:rsidR="001C6E34" w:rsidRPr="008A0158">
        <w:rPr>
          <w:b w:val="0"/>
          <w:spacing w:val="10"/>
          <w:sz w:val="22"/>
          <w:szCs w:val="22"/>
        </w:rPr>
        <w:t xml:space="preserve">% a </w:t>
      </w:r>
      <w:r w:rsidR="00C45C05" w:rsidRPr="008A0158">
        <w:rPr>
          <w:b w:val="0"/>
          <w:spacing w:val="10"/>
          <w:sz w:val="22"/>
          <w:szCs w:val="22"/>
        </w:rPr>
        <w:t>2.8</w:t>
      </w:r>
      <w:r w:rsidR="004C0061" w:rsidRPr="008A0158">
        <w:rPr>
          <w:b w:val="0"/>
          <w:spacing w:val="10"/>
          <w:sz w:val="22"/>
          <w:szCs w:val="22"/>
        </w:rPr>
        <w:t xml:space="preserve">% a nivel </w:t>
      </w:r>
      <w:r w:rsidR="00C45C05" w:rsidRPr="008A0158">
        <w:rPr>
          <w:b w:val="0"/>
          <w:spacing w:val="10"/>
          <w:sz w:val="22"/>
          <w:szCs w:val="22"/>
        </w:rPr>
        <w:t>estatal</w:t>
      </w:r>
      <w:r w:rsidR="00A020C6" w:rsidRPr="008A0158">
        <w:rPr>
          <w:b w:val="0"/>
          <w:spacing w:val="10"/>
          <w:sz w:val="22"/>
          <w:szCs w:val="22"/>
        </w:rPr>
        <w:t xml:space="preserve">. </w:t>
      </w:r>
    </w:p>
    <w:p w:rsidR="00E84930" w:rsidRDefault="00E84930" w:rsidP="009749DA">
      <w:pPr>
        <w:pStyle w:val="Subttulo"/>
        <w:ind w:right="-518"/>
        <w:jc w:val="both"/>
        <w:rPr>
          <w:b w:val="0"/>
          <w:spacing w:val="10"/>
          <w:sz w:val="22"/>
          <w:szCs w:val="22"/>
          <w:highlight w:val="green"/>
        </w:rPr>
      </w:pPr>
    </w:p>
    <w:p w:rsidR="008A0158" w:rsidRDefault="008A0158" w:rsidP="009749DA">
      <w:pPr>
        <w:pStyle w:val="Subttulo"/>
        <w:ind w:right="-518"/>
        <w:jc w:val="both"/>
        <w:rPr>
          <w:b w:val="0"/>
          <w:spacing w:val="10"/>
          <w:sz w:val="22"/>
          <w:szCs w:val="22"/>
        </w:rPr>
      </w:pPr>
    </w:p>
    <w:p w:rsidR="00E84930" w:rsidRPr="00E052CD" w:rsidRDefault="00E84930" w:rsidP="009749DA">
      <w:pPr>
        <w:pStyle w:val="Subttulo"/>
        <w:tabs>
          <w:tab w:val="left" w:pos="567"/>
        </w:tabs>
        <w:ind w:left="-567" w:right="-518"/>
        <w:jc w:val="both"/>
        <w:rPr>
          <w:b w:val="0"/>
          <w:spacing w:val="10"/>
          <w:sz w:val="22"/>
          <w:szCs w:val="22"/>
        </w:rPr>
      </w:pPr>
      <w:r w:rsidRPr="00640491">
        <w:rPr>
          <w:b w:val="0"/>
          <w:spacing w:val="10"/>
          <w:sz w:val="22"/>
          <w:szCs w:val="22"/>
        </w:rPr>
        <w:t xml:space="preserve">En términos generales los resultados del levantamiento de la </w:t>
      </w:r>
      <w:r w:rsidRPr="00427871">
        <w:rPr>
          <w:b w:val="0"/>
          <w:spacing w:val="10"/>
          <w:sz w:val="22"/>
          <w:szCs w:val="22"/>
        </w:rPr>
        <w:t>ENOE</w:t>
      </w:r>
      <w:r>
        <w:rPr>
          <w:b w:val="0"/>
          <w:spacing w:val="10"/>
          <w:sz w:val="22"/>
          <w:szCs w:val="22"/>
          <w:vertAlign w:val="superscript"/>
        </w:rPr>
        <w:t>N</w:t>
      </w:r>
      <w:r w:rsidRPr="00035E7F">
        <w:rPr>
          <w:spacing w:val="10"/>
          <w:sz w:val="22"/>
          <w:szCs w:val="22"/>
        </w:rPr>
        <w:t xml:space="preserve"> </w:t>
      </w:r>
      <w:r>
        <w:rPr>
          <w:b w:val="0"/>
          <w:spacing w:val="10"/>
          <w:sz w:val="22"/>
          <w:szCs w:val="22"/>
        </w:rPr>
        <w:t>de</w:t>
      </w:r>
      <w:r w:rsidR="003C02BD">
        <w:rPr>
          <w:b w:val="0"/>
          <w:spacing w:val="10"/>
          <w:sz w:val="22"/>
          <w:szCs w:val="22"/>
        </w:rPr>
        <w:t xml:space="preserve">l tercer trimestre de </w:t>
      </w:r>
      <w:r>
        <w:rPr>
          <w:b w:val="0"/>
          <w:spacing w:val="10"/>
          <w:sz w:val="22"/>
          <w:szCs w:val="22"/>
        </w:rPr>
        <w:t xml:space="preserve">2020 </w:t>
      </w:r>
      <w:r w:rsidR="008271F2">
        <w:rPr>
          <w:b w:val="0"/>
          <w:spacing w:val="10"/>
          <w:sz w:val="22"/>
          <w:szCs w:val="22"/>
        </w:rPr>
        <w:t xml:space="preserve">muestran </w:t>
      </w:r>
      <w:r w:rsidR="003C02BD">
        <w:rPr>
          <w:b w:val="0"/>
          <w:spacing w:val="10"/>
          <w:sz w:val="22"/>
          <w:szCs w:val="22"/>
        </w:rPr>
        <w:t>una</w:t>
      </w:r>
      <w:r>
        <w:rPr>
          <w:b w:val="0"/>
          <w:spacing w:val="10"/>
          <w:sz w:val="22"/>
          <w:szCs w:val="22"/>
        </w:rPr>
        <w:t xml:space="preserve"> </w:t>
      </w:r>
      <w:r w:rsidR="003A543B">
        <w:rPr>
          <w:b w:val="0"/>
          <w:spacing w:val="10"/>
          <w:sz w:val="22"/>
          <w:szCs w:val="22"/>
        </w:rPr>
        <w:t xml:space="preserve">lenta </w:t>
      </w:r>
      <w:r w:rsidRPr="00640491">
        <w:rPr>
          <w:b w:val="0"/>
          <w:spacing w:val="10"/>
          <w:sz w:val="22"/>
          <w:szCs w:val="22"/>
        </w:rPr>
        <w:t>recuperación</w:t>
      </w:r>
      <w:r w:rsidR="003C02BD">
        <w:rPr>
          <w:b w:val="0"/>
          <w:spacing w:val="10"/>
          <w:sz w:val="22"/>
          <w:szCs w:val="22"/>
        </w:rPr>
        <w:t xml:space="preserve"> de la ocupación, </w:t>
      </w:r>
      <w:r w:rsidR="00A020C6">
        <w:rPr>
          <w:b w:val="0"/>
          <w:spacing w:val="10"/>
          <w:sz w:val="22"/>
          <w:szCs w:val="22"/>
        </w:rPr>
        <w:t xml:space="preserve">que está </w:t>
      </w:r>
      <w:r w:rsidR="003C02BD">
        <w:rPr>
          <w:b w:val="0"/>
          <w:spacing w:val="10"/>
          <w:sz w:val="22"/>
          <w:szCs w:val="22"/>
        </w:rPr>
        <w:t xml:space="preserve">todavía por debajo de los niveles </w:t>
      </w:r>
      <w:r w:rsidR="003C02BD" w:rsidRPr="008A0158">
        <w:rPr>
          <w:b w:val="0"/>
          <w:spacing w:val="10"/>
          <w:sz w:val="22"/>
          <w:szCs w:val="22"/>
        </w:rPr>
        <w:t>previos a la pandemia</w:t>
      </w:r>
      <w:r w:rsidR="001A0A0C" w:rsidRPr="008A0158">
        <w:rPr>
          <w:b w:val="0"/>
          <w:spacing w:val="10"/>
          <w:sz w:val="22"/>
          <w:szCs w:val="22"/>
        </w:rPr>
        <w:t>.</w:t>
      </w:r>
      <w:r w:rsidRPr="008A0158">
        <w:rPr>
          <w:b w:val="0"/>
          <w:spacing w:val="10"/>
          <w:sz w:val="22"/>
          <w:szCs w:val="22"/>
        </w:rPr>
        <w:t xml:space="preserve"> Los cambios más importantes entre </w:t>
      </w:r>
      <w:r w:rsidR="003C02BD" w:rsidRPr="008A0158">
        <w:rPr>
          <w:b w:val="0"/>
          <w:spacing w:val="10"/>
          <w:sz w:val="22"/>
          <w:szCs w:val="22"/>
        </w:rPr>
        <w:t xml:space="preserve">el tercer trimestre de 2019 e igual trimestre </w:t>
      </w:r>
      <w:r w:rsidRPr="008A0158">
        <w:rPr>
          <w:b w:val="0"/>
          <w:spacing w:val="10"/>
          <w:sz w:val="22"/>
          <w:szCs w:val="22"/>
        </w:rPr>
        <w:t xml:space="preserve">de 2020 </w:t>
      </w:r>
      <w:r w:rsidR="003C02BD" w:rsidRPr="008A0158">
        <w:rPr>
          <w:b w:val="0"/>
          <w:spacing w:val="10"/>
          <w:sz w:val="22"/>
          <w:szCs w:val="22"/>
        </w:rPr>
        <w:t xml:space="preserve">fueron una disminución de la </w:t>
      </w:r>
      <w:r w:rsidRPr="008A0158">
        <w:rPr>
          <w:b w:val="0"/>
          <w:spacing w:val="10"/>
          <w:sz w:val="22"/>
          <w:szCs w:val="22"/>
        </w:rPr>
        <w:t xml:space="preserve">PEA </w:t>
      </w:r>
      <w:r w:rsidR="009341EE" w:rsidRPr="008A0158">
        <w:rPr>
          <w:b w:val="0"/>
          <w:spacing w:val="10"/>
          <w:sz w:val="22"/>
          <w:szCs w:val="22"/>
        </w:rPr>
        <w:t xml:space="preserve">por la vía </w:t>
      </w:r>
      <w:r w:rsidR="003C02BD" w:rsidRPr="008A0158">
        <w:rPr>
          <w:b w:val="0"/>
          <w:spacing w:val="10"/>
          <w:sz w:val="22"/>
          <w:szCs w:val="22"/>
        </w:rPr>
        <w:t xml:space="preserve">de la población ocupada, la cual se ve reflejada en </w:t>
      </w:r>
      <w:r w:rsidR="008271F2" w:rsidRPr="008A0158">
        <w:rPr>
          <w:b w:val="0"/>
          <w:spacing w:val="10"/>
          <w:sz w:val="22"/>
          <w:szCs w:val="22"/>
        </w:rPr>
        <w:t xml:space="preserve">la caída de la ocupación en el sector </w:t>
      </w:r>
      <w:r w:rsidR="00A30F13" w:rsidRPr="008A0158">
        <w:rPr>
          <w:b w:val="0"/>
          <w:spacing w:val="10"/>
          <w:sz w:val="22"/>
          <w:szCs w:val="22"/>
        </w:rPr>
        <w:t>secundario</w:t>
      </w:r>
      <w:r w:rsidR="008271F2" w:rsidRPr="008A0158">
        <w:rPr>
          <w:b w:val="0"/>
          <w:spacing w:val="10"/>
          <w:sz w:val="22"/>
          <w:szCs w:val="22"/>
        </w:rPr>
        <w:t xml:space="preserve">, principalmente en </w:t>
      </w:r>
      <w:r w:rsidR="00A30F13" w:rsidRPr="008A0158">
        <w:rPr>
          <w:b w:val="0"/>
          <w:spacing w:val="10"/>
          <w:sz w:val="22"/>
          <w:szCs w:val="22"/>
        </w:rPr>
        <w:t>la construcción</w:t>
      </w:r>
      <w:r w:rsidR="008A0158" w:rsidRPr="008A0158">
        <w:rPr>
          <w:b w:val="0"/>
          <w:spacing w:val="10"/>
          <w:sz w:val="22"/>
          <w:szCs w:val="22"/>
        </w:rPr>
        <w:t>,</w:t>
      </w:r>
      <w:r w:rsidR="008F1A6E" w:rsidRPr="008A0158">
        <w:rPr>
          <w:b w:val="0"/>
          <w:spacing w:val="10"/>
          <w:sz w:val="22"/>
          <w:szCs w:val="22"/>
        </w:rPr>
        <w:t xml:space="preserve"> así como</w:t>
      </w:r>
      <w:r w:rsidR="008271F2" w:rsidRPr="008A0158">
        <w:rPr>
          <w:b w:val="0"/>
          <w:spacing w:val="10"/>
          <w:sz w:val="22"/>
          <w:szCs w:val="22"/>
        </w:rPr>
        <w:t xml:space="preserve"> </w:t>
      </w:r>
      <w:r w:rsidR="000D654B" w:rsidRPr="008A0158">
        <w:rPr>
          <w:b w:val="0"/>
          <w:spacing w:val="10"/>
          <w:sz w:val="22"/>
          <w:szCs w:val="22"/>
        </w:rPr>
        <w:t xml:space="preserve">en </w:t>
      </w:r>
      <w:r w:rsidR="00A30F13" w:rsidRPr="008A0158">
        <w:rPr>
          <w:b w:val="0"/>
          <w:spacing w:val="10"/>
          <w:sz w:val="22"/>
          <w:szCs w:val="22"/>
        </w:rPr>
        <w:t>la industria manufacturera</w:t>
      </w:r>
      <w:r w:rsidR="008271F2" w:rsidRPr="008A0158">
        <w:rPr>
          <w:b w:val="0"/>
          <w:spacing w:val="10"/>
          <w:sz w:val="22"/>
          <w:szCs w:val="22"/>
        </w:rPr>
        <w:t>;</w:t>
      </w:r>
      <w:r w:rsidR="00A020C6" w:rsidRPr="008A0158">
        <w:rPr>
          <w:b w:val="0"/>
          <w:spacing w:val="10"/>
          <w:sz w:val="22"/>
          <w:szCs w:val="22"/>
        </w:rPr>
        <w:t xml:space="preserve"> p</w:t>
      </w:r>
      <w:r w:rsidR="008271F2" w:rsidRPr="008A0158">
        <w:rPr>
          <w:b w:val="0"/>
          <w:spacing w:val="10"/>
          <w:sz w:val="22"/>
          <w:szCs w:val="22"/>
        </w:rPr>
        <w:t xml:space="preserve">érdida de empleos de tiempo completo, disminución de la ocupación en los </w:t>
      </w:r>
      <w:r w:rsidR="00866553" w:rsidRPr="008A0158">
        <w:rPr>
          <w:b w:val="0"/>
          <w:spacing w:val="10"/>
          <w:sz w:val="22"/>
          <w:szCs w:val="22"/>
        </w:rPr>
        <w:t>pequeños establecimientos</w:t>
      </w:r>
      <w:r w:rsidR="0048330F" w:rsidRPr="008A0158">
        <w:rPr>
          <w:b w:val="0"/>
          <w:spacing w:val="10"/>
          <w:sz w:val="22"/>
          <w:szCs w:val="22"/>
        </w:rPr>
        <w:t xml:space="preserve"> y en condiciones de informalidad, </w:t>
      </w:r>
      <w:r w:rsidR="008271F2" w:rsidRPr="008A0158">
        <w:rPr>
          <w:b w:val="0"/>
          <w:spacing w:val="10"/>
          <w:sz w:val="22"/>
          <w:szCs w:val="22"/>
        </w:rPr>
        <w:t xml:space="preserve">así </w:t>
      </w:r>
      <w:r w:rsidR="00BF6813" w:rsidRPr="008A0158">
        <w:rPr>
          <w:b w:val="0"/>
          <w:spacing w:val="10"/>
          <w:sz w:val="22"/>
          <w:szCs w:val="22"/>
        </w:rPr>
        <w:t xml:space="preserve">como </w:t>
      </w:r>
      <w:r w:rsidR="0048330F" w:rsidRPr="008A0158">
        <w:rPr>
          <w:b w:val="0"/>
          <w:spacing w:val="10"/>
          <w:sz w:val="22"/>
          <w:szCs w:val="22"/>
        </w:rPr>
        <w:t>un aumento</w:t>
      </w:r>
      <w:r w:rsidR="0003597F" w:rsidRPr="008A0158">
        <w:rPr>
          <w:b w:val="0"/>
          <w:spacing w:val="10"/>
          <w:sz w:val="22"/>
          <w:szCs w:val="22"/>
        </w:rPr>
        <w:t xml:space="preserve"> en</w:t>
      </w:r>
      <w:r w:rsidR="0048330F" w:rsidRPr="008A0158">
        <w:rPr>
          <w:b w:val="0"/>
          <w:spacing w:val="10"/>
          <w:sz w:val="22"/>
          <w:szCs w:val="22"/>
        </w:rPr>
        <w:t xml:space="preserve"> la subocupación</w:t>
      </w:r>
      <w:r w:rsidR="000D654B" w:rsidRPr="008A0158">
        <w:rPr>
          <w:b w:val="0"/>
          <w:spacing w:val="10"/>
          <w:sz w:val="22"/>
          <w:szCs w:val="22"/>
        </w:rPr>
        <w:t xml:space="preserve"> y en</w:t>
      </w:r>
      <w:r w:rsidR="0048330F" w:rsidRPr="008A0158">
        <w:rPr>
          <w:b w:val="0"/>
          <w:spacing w:val="10"/>
          <w:sz w:val="22"/>
          <w:szCs w:val="22"/>
        </w:rPr>
        <w:t xml:space="preserve"> la ocupación en situaci</w:t>
      </w:r>
      <w:r w:rsidR="00BF6813" w:rsidRPr="008A0158">
        <w:rPr>
          <w:b w:val="0"/>
          <w:spacing w:val="10"/>
          <w:sz w:val="22"/>
          <w:szCs w:val="22"/>
        </w:rPr>
        <w:t>ón</w:t>
      </w:r>
      <w:r w:rsidR="0048330F" w:rsidRPr="008A0158">
        <w:rPr>
          <w:b w:val="0"/>
          <w:spacing w:val="10"/>
          <w:sz w:val="22"/>
          <w:szCs w:val="22"/>
        </w:rPr>
        <w:t xml:space="preserve"> crítica</w:t>
      </w:r>
      <w:r w:rsidR="0003597F" w:rsidRPr="008A0158">
        <w:rPr>
          <w:b w:val="0"/>
          <w:spacing w:val="10"/>
          <w:sz w:val="22"/>
          <w:szCs w:val="22"/>
        </w:rPr>
        <w:t xml:space="preserve"> y disminución de la </w:t>
      </w:r>
      <w:r w:rsidR="0003597F" w:rsidRPr="00E052CD">
        <w:rPr>
          <w:b w:val="0"/>
          <w:spacing w:val="10"/>
          <w:sz w:val="22"/>
          <w:szCs w:val="22"/>
        </w:rPr>
        <w:t>desocupación</w:t>
      </w:r>
      <w:r w:rsidRPr="00E052CD">
        <w:rPr>
          <w:b w:val="0"/>
          <w:spacing w:val="10"/>
          <w:sz w:val="22"/>
          <w:szCs w:val="22"/>
        </w:rPr>
        <w:t>.</w:t>
      </w:r>
    </w:p>
    <w:p w:rsidR="003A543B" w:rsidRPr="00E052CD" w:rsidRDefault="003A543B" w:rsidP="009749DA">
      <w:pPr>
        <w:pStyle w:val="Subttulo"/>
        <w:tabs>
          <w:tab w:val="left" w:pos="567"/>
        </w:tabs>
        <w:ind w:left="-567" w:right="-518"/>
        <w:jc w:val="both"/>
        <w:rPr>
          <w:b w:val="0"/>
          <w:spacing w:val="10"/>
          <w:sz w:val="22"/>
          <w:szCs w:val="22"/>
        </w:rPr>
      </w:pPr>
    </w:p>
    <w:p w:rsidR="00E84930" w:rsidRPr="00640491" w:rsidRDefault="00E84930" w:rsidP="009749DA">
      <w:pPr>
        <w:pStyle w:val="Subttulo"/>
        <w:ind w:left="-567" w:right="-518"/>
        <w:jc w:val="both"/>
        <w:rPr>
          <w:b w:val="0"/>
          <w:spacing w:val="10"/>
          <w:sz w:val="22"/>
          <w:szCs w:val="22"/>
        </w:rPr>
      </w:pPr>
      <w:r w:rsidRPr="00E052CD">
        <w:rPr>
          <w:b w:val="0"/>
          <w:color w:val="000000" w:themeColor="text1"/>
          <w:spacing w:val="10"/>
          <w:sz w:val="22"/>
          <w:szCs w:val="22"/>
        </w:rPr>
        <w:t xml:space="preserve">La </w:t>
      </w:r>
      <w:r w:rsidRPr="00E052CD">
        <w:rPr>
          <w:b w:val="0"/>
          <w:spacing w:val="10"/>
          <w:sz w:val="22"/>
          <w:szCs w:val="22"/>
        </w:rPr>
        <w:t>ENOE</w:t>
      </w:r>
      <w:r w:rsidRPr="00E052CD">
        <w:rPr>
          <w:b w:val="0"/>
          <w:spacing w:val="10"/>
          <w:sz w:val="22"/>
          <w:szCs w:val="22"/>
          <w:vertAlign w:val="superscript"/>
        </w:rPr>
        <w:t>N</w:t>
      </w:r>
      <w:r w:rsidRPr="00E052CD">
        <w:rPr>
          <w:spacing w:val="10"/>
          <w:sz w:val="22"/>
          <w:szCs w:val="22"/>
        </w:rPr>
        <w:t xml:space="preserve"> </w:t>
      </w:r>
      <w:r w:rsidRPr="00E052CD">
        <w:rPr>
          <w:b w:val="0"/>
          <w:color w:val="000000" w:themeColor="text1"/>
          <w:spacing w:val="10"/>
          <w:sz w:val="22"/>
          <w:szCs w:val="22"/>
        </w:rPr>
        <w:t xml:space="preserve">en </w:t>
      </w:r>
      <w:r w:rsidR="0048330F" w:rsidRPr="00E052CD">
        <w:rPr>
          <w:b w:val="0"/>
          <w:color w:val="000000" w:themeColor="text1"/>
          <w:spacing w:val="10"/>
          <w:sz w:val="22"/>
          <w:szCs w:val="22"/>
        </w:rPr>
        <w:t xml:space="preserve">el tercer trimestre </w:t>
      </w:r>
      <w:r w:rsidRPr="00E052CD">
        <w:rPr>
          <w:b w:val="0"/>
          <w:color w:val="000000" w:themeColor="text1"/>
          <w:spacing w:val="10"/>
          <w:sz w:val="22"/>
          <w:szCs w:val="22"/>
        </w:rPr>
        <w:t>de 2020</w:t>
      </w:r>
      <w:r w:rsidRPr="00E052CD">
        <w:rPr>
          <w:b w:val="0"/>
          <w:spacing w:val="10"/>
          <w:sz w:val="22"/>
          <w:szCs w:val="22"/>
        </w:rPr>
        <w:t xml:space="preserve"> reportó un</w:t>
      </w:r>
      <w:r w:rsidR="0048330F" w:rsidRPr="00E052CD">
        <w:rPr>
          <w:b w:val="0"/>
          <w:spacing w:val="10"/>
          <w:sz w:val="22"/>
          <w:szCs w:val="22"/>
        </w:rPr>
        <w:t xml:space="preserve">a disminución </w:t>
      </w:r>
      <w:r w:rsidRPr="00E052CD">
        <w:rPr>
          <w:b w:val="0"/>
          <w:spacing w:val="10"/>
          <w:sz w:val="22"/>
          <w:szCs w:val="22"/>
        </w:rPr>
        <w:t xml:space="preserve">de </w:t>
      </w:r>
      <w:r w:rsidR="0048330F" w:rsidRPr="00E052CD">
        <w:rPr>
          <w:b w:val="0"/>
          <w:spacing w:val="10"/>
          <w:sz w:val="22"/>
          <w:szCs w:val="22"/>
        </w:rPr>
        <w:t>(-)</w:t>
      </w:r>
      <w:r w:rsidR="0003597F" w:rsidRPr="00E052CD">
        <w:rPr>
          <w:b w:val="0"/>
          <w:spacing w:val="10"/>
          <w:sz w:val="22"/>
          <w:szCs w:val="22"/>
        </w:rPr>
        <w:t>82</w:t>
      </w:r>
      <w:r w:rsidR="00E052CD" w:rsidRPr="00E052CD">
        <w:rPr>
          <w:b w:val="0"/>
          <w:spacing w:val="10"/>
          <w:sz w:val="22"/>
          <w:szCs w:val="22"/>
        </w:rPr>
        <w:t>.2</w:t>
      </w:r>
      <w:r w:rsidR="0003597F" w:rsidRPr="00E052CD">
        <w:rPr>
          <w:b w:val="0"/>
          <w:spacing w:val="10"/>
          <w:sz w:val="22"/>
          <w:szCs w:val="22"/>
        </w:rPr>
        <w:t xml:space="preserve"> mil</w:t>
      </w:r>
      <w:r w:rsidR="0048330F" w:rsidRPr="00E052CD">
        <w:rPr>
          <w:b w:val="0"/>
          <w:spacing w:val="10"/>
          <w:sz w:val="22"/>
          <w:szCs w:val="22"/>
        </w:rPr>
        <w:t xml:space="preserve"> </w:t>
      </w:r>
      <w:r w:rsidRPr="00E052CD">
        <w:rPr>
          <w:b w:val="0"/>
          <w:spacing w:val="10"/>
          <w:sz w:val="22"/>
          <w:szCs w:val="22"/>
        </w:rPr>
        <w:t xml:space="preserve">personas en la PEA, </w:t>
      </w:r>
      <w:r w:rsidR="00E43372" w:rsidRPr="00E052CD">
        <w:rPr>
          <w:b w:val="0"/>
          <w:spacing w:val="10"/>
          <w:sz w:val="22"/>
          <w:szCs w:val="22"/>
        </w:rPr>
        <w:t xml:space="preserve">lo que se refleja en </w:t>
      </w:r>
      <w:r w:rsidRPr="00E052CD">
        <w:rPr>
          <w:b w:val="0"/>
          <w:spacing w:val="10"/>
          <w:sz w:val="22"/>
          <w:szCs w:val="22"/>
        </w:rPr>
        <w:t xml:space="preserve">una Tasa de Participación Económica de </w:t>
      </w:r>
      <w:r w:rsidR="0003597F" w:rsidRPr="00E052CD">
        <w:rPr>
          <w:b w:val="0"/>
          <w:spacing w:val="10"/>
          <w:sz w:val="22"/>
          <w:szCs w:val="22"/>
        </w:rPr>
        <w:t>50.3</w:t>
      </w:r>
      <w:r w:rsidRPr="00E052CD">
        <w:rPr>
          <w:b w:val="0"/>
          <w:spacing w:val="10"/>
          <w:sz w:val="22"/>
          <w:szCs w:val="22"/>
        </w:rPr>
        <w:t xml:space="preserve">% respecto a la población de 15 años y más, cifra </w:t>
      </w:r>
      <w:r w:rsidR="0048330F" w:rsidRPr="00E052CD">
        <w:rPr>
          <w:b w:val="0"/>
          <w:spacing w:val="10"/>
          <w:sz w:val="22"/>
          <w:szCs w:val="22"/>
        </w:rPr>
        <w:t>(-)</w:t>
      </w:r>
      <w:r w:rsidR="0003597F" w:rsidRPr="00E052CD">
        <w:rPr>
          <w:b w:val="0"/>
          <w:spacing w:val="10"/>
          <w:sz w:val="22"/>
          <w:szCs w:val="22"/>
        </w:rPr>
        <w:t>3.1</w:t>
      </w:r>
      <w:r w:rsidR="0048330F" w:rsidRPr="00E052CD">
        <w:rPr>
          <w:b w:val="0"/>
          <w:spacing w:val="10"/>
          <w:sz w:val="22"/>
          <w:szCs w:val="22"/>
        </w:rPr>
        <w:t xml:space="preserve"> </w:t>
      </w:r>
      <w:r w:rsidRPr="00E052CD">
        <w:rPr>
          <w:b w:val="0"/>
          <w:spacing w:val="10"/>
          <w:sz w:val="22"/>
          <w:szCs w:val="22"/>
        </w:rPr>
        <w:t xml:space="preserve">puntos porcentuales </w:t>
      </w:r>
      <w:r w:rsidR="0048330F" w:rsidRPr="00E052CD">
        <w:rPr>
          <w:b w:val="0"/>
          <w:spacing w:val="10"/>
          <w:sz w:val="22"/>
          <w:szCs w:val="22"/>
        </w:rPr>
        <w:t>inferior</w:t>
      </w:r>
      <w:r w:rsidRPr="00E052CD">
        <w:rPr>
          <w:b w:val="0"/>
          <w:spacing w:val="10"/>
          <w:sz w:val="22"/>
          <w:szCs w:val="22"/>
        </w:rPr>
        <w:t xml:space="preserve"> a la de </w:t>
      </w:r>
      <w:r w:rsidR="0048330F" w:rsidRPr="00E052CD">
        <w:rPr>
          <w:b w:val="0"/>
          <w:spacing w:val="10"/>
          <w:sz w:val="22"/>
          <w:szCs w:val="22"/>
        </w:rPr>
        <w:t xml:space="preserve">mismo trimestre del año </w:t>
      </w:r>
      <w:r w:rsidRPr="00E052CD">
        <w:rPr>
          <w:b w:val="0"/>
          <w:spacing w:val="10"/>
          <w:sz w:val="22"/>
          <w:szCs w:val="22"/>
        </w:rPr>
        <w:t xml:space="preserve">pasado. Cabe destacar que las Tasas de Participación Económica de hombres y mujeres resultaron en </w:t>
      </w:r>
      <w:r w:rsidR="0003597F" w:rsidRPr="00E052CD">
        <w:rPr>
          <w:b w:val="0"/>
          <w:spacing w:val="10"/>
          <w:sz w:val="22"/>
          <w:szCs w:val="22"/>
        </w:rPr>
        <w:t>70.1</w:t>
      </w:r>
      <w:r w:rsidRPr="00E052CD">
        <w:rPr>
          <w:b w:val="0"/>
          <w:spacing w:val="10"/>
          <w:sz w:val="22"/>
          <w:szCs w:val="22"/>
        </w:rPr>
        <w:t xml:space="preserve">% y </w:t>
      </w:r>
      <w:r w:rsidR="0003597F" w:rsidRPr="00E052CD">
        <w:rPr>
          <w:b w:val="0"/>
          <w:spacing w:val="10"/>
          <w:sz w:val="22"/>
          <w:szCs w:val="22"/>
        </w:rPr>
        <w:t>33.4</w:t>
      </w:r>
      <w:r w:rsidRPr="00E052CD">
        <w:rPr>
          <w:b w:val="0"/>
          <w:spacing w:val="10"/>
          <w:sz w:val="22"/>
          <w:szCs w:val="22"/>
        </w:rPr>
        <w:t xml:space="preserve">%, </w:t>
      </w:r>
      <w:r w:rsidR="00897268" w:rsidRPr="00E052CD">
        <w:rPr>
          <w:b w:val="0"/>
          <w:spacing w:val="10"/>
          <w:sz w:val="22"/>
          <w:szCs w:val="22"/>
        </w:rPr>
        <w:t>cifra</w:t>
      </w:r>
      <w:r w:rsidR="0048330F" w:rsidRPr="00E052CD">
        <w:rPr>
          <w:b w:val="0"/>
          <w:spacing w:val="10"/>
          <w:sz w:val="22"/>
          <w:szCs w:val="22"/>
        </w:rPr>
        <w:t xml:space="preserve"> inferior en (-)</w:t>
      </w:r>
      <w:r w:rsidR="00897268" w:rsidRPr="00E052CD">
        <w:rPr>
          <w:b w:val="0"/>
          <w:spacing w:val="10"/>
          <w:sz w:val="22"/>
          <w:szCs w:val="22"/>
        </w:rPr>
        <w:t>3.3 y (-)2.6</w:t>
      </w:r>
      <w:r w:rsidR="0048330F" w:rsidRPr="00E052CD">
        <w:rPr>
          <w:b w:val="0"/>
          <w:spacing w:val="10"/>
          <w:sz w:val="22"/>
          <w:szCs w:val="22"/>
        </w:rPr>
        <w:t xml:space="preserve"> puntos porcentuales respecto al tercer trimestre de 2019.</w:t>
      </w:r>
    </w:p>
    <w:p w:rsidR="00E84930" w:rsidRPr="00640491" w:rsidRDefault="00E84930" w:rsidP="009749DA">
      <w:pPr>
        <w:pStyle w:val="Subttulo"/>
        <w:ind w:left="-567" w:right="-518"/>
        <w:jc w:val="both"/>
        <w:rPr>
          <w:b w:val="0"/>
          <w:color w:val="000000" w:themeColor="text1"/>
          <w:spacing w:val="10"/>
          <w:sz w:val="22"/>
          <w:szCs w:val="22"/>
        </w:rPr>
      </w:pPr>
    </w:p>
    <w:p w:rsidR="0048330F" w:rsidRPr="004F7EFD" w:rsidRDefault="00E84930" w:rsidP="009749DA">
      <w:pPr>
        <w:pStyle w:val="Subttulo"/>
        <w:ind w:left="-567" w:right="-516"/>
        <w:jc w:val="both"/>
        <w:rPr>
          <w:b w:val="0"/>
          <w:spacing w:val="10"/>
          <w:sz w:val="22"/>
          <w:szCs w:val="22"/>
        </w:rPr>
      </w:pPr>
      <w:r w:rsidRPr="00640491">
        <w:rPr>
          <w:b w:val="0"/>
          <w:spacing w:val="10"/>
          <w:sz w:val="22"/>
          <w:szCs w:val="22"/>
        </w:rPr>
        <w:lastRenderedPageBreak/>
        <w:t xml:space="preserve">En </w:t>
      </w:r>
      <w:r>
        <w:rPr>
          <w:b w:val="0"/>
          <w:spacing w:val="10"/>
          <w:sz w:val="22"/>
          <w:szCs w:val="22"/>
        </w:rPr>
        <w:t xml:space="preserve">el </w:t>
      </w:r>
      <w:r w:rsidR="000D654B">
        <w:rPr>
          <w:b w:val="0"/>
          <w:spacing w:val="10"/>
          <w:sz w:val="22"/>
          <w:szCs w:val="22"/>
        </w:rPr>
        <w:t xml:space="preserve">periodo de julio a </w:t>
      </w:r>
      <w:r w:rsidR="000D654B" w:rsidRPr="00886E71">
        <w:rPr>
          <w:b w:val="0"/>
          <w:spacing w:val="10"/>
          <w:sz w:val="22"/>
          <w:szCs w:val="22"/>
        </w:rPr>
        <w:t>septiembre</w:t>
      </w:r>
      <w:r w:rsidRPr="00886E71">
        <w:rPr>
          <w:b w:val="0"/>
          <w:spacing w:val="10"/>
          <w:sz w:val="22"/>
          <w:szCs w:val="22"/>
        </w:rPr>
        <w:t xml:space="preserve"> de 2020, la población ocupada resultó en </w:t>
      </w:r>
      <w:r w:rsidR="00897268" w:rsidRPr="00886E71">
        <w:rPr>
          <w:b w:val="0"/>
          <w:spacing w:val="10"/>
          <w:sz w:val="22"/>
          <w:szCs w:val="22"/>
        </w:rPr>
        <w:t>3.2</w:t>
      </w:r>
      <w:r w:rsidRPr="00886E71">
        <w:rPr>
          <w:b w:val="0"/>
          <w:spacing w:val="10"/>
          <w:sz w:val="22"/>
          <w:szCs w:val="22"/>
        </w:rPr>
        <w:t xml:space="preserve"> millones de personas, </w:t>
      </w:r>
      <w:r w:rsidR="0048330F" w:rsidRPr="00886E71">
        <w:rPr>
          <w:b w:val="0"/>
          <w:spacing w:val="10"/>
          <w:sz w:val="22"/>
          <w:szCs w:val="22"/>
        </w:rPr>
        <w:t>cifra inferior en (-)</w:t>
      </w:r>
      <w:r w:rsidR="00897268" w:rsidRPr="00886E71">
        <w:rPr>
          <w:b w:val="0"/>
          <w:spacing w:val="10"/>
          <w:sz w:val="22"/>
          <w:szCs w:val="22"/>
        </w:rPr>
        <w:t>5</w:t>
      </w:r>
      <w:r w:rsidR="00886E71" w:rsidRPr="00886E71">
        <w:rPr>
          <w:b w:val="0"/>
          <w:spacing w:val="10"/>
          <w:sz w:val="22"/>
          <w:szCs w:val="22"/>
        </w:rPr>
        <w:t>2.8</w:t>
      </w:r>
      <w:r w:rsidR="00897268" w:rsidRPr="00886E71">
        <w:rPr>
          <w:b w:val="0"/>
          <w:spacing w:val="10"/>
          <w:sz w:val="22"/>
          <w:szCs w:val="22"/>
        </w:rPr>
        <w:t xml:space="preserve"> mil </w:t>
      </w:r>
      <w:r w:rsidR="0048330F" w:rsidRPr="00886E71">
        <w:rPr>
          <w:b w:val="0"/>
          <w:spacing w:val="10"/>
          <w:sz w:val="22"/>
          <w:szCs w:val="22"/>
        </w:rPr>
        <w:t xml:space="preserve">personas comparada con la del tercer trimestre de 2019. La población ocupada de hombres fue de </w:t>
      </w:r>
      <w:r w:rsidR="00897268" w:rsidRPr="00886E71">
        <w:rPr>
          <w:b w:val="0"/>
          <w:spacing w:val="10"/>
          <w:sz w:val="22"/>
          <w:szCs w:val="22"/>
        </w:rPr>
        <w:t>2</w:t>
      </w:r>
      <w:r w:rsidR="0048330F" w:rsidRPr="00886E71">
        <w:rPr>
          <w:b w:val="0"/>
          <w:spacing w:val="10"/>
          <w:sz w:val="22"/>
          <w:szCs w:val="22"/>
        </w:rPr>
        <w:t xml:space="preserve"> millones, cifra menor en (-)</w:t>
      </w:r>
      <w:r w:rsidR="00C46791" w:rsidRPr="00886E71">
        <w:rPr>
          <w:b w:val="0"/>
          <w:spacing w:val="10"/>
          <w:sz w:val="22"/>
          <w:szCs w:val="22"/>
        </w:rPr>
        <w:t>30</w:t>
      </w:r>
      <w:r w:rsidR="00886E71" w:rsidRPr="00886E71">
        <w:rPr>
          <w:b w:val="0"/>
          <w:spacing w:val="10"/>
          <w:sz w:val="22"/>
          <w:szCs w:val="22"/>
        </w:rPr>
        <w:t>.5</w:t>
      </w:r>
      <w:r w:rsidR="00C46791" w:rsidRPr="00886E71">
        <w:rPr>
          <w:b w:val="0"/>
          <w:spacing w:val="10"/>
          <w:sz w:val="22"/>
          <w:szCs w:val="22"/>
        </w:rPr>
        <w:t xml:space="preserve"> mil y</w:t>
      </w:r>
      <w:r w:rsidR="0048330F" w:rsidRPr="00886E71">
        <w:rPr>
          <w:b w:val="0"/>
          <w:spacing w:val="10"/>
          <w:sz w:val="22"/>
          <w:szCs w:val="22"/>
        </w:rPr>
        <w:t xml:space="preserve"> la población ocupada de mujeres fue de </w:t>
      </w:r>
      <w:r w:rsidR="00C46791" w:rsidRPr="00886E71">
        <w:rPr>
          <w:b w:val="0"/>
          <w:spacing w:val="10"/>
          <w:sz w:val="22"/>
          <w:szCs w:val="22"/>
        </w:rPr>
        <w:t>1</w:t>
      </w:r>
      <w:r w:rsidR="00886E71" w:rsidRPr="00886E71">
        <w:rPr>
          <w:b w:val="0"/>
          <w:spacing w:val="10"/>
          <w:sz w:val="22"/>
          <w:szCs w:val="22"/>
        </w:rPr>
        <w:t>.1</w:t>
      </w:r>
      <w:r w:rsidR="0048330F" w:rsidRPr="00886E71">
        <w:rPr>
          <w:b w:val="0"/>
          <w:spacing w:val="10"/>
          <w:sz w:val="22"/>
          <w:szCs w:val="22"/>
        </w:rPr>
        <w:t xml:space="preserve"> </w:t>
      </w:r>
      <w:r w:rsidR="00C46791" w:rsidRPr="00886E71">
        <w:rPr>
          <w:b w:val="0"/>
          <w:spacing w:val="10"/>
          <w:sz w:val="22"/>
          <w:szCs w:val="22"/>
        </w:rPr>
        <w:t>millón</w:t>
      </w:r>
      <w:r w:rsidR="0048330F" w:rsidRPr="00886E71">
        <w:rPr>
          <w:b w:val="0"/>
          <w:spacing w:val="10"/>
          <w:sz w:val="22"/>
          <w:szCs w:val="22"/>
        </w:rPr>
        <w:t>, (-)2</w:t>
      </w:r>
      <w:r w:rsidR="00C46791" w:rsidRPr="00886E71">
        <w:rPr>
          <w:b w:val="0"/>
          <w:spacing w:val="10"/>
          <w:sz w:val="22"/>
          <w:szCs w:val="22"/>
        </w:rPr>
        <w:t>2</w:t>
      </w:r>
      <w:r w:rsidR="00886E71" w:rsidRPr="00886E71">
        <w:rPr>
          <w:b w:val="0"/>
          <w:spacing w:val="10"/>
          <w:sz w:val="22"/>
          <w:szCs w:val="22"/>
        </w:rPr>
        <w:t>.4</w:t>
      </w:r>
      <w:r w:rsidR="00C46791" w:rsidRPr="00886E71">
        <w:rPr>
          <w:b w:val="0"/>
          <w:spacing w:val="10"/>
          <w:sz w:val="22"/>
          <w:szCs w:val="22"/>
        </w:rPr>
        <w:t xml:space="preserve"> mil</w:t>
      </w:r>
      <w:r w:rsidR="0048330F" w:rsidRPr="00886E71">
        <w:rPr>
          <w:b w:val="0"/>
          <w:spacing w:val="10"/>
          <w:sz w:val="22"/>
          <w:szCs w:val="22"/>
        </w:rPr>
        <w:t xml:space="preserve"> menos en el mismo </w:t>
      </w:r>
      <w:r w:rsidR="000D654B" w:rsidRPr="004F7EFD">
        <w:rPr>
          <w:b w:val="0"/>
          <w:spacing w:val="10"/>
          <w:sz w:val="22"/>
          <w:szCs w:val="22"/>
        </w:rPr>
        <w:t>lapso</w:t>
      </w:r>
      <w:r w:rsidR="0048330F" w:rsidRPr="004F7EFD">
        <w:rPr>
          <w:b w:val="0"/>
          <w:spacing w:val="10"/>
          <w:sz w:val="22"/>
          <w:szCs w:val="22"/>
        </w:rPr>
        <w:t>.</w:t>
      </w:r>
    </w:p>
    <w:p w:rsidR="0048330F" w:rsidRPr="004F7EFD" w:rsidRDefault="0048330F" w:rsidP="009749DA">
      <w:pPr>
        <w:pStyle w:val="Subttulo"/>
        <w:ind w:left="-567" w:right="-516"/>
        <w:jc w:val="both"/>
        <w:rPr>
          <w:b w:val="0"/>
          <w:spacing w:val="10"/>
          <w:sz w:val="22"/>
          <w:szCs w:val="22"/>
        </w:rPr>
      </w:pPr>
    </w:p>
    <w:p w:rsidR="00CA64BC" w:rsidRDefault="0048330F" w:rsidP="009749DA">
      <w:pPr>
        <w:pStyle w:val="Subttulo"/>
        <w:ind w:left="-567" w:right="-516"/>
        <w:jc w:val="both"/>
        <w:rPr>
          <w:b w:val="0"/>
          <w:spacing w:val="10"/>
          <w:sz w:val="22"/>
          <w:szCs w:val="22"/>
        </w:rPr>
      </w:pPr>
      <w:r w:rsidRPr="004F7EFD">
        <w:rPr>
          <w:b w:val="0"/>
          <w:spacing w:val="10"/>
          <w:sz w:val="22"/>
          <w:szCs w:val="22"/>
        </w:rPr>
        <w:t xml:space="preserve">Los trabajadores subordinados y remunerados concentraron </w:t>
      </w:r>
      <w:r w:rsidR="00C46791" w:rsidRPr="004F7EFD">
        <w:rPr>
          <w:b w:val="0"/>
          <w:spacing w:val="10"/>
          <w:sz w:val="22"/>
          <w:szCs w:val="22"/>
        </w:rPr>
        <w:t>64.3</w:t>
      </w:r>
      <w:r w:rsidRPr="004F7EFD">
        <w:rPr>
          <w:b w:val="0"/>
          <w:spacing w:val="10"/>
          <w:sz w:val="22"/>
          <w:szCs w:val="22"/>
        </w:rPr>
        <w:t xml:space="preserve">% del total de la población ocupada y los trabajadores por cuenta propia representaron </w:t>
      </w:r>
      <w:r w:rsidR="00C46791" w:rsidRPr="004F7EFD">
        <w:rPr>
          <w:b w:val="0"/>
          <w:spacing w:val="10"/>
          <w:sz w:val="22"/>
          <w:szCs w:val="22"/>
        </w:rPr>
        <w:t>28.4</w:t>
      </w:r>
      <w:r w:rsidRPr="004F7EFD">
        <w:rPr>
          <w:b w:val="0"/>
          <w:spacing w:val="10"/>
          <w:sz w:val="22"/>
          <w:szCs w:val="22"/>
        </w:rPr>
        <w:t xml:space="preserve">% para el tercer trimestre de este año. En términos absolutos entre el tercer trimestre de 2019 y el mismo periodo de 2020 registraron </w:t>
      </w:r>
      <w:r w:rsidR="00BC35B9" w:rsidRPr="004F7EFD">
        <w:rPr>
          <w:b w:val="0"/>
          <w:spacing w:val="10"/>
          <w:sz w:val="22"/>
          <w:szCs w:val="22"/>
        </w:rPr>
        <w:t>un aumento</w:t>
      </w:r>
      <w:r w:rsidRPr="004F7EFD">
        <w:rPr>
          <w:b w:val="0"/>
          <w:spacing w:val="10"/>
          <w:sz w:val="22"/>
          <w:szCs w:val="22"/>
        </w:rPr>
        <w:t xml:space="preserve"> de </w:t>
      </w:r>
      <w:r w:rsidR="00BC35B9" w:rsidRPr="004F7EFD">
        <w:rPr>
          <w:b w:val="0"/>
          <w:spacing w:val="10"/>
          <w:sz w:val="22"/>
          <w:szCs w:val="22"/>
        </w:rPr>
        <w:t>29</w:t>
      </w:r>
      <w:r w:rsidR="004F7EFD" w:rsidRPr="004F7EFD">
        <w:rPr>
          <w:b w:val="0"/>
          <w:spacing w:val="10"/>
          <w:sz w:val="22"/>
          <w:szCs w:val="22"/>
        </w:rPr>
        <w:t>.1</w:t>
      </w:r>
      <w:r w:rsidR="00BC35B9" w:rsidRPr="004F7EFD">
        <w:rPr>
          <w:b w:val="0"/>
          <w:spacing w:val="10"/>
          <w:sz w:val="22"/>
          <w:szCs w:val="22"/>
        </w:rPr>
        <w:t xml:space="preserve"> mil</w:t>
      </w:r>
      <w:r w:rsidRPr="004F7EFD">
        <w:rPr>
          <w:b w:val="0"/>
          <w:spacing w:val="10"/>
          <w:sz w:val="22"/>
          <w:szCs w:val="22"/>
        </w:rPr>
        <w:t xml:space="preserve"> y </w:t>
      </w:r>
      <w:r w:rsidR="00BC35B9" w:rsidRPr="004F7EFD">
        <w:rPr>
          <w:b w:val="0"/>
          <w:spacing w:val="10"/>
          <w:sz w:val="22"/>
          <w:szCs w:val="22"/>
        </w:rPr>
        <w:t xml:space="preserve">una disminución de </w:t>
      </w:r>
      <w:r w:rsidRPr="004F7EFD">
        <w:rPr>
          <w:b w:val="0"/>
          <w:spacing w:val="10"/>
          <w:sz w:val="22"/>
          <w:szCs w:val="22"/>
        </w:rPr>
        <w:t>(-)</w:t>
      </w:r>
      <w:r w:rsidR="00BC35B9" w:rsidRPr="004F7EFD">
        <w:rPr>
          <w:b w:val="0"/>
          <w:spacing w:val="10"/>
          <w:sz w:val="22"/>
          <w:szCs w:val="22"/>
        </w:rPr>
        <w:t>1</w:t>
      </w:r>
      <w:r w:rsidR="004F7EFD" w:rsidRPr="004F7EFD">
        <w:rPr>
          <w:b w:val="0"/>
          <w:spacing w:val="10"/>
          <w:sz w:val="22"/>
          <w:szCs w:val="22"/>
        </w:rPr>
        <w:t>5.8</w:t>
      </w:r>
      <w:r w:rsidR="00BC35B9" w:rsidRPr="004F7EFD">
        <w:rPr>
          <w:b w:val="0"/>
          <w:spacing w:val="10"/>
          <w:sz w:val="22"/>
          <w:szCs w:val="22"/>
        </w:rPr>
        <w:t xml:space="preserve"> mil</w:t>
      </w:r>
      <w:r w:rsidR="00CA64BC" w:rsidRPr="004F7EFD">
        <w:rPr>
          <w:b w:val="0"/>
          <w:spacing w:val="10"/>
          <w:sz w:val="22"/>
          <w:szCs w:val="22"/>
        </w:rPr>
        <w:t>,</w:t>
      </w:r>
      <w:r w:rsidRPr="004F7EFD">
        <w:rPr>
          <w:b w:val="0"/>
          <w:spacing w:val="10"/>
          <w:sz w:val="22"/>
          <w:szCs w:val="22"/>
        </w:rPr>
        <w:t xml:space="preserve"> respectivamente.</w:t>
      </w:r>
    </w:p>
    <w:p w:rsidR="00CA64BC" w:rsidRDefault="00CA64BC" w:rsidP="009749DA">
      <w:pPr>
        <w:pStyle w:val="Subttulo"/>
        <w:ind w:left="-567" w:right="-516"/>
        <w:jc w:val="both"/>
        <w:rPr>
          <w:b w:val="0"/>
          <w:spacing w:val="10"/>
          <w:sz w:val="22"/>
          <w:szCs w:val="22"/>
        </w:rPr>
      </w:pPr>
    </w:p>
    <w:p w:rsidR="00477BD2" w:rsidRPr="00ED60B9" w:rsidRDefault="00CA64BC" w:rsidP="00477BD2">
      <w:pPr>
        <w:pStyle w:val="Subttulo"/>
        <w:ind w:left="-567" w:right="-516"/>
        <w:jc w:val="both"/>
        <w:rPr>
          <w:rFonts w:eastAsiaTheme="minorHAnsi"/>
          <w:b w:val="0"/>
          <w:spacing w:val="8"/>
          <w:sz w:val="22"/>
          <w:szCs w:val="22"/>
          <w:lang w:val="es-MX" w:eastAsia="en-US"/>
        </w:rPr>
      </w:pPr>
      <w:r w:rsidRPr="00477BD2">
        <w:rPr>
          <w:b w:val="0"/>
          <w:spacing w:val="10"/>
          <w:sz w:val="22"/>
          <w:szCs w:val="22"/>
        </w:rPr>
        <w:t xml:space="preserve">La estructura sectorial de la ocupación reporta que las actividades </w:t>
      </w:r>
      <w:r w:rsidR="00E73AED" w:rsidRPr="00477BD2">
        <w:rPr>
          <w:b w:val="0"/>
          <w:spacing w:val="10"/>
          <w:sz w:val="22"/>
          <w:szCs w:val="22"/>
        </w:rPr>
        <w:t>terciarias</w:t>
      </w:r>
      <w:r w:rsidRPr="00477BD2">
        <w:rPr>
          <w:b w:val="0"/>
          <w:spacing w:val="10"/>
          <w:sz w:val="22"/>
          <w:szCs w:val="22"/>
        </w:rPr>
        <w:t xml:space="preserve"> con una participación del </w:t>
      </w:r>
      <w:r w:rsidR="00E263DD" w:rsidRPr="00477BD2">
        <w:rPr>
          <w:b w:val="0"/>
          <w:spacing w:val="10"/>
          <w:sz w:val="22"/>
          <w:szCs w:val="22"/>
        </w:rPr>
        <w:t>62.3</w:t>
      </w:r>
      <w:r w:rsidRPr="00477BD2">
        <w:rPr>
          <w:b w:val="0"/>
          <w:spacing w:val="10"/>
          <w:sz w:val="22"/>
          <w:szCs w:val="22"/>
        </w:rPr>
        <w:t xml:space="preserve">% en el tercer trimestre de 2020, registraron </w:t>
      </w:r>
      <w:r w:rsidR="00E73AED" w:rsidRPr="00477BD2">
        <w:rPr>
          <w:b w:val="0"/>
          <w:spacing w:val="10"/>
          <w:sz w:val="22"/>
          <w:szCs w:val="22"/>
        </w:rPr>
        <w:t>un aumento</w:t>
      </w:r>
      <w:r w:rsidRPr="00477BD2">
        <w:rPr>
          <w:b w:val="0"/>
          <w:spacing w:val="10"/>
          <w:sz w:val="22"/>
          <w:szCs w:val="22"/>
        </w:rPr>
        <w:t xml:space="preserve"> en términos absolutos de </w:t>
      </w:r>
      <w:r w:rsidR="00E73AED" w:rsidRPr="00477BD2">
        <w:rPr>
          <w:b w:val="0"/>
          <w:spacing w:val="10"/>
          <w:sz w:val="22"/>
          <w:szCs w:val="22"/>
        </w:rPr>
        <w:t>65</w:t>
      </w:r>
      <w:r w:rsidR="00697261" w:rsidRPr="00477BD2">
        <w:rPr>
          <w:b w:val="0"/>
          <w:spacing w:val="10"/>
          <w:sz w:val="22"/>
          <w:szCs w:val="22"/>
        </w:rPr>
        <w:t>.4</w:t>
      </w:r>
      <w:r w:rsidR="00E73AED" w:rsidRPr="00477BD2">
        <w:rPr>
          <w:b w:val="0"/>
          <w:spacing w:val="10"/>
          <w:sz w:val="22"/>
          <w:szCs w:val="22"/>
        </w:rPr>
        <w:t xml:space="preserve"> mil</w:t>
      </w:r>
      <w:r w:rsidRPr="00477BD2">
        <w:rPr>
          <w:b w:val="0"/>
          <w:spacing w:val="10"/>
          <w:sz w:val="22"/>
          <w:szCs w:val="22"/>
        </w:rPr>
        <w:t xml:space="preserve"> personas respecto al tercer trimestre de 2019. </w:t>
      </w:r>
      <w:r w:rsidR="00477BD2" w:rsidRPr="00477BD2">
        <w:rPr>
          <w:b w:val="0"/>
          <w:spacing w:val="10"/>
          <w:sz w:val="22"/>
          <w:szCs w:val="22"/>
        </w:rPr>
        <w:t xml:space="preserve">El sector de comercio y el de restaurantes y servicios de alojamiento </w:t>
      </w:r>
      <w:r w:rsidR="00477BD2" w:rsidRPr="00477BD2">
        <w:rPr>
          <w:b w:val="0"/>
          <w:bCs w:val="0"/>
          <w:spacing w:val="8"/>
          <w:sz w:val="22"/>
          <w:szCs w:val="22"/>
        </w:rPr>
        <w:t xml:space="preserve">reportaron una disminución </w:t>
      </w:r>
      <w:r w:rsidR="00477BD2" w:rsidRPr="00066757">
        <w:rPr>
          <w:b w:val="0"/>
          <w:bCs w:val="0"/>
          <w:spacing w:val="8"/>
          <w:sz w:val="22"/>
          <w:szCs w:val="22"/>
          <w:lang w:val="es-MX"/>
        </w:rPr>
        <w:t xml:space="preserve">de (-)60.4 y (-)29.4 </w:t>
      </w:r>
      <w:r w:rsidR="00477BD2" w:rsidRPr="00241878">
        <w:rPr>
          <w:b w:val="0"/>
          <w:bCs w:val="0"/>
          <w:spacing w:val="8"/>
          <w:sz w:val="22"/>
          <w:szCs w:val="22"/>
          <w:lang w:val="es-MX"/>
        </w:rPr>
        <w:t>mil</w:t>
      </w:r>
      <w:r w:rsidR="00477BD2">
        <w:rPr>
          <w:b w:val="0"/>
          <w:bCs w:val="0"/>
          <w:spacing w:val="8"/>
          <w:sz w:val="22"/>
          <w:szCs w:val="22"/>
          <w:lang w:val="es-MX"/>
        </w:rPr>
        <w:t>,</w:t>
      </w:r>
      <w:r w:rsidR="00477BD2" w:rsidRPr="00241878">
        <w:rPr>
          <w:b w:val="0"/>
          <w:bCs w:val="0"/>
          <w:spacing w:val="8"/>
          <w:sz w:val="22"/>
          <w:szCs w:val="22"/>
          <w:lang w:val="es-MX"/>
        </w:rPr>
        <w:t xml:space="preserve"> respectivamente</w:t>
      </w:r>
      <w:r w:rsidR="00477BD2" w:rsidRPr="00ED60B9">
        <w:rPr>
          <w:b w:val="0"/>
          <w:bCs w:val="0"/>
          <w:spacing w:val="8"/>
          <w:sz w:val="22"/>
          <w:szCs w:val="22"/>
        </w:rPr>
        <w:t>.</w:t>
      </w:r>
    </w:p>
    <w:p w:rsidR="006A352A" w:rsidRPr="00BF6813" w:rsidRDefault="006A352A" w:rsidP="009749DA">
      <w:pPr>
        <w:pStyle w:val="Subttulo"/>
        <w:ind w:left="-567" w:right="-516"/>
        <w:jc w:val="both"/>
        <w:rPr>
          <w:b w:val="0"/>
          <w:spacing w:val="10"/>
          <w:sz w:val="22"/>
          <w:szCs w:val="22"/>
        </w:rPr>
      </w:pPr>
    </w:p>
    <w:p w:rsidR="006A352A" w:rsidRPr="00BF6813" w:rsidRDefault="006A352A" w:rsidP="009749DA">
      <w:pPr>
        <w:pStyle w:val="Subttulo"/>
        <w:ind w:left="-567" w:right="-516"/>
        <w:jc w:val="both"/>
        <w:rPr>
          <w:b w:val="0"/>
          <w:spacing w:val="10"/>
          <w:sz w:val="22"/>
          <w:szCs w:val="22"/>
        </w:rPr>
      </w:pPr>
      <w:r w:rsidRPr="00E40838">
        <w:rPr>
          <w:b w:val="0"/>
          <w:spacing w:val="10"/>
          <w:sz w:val="22"/>
          <w:szCs w:val="22"/>
        </w:rPr>
        <w:t>En cuanto a la duración de la jornada de trabajo durante el trimestre de referencia, destaca la reducción de la participación de los ocupados que laboran de</w:t>
      </w:r>
      <w:r w:rsidR="00E263DD" w:rsidRPr="00E40838">
        <w:rPr>
          <w:b w:val="0"/>
          <w:spacing w:val="10"/>
          <w:sz w:val="22"/>
          <w:szCs w:val="22"/>
        </w:rPr>
        <w:t xml:space="preserve"> 35 a</w:t>
      </w:r>
      <w:r w:rsidRPr="00E40838">
        <w:rPr>
          <w:b w:val="0"/>
          <w:spacing w:val="10"/>
          <w:sz w:val="22"/>
          <w:szCs w:val="22"/>
        </w:rPr>
        <w:t xml:space="preserve"> 48 horas semanales de </w:t>
      </w:r>
      <w:r w:rsidR="00E40838" w:rsidRPr="00066757">
        <w:rPr>
          <w:b w:val="0"/>
          <w:spacing w:val="10"/>
          <w:sz w:val="22"/>
          <w:szCs w:val="22"/>
        </w:rPr>
        <w:t>44.2</w:t>
      </w:r>
      <w:r w:rsidRPr="00066757">
        <w:rPr>
          <w:b w:val="0"/>
          <w:spacing w:val="10"/>
          <w:sz w:val="22"/>
          <w:szCs w:val="22"/>
        </w:rPr>
        <w:t xml:space="preserve">% a </w:t>
      </w:r>
      <w:r w:rsidR="00E263DD" w:rsidRPr="00066757">
        <w:rPr>
          <w:b w:val="0"/>
          <w:spacing w:val="10"/>
          <w:sz w:val="22"/>
          <w:szCs w:val="22"/>
        </w:rPr>
        <w:t>39.</w:t>
      </w:r>
      <w:r w:rsidR="00E12201" w:rsidRPr="00066757">
        <w:rPr>
          <w:b w:val="0"/>
          <w:spacing w:val="10"/>
          <w:sz w:val="22"/>
          <w:szCs w:val="22"/>
        </w:rPr>
        <w:t>4</w:t>
      </w:r>
      <w:r w:rsidRPr="00E40838">
        <w:rPr>
          <w:b w:val="0"/>
          <w:spacing w:val="10"/>
          <w:sz w:val="22"/>
          <w:szCs w:val="22"/>
        </w:rPr>
        <w:t xml:space="preserve">% y de los ocupados </w:t>
      </w:r>
      <w:r w:rsidR="00E12201" w:rsidRPr="00E40838">
        <w:rPr>
          <w:b w:val="0"/>
          <w:spacing w:val="10"/>
          <w:sz w:val="22"/>
          <w:szCs w:val="22"/>
        </w:rPr>
        <w:t xml:space="preserve">de más de </w:t>
      </w:r>
      <w:r w:rsidRPr="00E40838">
        <w:rPr>
          <w:b w:val="0"/>
          <w:spacing w:val="10"/>
          <w:sz w:val="22"/>
          <w:szCs w:val="22"/>
        </w:rPr>
        <w:t xml:space="preserve">48 horas semanales de </w:t>
      </w:r>
      <w:r w:rsidR="00E40838" w:rsidRPr="00E40838">
        <w:rPr>
          <w:b w:val="0"/>
          <w:spacing w:val="10"/>
          <w:sz w:val="22"/>
          <w:szCs w:val="22"/>
        </w:rPr>
        <w:t>28.3</w:t>
      </w:r>
      <w:r w:rsidRPr="00E40838">
        <w:rPr>
          <w:b w:val="0"/>
          <w:spacing w:val="10"/>
          <w:sz w:val="22"/>
          <w:szCs w:val="22"/>
        </w:rPr>
        <w:t xml:space="preserve">% a </w:t>
      </w:r>
      <w:r w:rsidR="00E12201" w:rsidRPr="00E40838">
        <w:rPr>
          <w:b w:val="0"/>
          <w:spacing w:val="10"/>
          <w:sz w:val="22"/>
          <w:szCs w:val="22"/>
        </w:rPr>
        <w:t>25.6</w:t>
      </w:r>
      <w:r w:rsidRPr="00E40838">
        <w:rPr>
          <w:b w:val="0"/>
          <w:spacing w:val="10"/>
          <w:sz w:val="22"/>
          <w:szCs w:val="22"/>
        </w:rPr>
        <w:t>%, los cuales en términos absolutos disminuyeron (-)</w:t>
      </w:r>
      <w:r w:rsidR="00BA5DA4" w:rsidRPr="00E40838">
        <w:rPr>
          <w:b w:val="0"/>
          <w:spacing w:val="10"/>
          <w:sz w:val="22"/>
          <w:szCs w:val="22"/>
        </w:rPr>
        <w:t>176</w:t>
      </w:r>
      <w:r w:rsidR="00E40838" w:rsidRPr="00E40838">
        <w:rPr>
          <w:b w:val="0"/>
          <w:spacing w:val="10"/>
          <w:sz w:val="22"/>
          <w:szCs w:val="22"/>
        </w:rPr>
        <w:t>.1</w:t>
      </w:r>
      <w:r w:rsidR="00BA5DA4" w:rsidRPr="00E40838">
        <w:rPr>
          <w:b w:val="0"/>
          <w:spacing w:val="10"/>
          <w:sz w:val="22"/>
          <w:szCs w:val="22"/>
        </w:rPr>
        <w:t xml:space="preserve"> mil</w:t>
      </w:r>
      <w:r w:rsidRPr="00E40838">
        <w:rPr>
          <w:b w:val="0"/>
          <w:spacing w:val="10"/>
          <w:sz w:val="22"/>
          <w:szCs w:val="22"/>
        </w:rPr>
        <w:t xml:space="preserve"> y (-)</w:t>
      </w:r>
      <w:r w:rsidR="00E12201" w:rsidRPr="00E40838">
        <w:rPr>
          <w:b w:val="0"/>
          <w:spacing w:val="10"/>
          <w:sz w:val="22"/>
          <w:szCs w:val="22"/>
        </w:rPr>
        <w:t>9</w:t>
      </w:r>
      <w:r w:rsidR="00BA5DA4" w:rsidRPr="00E40838">
        <w:rPr>
          <w:b w:val="0"/>
          <w:spacing w:val="10"/>
          <w:sz w:val="22"/>
          <w:szCs w:val="22"/>
        </w:rPr>
        <w:t>8</w:t>
      </w:r>
      <w:r w:rsidR="00E40838" w:rsidRPr="00E40838">
        <w:rPr>
          <w:b w:val="0"/>
          <w:spacing w:val="10"/>
          <w:sz w:val="22"/>
          <w:szCs w:val="22"/>
        </w:rPr>
        <w:t>.5</w:t>
      </w:r>
      <w:r w:rsidR="00E12201" w:rsidRPr="00E40838">
        <w:rPr>
          <w:b w:val="0"/>
          <w:spacing w:val="10"/>
          <w:sz w:val="22"/>
          <w:szCs w:val="22"/>
        </w:rPr>
        <w:t xml:space="preserve"> mil</w:t>
      </w:r>
      <w:r w:rsidRPr="00E40838">
        <w:rPr>
          <w:b w:val="0"/>
          <w:spacing w:val="10"/>
          <w:sz w:val="22"/>
          <w:szCs w:val="22"/>
        </w:rPr>
        <w:t>, respectivamente.</w:t>
      </w:r>
    </w:p>
    <w:p w:rsidR="006A352A" w:rsidRPr="00BF6813" w:rsidRDefault="006A352A" w:rsidP="009749DA">
      <w:pPr>
        <w:pStyle w:val="Subttulo"/>
        <w:ind w:left="-567" w:right="-516"/>
        <w:jc w:val="both"/>
        <w:rPr>
          <w:b w:val="0"/>
          <w:spacing w:val="10"/>
          <w:sz w:val="22"/>
          <w:szCs w:val="22"/>
        </w:rPr>
      </w:pPr>
    </w:p>
    <w:p w:rsidR="006A352A" w:rsidRPr="00BF6813" w:rsidRDefault="006A352A" w:rsidP="009749DA">
      <w:pPr>
        <w:pStyle w:val="n0"/>
        <w:keepLines w:val="0"/>
        <w:spacing w:before="0"/>
        <w:ind w:left="-567" w:right="-516" w:firstLine="0"/>
        <w:rPr>
          <w:bCs/>
          <w:color w:val="auto"/>
          <w:spacing w:val="10"/>
          <w:sz w:val="22"/>
          <w:szCs w:val="22"/>
        </w:rPr>
      </w:pPr>
      <w:r w:rsidRPr="009524D8">
        <w:rPr>
          <w:bCs/>
          <w:color w:val="auto"/>
          <w:spacing w:val="10"/>
          <w:sz w:val="22"/>
          <w:szCs w:val="22"/>
        </w:rPr>
        <w:t xml:space="preserve">En la ocupación por ámbito y tamaño de la unidad económica, con una proporción de ocupación en el ámbito no agropecuario de </w:t>
      </w:r>
      <w:r w:rsidR="005D7F7B" w:rsidRPr="009524D8">
        <w:rPr>
          <w:bCs/>
          <w:color w:val="auto"/>
          <w:spacing w:val="10"/>
          <w:sz w:val="22"/>
          <w:szCs w:val="22"/>
        </w:rPr>
        <w:t>69.6</w:t>
      </w:r>
      <w:r w:rsidRPr="009524D8">
        <w:rPr>
          <w:bCs/>
          <w:color w:val="auto"/>
          <w:spacing w:val="10"/>
          <w:sz w:val="22"/>
          <w:szCs w:val="22"/>
        </w:rPr>
        <w:t xml:space="preserve">%, </w:t>
      </w:r>
      <w:r w:rsidR="008B5E20" w:rsidRPr="009524D8">
        <w:rPr>
          <w:bCs/>
          <w:color w:val="auto"/>
          <w:spacing w:val="10"/>
          <w:sz w:val="22"/>
          <w:szCs w:val="22"/>
        </w:rPr>
        <w:t>é</w:t>
      </w:r>
      <w:r w:rsidRPr="009524D8">
        <w:rPr>
          <w:bCs/>
          <w:color w:val="auto"/>
          <w:spacing w:val="10"/>
          <w:sz w:val="22"/>
          <w:szCs w:val="22"/>
        </w:rPr>
        <w:t>sta tuvo un descenso</w:t>
      </w:r>
      <w:r w:rsidR="0009689C" w:rsidRPr="009524D8">
        <w:rPr>
          <w:bCs/>
          <w:color w:val="auto"/>
          <w:spacing w:val="10"/>
          <w:sz w:val="22"/>
          <w:szCs w:val="22"/>
        </w:rPr>
        <w:t xml:space="preserve"> de</w:t>
      </w:r>
      <w:r w:rsidRPr="009524D8">
        <w:rPr>
          <w:bCs/>
          <w:color w:val="auto"/>
          <w:spacing w:val="10"/>
          <w:sz w:val="22"/>
          <w:szCs w:val="22"/>
        </w:rPr>
        <w:t xml:space="preserve"> (-)</w:t>
      </w:r>
      <w:r w:rsidR="005D7F7B" w:rsidRPr="009524D8">
        <w:rPr>
          <w:bCs/>
          <w:color w:val="auto"/>
          <w:spacing w:val="10"/>
          <w:sz w:val="22"/>
          <w:szCs w:val="22"/>
        </w:rPr>
        <w:t>51</w:t>
      </w:r>
      <w:r w:rsidR="009524D8" w:rsidRPr="009524D8">
        <w:rPr>
          <w:bCs/>
          <w:color w:val="auto"/>
          <w:spacing w:val="10"/>
          <w:sz w:val="22"/>
          <w:szCs w:val="22"/>
        </w:rPr>
        <w:t>.2</w:t>
      </w:r>
      <w:r w:rsidR="005D7F7B" w:rsidRPr="009524D8">
        <w:rPr>
          <w:bCs/>
          <w:color w:val="auto"/>
          <w:spacing w:val="10"/>
          <w:sz w:val="22"/>
          <w:szCs w:val="22"/>
        </w:rPr>
        <w:t xml:space="preserve"> mil</w:t>
      </w:r>
      <w:r w:rsidRPr="009524D8">
        <w:rPr>
          <w:bCs/>
          <w:color w:val="auto"/>
          <w:spacing w:val="10"/>
          <w:sz w:val="22"/>
          <w:szCs w:val="22"/>
        </w:rPr>
        <w:t xml:space="preserve"> respecto al tercer trimestre de 2019. Los ocupados </w:t>
      </w:r>
      <w:r w:rsidR="00581422">
        <w:rPr>
          <w:bCs/>
          <w:color w:val="auto"/>
          <w:spacing w:val="10"/>
          <w:sz w:val="22"/>
          <w:szCs w:val="22"/>
        </w:rPr>
        <w:t>en micronegocios, particularmente en aquellos con establecimiento</w:t>
      </w:r>
      <w:r w:rsidRPr="009524D8">
        <w:rPr>
          <w:bCs/>
          <w:color w:val="auto"/>
          <w:spacing w:val="10"/>
          <w:sz w:val="22"/>
          <w:szCs w:val="22"/>
        </w:rPr>
        <w:t>, con una disminución de (-)</w:t>
      </w:r>
      <w:r w:rsidR="00581422">
        <w:rPr>
          <w:bCs/>
          <w:color w:val="auto"/>
          <w:spacing w:val="10"/>
          <w:sz w:val="22"/>
          <w:szCs w:val="22"/>
        </w:rPr>
        <w:t>81.3</w:t>
      </w:r>
      <w:r w:rsidR="005D7F7B" w:rsidRPr="009524D8">
        <w:rPr>
          <w:bCs/>
          <w:color w:val="auto"/>
          <w:spacing w:val="10"/>
          <w:sz w:val="22"/>
          <w:szCs w:val="22"/>
        </w:rPr>
        <w:t xml:space="preserve"> mil</w:t>
      </w:r>
      <w:r w:rsidRPr="009524D8">
        <w:rPr>
          <w:bCs/>
          <w:color w:val="auto"/>
          <w:spacing w:val="10"/>
          <w:sz w:val="22"/>
          <w:szCs w:val="22"/>
        </w:rPr>
        <w:t xml:space="preserve"> reportaron la pérdida de ocupación más alta en el último año</w:t>
      </w:r>
      <w:r w:rsidR="009524D8" w:rsidRPr="009524D8">
        <w:rPr>
          <w:bCs/>
          <w:color w:val="auto"/>
          <w:spacing w:val="10"/>
          <w:sz w:val="22"/>
          <w:szCs w:val="22"/>
        </w:rPr>
        <w:t>.</w:t>
      </w:r>
    </w:p>
    <w:p w:rsidR="006A352A" w:rsidRPr="00BF6813" w:rsidRDefault="006A352A" w:rsidP="009749DA">
      <w:pPr>
        <w:pStyle w:val="Subttulo"/>
        <w:ind w:left="-567" w:right="-516"/>
        <w:jc w:val="both"/>
        <w:rPr>
          <w:b w:val="0"/>
          <w:spacing w:val="10"/>
          <w:sz w:val="22"/>
          <w:szCs w:val="22"/>
        </w:rPr>
      </w:pPr>
    </w:p>
    <w:p w:rsidR="006A352A" w:rsidRPr="00BF6813" w:rsidRDefault="006A352A" w:rsidP="009749DA">
      <w:pPr>
        <w:pStyle w:val="Subttulo"/>
        <w:ind w:left="-567" w:right="-516"/>
        <w:jc w:val="both"/>
        <w:rPr>
          <w:b w:val="0"/>
          <w:spacing w:val="10"/>
          <w:sz w:val="22"/>
          <w:szCs w:val="22"/>
        </w:rPr>
      </w:pPr>
      <w:r w:rsidRPr="00190391">
        <w:rPr>
          <w:b w:val="0"/>
          <w:spacing w:val="10"/>
          <w:sz w:val="22"/>
          <w:szCs w:val="22"/>
        </w:rPr>
        <w:t xml:space="preserve">Las personas ocupadas que tienen la necesidad y disponibilidad de ofertar más tiempo de trabajo de lo que su ocupación actual les demanda, pasaron de </w:t>
      </w:r>
      <w:r w:rsidR="005F0830" w:rsidRPr="00190391">
        <w:rPr>
          <w:b w:val="0"/>
          <w:spacing w:val="10"/>
          <w:sz w:val="22"/>
          <w:szCs w:val="22"/>
        </w:rPr>
        <w:t>3</w:t>
      </w:r>
      <w:r w:rsidR="00E73AED" w:rsidRPr="00190391">
        <w:rPr>
          <w:b w:val="0"/>
          <w:spacing w:val="10"/>
          <w:sz w:val="22"/>
          <w:szCs w:val="22"/>
        </w:rPr>
        <w:t>0</w:t>
      </w:r>
      <w:r w:rsidR="005F0830" w:rsidRPr="00190391">
        <w:rPr>
          <w:b w:val="0"/>
          <w:spacing w:val="10"/>
          <w:sz w:val="22"/>
          <w:szCs w:val="22"/>
        </w:rPr>
        <w:t>6</w:t>
      </w:r>
      <w:r w:rsidR="00190391" w:rsidRPr="00190391">
        <w:rPr>
          <w:b w:val="0"/>
          <w:spacing w:val="10"/>
          <w:sz w:val="22"/>
          <w:szCs w:val="22"/>
        </w:rPr>
        <w:t>.7</w:t>
      </w:r>
      <w:r w:rsidR="005F0830" w:rsidRPr="00190391">
        <w:rPr>
          <w:b w:val="0"/>
          <w:spacing w:val="10"/>
          <w:sz w:val="22"/>
          <w:szCs w:val="22"/>
        </w:rPr>
        <w:t xml:space="preserve"> mil </w:t>
      </w:r>
      <w:r w:rsidRPr="00190391">
        <w:rPr>
          <w:b w:val="0"/>
          <w:spacing w:val="10"/>
          <w:sz w:val="22"/>
          <w:szCs w:val="22"/>
        </w:rPr>
        <w:t xml:space="preserve">en el tercer trimestre de 2019 a </w:t>
      </w:r>
      <w:r w:rsidR="005F0830" w:rsidRPr="00190391">
        <w:rPr>
          <w:b w:val="0"/>
          <w:spacing w:val="10"/>
          <w:sz w:val="22"/>
          <w:szCs w:val="22"/>
        </w:rPr>
        <w:t>749</w:t>
      </w:r>
      <w:r w:rsidR="00190391" w:rsidRPr="00190391">
        <w:rPr>
          <w:b w:val="0"/>
          <w:spacing w:val="10"/>
          <w:sz w:val="22"/>
          <w:szCs w:val="22"/>
        </w:rPr>
        <w:t>.9</w:t>
      </w:r>
      <w:r w:rsidR="005F0830" w:rsidRPr="00190391">
        <w:rPr>
          <w:b w:val="0"/>
          <w:spacing w:val="10"/>
          <w:sz w:val="22"/>
          <w:szCs w:val="22"/>
        </w:rPr>
        <w:t xml:space="preserve"> mil</w:t>
      </w:r>
      <w:r w:rsidRPr="00190391">
        <w:rPr>
          <w:b w:val="0"/>
          <w:spacing w:val="10"/>
          <w:sz w:val="22"/>
          <w:szCs w:val="22"/>
        </w:rPr>
        <w:t xml:space="preserve"> en el </w:t>
      </w:r>
      <w:r w:rsidR="000D654B" w:rsidRPr="00190391">
        <w:rPr>
          <w:b w:val="0"/>
          <w:spacing w:val="10"/>
          <w:sz w:val="22"/>
          <w:szCs w:val="22"/>
        </w:rPr>
        <w:t>mismo periodo</w:t>
      </w:r>
      <w:r w:rsidRPr="00190391">
        <w:rPr>
          <w:b w:val="0"/>
          <w:spacing w:val="10"/>
          <w:sz w:val="22"/>
          <w:szCs w:val="22"/>
        </w:rPr>
        <w:t xml:space="preserve"> de 2020, con un aumento de </w:t>
      </w:r>
      <w:r w:rsidR="00E73AED" w:rsidRPr="00190391">
        <w:rPr>
          <w:b w:val="0"/>
          <w:spacing w:val="10"/>
          <w:sz w:val="22"/>
          <w:szCs w:val="22"/>
        </w:rPr>
        <w:t>443</w:t>
      </w:r>
      <w:r w:rsidR="00190391" w:rsidRPr="00190391">
        <w:rPr>
          <w:b w:val="0"/>
          <w:spacing w:val="10"/>
          <w:sz w:val="22"/>
          <w:szCs w:val="22"/>
        </w:rPr>
        <w:t>.2</w:t>
      </w:r>
      <w:r w:rsidR="00E73AED" w:rsidRPr="00190391">
        <w:rPr>
          <w:b w:val="0"/>
          <w:spacing w:val="10"/>
          <w:sz w:val="22"/>
          <w:szCs w:val="22"/>
        </w:rPr>
        <w:t xml:space="preserve"> </w:t>
      </w:r>
      <w:r w:rsidR="005F0830" w:rsidRPr="00190391">
        <w:rPr>
          <w:b w:val="0"/>
          <w:spacing w:val="10"/>
          <w:sz w:val="22"/>
          <w:szCs w:val="22"/>
        </w:rPr>
        <w:t>mil</w:t>
      </w:r>
      <w:r w:rsidRPr="00190391">
        <w:rPr>
          <w:b w:val="0"/>
          <w:spacing w:val="10"/>
          <w:sz w:val="22"/>
          <w:szCs w:val="22"/>
        </w:rPr>
        <w:t xml:space="preserve"> personas.</w:t>
      </w:r>
    </w:p>
    <w:p w:rsidR="00E979E4" w:rsidRPr="00BF6813" w:rsidRDefault="00E979E4" w:rsidP="009749DA">
      <w:pPr>
        <w:pStyle w:val="Subttulo"/>
        <w:ind w:left="-567" w:right="-516"/>
        <w:jc w:val="both"/>
        <w:rPr>
          <w:b w:val="0"/>
          <w:spacing w:val="10"/>
          <w:sz w:val="22"/>
          <w:szCs w:val="22"/>
        </w:rPr>
      </w:pPr>
    </w:p>
    <w:p w:rsidR="006A352A" w:rsidRDefault="006A352A" w:rsidP="009749DA">
      <w:pPr>
        <w:pStyle w:val="Subttulo"/>
        <w:ind w:left="-567" w:right="-516"/>
        <w:jc w:val="both"/>
        <w:rPr>
          <w:b w:val="0"/>
          <w:spacing w:val="10"/>
          <w:sz w:val="22"/>
          <w:szCs w:val="22"/>
        </w:rPr>
      </w:pPr>
      <w:r w:rsidRPr="00BF6813">
        <w:rPr>
          <w:b w:val="0"/>
          <w:spacing w:val="10"/>
          <w:sz w:val="22"/>
          <w:szCs w:val="22"/>
        </w:rPr>
        <w:t xml:space="preserve">La población ocupada informal, que comprende a los ocupados que son laboralmente vulnerables por la </w:t>
      </w:r>
      <w:r w:rsidRPr="00C67BD5">
        <w:rPr>
          <w:b w:val="0"/>
          <w:spacing w:val="10"/>
          <w:sz w:val="22"/>
          <w:szCs w:val="22"/>
        </w:rPr>
        <w:t>naturaleza de la unidad económica para la que trabajan, como aquellos cuyo vínculo o dependencia laboral no es reconocido por su fuente de trabajo, en el tercer trimestre de 2020 fue de 2</w:t>
      </w:r>
      <w:r w:rsidR="00D67EE6" w:rsidRPr="00C67BD5">
        <w:rPr>
          <w:b w:val="0"/>
          <w:spacing w:val="10"/>
          <w:sz w:val="22"/>
          <w:szCs w:val="22"/>
        </w:rPr>
        <w:t>.1</w:t>
      </w:r>
      <w:r w:rsidRPr="00C67BD5">
        <w:rPr>
          <w:b w:val="0"/>
          <w:spacing w:val="10"/>
          <w:sz w:val="22"/>
          <w:szCs w:val="22"/>
        </w:rPr>
        <w:t xml:space="preserve"> millones, (-)</w:t>
      </w:r>
      <w:r w:rsidR="00D67EE6" w:rsidRPr="00C67BD5">
        <w:rPr>
          <w:b w:val="0"/>
          <w:spacing w:val="10"/>
          <w:sz w:val="22"/>
          <w:szCs w:val="22"/>
        </w:rPr>
        <w:t>121 mil</w:t>
      </w:r>
      <w:r w:rsidRPr="00C67BD5">
        <w:rPr>
          <w:b w:val="0"/>
          <w:spacing w:val="10"/>
          <w:sz w:val="22"/>
          <w:szCs w:val="22"/>
        </w:rPr>
        <w:t xml:space="preserve"> menos comparado con </w:t>
      </w:r>
      <w:r w:rsidR="00712F35" w:rsidRPr="00C67BD5">
        <w:rPr>
          <w:b w:val="0"/>
          <w:spacing w:val="10"/>
          <w:sz w:val="22"/>
          <w:szCs w:val="22"/>
        </w:rPr>
        <w:t>el mismo</w:t>
      </w:r>
      <w:r w:rsidRPr="00C67BD5">
        <w:rPr>
          <w:b w:val="0"/>
          <w:spacing w:val="10"/>
          <w:sz w:val="22"/>
          <w:szCs w:val="22"/>
        </w:rPr>
        <w:t xml:space="preserve"> trimestre del año pasad</w:t>
      </w:r>
      <w:r w:rsidR="00712F35" w:rsidRPr="00C67BD5">
        <w:rPr>
          <w:b w:val="0"/>
          <w:spacing w:val="10"/>
          <w:sz w:val="22"/>
          <w:szCs w:val="22"/>
        </w:rPr>
        <w:t>o</w:t>
      </w:r>
      <w:r w:rsidRPr="00C67BD5">
        <w:rPr>
          <w:b w:val="0"/>
          <w:spacing w:val="10"/>
          <w:sz w:val="22"/>
          <w:szCs w:val="22"/>
        </w:rPr>
        <w:t>.</w:t>
      </w:r>
    </w:p>
    <w:p w:rsidR="00FC0F11" w:rsidRPr="00BF6813" w:rsidRDefault="00FC0F11" w:rsidP="009749DA">
      <w:pPr>
        <w:pStyle w:val="Subttulo"/>
        <w:ind w:left="-567" w:right="-516"/>
        <w:jc w:val="both"/>
        <w:rPr>
          <w:b w:val="0"/>
          <w:spacing w:val="10"/>
          <w:sz w:val="22"/>
          <w:szCs w:val="22"/>
        </w:rPr>
      </w:pPr>
    </w:p>
    <w:p w:rsidR="006A352A" w:rsidRDefault="006A352A" w:rsidP="009749DA">
      <w:pPr>
        <w:spacing w:after="0" w:line="240" w:lineRule="auto"/>
        <w:ind w:left="-567" w:right="-518"/>
        <w:jc w:val="both"/>
        <w:rPr>
          <w:rFonts w:ascii="Arial" w:eastAsia="Times New Roman" w:hAnsi="Arial" w:cs="Arial"/>
          <w:bCs/>
          <w:spacing w:val="10"/>
          <w:lang w:val="es-ES_tradnl" w:eastAsia="es-ES"/>
        </w:rPr>
      </w:pPr>
      <w:r w:rsidRPr="003C3AA2">
        <w:rPr>
          <w:rFonts w:ascii="Arial" w:eastAsia="Times New Roman" w:hAnsi="Arial" w:cs="Arial"/>
          <w:bCs/>
          <w:spacing w:val="10"/>
          <w:lang w:val="es-ES_tradnl" w:eastAsia="es-ES"/>
        </w:rPr>
        <w:t xml:space="preserve">La población que se encuentra sin trabajar y que estuvo buscando trabajo en el último mes, fue de </w:t>
      </w:r>
      <w:r w:rsidR="00D67EE6" w:rsidRPr="003C3AA2">
        <w:rPr>
          <w:rFonts w:ascii="Arial" w:eastAsia="Times New Roman" w:hAnsi="Arial" w:cs="Arial"/>
          <w:bCs/>
          <w:spacing w:val="10"/>
          <w:lang w:val="es-ES_tradnl" w:eastAsia="es-ES"/>
        </w:rPr>
        <w:t>2.8</w:t>
      </w:r>
      <w:r w:rsidRPr="003C3AA2">
        <w:rPr>
          <w:rFonts w:ascii="Arial" w:eastAsia="Times New Roman" w:hAnsi="Arial" w:cs="Arial"/>
          <w:bCs/>
          <w:spacing w:val="10"/>
          <w:lang w:val="es-ES_tradnl" w:eastAsia="es-ES"/>
        </w:rPr>
        <w:t>% de la PEA en el tercer trimestre de 2020, porcentaje que en igual periodo del año anterior fue de 3.</w:t>
      </w:r>
      <w:r w:rsidR="00866553" w:rsidRPr="003C3AA2">
        <w:rPr>
          <w:rFonts w:ascii="Arial" w:eastAsia="Times New Roman" w:hAnsi="Arial" w:cs="Arial"/>
          <w:bCs/>
          <w:spacing w:val="10"/>
          <w:lang w:val="es-ES_tradnl" w:eastAsia="es-ES"/>
        </w:rPr>
        <w:t>6</w:t>
      </w:r>
      <w:r w:rsidRPr="003C3AA2">
        <w:rPr>
          <w:rFonts w:ascii="Arial" w:eastAsia="Times New Roman" w:hAnsi="Arial" w:cs="Arial"/>
          <w:bCs/>
          <w:spacing w:val="10"/>
          <w:lang w:val="es-ES_tradnl" w:eastAsia="es-ES"/>
        </w:rPr>
        <w:t xml:space="preserve"> por ciento. En términos absolutos, la población desocupada fue de </w:t>
      </w:r>
      <w:r w:rsidR="00866553" w:rsidRPr="003C3AA2">
        <w:rPr>
          <w:rFonts w:ascii="Arial" w:eastAsia="Times New Roman" w:hAnsi="Arial" w:cs="Arial"/>
          <w:bCs/>
          <w:spacing w:val="10"/>
          <w:lang w:val="es-ES_tradnl" w:eastAsia="es-ES"/>
        </w:rPr>
        <w:t>92</w:t>
      </w:r>
      <w:r w:rsidR="003C3AA2" w:rsidRPr="003C3AA2">
        <w:rPr>
          <w:rFonts w:ascii="Arial" w:eastAsia="Times New Roman" w:hAnsi="Arial" w:cs="Arial"/>
          <w:bCs/>
          <w:spacing w:val="10"/>
          <w:lang w:val="es-ES_tradnl" w:eastAsia="es-ES"/>
        </w:rPr>
        <w:t>.1</w:t>
      </w:r>
      <w:r w:rsidR="00866553" w:rsidRPr="003C3AA2">
        <w:rPr>
          <w:rFonts w:ascii="Arial" w:eastAsia="Times New Roman" w:hAnsi="Arial" w:cs="Arial"/>
          <w:bCs/>
          <w:spacing w:val="10"/>
          <w:lang w:val="es-ES_tradnl" w:eastAsia="es-ES"/>
        </w:rPr>
        <w:t xml:space="preserve"> mil </w:t>
      </w:r>
      <w:r w:rsidRPr="003C3AA2">
        <w:rPr>
          <w:rFonts w:ascii="Arial" w:eastAsia="Times New Roman" w:hAnsi="Arial" w:cs="Arial"/>
          <w:bCs/>
          <w:spacing w:val="10"/>
          <w:lang w:val="es-ES_tradnl" w:eastAsia="es-ES"/>
        </w:rPr>
        <w:t xml:space="preserve">personas, monto </w:t>
      </w:r>
      <w:r w:rsidR="00866553" w:rsidRPr="003C3AA2">
        <w:rPr>
          <w:rFonts w:ascii="Arial" w:eastAsia="Times New Roman" w:hAnsi="Arial" w:cs="Arial"/>
          <w:bCs/>
          <w:spacing w:val="10"/>
          <w:lang w:val="es-ES_tradnl" w:eastAsia="es-ES"/>
        </w:rPr>
        <w:t>infe</w:t>
      </w:r>
      <w:r w:rsidRPr="003C3AA2">
        <w:rPr>
          <w:rFonts w:ascii="Arial" w:eastAsia="Times New Roman" w:hAnsi="Arial" w:cs="Arial"/>
          <w:bCs/>
          <w:spacing w:val="10"/>
          <w:lang w:val="es-ES_tradnl" w:eastAsia="es-ES"/>
        </w:rPr>
        <w:t xml:space="preserve">rior en </w:t>
      </w:r>
      <w:r w:rsidR="003C3AA2" w:rsidRPr="003C3AA2">
        <w:rPr>
          <w:rFonts w:ascii="Arial" w:eastAsia="Times New Roman" w:hAnsi="Arial" w:cs="Arial"/>
          <w:bCs/>
          <w:spacing w:val="10"/>
          <w:lang w:val="es-ES_tradnl" w:eastAsia="es-ES"/>
        </w:rPr>
        <w:t>(-)</w:t>
      </w:r>
      <w:r w:rsidR="00866553" w:rsidRPr="003C3AA2">
        <w:rPr>
          <w:rFonts w:ascii="Arial" w:eastAsia="Times New Roman" w:hAnsi="Arial" w:cs="Arial"/>
          <w:bCs/>
          <w:spacing w:val="10"/>
          <w:lang w:val="es-ES_tradnl" w:eastAsia="es-ES"/>
        </w:rPr>
        <w:t>29</w:t>
      </w:r>
      <w:r w:rsidR="003C3AA2" w:rsidRPr="003C3AA2">
        <w:rPr>
          <w:rFonts w:ascii="Arial" w:eastAsia="Times New Roman" w:hAnsi="Arial" w:cs="Arial"/>
          <w:bCs/>
          <w:spacing w:val="10"/>
          <w:lang w:val="es-ES_tradnl" w:eastAsia="es-ES"/>
        </w:rPr>
        <w:t>.3</w:t>
      </w:r>
      <w:r w:rsidRPr="003C3AA2">
        <w:rPr>
          <w:rFonts w:ascii="Arial" w:eastAsia="Times New Roman" w:hAnsi="Arial" w:cs="Arial"/>
          <w:bCs/>
          <w:spacing w:val="10"/>
          <w:lang w:val="es-ES_tradnl" w:eastAsia="es-ES"/>
        </w:rPr>
        <w:t xml:space="preserve"> mil personas comparado con el tercer trimestre de 2019.</w:t>
      </w:r>
    </w:p>
    <w:p w:rsidR="00D7488B" w:rsidRDefault="00D7488B" w:rsidP="00D7488B">
      <w:pPr>
        <w:spacing w:after="0" w:line="240" w:lineRule="auto"/>
        <w:ind w:left="-567" w:right="-518"/>
        <w:jc w:val="both"/>
        <w:rPr>
          <w:rFonts w:ascii="Arial" w:eastAsia="Times New Roman" w:hAnsi="Arial" w:cs="Arial"/>
          <w:bCs/>
          <w:spacing w:val="10"/>
          <w:lang w:val="es-ES_tradnl" w:eastAsia="es-ES"/>
        </w:rPr>
      </w:pPr>
    </w:p>
    <w:p w:rsidR="00D7488B" w:rsidRDefault="00D7488B" w:rsidP="00D7488B">
      <w:pPr>
        <w:spacing w:after="0" w:line="240" w:lineRule="auto"/>
        <w:ind w:left="-567" w:right="-518"/>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El INEGI trabaja en generar los principales indicadores del mercado laboral correspondientes al “segundo trimestre de 2020”, con base en la implementación de modelos estadísticos, así como de la información mensual de la ETOE de los meses de abril, mayo y junio y con la propia información del tercer trimestre. En este sentido se informa a los usuarios que una vez que concluyan las pruebas y evaluaciones estadísticas correspondientes se pondrán a disposición de los usuarios.</w:t>
      </w:r>
    </w:p>
    <w:p w:rsidR="00D7488B" w:rsidRDefault="00D7488B" w:rsidP="00D7488B">
      <w:pPr>
        <w:spacing w:after="0" w:line="240" w:lineRule="auto"/>
        <w:ind w:right="49"/>
        <w:jc w:val="both"/>
        <w:rPr>
          <w:rFonts w:ascii="Arial" w:eastAsia="Times New Roman" w:hAnsi="Arial" w:cs="Arial"/>
          <w:bCs/>
          <w:spacing w:val="10"/>
          <w:lang w:val="es-ES_tradnl" w:eastAsia="es-ES"/>
        </w:rPr>
      </w:pPr>
    </w:p>
    <w:p w:rsidR="00560257" w:rsidRDefault="005068B9" w:rsidP="009749DA">
      <w:pPr>
        <w:pStyle w:val="Subttulo"/>
        <w:ind w:left="-567" w:right="-518"/>
        <w:jc w:val="both"/>
        <w:rPr>
          <w:b w:val="0"/>
          <w:bCs w:val="0"/>
          <w:spacing w:val="10"/>
          <w:sz w:val="22"/>
          <w:szCs w:val="22"/>
          <w:lang w:val="es-MX"/>
        </w:rPr>
      </w:pPr>
      <w:r w:rsidRPr="00BB02E1">
        <w:rPr>
          <w:b w:val="0"/>
          <w:spacing w:val="10"/>
          <w:sz w:val="22"/>
          <w:szCs w:val="22"/>
        </w:rPr>
        <w:t xml:space="preserve">Finalmente, se </w:t>
      </w:r>
      <w:r w:rsidR="00E979E4" w:rsidRPr="00BB02E1">
        <w:rPr>
          <w:b w:val="0"/>
          <w:spacing w:val="10"/>
          <w:sz w:val="22"/>
          <w:szCs w:val="22"/>
        </w:rPr>
        <w:t>invita a los usuarios a participar en</w:t>
      </w:r>
      <w:r w:rsidR="00521A09" w:rsidRPr="00BB02E1">
        <w:rPr>
          <w:b w:val="0"/>
          <w:spacing w:val="10"/>
          <w:sz w:val="22"/>
          <w:szCs w:val="22"/>
        </w:rPr>
        <w:t xml:space="preserve"> la</w:t>
      </w:r>
      <w:r w:rsidRPr="00BB02E1">
        <w:rPr>
          <w:b w:val="0"/>
          <w:spacing w:val="10"/>
          <w:sz w:val="22"/>
          <w:szCs w:val="22"/>
        </w:rPr>
        <w:t xml:space="preserve"> Consulta Pública sobre la incorporación de entrevistas telefónicas a la ENOE, </w:t>
      </w:r>
      <w:r w:rsidR="00E979E4" w:rsidRPr="00BB02E1">
        <w:rPr>
          <w:b w:val="0"/>
          <w:spacing w:val="10"/>
          <w:sz w:val="22"/>
          <w:szCs w:val="22"/>
        </w:rPr>
        <w:t>nuevas</w:t>
      </w:r>
      <w:r w:rsidRPr="00BB02E1">
        <w:rPr>
          <w:b w:val="0"/>
          <w:spacing w:val="10"/>
          <w:sz w:val="22"/>
          <w:szCs w:val="22"/>
        </w:rPr>
        <w:t xml:space="preserve"> </w:t>
      </w:r>
      <w:r w:rsidR="00E979E4" w:rsidRPr="00BB02E1">
        <w:rPr>
          <w:b w:val="0"/>
          <w:spacing w:val="10"/>
          <w:sz w:val="22"/>
          <w:szCs w:val="22"/>
        </w:rPr>
        <w:t>clasificaciones</w:t>
      </w:r>
      <w:r w:rsidRPr="00BB02E1">
        <w:rPr>
          <w:b w:val="0"/>
          <w:spacing w:val="10"/>
          <w:sz w:val="22"/>
          <w:szCs w:val="22"/>
        </w:rPr>
        <w:t xml:space="preserve"> y migración a herramientas digitales, durante el periodo del 8 de octubre al 30 de noviembre de 2020</w:t>
      </w:r>
      <w:r w:rsidR="00E979E4" w:rsidRPr="00BB02E1">
        <w:rPr>
          <w:b w:val="0"/>
          <w:spacing w:val="10"/>
          <w:sz w:val="22"/>
          <w:szCs w:val="22"/>
        </w:rPr>
        <w:t xml:space="preserve"> y </w:t>
      </w:r>
      <w:r w:rsidR="00BD72B4" w:rsidRPr="00BB02E1">
        <w:rPr>
          <w:b w:val="0"/>
          <w:spacing w:val="10"/>
          <w:sz w:val="22"/>
          <w:szCs w:val="22"/>
        </w:rPr>
        <w:t xml:space="preserve">enviar sus </w:t>
      </w:r>
      <w:r w:rsidR="00E979E4" w:rsidRPr="00BB02E1">
        <w:rPr>
          <w:b w:val="0"/>
          <w:spacing w:val="10"/>
          <w:sz w:val="22"/>
          <w:szCs w:val="22"/>
        </w:rPr>
        <w:t xml:space="preserve">comentarios y </w:t>
      </w:r>
      <w:r w:rsidR="000F469B" w:rsidRPr="00BB02E1">
        <w:rPr>
          <w:b w:val="0"/>
          <w:spacing w:val="10"/>
          <w:sz w:val="22"/>
          <w:szCs w:val="22"/>
        </w:rPr>
        <w:t xml:space="preserve">aportaciones a través de la </w:t>
      </w:r>
      <w:r w:rsidR="00785A3E" w:rsidRPr="00BB02E1">
        <w:rPr>
          <w:b w:val="0"/>
          <w:spacing w:val="10"/>
          <w:sz w:val="22"/>
          <w:szCs w:val="22"/>
        </w:rPr>
        <w:t xml:space="preserve">siguiente </w:t>
      </w:r>
      <w:r w:rsidR="000F469B" w:rsidRPr="00BB02E1">
        <w:rPr>
          <w:b w:val="0"/>
          <w:spacing w:val="10"/>
          <w:sz w:val="22"/>
          <w:szCs w:val="22"/>
        </w:rPr>
        <w:t>dirección de internet:</w:t>
      </w:r>
      <w:r w:rsidR="000F469B">
        <w:rPr>
          <w:b w:val="0"/>
          <w:bCs w:val="0"/>
          <w:spacing w:val="10"/>
          <w:sz w:val="22"/>
          <w:szCs w:val="22"/>
          <w:lang w:val="es-MX"/>
        </w:rPr>
        <w:t xml:space="preserve"> </w:t>
      </w:r>
      <w:hyperlink r:id="rId11" w:history="1">
        <w:r w:rsidRPr="00C6350A">
          <w:rPr>
            <w:rStyle w:val="Hipervnculo"/>
            <w:b w:val="0"/>
            <w:bCs w:val="0"/>
            <w:spacing w:val="10"/>
            <w:sz w:val="22"/>
            <w:szCs w:val="22"/>
            <w:lang w:val="es-MX"/>
          </w:rPr>
          <w:t>https://www.inegi.org.mx/app/consultapublica/</w:t>
        </w:r>
      </w:hyperlink>
      <w:r>
        <w:rPr>
          <w:b w:val="0"/>
          <w:bCs w:val="0"/>
          <w:spacing w:val="10"/>
          <w:sz w:val="22"/>
          <w:szCs w:val="22"/>
          <w:lang w:val="es-MX"/>
        </w:rPr>
        <w:t>.</w:t>
      </w:r>
    </w:p>
    <w:p w:rsidR="000F13CC" w:rsidRDefault="000F13CC" w:rsidP="009749DA">
      <w:pPr>
        <w:pStyle w:val="Subttulo"/>
        <w:ind w:left="-567" w:right="-518"/>
        <w:jc w:val="both"/>
        <w:rPr>
          <w:b w:val="0"/>
          <w:bCs w:val="0"/>
          <w:spacing w:val="10"/>
          <w:sz w:val="22"/>
          <w:szCs w:val="22"/>
          <w:lang w:val="es-MX"/>
        </w:rPr>
      </w:pPr>
    </w:p>
    <w:p w:rsidR="000F13CC" w:rsidRDefault="000F13CC" w:rsidP="009749DA">
      <w:pPr>
        <w:pStyle w:val="Subttulo"/>
        <w:ind w:left="-567" w:right="-518"/>
        <w:jc w:val="both"/>
        <w:rPr>
          <w:b w:val="0"/>
          <w:bCs w:val="0"/>
          <w:spacing w:val="10"/>
          <w:sz w:val="22"/>
          <w:szCs w:val="22"/>
          <w:lang w:val="es-MX"/>
        </w:rPr>
      </w:pPr>
    </w:p>
    <w:p w:rsidR="005068B9" w:rsidRPr="00F14CF7" w:rsidRDefault="005068B9" w:rsidP="009749DA">
      <w:pPr>
        <w:pStyle w:val="Subttulo"/>
        <w:ind w:left="-567" w:right="-518"/>
        <w:jc w:val="both"/>
        <w:rPr>
          <w:b w:val="0"/>
          <w:bCs w:val="0"/>
          <w:spacing w:val="10"/>
          <w:sz w:val="22"/>
          <w:szCs w:val="22"/>
        </w:rPr>
      </w:pPr>
    </w:p>
    <w:p w:rsidR="00E84930" w:rsidRDefault="00E84930" w:rsidP="009749DA">
      <w:pPr>
        <w:pStyle w:val="Ttulo"/>
        <w:rPr>
          <w:rFonts w:cs="Arial"/>
          <w:sz w:val="20"/>
          <w:szCs w:val="22"/>
        </w:rPr>
      </w:pPr>
      <w:r w:rsidRPr="00387213">
        <w:rPr>
          <w:rFonts w:cs="Arial"/>
          <w:sz w:val="20"/>
          <w:szCs w:val="22"/>
        </w:rPr>
        <w:t>Se anexa Nota Técnica</w:t>
      </w:r>
    </w:p>
    <w:p w:rsidR="000E2453" w:rsidRDefault="000E2453" w:rsidP="009749DA">
      <w:pPr>
        <w:pStyle w:val="Ttulo"/>
        <w:rPr>
          <w:rFonts w:cs="Arial"/>
          <w:sz w:val="20"/>
          <w:szCs w:val="22"/>
        </w:rPr>
      </w:pPr>
    </w:p>
    <w:p w:rsidR="000E2453" w:rsidRPr="00387213" w:rsidRDefault="000E2453" w:rsidP="009749DA">
      <w:pPr>
        <w:pStyle w:val="Ttulo"/>
        <w:rPr>
          <w:rFonts w:cs="Arial"/>
          <w:sz w:val="20"/>
          <w:szCs w:val="22"/>
        </w:rPr>
      </w:pPr>
    </w:p>
    <w:p w:rsidR="000E2453" w:rsidRDefault="000E2453" w:rsidP="000E2453">
      <w:pPr>
        <w:spacing w:after="0" w:line="240" w:lineRule="auto"/>
        <w:jc w:val="center"/>
        <w:rPr>
          <w:rFonts w:ascii="Arial" w:hAnsi="Arial" w:cs="Arial"/>
          <w:color w:val="000000"/>
          <w:lang w:val="es-ES"/>
        </w:rPr>
      </w:pPr>
      <w:r w:rsidRPr="007C3D68">
        <w:rPr>
          <w:rFonts w:ascii="Arial" w:hAnsi="Arial" w:cs="Arial"/>
        </w:rPr>
        <w:t xml:space="preserve">Para consultas de medios y periodistas, contactar a: </w:t>
      </w:r>
      <w:hyperlink r:id="rId12" w:history="1">
        <w:r w:rsidRPr="007C3D68">
          <w:rPr>
            <w:rStyle w:val="Hipervnculo"/>
            <w:rFonts w:ascii="Arial" w:hAnsi="Arial" w:cs="Arial"/>
            <w:bCs/>
            <w:lang w:eastAsia="es-MX"/>
          </w:rPr>
          <w:t>concepcion.chavez@inegi.org.mx</w:t>
        </w:r>
      </w:hyperlink>
      <w:r w:rsidR="007C3D68">
        <w:rPr>
          <w:rFonts w:ascii="Arial" w:hAnsi="Arial" w:cs="Arial"/>
          <w:color w:val="000000"/>
          <w:lang w:val="es-ES"/>
        </w:rPr>
        <w:t xml:space="preserve"> Tel</w:t>
      </w:r>
      <w:r w:rsidRPr="007C3D68">
        <w:rPr>
          <w:rFonts w:ascii="Arial" w:hAnsi="Arial" w:cs="Arial"/>
          <w:color w:val="000000"/>
          <w:lang w:val="es-ES"/>
        </w:rPr>
        <w:t>: 228 814 6459</w:t>
      </w:r>
      <w:r w:rsidR="007C3D68">
        <w:rPr>
          <w:rFonts w:ascii="Arial" w:hAnsi="Arial" w:cs="Arial"/>
          <w:color w:val="000000"/>
          <w:lang w:val="es-ES"/>
        </w:rPr>
        <w:t>, Ext. 8001</w:t>
      </w:r>
    </w:p>
    <w:p w:rsidR="007C3D68" w:rsidRDefault="007C3D68" w:rsidP="000E2453">
      <w:pPr>
        <w:spacing w:after="0" w:line="240" w:lineRule="auto"/>
        <w:jc w:val="center"/>
        <w:rPr>
          <w:rFonts w:ascii="Arial" w:hAnsi="Arial" w:cs="Arial"/>
          <w:color w:val="000000"/>
          <w:lang w:val="es-ES"/>
        </w:rPr>
      </w:pPr>
    </w:p>
    <w:p w:rsidR="007C3D68" w:rsidRPr="007C3D68" w:rsidRDefault="007C3D68" w:rsidP="000E2453">
      <w:pPr>
        <w:spacing w:after="0" w:line="240" w:lineRule="auto"/>
        <w:jc w:val="center"/>
        <w:rPr>
          <w:rFonts w:ascii="Arial" w:hAnsi="Arial" w:cs="Arial"/>
          <w:color w:val="000000"/>
          <w:lang w:val="es-ES"/>
        </w:rPr>
      </w:pPr>
      <w:r>
        <w:rPr>
          <w:rFonts w:ascii="Arial" w:hAnsi="Arial" w:cs="Arial"/>
          <w:color w:val="000000"/>
          <w:lang w:val="es-ES"/>
        </w:rPr>
        <w:t>Dirección Regional Oriente / Coordinación Estatal Veracruz</w:t>
      </w:r>
    </w:p>
    <w:p w:rsidR="000E2453" w:rsidRDefault="000E2453" w:rsidP="000E2453">
      <w:pPr>
        <w:spacing w:after="0" w:line="240" w:lineRule="auto"/>
        <w:jc w:val="center"/>
        <w:rPr>
          <w:rFonts w:ascii="Arial" w:hAnsi="Arial" w:cs="Arial"/>
          <w:color w:val="000000"/>
          <w:lang w:val="es-ES"/>
        </w:rPr>
      </w:pPr>
    </w:p>
    <w:p w:rsidR="007C3D68" w:rsidRDefault="007C3D68" w:rsidP="000E2453">
      <w:pPr>
        <w:spacing w:after="0" w:line="240" w:lineRule="auto"/>
        <w:jc w:val="center"/>
        <w:rPr>
          <w:rFonts w:ascii="Arial" w:hAnsi="Arial" w:cs="Arial"/>
          <w:color w:val="000000"/>
          <w:lang w:val="es-ES"/>
        </w:rPr>
      </w:pPr>
    </w:p>
    <w:p w:rsidR="00E84930" w:rsidRDefault="00E84930" w:rsidP="009749DA">
      <w:pPr>
        <w:ind w:left="-567"/>
        <w:rPr>
          <w:noProof/>
          <w:lang w:eastAsia="es-MX"/>
        </w:rPr>
        <w:sectPr w:rsidR="00E84930" w:rsidSect="00A020C6">
          <w:headerReference w:type="default" r:id="rId13"/>
          <w:footerReference w:type="default" r:id="rId14"/>
          <w:pgSz w:w="12240" w:h="15840"/>
          <w:pgMar w:top="1417" w:right="1701" w:bottom="1134" w:left="1701" w:header="708" w:footer="733" w:gutter="0"/>
          <w:cols w:space="708"/>
          <w:docGrid w:linePitch="360"/>
        </w:sectPr>
      </w:pPr>
      <w:r>
        <w:rPr>
          <w:noProof/>
          <w:lang w:eastAsia="es-MX"/>
        </w:rPr>
        <w:t xml:space="preserve">                                          </w:t>
      </w:r>
      <w:r w:rsidR="00152E17">
        <w:rPr>
          <w:noProof/>
          <w:lang w:eastAsia="es-MX"/>
        </w:rPr>
        <w:t xml:space="preserve">        </w:t>
      </w:r>
      <w:bookmarkStart w:id="0" w:name="_GoBack"/>
      <w:bookmarkEnd w:id="0"/>
      <w:r>
        <w:rPr>
          <w:noProof/>
          <w:lang w:eastAsia="es-MX"/>
        </w:rPr>
        <w:t xml:space="preserve">  </w:t>
      </w:r>
      <w:r w:rsidRPr="008F0992">
        <w:rPr>
          <w:noProof/>
          <w:lang w:eastAsia="es-MX"/>
        </w:rPr>
        <w:drawing>
          <wp:inline distT="0" distB="0" distL="0" distR="0" wp14:anchorId="3FF9EBAC" wp14:editId="71D303E4">
            <wp:extent cx="260541" cy="239236"/>
            <wp:effectExtent l="0" t="0" r="6350" b="8890"/>
            <wp:docPr id="1" name="Imagen 1" descr="C:\Users\saladeprensa\Desktop\NVOS LOGOS\F.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47493CEF" wp14:editId="5FB38772">
            <wp:extent cx="244675" cy="243005"/>
            <wp:effectExtent l="0" t="0" r="3175" b="5080"/>
            <wp:docPr id="8" name="Imagen 8" descr="C:\Users\saladeprensa\Desktop\NVOS LOGOS\I.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05600C77" wp14:editId="50CAE1DC">
            <wp:extent cx="245856" cy="248015"/>
            <wp:effectExtent l="0" t="0" r="1905" b="0"/>
            <wp:docPr id="12" name="Imagen 12" descr="C:\Users\saladeprensa\Desktop\NVOS LOGOS\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12478A58" wp14:editId="5D930824">
            <wp:extent cx="238125" cy="242051"/>
            <wp:effectExtent l="0" t="0" r="0" b="5715"/>
            <wp:docPr id="18" name="Imagen 18" descr="C:\Users\saladeprensa\Desktop\NVOS LOGOS\Y.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6CAC336E" wp14:editId="253DE173">
            <wp:extent cx="1952625" cy="268726"/>
            <wp:effectExtent l="0" t="0" r="0" b="0"/>
            <wp:docPr id="20" name="Imagen 2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1601" cy="342901"/>
                    </a:xfrm>
                    <a:prstGeom prst="rect">
                      <a:avLst/>
                    </a:prstGeom>
                    <a:noFill/>
                    <a:ln>
                      <a:noFill/>
                    </a:ln>
                  </pic:spPr>
                </pic:pic>
              </a:graphicData>
            </a:graphic>
          </wp:inline>
        </w:drawing>
      </w:r>
    </w:p>
    <w:p w:rsidR="00945818" w:rsidRPr="00C83A02" w:rsidRDefault="00945818" w:rsidP="009749DA">
      <w:pPr>
        <w:pStyle w:val="Profesin"/>
        <w:spacing w:before="120"/>
        <w:rPr>
          <w:sz w:val="24"/>
        </w:rPr>
      </w:pPr>
      <w:r w:rsidRPr="00C83A02">
        <w:rPr>
          <w:sz w:val="24"/>
        </w:rPr>
        <w:lastRenderedPageBreak/>
        <w:t>NOTA TÉCNICA</w:t>
      </w:r>
    </w:p>
    <w:p w:rsidR="00945818" w:rsidRPr="00C83A02" w:rsidRDefault="00945818" w:rsidP="009749DA">
      <w:pPr>
        <w:pStyle w:val="Profesin"/>
        <w:rPr>
          <w:sz w:val="24"/>
        </w:rPr>
      </w:pPr>
      <w:r w:rsidRPr="00C83A02">
        <w:rPr>
          <w:sz w:val="24"/>
        </w:rPr>
        <w:t>RESULTADOS DE LA ENCUESTA NACIONAL</w:t>
      </w:r>
      <w:r w:rsidRPr="00C83A02">
        <w:rPr>
          <w:sz w:val="24"/>
        </w:rPr>
        <w:br/>
        <w:t>DE OCUPACIÓN Y EMPLEO</w:t>
      </w:r>
      <w:r w:rsidR="000E0518" w:rsidRPr="00C83A02">
        <w:rPr>
          <w:sz w:val="24"/>
        </w:rPr>
        <w:t>. NUEVA EDICIÓN (ENOE</w:t>
      </w:r>
      <w:r w:rsidR="000E0518" w:rsidRPr="00C83A02">
        <w:rPr>
          <w:sz w:val="24"/>
          <w:vertAlign w:val="superscript"/>
        </w:rPr>
        <w:t>N</w:t>
      </w:r>
      <w:r w:rsidR="000E0518" w:rsidRPr="00C83A02">
        <w:rPr>
          <w:sz w:val="24"/>
        </w:rPr>
        <w:t>)</w:t>
      </w:r>
      <w:r w:rsidRPr="00C83A02">
        <w:rPr>
          <w:caps w:val="0"/>
          <w:position w:val="2"/>
          <w:sz w:val="24"/>
          <w:szCs w:val="24"/>
          <w:vertAlign w:val="superscript"/>
        </w:rPr>
        <w:footnoteReference w:id="1"/>
      </w:r>
    </w:p>
    <w:p w:rsidR="00945818" w:rsidRPr="00C83A02" w:rsidRDefault="00945818" w:rsidP="009749DA">
      <w:pPr>
        <w:pStyle w:val="Profesin"/>
        <w:rPr>
          <w:sz w:val="24"/>
          <w:szCs w:val="26"/>
        </w:rPr>
      </w:pPr>
      <w:r w:rsidRPr="00C83A02">
        <w:rPr>
          <w:sz w:val="24"/>
          <w:szCs w:val="26"/>
        </w:rPr>
        <w:t xml:space="preserve">cifras durante el </w:t>
      </w:r>
      <w:r w:rsidR="00611C39" w:rsidRPr="00C83A02">
        <w:rPr>
          <w:sz w:val="24"/>
          <w:szCs w:val="26"/>
        </w:rPr>
        <w:t xml:space="preserve">tercer </w:t>
      </w:r>
      <w:r w:rsidRPr="00C83A02">
        <w:rPr>
          <w:sz w:val="24"/>
          <w:szCs w:val="26"/>
        </w:rPr>
        <w:t>trimestre de 2020</w:t>
      </w:r>
    </w:p>
    <w:p w:rsidR="00945818" w:rsidRDefault="00945818" w:rsidP="009749DA">
      <w:pPr>
        <w:pStyle w:val="Subttulo"/>
        <w:jc w:val="both"/>
        <w:rPr>
          <w:b w:val="0"/>
          <w:spacing w:val="10"/>
          <w:sz w:val="22"/>
          <w:szCs w:val="22"/>
        </w:rPr>
      </w:pPr>
    </w:p>
    <w:p w:rsidR="005363FE" w:rsidRPr="005363FE" w:rsidRDefault="005363FE" w:rsidP="009749DA">
      <w:pPr>
        <w:pStyle w:val="Prrafodelista"/>
        <w:ind w:left="0"/>
        <w:jc w:val="both"/>
        <w:rPr>
          <w:rFonts w:ascii="Arial" w:eastAsia="Times New Roman" w:hAnsi="Arial" w:cs="Arial"/>
          <w:bCs/>
          <w:spacing w:val="10"/>
          <w:lang w:val="es-ES_tradnl" w:eastAsia="es-ES"/>
        </w:rPr>
      </w:pPr>
      <w:r w:rsidRPr="005363FE">
        <w:rPr>
          <w:rFonts w:ascii="Arial" w:eastAsia="Times New Roman" w:hAnsi="Arial" w:cs="Arial"/>
          <w:bCs/>
          <w:spacing w:val="10"/>
          <w:lang w:val="es-ES_tradnl" w:eastAsia="es-ES"/>
        </w:rPr>
        <w:t>El Instituto Nacional de Estadística y Geografía (INEGI) da a conocer los resultados de la Encuesta Nacional de Ocupación y Empleo</w:t>
      </w:r>
      <w:r>
        <w:rPr>
          <w:rFonts w:ascii="Arial" w:eastAsia="Times New Roman" w:hAnsi="Arial" w:cs="Arial"/>
          <w:bCs/>
          <w:spacing w:val="10"/>
          <w:lang w:val="es-ES_tradnl" w:eastAsia="es-ES"/>
        </w:rPr>
        <w:t xml:space="preserve">. Nueva </w:t>
      </w:r>
      <w:r w:rsidRPr="005363FE">
        <w:rPr>
          <w:rFonts w:ascii="Arial" w:eastAsia="Times New Roman" w:hAnsi="Arial" w:cs="Arial"/>
          <w:bCs/>
          <w:spacing w:val="10"/>
          <w:lang w:val="es-ES_tradnl" w:eastAsia="es-ES"/>
        </w:rPr>
        <w:t>Edición (</w:t>
      </w:r>
      <w:r w:rsidRPr="005363FE">
        <w:rPr>
          <w:rFonts w:ascii="Arial" w:hAnsi="Arial" w:cs="Arial"/>
          <w:spacing w:val="10"/>
        </w:rPr>
        <w:t>ENOE</w:t>
      </w:r>
      <w:r w:rsidRPr="005363FE">
        <w:rPr>
          <w:rFonts w:ascii="Arial" w:hAnsi="Arial" w:cs="Arial"/>
          <w:spacing w:val="10"/>
          <w:vertAlign w:val="superscript"/>
        </w:rPr>
        <w:t>N</w:t>
      </w:r>
      <w:r w:rsidRPr="005363FE">
        <w:rPr>
          <w:rFonts w:ascii="Arial" w:eastAsia="Times New Roman" w:hAnsi="Arial" w:cs="Arial"/>
          <w:bCs/>
          <w:spacing w:val="10"/>
          <w:lang w:val="es-ES_tradnl" w:eastAsia="es-ES"/>
        </w:rPr>
        <w:t xml:space="preserve">), correspondientes al </w:t>
      </w:r>
      <w:r>
        <w:rPr>
          <w:rFonts w:ascii="Arial" w:eastAsia="Times New Roman" w:hAnsi="Arial" w:cs="Arial"/>
          <w:bCs/>
          <w:spacing w:val="10"/>
          <w:lang w:val="es-ES_tradnl" w:eastAsia="es-ES"/>
        </w:rPr>
        <w:t>tercer</w:t>
      </w:r>
      <w:r w:rsidRPr="005363FE">
        <w:rPr>
          <w:rFonts w:ascii="Arial" w:eastAsia="Times New Roman" w:hAnsi="Arial" w:cs="Arial"/>
          <w:bCs/>
          <w:spacing w:val="10"/>
          <w:lang w:val="es-ES_tradnl" w:eastAsia="es-ES"/>
        </w:rPr>
        <w:t xml:space="preserve"> trimestre de 2020.</w:t>
      </w:r>
    </w:p>
    <w:p w:rsidR="00D60FB7" w:rsidRDefault="001F1F8C" w:rsidP="009749DA">
      <w:pPr>
        <w:pStyle w:val="Subttulo"/>
        <w:jc w:val="both"/>
        <w:rPr>
          <w:b w:val="0"/>
          <w:spacing w:val="10"/>
          <w:sz w:val="22"/>
          <w:szCs w:val="22"/>
        </w:rPr>
      </w:pPr>
      <w:r>
        <w:rPr>
          <w:b w:val="0"/>
          <w:spacing w:val="10"/>
          <w:sz w:val="22"/>
          <w:szCs w:val="22"/>
        </w:rPr>
        <w:t xml:space="preserve">Los principales resultados del levantamiento de la </w:t>
      </w:r>
      <w:r w:rsidR="00427871" w:rsidRPr="00427871">
        <w:rPr>
          <w:b w:val="0"/>
          <w:spacing w:val="10"/>
          <w:sz w:val="22"/>
          <w:szCs w:val="22"/>
        </w:rPr>
        <w:t>ENOE</w:t>
      </w:r>
      <w:r w:rsidR="00F66482">
        <w:rPr>
          <w:b w:val="0"/>
          <w:spacing w:val="10"/>
          <w:sz w:val="22"/>
          <w:szCs w:val="22"/>
          <w:vertAlign w:val="superscript"/>
        </w:rPr>
        <w:t>N</w:t>
      </w:r>
      <w:r>
        <w:rPr>
          <w:b w:val="0"/>
          <w:spacing w:val="10"/>
          <w:sz w:val="22"/>
          <w:szCs w:val="22"/>
        </w:rPr>
        <w:t xml:space="preserve"> </w:t>
      </w:r>
      <w:r w:rsidR="005363FE">
        <w:rPr>
          <w:b w:val="0"/>
          <w:spacing w:val="10"/>
          <w:sz w:val="22"/>
          <w:szCs w:val="22"/>
        </w:rPr>
        <w:t>en el tercer trimestre de 2020</w:t>
      </w:r>
      <w:r w:rsidR="00D60FB7">
        <w:rPr>
          <w:b w:val="0"/>
          <w:spacing w:val="10"/>
          <w:sz w:val="22"/>
          <w:szCs w:val="22"/>
        </w:rPr>
        <w:t xml:space="preserve">, en comparación con el </w:t>
      </w:r>
      <w:r w:rsidR="005363FE">
        <w:rPr>
          <w:b w:val="0"/>
          <w:spacing w:val="10"/>
          <w:sz w:val="22"/>
          <w:szCs w:val="22"/>
        </w:rPr>
        <w:t>mismo periodo de 2019</w:t>
      </w:r>
      <w:r w:rsidR="00527920">
        <w:rPr>
          <w:b w:val="0"/>
          <w:spacing w:val="10"/>
          <w:sz w:val="22"/>
          <w:szCs w:val="22"/>
        </w:rPr>
        <w:t>, permit</w:t>
      </w:r>
      <w:r w:rsidR="00D60FB7">
        <w:rPr>
          <w:b w:val="0"/>
          <w:spacing w:val="10"/>
          <w:sz w:val="22"/>
          <w:szCs w:val="22"/>
        </w:rPr>
        <w:t>en</w:t>
      </w:r>
      <w:r w:rsidR="00527920">
        <w:rPr>
          <w:b w:val="0"/>
          <w:spacing w:val="10"/>
          <w:sz w:val="22"/>
          <w:szCs w:val="22"/>
        </w:rPr>
        <w:t xml:space="preserve"> observar los cambios en la ocupación y el empleo </w:t>
      </w:r>
      <w:r w:rsidR="00D60FB7">
        <w:rPr>
          <w:b w:val="0"/>
          <w:spacing w:val="10"/>
          <w:sz w:val="22"/>
          <w:szCs w:val="22"/>
        </w:rPr>
        <w:t xml:space="preserve">durante el </w:t>
      </w:r>
      <w:r w:rsidR="00527920">
        <w:rPr>
          <w:b w:val="0"/>
          <w:spacing w:val="10"/>
          <w:sz w:val="22"/>
          <w:szCs w:val="22"/>
        </w:rPr>
        <w:t xml:space="preserve">periodo </w:t>
      </w:r>
      <w:r w:rsidR="009A7A1E">
        <w:rPr>
          <w:b w:val="0"/>
          <w:spacing w:val="10"/>
          <w:sz w:val="22"/>
          <w:szCs w:val="22"/>
        </w:rPr>
        <w:t xml:space="preserve">de contingencia sanitaria </w:t>
      </w:r>
      <w:r w:rsidR="00527920">
        <w:rPr>
          <w:b w:val="0"/>
          <w:spacing w:val="10"/>
          <w:sz w:val="22"/>
          <w:szCs w:val="22"/>
        </w:rPr>
        <w:t>originada por el COV</w:t>
      </w:r>
      <w:r w:rsidR="00480E8A">
        <w:rPr>
          <w:b w:val="0"/>
          <w:spacing w:val="10"/>
          <w:sz w:val="22"/>
          <w:szCs w:val="22"/>
        </w:rPr>
        <w:t>I</w:t>
      </w:r>
      <w:r w:rsidR="00D60FB7">
        <w:rPr>
          <w:b w:val="0"/>
          <w:spacing w:val="10"/>
          <w:sz w:val="22"/>
          <w:szCs w:val="22"/>
        </w:rPr>
        <w:t>D-19.</w:t>
      </w:r>
    </w:p>
    <w:p w:rsidR="00ED3CF5" w:rsidRDefault="00ED3CF5" w:rsidP="009749DA">
      <w:pPr>
        <w:pStyle w:val="Subttulo"/>
        <w:jc w:val="both"/>
        <w:rPr>
          <w:b w:val="0"/>
          <w:spacing w:val="10"/>
          <w:sz w:val="22"/>
          <w:szCs w:val="22"/>
        </w:rPr>
      </w:pPr>
    </w:p>
    <w:p w:rsidR="00D7488B" w:rsidRPr="0053694E" w:rsidRDefault="00D7488B" w:rsidP="00EE7F44">
      <w:pPr>
        <w:spacing w:after="0" w:line="240" w:lineRule="auto"/>
        <w:jc w:val="both"/>
        <w:rPr>
          <w:rFonts w:ascii="Arial" w:eastAsia="Times New Roman" w:hAnsi="Arial" w:cs="Arial"/>
          <w:bCs/>
          <w:spacing w:val="10"/>
          <w:lang w:val="es-ES_tradnl" w:eastAsia="es-ES"/>
        </w:rPr>
      </w:pPr>
      <w:r w:rsidRPr="0053694E">
        <w:rPr>
          <w:rFonts w:ascii="Arial" w:eastAsia="Times New Roman" w:hAnsi="Arial" w:cs="Arial"/>
          <w:bCs/>
          <w:spacing w:val="10"/>
          <w:lang w:val="es-ES_tradnl" w:eastAsia="es-ES"/>
        </w:rPr>
        <w:t>El INEGI trabaja en generar los principales indicadores del mercado laboral correspondientes al segundo trimestre de 2020, con base en la implementación de modelos estadísticos, así como de la información mensual de la ETOE de los meses de abril, mayo y junio y con la propia información del tercer trimestre. En este sentido se informa a los usuarios que una vez que concluyan las pruebas y evaluaciones estadísticas correspondientes se pondrán a disposición de los usuarios.</w:t>
      </w:r>
    </w:p>
    <w:p w:rsidR="00D7488B" w:rsidRDefault="00D7488B" w:rsidP="009749DA">
      <w:pPr>
        <w:pStyle w:val="Subttulo"/>
        <w:jc w:val="both"/>
        <w:rPr>
          <w:b w:val="0"/>
          <w:spacing w:val="10"/>
          <w:sz w:val="22"/>
          <w:szCs w:val="22"/>
        </w:rPr>
      </w:pPr>
    </w:p>
    <w:p w:rsidR="00A346F6" w:rsidRPr="00C63172" w:rsidRDefault="00A346F6" w:rsidP="009749DA">
      <w:pPr>
        <w:pStyle w:val="n0"/>
        <w:keepLines w:val="0"/>
        <w:spacing w:before="0"/>
        <w:ind w:left="0" w:right="49" w:firstLine="0"/>
        <w:jc w:val="left"/>
        <w:rPr>
          <w:b/>
          <w:smallCaps/>
          <w:color w:val="auto"/>
          <w:sz w:val="22"/>
          <w:szCs w:val="22"/>
        </w:rPr>
      </w:pPr>
    </w:p>
    <w:p w:rsidR="00252EDE" w:rsidRPr="00C63172" w:rsidRDefault="00252EDE" w:rsidP="009749DA">
      <w:pPr>
        <w:pStyle w:val="n0"/>
        <w:keepLines w:val="0"/>
        <w:spacing w:before="0"/>
        <w:ind w:left="0" w:right="49" w:firstLine="0"/>
        <w:jc w:val="left"/>
        <w:rPr>
          <w:b/>
          <w:smallCaps/>
          <w:color w:val="auto"/>
          <w:sz w:val="22"/>
          <w:szCs w:val="22"/>
        </w:rPr>
      </w:pPr>
      <w:r w:rsidRPr="00C63172">
        <w:rPr>
          <w:b/>
          <w:smallCaps/>
          <w:color w:val="auto"/>
          <w:sz w:val="22"/>
          <w:szCs w:val="22"/>
        </w:rPr>
        <w:t>Situación de la fuerza de trabajo</w:t>
      </w:r>
    </w:p>
    <w:p w:rsidR="00252EDE" w:rsidRPr="004340B4" w:rsidRDefault="00252EDE" w:rsidP="009749DA">
      <w:pPr>
        <w:pStyle w:val="Subttulo"/>
        <w:jc w:val="both"/>
        <w:rPr>
          <w:b w:val="0"/>
          <w:spacing w:val="10"/>
          <w:sz w:val="22"/>
          <w:szCs w:val="22"/>
        </w:rPr>
      </w:pPr>
    </w:p>
    <w:p w:rsidR="00434044" w:rsidRDefault="00252EDE" w:rsidP="009749DA">
      <w:pPr>
        <w:pStyle w:val="Subttulo"/>
        <w:jc w:val="both"/>
        <w:rPr>
          <w:b w:val="0"/>
          <w:spacing w:val="10"/>
          <w:sz w:val="22"/>
          <w:szCs w:val="22"/>
        </w:rPr>
      </w:pPr>
      <w:r w:rsidRPr="00344D4B">
        <w:rPr>
          <w:b w:val="0"/>
          <w:spacing w:val="10"/>
          <w:sz w:val="22"/>
          <w:szCs w:val="22"/>
        </w:rPr>
        <w:t>La Población Económicamente Activa</w:t>
      </w:r>
      <w:r w:rsidR="00792692" w:rsidRPr="00344D4B">
        <w:rPr>
          <w:b w:val="0"/>
          <w:spacing w:val="10"/>
          <w:sz w:val="22"/>
          <w:szCs w:val="22"/>
        </w:rPr>
        <w:t xml:space="preserve"> (PEA)</w:t>
      </w:r>
      <w:r w:rsidRPr="00344D4B">
        <w:rPr>
          <w:b w:val="0"/>
          <w:spacing w:val="10"/>
          <w:sz w:val="22"/>
          <w:szCs w:val="22"/>
        </w:rPr>
        <w:t>, es decir, las personas que en la semana pasada a la entrevista</w:t>
      </w:r>
      <w:r w:rsidR="00255227" w:rsidRPr="00344D4B">
        <w:rPr>
          <w:b w:val="0"/>
          <w:spacing w:val="10"/>
          <w:sz w:val="22"/>
          <w:szCs w:val="22"/>
        </w:rPr>
        <w:t xml:space="preserve"> </w:t>
      </w:r>
      <w:r w:rsidRPr="00344D4B">
        <w:rPr>
          <w:b w:val="0"/>
          <w:spacing w:val="10"/>
          <w:sz w:val="22"/>
          <w:szCs w:val="22"/>
        </w:rPr>
        <w:t>se encontraban ocupadas o desocupadas,</w:t>
      </w:r>
      <w:r w:rsidR="0044335D" w:rsidRPr="00344D4B">
        <w:rPr>
          <w:b w:val="0"/>
          <w:spacing w:val="10"/>
          <w:sz w:val="22"/>
          <w:szCs w:val="22"/>
        </w:rPr>
        <w:t xml:space="preserve"> </w:t>
      </w:r>
      <w:r w:rsidR="00A706A2" w:rsidRPr="00344D4B">
        <w:rPr>
          <w:b w:val="0"/>
          <w:spacing w:val="10"/>
          <w:sz w:val="22"/>
          <w:szCs w:val="22"/>
        </w:rPr>
        <w:t>fueron</w:t>
      </w:r>
      <w:r w:rsidR="00C44CE2" w:rsidRPr="00344D4B">
        <w:rPr>
          <w:b w:val="0"/>
          <w:spacing w:val="10"/>
          <w:sz w:val="22"/>
          <w:szCs w:val="22"/>
        </w:rPr>
        <w:t xml:space="preserve"> </w:t>
      </w:r>
      <w:r w:rsidR="00936678" w:rsidRPr="00344D4B">
        <w:rPr>
          <w:b w:val="0"/>
          <w:spacing w:val="10"/>
          <w:sz w:val="22"/>
          <w:szCs w:val="22"/>
        </w:rPr>
        <w:t>3.3</w:t>
      </w:r>
      <w:r w:rsidR="00C44CE2" w:rsidRPr="00344D4B">
        <w:rPr>
          <w:b w:val="0"/>
          <w:spacing w:val="10"/>
          <w:sz w:val="22"/>
          <w:szCs w:val="22"/>
        </w:rPr>
        <w:t xml:space="preserve"> </w:t>
      </w:r>
      <w:r w:rsidR="0044335D" w:rsidRPr="00344D4B">
        <w:rPr>
          <w:b w:val="0"/>
          <w:spacing w:val="10"/>
          <w:sz w:val="22"/>
          <w:szCs w:val="22"/>
        </w:rPr>
        <w:t xml:space="preserve">millones en </w:t>
      </w:r>
      <w:r w:rsidR="00434044" w:rsidRPr="00344D4B">
        <w:rPr>
          <w:b w:val="0"/>
          <w:spacing w:val="10"/>
          <w:sz w:val="22"/>
          <w:szCs w:val="22"/>
        </w:rPr>
        <w:t>el tercer trimestre</w:t>
      </w:r>
      <w:r w:rsidR="0044335D" w:rsidRPr="00344D4B">
        <w:rPr>
          <w:b w:val="0"/>
          <w:spacing w:val="10"/>
          <w:sz w:val="22"/>
          <w:szCs w:val="22"/>
        </w:rPr>
        <w:t xml:space="preserve"> de 2020, </w:t>
      </w:r>
      <w:r w:rsidR="00434044" w:rsidRPr="00344D4B">
        <w:rPr>
          <w:b w:val="0"/>
          <w:spacing w:val="10"/>
          <w:sz w:val="22"/>
          <w:szCs w:val="22"/>
        </w:rPr>
        <w:t>(-)</w:t>
      </w:r>
      <w:r w:rsidR="00253FBB" w:rsidRPr="00344D4B">
        <w:rPr>
          <w:b w:val="0"/>
          <w:spacing w:val="10"/>
          <w:sz w:val="22"/>
          <w:szCs w:val="22"/>
        </w:rPr>
        <w:t>82</w:t>
      </w:r>
      <w:r w:rsidR="00344D4B" w:rsidRPr="00344D4B">
        <w:rPr>
          <w:b w:val="0"/>
          <w:spacing w:val="10"/>
          <w:sz w:val="22"/>
          <w:szCs w:val="22"/>
        </w:rPr>
        <w:t>.2</w:t>
      </w:r>
      <w:r w:rsidR="00253FBB" w:rsidRPr="00344D4B">
        <w:rPr>
          <w:b w:val="0"/>
          <w:spacing w:val="10"/>
          <w:sz w:val="22"/>
          <w:szCs w:val="22"/>
        </w:rPr>
        <w:t xml:space="preserve"> mil</w:t>
      </w:r>
      <w:r w:rsidR="00434044" w:rsidRPr="00344D4B">
        <w:rPr>
          <w:b w:val="0"/>
          <w:spacing w:val="10"/>
          <w:sz w:val="22"/>
          <w:szCs w:val="22"/>
        </w:rPr>
        <w:t xml:space="preserve"> menos </w:t>
      </w:r>
      <w:r w:rsidR="001B08D2" w:rsidRPr="00344D4B">
        <w:rPr>
          <w:b w:val="0"/>
          <w:spacing w:val="10"/>
          <w:sz w:val="22"/>
          <w:szCs w:val="22"/>
        </w:rPr>
        <w:t xml:space="preserve">que en </w:t>
      </w:r>
      <w:r w:rsidR="00434044" w:rsidRPr="00344D4B">
        <w:rPr>
          <w:b w:val="0"/>
          <w:spacing w:val="10"/>
          <w:sz w:val="22"/>
          <w:szCs w:val="22"/>
        </w:rPr>
        <w:t>igual periodo de 2019</w:t>
      </w:r>
      <w:r w:rsidR="001B08D2" w:rsidRPr="00344D4B">
        <w:rPr>
          <w:b w:val="0"/>
          <w:spacing w:val="10"/>
          <w:sz w:val="22"/>
          <w:szCs w:val="22"/>
        </w:rPr>
        <w:t xml:space="preserve">. </w:t>
      </w:r>
      <w:r w:rsidR="00434044" w:rsidRPr="00344D4B">
        <w:rPr>
          <w:b w:val="0"/>
          <w:spacing w:val="10"/>
          <w:sz w:val="22"/>
          <w:szCs w:val="22"/>
        </w:rPr>
        <w:t xml:space="preserve">La división según sexo, </w:t>
      </w:r>
      <w:r w:rsidR="00451645" w:rsidRPr="00344D4B">
        <w:rPr>
          <w:b w:val="0"/>
          <w:spacing w:val="10"/>
          <w:sz w:val="22"/>
          <w:szCs w:val="22"/>
        </w:rPr>
        <w:t>en</w:t>
      </w:r>
      <w:r w:rsidR="00434044" w:rsidRPr="00344D4B">
        <w:rPr>
          <w:b w:val="0"/>
          <w:spacing w:val="10"/>
          <w:sz w:val="22"/>
          <w:szCs w:val="22"/>
        </w:rPr>
        <w:t xml:space="preserve"> la PEA masculina fue de </w:t>
      </w:r>
      <w:r w:rsidR="00253FBB" w:rsidRPr="00344D4B">
        <w:rPr>
          <w:b w:val="0"/>
          <w:spacing w:val="10"/>
          <w:sz w:val="22"/>
          <w:szCs w:val="22"/>
        </w:rPr>
        <w:t>2.1</w:t>
      </w:r>
      <w:r w:rsidR="00434044" w:rsidRPr="00344D4B">
        <w:rPr>
          <w:b w:val="0"/>
          <w:spacing w:val="10"/>
          <w:sz w:val="22"/>
          <w:szCs w:val="22"/>
        </w:rPr>
        <w:t xml:space="preserve"> millones, (-)</w:t>
      </w:r>
      <w:r w:rsidR="00984EA0" w:rsidRPr="00344D4B">
        <w:rPr>
          <w:b w:val="0"/>
          <w:spacing w:val="10"/>
          <w:sz w:val="22"/>
          <w:szCs w:val="22"/>
        </w:rPr>
        <w:t>3</w:t>
      </w:r>
      <w:r w:rsidR="00344D4B" w:rsidRPr="00344D4B">
        <w:rPr>
          <w:b w:val="0"/>
          <w:spacing w:val="10"/>
          <w:sz w:val="22"/>
          <w:szCs w:val="22"/>
        </w:rPr>
        <w:t>7.9</w:t>
      </w:r>
      <w:r w:rsidR="00984EA0" w:rsidRPr="00344D4B">
        <w:rPr>
          <w:b w:val="0"/>
          <w:spacing w:val="10"/>
          <w:sz w:val="22"/>
          <w:szCs w:val="22"/>
        </w:rPr>
        <w:t xml:space="preserve"> mil</w:t>
      </w:r>
      <w:r w:rsidR="00434044" w:rsidRPr="00344D4B">
        <w:rPr>
          <w:b w:val="0"/>
          <w:spacing w:val="10"/>
          <w:sz w:val="22"/>
          <w:szCs w:val="22"/>
        </w:rPr>
        <w:t xml:space="preserve"> menos y la PEA femenina fue de </w:t>
      </w:r>
      <w:r w:rsidR="00253FBB" w:rsidRPr="00344D4B">
        <w:rPr>
          <w:b w:val="0"/>
          <w:spacing w:val="10"/>
          <w:sz w:val="22"/>
          <w:szCs w:val="22"/>
        </w:rPr>
        <w:t>1</w:t>
      </w:r>
      <w:r w:rsidR="00434044" w:rsidRPr="00344D4B">
        <w:rPr>
          <w:b w:val="0"/>
          <w:spacing w:val="10"/>
          <w:sz w:val="22"/>
          <w:szCs w:val="22"/>
        </w:rPr>
        <w:t>.</w:t>
      </w:r>
      <w:r w:rsidR="000609B2" w:rsidRPr="00344D4B">
        <w:rPr>
          <w:b w:val="0"/>
          <w:spacing w:val="10"/>
          <w:sz w:val="22"/>
          <w:szCs w:val="22"/>
        </w:rPr>
        <w:t>2</w:t>
      </w:r>
      <w:r w:rsidR="00434044" w:rsidRPr="00344D4B">
        <w:rPr>
          <w:b w:val="0"/>
          <w:spacing w:val="10"/>
          <w:sz w:val="22"/>
          <w:szCs w:val="22"/>
        </w:rPr>
        <w:t xml:space="preserve"> millones, (-)</w:t>
      </w:r>
      <w:r w:rsidR="00984EA0" w:rsidRPr="00344D4B">
        <w:rPr>
          <w:b w:val="0"/>
          <w:spacing w:val="10"/>
          <w:sz w:val="22"/>
          <w:szCs w:val="22"/>
        </w:rPr>
        <w:t>44</w:t>
      </w:r>
      <w:r w:rsidR="00344D4B" w:rsidRPr="00344D4B">
        <w:rPr>
          <w:b w:val="0"/>
          <w:spacing w:val="10"/>
          <w:sz w:val="22"/>
          <w:szCs w:val="22"/>
        </w:rPr>
        <w:t>.2</w:t>
      </w:r>
      <w:r w:rsidR="00984EA0" w:rsidRPr="00344D4B">
        <w:rPr>
          <w:b w:val="0"/>
          <w:spacing w:val="10"/>
          <w:sz w:val="22"/>
          <w:szCs w:val="22"/>
        </w:rPr>
        <w:t xml:space="preserve"> </w:t>
      </w:r>
      <w:proofErr w:type="gramStart"/>
      <w:r w:rsidR="0004099D" w:rsidRPr="00344D4B">
        <w:rPr>
          <w:b w:val="0"/>
          <w:spacing w:val="10"/>
          <w:sz w:val="22"/>
          <w:szCs w:val="22"/>
        </w:rPr>
        <w:t>mil inferior</w:t>
      </w:r>
      <w:proofErr w:type="gramEnd"/>
      <w:r w:rsidR="00434044" w:rsidRPr="00344D4B">
        <w:rPr>
          <w:b w:val="0"/>
          <w:spacing w:val="10"/>
          <w:sz w:val="22"/>
          <w:szCs w:val="22"/>
        </w:rPr>
        <w:t xml:space="preserve"> al monto registrado en </w:t>
      </w:r>
      <w:r w:rsidR="00451645" w:rsidRPr="00344D4B">
        <w:rPr>
          <w:b w:val="0"/>
          <w:spacing w:val="10"/>
          <w:sz w:val="22"/>
          <w:szCs w:val="22"/>
        </w:rPr>
        <w:t>el tercer</w:t>
      </w:r>
      <w:r w:rsidR="00434044" w:rsidRPr="00344D4B">
        <w:rPr>
          <w:b w:val="0"/>
          <w:spacing w:val="10"/>
          <w:sz w:val="22"/>
          <w:szCs w:val="22"/>
        </w:rPr>
        <w:t xml:space="preserve"> trimestre del año pasado.</w:t>
      </w:r>
    </w:p>
    <w:p w:rsidR="00451645" w:rsidRDefault="00451645" w:rsidP="009749DA">
      <w:pPr>
        <w:pStyle w:val="Subttulo"/>
        <w:jc w:val="both"/>
        <w:rPr>
          <w:b w:val="0"/>
          <w:spacing w:val="10"/>
          <w:sz w:val="22"/>
          <w:szCs w:val="22"/>
        </w:rPr>
      </w:pPr>
    </w:p>
    <w:p w:rsidR="00451645" w:rsidRDefault="00E43372" w:rsidP="009749DA">
      <w:pPr>
        <w:pStyle w:val="Subttulo"/>
        <w:jc w:val="both"/>
        <w:rPr>
          <w:b w:val="0"/>
          <w:spacing w:val="10"/>
          <w:sz w:val="22"/>
          <w:szCs w:val="22"/>
        </w:rPr>
      </w:pPr>
      <w:r w:rsidRPr="00DF0984">
        <w:rPr>
          <w:b w:val="0"/>
          <w:spacing w:val="10"/>
          <w:sz w:val="22"/>
          <w:szCs w:val="22"/>
        </w:rPr>
        <w:t>L</w:t>
      </w:r>
      <w:r w:rsidR="004E1598" w:rsidRPr="00DF0984">
        <w:rPr>
          <w:b w:val="0"/>
          <w:spacing w:val="10"/>
          <w:sz w:val="22"/>
          <w:szCs w:val="22"/>
        </w:rPr>
        <w:t xml:space="preserve">a variación anual </w:t>
      </w:r>
      <w:r w:rsidR="00451645" w:rsidRPr="00DF0984">
        <w:rPr>
          <w:b w:val="0"/>
          <w:spacing w:val="10"/>
          <w:sz w:val="22"/>
          <w:szCs w:val="22"/>
        </w:rPr>
        <w:t xml:space="preserve">de la PEA </w:t>
      </w:r>
      <w:r w:rsidR="004E1598" w:rsidRPr="00DF0984">
        <w:rPr>
          <w:b w:val="0"/>
          <w:spacing w:val="10"/>
          <w:sz w:val="22"/>
          <w:szCs w:val="22"/>
        </w:rPr>
        <w:t xml:space="preserve">en el tercer trimestre de 2020 </w:t>
      </w:r>
      <w:r w:rsidR="008E19F3" w:rsidRPr="00DF0984">
        <w:rPr>
          <w:b w:val="0"/>
          <w:spacing w:val="10"/>
          <w:sz w:val="22"/>
          <w:szCs w:val="22"/>
        </w:rPr>
        <w:t xml:space="preserve">respecto al mismo periodo de 2019 </w:t>
      </w:r>
      <w:r w:rsidR="004E1598" w:rsidRPr="00DF0984">
        <w:rPr>
          <w:b w:val="0"/>
          <w:spacing w:val="10"/>
          <w:sz w:val="22"/>
          <w:szCs w:val="22"/>
        </w:rPr>
        <w:t>fue de</w:t>
      </w:r>
      <w:r w:rsidR="00451645" w:rsidRPr="00DF0984">
        <w:rPr>
          <w:b w:val="0"/>
          <w:spacing w:val="10"/>
          <w:sz w:val="22"/>
          <w:szCs w:val="22"/>
        </w:rPr>
        <w:t xml:space="preserve"> (-)</w:t>
      </w:r>
      <w:r w:rsidR="0004099D" w:rsidRPr="00DF0984">
        <w:rPr>
          <w:b w:val="0"/>
          <w:spacing w:val="10"/>
          <w:sz w:val="22"/>
          <w:szCs w:val="22"/>
        </w:rPr>
        <w:t>2.4</w:t>
      </w:r>
      <w:r w:rsidR="00451645" w:rsidRPr="00DF0984">
        <w:rPr>
          <w:b w:val="0"/>
          <w:spacing w:val="10"/>
          <w:sz w:val="22"/>
          <w:szCs w:val="22"/>
        </w:rPr>
        <w:t>%</w:t>
      </w:r>
      <w:r w:rsidR="004E1598" w:rsidRPr="00DF0984">
        <w:rPr>
          <w:b w:val="0"/>
          <w:spacing w:val="10"/>
          <w:sz w:val="22"/>
          <w:szCs w:val="22"/>
        </w:rPr>
        <w:t>, siendo</w:t>
      </w:r>
      <w:r w:rsidR="00451645" w:rsidRPr="00DF0984">
        <w:rPr>
          <w:b w:val="0"/>
          <w:spacing w:val="10"/>
          <w:sz w:val="22"/>
          <w:szCs w:val="22"/>
        </w:rPr>
        <w:t xml:space="preserve"> la PEA femenina la más afectada</w:t>
      </w:r>
      <w:r w:rsidR="004E1598" w:rsidRPr="00DF0984">
        <w:rPr>
          <w:b w:val="0"/>
          <w:spacing w:val="10"/>
          <w:sz w:val="22"/>
          <w:szCs w:val="22"/>
        </w:rPr>
        <w:t xml:space="preserve"> con una disminución de (-)</w:t>
      </w:r>
      <w:r w:rsidR="0004099D" w:rsidRPr="00DF0984">
        <w:rPr>
          <w:b w:val="0"/>
          <w:spacing w:val="10"/>
          <w:sz w:val="22"/>
          <w:szCs w:val="22"/>
        </w:rPr>
        <w:t>3.</w:t>
      </w:r>
      <w:r w:rsidR="002206DE" w:rsidRPr="00DF0984">
        <w:rPr>
          <w:b w:val="0"/>
          <w:spacing w:val="10"/>
          <w:sz w:val="22"/>
          <w:szCs w:val="22"/>
        </w:rPr>
        <w:t>6</w:t>
      </w:r>
      <w:r w:rsidR="004E1598" w:rsidRPr="00DF0984">
        <w:rPr>
          <w:b w:val="0"/>
          <w:spacing w:val="10"/>
          <w:sz w:val="22"/>
          <w:szCs w:val="22"/>
        </w:rPr>
        <w:t>% frente a una reducción de la PEA masculina de (-)</w:t>
      </w:r>
      <w:r w:rsidR="0004099D" w:rsidRPr="00DF0984">
        <w:rPr>
          <w:b w:val="0"/>
          <w:spacing w:val="10"/>
          <w:sz w:val="22"/>
          <w:szCs w:val="22"/>
        </w:rPr>
        <w:t>1.8</w:t>
      </w:r>
      <w:r w:rsidR="004E1598" w:rsidRPr="00DF0984">
        <w:rPr>
          <w:b w:val="0"/>
          <w:spacing w:val="10"/>
          <w:sz w:val="22"/>
          <w:szCs w:val="22"/>
        </w:rPr>
        <w:t xml:space="preserve"> por ciento</w:t>
      </w:r>
      <w:r w:rsidR="00451645" w:rsidRPr="00DF0984">
        <w:rPr>
          <w:b w:val="0"/>
          <w:spacing w:val="10"/>
          <w:sz w:val="22"/>
          <w:szCs w:val="22"/>
        </w:rPr>
        <w:t>.</w:t>
      </w:r>
    </w:p>
    <w:p w:rsidR="00434044" w:rsidRDefault="00434044" w:rsidP="009749DA">
      <w:pPr>
        <w:pStyle w:val="Subttulo"/>
        <w:jc w:val="both"/>
        <w:rPr>
          <w:b w:val="0"/>
          <w:spacing w:val="10"/>
          <w:sz w:val="22"/>
          <w:szCs w:val="22"/>
        </w:rPr>
      </w:pPr>
    </w:p>
    <w:p w:rsidR="00E7410D" w:rsidRDefault="00E7410D" w:rsidP="009749DA">
      <w:pPr>
        <w:rPr>
          <w:rFonts w:ascii="Arial" w:hAnsi="Arial" w:cs="Arial"/>
          <w:b/>
          <w:smallCaps/>
        </w:rPr>
      </w:pPr>
      <w:r>
        <w:rPr>
          <w:rFonts w:ascii="Arial" w:hAnsi="Arial" w:cs="Arial"/>
          <w:b/>
          <w:smallCaps/>
        </w:rPr>
        <w:br w:type="page"/>
      </w:r>
    </w:p>
    <w:p w:rsidR="004E1598" w:rsidRPr="00066757" w:rsidRDefault="004E1598" w:rsidP="009749DA">
      <w:pPr>
        <w:spacing w:after="0" w:line="240" w:lineRule="auto"/>
        <w:contextualSpacing/>
        <w:jc w:val="center"/>
        <w:rPr>
          <w:rFonts w:ascii="Arial" w:hAnsi="Arial" w:cs="Arial"/>
          <w:b/>
          <w:smallCaps/>
        </w:rPr>
      </w:pPr>
      <w:r w:rsidRPr="000C73EB">
        <w:rPr>
          <w:rFonts w:ascii="Arial" w:hAnsi="Arial" w:cs="Arial"/>
          <w:b/>
          <w:smallCaps/>
        </w:rPr>
        <w:lastRenderedPageBreak/>
        <w:t>Población de 15 y más años por condición de actividad económica</w:t>
      </w:r>
      <w:r>
        <w:rPr>
          <w:rFonts w:ascii="Arial" w:hAnsi="Arial" w:cs="Arial"/>
          <w:b/>
          <w:smallCaps/>
        </w:rPr>
        <w:t xml:space="preserve">, de ocupación y </w:t>
      </w:r>
      <w:r w:rsidRPr="00066757">
        <w:rPr>
          <w:rFonts w:ascii="Arial" w:hAnsi="Arial" w:cs="Arial"/>
          <w:b/>
          <w:smallCaps/>
        </w:rPr>
        <w:t>disponibilidad para trabajar según sexo durante el tercer trimestre de 2020</w:t>
      </w:r>
    </w:p>
    <w:p w:rsidR="004E1598" w:rsidRPr="00066757" w:rsidRDefault="004E1598" w:rsidP="009749DA">
      <w:pPr>
        <w:spacing w:after="0" w:line="240" w:lineRule="auto"/>
        <w:contextualSpacing/>
        <w:jc w:val="center"/>
        <w:rPr>
          <w:rFonts w:ascii="Arial" w:hAnsi="Arial" w:cs="Arial"/>
          <w:smallCaps/>
          <w:sz w:val="18"/>
          <w:szCs w:val="18"/>
        </w:rPr>
      </w:pPr>
      <w:r w:rsidRPr="00066757">
        <w:rPr>
          <w:rFonts w:ascii="Arial" w:hAnsi="Arial" w:cs="Arial"/>
          <w:smallCaps/>
          <w:sz w:val="18"/>
          <w:szCs w:val="18"/>
        </w:rPr>
        <w:t>(Personas)</w:t>
      </w:r>
    </w:p>
    <w:p w:rsidR="00434044" w:rsidRDefault="00C64021" w:rsidP="009749DA">
      <w:pPr>
        <w:pStyle w:val="Subttulo"/>
        <w:rPr>
          <w:b w:val="0"/>
          <w:spacing w:val="10"/>
          <w:sz w:val="22"/>
          <w:szCs w:val="22"/>
        </w:rPr>
      </w:pPr>
      <w:r w:rsidRPr="00033510">
        <w:rPr>
          <w:noProof/>
          <w:lang w:val="es-MX" w:eastAsia="es-MX"/>
        </w:rPr>
        <w:drawing>
          <wp:inline distT="0" distB="0" distL="0" distR="0" wp14:anchorId="0EF13E62" wp14:editId="57F2DBE4">
            <wp:extent cx="5760720" cy="32823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3282315"/>
                    </a:xfrm>
                    <a:prstGeom prst="rect">
                      <a:avLst/>
                    </a:prstGeom>
                    <a:noFill/>
                    <a:ln>
                      <a:noFill/>
                    </a:ln>
                  </pic:spPr>
                </pic:pic>
              </a:graphicData>
            </a:graphic>
          </wp:inline>
        </w:drawing>
      </w:r>
    </w:p>
    <w:p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1E2286" w:rsidRDefault="001E2286" w:rsidP="009749DA">
      <w:pPr>
        <w:spacing w:after="0" w:line="240" w:lineRule="auto"/>
        <w:rPr>
          <w:rFonts w:ascii="Arial" w:hAnsi="Arial" w:cs="Arial"/>
          <w:b/>
          <w:smallCaps/>
        </w:rPr>
      </w:pPr>
    </w:p>
    <w:p w:rsidR="008E19F3" w:rsidRDefault="008E19F3" w:rsidP="009749DA">
      <w:pPr>
        <w:spacing w:after="0" w:line="240" w:lineRule="auto"/>
        <w:rPr>
          <w:rFonts w:ascii="Arial" w:hAnsi="Arial" w:cs="Arial"/>
          <w:b/>
          <w:smallCaps/>
        </w:rPr>
      </w:pPr>
    </w:p>
    <w:p w:rsidR="00C26C9A" w:rsidRPr="00C67BD5" w:rsidRDefault="004E1598" w:rsidP="009749DA">
      <w:pPr>
        <w:pStyle w:val="Subttulo"/>
        <w:jc w:val="both"/>
        <w:rPr>
          <w:b w:val="0"/>
          <w:spacing w:val="10"/>
          <w:sz w:val="22"/>
          <w:szCs w:val="22"/>
        </w:rPr>
      </w:pPr>
      <w:r w:rsidRPr="00C67BD5">
        <w:rPr>
          <w:b w:val="0"/>
          <w:spacing w:val="10"/>
          <w:sz w:val="22"/>
          <w:szCs w:val="22"/>
        </w:rPr>
        <w:t xml:space="preserve">La tasa de participación económica en el tercer trimestre de 2020 fue de </w:t>
      </w:r>
      <w:r w:rsidR="002206DE" w:rsidRPr="00C67BD5">
        <w:rPr>
          <w:b w:val="0"/>
          <w:spacing w:val="10"/>
          <w:sz w:val="22"/>
          <w:szCs w:val="22"/>
        </w:rPr>
        <w:t>50.3</w:t>
      </w:r>
      <w:r w:rsidRPr="00C67BD5">
        <w:rPr>
          <w:b w:val="0"/>
          <w:spacing w:val="10"/>
          <w:sz w:val="22"/>
          <w:szCs w:val="22"/>
        </w:rPr>
        <w:t xml:space="preserve">% de la población en edad para trabajar, </w:t>
      </w:r>
      <w:r w:rsidR="00C26C9A" w:rsidRPr="00C67BD5">
        <w:rPr>
          <w:b w:val="0"/>
          <w:spacing w:val="10"/>
          <w:sz w:val="22"/>
          <w:szCs w:val="22"/>
        </w:rPr>
        <w:t>(-)</w:t>
      </w:r>
      <w:r w:rsidR="002206DE" w:rsidRPr="00C67BD5">
        <w:rPr>
          <w:b w:val="0"/>
          <w:spacing w:val="10"/>
          <w:sz w:val="22"/>
          <w:szCs w:val="22"/>
        </w:rPr>
        <w:t>3.1</w:t>
      </w:r>
      <w:r w:rsidRPr="00C67BD5">
        <w:rPr>
          <w:b w:val="0"/>
          <w:spacing w:val="10"/>
          <w:sz w:val="22"/>
          <w:szCs w:val="22"/>
        </w:rPr>
        <w:t xml:space="preserve"> puntos porcentuales </w:t>
      </w:r>
      <w:r w:rsidR="00BB02E1" w:rsidRPr="00C67BD5">
        <w:rPr>
          <w:b w:val="0"/>
          <w:spacing w:val="10"/>
          <w:sz w:val="22"/>
          <w:szCs w:val="22"/>
        </w:rPr>
        <w:t>inferior</w:t>
      </w:r>
      <w:r w:rsidR="00C26C9A" w:rsidRPr="00C67BD5">
        <w:rPr>
          <w:b w:val="0"/>
          <w:spacing w:val="10"/>
          <w:sz w:val="22"/>
          <w:szCs w:val="22"/>
        </w:rPr>
        <w:t xml:space="preserve"> </w:t>
      </w:r>
      <w:r w:rsidRPr="00C67BD5">
        <w:rPr>
          <w:b w:val="0"/>
          <w:spacing w:val="10"/>
          <w:sz w:val="22"/>
          <w:szCs w:val="22"/>
        </w:rPr>
        <w:t xml:space="preserve">a la del </w:t>
      </w:r>
      <w:r w:rsidR="00C26C9A" w:rsidRPr="00C67BD5">
        <w:rPr>
          <w:b w:val="0"/>
          <w:spacing w:val="10"/>
          <w:sz w:val="22"/>
          <w:szCs w:val="22"/>
        </w:rPr>
        <w:t>tercer trimestre del año pasado</w:t>
      </w:r>
      <w:r w:rsidRPr="00C67BD5">
        <w:rPr>
          <w:b w:val="0"/>
          <w:spacing w:val="10"/>
          <w:sz w:val="22"/>
          <w:szCs w:val="22"/>
        </w:rPr>
        <w:t>.</w:t>
      </w:r>
      <w:r w:rsidR="00C26C9A" w:rsidRPr="00C67BD5">
        <w:rPr>
          <w:b w:val="0"/>
          <w:spacing w:val="10"/>
          <w:sz w:val="22"/>
          <w:szCs w:val="22"/>
        </w:rPr>
        <w:t xml:space="preserve"> Por su parte, la tasa de participación económica masculina fue de </w:t>
      </w:r>
      <w:r w:rsidR="002206DE" w:rsidRPr="00C67BD5">
        <w:rPr>
          <w:b w:val="0"/>
          <w:spacing w:val="10"/>
          <w:sz w:val="22"/>
          <w:szCs w:val="22"/>
        </w:rPr>
        <w:t>70.1</w:t>
      </w:r>
      <w:r w:rsidR="00C26C9A" w:rsidRPr="00C67BD5">
        <w:rPr>
          <w:b w:val="0"/>
          <w:spacing w:val="10"/>
          <w:sz w:val="22"/>
          <w:szCs w:val="22"/>
        </w:rPr>
        <w:t>%</w:t>
      </w:r>
      <w:r w:rsidR="000609B2" w:rsidRPr="00C67BD5">
        <w:rPr>
          <w:b w:val="0"/>
          <w:spacing w:val="10"/>
          <w:sz w:val="22"/>
          <w:szCs w:val="22"/>
        </w:rPr>
        <w:t xml:space="preserve"> y la femenina de </w:t>
      </w:r>
      <w:r w:rsidR="002206DE" w:rsidRPr="00C67BD5">
        <w:rPr>
          <w:b w:val="0"/>
          <w:spacing w:val="10"/>
          <w:sz w:val="22"/>
          <w:szCs w:val="22"/>
        </w:rPr>
        <w:t>33.4</w:t>
      </w:r>
      <w:r w:rsidR="000609B2" w:rsidRPr="00C67BD5">
        <w:rPr>
          <w:b w:val="0"/>
          <w:spacing w:val="10"/>
          <w:sz w:val="22"/>
          <w:szCs w:val="22"/>
        </w:rPr>
        <w:t>%</w:t>
      </w:r>
      <w:r w:rsidR="00C26C9A" w:rsidRPr="00C67BD5">
        <w:rPr>
          <w:b w:val="0"/>
          <w:spacing w:val="10"/>
          <w:sz w:val="22"/>
          <w:szCs w:val="22"/>
        </w:rPr>
        <w:t xml:space="preserve">, </w:t>
      </w:r>
      <w:r w:rsidR="00BB02E1" w:rsidRPr="00C67BD5">
        <w:rPr>
          <w:b w:val="0"/>
          <w:spacing w:val="10"/>
          <w:sz w:val="22"/>
          <w:szCs w:val="22"/>
        </w:rPr>
        <w:t>menor</w:t>
      </w:r>
      <w:r w:rsidR="00C26C9A" w:rsidRPr="00C67BD5">
        <w:rPr>
          <w:b w:val="0"/>
          <w:spacing w:val="10"/>
          <w:sz w:val="22"/>
          <w:szCs w:val="22"/>
        </w:rPr>
        <w:t xml:space="preserve"> en (-)</w:t>
      </w:r>
      <w:r w:rsidR="000B425A" w:rsidRPr="00C67BD5">
        <w:rPr>
          <w:b w:val="0"/>
          <w:spacing w:val="10"/>
          <w:sz w:val="22"/>
          <w:szCs w:val="22"/>
        </w:rPr>
        <w:t>3.3 y (-)2.6</w:t>
      </w:r>
      <w:r w:rsidR="000609B2" w:rsidRPr="00C67BD5">
        <w:rPr>
          <w:b w:val="0"/>
          <w:spacing w:val="10"/>
          <w:sz w:val="22"/>
          <w:szCs w:val="22"/>
        </w:rPr>
        <w:t xml:space="preserve"> </w:t>
      </w:r>
      <w:r w:rsidR="00C26C9A" w:rsidRPr="00C67BD5">
        <w:rPr>
          <w:b w:val="0"/>
          <w:spacing w:val="10"/>
          <w:sz w:val="22"/>
          <w:szCs w:val="22"/>
        </w:rPr>
        <w:t>puntos porcentuales</w:t>
      </w:r>
      <w:r w:rsidR="001A1CD1" w:rsidRPr="00C67BD5">
        <w:rPr>
          <w:b w:val="0"/>
          <w:spacing w:val="10"/>
          <w:sz w:val="22"/>
          <w:szCs w:val="22"/>
        </w:rPr>
        <w:t>, respectivamente,</w:t>
      </w:r>
      <w:r w:rsidR="00C26C9A" w:rsidRPr="00C67BD5">
        <w:rPr>
          <w:b w:val="0"/>
          <w:spacing w:val="10"/>
          <w:sz w:val="22"/>
          <w:szCs w:val="22"/>
        </w:rPr>
        <w:t xml:space="preserve"> respecto </w:t>
      </w:r>
      <w:r w:rsidR="008E19F3" w:rsidRPr="00C67BD5">
        <w:rPr>
          <w:b w:val="0"/>
          <w:spacing w:val="10"/>
          <w:sz w:val="22"/>
          <w:szCs w:val="22"/>
        </w:rPr>
        <w:t>al tercer trimestre</w:t>
      </w:r>
      <w:r w:rsidR="00C26C9A" w:rsidRPr="00C67BD5">
        <w:rPr>
          <w:b w:val="0"/>
          <w:spacing w:val="10"/>
          <w:sz w:val="22"/>
          <w:szCs w:val="22"/>
        </w:rPr>
        <w:t xml:space="preserve"> de 2019.</w:t>
      </w:r>
    </w:p>
    <w:p w:rsidR="00C26C9A" w:rsidRDefault="00C26C9A" w:rsidP="009749DA">
      <w:pPr>
        <w:pStyle w:val="Subttulo"/>
        <w:jc w:val="both"/>
        <w:rPr>
          <w:b w:val="0"/>
          <w:spacing w:val="10"/>
          <w:sz w:val="22"/>
          <w:szCs w:val="22"/>
        </w:rPr>
      </w:pPr>
    </w:p>
    <w:p w:rsidR="00C26C9A" w:rsidRDefault="00C26C9A" w:rsidP="009749DA">
      <w:pPr>
        <w:rPr>
          <w:rFonts w:ascii="Arial" w:hAnsi="Arial" w:cs="Arial"/>
          <w:b/>
          <w:smallCaps/>
        </w:rPr>
      </w:pPr>
      <w:r>
        <w:rPr>
          <w:rFonts w:ascii="Arial" w:hAnsi="Arial" w:cs="Arial"/>
          <w:b/>
          <w:smallCaps/>
        </w:rPr>
        <w:br w:type="page"/>
      </w:r>
    </w:p>
    <w:p w:rsidR="009E1BC7" w:rsidRPr="000C73EB" w:rsidRDefault="00C142BC" w:rsidP="009749DA">
      <w:pPr>
        <w:spacing w:after="0" w:line="240" w:lineRule="auto"/>
        <w:contextualSpacing/>
        <w:jc w:val="center"/>
        <w:rPr>
          <w:rFonts w:ascii="Arial" w:hAnsi="Arial" w:cs="Arial"/>
          <w:b/>
          <w:smallCaps/>
        </w:rPr>
      </w:pPr>
      <w:r w:rsidRPr="000C73EB">
        <w:rPr>
          <w:rFonts w:ascii="Arial" w:hAnsi="Arial" w:cs="Arial"/>
          <w:b/>
          <w:smallCaps/>
        </w:rPr>
        <w:lastRenderedPageBreak/>
        <w:t xml:space="preserve">Gráfico 1. </w:t>
      </w:r>
      <w:r w:rsidR="009E1BC7" w:rsidRPr="000C73EB">
        <w:rPr>
          <w:rFonts w:ascii="Arial" w:hAnsi="Arial" w:cs="Arial"/>
          <w:b/>
          <w:smallCaps/>
        </w:rPr>
        <w:t>Tasa de participación E</w:t>
      </w:r>
      <w:r w:rsidR="00427871">
        <w:rPr>
          <w:rFonts w:ascii="Arial" w:hAnsi="Arial" w:cs="Arial"/>
          <w:b/>
          <w:smallCaps/>
        </w:rPr>
        <w:t>N</w:t>
      </w:r>
      <w:r w:rsidR="009E1BC7" w:rsidRPr="000C73EB">
        <w:rPr>
          <w:rFonts w:ascii="Arial" w:hAnsi="Arial" w:cs="Arial"/>
          <w:b/>
          <w:smallCaps/>
        </w:rPr>
        <w:t>OE</w:t>
      </w:r>
      <w:r w:rsidR="00F66482">
        <w:rPr>
          <w:rFonts w:ascii="Arial" w:hAnsi="Arial" w:cs="Arial"/>
          <w:b/>
          <w:smallCaps/>
          <w:vertAlign w:val="superscript"/>
        </w:rPr>
        <w:t>N</w:t>
      </w:r>
      <w:r w:rsidR="009E1BC7" w:rsidRPr="000C73EB">
        <w:rPr>
          <w:rFonts w:ascii="Arial" w:hAnsi="Arial" w:cs="Arial"/>
          <w:b/>
          <w:smallCaps/>
        </w:rPr>
        <w:t xml:space="preserve"> a</w:t>
      </w:r>
      <w:r w:rsidR="00055ABA" w:rsidRPr="000C73EB">
        <w:rPr>
          <w:rFonts w:ascii="Arial" w:hAnsi="Arial" w:cs="Arial"/>
          <w:b/>
          <w:smallCaps/>
        </w:rPr>
        <w:t xml:space="preserve">l </w:t>
      </w:r>
      <w:r w:rsidR="00E7410D">
        <w:rPr>
          <w:rFonts w:ascii="Arial" w:hAnsi="Arial" w:cs="Arial"/>
          <w:b/>
          <w:smallCaps/>
        </w:rPr>
        <w:t>tercer trimestre</w:t>
      </w:r>
      <w:r w:rsidR="009E1BC7" w:rsidRPr="000C73EB">
        <w:rPr>
          <w:rFonts w:ascii="Arial" w:hAnsi="Arial" w:cs="Arial"/>
          <w:b/>
          <w:smallCaps/>
        </w:rPr>
        <w:t xml:space="preserve"> de 2020 </w:t>
      </w:r>
    </w:p>
    <w:p w:rsidR="001531CF" w:rsidRPr="000C73EB" w:rsidRDefault="001531CF" w:rsidP="009749DA">
      <w:pPr>
        <w:spacing w:after="0" w:line="240" w:lineRule="auto"/>
        <w:contextualSpacing/>
        <w:jc w:val="center"/>
        <w:rPr>
          <w:rFonts w:ascii="Arial" w:hAnsi="Arial" w:cs="Arial"/>
          <w:b/>
          <w:smallCaps/>
        </w:rPr>
      </w:pPr>
      <w:bookmarkStart w:id="1" w:name="_Hlk50397535"/>
      <w:r w:rsidRPr="000C73EB">
        <w:rPr>
          <w:rFonts w:ascii="Arial" w:hAnsi="Arial" w:cs="Arial"/>
          <w:b/>
          <w:smallCaps/>
        </w:rPr>
        <w:t>(Porcentajes respecto a la población de 15 años y más)</w:t>
      </w:r>
    </w:p>
    <w:bookmarkEnd w:id="1"/>
    <w:p w:rsidR="009E1BC7" w:rsidRDefault="009E1BC7" w:rsidP="009749DA">
      <w:pPr>
        <w:spacing w:after="0" w:line="240" w:lineRule="auto"/>
        <w:contextualSpacing/>
        <w:jc w:val="center"/>
        <w:rPr>
          <w:rFonts w:ascii="Arial" w:hAnsi="Arial" w:cs="Arial"/>
          <w:b/>
          <w:smallCaps/>
        </w:rPr>
      </w:pPr>
      <w:r w:rsidRPr="000C73EB">
        <w:rPr>
          <w:rFonts w:ascii="Arial" w:hAnsi="Arial" w:cs="Arial"/>
          <w:b/>
          <w:smallCaps/>
        </w:rPr>
        <w:t xml:space="preserve">ENOE </w:t>
      </w:r>
      <w:r w:rsidR="00E7410D">
        <w:rPr>
          <w:rFonts w:ascii="Arial" w:hAnsi="Arial" w:cs="Arial"/>
          <w:b/>
          <w:smallCaps/>
        </w:rPr>
        <w:t>tercero y cuarto trimestre de</w:t>
      </w:r>
      <w:r w:rsidR="008F703F" w:rsidRPr="000C73EB">
        <w:rPr>
          <w:rFonts w:ascii="Arial" w:hAnsi="Arial" w:cs="Arial"/>
          <w:b/>
          <w:smallCaps/>
        </w:rPr>
        <w:t xml:space="preserve"> </w:t>
      </w:r>
      <w:r w:rsidR="00EF0FE0" w:rsidRPr="000C73EB">
        <w:rPr>
          <w:rFonts w:ascii="Arial" w:hAnsi="Arial" w:cs="Arial"/>
          <w:b/>
          <w:smallCaps/>
        </w:rPr>
        <w:t xml:space="preserve">2019 y </w:t>
      </w:r>
      <w:r w:rsidR="00E7410D">
        <w:rPr>
          <w:rFonts w:ascii="Arial" w:hAnsi="Arial" w:cs="Arial"/>
          <w:b/>
          <w:smallCaps/>
        </w:rPr>
        <w:t xml:space="preserve">primer trimestre de </w:t>
      </w:r>
      <w:r w:rsidR="00EF0FE0" w:rsidRPr="000C73EB">
        <w:rPr>
          <w:rFonts w:ascii="Arial" w:hAnsi="Arial" w:cs="Arial"/>
          <w:b/>
          <w:smallCaps/>
        </w:rPr>
        <w:t>2020</w:t>
      </w:r>
    </w:p>
    <w:p w:rsidR="00157838" w:rsidRDefault="00033510" w:rsidP="009749DA">
      <w:pPr>
        <w:spacing w:after="0" w:line="240" w:lineRule="auto"/>
        <w:contextualSpacing/>
        <w:jc w:val="center"/>
      </w:pPr>
      <w:r>
        <w:rPr>
          <w:b/>
          <w:noProof/>
          <w:spacing w:val="10"/>
          <w:lang w:eastAsia="es-MX"/>
        </w:rPr>
        <w:drawing>
          <wp:inline distT="0" distB="0" distL="0" distR="0" wp14:anchorId="602F9658" wp14:editId="1CA7A70E">
            <wp:extent cx="4140000" cy="3065093"/>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0000" cy="3065093"/>
                    </a:xfrm>
                    <a:prstGeom prst="rect">
                      <a:avLst/>
                    </a:prstGeom>
                    <a:noFill/>
                  </pic:spPr>
                </pic:pic>
              </a:graphicData>
            </a:graphic>
          </wp:inline>
        </w:drawing>
      </w:r>
    </w:p>
    <w:p w:rsidR="003C400B" w:rsidRDefault="003C400B" w:rsidP="009749DA">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75095A" w:rsidRDefault="0075095A" w:rsidP="009749DA">
      <w:pPr>
        <w:pStyle w:val="Subttulo"/>
        <w:jc w:val="both"/>
        <w:rPr>
          <w:b w:val="0"/>
          <w:spacing w:val="10"/>
          <w:sz w:val="22"/>
          <w:szCs w:val="22"/>
        </w:rPr>
      </w:pPr>
    </w:p>
    <w:p w:rsidR="002A628B" w:rsidRDefault="002A628B" w:rsidP="009749DA">
      <w:pPr>
        <w:pStyle w:val="Subttulo"/>
        <w:jc w:val="both"/>
        <w:rPr>
          <w:b w:val="0"/>
          <w:spacing w:val="10"/>
          <w:sz w:val="22"/>
          <w:szCs w:val="22"/>
        </w:rPr>
      </w:pPr>
    </w:p>
    <w:p w:rsidR="00C3758B" w:rsidRPr="00F614B1" w:rsidRDefault="00C3758B" w:rsidP="00C3758B">
      <w:pPr>
        <w:pStyle w:val="Subttulo"/>
        <w:jc w:val="both"/>
        <w:rPr>
          <w:b w:val="0"/>
          <w:spacing w:val="10"/>
          <w:sz w:val="22"/>
          <w:szCs w:val="22"/>
        </w:rPr>
      </w:pPr>
      <w:r w:rsidRPr="00F614B1">
        <w:rPr>
          <w:b w:val="0"/>
          <w:spacing w:val="10"/>
          <w:sz w:val="22"/>
          <w:szCs w:val="22"/>
        </w:rPr>
        <w:t>La población ocupada, que representa a las personas que trabajaron en la semana anterior a la entrevista o que no trabajaron, pero mantenían un vínculo laboral con la unidad económica para la que trabajan, representaron el 97.2% de la población económicamente activa; mientras que la población desocupada, que es aquella que no contaba con trabajo, pero buscó uno en el último mes, fue de 2.8% de la población económicamente activa en el tercer trimestre de 2020. En los hombres el 96.9% de la PEA estuvieron ocupados y el 3.1% desocupados; por su parte, en la PEA femenina, el 97.8% fueron ocupadas y el 2.2% desocupadas.</w:t>
      </w:r>
    </w:p>
    <w:p w:rsidR="00C3758B" w:rsidRPr="00F614B1" w:rsidRDefault="00C3758B" w:rsidP="00C3758B">
      <w:pPr>
        <w:pStyle w:val="Subttulo"/>
        <w:jc w:val="both"/>
        <w:rPr>
          <w:b w:val="0"/>
          <w:spacing w:val="10"/>
          <w:sz w:val="22"/>
          <w:szCs w:val="22"/>
        </w:rPr>
      </w:pPr>
    </w:p>
    <w:p w:rsidR="00C3758B" w:rsidRPr="00F614B1" w:rsidRDefault="00C3758B" w:rsidP="00C3758B">
      <w:pPr>
        <w:pStyle w:val="Subttulo"/>
        <w:jc w:val="both"/>
        <w:rPr>
          <w:b w:val="0"/>
          <w:spacing w:val="10"/>
          <w:sz w:val="22"/>
          <w:szCs w:val="22"/>
        </w:rPr>
      </w:pPr>
      <w:r w:rsidRPr="00F614B1">
        <w:rPr>
          <w:b w:val="0"/>
          <w:spacing w:val="10"/>
          <w:sz w:val="22"/>
          <w:szCs w:val="22"/>
        </w:rPr>
        <w:t>La Población No Económicamente Activa (PNEA) fue de 3.2 millones de personas (49.7% de la población de 15 y más años de edad) en el tercer trimestre de este año, cifra superior en 303</w:t>
      </w:r>
      <w:r w:rsidR="00F614B1" w:rsidRPr="00F614B1">
        <w:rPr>
          <w:b w:val="0"/>
          <w:spacing w:val="10"/>
          <w:sz w:val="22"/>
          <w:szCs w:val="22"/>
        </w:rPr>
        <w:t>.1</w:t>
      </w:r>
      <w:r w:rsidRPr="00F614B1">
        <w:rPr>
          <w:b w:val="0"/>
          <w:spacing w:val="10"/>
          <w:sz w:val="22"/>
          <w:szCs w:val="22"/>
        </w:rPr>
        <w:t xml:space="preserve"> mil personas a la del tercer trimestre de 2019. En su clasificación según sexo, la PNEA de los hombres se ubicó en 902</w:t>
      </w:r>
      <w:r w:rsidR="00F614B1" w:rsidRPr="00F614B1">
        <w:rPr>
          <w:b w:val="0"/>
          <w:spacing w:val="10"/>
          <w:sz w:val="22"/>
          <w:szCs w:val="22"/>
        </w:rPr>
        <w:t>.5</w:t>
      </w:r>
      <w:r w:rsidRPr="00F614B1">
        <w:rPr>
          <w:b w:val="0"/>
          <w:spacing w:val="10"/>
          <w:sz w:val="22"/>
          <w:szCs w:val="22"/>
        </w:rPr>
        <w:t xml:space="preserve"> mil (29.9%), 12</w:t>
      </w:r>
      <w:r w:rsidR="00F614B1" w:rsidRPr="00F614B1">
        <w:rPr>
          <w:b w:val="0"/>
          <w:spacing w:val="10"/>
          <w:sz w:val="22"/>
          <w:szCs w:val="22"/>
        </w:rPr>
        <w:t>2.9</w:t>
      </w:r>
      <w:r w:rsidRPr="00F614B1">
        <w:rPr>
          <w:b w:val="0"/>
          <w:spacing w:val="10"/>
          <w:sz w:val="22"/>
          <w:szCs w:val="22"/>
        </w:rPr>
        <w:t xml:space="preserve"> mil más respecto al mismo periodo del año pasado y las mujeres en 2.3 millones (66.6 por ciento), 180</w:t>
      </w:r>
      <w:r w:rsidR="00F614B1" w:rsidRPr="00F614B1">
        <w:rPr>
          <w:b w:val="0"/>
          <w:spacing w:val="10"/>
          <w:sz w:val="22"/>
          <w:szCs w:val="22"/>
        </w:rPr>
        <w:t>.3</w:t>
      </w:r>
      <w:r w:rsidRPr="00F614B1">
        <w:rPr>
          <w:b w:val="0"/>
          <w:spacing w:val="10"/>
          <w:sz w:val="22"/>
          <w:szCs w:val="22"/>
        </w:rPr>
        <w:t xml:space="preserve"> mil más en igual periodo de 2019.</w:t>
      </w:r>
    </w:p>
    <w:p w:rsidR="002A628B" w:rsidRDefault="002A628B" w:rsidP="009749DA">
      <w:pPr>
        <w:pStyle w:val="Subttulo"/>
        <w:jc w:val="both"/>
        <w:rPr>
          <w:b w:val="0"/>
          <w:spacing w:val="10"/>
          <w:sz w:val="22"/>
          <w:szCs w:val="22"/>
          <w:highlight w:val="yellow"/>
        </w:rPr>
      </w:pPr>
      <w:bookmarkStart w:id="2" w:name="_Hlk49818448"/>
    </w:p>
    <w:p w:rsidR="00F614B1" w:rsidRDefault="00F614B1" w:rsidP="009749DA">
      <w:pPr>
        <w:pStyle w:val="Subttulo"/>
        <w:jc w:val="both"/>
        <w:rPr>
          <w:b w:val="0"/>
          <w:spacing w:val="10"/>
          <w:sz w:val="22"/>
          <w:szCs w:val="22"/>
        </w:rPr>
      </w:pPr>
    </w:p>
    <w:p w:rsidR="002A628B" w:rsidRDefault="002A628B" w:rsidP="009749DA">
      <w:pPr>
        <w:rPr>
          <w:rFonts w:ascii="Arial" w:hAnsi="Arial" w:cs="Arial"/>
          <w:b/>
          <w:smallCaps/>
        </w:rPr>
      </w:pPr>
      <w:r>
        <w:rPr>
          <w:rFonts w:ascii="Arial" w:hAnsi="Arial" w:cs="Arial"/>
          <w:b/>
          <w:smallCaps/>
        </w:rPr>
        <w:br w:type="page"/>
      </w:r>
    </w:p>
    <w:bookmarkEnd w:id="2"/>
    <w:p w:rsidR="00F614B1" w:rsidRPr="000C73EB" w:rsidRDefault="00F614B1" w:rsidP="00F614B1">
      <w:pPr>
        <w:spacing w:after="0" w:line="240" w:lineRule="auto"/>
        <w:contextualSpacing/>
        <w:jc w:val="center"/>
        <w:rPr>
          <w:rFonts w:ascii="Arial" w:hAnsi="Arial" w:cs="Arial"/>
          <w:b/>
          <w:smallCaps/>
        </w:rPr>
      </w:pPr>
      <w:r w:rsidRPr="000C73EB">
        <w:rPr>
          <w:rFonts w:ascii="Arial" w:hAnsi="Arial" w:cs="Arial"/>
          <w:b/>
          <w:smallCaps/>
        </w:rPr>
        <w:lastRenderedPageBreak/>
        <w:t>Población de 15 y más años por condición de actividad económica</w:t>
      </w:r>
      <w:r>
        <w:rPr>
          <w:rFonts w:ascii="Arial" w:hAnsi="Arial" w:cs="Arial"/>
          <w:b/>
          <w:smallCaps/>
        </w:rPr>
        <w:t>, de ocupación y disponibilidad para trabajar según sexo</w:t>
      </w:r>
      <w:r w:rsidRPr="000C73EB">
        <w:rPr>
          <w:rFonts w:ascii="Arial" w:hAnsi="Arial" w:cs="Arial"/>
          <w:b/>
          <w:smallCaps/>
        </w:rPr>
        <w:t xml:space="preserve"> durante </w:t>
      </w:r>
      <w:r>
        <w:rPr>
          <w:rFonts w:ascii="Arial" w:hAnsi="Arial" w:cs="Arial"/>
          <w:b/>
          <w:smallCaps/>
        </w:rPr>
        <w:t>septiembre</w:t>
      </w:r>
      <w:r w:rsidRPr="000C73EB">
        <w:rPr>
          <w:rFonts w:ascii="Arial" w:hAnsi="Arial" w:cs="Arial"/>
          <w:b/>
          <w:smallCaps/>
        </w:rPr>
        <w:t xml:space="preserve"> de 2020</w:t>
      </w:r>
    </w:p>
    <w:p w:rsidR="00F614B1" w:rsidRPr="00E33F09" w:rsidRDefault="00F614B1" w:rsidP="00F614B1">
      <w:pPr>
        <w:spacing w:after="0" w:line="240" w:lineRule="auto"/>
        <w:contextualSpacing/>
        <w:jc w:val="center"/>
        <w:rPr>
          <w:rFonts w:ascii="Arial" w:hAnsi="Arial" w:cs="Arial"/>
          <w:smallCaps/>
          <w:sz w:val="18"/>
          <w:szCs w:val="18"/>
        </w:rPr>
      </w:pPr>
      <w:r w:rsidRPr="00E33F09">
        <w:rPr>
          <w:rFonts w:ascii="Arial" w:hAnsi="Arial" w:cs="Arial"/>
          <w:smallCaps/>
          <w:sz w:val="18"/>
          <w:szCs w:val="18"/>
        </w:rPr>
        <w:t>(Porcentaje)</w:t>
      </w:r>
    </w:p>
    <w:p w:rsidR="00F614B1" w:rsidRDefault="00F614B1" w:rsidP="00F614B1">
      <w:pPr>
        <w:spacing w:after="0" w:line="240" w:lineRule="auto"/>
        <w:ind w:right="51"/>
        <w:jc w:val="center"/>
        <w:rPr>
          <w:rFonts w:ascii="Arial" w:hAnsi="Arial" w:cs="Arial"/>
          <w:smallCaps/>
        </w:rPr>
      </w:pPr>
      <w:r w:rsidRPr="00E503F1">
        <w:rPr>
          <w:noProof/>
          <w:lang w:eastAsia="es-MX"/>
        </w:rPr>
        <w:drawing>
          <wp:inline distT="0" distB="0" distL="0" distR="0" wp14:anchorId="315BBFBC" wp14:editId="27D76578">
            <wp:extent cx="5760720" cy="3285526"/>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3285526"/>
                    </a:xfrm>
                    <a:prstGeom prst="rect">
                      <a:avLst/>
                    </a:prstGeom>
                    <a:noFill/>
                    <a:ln>
                      <a:noFill/>
                    </a:ln>
                  </pic:spPr>
                </pic:pic>
              </a:graphicData>
            </a:graphic>
          </wp:inline>
        </w:drawing>
      </w:r>
    </w:p>
    <w:p w:rsidR="00F614B1" w:rsidRDefault="00F614B1" w:rsidP="00F614B1">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F614B1" w:rsidRDefault="00F614B1" w:rsidP="00F614B1">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F614B1" w:rsidRDefault="00F614B1" w:rsidP="00F614B1">
      <w:pPr>
        <w:pStyle w:val="Subttulo"/>
        <w:jc w:val="both"/>
        <w:rPr>
          <w:b w:val="0"/>
          <w:spacing w:val="10"/>
          <w:sz w:val="22"/>
          <w:szCs w:val="22"/>
        </w:rPr>
      </w:pPr>
    </w:p>
    <w:p w:rsidR="00F614B1" w:rsidRDefault="00F614B1" w:rsidP="00F614B1">
      <w:pPr>
        <w:pStyle w:val="Subttulo"/>
        <w:jc w:val="both"/>
        <w:rPr>
          <w:b w:val="0"/>
          <w:spacing w:val="10"/>
          <w:sz w:val="22"/>
          <w:szCs w:val="22"/>
        </w:rPr>
      </w:pPr>
    </w:p>
    <w:p w:rsidR="00F614B1" w:rsidRDefault="00F614B1" w:rsidP="00F614B1">
      <w:pPr>
        <w:pStyle w:val="Subttulo"/>
        <w:jc w:val="both"/>
        <w:rPr>
          <w:b w:val="0"/>
          <w:spacing w:val="10"/>
          <w:sz w:val="22"/>
          <w:szCs w:val="22"/>
        </w:rPr>
      </w:pPr>
      <w:r w:rsidRPr="00291F8A">
        <w:rPr>
          <w:b w:val="0"/>
          <w:spacing w:val="10"/>
          <w:sz w:val="22"/>
          <w:szCs w:val="22"/>
        </w:rPr>
        <w:t xml:space="preserve">La PNEA disponible </w:t>
      </w:r>
      <w:r w:rsidRPr="00291F8A">
        <w:rPr>
          <w:b w:val="0"/>
          <w:color w:val="000000" w:themeColor="text1"/>
          <w:spacing w:val="10"/>
          <w:sz w:val="22"/>
          <w:szCs w:val="22"/>
        </w:rPr>
        <w:t>para trabajar</w:t>
      </w:r>
      <w:r w:rsidRPr="00291F8A">
        <w:rPr>
          <w:rStyle w:val="Refdenotaalpie"/>
          <w:b w:val="0"/>
          <w:color w:val="000000" w:themeColor="text1"/>
          <w:spacing w:val="10"/>
          <w:sz w:val="22"/>
          <w:szCs w:val="22"/>
        </w:rPr>
        <w:footnoteReference w:id="2"/>
      </w:r>
      <w:r w:rsidRPr="00291F8A">
        <w:rPr>
          <w:b w:val="0"/>
          <w:color w:val="000000" w:themeColor="text1"/>
          <w:spacing w:val="10"/>
          <w:sz w:val="22"/>
          <w:szCs w:val="22"/>
        </w:rPr>
        <w:t xml:space="preserve">, es decir, quienes no buscaron trabajo, pero aceptarían uno si se los ofrecieran, </w:t>
      </w:r>
      <w:r w:rsidRPr="00291F8A">
        <w:rPr>
          <w:b w:val="0"/>
          <w:spacing w:val="10"/>
          <w:sz w:val="22"/>
          <w:szCs w:val="22"/>
        </w:rPr>
        <w:t>fue de 841</w:t>
      </w:r>
      <w:r w:rsidR="00291F8A" w:rsidRPr="00291F8A">
        <w:rPr>
          <w:b w:val="0"/>
          <w:spacing w:val="10"/>
          <w:sz w:val="22"/>
          <w:szCs w:val="22"/>
        </w:rPr>
        <w:t>.2</w:t>
      </w:r>
      <w:r w:rsidRPr="00291F8A">
        <w:rPr>
          <w:b w:val="0"/>
          <w:spacing w:val="10"/>
          <w:sz w:val="22"/>
          <w:szCs w:val="22"/>
        </w:rPr>
        <w:t xml:space="preserve"> mil de personas en el tercer trimestre de 2020, lo que representa el 25.9% de la PNEA. Por su parte, la PNEA disponible para trabajar de hombres fue de 34</w:t>
      </w:r>
      <w:r w:rsidR="00291F8A" w:rsidRPr="00291F8A">
        <w:rPr>
          <w:b w:val="0"/>
          <w:spacing w:val="10"/>
          <w:sz w:val="22"/>
          <w:szCs w:val="22"/>
        </w:rPr>
        <w:t>2.9</w:t>
      </w:r>
      <w:r w:rsidRPr="00291F8A">
        <w:rPr>
          <w:b w:val="0"/>
          <w:spacing w:val="10"/>
          <w:sz w:val="22"/>
          <w:szCs w:val="22"/>
        </w:rPr>
        <w:t xml:space="preserve"> mil que equivale a 38.0% de la PNEA masculina; en contraste, la PNEA disponible para trabajar femenina fue de 498</w:t>
      </w:r>
      <w:r w:rsidR="00291F8A" w:rsidRPr="00291F8A">
        <w:rPr>
          <w:b w:val="0"/>
          <w:spacing w:val="10"/>
          <w:sz w:val="22"/>
          <w:szCs w:val="22"/>
        </w:rPr>
        <w:t>.3</w:t>
      </w:r>
      <w:r w:rsidRPr="00291F8A">
        <w:rPr>
          <w:b w:val="0"/>
          <w:spacing w:val="10"/>
          <w:sz w:val="22"/>
          <w:szCs w:val="22"/>
        </w:rPr>
        <w:t xml:space="preserve"> mil, cifra que representa el 21.3% de la PNEA femenina.</w:t>
      </w:r>
    </w:p>
    <w:p w:rsidR="00F614B1" w:rsidRDefault="00F614B1" w:rsidP="00F614B1">
      <w:pPr>
        <w:pStyle w:val="Subttulo"/>
        <w:jc w:val="both"/>
        <w:rPr>
          <w:b w:val="0"/>
          <w:spacing w:val="10"/>
          <w:sz w:val="22"/>
          <w:szCs w:val="22"/>
        </w:rPr>
      </w:pPr>
    </w:p>
    <w:p w:rsidR="00F614B1" w:rsidRDefault="00F614B1" w:rsidP="00F614B1">
      <w:pPr>
        <w:pStyle w:val="Subttulo"/>
        <w:jc w:val="both"/>
        <w:rPr>
          <w:b w:val="0"/>
          <w:bCs w:val="0"/>
          <w:spacing w:val="10"/>
          <w:sz w:val="22"/>
          <w:szCs w:val="22"/>
        </w:rPr>
      </w:pPr>
      <w:r w:rsidRPr="005B53EF">
        <w:rPr>
          <w:b w:val="0"/>
          <w:bCs w:val="0"/>
          <w:spacing w:val="10"/>
          <w:sz w:val="22"/>
          <w:szCs w:val="22"/>
        </w:rPr>
        <w:t>En términos absolutos, la PNEA disponible para trabajar aumentó en 326</w:t>
      </w:r>
      <w:r w:rsidR="005B53EF" w:rsidRPr="005B53EF">
        <w:rPr>
          <w:b w:val="0"/>
          <w:bCs w:val="0"/>
          <w:spacing w:val="10"/>
          <w:sz w:val="22"/>
          <w:szCs w:val="22"/>
        </w:rPr>
        <w:t>.3</w:t>
      </w:r>
      <w:r w:rsidRPr="005B53EF">
        <w:rPr>
          <w:b w:val="0"/>
          <w:bCs w:val="0"/>
          <w:spacing w:val="10"/>
          <w:sz w:val="22"/>
          <w:szCs w:val="22"/>
        </w:rPr>
        <w:t xml:space="preserve"> mil y la PNEA no disponible para trabajar disminuy</w:t>
      </w:r>
      <w:r w:rsidR="005B53EF" w:rsidRPr="005B53EF">
        <w:rPr>
          <w:b w:val="0"/>
          <w:bCs w:val="0"/>
          <w:spacing w:val="10"/>
          <w:sz w:val="22"/>
          <w:szCs w:val="22"/>
        </w:rPr>
        <w:t>ó</w:t>
      </w:r>
      <w:r w:rsidRPr="005B53EF">
        <w:rPr>
          <w:b w:val="0"/>
          <w:bCs w:val="0"/>
          <w:spacing w:val="10"/>
          <w:sz w:val="22"/>
          <w:szCs w:val="22"/>
        </w:rPr>
        <w:t xml:space="preserve"> en (-)23</w:t>
      </w:r>
      <w:r w:rsidR="005B53EF" w:rsidRPr="005B53EF">
        <w:rPr>
          <w:b w:val="0"/>
          <w:bCs w:val="0"/>
          <w:spacing w:val="10"/>
          <w:sz w:val="22"/>
          <w:szCs w:val="22"/>
        </w:rPr>
        <w:t>.2</w:t>
      </w:r>
      <w:r w:rsidRPr="005B53EF">
        <w:rPr>
          <w:b w:val="0"/>
          <w:bCs w:val="0"/>
          <w:spacing w:val="10"/>
          <w:sz w:val="22"/>
          <w:szCs w:val="22"/>
        </w:rPr>
        <w:t xml:space="preserve"> mil personas entre el tercer trimestre de 2019 y el mismo periodo de 2020. En los hombres, la PNEA disponible aumentó 22</w:t>
      </w:r>
      <w:r w:rsidR="005B53EF" w:rsidRPr="005B53EF">
        <w:rPr>
          <w:b w:val="0"/>
          <w:bCs w:val="0"/>
          <w:spacing w:val="10"/>
          <w:sz w:val="22"/>
          <w:szCs w:val="22"/>
        </w:rPr>
        <w:t>6.8</w:t>
      </w:r>
      <w:r w:rsidRPr="005B53EF">
        <w:rPr>
          <w:b w:val="0"/>
          <w:bCs w:val="0"/>
          <w:spacing w:val="10"/>
          <w:sz w:val="22"/>
          <w:szCs w:val="22"/>
        </w:rPr>
        <w:t xml:space="preserve"> mil y la PNEA no disponible disminuyó en (-)10</w:t>
      </w:r>
      <w:r w:rsidR="005B53EF" w:rsidRPr="005B53EF">
        <w:rPr>
          <w:b w:val="0"/>
          <w:bCs w:val="0"/>
          <w:spacing w:val="10"/>
          <w:sz w:val="22"/>
          <w:szCs w:val="22"/>
        </w:rPr>
        <w:t>3.9</w:t>
      </w:r>
      <w:r w:rsidRPr="005B53EF">
        <w:rPr>
          <w:b w:val="0"/>
          <w:bCs w:val="0"/>
          <w:spacing w:val="10"/>
          <w:sz w:val="22"/>
          <w:szCs w:val="22"/>
        </w:rPr>
        <w:t xml:space="preserve"> mil personas; mientras que en las mujeres la PNEA disponible aumentó 99</w:t>
      </w:r>
      <w:r w:rsidR="005B53EF" w:rsidRPr="005B53EF">
        <w:rPr>
          <w:b w:val="0"/>
          <w:bCs w:val="0"/>
          <w:spacing w:val="10"/>
          <w:sz w:val="22"/>
          <w:szCs w:val="22"/>
        </w:rPr>
        <w:t>.6</w:t>
      </w:r>
      <w:r w:rsidRPr="005B53EF">
        <w:rPr>
          <w:b w:val="0"/>
          <w:bCs w:val="0"/>
          <w:spacing w:val="10"/>
          <w:sz w:val="22"/>
          <w:szCs w:val="22"/>
        </w:rPr>
        <w:t xml:space="preserve"> mil y la PNEA no disponible lo hizo en 8</w:t>
      </w:r>
      <w:r w:rsidR="005B53EF" w:rsidRPr="005B53EF">
        <w:rPr>
          <w:b w:val="0"/>
          <w:bCs w:val="0"/>
          <w:spacing w:val="10"/>
          <w:sz w:val="22"/>
          <w:szCs w:val="22"/>
        </w:rPr>
        <w:t>0.7</w:t>
      </w:r>
      <w:r w:rsidRPr="005B53EF">
        <w:rPr>
          <w:b w:val="0"/>
          <w:bCs w:val="0"/>
          <w:spacing w:val="10"/>
          <w:sz w:val="22"/>
          <w:szCs w:val="22"/>
        </w:rPr>
        <w:t xml:space="preserve"> mil personas.</w:t>
      </w:r>
    </w:p>
    <w:p w:rsidR="00F614B1" w:rsidRDefault="00F614B1" w:rsidP="00F614B1">
      <w:pPr>
        <w:pStyle w:val="Subttulo"/>
        <w:jc w:val="both"/>
        <w:rPr>
          <w:b w:val="0"/>
          <w:bCs w:val="0"/>
          <w:spacing w:val="10"/>
          <w:sz w:val="22"/>
          <w:szCs w:val="22"/>
        </w:rPr>
      </w:pPr>
    </w:p>
    <w:p w:rsidR="00F614B1" w:rsidRPr="00C63172" w:rsidRDefault="00F614B1" w:rsidP="00F614B1">
      <w:pPr>
        <w:pStyle w:val="n0"/>
        <w:keepLines w:val="0"/>
        <w:spacing w:before="0"/>
        <w:ind w:left="0" w:right="49" w:firstLine="0"/>
        <w:jc w:val="left"/>
        <w:rPr>
          <w:b/>
          <w:smallCaps/>
          <w:color w:val="auto"/>
          <w:sz w:val="22"/>
          <w:szCs w:val="22"/>
        </w:rPr>
      </w:pPr>
      <w:r w:rsidRPr="00C63172">
        <w:rPr>
          <w:b/>
          <w:smallCaps/>
          <w:color w:val="auto"/>
          <w:sz w:val="22"/>
          <w:szCs w:val="22"/>
        </w:rPr>
        <w:lastRenderedPageBreak/>
        <w:t>población ocupada</w:t>
      </w:r>
    </w:p>
    <w:p w:rsidR="00F614B1" w:rsidRDefault="00F614B1" w:rsidP="00F614B1">
      <w:pPr>
        <w:pStyle w:val="Prrafodelista"/>
        <w:spacing w:after="0" w:line="240" w:lineRule="auto"/>
        <w:ind w:left="0" w:right="49"/>
        <w:jc w:val="both"/>
        <w:rPr>
          <w:rFonts w:ascii="Arial" w:hAnsi="Arial" w:cs="Arial"/>
          <w:bCs/>
          <w:spacing w:val="8"/>
        </w:rPr>
      </w:pPr>
    </w:p>
    <w:p w:rsidR="00F614B1" w:rsidRPr="00740DDF" w:rsidRDefault="00F614B1" w:rsidP="00F614B1">
      <w:pPr>
        <w:pStyle w:val="Prrafodelista"/>
        <w:spacing w:after="0" w:line="240" w:lineRule="auto"/>
        <w:ind w:left="0" w:right="49"/>
        <w:jc w:val="both"/>
        <w:rPr>
          <w:rFonts w:ascii="Arial" w:hAnsi="Arial" w:cs="Arial"/>
          <w:bCs/>
          <w:spacing w:val="8"/>
        </w:rPr>
      </w:pPr>
      <w:r w:rsidRPr="00740DDF">
        <w:rPr>
          <w:rFonts w:ascii="Arial" w:hAnsi="Arial" w:cs="Arial"/>
          <w:bCs/>
          <w:spacing w:val="8"/>
        </w:rPr>
        <w:t>Durante el tercer trimestre de 2020, la población ocupada fue de 3.</w:t>
      </w:r>
      <w:r w:rsidR="00046ED9" w:rsidRPr="00740DDF">
        <w:rPr>
          <w:rFonts w:ascii="Arial" w:hAnsi="Arial" w:cs="Arial"/>
          <w:bCs/>
          <w:spacing w:val="8"/>
        </w:rPr>
        <w:t>2</w:t>
      </w:r>
      <w:r w:rsidRPr="00740DDF">
        <w:rPr>
          <w:rFonts w:ascii="Arial" w:hAnsi="Arial" w:cs="Arial"/>
          <w:bCs/>
          <w:spacing w:val="8"/>
        </w:rPr>
        <w:t xml:space="preserve"> millones, cifra inferior en (-)5</w:t>
      </w:r>
      <w:r w:rsidR="004B380C" w:rsidRPr="00740DDF">
        <w:rPr>
          <w:rFonts w:ascii="Arial" w:hAnsi="Arial" w:cs="Arial"/>
          <w:bCs/>
          <w:spacing w:val="8"/>
        </w:rPr>
        <w:t>2.8</w:t>
      </w:r>
      <w:r w:rsidRPr="00740DDF">
        <w:rPr>
          <w:rFonts w:ascii="Arial" w:hAnsi="Arial" w:cs="Arial"/>
          <w:bCs/>
          <w:spacing w:val="8"/>
        </w:rPr>
        <w:t xml:space="preserve"> mil personas comparada con la del tercer trimestre de 2019. La población ocupada de hombres fue de 2 millones, cifra menor en (-)30</w:t>
      </w:r>
      <w:r w:rsidR="004B380C" w:rsidRPr="00740DDF">
        <w:rPr>
          <w:rFonts w:ascii="Arial" w:hAnsi="Arial" w:cs="Arial"/>
          <w:bCs/>
          <w:spacing w:val="8"/>
        </w:rPr>
        <w:t>.4</w:t>
      </w:r>
      <w:r w:rsidRPr="00740DDF">
        <w:rPr>
          <w:rFonts w:ascii="Arial" w:hAnsi="Arial" w:cs="Arial"/>
          <w:bCs/>
          <w:spacing w:val="8"/>
        </w:rPr>
        <w:t xml:space="preserve"> mil y la población ocupada de mujeres fue de 1.</w:t>
      </w:r>
      <w:r w:rsidR="00046ED9" w:rsidRPr="00740DDF">
        <w:rPr>
          <w:rFonts w:ascii="Arial" w:hAnsi="Arial" w:cs="Arial"/>
          <w:bCs/>
          <w:spacing w:val="8"/>
        </w:rPr>
        <w:t>2</w:t>
      </w:r>
      <w:r w:rsidRPr="00740DDF">
        <w:rPr>
          <w:rFonts w:ascii="Arial" w:hAnsi="Arial" w:cs="Arial"/>
          <w:bCs/>
          <w:spacing w:val="8"/>
        </w:rPr>
        <w:t xml:space="preserve"> millones, (-)22</w:t>
      </w:r>
      <w:r w:rsidR="004B380C" w:rsidRPr="00740DDF">
        <w:rPr>
          <w:rFonts w:ascii="Arial" w:hAnsi="Arial" w:cs="Arial"/>
          <w:bCs/>
          <w:spacing w:val="8"/>
        </w:rPr>
        <w:t>.4</w:t>
      </w:r>
      <w:r w:rsidRPr="00740DDF">
        <w:rPr>
          <w:rFonts w:ascii="Arial" w:hAnsi="Arial" w:cs="Arial"/>
          <w:bCs/>
          <w:spacing w:val="8"/>
        </w:rPr>
        <w:t xml:space="preserve"> mil menos en el mismo periodo de comparación.</w:t>
      </w:r>
    </w:p>
    <w:p w:rsidR="00F614B1" w:rsidRDefault="00F614B1" w:rsidP="00F614B1">
      <w:pPr>
        <w:pStyle w:val="Prrafodelista"/>
        <w:spacing w:after="0" w:line="240" w:lineRule="auto"/>
        <w:ind w:left="0" w:right="49"/>
        <w:jc w:val="both"/>
        <w:rPr>
          <w:rFonts w:ascii="Arial" w:hAnsi="Arial" w:cs="Arial"/>
          <w:bCs/>
          <w:spacing w:val="8"/>
        </w:rPr>
      </w:pPr>
    </w:p>
    <w:p w:rsidR="00F614B1" w:rsidRPr="002546B8" w:rsidRDefault="00F614B1" w:rsidP="00F614B1">
      <w:pPr>
        <w:pStyle w:val="Prrafodelista"/>
        <w:spacing w:after="0" w:line="240" w:lineRule="auto"/>
        <w:ind w:left="0" w:right="49"/>
        <w:jc w:val="both"/>
        <w:rPr>
          <w:rFonts w:ascii="Arial" w:hAnsi="Arial" w:cs="Arial"/>
          <w:bCs/>
          <w:spacing w:val="8"/>
        </w:rPr>
      </w:pPr>
      <w:r w:rsidRPr="002546B8">
        <w:rPr>
          <w:rFonts w:ascii="Arial" w:hAnsi="Arial" w:cs="Arial"/>
          <w:bCs/>
          <w:spacing w:val="8"/>
        </w:rPr>
        <w:t>En términos porcentuales, la variación anual de la población ocupada al tercer trimestre de 2020 fue de (-)1.6%, siendo mayor la disminución en la población ocupada de mujeres con (-)1.9%, comparada con la variación de la población ocupada de hombres con (-)1.5 por ciento.</w:t>
      </w:r>
    </w:p>
    <w:p w:rsidR="00F614B1" w:rsidRPr="007E0EED" w:rsidRDefault="00F614B1" w:rsidP="00F614B1">
      <w:pPr>
        <w:pStyle w:val="Prrafodelista"/>
        <w:spacing w:after="0" w:line="240" w:lineRule="auto"/>
        <w:ind w:left="0" w:right="49"/>
        <w:jc w:val="both"/>
        <w:rPr>
          <w:rFonts w:ascii="Arial" w:hAnsi="Arial" w:cs="Arial"/>
          <w:bCs/>
          <w:spacing w:val="8"/>
          <w:sz w:val="20"/>
          <w:szCs w:val="20"/>
        </w:rPr>
      </w:pPr>
    </w:p>
    <w:p w:rsidR="00F614B1" w:rsidRPr="00B5576B" w:rsidRDefault="00F614B1" w:rsidP="00F614B1">
      <w:pPr>
        <w:pStyle w:val="n0"/>
        <w:keepLines w:val="0"/>
        <w:spacing w:before="0"/>
        <w:ind w:left="0" w:right="49" w:firstLine="0"/>
        <w:jc w:val="center"/>
        <w:rPr>
          <w:b/>
          <w:smallCaps/>
          <w:color w:val="auto"/>
          <w:sz w:val="22"/>
          <w:szCs w:val="22"/>
        </w:rPr>
      </w:pPr>
      <w:r>
        <w:rPr>
          <w:b/>
          <w:smallCaps/>
          <w:color w:val="auto"/>
          <w:sz w:val="22"/>
          <w:szCs w:val="22"/>
        </w:rPr>
        <w:t>Gráfico 2. Población ocupada por sexo</w:t>
      </w:r>
      <w:r w:rsidRPr="00B5576B">
        <w:rPr>
          <w:b/>
          <w:smallCaps/>
          <w:color w:val="auto"/>
          <w:sz w:val="22"/>
          <w:szCs w:val="22"/>
        </w:rPr>
        <w:t xml:space="preserve"> </w:t>
      </w:r>
      <w:r>
        <w:rPr>
          <w:b/>
          <w:smallCaps/>
          <w:color w:val="auto"/>
          <w:sz w:val="22"/>
          <w:szCs w:val="22"/>
        </w:rPr>
        <w:t>EN</w:t>
      </w:r>
      <w:r w:rsidRPr="00B5576B">
        <w:rPr>
          <w:b/>
          <w:smallCaps/>
          <w:color w:val="auto"/>
          <w:sz w:val="22"/>
          <w:szCs w:val="22"/>
        </w:rPr>
        <w:t>OE</w:t>
      </w:r>
      <w:r>
        <w:rPr>
          <w:b/>
          <w:smallCaps/>
          <w:color w:val="auto"/>
          <w:sz w:val="22"/>
          <w:szCs w:val="22"/>
          <w:vertAlign w:val="superscript"/>
        </w:rPr>
        <w:t>N</w:t>
      </w:r>
      <w:r w:rsidRPr="00B5576B">
        <w:rPr>
          <w:b/>
          <w:smallCaps/>
          <w:color w:val="auto"/>
          <w:sz w:val="22"/>
          <w:szCs w:val="22"/>
        </w:rPr>
        <w:t xml:space="preserve"> a</w:t>
      </w:r>
      <w:r>
        <w:rPr>
          <w:b/>
          <w:smallCaps/>
          <w:color w:val="auto"/>
          <w:sz w:val="22"/>
          <w:szCs w:val="22"/>
        </w:rPr>
        <w:t>l tercer trimestre</w:t>
      </w:r>
      <w:r w:rsidRPr="00B5576B">
        <w:rPr>
          <w:b/>
          <w:smallCaps/>
          <w:color w:val="auto"/>
          <w:sz w:val="22"/>
          <w:szCs w:val="22"/>
        </w:rPr>
        <w:t xml:space="preserve"> de 2020</w:t>
      </w:r>
      <w:r>
        <w:rPr>
          <w:b/>
          <w:smallCaps/>
          <w:color w:val="auto"/>
          <w:sz w:val="22"/>
          <w:szCs w:val="22"/>
        </w:rPr>
        <w:t xml:space="preserve"> </w:t>
      </w:r>
    </w:p>
    <w:p w:rsidR="00F614B1" w:rsidRPr="00674B11" w:rsidRDefault="00F614B1" w:rsidP="00F614B1">
      <w:pPr>
        <w:pStyle w:val="n0"/>
        <w:keepLines w:val="0"/>
        <w:spacing w:before="0"/>
        <w:ind w:left="0" w:right="49" w:firstLine="0"/>
        <w:jc w:val="center"/>
        <w:rPr>
          <w:b/>
          <w:smallCaps/>
          <w:color w:val="auto"/>
          <w:sz w:val="22"/>
          <w:szCs w:val="22"/>
        </w:rPr>
      </w:pPr>
      <w:r w:rsidRPr="00674B11">
        <w:rPr>
          <w:b/>
          <w:smallCaps/>
          <w:color w:val="auto"/>
          <w:sz w:val="22"/>
          <w:szCs w:val="22"/>
        </w:rPr>
        <w:t>(millones de personas)</w:t>
      </w:r>
    </w:p>
    <w:p w:rsidR="00F614B1" w:rsidRDefault="00F614B1" w:rsidP="00F614B1">
      <w:pPr>
        <w:pStyle w:val="n0"/>
        <w:keepLines w:val="0"/>
        <w:spacing w:before="0"/>
        <w:ind w:left="0" w:right="49" w:firstLine="0"/>
        <w:jc w:val="center"/>
        <w:rPr>
          <w:b/>
          <w:smallCaps/>
          <w:color w:val="auto"/>
          <w:sz w:val="22"/>
          <w:szCs w:val="22"/>
        </w:rPr>
      </w:pPr>
      <w:r w:rsidRPr="000C73EB">
        <w:rPr>
          <w:b/>
          <w:smallCaps/>
          <w:color w:val="auto"/>
          <w:sz w:val="22"/>
          <w:szCs w:val="22"/>
        </w:rPr>
        <w:t xml:space="preserve">ENOE </w:t>
      </w:r>
      <w:r>
        <w:rPr>
          <w:b/>
          <w:smallCaps/>
          <w:color w:val="auto"/>
          <w:sz w:val="22"/>
          <w:szCs w:val="22"/>
        </w:rPr>
        <w:t>tercero y cuarto trimestre</w:t>
      </w:r>
      <w:r w:rsidRPr="000C73EB">
        <w:rPr>
          <w:b/>
          <w:smallCaps/>
          <w:color w:val="auto"/>
          <w:sz w:val="22"/>
          <w:szCs w:val="22"/>
        </w:rPr>
        <w:t xml:space="preserve"> </w:t>
      </w:r>
      <w:r>
        <w:rPr>
          <w:b/>
          <w:smallCaps/>
          <w:color w:val="auto"/>
          <w:sz w:val="22"/>
          <w:szCs w:val="22"/>
        </w:rPr>
        <w:t xml:space="preserve">de </w:t>
      </w:r>
      <w:r w:rsidRPr="000C73EB">
        <w:rPr>
          <w:b/>
          <w:smallCaps/>
          <w:color w:val="auto"/>
          <w:sz w:val="22"/>
          <w:szCs w:val="22"/>
        </w:rPr>
        <w:t xml:space="preserve">2019 y </w:t>
      </w:r>
      <w:r>
        <w:rPr>
          <w:b/>
          <w:smallCaps/>
          <w:color w:val="auto"/>
          <w:sz w:val="22"/>
          <w:szCs w:val="22"/>
        </w:rPr>
        <w:t xml:space="preserve">primer trimestre de </w:t>
      </w:r>
      <w:r w:rsidRPr="000C73EB">
        <w:rPr>
          <w:b/>
          <w:smallCaps/>
          <w:color w:val="auto"/>
          <w:sz w:val="22"/>
          <w:szCs w:val="22"/>
        </w:rPr>
        <w:t>2020</w:t>
      </w:r>
    </w:p>
    <w:p w:rsidR="00F614B1" w:rsidRDefault="00C64021" w:rsidP="00F614B1">
      <w:pPr>
        <w:pStyle w:val="Prrafodelista"/>
        <w:spacing w:after="0" w:line="240" w:lineRule="auto"/>
        <w:ind w:left="0" w:right="49"/>
        <w:jc w:val="center"/>
        <w:rPr>
          <w:rFonts w:ascii="Arial" w:hAnsi="Arial" w:cs="Arial"/>
          <w:bCs/>
          <w:spacing w:val="8"/>
        </w:rPr>
      </w:pPr>
      <w:r>
        <w:rPr>
          <w:rFonts w:ascii="Arial" w:hAnsi="Arial" w:cs="Arial"/>
          <w:bCs/>
          <w:noProof/>
          <w:spacing w:val="8"/>
          <w:sz w:val="16"/>
          <w:szCs w:val="16"/>
          <w:lang w:eastAsia="es-MX"/>
        </w:rPr>
        <w:drawing>
          <wp:inline distT="0" distB="0" distL="0" distR="0" wp14:anchorId="2846A997" wp14:editId="39E4D50E">
            <wp:extent cx="4578350" cy="3389630"/>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8350" cy="3389630"/>
                    </a:xfrm>
                    <a:prstGeom prst="rect">
                      <a:avLst/>
                    </a:prstGeom>
                    <a:noFill/>
                  </pic:spPr>
                </pic:pic>
              </a:graphicData>
            </a:graphic>
          </wp:inline>
        </w:drawing>
      </w:r>
    </w:p>
    <w:p w:rsidR="00F614B1" w:rsidRDefault="00F614B1" w:rsidP="00F614B1">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rsidR="00F614B1" w:rsidRDefault="00F614B1" w:rsidP="00F614B1">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F614B1" w:rsidRDefault="00F614B1" w:rsidP="00F614B1">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F614B1" w:rsidRPr="007E0EED" w:rsidRDefault="00F614B1" w:rsidP="00F614B1">
      <w:pPr>
        <w:pStyle w:val="Prrafodelista"/>
        <w:spacing w:after="0" w:line="240" w:lineRule="auto"/>
        <w:ind w:left="0" w:right="49"/>
        <w:jc w:val="both"/>
        <w:rPr>
          <w:rFonts w:ascii="Arial" w:hAnsi="Arial" w:cs="Arial"/>
          <w:bCs/>
          <w:spacing w:val="8"/>
          <w:sz w:val="16"/>
          <w:szCs w:val="16"/>
        </w:rPr>
      </w:pPr>
    </w:p>
    <w:p w:rsidR="00F614B1" w:rsidRPr="007E0EED" w:rsidRDefault="00F614B1" w:rsidP="00F614B1">
      <w:pPr>
        <w:pStyle w:val="Prrafodelista"/>
        <w:spacing w:after="0" w:line="240" w:lineRule="auto"/>
        <w:ind w:left="0" w:right="49"/>
        <w:jc w:val="both"/>
        <w:rPr>
          <w:rFonts w:ascii="Arial" w:hAnsi="Arial" w:cs="Arial"/>
          <w:bCs/>
          <w:spacing w:val="8"/>
          <w:sz w:val="16"/>
          <w:szCs w:val="16"/>
        </w:rPr>
      </w:pPr>
    </w:p>
    <w:p w:rsidR="00F614B1" w:rsidRPr="00740DDF" w:rsidRDefault="00F614B1" w:rsidP="00F614B1">
      <w:pPr>
        <w:pStyle w:val="Prrafodelista"/>
        <w:spacing w:after="0" w:line="240" w:lineRule="auto"/>
        <w:ind w:left="0" w:right="49"/>
        <w:jc w:val="both"/>
        <w:rPr>
          <w:rFonts w:ascii="Arial" w:hAnsi="Arial" w:cs="Arial"/>
          <w:bCs/>
          <w:spacing w:val="8"/>
        </w:rPr>
      </w:pPr>
      <w:r w:rsidRPr="00740DDF">
        <w:rPr>
          <w:rFonts w:ascii="Arial" w:hAnsi="Arial" w:cs="Arial"/>
          <w:bCs/>
          <w:spacing w:val="8"/>
        </w:rPr>
        <w:t>La distribución según su posición en la ocupación indica que los trabajadores subordinados y remunerados concentraron 64.3% del total de la población ocupada y los trabajadores por cuenta propia representaron 28.4% para el tercer trimestre de este año. Estos son los dos grupos ocupacionales más relevantes y en términos absolutos entre el tercer trimestre de 2019 y el mismo periodo de 2020; los trabajadores subordinados y remunerados registraron un aumento de 29</w:t>
      </w:r>
      <w:r w:rsidR="00740DDF" w:rsidRPr="00740DDF">
        <w:rPr>
          <w:rFonts w:ascii="Arial" w:hAnsi="Arial" w:cs="Arial"/>
          <w:bCs/>
          <w:spacing w:val="8"/>
        </w:rPr>
        <w:t>.1</w:t>
      </w:r>
      <w:r w:rsidRPr="00740DDF">
        <w:rPr>
          <w:rFonts w:ascii="Arial" w:hAnsi="Arial" w:cs="Arial"/>
          <w:bCs/>
          <w:spacing w:val="8"/>
        </w:rPr>
        <w:t xml:space="preserve"> mil y los trabajadores por cuenta propia </w:t>
      </w:r>
      <w:r w:rsidR="00740DDF" w:rsidRPr="00740DDF">
        <w:rPr>
          <w:rFonts w:ascii="Arial" w:hAnsi="Arial" w:cs="Arial"/>
          <w:bCs/>
          <w:spacing w:val="8"/>
        </w:rPr>
        <w:t xml:space="preserve">una disminución </w:t>
      </w:r>
      <w:r w:rsidRPr="00740DDF">
        <w:rPr>
          <w:rFonts w:ascii="Arial" w:hAnsi="Arial" w:cs="Arial"/>
          <w:bCs/>
          <w:spacing w:val="8"/>
        </w:rPr>
        <w:t>de (-)1</w:t>
      </w:r>
      <w:r w:rsidR="00740DDF" w:rsidRPr="00740DDF">
        <w:rPr>
          <w:rFonts w:ascii="Arial" w:hAnsi="Arial" w:cs="Arial"/>
          <w:bCs/>
          <w:spacing w:val="8"/>
        </w:rPr>
        <w:t>5.8</w:t>
      </w:r>
      <w:r w:rsidRPr="00740DDF">
        <w:rPr>
          <w:rFonts w:ascii="Arial" w:hAnsi="Arial" w:cs="Arial"/>
          <w:bCs/>
          <w:spacing w:val="8"/>
        </w:rPr>
        <w:t xml:space="preserve"> mil personas; lo cual equivale a una variación anual de 1.4% en los trabajadores subordinados y remunerados y de (-)1.7 por ciento en los trabajadores por cuenta propia.</w:t>
      </w:r>
    </w:p>
    <w:p w:rsidR="00F614B1" w:rsidRDefault="00F614B1" w:rsidP="00F614B1">
      <w:pPr>
        <w:pStyle w:val="Prrafodelista"/>
        <w:spacing w:after="0" w:line="240" w:lineRule="auto"/>
        <w:ind w:left="0" w:right="49"/>
        <w:jc w:val="both"/>
        <w:rPr>
          <w:rFonts w:ascii="Arial" w:hAnsi="Arial" w:cs="Arial"/>
          <w:bCs/>
          <w:spacing w:val="8"/>
        </w:rPr>
      </w:pPr>
    </w:p>
    <w:p w:rsidR="00F614B1" w:rsidRDefault="00F614B1" w:rsidP="00F614B1">
      <w:pPr>
        <w:pStyle w:val="Prrafodelista"/>
        <w:spacing w:after="0" w:line="240" w:lineRule="auto"/>
        <w:ind w:left="0" w:right="49"/>
        <w:jc w:val="both"/>
        <w:rPr>
          <w:rFonts w:ascii="Arial" w:hAnsi="Arial" w:cs="Arial"/>
          <w:bCs/>
          <w:spacing w:val="8"/>
        </w:rPr>
      </w:pPr>
      <w:r w:rsidRPr="00CA50C3">
        <w:rPr>
          <w:rFonts w:ascii="Arial" w:hAnsi="Arial" w:cs="Arial"/>
          <w:bCs/>
          <w:spacing w:val="8"/>
        </w:rPr>
        <w:t>Los porcentajes de trabajadores subordinados y remunerados según sexo fueron de 65.9% en los hombres y de 61.6% en las mujeres durante el tercer trimestre de 2020; con un incremento anual de 3</w:t>
      </w:r>
      <w:r w:rsidR="00CA50C3" w:rsidRPr="00CA50C3">
        <w:rPr>
          <w:rFonts w:ascii="Arial" w:hAnsi="Arial" w:cs="Arial"/>
          <w:bCs/>
          <w:spacing w:val="8"/>
        </w:rPr>
        <w:t>8.5</w:t>
      </w:r>
      <w:r w:rsidRPr="00CA50C3">
        <w:rPr>
          <w:rFonts w:ascii="Arial" w:hAnsi="Arial" w:cs="Arial"/>
          <w:bCs/>
          <w:spacing w:val="8"/>
        </w:rPr>
        <w:t xml:space="preserve"> mil y un decremento de (-)9</w:t>
      </w:r>
      <w:r w:rsidR="00CA50C3" w:rsidRPr="00CA50C3">
        <w:rPr>
          <w:rFonts w:ascii="Arial" w:hAnsi="Arial" w:cs="Arial"/>
          <w:bCs/>
          <w:spacing w:val="8"/>
        </w:rPr>
        <w:t>.4</w:t>
      </w:r>
      <w:r w:rsidRPr="00CA50C3">
        <w:rPr>
          <w:rFonts w:ascii="Arial" w:hAnsi="Arial" w:cs="Arial"/>
          <w:bCs/>
          <w:spacing w:val="8"/>
        </w:rPr>
        <w:t xml:space="preserve"> mil, respectivamente. Por su parte, los trabajadores por cuenta propia en los hombres constituyen 27.7% y en las mujeres 29.7 por ciento; con una disminución de (-)</w:t>
      </w:r>
      <w:r w:rsidR="00CA50C3" w:rsidRPr="00CA50C3">
        <w:rPr>
          <w:rFonts w:ascii="Arial" w:hAnsi="Arial" w:cs="Arial"/>
          <w:bCs/>
          <w:spacing w:val="8"/>
        </w:rPr>
        <w:t>2</w:t>
      </w:r>
      <w:r w:rsidRPr="00CA50C3">
        <w:rPr>
          <w:rFonts w:ascii="Arial" w:hAnsi="Arial" w:cs="Arial"/>
          <w:bCs/>
          <w:spacing w:val="8"/>
        </w:rPr>
        <w:t xml:space="preserve"> mil en los hombres y de</w:t>
      </w:r>
      <w:r w:rsidR="00CA50C3" w:rsidRPr="00CA50C3">
        <w:rPr>
          <w:rFonts w:ascii="Arial" w:hAnsi="Arial" w:cs="Arial"/>
          <w:bCs/>
          <w:spacing w:val="8"/>
        </w:rPr>
        <w:br/>
      </w:r>
      <w:r w:rsidRPr="00CA50C3">
        <w:rPr>
          <w:rFonts w:ascii="Arial" w:hAnsi="Arial" w:cs="Arial"/>
          <w:bCs/>
          <w:spacing w:val="8"/>
        </w:rPr>
        <w:t>(-)1</w:t>
      </w:r>
      <w:r w:rsidR="00CA50C3" w:rsidRPr="00CA50C3">
        <w:rPr>
          <w:rFonts w:ascii="Arial" w:hAnsi="Arial" w:cs="Arial"/>
          <w:bCs/>
          <w:spacing w:val="8"/>
        </w:rPr>
        <w:t>3.8</w:t>
      </w:r>
      <w:r w:rsidRPr="00CA50C3">
        <w:rPr>
          <w:rFonts w:ascii="Arial" w:hAnsi="Arial" w:cs="Arial"/>
          <w:bCs/>
          <w:spacing w:val="8"/>
        </w:rPr>
        <w:t xml:space="preserve"> mil en las mujeres entre el tercer trimestre de 2019 e igual trimestre de 2020.</w:t>
      </w:r>
    </w:p>
    <w:p w:rsidR="00F614B1" w:rsidRDefault="00F614B1" w:rsidP="00F614B1">
      <w:pPr>
        <w:pStyle w:val="Prrafodelista"/>
        <w:spacing w:after="0" w:line="240" w:lineRule="auto"/>
        <w:ind w:left="0" w:right="49"/>
        <w:jc w:val="both"/>
        <w:rPr>
          <w:rFonts w:ascii="Arial" w:hAnsi="Arial" w:cs="Arial"/>
          <w:b/>
          <w:smallCaps/>
        </w:rPr>
      </w:pPr>
    </w:p>
    <w:p w:rsidR="00F614B1" w:rsidRDefault="00F614B1" w:rsidP="00F614B1">
      <w:pPr>
        <w:spacing w:after="0" w:line="240" w:lineRule="auto"/>
        <w:contextualSpacing/>
        <w:jc w:val="center"/>
        <w:rPr>
          <w:rFonts w:ascii="Arial" w:hAnsi="Arial" w:cs="Arial"/>
          <w:b/>
          <w:smallCaps/>
        </w:rPr>
      </w:pPr>
      <w:r w:rsidRPr="000C73EB">
        <w:rPr>
          <w:rFonts w:ascii="Arial" w:hAnsi="Arial" w:cs="Arial"/>
          <w:b/>
          <w:smallCaps/>
        </w:rPr>
        <w:t xml:space="preserve">Población ocupada según posición en la ocupación </w:t>
      </w:r>
      <w:r>
        <w:rPr>
          <w:rFonts w:ascii="Arial" w:hAnsi="Arial" w:cs="Arial"/>
          <w:b/>
          <w:smallCaps/>
        </w:rPr>
        <w:t>y sexo</w:t>
      </w:r>
    </w:p>
    <w:p w:rsidR="00F614B1" w:rsidRPr="000C73EB" w:rsidRDefault="00F614B1" w:rsidP="00F614B1">
      <w:pPr>
        <w:spacing w:after="0" w:line="240" w:lineRule="auto"/>
        <w:contextualSpacing/>
        <w:jc w:val="center"/>
        <w:rPr>
          <w:rFonts w:ascii="Arial" w:hAnsi="Arial" w:cs="Arial"/>
          <w:b/>
          <w:smallCaps/>
        </w:rPr>
      </w:pPr>
      <w:r w:rsidRPr="000C73EB">
        <w:rPr>
          <w:rFonts w:ascii="Arial" w:hAnsi="Arial" w:cs="Arial"/>
          <w:b/>
          <w:smallCaps/>
        </w:rPr>
        <w:t xml:space="preserve">durante </w:t>
      </w:r>
      <w:r>
        <w:rPr>
          <w:rFonts w:ascii="Arial" w:hAnsi="Arial" w:cs="Arial"/>
          <w:b/>
          <w:smallCaps/>
        </w:rPr>
        <w:t>el tercer trimestre</w:t>
      </w:r>
      <w:r w:rsidRPr="000C73EB">
        <w:rPr>
          <w:rFonts w:ascii="Arial" w:hAnsi="Arial" w:cs="Arial"/>
          <w:b/>
          <w:smallCaps/>
        </w:rPr>
        <w:t xml:space="preserve"> de 2020</w:t>
      </w:r>
    </w:p>
    <w:p w:rsidR="00F614B1" w:rsidRPr="00E33F09" w:rsidRDefault="00F614B1" w:rsidP="00F614B1">
      <w:pPr>
        <w:spacing w:after="0" w:line="240" w:lineRule="auto"/>
        <w:contextualSpacing/>
        <w:jc w:val="center"/>
        <w:rPr>
          <w:rFonts w:ascii="Arial" w:hAnsi="Arial" w:cs="Arial"/>
          <w:smallCaps/>
          <w:sz w:val="18"/>
          <w:szCs w:val="18"/>
        </w:rPr>
      </w:pPr>
      <w:r w:rsidRPr="00E33F09">
        <w:rPr>
          <w:rFonts w:ascii="Arial" w:hAnsi="Arial" w:cs="Arial"/>
          <w:smallCaps/>
          <w:sz w:val="18"/>
          <w:szCs w:val="18"/>
        </w:rPr>
        <w:t>(Porcentaje)</w:t>
      </w:r>
    </w:p>
    <w:p w:rsidR="00F614B1" w:rsidRDefault="00F614B1" w:rsidP="00F614B1">
      <w:pPr>
        <w:spacing w:after="0" w:line="240" w:lineRule="auto"/>
        <w:ind w:right="51"/>
        <w:jc w:val="center"/>
        <w:rPr>
          <w:rFonts w:ascii="Arial" w:hAnsi="Arial" w:cs="Arial"/>
          <w:smallCaps/>
        </w:rPr>
      </w:pPr>
      <w:r w:rsidRPr="00307B29">
        <w:rPr>
          <w:noProof/>
          <w:lang w:eastAsia="es-MX"/>
        </w:rPr>
        <w:drawing>
          <wp:inline distT="0" distB="0" distL="0" distR="0" wp14:anchorId="30FBC591" wp14:editId="45D71751">
            <wp:extent cx="5760720" cy="2931927"/>
            <wp:effectExtent l="0" t="0" r="0" b="190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2931927"/>
                    </a:xfrm>
                    <a:prstGeom prst="rect">
                      <a:avLst/>
                    </a:prstGeom>
                    <a:noFill/>
                    <a:ln>
                      <a:noFill/>
                    </a:ln>
                  </pic:spPr>
                </pic:pic>
              </a:graphicData>
            </a:graphic>
          </wp:inline>
        </w:drawing>
      </w:r>
    </w:p>
    <w:p w:rsidR="00F614B1" w:rsidRDefault="00F614B1" w:rsidP="00F614B1">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F614B1" w:rsidRDefault="00F614B1" w:rsidP="00F614B1">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F614B1" w:rsidRDefault="00F614B1" w:rsidP="00F614B1">
      <w:pPr>
        <w:pStyle w:val="Prrafodelista"/>
        <w:spacing w:after="0" w:line="240" w:lineRule="auto"/>
        <w:ind w:left="0" w:right="49"/>
        <w:jc w:val="both"/>
        <w:rPr>
          <w:rFonts w:ascii="Arial" w:hAnsi="Arial" w:cs="Arial"/>
          <w:bCs/>
          <w:spacing w:val="8"/>
        </w:rPr>
      </w:pPr>
    </w:p>
    <w:p w:rsidR="00F614B1" w:rsidRDefault="00F614B1" w:rsidP="00F614B1">
      <w:pPr>
        <w:pStyle w:val="Prrafodelista"/>
        <w:spacing w:after="0" w:line="240" w:lineRule="auto"/>
        <w:ind w:left="0" w:right="49"/>
        <w:jc w:val="both"/>
        <w:rPr>
          <w:rFonts w:ascii="Arial" w:hAnsi="Arial" w:cs="Arial"/>
          <w:bCs/>
          <w:spacing w:val="8"/>
        </w:rPr>
      </w:pPr>
    </w:p>
    <w:p w:rsidR="00F614B1" w:rsidRPr="00390BDE" w:rsidRDefault="00F614B1" w:rsidP="00F614B1">
      <w:pPr>
        <w:pStyle w:val="Prrafodelista"/>
        <w:spacing w:after="0" w:line="240" w:lineRule="auto"/>
        <w:ind w:left="0" w:right="49"/>
        <w:jc w:val="both"/>
        <w:rPr>
          <w:rFonts w:ascii="Arial" w:hAnsi="Arial" w:cs="Arial"/>
          <w:bCs/>
          <w:spacing w:val="8"/>
        </w:rPr>
      </w:pPr>
      <w:r w:rsidRPr="00390BDE">
        <w:rPr>
          <w:rFonts w:ascii="Arial" w:hAnsi="Arial" w:cs="Arial"/>
          <w:bCs/>
          <w:spacing w:val="8"/>
        </w:rPr>
        <w:t>La estructura sectorial de la ocupación reporta que las actividades terciarias siguen concentrando la mayor parte de la población ocupada, con una participación del 6</w:t>
      </w:r>
      <w:r>
        <w:rPr>
          <w:rFonts w:ascii="Arial" w:hAnsi="Arial" w:cs="Arial"/>
          <w:bCs/>
          <w:spacing w:val="8"/>
        </w:rPr>
        <w:t>2</w:t>
      </w:r>
      <w:r w:rsidRPr="00390BDE">
        <w:rPr>
          <w:rFonts w:ascii="Arial" w:hAnsi="Arial" w:cs="Arial"/>
          <w:bCs/>
          <w:spacing w:val="8"/>
        </w:rPr>
        <w:t>.</w:t>
      </w:r>
      <w:r>
        <w:rPr>
          <w:rFonts w:ascii="Arial" w:hAnsi="Arial" w:cs="Arial"/>
          <w:bCs/>
          <w:spacing w:val="8"/>
        </w:rPr>
        <w:t>3</w:t>
      </w:r>
      <w:r w:rsidRPr="00390BDE">
        <w:rPr>
          <w:rFonts w:ascii="Arial" w:hAnsi="Arial" w:cs="Arial"/>
          <w:bCs/>
          <w:spacing w:val="8"/>
        </w:rPr>
        <w:t>% en el tercer trimestre de 2020 y un</w:t>
      </w:r>
      <w:r>
        <w:rPr>
          <w:rFonts w:ascii="Arial" w:hAnsi="Arial" w:cs="Arial"/>
          <w:bCs/>
          <w:spacing w:val="8"/>
        </w:rPr>
        <w:t xml:space="preserve"> incremento</w:t>
      </w:r>
      <w:r w:rsidRPr="00390BDE">
        <w:rPr>
          <w:rFonts w:ascii="Arial" w:hAnsi="Arial" w:cs="Arial"/>
          <w:bCs/>
          <w:spacing w:val="8"/>
        </w:rPr>
        <w:t xml:space="preserve"> en términos absolutos de </w:t>
      </w:r>
      <w:r>
        <w:rPr>
          <w:rFonts w:ascii="Arial" w:hAnsi="Arial" w:cs="Arial"/>
          <w:bCs/>
          <w:spacing w:val="8"/>
        </w:rPr>
        <w:t>65</w:t>
      </w:r>
      <w:r w:rsidR="003B3119">
        <w:rPr>
          <w:rFonts w:ascii="Arial" w:hAnsi="Arial" w:cs="Arial"/>
          <w:bCs/>
          <w:spacing w:val="8"/>
        </w:rPr>
        <w:t>.4</w:t>
      </w:r>
      <w:r w:rsidRPr="00390BDE">
        <w:rPr>
          <w:rFonts w:ascii="Arial" w:hAnsi="Arial" w:cs="Arial"/>
          <w:bCs/>
          <w:spacing w:val="8"/>
        </w:rPr>
        <w:t xml:space="preserve"> mil personas respecto al tercer trimestre de 2019, lo que signi</w:t>
      </w:r>
      <w:r>
        <w:rPr>
          <w:rFonts w:ascii="Arial" w:hAnsi="Arial" w:cs="Arial"/>
          <w:bCs/>
          <w:spacing w:val="8"/>
        </w:rPr>
        <w:t>fica una variación anual del 3</w:t>
      </w:r>
      <w:r w:rsidRPr="00390BDE">
        <w:rPr>
          <w:rFonts w:ascii="Arial" w:hAnsi="Arial" w:cs="Arial"/>
          <w:bCs/>
          <w:spacing w:val="8"/>
        </w:rPr>
        <w:t>.</w:t>
      </w:r>
      <w:r>
        <w:rPr>
          <w:rFonts w:ascii="Arial" w:hAnsi="Arial" w:cs="Arial"/>
          <w:bCs/>
          <w:spacing w:val="8"/>
        </w:rPr>
        <w:t>4</w:t>
      </w:r>
      <w:r w:rsidRPr="00390BDE">
        <w:rPr>
          <w:rFonts w:ascii="Arial" w:hAnsi="Arial" w:cs="Arial"/>
          <w:bCs/>
          <w:spacing w:val="8"/>
        </w:rPr>
        <w:t xml:space="preserve"> por ciento.</w:t>
      </w:r>
    </w:p>
    <w:p w:rsidR="00F614B1" w:rsidRPr="00390BDE" w:rsidRDefault="00F614B1" w:rsidP="00F614B1">
      <w:pPr>
        <w:pStyle w:val="Prrafodelista"/>
        <w:spacing w:after="0" w:line="240" w:lineRule="auto"/>
        <w:ind w:left="0" w:right="49"/>
        <w:jc w:val="both"/>
        <w:rPr>
          <w:rFonts w:ascii="Arial" w:hAnsi="Arial" w:cs="Arial"/>
          <w:bCs/>
          <w:spacing w:val="8"/>
        </w:rPr>
      </w:pPr>
    </w:p>
    <w:p w:rsidR="00F614B1" w:rsidRPr="00390BDE" w:rsidRDefault="00F614B1" w:rsidP="00F614B1">
      <w:pPr>
        <w:pStyle w:val="Prrafodelista"/>
        <w:spacing w:after="0" w:line="240" w:lineRule="auto"/>
        <w:ind w:left="0" w:right="49"/>
        <w:jc w:val="both"/>
        <w:rPr>
          <w:rFonts w:ascii="Arial" w:hAnsi="Arial" w:cs="Arial"/>
          <w:bCs/>
          <w:spacing w:val="8"/>
        </w:rPr>
      </w:pPr>
      <w:r w:rsidRPr="00390BDE">
        <w:rPr>
          <w:rFonts w:ascii="Arial" w:hAnsi="Arial" w:cs="Arial"/>
          <w:bCs/>
          <w:spacing w:val="8"/>
        </w:rPr>
        <w:t xml:space="preserve">El sector de restaurantes y servicios de alojamiento con una participación de </w:t>
      </w:r>
      <w:r w:rsidR="003B3119" w:rsidRPr="00066757">
        <w:rPr>
          <w:rFonts w:ascii="Arial" w:hAnsi="Arial" w:cs="Arial"/>
          <w:bCs/>
          <w:spacing w:val="8"/>
        </w:rPr>
        <w:t>10.2</w:t>
      </w:r>
      <w:r w:rsidRPr="00066757">
        <w:rPr>
          <w:rFonts w:ascii="Arial" w:hAnsi="Arial" w:cs="Arial"/>
          <w:bCs/>
          <w:spacing w:val="8"/>
        </w:rPr>
        <w:t xml:space="preserve">% </w:t>
      </w:r>
      <w:r w:rsidRPr="00390BDE">
        <w:rPr>
          <w:rFonts w:ascii="Arial" w:hAnsi="Arial" w:cs="Arial"/>
          <w:bCs/>
          <w:spacing w:val="8"/>
        </w:rPr>
        <w:t xml:space="preserve">en el total de la ocupación en el tercer trimestre de 2020, reporta una disminución de </w:t>
      </w:r>
      <w:r w:rsidR="003B3119">
        <w:rPr>
          <w:rFonts w:ascii="Arial" w:hAnsi="Arial" w:cs="Arial"/>
          <w:bCs/>
          <w:spacing w:val="8"/>
        </w:rPr>
        <w:t>(-)</w:t>
      </w:r>
      <w:r>
        <w:rPr>
          <w:rFonts w:ascii="Arial" w:hAnsi="Arial" w:cs="Arial"/>
          <w:bCs/>
          <w:spacing w:val="8"/>
        </w:rPr>
        <w:t>29</w:t>
      </w:r>
      <w:r w:rsidR="003B3119">
        <w:rPr>
          <w:rFonts w:ascii="Arial" w:hAnsi="Arial" w:cs="Arial"/>
          <w:bCs/>
          <w:spacing w:val="8"/>
        </w:rPr>
        <w:t>.4</w:t>
      </w:r>
      <w:r w:rsidRPr="00390BDE">
        <w:rPr>
          <w:rFonts w:ascii="Arial" w:hAnsi="Arial" w:cs="Arial"/>
          <w:bCs/>
          <w:spacing w:val="8"/>
        </w:rPr>
        <w:t xml:space="preserve"> mil ocupados respecto al mismo trimestre de 2019, lo que equivale a una variación anual de (-)</w:t>
      </w:r>
      <w:r>
        <w:rPr>
          <w:rFonts w:ascii="Arial" w:hAnsi="Arial" w:cs="Arial"/>
          <w:bCs/>
          <w:spacing w:val="8"/>
        </w:rPr>
        <w:t>1</w:t>
      </w:r>
      <w:r w:rsidRPr="00390BDE">
        <w:rPr>
          <w:rFonts w:ascii="Arial" w:hAnsi="Arial" w:cs="Arial"/>
          <w:bCs/>
          <w:spacing w:val="8"/>
        </w:rPr>
        <w:t>2.7 por ciento.</w:t>
      </w:r>
    </w:p>
    <w:p w:rsidR="00F614B1" w:rsidRDefault="00F614B1" w:rsidP="00F614B1">
      <w:pPr>
        <w:pStyle w:val="Prrafodelista"/>
        <w:spacing w:after="0" w:line="240" w:lineRule="auto"/>
        <w:ind w:left="0" w:right="49"/>
        <w:jc w:val="both"/>
        <w:rPr>
          <w:rFonts w:ascii="Arial" w:hAnsi="Arial" w:cs="Arial"/>
          <w:bCs/>
          <w:spacing w:val="8"/>
        </w:rPr>
      </w:pPr>
    </w:p>
    <w:p w:rsidR="00F614B1" w:rsidRDefault="00F614B1" w:rsidP="00F614B1">
      <w:pPr>
        <w:pStyle w:val="Prrafodelista"/>
        <w:spacing w:after="0" w:line="240" w:lineRule="auto"/>
        <w:ind w:left="0" w:right="49"/>
        <w:jc w:val="both"/>
        <w:rPr>
          <w:rFonts w:ascii="Arial" w:hAnsi="Arial" w:cs="Arial"/>
          <w:bCs/>
          <w:spacing w:val="8"/>
        </w:rPr>
      </w:pPr>
      <w:r>
        <w:rPr>
          <w:rFonts w:ascii="Arial" w:hAnsi="Arial" w:cs="Arial"/>
          <w:bCs/>
          <w:spacing w:val="8"/>
        </w:rPr>
        <w:t xml:space="preserve">El sector comercio con una participación de </w:t>
      </w:r>
      <w:r w:rsidR="0061598B" w:rsidRPr="00066757">
        <w:rPr>
          <w:rFonts w:ascii="Arial" w:hAnsi="Arial" w:cs="Arial"/>
          <w:bCs/>
          <w:spacing w:val="8"/>
        </w:rPr>
        <w:t>31.2</w:t>
      </w:r>
      <w:r>
        <w:rPr>
          <w:rFonts w:ascii="Arial" w:hAnsi="Arial" w:cs="Arial"/>
          <w:bCs/>
          <w:spacing w:val="8"/>
        </w:rPr>
        <w:t>%, registra una reducción de (-)60</w:t>
      </w:r>
      <w:r w:rsidR="0061598B">
        <w:rPr>
          <w:rFonts w:ascii="Arial" w:hAnsi="Arial" w:cs="Arial"/>
          <w:bCs/>
          <w:spacing w:val="8"/>
        </w:rPr>
        <w:t>.4</w:t>
      </w:r>
      <w:r>
        <w:rPr>
          <w:rFonts w:ascii="Arial" w:hAnsi="Arial" w:cs="Arial"/>
          <w:bCs/>
          <w:spacing w:val="8"/>
        </w:rPr>
        <w:t xml:space="preserve"> mil ocupados, cifra que representa una baja de (-)8.9% en comparación con el mismo trimestre de 2019. Los servicios diversos con una participación de </w:t>
      </w:r>
      <w:r w:rsidR="0061598B" w:rsidRPr="00066757">
        <w:rPr>
          <w:rFonts w:ascii="Arial" w:hAnsi="Arial" w:cs="Arial"/>
          <w:bCs/>
          <w:spacing w:val="8"/>
        </w:rPr>
        <w:t>18.7</w:t>
      </w:r>
      <w:r>
        <w:rPr>
          <w:rFonts w:ascii="Arial" w:hAnsi="Arial" w:cs="Arial"/>
          <w:bCs/>
          <w:spacing w:val="8"/>
        </w:rPr>
        <w:t>%, muestran una disminución de (-)11</w:t>
      </w:r>
      <w:r w:rsidR="0061598B">
        <w:rPr>
          <w:rFonts w:ascii="Arial" w:hAnsi="Arial" w:cs="Arial"/>
          <w:bCs/>
          <w:spacing w:val="8"/>
        </w:rPr>
        <w:t>.2</w:t>
      </w:r>
      <w:r>
        <w:rPr>
          <w:rFonts w:ascii="Arial" w:hAnsi="Arial" w:cs="Arial"/>
          <w:bCs/>
          <w:spacing w:val="8"/>
        </w:rPr>
        <w:t xml:space="preserve"> mil personas, es decir, una variación anual de (-)2.9 por ciento.</w:t>
      </w:r>
    </w:p>
    <w:p w:rsidR="00F614B1" w:rsidRDefault="00F614B1" w:rsidP="00F614B1">
      <w:pPr>
        <w:pStyle w:val="Prrafodelista"/>
        <w:spacing w:after="0" w:line="240" w:lineRule="auto"/>
        <w:ind w:left="0" w:right="49"/>
        <w:jc w:val="both"/>
        <w:rPr>
          <w:rFonts w:ascii="Arial" w:hAnsi="Arial" w:cs="Arial"/>
          <w:bCs/>
          <w:spacing w:val="8"/>
        </w:rPr>
      </w:pPr>
    </w:p>
    <w:p w:rsidR="00F614B1" w:rsidRDefault="00F614B1" w:rsidP="00F614B1">
      <w:pPr>
        <w:spacing w:after="0" w:line="240" w:lineRule="auto"/>
        <w:jc w:val="center"/>
        <w:rPr>
          <w:rFonts w:ascii="Arial" w:hAnsi="Arial" w:cs="Arial"/>
          <w:b/>
          <w:smallCaps/>
        </w:rPr>
      </w:pPr>
      <w:r w:rsidRPr="000C73EB">
        <w:rPr>
          <w:rFonts w:ascii="Arial" w:hAnsi="Arial" w:cs="Arial"/>
          <w:b/>
          <w:smallCaps/>
        </w:rPr>
        <w:lastRenderedPageBreak/>
        <w:t>Población ocupada según sector de actividad económica</w:t>
      </w:r>
    </w:p>
    <w:p w:rsidR="00F614B1" w:rsidRPr="000C73EB" w:rsidRDefault="00F614B1" w:rsidP="00F614B1">
      <w:pPr>
        <w:spacing w:after="0" w:line="240" w:lineRule="auto"/>
        <w:contextualSpacing/>
        <w:jc w:val="center"/>
        <w:rPr>
          <w:rFonts w:ascii="Arial" w:hAnsi="Arial" w:cs="Arial"/>
          <w:b/>
          <w:smallCaps/>
        </w:rPr>
      </w:pPr>
      <w:r w:rsidRPr="000C73EB">
        <w:rPr>
          <w:rFonts w:ascii="Arial" w:hAnsi="Arial" w:cs="Arial"/>
          <w:b/>
          <w:smallCaps/>
        </w:rPr>
        <w:t xml:space="preserve">durante </w:t>
      </w:r>
      <w:r>
        <w:rPr>
          <w:rFonts w:ascii="Arial" w:hAnsi="Arial" w:cs="Arial"/>
          <w:b/>
          <w:smallCaps/>
        </w:rPr>
        <w:t>el tercer trimestre</w:t>
      </w:r>
      <w:r w:rsidRPr="000C73EB">
        <w:rPr>
          <w:rFonts w:ascii="Arial" w:hAnsi="Arial" w:cs="Arial"/>
          <w:b/>
          <w:smallCaps/>
        </w:rPr>
        <w:t xml:space="preserve"> de 2020</w:t>
      </w:r>
    </w:p>
    <w:p w:rsidR="00F614B1" w:rsidRPr="00E33F09" w:rsidRDefault="00F614B1" w:rsidP="00F614B1">
      <w:pPr>
        <w:spacing w:after="0" w:line="240" w:lineRule="auto"/>
        <w:contextualSpacing/>
        <w:jc w:val="center"/>
        <w:rPr>
          <w:rFonts w:ascii="Arial" w:hAnsi="Arial" w:cs="Arial"/>
          <w:smallCaps/>
          <w:sz w:val="18"/>
          <w:szCs w:val="18"/>
        </w:rPr>
      </w:pPr>
      <w:r w:rsidRPr="00E33F09">
        <w:rPr>
          <w:rFonts w:ascii="Arial" w:hAnsi="Arial" w:cs="Arial"/>
          <w:smallCaps/>
          <w:sz w:val="18"/>
          <w:szCs w:val="18"/>
        </w:rPr>
        <w:t>(Porcentaje)</w:t>
      </w:r>
    </w:p>
    <w:p w:rsidR="00F614B1" w:rsidRDefault="00F614B1" w:rsidP="00F614B1">
      <w:pPr>
        <w:spacing w:after="0" w:line="240" w:lineRule="auto"/>
        <w:ind w:right="51"/>
        <w:jc w:val="center"/>
        <w:rPr>
          <w:rFonts w:ascii="Arial" w:hAnsi="Arial" w:cs="Arial"/>
          <w:smallCaps/>
        </w:rPr>
      </w:pPr>
      <w:r w:rsidRPr="002E2B90">
        <w:rPr>
          <w:noProof/>
          <w:lang w:eastAsia="es-MX"/>
        </w:rPr>
        <w:drawing>
          <wp:inline distT="0" distB="0" distL="0" distR="0" wp14:anchorId="67A65321" wp14:editId="72D01345">
            <wp:extent cx="5760720" cy="3236277"/>
            <wp:effectExtent l="0" t="0" r="0" b="254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236277"/>
                    </a:xfrm>
                    <a:prstGeom prst="rect">
                      <a:avLst/>
                    </a:prstGeom>
                    <a:noFill/>
                    <a:ln>
                      <a:noFill/>
                    </a:ln>
                  </pic:spPr>
                </pic:pic>
              </a:graphicData>
            </a:graphic>
          </wp:inline>
        </w:drawing>
      </w:r>
    </w:p>
    <w:p w:rsidR="00F614B1" w:rsidRDefault="00F614B1" w:rsidP="00F614B1">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F614B1" w:rsidRDefault="00F614B1" w:rsidP="00F614B1">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F614B1" w:rsidRDefault="00F614B1" w:rsidP="00F614B1">
      <w:pPr>
        <w:spacing w:after="0" w:line="240" w:lineRule="auto"/>
        <w:ind w:right="49"/>
        <w:jc w:val="both"/>
        <w:rPr>
          <w:rFonts w:ascii="Arial" w:hAnsi="Arial" w:cs="Arial"/>
        </w:rPr>
      </w:pPr>
    </w:p>
    <w:p w:rsidR="00F614B1" w:rsidRDefault="00F614B1" w:rsidP="00F614B1">
      <w:pPr>
        <w:spacing w:after="0" w:line="240" w:lineRule="auto"/>
        <w:ind w:right="49"/>
        <w:jc w:val="both"/>
        <w:rPr>
          <w:rFonts w:ascii="Arial" w:hAnsi="Arial" w:cs="Arial"/>
        </w:rPr>
      </w:pPr>
    </w:p>
    <w:p w:rsidR="00F614B1" w:rsidRDefault="00F614B1" w:rsidP="00F614B1">
      <w:pPr>
        <w:spacing w:after="0" w:line="240" w:lineRule="auto"/>
        <w:ind w:right="49"/>
        <w:jc w:val="both"/>
        <w:rPr>
          <w:rFonts w:ascii="Arial" w:hAnsi="Arial" w:cs="Arial"/>
        </w:rPr>
      </w:pPr>
      <w:r>
        <w:rPr>
          <w:rFonts w:ascii="Arial" w:hAnsi="Arial" w:cs="Arial"/>
        </w:rPr>
        <w:t xml:space="preserve">En cuanto a la duración de la jornada de trabajo durante el trimestre de referencia, destaca la reducción de la participación de los ocupados que laboran más de 48 horas semanales de 28.3% a 25.6% y de los ocupados entre 35 y 48 horas semanales de 44.2% a 39.4%, lo cual en términos absolutos significa una disminución </w:t>
      </w:r>
      <w:r w:rsidR="00CC72F1">
        <w:rPr>
          <w:rFonts w:ascii="Arial" w:hAnsi="Arial" w:cs="Arial"/>
        </w:rPr>
        <w:t xml:space="preserve">de </w:t>
      </w:r>
      <w:r>
        <w:rPr>
          <w:rFonts w:ascii="Arial" w:hAnsi="Arial" w:cs="Arial"/>
        </w:rPr>
        <w:t>(-)98</w:t>
      </w:r>
      <w:r w:rsidR="00CC72F1">
        <w:rPr>
          <w:rFonts w:ascii="Arial" w:hAnsi="Arial" w:cs="Arial"/>
        </w:rPr>
        <w:t>.5</w:t>
      </w:r>
      <w:r>
        <w:rPr>
          <w:rFonts w:ascii="Arial" w:hAnsi="Arial" w:cs="Arial"/>
        </w:rPr>
        <w:t xml:space="preserve"> mil y de (-)176</w:t>
      </w:r>
      <w:r w:rsidR="00CC72F1">
        <w:rPr>
          <w:rFonts w:ascii="Arial" w:hAnsi="Arial" w:cs="Arial"/>
        </w:rPr>
        <w:t>.1</w:t>
      </w:r>
      <w:r>
        <w:rPr>
          <w:rFonts w:ascii="Arial" w:hAnsi="Arial" w:cs="Arial"/>
        </w:rPr>
        <w:t xml:space="preserve"> mil, respectivamente, y una variación anual de (-)10.7% en los ocupados de más de 48 horas semanales y de (-)12.3% en los ocupados de 35 a 48 horas semanales.</w:t>
      </w:r>
    </w:p>
    <w:p w:rsidR="00F614B1" w:rsidRDefault="00F614B1" w:rsidP="00F614B1">
      <w:pPr>
        <w:spacing w:after="0" w:line="240" w:lineRule="auto"/>
        <w:ind w:right="49"/>
        <w:jc w:val="both"/>
        <w:rPr>
          <w:rFonts w:ascii="Arial" w:hAnsi="Arial" w:cs="Arial"/>
        </w:rPr>
      </w:pPr>
    </w:p>
    <w:p w:rsidR="00F614B1" w:rsidRDefault="00F614B1" w:rsidP="00F614B1">
      <w:pPr>
        <w:spacing w:after="0" w:line="240" w:lineRule="auto"/>
        <w:ind w:right="49"/>
        <w:jc w:val="both"/>
        <w:rPr>
          <w:rFonts w:ascii="Arial" w:hAnsi="Arial" w:cs="Arial"/>
        </w:rPr>
      </w:pPr>
      <w:r w:rsidRPr="007E0EED">
        <w:rPr>
          <w:rFonts w:ascii="Arial" w:hAnsi="Arial" w:cs="Arial"/>
          <w:bCs/>
          <w:spacing w:val="8"/>
        </w:rPr>
        <w:t xml:space="preserve">La jornada de trabajo en los hombres presenta un comportamiento similar al de la población ocupada total. </w:t>
      </w:r>
      <w:r w:rsidRPr="007E0EED">
        <w:rPr>
          <w:rFonts w:ascii="Arial" w:hAnsi="Arial" w:cs="Arial"/>
        </w:rPr>
        <w:t>La contribución de los ocupados que laboran más de 48 horas semanales disminuyó de 31.5% a 27.9% y los ocupados entre 35 y 48 horas semanales de 46.2% a 40.7%, entre el tercer trimestre 2019 y el mismo trimestre de 2020. Dicho comportamiento se reflejó en una baja de (-)8</w:t>
      </w:r>
      <w:r w:rsidR="007E0EED" w:rsidRPr="007E0EED">
        <w:rPr>
          <w:rFonts w:ascii="Arial" w:hAnsi="Arial" w:cs="Arial"/>
        </w:rPr>
        <w:t>3.8</w:t>
      </w:r>
      <w:r w:rsidRPr="007E0EED">
        <w:rPr>
          <w:rFonts w:ascii="Arial" w:hAnsi="Arial" w:cs="Arial"/>
        </w:rPr>
        <w:t xml:space="preserve"> mil hombres ocupados en jornadas de más de 48 horas semanales, es decir, (-)12.8% menos que en el tercer trimestre de 2019; mientras que los hombres ocupados de 35 a 48 horas semanales disminuyeron (-)125</w:t>
      </w:r>
      <w:r w:rsidR="007E0EED" w:rsidRPr="007E0EED">
        <w:rPr>
          <w:rFonts w:ascii="Arial" w:hAnsi="Arial" w:cs="Arial"/>
        </w:rPr>
        <w:t>.3</w:t>
      </w:r>
      <w:r w:rsidRPr="007E0EED">
        <w:rPr>
          <w:rFonts w:ascii="Arial" w:hAnsi="Arial" w:cs="Arial"/>
        </w:rPr>
        <w:t xml:space="preserve"> mil, con una variación anual de (-)13.1 por ciento. Por su parte, las mujeres ocupadas en jornadas de 35 a 48 horas semanales con una participación de 37.0% fueron las que reportaron una disminución mayor con (-)5</w:t>
      </w:r>
      <w:r w:rsidR="007E0EED" w:rsidRPr="007E0EED">
        <w:rPr>
          <w:rFonts w:ascii="Arial" w:hAnsi="Arial" w:cs="Arial"/>
        </w:rPr>
        <w:t>0.8</w:t>
      </w:r>
      <w:r w:rsidRPr="007E0EED">
        <w:rPr>
          <w:rFonts w:ascii="Arial" w:hAnsi="Arial" w:cs="Arial"/>
        </w:rPr>
        <w:t xml:space="preserve"> mil menos, cifra que representa una variación de (-)10.7% respecto al tercer trimestre de 2019; y en el caso de las mujeres ocupadas en jornadas de más de 48 horas semanales, con una participación de 21.7%, en términos absolutos descendieron en (-)1</w:t>
      </w:r>
      <w:r w:rsidR="007E0EED" w:rsidRPr="007E0EED">
        <w:rPr>
          <w:rFonts w:ascii="Arial" w:hAnsi="Arial" w:cs="Arial"/>
        </w:rPr>
        <w:t>4.7</w:t>
      </w:r>
      <w:r w:rsidRPr="007E0EED">
        <w:rPr>
          <w:rFonts w:ascii="Arial" w:hAnsi="Arial" w:cs="Arial"/>
        </w:rPr>
        <w:t xml:space="preserve"> mil personas, es decir, un variación anual de (-)5.6% comparado con el mismo trimestre del año pasado.</w:t>
      </w:r>
    </w:p>
    <w:p w:rsidR="00670276" w:rsidRDefault="00670276" w:rsidP="009749DA">
      <w:pPr>
        <w:pStyle w:val="n0"/>
        <w:keepLines w:val="0"/>
        <w:spacing w:before="0"/>
        <w:ind w:left="0" w:right="49" w:firstLine="0"/>
        <w:rPr>
          <w:color w:val="000000" w:themeColor="text1"/>
          <w:sz w:val="22"/>
        </w:rPr>
      </w:pPr>
    </w:p>
    <w:p w:rsidR="00F263AE" w:rsidRDefault="00F263AE" w:rsidP="009749DA">
      <w:pPr>
        <w:rPr>
          <w:rFonts w:ascii="Arial" w:hAnsi="Arial" w:cs="Arial"/>
          <w:b/>
          <w:smallCaps/>
        </w:rPr>
      </w:pPr>
      <w:r>
        <w:rPr>
          <w:rFonts w:ascii="Arial" w:hAnsi="Arial" w:cs="Arial"/>
          <w:b/>
          <w:smallCaps/>
        </w:rPr>
        <w:br w:type="page"/>
      </w:r>
    </w:p>
    <w:p w:rsidR="002B3C3B" w:rsidRDefault="002B3C3B" w:rsidP="002B3C3B">
      <w:pPr>
        <w:spacing w:after="0" w:line="240" w:lineRule="auto"/>
        <w:contextualSpacing/>
        <w:jc w:val="center"/>
        <w:rPr>
          <w:rFonts w:ascii="Arial" w:hAnsi="Arial" w:cs="Arial"/>
          <w:b/>
          <w:smallCaps/>
        </w:rPr>
      </w:pPr>
      <w:r w:rsidRPr="00874BD1">
        <w:rPr>
          <w:rFonts w:ascii="Arial" w:hAnsi="Arial" w:cs="Arial"/>
          <w:b/>
          <w:smallCaps/>
        </w:rPr>
        <w:lastRenderedPageBreak/>
        <w:t>Población ocupada según duración de la jornada de trabajo</w:t>
      </w:r>
      <w:r>
        <w:rPr>
          <w:rFonts w:ascii="Arial" w:hAnsi="Arial" w:cs="Arial"/>
          <w:b/>
          <w:smallCaps/>
        </w:rPr>
        <w:t xml:space="preserve"> por sexo</w:t>
      </w:r>
    </w:p>
    <w:p w:rsidR="002B3C3B" w:rsidRPr="00874BD1" w:rsidRDefault="002B3C3B" w:rsidP="002B3C3B">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Pr>
          <w:rFonts w:ascii="Arial" w:hAnsi="Arial" w:cs="Arial"/>
          <w:b/>
          <w:smallCaps/>
        </w:rPr>
        <w:t>el tercer trimestre</w:t>
      </w:r>
      <w:r w:rsidRPr="00874BD1">
        <w:rPr>
          <w:rFonts w:ascii="Arial" w:hAnsi="Arial" w:cs="Arial"/>
          <w:b/>
          <w:smallCaps/>
        </w:rPr>
        <w:t xml:space="preserve"> de 2020</w:t>
      </w:r>
    </w:p>
    <w:p w:rsidR="002B3C3B" w:rsidRPr="00E33F09" w:rsidRDefault="002B3C3B" w:rsidP="002B3C3B">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rsidR="002B3C3B" w:rsidRDefault="002B3C3B" w:rsidP="002B3C3B">
      <w:pPr>
        <w:spacing w:after="0" w:line="240" w:lineRule="auto"/>
        <w:ind w:right="51"/>
        <w:jc w:val="center"/>
        <w:rPr>
          <w:rFonts w:ascii="Arial" w:hAnsi="Arial" w:cs="Arial"/>
          <w:smallCaps/>
        </w:rPr>
      </w:pPr>
      <w:r w:rsidRPr="00F1125C">
        <w:rPr>
          <w:noProof/>
          <w:lang w:eastAsia="es-MX"/>
        </w:rPr>
        <w:drawing>
          <wp:inline distT="0" distB="0" distL="0" distR="0" wp14:anchorId="6D48215E" wp14:editId="03350B30">
            <wp:extent cx="5760720" cy="3815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815925"/>
                    </a:xfrm>
                    <a:prstGeom prst="rect">
                      <a:avLst/>
                    </a:prstGeom>
                    <a:noFill/>
                    <a:ln>
                      <a:noFill/>
                    </a:ln>
                  </pic:spPr>
                </pic:pic>
              </a:graphicData>
            </a:graphic>
          </wp:inline>
        </w:drawing>
      </w:r>
    </w:p>
    <w:p w:rsidR="002B3C3B" w:rsidRDefault="002B3C3B" w:rsidP="002B3C3B">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2B3C3B" w:rsidRDefault="002B3C3B" w:rsidP="002B3C3B">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2B3C3B" w:rsidRDefault="002B3C3B" w:rsidP="002B3C3B">
      <w:pPr>
        <w:spacing w:after="0" w:line="240" w:lineRule="auto"/>
        <w:ind w:right="49"/>
        <w:jc w:val="both"/>
        <w:rPr>
          <w:rFonts w:ascii="Arial" w:hAnsi="Arial" w:cs="Arial"/>
          <w:bCs/>
          <w:spacing w:val="8"/>
        </w:rPr>
      </w:pPr>
    </w:p>
    <w:p w:rsidR="002B3C3B" w:rsidRDefault="002B3C3B" w:rsidP="002B3C3B">
      <w:pPr>
        <w:spacing w:after="0" w:line="240" w:lineRule="auto"/>
        <w:ind w:right="49"/>
        <w:jc w:val="both"/>
        <w:rPr>
          <w:rFonts w:ascii="Arial" w:hAnsi="Arial" w:cs="Arial"/>
          <w:bCs/>
          <w:spacing w:val="8"/>
        </w:rPr>
      </w:pPr>
    </w:p>
    <w:p w:rsidR="002B3C3B" w:rsidRDefault="002B3C3B" w:rsidP="002B3C3B">
      <w:pPr>
        <w:pStyle w:val="n0"/>
        <w:keepLines w:val="0"/>
        <w:spacing w:before="0"/>
        <w:ind w:left="0" w:right="49" w:firstLine="0"/>
        <w:rPr>
          <w:color w:val="000000" w:themeColor="text1"/>
          <w:sz w:val="22"/>
        </w:rPr>
      </w:pPr>
      <w:r>
        <w:rPr>
          <w:color w:val="000000" w:themeColor="text1"/>
          <w:sz w:val="22"/>
        </w:rPr>
        <w:t xml:space="preserve">En la ocupación por ámbito y tamaño de la unidad económica, con una proporción de ocupación en el ámbito no agropecuario de 69.6%, ésta tuvo un descenso de (-)51.2 mil respecto al tercer trimestre de 2019 y una variación anual de </w:t>
      </w:r>
      <w:r w:rsidRPr="005B4C15">
        <w:rPr>
          <w:color w:val="FF0000"/>
          <w:sz w:val="22"/>
        </w:rPr>
        <w:t>(-)</w:t>
      </w:r>
      <w:r w:rsidR="00D17149">
        <w:rPr>
          <w:color w:val="FF0000"/>
          <w:sz w:val="22"/>
        </w:rPr>
        <w:t>2.3</w:t>
      </w:r>
      <w:r>
        <w:rPr>
          <w:color w:val="000000" w:themeColor="text1"/>
          <w:sz w:val="22"/>
        </w:rPr>
        <w:t xml:space="preserve"> por ciento. Los ocupados en micronegocios, con una disminución de (-)23.2 mil reportaron la pérdida de ocupación más alta en el último año, específicamente en unidades económicas con establecimiento, en donde la disminución fue de (-)81.3 miles de ocupados entre el tercer trimestre de 2019 y el mismo trimestre de 2020.</w:t>
      </w:r>
    </w:p>
    <w:p w:rsidR="002B3C3B" w:rsidRDefault="002B3C3B" w:rsidP="002B3C3B">
      <w:pPr>
        <w:pStyle w:val="n0"/>
        <w:keepLines w:val="0"/>
        <w:spacing w:before="0"/>
        <w:ind w:left="0" w:right="49" w:firstLine="0"/>
        <w:rPr>
          <w:color w:val="000000" w:themeColor="text1"/>
          <w:sz w:val="22"/>
        </w:rPr>
      </w:pPr>
    </w:p>
    <w:p w:rsidR="002B3C3B" w:rsidRDefault="002B3C3B" w:rsidP="002B3C3B">
      <w:pPr>
        <w:rPr>
          <w:rFonts w:ascii="Arial" w:hAnsi="Arial" w:cs="Arial"/>
          <w:b/>
          <w:smallCaps/>
        </w:rPr>
      </w:pPr>
      <w:r>
        <w:rPr>
          <w:rFonts w:ascii="Arial" w:hAnsi="Arial" w:cs="Arial"/>
          <w:b/>
          <w:smallCaps/>
        </w:rPr>
        <w:br w:type="page"/>
      </w:r>
    </w:p>
    <w:p w:rsidR="002B3C3B" w:rsidRDefault="002B3C3B" w:rsidP="002B3C3B">
      <w:pPr>
        <w:spacing w:after="0" w:line="240" w:lineRule="auto"/>
        <w:contextualSpacing/>
        <w:jc w:val="center"/>
        <w:rPr>
          <w:rFonts w:ascii="Arial" w:hAnsi="Arial" w:cs="Arial"/>
          <w:b/>
          <w:smallCaps/>
        </w:rPr>
      </w:pPr>
      <w:r w:rsidRPr="00874BD1">
        <w:rPr>
          <w:rFonts w:ascii="Arial" w:hAnsi="Arial" w:cs="Arial"/>
          <w:b/>
          <w:smallCaps/>
        </w:rPr>
        <w:lastRenderedPageBreak/>
        <w:t xml:space="preserve">Población ocupada </w:t>
      </w:r>
      <w:r>
        <w:rPr>
          <w:rFonts w:ascii="Arial" w:hAnsi="Arial" w:cs="Arial"/>
          <w:b/>
          <w:smallCaps/>
        </w:rPr>
        <w:t>por ámbito y tamaño de unidad económica por sexo</w:t>
      </w:r>
    </w:p>
    <w:p w:rsidR="002B3C3B" w:rsidRPr="00874BD1" w:rsidRDefault="002B3C3B" w:rsidP="002B3C3B">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Pr>
          <w:rFonts w:ascii="Arial" w:hAnsi="Arial" w:cs="Arial"/>
          <w:b/>
          <w:smallCaps/>
        </w:rPr>
        <w:t>el tercer trimestre</w:t>
      </w:r>
      <w:r w:rsidRPr="00874BD1">
        <w:rPr>
          <w:rFonts w:ascii="Arial" w:hAnsi="Arial" w:cs="Arial"/>
          <w:b/>
          <w:smallCaps/>
        </w:rPr>
        <w:t xml:space="preserve"> de 2020</w:t>
      </w:r>
    </w:p>
    <w:p w:rsidR="002B3C3B" w:rsidRDefault="002B3C3B" w:rsidP="002B3C3B">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rsidR="002B3C3B" w:rsidRDefault="002B3C3B" w:rsidP="002B3C3B">
      <w:pPr>
        <w:spacing w:after="0" w:line="240" w:lineRule="auto"/>
        <w:ind w:right="51"/>
        <w:jc w:val="center"/>
        <w:rPr>
          <w:rFonts w:ascii="Arial" w:hAnsi="Arial" w:cs="Arial"/>
          <w:smallCaps/>
          <w:sz w:val="18"/>
          <w:szCs w:val="18"/>
        </w:rPr>
      </w:pPr>
      <w:r w:rsidRPr="00385BFB">
        <w:rPr>
          <w:noProof/>
          <w:lang w:eastAsia="es-MX"/>
        </w:rPr>
        <w:drawing>
          <wp:inline distT="0" distB="0" distL="0" distR="0" wp14:anchorId="24FAE39E" wp14:editId="47FADA33">
            <wp:extent cx="5760720" cy="5166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5166664"/>
                    </a:xfrm>
                    <a:prstGeom prst="rect">
                      <a:avLst/>
                    </a:prstGeom>
                    <a:noFill/>
                    <a:ln>
                      <a:noFill/>
                    </a:ln>
                  </pic:spPr>
                </pic:pic>
              </a:graphicData>
            </a:graphic>
          </wp:inline>
        </w:drawing>
      </w:r>
    </w:p>
    <w:p w:rsidR="002B3C3B" w:rsidRDefault="002B3C3B" w:rsidP="002B3C3B">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2B3C3B" w:rsidRDefault="002B3C3B" w:rsidP="002B3C3B">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2B3C3B" w:rsidRDefault="002B3C3B" w:rsidP="002B3C3B">
      <w:pPr>
        <w:pStyle w:val="n0"/>
        <w:keepLines w:val="0"/>
        <w:spacing w:before="0"/>
        <w:ind w:left="0" w:right="49" w:firstLine="0"/>
        <w:jc w:val="left"/>
        <w:rPr>
          <w:b/>
          <w:smallCaps/>
          <w:color w:val="auto"/>
          <w:sz w:val="22"/>
          <w:szCs w:val="22"/>
        </w:rPr>
      </w:pPr>
    </w:p>
    <w:p w:rsidR="002B3C3B" w:rsidRDefault="002B3C3B" w:rsidP="002B3C3B">
      <w:pPr>
        <w:pStyle w:val="n0"/>
        <w:keepLines w:val="0"/>
        <w:spacing w:before="0"/>
        <w:ind w:left="0" w:right="49" w:firstLine="0"/>
        <w:rPr>
          <w:color w:val="000000" w:themeColor="text1"/>
          <w:sz w:val="22"/>
        </w:rPr>
      </w:pPr>
    </w:p>
    <w:p w:rsidR="002B3C3B" w:rsidRDefault="002B3C3B" w:rsidP="002B3C3B">
      <w:pPr>
        <w:pStyle w:val="n0"/>
        <w:keepLines w:val="0"/>
        <w:spacing w:before="0"/>
        <w:ind w:left="0" w:right="49" w:firstLine="0"/>
        <w:rPr>
          <w:color w:val="000000" w:themeColor="text1"/>
          <w:sz w:val="22"/>
        </w:rPr>
      </w:pPr>
      <w:r>
        <w:rPr>
          <w:color w:val="000000" w:themeColor="text1"/>
          <w:sz w:val="22"/>
        </w:rPr>
        <w:t xml:space="preserve">En la situación según sexo, los hombres ocupados en el ámbito no agropecuario reportaron una disminución de (-)12.0 mil </w:t>
      </w:r>
      <w:r w:rsidRPr="00DE5E72">
        <w:rPr>
          <w:color w:val="auto"/>
          <w:sz w:val="22"/>
        </w:rPr>
        <w:t xml:space="preserve">y las mujeres en el mismo ámbito una reducción de (-)39.2 miles; en cifras relativas, ello significó una variación en el periodo del tercer trimestre de 2019 a igual periodo de 2020 de (-)1.0% en los hombres y de (-)3.7 por ciento en las mujeres. La ocupación en los </w:t>
      </w:r>
      <w:r w:rsidR="0092778D" w:rsidRPr="00DE5E72">
        <w:rPr>
          <w:color w:val="auto"/>
          <w:sz w:val="22"/>
        </w:rPr>
        <w:t xml:space="preserve">micronegocios con establecimiento </w:t>
      </w:r>
      <w:r w:rsidRPr="00DE5E72">
        <w:rPr>
          <w:color w:val="auto"/>
          <w:sz w:val="22"/>
        </w:rPr>
        <w:t>fue la más afectada durante la contingencia sanitaria, siendo mayor la disminución en l</w:t>
      </w:r>
      <w:r w:rsidR="00DE5E72" w:rsidRPr="00DE5E72">
        <w:rPr>
          <w:color w:val="auto"/>
          <w:sz w:val="22"/>
        </w:rPr>
        <w:t>a</w:t>
      </w:r>
      <w:r w:rsidRPr="00DE5E72">
        <w:rPr>
          <w:color w:val="auto"/>
          <w:sz w:val="22"/>
        </w:rPr>
        <w:t xml:space="preserve">s </w:t>
      </w:r>
      <w:r w:rsidR="00DE5E72" w:rsidRPr="00DE5E72">
        <w:rPr>
          <w:color w:val="auto"/>
          <w:sz w:val="22"/>
        </w:rPr>
        <w:t>mujeres</w:t>
      </w:r>
      <w:r w:rsidRPr="00DE5E72">
        <w:rPr>
          <w:color w:val="auto"/>
          <w:sz w:val="22"/>
        </w:rPr>
        <w:t xml:space="preserve"> con (-)</w:t>
      </w:r>
      <w:r w:rsidR="00DE5E72" w:rsidRPr="00DE5E72">
        <w:rPr>
          <w:color w:val="auto"/>
          <w:sz w:val="22"/>
        </w:rPr>
        <w:t>43</w:t>
      </w:r>
      <w:r w:rsidRPr="00DE5E72">
        <w:rPr>
          <w:color w:val="auto"/>
          <w:sz w:val="22"/>
        </w:rPr>
        <w:t xml:space="preserve"> mil menos respecto al tercer trimestre de 2019, en tanto que en l</w:t>
      </w:r>
      <w:r w:rsidR="00DE5E72" w:rsidRPr="00DE5E72">
        <w:rPr>
          <w:color w:val="auto"/>
          <w:sz w:val="22"/>
        </w:rPr>
        <w:t>o</w:t>
      </w:r>
      <w:r w:rsidRPr="00DE5E72">
        <w:rPr>
          <w:color w:val="auto"/>
          <w:sz w:val="22"/>
        </w:rPr>
        <w:t xml:space="preserve">s </w:t>
      </w:r>
      <w:r w:rsidR="00DE5E72" w:rsidRPr="00DE5E72">
        <w:rPr>
          <w:color w:val="auto"/>
          <w:sz w:val="22"/>
        </w:rPr>
        <w:t>hombres</w:t>
      </w:r>
      <w:r w:rsidRPr="00DE5E72">
        <w:rPr>
          <w:color w:val="auto"/>
          <w:sz w:val="22"/>
        </w:rPr>
        <w:t xml:space="preserve"> fue de (-)</w:t>
      </w:r>
      <w:r w:rsidR="00DE5E72" w:rsidRPr="00DE5E72">
        <w:rPr>
          <w:color w:val="auto"/>
          <w:sz w:val="22"/>
        </w:rPr>
        <w:t>38.3</w:t>
      </w:r>
      <w:r w:rsidRPr="00DE5E72">
        <w:rPr>
          <w:color w:val="auto"/>
          <w:sz w:val="22"/>
        </w:rPr>
        <w:t xml:space="preserve"> mil ocupad</w:t>
      </w:r>
      <w:r w:rsidR="00DE5E72" w:rsidRPr="00DE5E72">
        <w:rPr>
          <w:color w:val="auto"/>
          <w:sz w:val="22"/>
        </w:rPr>
        <w:t>o</w:t>
      </w:r>
      <w:r w:rsidRPr="00DE5E72">
        <w:rPr>
          <w:color w:val="auto"/>
          <w:sz w:val="22"/>
        </w:rPr>
        <w:t>s menos en el periodo citado.</w:t>
      </w:r>
    </w:p>
    <w:p w:rsidR="002B3C3B" w:rsidRPr="00AC7C3D" w:rsidRDefault="002B3C3B" w:rsidP="002B3C3B">
      <w:pPr>
        <w:pStyle w:val="n0"/>
        <w:keepLines w:val="0"/>
        <w:spacing w:before="0"/>
        <w:ind w:left="0" w:right="49" w:firstLine="0"/>
        <w:jc w:val="left"/>
        <w:rPr>
          <w:smallCaps/>
          <w:color w:val="auto"/>
          <w:sz w:val="22"/>
          <w:szCs w:val="22"/>
        </w:rPr>
      </w:pPr>
    </w:p>
    <w:p w:rsidR="002B3C3B" w:rsidRDefault="002B3C3B" w:rsidP="002B3C3B">
      <w:pPr>
        <w:rPr>
          <w:rFonts w:ascii="Arial" w:eastAsia="Times New Roman" w:hAnsi="Arial" w:cs="Arial"/>
          <w:b/>
          <w:smallCaps/>
          <w:lang w:val="es-ES_tradnl" w:eastAsia="es-ES"/>
        </w:rPr>
      </w:pPr>
      <w:r>
        <w:rPr>
          <w:b/>
          <w:smallCaps/>
        </w:rPr>
        <w:br w:type="page"/>
      </w:r>
    </w:p>
    <w:p w:rsidR="002B3C3B" w:rsidRPr="004C6D3F" w:rsidRDefault="002B3C3B" w:rsidP="002B3C3B">
      <w:pPr>
        <w:pStyle w:val="n0"/>
        <w:keepLines w:val="0"/>
        <w:spacing w:before="0"/>
        <w:ind w:left="0" w:right="49" w:firstLine="0"/>
        <w:jc w:val="left"/>
        <w:rPr>
          <w:b/>
          <w:smallCaps/>
          <w:color w:val="auto"/>
          <w:sz w:val="22"/>
          <w:szCs w:val="22"/>
        </w:rPr>
      </w:pPr>
      <w:r w:rsidRPr="004C6D3F">
        <w:rPr>
          <w:b/>
          <w:smallCaps/>
          <w:color w:val="auto"/>
          <w:sz w:val="22"/>
          <w:szCs w:val="22"/>
        </w:rPr>
        <w:lastRenderedPageBreak/>
        <w:t>población subocupada</w:t>
      </w:r>
    </w:p>
    <w:p w:rsidR="002B3C3B" w:rsidRDefault="002B3C3B" w:rsidP="002B3C3B">
      <w:pPr>
        <w:spacing w:after="0" w:line="240" w:lineRule="auto"/>
        <w:ind w:right="49"/>
        <w:jc w:val="both"/>
        <w:rPr>
          <w:rFonts w:ascii="Arial" w:hAnsi="Arial" w:cs="Arial"/>
          <w:bCs/>
          <w:spacing w:val="8"/>
        </w:rPr>
      </w:pPr>
    </w:p>
    <w:p w:rsidR="002B3C3B" w:rsidRDefault="002B3C3B" w:rsidP="002B3C3B">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Las personas ocupadas que tienen la necesidad y disponibilidad de ofertar más tiempo de trabajo de lo que su ocupación actual les demanda,</w:t>
      </w:r>
      <w:r>
        <w:rPr>
          <w:rFonts w:ascii="Arial" w:eastAsia="Times New Roman" w:hAnsi="Arial" w:cs="Arial"/>
          <w:color w:val="000000" w:themeColor="text1"/>
          <w:lang w:val="es-ES_tradnl" w:eastAsia="es-ES"/>
        </w:rPr>
        <w:t xml:space="preserve"> pasaron de 30</w:t>
      </w:r>
      <w:r w:rsidR="00A537E7">
        <w:rPr>
          <w:rFonts w:ascii="Arial" w:eastAsia="Times New Roman" w:hAnsi="Arial" w:cs="Arial"/>
          <w:color w:val="000000" w:themeColor="text1"/>
          <w:lang w:val="es-ES_tradnl" w:eastAsia="es-ES"/>
        </w:rPr>
        <w:t>6.7</w:t>
      </w:r>
      <w:r>
        <w:rPr>
          <w:rFonts w:ascii="Arial" w:eastAsia="Times New Roman" w:hAnsi="Arial" w:cs="Arial"/>
          <w:color w:val="000000" w:themeColor="text1"/>
          <w:lang w:val="es-ES_tradnl" w:eastAsia="es-ES"/>
        </w:rPr>
        <w:t xml:space="preserve"> mil en el tercer trimestre de 2019 a 7</w:t>
      </w:r>
      <w:r w:rsidR="00A537E7">
        <w:rPr>
          <w:rFonts w:ascii="Arial" w:eastAsia="Times New Roman" w:hAnsi="Arial" w:cs="Arial"/>
          <w:color w:val="000000" w:themeColor="text1"/>
          <w:lang w:val="es-ES_tradnl" w:eastAsia="es-ES"/>
        </w:rPr>
        <w:t>49.9</w:t>
      </w:r>
      <w:r>
        <w:rPr>
          <w:rFonts w:ascii="Arial" w:eastAsia="Times New Roman" w:hAnsi="Arial" w:cs="Arial"/>
          <w:color w:val="000000" w:themeColor="text1"/>
          <w:lang w:val="es-ES_tradnl" w:eastAsia="es-ES"/>
        </w:rPr>
        <w:t xml:space="preserve"> mil en el tercer trimestre de 2020, con un aumento de 443</w:t>
      </w:r>
      <w:r w:rsidR="00A537E7">
        <w:rPr>
          <w:rFonts w:ascii="Arial" w:eastAsia="Times New Roman" w:hAnsi="Arial" w:cs="Arial"/>
          <w:color w:val="000000" w:themeColor="text1"/>
          <w:lang w:val="es-ES_tradnl" w:eastAsia="es-ES"/>
        </w:rPr>
        <w:t>.2</w:t>
      </w:r>
      <w:r>
        <w:rPr>
          <w:rFonts w:ascii="Arial" w:eastAsia="Times New Roman" w:hAnsi="Arial" w:cs="Arial"/>
          <w:color w:val="000000" w:themeColor="text1"/>
          <w:lang w:val="es-ES_tradnl" w:eastAsia="es-ES"/>
        </w:rPr>
        <w:t xml:space="preserve"> mil personas</w:t>
      </w:r>
      <w:r w:rsidRPr="00BF71A5">
        <w:rPr>
          <w:rFonts w:ascii="Arial" w:eastAsia="Times New Roman" w:hAnsi="Arial" w:cs="Arial"/>
          <w:color w:val="000000" w:themeColor="text1"/>
          <w:lang w:val="es-ES_tradnl" w:eastAsia="es-ES"/>
        </w:rPr>
        <w:t>.</w:t>
      </w:r>
      <w:r>
        <w:rPr>
          <w:rFonts w:ascii="Arial" w:eastAsia="Times New Roman" w:hAnsi="Arial" w:cs="Arial"/>
          <w:color w:val="000000" w:themeColor="text1"/>
          <w:lang w:val="es-ES_tradnl" w:eastAsia="es-ES"/>
        </w:rPr>
        <w:t xml:space="preserve"> Por sexo, la población subocupada en los hombres cambió de 19</w:t>
      </w:r>
      <w:r w:rsidR="00A537E7">
        <w:rPr>
          <w:rFonts w:ascii="Arial" w:eastAsia="Times New Roman" w:hAnsi="Arial" w:cs="Arial"/>
          <w:color w:val="000000" w:themeColor="text1"/>
          <w:lang w:val="es-ES_tradnl" w:eastAsia="es-ES"/>
        </w:rPr>
        <w:t>5.8</w:t>
      </w:r>
      <w:r>
        <w:rPr>
          <w:rFonts w:ascii="Arial" w:eastAsia="Times New Roman" w:hAnsi="Arial" w:cs="Arial"/>
          <w:color w:val="000000" w:themeColor="text1"/>
          <w:lang w:val="es-ES_tradnl" w:eastAsia="es-ES"/>
        </w:rPr>
        <w:t xml:space="preserve"> mil en el tercer trimestre de 2019 a 43</w:t>
      </w:r>
      <w:r w:rsidR="00A537E7">
        <w:rPr>
          <w:rFonts w:ascii="Arial" w:eastAsia="Times New Roman" w:hAnsi="Arial" w:cs="Arial"/>
          <w:color w:val="000000" w:themeColor="text1"/>
          <w:lang w:val="es-ES_tradnl" w:eastAsia="es-ES"/>
        </w:rPr>
        <w:t>3.9</w:t>
      </w:r>
      <w:r>
        <w:rPr>
          <w:rFonts w:ascii="Arial" w:eastAsia="Times New Roman" w:hAnsi="Arial" w:cs="Arial"/>
          <w:color w:val="000000" w:themeColor="text1"/>
          <w:lang w:val="es-ES_tradnl" w:eastAsia="es-ES"/>
        </w:rPr>
        <w:t xml:space="preserve"> mil en el tercer trimestre de 2020 y en las mujeres de 11</w:t>
      </w:r>
      <w:r w:rsidR="00A537E7">
        <w:rPr>
          <w:rFonts w:ascii="Arial" w:eastAsia="Times New Roman" w:hAnsi="Arial" w:cs="Arial"/>
          <w:color w:val="000000" w:themeColor="text1"/>
          <w:lang w:val="es-ES_tradnl" w:eastAsia="es-ES"/>
        </w:rPr>
        <w:t>0.9</w:t>
      </w:r>
      <w:r>
        <w:rPr>
          <w:rFonts w:ascii="Arial" w:eastAsia="Times New Roman" w:hAnsi="Arial" w:cs="Arial"/>
          <w:color w:val="000000" w:themeColor="text1"/>
          <w:lang w:val="es-ES_tradnl" w:eastAsia="es-ES"/>
        </w:rPr>
        <w:t xml:space="preserve"> mil a 316</w:t>
      </w:r>
      <w:r w:rsidR="00A537E7">
        <w:rPr>
          <w:rFonts w:ascii="Arial" w:eastAsia="Times New Roman" w:hAnsi="Arial" w:cs="Arial"/>
          <w:color w:val="000000" w:themeColor="text1"/>
          <w:lang w:val="es-ES_tradnl" w:eastAsia="es-ES"/>
        </w:rPr>
        <w:t>.1</w:t>
      </w:r>
      <w:r>
        <w:rPr>
          <w:rFonts w:ascii="Arial" w:eastAsia="Times New Roman" w:hAnsi="Arial" w:cs="Arial"/>
          <w:color w:val="000000" w:themeColor="text1"/>
          <w:lang w:val="es-ES_tradnl" w:eastAsia="es-ES"/>
        </w:rPr>
        <w:t xml:space="preserve"> mil en el periodo referido.</w:t>
      </w:r>
    </w:p>
    <w:p w:rsidR="002B3C3B" w:rsidRDefault="002B3C3B" w:rsidP="002B3C3B">
      <w:pPr>
        <w:spacing w:after="0" w:line="240" w:lineRule="auto"/>
        <w:ind w:right="49"/>
        <w:jc w:val="both"/>
        <w:rPr>
          <w:rFonts w:ascii="Arial" w:eastAsia="Times New Roman" w:hAnsi="Arial" w:cs="Arial"/>
          <w:color w:val="000000" w:themeColor="text1"/>
          <w:lang w:val="es-ES_tradnl" w:eastAsia="es-ES"/>
        </w:rPr>
      </w:pPr>
    </w:p>
    <w:p w:rsidR="002B3C3B" w:rsidRPr="00E0630B" w:rsidRDefault="002B3C3B" w:rsidP="002B3C3B">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 xml:space="preserve">En su comparación </w:t>
      </w:r>
      <w:r>
        <w:rPr>
          <w:rFonts w:ascii="Arial" w:eastAsia="Times New Roman" w:hAnsi="Arial" w:cs="Arial"/>
          <w:color w:val="000000" w:themeColor="text1"/>
          <w:lang w:val="es-ES_tradnl" w:eastAsia="es-ES"/>
        </w:rPr>
        <w:t>con el mismo trimestre del año pasado</w:t>
      </w:r>
      <w:r w:rsidRPr="00BF71A5">
        <w:rPr>
          <w:rFonts w:ascii="Arial" w:eastAsia="Times New Roman" w:hAnsi="Arial" w:cs="Arial"/>
          <w:color w:val="000000" w:themeColor="text1"/>
          <w:lang w:val="es-ES_tradnl" w:eastAsia="es-ES"/>
        </w:rPr>
        <w:t>, la tasa de subocupación fue</w:t>
      </w:r>
      <w:r>
        <w:rPr>
          <w:rFonts w:ascii="Arial" w:eastAsia="Times New Roman" w:hAnsi="Arial" w:cs="Arial"/>
          <w:color w:val="000000" w:themeColor="text1"/>
          <w:lang w:val="es-ES_tradnl" w:eastAsia="es-ES"/>
        </w:rPr>
        <w:t xml:space="preserve"> 14.1</w:t>
      </w:r>
      <w:r w:rsidRPr="007775FD">
        <w:rPr>
          <w:rFonts w:ascii="Arial" w:eastAsia="Times New Roman" w:hAnsi="Arial" w:cs="Arial"/>
          <w:color w:val="000000" w:themeColor="text1"/>
          <w:lang w:val="es-ES_tradnl" w:eastAsia="es-ES"/>
        </w:rPr>
        <w:t xml:space="preserve"> puntos porcentuales </w:t>
      </w:r>
      <w:r>
        <w:rPr>
          <w:rFonts w:ascii="Arial" w:eastAsia="Times New Roman" w:hAnsi="Arial" w:cs="Arial"/>
          <w:color w:val="000000" w:themeColor="text1"/>
          <w:lang w:val="es-ES_tradnl" w:eastAsia="es-ES"/>
        </w:rPr>
        <w:t>mayor en el tercer trimestre de 2020, al pasar de 9.4% a 23.5 por ciento. En la clasificación según sexo, la tasa de subocupación en los hombres fue 11.8 puntos porcentuales mayor en el tercer trimestre de 2020 respecto al mismo trimestre de un año antes, mientras que en las mujeres la tasa de subocupación fue 18.0 puntos porcentuales superior en el mismo periodo.</w:t>
      </w:r>
    </w:p>
    <w:p w:rsidR="002B3C3B" w:rsidRDefault="002B3C3B" w:rsidP="002B3C3B">
      <w:pPr>
        <w:rPr>
          <w:rFonts w:ascii="Arial" w:eastAsia="Times New Roman" w:hAnsi="Arial" w:cs="Arial"/>
          <w:b/>
          <w:smallCaps/>
          <w:lang w:val="es-ES_tradnl" w:eastAsia="es-ES"/>
        </w:rPr>
      </w:pPr>
    </w:p>
    <w:p w:rsidR="002B3C3B" w:rsidRPr="00B5576B" w:rsidRDefault="002B3C3B" w:rsidP="002B3C3B">
      <w:pPr>
        <w:pStyle w:val="n0"/>
        <w:keepLines w:val="0"/>
        <w:spacing w:before="0"/>
        <w:ind w:left="0" w:right="49" w:firstLine="0"/>
        <w:jc w:val="center"/>
        <w:rPr>
          <w:b/>
          <w:smallCaps/>
          <w:color w:val="auto"/>
          <w:sz w:val="22"/>
          <w:szCs w:val="22"/>
        </w:rPr>
      </w:pPr>
      <w:r>
        <w:rPr>
          <w:b/>
          <w:smallCaps/>
          <w:color w:val="auto"/>
          <w:sz w:val="22"/>
          <w:szCs w:val="22"/>
        </w:rPr>
        <w:t xml:space="preserve">Gráfico 3. </w:t>
      </w:r>
      <w:r w:rsidRPr="00B5576B">
        <w:rPr>
          <w:b/>
          <w:smallCaps/>
          <w:color w:val="auto"/>
          <w:sz w:val="22"/>
          <w:szCs w:val="22"/>
        </w:rPr>
        <w:t xml:space="preserve">Tasa de </w:t>
      </w:r>
      <w:r>
        <w:rPr>
          <w:b/>
          <w:smallCaps/>
          <w:color w:val="auto"/>
          <w:sz w:val="22"/>
          <w:szCs w:val="22"/>
        </w:rPr>
        <w:t>subocupación por sexo</w:t>
      </w:r>
      <w:r w:rsidRPr="00B5576B">
        <w:rPr>
          <w:b/>
          <w:smallCaps/>
          <w:color w:val="auto"/>
          <w:sz w:val="22"/>
          <w:szCs w:val="22"/>
        </w:rPr>
        <w:t xml:space="preserve"> </w:t>
      </w:r>
      <w:r>
        <w:rPr>
          <w:b/>
          <w:smallCaps/>
          <w:color w:val="auto"/>
          <w:sz w:val="22"/>
          <w:szCs w:val="22"/>
        </w:rPr>
        <w:t>EN</w:t>
      </w:r>
      <w:r w:rsidRPr="00B5576B">
        <w:rPr>
          <w:b/>
          <w:smallCaps/>
          <w:color w:val="auto"/>
          <w:sz w:val="22"/>
          <w:szCs w:val="22"/>
        </w:rPr>
        <w:t>OE</w:t>
      </w:r>
      <w:r>
        <w:rPr>
          <w:b/>
          <w:smallCaps/>
          <w:color w:val="auto"/>
          <w:sz w:val="22"/>
          <w:szCs w:val="22"/>
          <w:vertAlign w:val="superscript"/>
        </w:rPr>
        <w:t>N</w:t>
      </w:r>
      <w:r w:rsidRPr="00B5576B">
        <w:rPr>
          <w:b/>
          <w:smallCaps/>
          <w:color w:val="auto"/>
          <w:sz w:val="22"/>
          <w:szCs w:val="22"/>
        </w:rPr>
        <w:t xml:space="preserve"> a</w:t>
      </w:r>
      <w:r>
        <w:rPr>
          <w:b/>
          <w:smallCaps/>
          <w:color w:val="auto"/>
          <w:sz w:val="22"/>
          <w:szCs w:val="22"/>
        </w:rPr>
        <w:t>l tercer trimestre</w:t>
      </w:r>
      <w:r w:rsidRPr="00B5576B">
        <w:rPr>
          <w:b/>
          <w:smallCaps/>
          <w:color w:val="auto"/>
          <w:sz w:val="22"/>
          <w:szCs w:val="22"/>
        </w:rPr>
        <w:t xml:space="preserve"> de 2020</w:t>
      </w:r>
      <w:r>
        <w:rPr>
          <w:b/>
          <w:smallCaps/>
          <w:color w:val="auto"/>
          <w:sz w:val="22"/>
          <w:szCs w:val="22"/>
        </w:rPr>
        <w:t xml:space="preserve"> </w:t>
      </w:r>
    </w:p>
    <w:p w:rsidR="002B3C3B" w:rsidRPr="000C73EB" w:rsidRDefault="002B3C3B" w:rsidP="002B3C3B">
      <w:pPr>
        <w:pStyle w:val="n0"/>
        <w:keepLines w:val="0"/>
        <w:spacing w:before="0"/>
        <w:ind w:left="0" w:right="49" w:firstLine="0"/>
        <w:jc w:val="center"/>
        <w:rPr>
          <w:b/>
          <w:smallCaps/>
          <w:color w:val="auto"/>
          <w:sz w:val="22"/>
          <w:szCs w:val="22"/>
        </w:rPr>
      </w:pPr>
      <w:r w:rsidRPr="000C73EB">
        <w:rPr>
          <w:b/>
          <w:smallCaps/>
          <w:color w:val="auto"/>
          <w:sz w:val="22"/>
          <w:szCs w:val="22"/>
        </w:rPr>
        <w:t>(Porcentajes respecto de la población ocupada)</w:t>
      </w:r>
    </w:p>
    <w:p w:rsidR="002B3C3B" w:rsidRDefault="002B3C3B" w:rsidP="002B3C3B">
      <w:pPr>
        <w:pStyle w:val="n0"/>
        <w:keepLines w:val="0"/>
        <w:spacing w:before="0"/>
        <w:ind w:left="0" w:right="49" w:firstLine="0"/>
        <w:jc w:val="center"/>
        <w:rPr>
          <w:b/>
          <w:smallCaps/>
          <w:color w:val="auto"/>
          <w:sz w:val="22"/>
          <w:szCs w:val="22"/>
        </w:rPr>
      </w:pPr>
      <w:r w:rsidRPr="000C73EB">
        <w:rPr>
          <w:b/>
          <w:smallCaps/>
          <w:color w:val="auto"/>
          <w:sz w:val="22"/>
          <w:szCs w:val="22"/>
        </w:rPr>
        <w:t xml:space="preserve">ENOE </w:t>
      </w:r>
      <w:r>
        <w:rPr>
          <w:b/>
          <w:smallCaps/>
          <w:color w:val="auto"/>
          <w:sz w:val="22"/>
          <w:szCs w:val="22"/>
        </w:rPr>
        <w:t>tercero y cuarto trimestre</w:t>
      </w:r>
      <w:r w:rsidRPr="000C73EB">
        <w:rPr>
          <w:b/>
          <w:smallCaps/>
          <w:color w:val="auto"/>
          <w:sz w:val="22"/>
          <w:szCs w:val="22"/>
        </w:rPr>
        <w:t xml:space="preserve"> </w:t>
      </w:r>
      <w:r>
        <w:rPr>
          <w:b/>
          <w:smallCaps/>
          <w:color w:val="auto"/>
          <w:sz w:val="22"/>
          <w:szCs w:val="22"/>
        </w:rPr>
        <w:t xml:space="preserve">de </w:t>
      </w:r>
      <w:r w:rsidRPr="000C73EB">
        <w:rPr>
          <w:b/>
          <w:smallCaps/>
          <w:color w:val="auto"/>
          <w:sz w:val="22"/>
          <w:szCs w:val="22"/>
        </w:rPr>
        <w:t xml:space="preserve">2019 y </w:t>
      </w:r>
      <w:r>
        <w:rPr>
          <w:b/>
          <w:smallCaps/>
          <w:color w:val="auto"/>
          <w:sz w:val="22"/>
          <w:szCs w:val="22"/>
        </w:rPr>
        <w:t xml:space="preserve">primer trimestre de </w:t>
      </w:r>
      <w:r w:rsidRPr="000C73EB">
        <w:rPr>
          <w:b/>
          <w:smallCaps/>
          <w:color w:val="auto"/>
          <w:sz w:val="22"/>
          <w:szCs w:val="22"/>
        </w:rPr>
        <w:t>2020</w:t>
      </w:r>
    </w:p>
    <w:p w:rsidR="002B3C3B" w:rsidRDefault="002B3C3B" w:rsidP="002B3C3B">
      <w:pPr>
        <w:pStyle w:val="n0"/>
        <w:keepLines w:val="0"/>
        <w:spacing w:before="0"/>
        <w:ind w:left="0" w:right="49" w:firstLine="0"/>
        <w:jc w:val="center"/>
        <w:rPr>
          <w:b/>
          <w:smallCaps/>
          <w:color w:val="auto"/>
          <w:sz w:val="22"/>
          <w:szCs w:val="22"/>
        </w:rPr>
      </w:pPr>
      <w:r>
        <w:rPr>
          <w:b/>
          <w:smallCaps/>
          <w:noProof/>
          <w:color w:val="auto"/>
          <w:sz w:val="22"/>
          <w:szCs w:val="22"/>
          <w:lang w:val="es-MX" w:eastAsia="es-MX"/>
        </w:rPr>
        <w:drawing>
          <wp:inline distT="0" distB="0" distL="0" distR="0" wp14:anchorId="7D91B10A" wp14:editId="5941B6A8">
            <wp:extent cx="5311763" cy="3204000"/>
            <wp:effectExtent l="0" t="0" r="381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11763" cy="3204000"/>
                    </a:xfrm>
                    <a:prstGeom prst="rect">
                      <a:avLst/>
                    </a:prstGeom>
                    <a:noFill/>
                  </pic:spPr>
                </pic:pic>
              </a:graphicData>
            </a:graphic>
          </wp:inline>
        </w:drawing>
      </w:r>
    </w:p>
    <w:p w:rsidR="002B3C3B" w:rsidRDefault="002B3C3B" w:rsidP="002B3C3B">
      <w:pPr>
        <w:spacing w:after="0" w:line="240" w:lineRule="auto"/>
        <w:ind w:left="284" w:right="333"/>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rsidR="002B3C3B" w:rsidRDefault="002B3C3B" w:rsidP="002B3C3B">
      <w:pPr>
        <w:tabs>
          <w:tab w:val="left" w:pos="851"/>
        </w:tabs>
        <w:spacing w:after="0" w:line="240" w:lineRule="auto"/>
        <w:ind w:left="142" w:right="333" w:firstLine="142"/>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2B3C3B" w:rsidRDefault="002B3C3B" w:rsidP="002B3C3B">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2B3C3B" w:rsidRDefault="002B3C3B" w:rsidP="002B3C3B">
      <w:pPr>
        <w:pStyle w:val="Prrafodelista"/>
        <w:spacing w:after="0" w:line="240" w:lineRule="auto"/>
        <w:ind w:left="0" w:right="49"/>
        <w:jc w:val="both"/>
        <w:rPr>
          <w:rFonts w:ascii="Arial" w:hAnsi="Arial" w:cs="Arial"/>
          <w:bCs/>
          <w:spacing w:val="8"/>
        </w:rPr>
      </w:pPr>
    </w:p>
    <w:p w:rsidR="002B3C3B" w:rsidRDefault="002B3C3B" w:rsidP="002B3C3B">
      <w:pPr>
        <w:pStyle w:val="Prrafodelista"/>
        <w:spacing w:after="0" w:line="240" w:lineRule="auto"/>
        <w:ind w:left="0" w:right="49"/>
        <w:jc w:val="both"/>
        <w:rPr>
          <w:rFonts w:ascii="Arial" w:hAnsi="Arial" w:cs="Arial"/>
          <w:bCs/>
          <w:spacing w:val="8"/>
        </w:rPr>
      </w:pPr>
      <w:r>
        <w:rPr>
          <w:rFonts w:ascii="Arial" w:hAnsi="Arial" w:cs="Arial"/>
          <w:bCs/>
          <w:spacing w:val="8"/>
        </w:rPr>
        <w:t xml:space="preserve">En el tercer trimestre de 2020 </w:t>
      </w:r>
      <w:r w:rsidR="00450261">
        <w:rPr>
          <w:rFonts w:ascii="Arial" w:hAnsi="Arial" w:cs="Arial"/>
          <w:bCs/>
          <w:spacing w:val="8"/>
        </w:rPr>
        <w:t xml:space="preserve">para </w:t>
      </w:r>
      <w:r>
        <w:rPr>
          <w:rFonts w:ascii="Arial" w:hAnsi="Arial" w:cs="Arial"/>
          <w:bCs/>
          <w:spacing w:val="8"/>
        </w:rPr>
        <w:t xml:space="preserve">la población subocupada según su posición en la ocupación, se tiene que los trabajadores, subordinados y remunerados concentraron el 47% y los trabajadores por cuenta propia representaron el 42.9 por ciento. Dichas categorías de trabajadores fueron los que más aumentaron en términos absolutos en comparación con el mismo trimestre del año pasado </w:t>
      </w:r>
      <w:r w:rsidRPr="00F14F7E">
        <w:rPr>
          <w:rFonts w:ascii="Arial" w:hAnsi="Arial" w:cs="Arial"/>
          <w:bCs/>
          <w:spacing w:val="8"/>
        </w:rPr>
        <w:t xml:space="preserve">con </w:t>
      </w:r>
      <w:r w:rsidR="00FD3530" w:rsidRPr="00F14F7E">
        <w:rPr>
          <w:rFonts w:ascii="Arial" w:hAnsi="Arial" w:cs="Arial"/>
          <w:bCs/>
          <w:spacing w:val="8"/>
        </w:rPr>
        <w:t>178</w:t>
      </w:r>
      <w:r w:rsidRPr="00F14F7E">
        <w:rPr>
          <w:rFonts w:ascii="Arial" w:hAnsi="Arial" w:cs="Arial"/>
          <w:bCs/>
          <w:spacing w:val="8"/>
        </w:rPr>
        <w:t xml:space="preserve"> mil </w:t>
      </w:r>
      <w:r>
        <w:rPr>
          <w:rFonts w:ascii="Arial" w:hAnsi="Arial" w:cs="Arial"/>
          <w:bCs/>
          <w:spacing w:val="8"/>
        </w:rPr>
        <w:t>el primer grupo y 22</w:t>
      </w:r>
      <w:r w:rsidR="00450261">
        <w:rPr>
          <w:rFonts w:ascii="Arial" w:hAnsi="Arial" w:cs="Arial"/>
          <w:bCs/>
          <w:spacing w:val="8"/>
        </w:rPr>
        <w:t>4.9</w:t>
      </w:r>
      <w:r>
        <w:rPr>
          <w:rFonts w:ascii="Arial" w:hAnsi="Arial" w:cs="Arial"/>
          <w:bCs/>
          <w:spacing w:val="8"/>
        </w:rPr>
        <w:t xml:space="preserve"> mil el segundo grupo de trabajadores.</w:t>
      </w:r>
    </w:p>
    <w:p w:rsidR="002B3C3B" w:rsidRDefault="002B3C3B" w:rsidP="002B3C3B">
      <w:pPr>
        <w:rPr>
          <w:rFonts w:ascii="Arial" w:eastAsia="Times New Roman" w:hAnsi="Arial" w:cs="Arial"/>
          <w:b/>
          <w:smallCaps/>
          <w:lang w:val="es-ES_tradnl" w:eastAsia="es-ES"/>
        </w:rPr>
      </w:pPr>
    </w:p>
    <w:p w:rsidR="002B3C3B" w:rsidRDefault="002B3C3B" w:rsidP="002B3C3B">
      <w:pPr>
        <w:pStyle w:val="n0"/>
        <w:keepLines w:val="0"/>
        <w:spacing w:before="0"/>
        <w:ind w:left="0" w:right="49" w:firstLine="0"/>
        <w:jc w:val="center"/>
        <w:rPr>
          <w:b/>
          <w:smallCaps/>
          <w:color w:val="auto"/>
          <w:sz w:val="22"/>
          <w:szCs w:val="22"/>
        </w:rPr>
      </w:pPr>
      <w:r w:rsidRPr="00EE43E5">
        <w:rPr>
          <w:b/>
          <w:smallCaps/>
          <w:color w:val="auto"/>
          <w:sz w:val="22"/>
          <w:szCs w:val="22"/>
        </w:rPr>
        <w:lastRenderedPageBreak/>
        <w:t>Población subocupada según posición en la ocupación</w:t>
      </w:r>
    </w:p>
    <w:p w:rsidR="002B3C3B" w:rsidRPr="00EE43E5" w:rsidRDefault="002B3C3B" w:rsidP="002B3C3B">
      <w:pPr>
        <w:pStyle w:val="n0"/>
        <w:keepLines w:val="0"/>
        <w:spacing w:before="0"/>
        <w:ind w:left="0" w:right="49" w:firstLine="0"/>
        <w:jc w:val="center"/>
        <w:rPr>
          <w:b/>
          <w:smallCaps/>
          <w:color w:val="auto"/>
          <w:sz w:val="22"/>
          <w:szCs w:val="22"/>
        </w:rPr>
      </w:pPr>
      <w:r w:rsidRPr="00EE43E5">
        <w:rPr>
          <w:b/>
          <w:smallCaps/>
          <w:color w:val="auto"/>
          <w:sz w:val="22"/>
          <w:szCs w:val="22"/>
        </w:rPr>
        <w:t xml:space="preserve">durante </w:t>
      </w:r>
      <w:r>
        <w:rPr>
          <w:b/>
          <w:smallCaps/>
          <w:color w:val="auto"/>
          <w:sz w:val="22"/>
          <w:szCs w:val="22"/>
        </w:rPr>
        <w:t>el tercer trimestre</w:t>
      </w:r>
      <w:r w:rsidRPr="00EE43E5">
        <w:rPr>
          <w:b/>
          <w:smallCaps/>
          <w:color w:val="auto"/>
          <w:sz w:val="22"/>
          <w:szCs w:val="22"/>
        </w:rPr>
        <w:t xml:space="preserve"> de 2020</w:t>
      </w:r>
    </w:p>
    <w:p w:rsidR="002B3C3B" w:rsidRDefault="002B3C3B" w:rsidP="002B3C3B">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rsidR="002B3C3B" w:rsidRPr="00E33F09" w:rsidRDefault="002B3C3B" w:rsidP="002B3C3B">
      <w:pPr>
        <w:spacing w:after="0" w:line="240" w:lineRule="auto"/>
        <w:ind w:right="51"/>
        <w:jc w:val="center"/>
        <w:rPr>
          <w:rFonts w:ascii="Arial" w:hAnsi="Arial" w:cs="Arial"/>
          <w:smallCaps/>
          <w:sz w:val="18"/>
          <w:szCs w:val="18"/>
        </w:rPr>
      </w:pPr>
      <w:r w:rsidRPr="00AB7D8A">
        <w:rPr>
          <w:noProof/>
          <w:lang w:eastAsia="es-MX"/>
        </w:rPr>
        <w:drawing>
          <wp:inline distT="0" distB="0" distL="0" distR="0" wp14:anchorId="490925C5" wp14:editId="7EFACF21">
            <wp:extent cx="5715448" cy="1404000"/>
            <wp:effectExtent l="0" t="0" r="0" b="5715"/>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448" cy="1404000"/>
                    </a:xfrm>
                    <a:prstGeom prst="rect">
                      <a:avLst/>
                    </a:prstGeom>
                    <a:noFill/>
                    <a:ln>
                      <a:noFill/>
                    </a:ln>
                  </pic:spPr>
                </pic:pic>
              </a:graphicData>
            </a:graphic>
          </wp:inline>
        </w:drawing>
      </w:r>
    </w:p>
    <w:p w:rsidR="002B3C3B" w:rsidRDefault="002B3C3B" w:rsidP="002B3C3B">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2B3C3B" w:rsidRDefault="002B3C3B" w:rsidP="002B3C3B">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2B3C3B" w:rsidRDefault="002B3C3B" w:rsidP="002B3C3B">
      <w:pPr>
        <w:pStyle w:val="Prrafodelista"/>
        <w:spacing w:after="0" w:line="240" w:lineRule="auto"/>
        <w:ind w:left="0" w:right="49"/>
        <w:jc w:val="both"/>
        <w:rPr>
          <w:rFonts w:ascii="Arial" w:hAnsi="Arial" w:cs="Arial"/>
          <w:bCs/>
          <w:spacing w:val="8"/>
        </w:rPr>
      </w:pPr>
    </w:p>
    <w:p w:rsidR="002B3C3B" w:rsidRDefault="002B3C3B" w:rsidP="002B3C3B">
      <w:pPr>
        <w:pStyle w:val="Prrafodelista"/>
        <w:spacing w:after="0" w:line="240" w:lineRule="auto"/>
        <w:ind w:left="0" w:right="49"/>
        <w:jc w:val="both"/>
        <w:rPr>
          <w:rFonts w:ascii="Arial" w:hAnsi="Arial" w:cs="Arial"/>
          <w:bCs/>
          <w:spacing w:val="8"/>
        </w:rPr>
      </w:pPr>
      <w:r>
        <w:rPr>
          <w:rFonts w:ascii="Arial" w:hAnsi="Arial" w:cs="Arial"/>
          <w:bCs/>
          <w:spacing w:val="8"/>
        </w:rPr>
        <w:t xml:space="preserve">Según el </w:t>
      </w:r>
      <w:r w:rsidRPr="00FE4E28">
        <w:rPr>
          <w:rFonts w:ascii="Arial" w:hAnsi="Arial" w:cs="Arial"/>
          <w:bCs/>
          <w:spacing w:val="8"/>
        </w:rPr>
        <w:t xml:space="preserve">sector </w:t>
      </w:r>
      <w:r>
        <w:rPr>
          <w:rFonts w:ascii="Arial" w:hAnsi="Arial" w:cs="Arial"/>
          <w:bCs/>
          <w:spacing w:val="8"/>
        </w:rPr>
        <w:t xml:space="preserve">de actividad </w:t>
      </w:r>
      <w:r w:rsidRPr="00FE4E28">
        <w:rPr>
          <w:rFonts w:ascii="Arial" w:hAnsi="Arial" w:cs="Arial"/>
          <w:bCs/>
          <w:spacing w:val="8"/>
        </w:rPr>
        <w:t>económic</w:t>
      </w:r>
      <w:r>
        <w:rPr>
          <w:rFonts w:ascii="Arial" w:hAnsi="Arial" w:cs="Arial"/>
          <w:bCs/>
          <w:spacing w:val="8"/>
        </w:rPr>
        <w:t>a, entre el tercer trimestre de 2019 y el mismo trimestre de 2020, el sector terciario aumentó 16.6 puntos porcentuales, frente a una disminución del sector secundario de (-)10.8 puntos porcentuales y del sector primario de (-)5.7 puntos porcentuales en el mismo periodo. Asimismo, en el tercer trimestre de 2020, el 70% de los subocupados laboraba en el sector terciario, 16.1% lo hacía en el sector primario y finalmente, 13.8% trabajaba en el sector secundario.</w:t>
      </w:r>
    </w:p>
    <w:p w:rsidR="002B3C3B" w:rsidRDefault="002B3C3B" w:rsidP="002B3C3B">
      <w:pPr>
        <w:pStyle w:val="Prrafodelista"/>
        <w:spacing w:after="0" w:line="240" w:lineRule="auto"/>
        <w:ind w:left="0" w:right="49"/>
        <w:jc w:val="both"/>
        <w:rPr>
          <w:rFonts w:ascii="Arial" w:hAnsi="Arial" w:cs="Arial"/>
          <w:bCs/>
          <w:spacing w:val="8"/>
        </w:rPr>
      </w:pPr>
    </w:p>
    <w:p w:rsidR="002B3C3B" w:rsidRDefault="002B3C3B" w:rsidP="002B3C3B">
      <w:pPr>
        <w:pStyle w:val="n0"/>
        <w:keepLines w:val="0"/>
        <w:spacing w:before="0"/>
        <w:ind w:left="0" w:right="49" w:firstLine="0"/>
        <w:jc w:val="center"/>
        <w:rPr>
          <w:b/>
          <w:smallCaps/>
          <w:color w:val="auto"/>
          <w:sz w:val="22"/>
          <w:szCs w:val="22"/>
        </w:rPr>
      </w:pPr>
      <w:r w:rsidRPr="00F54EC6">
        <w:rPr>
          <w:b/>
          <w:smallCaps/>
          <w:color w:val="auto"/>
          <w:sz w:val="22"/>
          <w:szCs w:val="22"/>
        </w:rPr>
        <w:t>Población subocupada según sector de actividad económica</w:t>
      </w:r>
    </w:p>
    <w:p w:rsidR="002B3C3B" w:rsidRPr="00F54EC6" w:rsidRDefault="002B3C3B" w:rsidP="002B3C3B">
      <w:pPr>
        <w:pStyle w:val="n0"/>
        <w:keepLines w:val="0"/>
        <w:spacing w:before="0"/>
        <w:ind w:left="0" w:right="49" w:firstLine="0"/>
        <w:jc w:val="center"/>
        <w:rPr>
          <w:b/>
          <w:smallCaps/>
          <w:color w:val="auto"/>
          <w:sz w:val="22"/>
          <w:szCs w:val="22"/>
        </w:rPr>
      </w:pPr>
      <w:r w:rsidRPr="00F54EC6">
        <w:rPr>
          <w:b/>
          <w:smallCaps/>
          <w:color w:val="auto"/>
          <w:sz w:val="22"/>
          <w:szCs w:val="22"/>
        </w:rPr>
        <w:t xml:space="preserve">durante </w:t>
      </w:r>
      <w:r>
        <w:rPr>
          <w:b/>
          <w:smallCaps/>
          <w:color w:val="auto"/>
          <w:sz w:val="22"/>
          <w:szCs w:val="22"/>
        </w:rPr>
        <w:t>el tercer trimestre</w:t>
      </w:r>
      <w:r w:rsidRPr="00F54EC6">
        <w:rPr>
          <w:b/>
          <w:smallCaps/>
          <w:color w:val="auto"/>
          <w:sz w:val="22"/>
          <w:szCs w:val="22"/>
        </w:rPr>
        <w:t xml:space="preserve"> de 2020</w:t>
      </w:r>
    </w:p>
    <w:p w:rsidR="002B3C3B" w:rsidRDefault="002B3C3B" w:rsidP="002B3C3B">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rsidR="002B3C3B" w:rsidRPr="00E33F09" w:rsidRDefault="002B3C3B" w:rsidP="002B3C3B">
      <w:pPr>
        <w:spacing w:after="0" w:line="240" w:lineRule="auto"/>
        <w:ind w:right="51"/>
        <w:rPr>
          <w:rFonts w:ascii="Arial" w:hAnsi="Arial" w:cs="Arial"/>
          <w:smallCaps/>
          <w:sz w:val="18"/>
          <w:szCs w:val="18"/>
        </w:rPr>
      </w:pPr>
      <w:r w:rsidRPr="00AB7D8A">
        <w:rPr>
          <w:noProof/>
          <w:lang w:eastAsia="es-MX"/>
        </w:rPr>
        <w:drawing>
          <wp:inline distT="0" distB="0" distL="0" distR="0" wp14:anchorId="76E919A6" wp14:editId="6789EE76">
            <wp:extent cx="5760720" cy="128147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1281470"/>
                    </a:xfrm>
                    <a:prstGeom prst="rect">
                      <a:avLst/>
                    </a:prstGeom>
                    <a:noFill/>
                    <a:ln>
                      <a:noFill/>
                    </a:ln>
                  </pic:spPr>
                </pic:pic>
              </a:graphicData>
            </a:graphic>
          </wp:inline>
        </w:drawing>
      </w:r>
    </w:p>
    <w:p w:rsidR="002B3C3B" w:rsidRDefault="002B3C3B" w:rsidP="002B3C3B">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2B3C3B" w:rsidRDefault="002B3C3B" w:rsidP="002B3C3B">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2B3C3B" w:rsidRDefault="002B3C3B" w:rsidP="002B3C3B">
      <w:pPr>
        <w:pStyle w:val="n0"/>
        <w:keepLines w:val="0"/>
        <w:spacing w:before="0"/>
        <w:ind w:left="0" w:right="49" w:firstLine="0"/>
        <w:jc w:val="left"/>
        <w:rPr>
          <w:b/>
          <w:smallCaps/>
          <w:color w:val="auto"/>
          <w:sz w:val="22"/>
          <w:szCs w:val="22"/>
        </w:rPr>
      </w:pPr>
    </w:p>
    <w:p w:rsidR="002B3C3B" w:rsidRDefault="002B3C3B" w:rsidP="002B3C3B">
      <w:pPr>
        <w:pStyle w:val="n0"/>
        <w:keepLines w:val="0"/>
        <w:spacing w:before="0"/>
        <w:ind w:left="0" w:right="49" w:firstLine="0"/>
        <w:jc w:val="left"/>
        <w:rPr>
          <w:b/>
          <w:smallCaps/>
          <w:color w:val="auto"/>
          <w:sz w:val="22"/>
          <w:szCs w:val="22"/>
        </w:rPr>
      </w:pPr>
      <w:r w:rsidRPr="00F54EC6">
        <w:rPr>
          <w:b/>
          <w:smallCaps/>
          <w:color w:val="auto"/>
          <w:sz w:val="22"/>
          <w:szCs w:val="22"/>
        </w:rPr>
        <w:t>OCUPACIÓN INFORMAL</w:t>
      </w:r>
    </w:p>
    <w:p w:rsidR="002B3C3B" w:rsidRPr="00F54EC6" w:rsidRDefault="002B3C3B" w:rsidP="002B3C3B">
      <w:pPr>
        <w:pStyle w:val="n0"/>
        <w:keepLines w:val="0"/>
        <w:spacing w:before="0"/>
        <w:ind w:left="0" w:right="49" w:firstLine="0"/>
        <w:jc w:val="left"/>
        <w:rPr>
          <w:b/>
          <w:smallCaps/>
          <w:color w:val="auto"/>
          <w:sz w:val="22"/>
          <w:szCs w:val="22"/>
        </w:rPr>
      </w:pPr>
    </w:p>
    <w:p w:rsidR="002B3C3B" w:rsidRDefault="002B3C3B" w:rsidP="002B3C3B">
      <w:pPr>
        <w:pStyle w:val="n0"/>
        <w:keepLines w:val="0"/>
        <w:spacing w:before="0"/>
        <w:ind w:left="0" w:right="49" w:firstLine="0"/>
        <w:rPr>
          <w:bCs/>
          <w:color w:val="auto"/>
          <w:spacing w:val="10"/>
          <w:sz w:val="22"/>
          <w:szCs w:val="22"/>
        </w:rPr>
      </w:pPr>
      <w:r w:rsidRPr="00F54EC6">
        <w:rPr>
          <w:bCs/>
          <w:color w:val="auto"/>
          <w:spacing w:val="10"/>
          <w:sz w:val="22"/>
          <w:szCs w:val="22"/>
        </w:rPr>
        <w:t xml:space="preserve">La población ocupada </w:t>
      </w:r>
      <w:r>
        <w:rPr>
          <w:bCs/>
          <w:color w:val="auto"/>
          <w:spacing w:val="10"/>
          <w:sz w:val="22"/>
          <w:szCs w:val="22"/>
        </w:rPr>
        <w:t xml:space="preserve">informal, que comprende a los </w:t>
      </w:r>
      <w:r w:rsidRPr="00CC15D8">
        <w:rPr>
          <w:color w:val="auto"/>
          <w:sz w:val="22"/>
          <w:szCs w:val="22"/>
        </w:rPr>
        <w:t>ocupados que son laboralmente vulnerables por la naturaleza de la unidad económica para la que trabajan</w:t>
      </w:r>
      <w:r>
        <w:rPr>
          <w:color w:val="auto"/>
          <w:sz w:val="22"/>
          <w:szCs w:val="22"/>
        </w:rPr>
        <w:t>,</w:t>
      </w:r>
      <w:r w:rsidRPr="00CC15D8">
        <w:rPr>
          <w:color w:val="auto"/>
          <w:sz w:val="22"/>
          <w:szCs w:val="22"/>
        </w:rPr>
        <w:t xml:space="preserve"> como aquellos cuyo vínculo o dependencia laboral no es reconocido por su fuente de trabajo</w:t>
      </w:r>
      <w:r>
        <w:rPr>
          <w:color w:val="auto"/>
          <w:sz w:val="22"/>
          <w:szCs w:val="22"/>
        </w:rPr>
        <w:t>, e</w:t>
      </w:r>
      <w:r w:rsidRPr="00F54EC6">
        <w:rPr>
          <w:bCs/>
          <w:color w:val="auto"/>
          <w:spacing w:val="10"/>
          <w:sz w:val="22"/>
          <w:szCs w:val="22"/>
        </w:rPr>
        <w:t xml:space="preserve">n </w:t>
      </w:r>
      <w:r>
        <w:rPr>
          <w:bCs/>
          <w:color w:val="auto"/>
          <w:spacing w:val="10"/>
          <w:sz w:val="22"/>
          <w:szCs w:val="22"/>
        </w:rPr>
        <w:t>el tercer trimestre</w:t>
      </w:r>
      <w:r w:rsidRPr="00F54EC6">
        <w:rPr>
          <w:bCs/>
          <w:color w:val="auto"/>
          <w:spacing w:val="10"/>
          <w:sz w:val="22"/>
          <w:szCs w:val="22"/>
        </w:rPr>
        <w:t xml:space="preserve"> de 2020 fue de </w:t>
      </w:r>
      <w:r>
        <w:rPr>
          <w:bCs/>
          <w:color w:val="auto"/>
          <w:spacing w:val="10"/>
          <w:sz w:val="22"/>
          <w:szCs w:val="22"/>
        </w:rPr>
        <w:t>2.1</w:t>
      </w:r>
      <w:r w:rsidRPr="00F54EC6">
        <w:rPr>
          <w:bCs/>
          <w:color w:val="auto"/>
          <w:spacing w:val="10"/>
          <w:sz w:val="22"/>
          <w:szCs w:val="22"/>
        </w:rPr>
        <w:t xml:space="preserve"> millones, </w:t>
      </w:r>
      <w:r>
        <w:rPr>
          <w:bCs/>
          <w:color w:val="auto"/>
          <w:spacing w:val="10"/>
          <w:sz w:val="22"/>
          <w:szCs w:val="22"/>
        </w:rPr>
        <w:t xml:space="preserve">(-)121 mil menos comparado con igual trimestre del año pasado. Dicho comportamiento se debió a una disminución de </w:t>
      </w:r>
      <w:r w:rsidR="002129BF">
        <w:rPr>
          <w:bCs/>
          <w:color w:val="auto"/>
          <w:spacing w:val="10"/>
          <w:sz w:val="22"/>
          <w:szCs w:val="22"/>
        </w:rPr>
        <w:br/>
      </w:r>
      <w:r>
        <w:rPr>
          <w:bCs/>
          <w:color w:val="auto"/>
          <w:spacing w:val="10"/>
          <w:sz w:val="22"/>
          <w:szCs w:val="22"/>
        </w:rPr>
        <w:t>(-)127 mil ocupados informales fuera del sector informal que pasó de 1.3 millones en el tercer trimestre de 2019 a 1.2 millones en el tercer trimestre de 2020; mientras que la ocupación informal aument</w:t>
      </w:r>
      <w:r w:rsidR="002D1644">
        <w:rPr>
          <w:bCs/>
          <w:color w:val="auto"/>
          <w:spacing w:val="10"/>
          <w:sz w:val="22"/>
          <w:szCs w:val="22"/>
        </w:rPr>
        <w:t>ó</w:t>
      </w:r>
      <w:r>
        <w:rPr>
          <w:bCs/>
          <w:color w:val="auto"/>
          <w:spacing w:val="10"/>
          <w:sz w:val="22"/>
          <w:szCs w:val="22"/>
        </w:rPr>
        <w:t xml:space="preserve"> 6 mil al pasar de 921 mil a 927 mil en el mismo periodo.</w:t>
      </w:r>
    </w:p>
    <w:p w:rsidR="002B3C3B" w:rsidRPr="00F54EC6" w:rsidRDefault="002B3C3B" w:rsidP="002B3C3B">
      <w:pPr>
        <w:pStyle w:val="n0"/>
        <w:keepLines w:val="0"/>
        <w:spacing w:before="0"/>
        <w:ind w:left="0" w:right="49" w:firstLine="0"/>
        <w:rPr>
          <w:bCs/>
          <w:color w:val="auto"/>
          <w:spacing w:val="10"/>
          <w:sz w:val="22"/>
          <w:szCs w:val="22"/>
        </w:rPr>
      </w:pPr>
    </w:p>
    <w:p w:rsidR="008860B4" w:rsidRPr="00F54EC6" w:rsidRDefault="008860B4" w:rsidP="009749DA">
      <w:pPr>
        <w:pStyle w:val="n0"/>
        <w:keepLines w:val="0"/>
        <w:spacing w:before="0"/>
        <w:ind w:left="0" w:right="49" w:firstLine="0"/>
        <w:rPr>
          <w:bCs/>
          <w:color w:val="auto"/>
          <w:spacing w:val="10"/>
          <w:sz w:val="22"/>
          <w:szCs w:val="22"/>
        </w:rPr>
      </w:pPr>
    </w:p>
    <w:p w:rsidR="008C0B0A" w:rsidRDefault="008C0B0A" w:rsidP="009749DA">
      <w:pPr>
        <w:rPr>
          <w:rFonts w:ascii="Arial" w:eastAsia="Times New Roman" w:hAnsi="Arial" w:cs="Arial"/>
          <w:b/>
          <w:smallCaps/>
          <w:lang w:val="es-ES_tradnl" w:eastAsia="es-ES"/>
        </w:rPr>
      </w:pPr>
      <w:r>
        <w:rPr>
          <w:b/>
          <w:smallCaps/>
        </w:rPr>
        <w:br w:type="page"/>
      </w:r>
    </w:p>
    <w:p w:rsidR="00685A0A" w:rsidRPr="00632DAC" w:rsidRDefault="00685A0A" w:rsidP="009749DA">
      <w:pPr>
        <w:pStyle w:val="n0"/>
        <w:keepLines w:val="0"/>
        <w:spacing w:before="0"/>
        <w:ind w:left="0" w:right="49" w:firstLine="0"/>
        <w:jc w:val="center"/>
        <w:rPr>
          <w:b/>
          <w:smallCaps/>
          <w:color w:val="auto"/>
          <w:sz w:val="22"/>
          <w:szCs w:val="22"/>
        </w:rPr>
      </w:pPr>
      <w:r w:rsidRPr="00632DAC">
        <w:rPr>
          <w:b/>
          <w:smallCaps/>
          <w:color w:val="auto"/>
          <w:sz w:val="22"/>
          <w:szCs w:val="22"/>
        </w:rPr>
        <w:lastRenderedPageBreak/>
        <w:t xml:space="preserve">Gráfico </w:t>
      </w:r>
      <w:r w:rsidR="00AD2164" w:rsidRPr="00632DAC">
        <w:rPr>
          <w:b/>
          <w:smallCaps/>
          <w:color w:val="auto"/>
          <w:sz w:val="22"/>
          <w:szCs w:val="22"/>
        </w:rPr>
        <w:t>4</w:t>
      </w:r>
      <w:r w:rsidRPr="00632DAC">
        <w:rPr>
          <w:b/>
          <w:smallCaps/>
          <w:color w:val="auto"/>
          <w:sz w:val="22"/>
          <w:szCs w:val="22"/>
        </w:rPr>
        <w:t xml:space="preserve">. </w:t>
      </w:r>
      <w:r w:rsidR="00AA57BA" w:rsidRPr="00632DAC">
        <w:rPr>
          <w:b/>
          <w:smallCaps/>
          <w:color w:val="auto"/>
          <w:sz w:val="22"/>
          <w:szCs w:val="22"/>
        </w:rPr>
        <w:t xml:space="preserve">Población en </w:t>
      </w:r>
      <w:r w:rsidRPr="00632DAC">
        <w:rPr>
          <w:b/>
          <w:smallCaps/>
          <w:color w:val="auto"/>
          <w:sz w:val="22"/>
          <w:szCs w:val="22"/>
        </w:rPr>
        <w:t xml:space="preserve">ocupación </w:t>
      </w:r>
      <w:r w:rsidR="00AA57BA" w:rsidRPr="00632DAC">
        <w:rPr>
          <w:b/>
          <w:smallCaps/>
          <w:color w:val="auto"/>
          <w:sz w:val="22"/>
          <w:szCs w:val="22"/>
        </w:rPr>
        <w:t xml:space="preserve">informal </w:t>
      </w:r>
      <w:r w:rsidRPr="00632DAC">
        <w:rPr>
          <w:b/>
          <w:smallCaps/>
          <w:color w:val="auto"/>
          <w:sz w:val="22"/>
          <w:szCs w:val="22"/>
        </w:rPr>
        <w:t>E</w:t>
      </w:r>
      <w:r w:rsidR="00B7794A" w:rsidRPr="00632DAC">
        <w:rPr>
          <w:b/>
          <w:smallCaps/>
          <w:color w:val="auto"/>
          <w:sz w:val="22"/>
          <w:szCs w:val="22"/>
        </w:rPr>
        <w:t>N</w:t>
      </w:r>
      <w:r w:rsidRPr="00632DAC">
        <w:rPr>
          <w:b/>
          <w:smallCaps/>
          <w:color w:val="auto"/>
          <w:sz w:val="22"/>
          <w:szCs w:val="22"/>
        </w:rPr>
        <w:t>OE</w:t>
      </w:r>
      <w:r w:rsidR="00F66482" w:rsidRPr="00632DAC">
        <w:rPr>
          <w:b/>
          <w:smallCaps/>
          <w:color w:val="auto"/>
          <w:sz w:val="22"/>
          <w:szCs w:val="22"/>
          <w:vertAlign w:val="superscript"/>
        </w:rPr>
        <w:t>N</w:t>
      </w:r>
      <w:r w:rsidRPr="00632DAC">
        <w:rPr>
          <w:b/>
          <w:smallCaps/>
          <w:color w:val="auto"/>
          <w:sz w:val="22"/>
          <w:szCs w:val="22"/>
        </w:rPr>
        <w:t xml:space="preserve"> a</w:t>
      </w:r>
      <w:r w:rsidR="003966E8" w:rsidRPr="00632DAC">
        <w:rPr>
          <w:b/>
          <w:smallCaps/>
          <w:color w:val="auto"/>
          <w:sz w:val="22"/>
          <w:szCs w:val="22"/>
        </w:rPr>
        <w:t xml:space="preserve">l </w:t>
      </w:r>
      <w:r w:rsidR="00177695" w:rsidRPr="00632DAC">
        <w:rPr>
          <w:b/>
          <w:smallCaps/>
          <w:color w:val="auto"/>
          <w:sz w:val="22"/>
          <w:szCs w:val="22"/>
        </w:rPr>
        <w:t>tercer trimestre</w:t>
      </w:r>
      <w:r w:rsidRPr="00632DAC">
        <w:rPr>
          <w:b/>
          <w:smallCaps/>
          <w:color w:val="auto"/>
          <w:sz w:val="22"/>
          <w:szCs w:val="22"/>
        </w:rPr>
        <w:t xml:space="preserve"> de 2020 </w:t>
      </w:r>
    </w:p>
    <w:p w:rsidR="00685A0A" w:rsidRPr="00632DAC" w:rsidRDefault="00685A0A" w:rsidP="009749DA">
      <w:pPr>
        <w:pStyle w:val="n0"/>
        <w:keepLines w:val="0"/>
        <w:spacing w:before="0"/>
        <w:ind w:left="0" w:right="49" w:firstLine="0"/>
        <w:jc w:val="center"/>
        <w:rPr>
          <w:b/>
          <w:smallCaps/>
          <w:color w:val="auto"/>
          <w:sz w:val="22"/>
          <w:szCs w:val="22"/>
        </w:rPr>
      </w:pPr>
      <w:r w:rsidRPr="00632DAC">
        <w:rPr>
          <w:b/>
          <w:smallCaps/>
          <w:color w:val="auto"/>
          <w:sz w:val="22"/>
          <w:szCs w:val="22"/>
        </w:rPr>
        <w:t>(</w:t>
      </w:r>
      <w:r w:rsidR="008A6B5B" w:rsidRPr="00632DAC">
        <w:rPr>
          <w:b/>
          <w:smallCaps/>
          <w:color w:val="auto"/>
          <w:sz w:val="22"/>
          <w:szCs w:val="22"/>
        </w:rPr>
        <w:t>miles de personas</w:t>
      </w:r>
      <w:r w:rsidRPr="00632DAC">
        <w:rPr>
          <w:b/>
          <w:smallCaps/>
          <w:color w:val="auto"/>
          <w:sz w:val="22"/>
          <w:szCs w:val="22"/>
        </w:rPr>
        <w:t>)</w:t>
      </w:r>
    </w:p>
    <w:p w:rsidR="00685A0A" w:rsidRPr="00674B11" w:rsidRDefault="00685A0A" w:rsidP="009749DA">
      <w:pPr>
        <w:pStyle w:val="n0"/>
        <w:keepLines w:val="0"/>
        <w:spacing w:before="0"/>
        <w:ind w:left="0" w:right="49" w:firstLine="0"/>
        <w:jc w:val="center"/>
        <w:rPr>
          <w:b/>
          <w:smallCaps/>
          <w:color w:val="auto"/>
          <w:sz w:val="22"/>
          <w:szCs w:val="22"/>
        </w:rPr>
      </w:pPr>
      <w:r w:rsidRPr="00632DAC">
        <w:rPr>
          <w:b/>
          <w:smallCaps/>
          <w:color w:val="auto"/>
          <w:sz w:val="22"/>
          <w:szCs w:val="22"/>
        </w:rPr>
        <w:t xml:space="preserve">ENOE </w:t>
      </w:r>
      <w:r w:rsidR="00DE4311" w:rsidRPr="00632DAC">
        <w:rPr>
          <w:b/>
          <w:smallCaps/>
          <w:color w:val="auto"/>
          <w:sz w:val="22"/>
          <w:szCs w:val="22"/>
        </w:rPr>
        <w:t>t</w:t>
      </w:r>
      <w:r w:rsidR="00177695" w:rsidRPr="00632DAC">
        <w:rPr>
          <w:b/>
          <w:smallCaps/>
          <w:color w:val="auto"/>
          <w:sz w:val="22"/>
          <w:szCs w:val="22"/>
        </w:rPr>
        <w:t>ercer</w:t>
      </w:r>
      <w:r w:rsidR="00DE4311" w:rsidRPr="00632DAC">
        <w:rPr>
          <w:b/>
          <w:smallCaps/>
          <w:color w:val="auto"/>
          <w:sz w:val="22"/>
          <w:szCs w:val="22"/>
        </w:rPr>
        <w:t>o y cuarto</w:t>
      </w:r>
      <w:r w:rsidR="00177695" w:rsidRPr="00632DAC">
        <w:rPr>
          <w:b/>
          <w:smallCaps/>
          <w:color w:val="auto"/>
          <w:sz w:val="22"/>
          <w:szCs w:val="22"/>
        </w:rPr>
        <w:t xml:space="preserve"> trimestre</w:t>
      </w:r>
      <w:r w:rsidRPr="00632DAC">
        <w:rPr>
          <w:b/>
          <w:smallCaps/>
          <w:color w:val="auto"/>
          <w:sz w:val="22"/>
          <w:szCs w:val="22"/>
        </w:rPr>
        <w:t xml:space="preserve"> </w:t>
      </w:r>
      <w:r w:rsidR="008C0B0A" w:rsidRPr="00632DAC">
        <w:rPr>
          <w:b/>
          <w:smallCaps/>
          <w:color w:val="auto"/>
          <w:sz w:val="22"/>
          <w:szCs w:val="22"/>
        </w:rPr>
        <w:t xml:space="preserve">de </w:t>
      </w:r>
      <w:r w:rsidRPr="00632DAC">
        <w:rPr>
          <w:b/>
          <w:smallCaps/>
          <w:color w:val="auto"/>
          <w:sz w:val="22"/>
          <w:szCs w:val="22"/>
        </w:rPr>
        <w:t xml:space="preserve">2019 y </w:t>
      </w:r>
      <w:r w:rsidR="00DE4311" w:rsidRPr="00632DAC">
        <w:rPr>
          <w:b/>
          <w:smallCaps/>
          <w:color w:val="auto"/>
          <w:sz w:val="22"/>
          <w:szCs w:val="22"/>
        </w:rPr>
        <w:t xml:space="preserve">primer trimestre de </w:t>
      </w:r>
      <w:r w:rsidRPr="00632DAC">
        <w:rPr>
          <w:b/>
          <w:smallCaps/>
          <w:color w:val="auto"/>
          <w:sz w:val="22"/>
          <w:szCs w:val="22"/>
        </w:rPr>
        <w:t>2020</w:t>
      </w:r>
    </w:p>
    <w:p w:rsidR="0039067D" w:rsidRPr="00674B11" w:rsidRDefault="00387E2B" w:rsidP="009749DA">
      <w:pPr>
        <w:pStyle w:val="n0"/>
        <w:keepLines w:val="0"/>
        <w:spacing w:before="0"/>
        <w:ind w:left="0" w:right="49" w:firstLine="0"/>
        <w:jc w:val="center"/>
        <w:rPr>
          <w:bCs/>
          <w:color w:val="auto"/>
          <w:spacing w:val="10"/>
          <w:sz w:val="22"/>
          <w:szCs w:val="22"/>
        </w:rPr>
      </w:pPr>
      <w:r>
        <w:rPr>
          <w:bCs/>
          <w:noProof/>
          <w:color w:val="auto"/>
          <w:spacing w:val="10"/>
          <w:sz w:val="22"/>
          <w:szCs w:val="22"/>
          <w:lang w:val="es-MX" w:eastAsia="es-MX"/>
        </w:rPr>
        <w:drawing>
          <wp:inline distT="0" distB="0" distL="0" distR="0" wp14:anchorId="2C33E0A6">
            <wp:extent cx="4584700" cy="3444240"/>
            <wp:effectExtent l="0" t="0" r="635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84700" cy="3444240"/>
                    </a:xfrm>
                    <a:prstGeom prst="rect">
                      <a:avLst/>
                    </a:prstGeom>
                    <a:noFill/>
                  </pic:spPr>
                </pic:pic>
              </a:graphicData>
            </a:graphic>
          </wp:inline>
        </w:drawing>
      </w:r>
    </w:p>
    <w:p w:rsidR="00DE1072" w:rsidRPr="00674B11" w:rsidRDefault="00DE1072" w:rsidP="009749DA">
      <w:pPr>
        <w:tabs>
          <w:tab w:val="left" w:pos="851"/>
        </w:tabs>
        <w:spacing w:after="0" w:line="240" w:lineRule="auto"/>
        <w:ind w:left="1418" w:right="333" w:hanging="1276"/>
        <w:rPr>
          <w:rFonts w:ascii="Arial" w:hAnsi="Arial" w:cs="Arial"/>
          <w:noProof/>
          <w:sz w:val="14"/>
          <w:szCs w:val="14"/>
          <w:lang w:val="es-ES" w:eastAsia="es-ES"/>
        </w:rPr>
      </w:pPr>
      <w:r w:rsidRPr="00674B11">
        <w:rPr>
          <w:rFonts w:ascii="Arial" w:hAnsi="Arial" w:cs="Arial"/>
          <w:noProof/>
          <w:sz w:val="14"/>
          <w:szCs w:val="14"/>
          <w:lang w:val="es-ES" w:eastAsia="es-ES"/>
        </w:rPr>
        <w:t>Intervalos de confianza al 90 por ciento.</w:t>
      </w:r>
    </w:p>
    <w:p w:rsidR="00177695" w:rsidRDefault="00177695" w:rsidP="009749DA">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177695" w:rsidRDefault="00177695" w:rsidP="009749DA">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177695" w:rsidRDefault="00177695" w:rsidP="009749DA">
      <w:pPr>
        <w:pStyle w:val="n0"/>
        <w:keepLines w:val="0"/>
        <w:spacing w:before="0"/>
        <w:ind w:left="0" w:right="49" w:firstLine="0"/>
        <w:rPr>
          <w:bCs/>
          <w:color w:val="auto"/>
          <w:spacing w:val="10"/>
          <w:sz w:val="22"/>
          <w:szCs w:val="22"/>
        </w:rPr>
      </w:pPr>
    </w:p>
    <w:p w:rsidR="00387E2B" w:rsidRDefault="00387E2B" w:rsidP="00387E2B">
      <w:pPr>
        <w:pStyle w:val="n0"/>
        <w:keepLines w:val="0"/>
        <w:spacing w:before="0"/>
        <w:ind w:left="0" w:right="49" w:firstLine="0"/>
        <w:rPr>
          <w:bCs/>
          <w:color w:val="auto"/>
          <w:spacing w:val="10"/>
          <w:sz w:val="22"/>
          <w:szCs w:val="22"/>
        </w:rPr>
      </w:pPr>
      <w:r>
        <w:rPr>
          <w:bCs/>
          <w:color w:val="auto"/>
          <w:spacing w:val="10"/>
          <w:sz w:val="22"/>
          <w:szCs w:val="22"/>
        </w:rPr>
        <w:t>L</w:t>
      </w:r>
      <w:r w:rsidRPr="00674B11">
        <w:rPr>
          <w:bCs/>
          <w:color w:val="auto"/>
          <w:spacing w:val="10"/>
          <w:sz w:val="22"/>
          <w:szCs w:val="22"/>
        </w:rPr>
        <w:t xml:space="preserve">a ocupación informal </w:t>
      </w:r>
      <w:r>
        <w:rPr>
          <w:bCs/>
          <w:color w:val="auto"/>
          <w:spacing w:val="10"/>
          <w:sz w:val="22"/>
          <w:szCs w:val="22"/>
        </w:rPr>
        <w:t xml:space="preserve">según sexo, muestra en los hombres una disminución de       </w:t>
      </w:r>
      <w:proofErr w:type="gramStart"/>
      <w:r>
        <w:rPr>
          <w:bCs/>
          <w:color w:val="auto"/>
          <w:spacing w:val="10"/>
          <w:sz w:val="22"/>
          <w:szCs w:val="22"/>
        </w:rPr>
        <w:t xml:space="preserve">   (</w:t>
      </w:r>
      <w:proofErr w:type="gramEnd"/>
      <w:r>
        <w:rPr>
          <w:bCs/>
          <w:color w:val="auto"/>
          <w:spacing w:val="10"/>
          <w:sz w:val="22"/>
          <w:szCs w:val="22"/>
        </w:rPr>
        <w:t>-)</w:t>
      </w:r>
      <w:r w:rsidRPr="00140457">
        <w:rPr>
          <w:bCs/>
          <w:color w:val="auto"/>
          <w:spacing w:val="10"/>
          <w:sz w:val="22"/>
          <w:szCs w:val="22"/>
        </w:rPr>
        <w:t>9.7 mil</w:t>
      </w:r>
      <w:r>
        <w:rPr>
          <w:bCs/>
          <w:color w:val="auto"/>
          <w:spacing w:val="10"/>
          <w:sz w:val="22"/>
          <w:szCs w:val="22"/>
        </w:rPr>
        <w:t xml:space="preserve"> personas al registrarse 1 408 miles en el tercer trimestre de 2019 y 1 398 miles en el tercer trimestre de 2020; dicho descenso fue de (-)11 mil ocupados menos fuera del sector informal y registró un aumento de 1.5 mil ocupados más en el sector informal. Por su parte, las mujeres disminuyeron </w:t>
      </w:r>
      <w:r w:rsidRPr="00140457">
        <w:rPr>
          <w:bCs/>
          <w:color w:val="auto"/>
          <w:spacing w:val="10"/>
          <w:sz w:val="22"/>
          <w:szCs w:val="22"/>
        </w:rPr>
        <w:t>en (-)111.4</w:t>
      </w:r>
      <w:r>
        <w:rPr>
          <w:bCs/>
          <w:color w:val="auto"/>
          <w:spacing w:val="10"/>
          <w:sz w:val="22"/>
          <w:szCs w:val="22"/>
        </w:rPr>
        <w:t xml:space="preserve"> mil en el mismo periodo al pasar de 818.7 mil a 707.3 mil, es decir, (-)115.9 mil mujeres ocupadas menos fuera del sector informal y un aumento de 4.5 mil mujeres ocupadas más en el sector informal.</w:t>
      </w:r>
    </w:p>
    <w:p w:rsidR="00F97FB7" w:rsidRDefault="00F97FB7" w:rsidP="009749DA">
      <w:pPr>
        <w:rPr>
          <w:rFonts w:ascii="Arial" w:eastAsia="Times New Roman" w:hAnsi="Arial" w:cs="Arial"/>
          <w:b/>
          <w:smallCaps/>
          <w:lang w:val="es-ES_tradnl" w:eastAsia="es-ES"/>
        </w:rPr>
      </w:pPr>
    </w:p>
    <w:p w:rsidR="00AD2164" w:rsidRDefault="00AD2164" w:rsidP="009749DA">
      <w:pPr>
        <w:rPr>
          <w:rFonts w:ascii="Arial" w:eastAsia="Times New Roman" w:hAnsi="Arial" w:cs="Arial"/>
          <w:b/>
          <w:smallCaps/>
          <w:lang w:val="es-ES_tradnl" w:eastAsia="es-ES"/>
        </w:rPr>
      </w:pPr>
      <w:r>
        <w:rPr>
          <w:b/>
          <w:smallCaps/>
        </w:rPr>
        <w:br w:type="page"/>
      </w:r>
    </w:p>
    <w:p w:rsidR="008A6B5B" w:rsidRPr="00FE3D24" w:rsidRDefault="008A6B5B" w:rsidP="009749DA">
      <w:pPr>
        <w:pStyle w:val="n0"/>
        <w:keepLines w:val="0"/>
        <w:spacing w:before="0"/>
        <w:ind w:left="0" w:right="51" w:firstLine="0"/>
        <w:jc w:val="center"/>
        <w:rPr>
          <w:b/>
          <w:smallCaps/>
          <w:color w:val="auto"/>
          <w:sz w:val="22"/>
          <w:szCs w:val="22"/>
        </w:rPr>
      </w:pPr>
      <w:r w:rsidRPr="00FE3D24">
        <w:rPr>
          <w:b/>
          <w:smallCaps/>
          <w:color w:val="auto"/>
          <w:sz w:val="22"/>
          <w:szCs w:val="22"/>
        </w:rPr>
        <w:lastRenderedPageBreak/>
        <w:t xml:space="preserve">Gráfico </w:t>
      </w:r>
      <w:r w:rsidR="00AD2164" w:rsidRPr="00FE3D24">
        <w:rPr>
          <w:b/>
          <w:smallCaps/>
          <w:color w:val="auto"/>
          <w:sz w:val="22"/>
          <w:szCs w:val="22"/>
        </w:rPr>
        <w:t>5</w:t>
      </w:r>
      <w:r w:rsidRPr="00FE3D24">
        <w:rPr>
          <w:b/>
          <w:smallCaps/>
          <w:color w:val="auto"/>
          <w:sz w:val="22"/>
          <w:szCs w:val="22"/>
        </w:rPr>
        <w:t xml:space="preserve">. Población </w:t>
      </w:r>
      <w:r w:rsidR="0074035D" w:rsidRPr="00FE3D24">
        <w:rPr>
          <w:b/>
          <w:smallCaps/>
          <w:color w:val="auto"/>
          <w:sz w:val="22"/>
          <w:szCs w:val="22"/>
        </w:rPr>
        <w:t xml:space="preserve">ocupada </w:t>
      </w:r>
      <w:r w:rsidRPr="00FE3D24">
        <w:rPr>
          <w:b/>
          <w:smallCaps/>
          <w:color w:val="auto"/>
          <w:sz w:val="22"/>
          <w:szCs w:val="22"/>
        </w:rPr>
        <w:t>informal por sexo E</w:t>
      </w:r>
      <w:r w:rsidR="00B7794A" w:rsidRPr="00FE3D24">
        <w:rPr>
          <w:b/>
          <w:smallCaps/>
          <w:color w:val="auto"/>
          <w:sz w:val="22"/>
          <w:szCs w:val="22"/>
        </w:rPr>
        <w:t>N</w:t>
      </w:r>
      <w:r w:rsidRPr="00FE3D24">
        <w:rPr>
          <w:b/>
          <w:smallCaps/>
          <w:color w:val="auto"/>
          <w:sz w:val="22"/>
          <w:szCs w:val="22"/>
        </w:rPr>
        <w:t>OE</w:t>
      </w:r>
      <w:r w:rsidR="00F66482" w:rsidRPr="00FE3D24">
        <w:rPr>
          <w:b/>
          <w:smallCaps/>
          <w:color w:val="auto"/>
          <w:sz w:val="22"/>
          <w:szCs w:val="22"/>
          <w:vertAlign w:val="superscript"/>
        </w:rPr>
        <w:t>N</w:t>
      </w:r>
      <w:r w:rsidRPr="00FE3D24">
        <w:rPr>
          <w:b/>
          <w:smallCaps/>
          <w:color w:val="auto"/>
          <w:sz w:val="22"/>
          <w:szCs w:val="22"/>
        </w:rPr>
        <w:t xml:space="preserve"> a</w:t>
      </w:r>
      <w:r w:rsidR="003966E8" w:rsidRPr="00FE3D24">
        <w:rPr>
          <w:b/>
          <w:smallCaps/>
          <w:color w:val="auto"/>
          <w:sz w:val="22"/>
          <w:szCs w:val="22"/>
        </w:rPr>
        <w:t xml:space="preserve">l </w:t>
      </w:r>
      <w:r w:rsidR="00DE4311" w:rsidRPr="00FE3D24">
        <w:rPr>
          <w:b/>
          <w:smallCaps/>
          <w:color w:val="auto"/>
          <w:sz w:val="22"/>
          <w:szCs w:val="22"/>
        </w:rPr>
        <w:t>t</w:t>
      </w:r>
      <w:r w:rsidR="00177695" w:rsidRPr="00FE3D24">
        <w:rPr>
          <w:b/>
          <w:smallCaps/>
          <w:color w:val="auto"/>
          <w:sz w:val="22"/>
          <w:szCs w:val="22"/>
        </w:rPr>
        <w:t>ercer trimestre</w:t>
      </w:r>
      <w:r w:rsidRPr="00FE3D24">
        <w:rPr>
          <w:b/>
          <w:smallCaps/>
          <w:color w:val="auto"/>
          <w:sz w:val="22"/>
          <w:szCs w:val="22"/>
        </w:rPr>
        <w:t xml:space="preserve"> de 2020</w:t>
      </w:r>
    </w:p>
    <w:p w:rsidR="008A6B5B" w:rsidRPr="00FE3D24" w:rsidRDefault="008A6B5B" w:rsidP="009749DA">
      <w:pPr>
        <w:pStyle w:val="n0"/>
        <w:keepLines w:val="0"/>
        <w:spacing w:before="0"/>
        <w:ind w:left="0" w:right="49" w:firstLine="0"/>
        <w:jc w:val="center"/>
        <w:rPr>
          <w:b/>
          <w:smallCaps/>
          <w:color w:val="auto"/>
          <w:sz w:val="22"/>
          <w:szCs w:val="22"/>
        </w:rPr>
      </w:pPr>
      <w:r w:rsidRPr="00FE3D24">
        <w:rPr>
          <w:b/>
          <w:smallCaps/>
          <w:color w:val="auto"/>
          <w:sz w:val="22"/>
          <w:szCs w:val="22"/>
        </w:rPr>
        <w:t>(mil</w:t>
      </w:r>
      <w:r w:rsidR="00387E2B">
        <w:rPr>
          <w:b/>
          <w:smallCaps/>
          <w:color w:val="auto"/>
          <w:sz w:val="22"/>
          <w:szCs w:val="22"/>
        </w:rPr>
        <w:t>es</w:t>
      </w:r>
      <w:r w:rsidRPr="00FE3D24">
        <w:rPr>
          <w:b/>
          <w:smallCaps/>
          <w:color w:val="auto"/>
          <w:sz w:val="22"/>
          <w:szCs w:val="22"/>
        </w:rPr>
        <w:t xml:space="preserve"> de personas)</w:t>
      </w:r>
    </w:p>
    <w:p w:rsidR="00DE4311" w:rsidRPr="00FE3D24" w:rsidRDefault="00DE4311" w:rsidP="009749DA">
      <w:pPr>
        <w:pStyle w:val="n0"/>
        <w:keepLines w:val="0"/>
        <w:spacing w:before="0"/>
        <w:ind w:left="0" w:right="49" w:firstLine="0"/>
        <w:jc w:val="center"/>
        <w:rPr>
          <w:b/>
          <w:smallCaps/>
          <w:color w:val="auto"/>
          <w:sz w:val="22"/>
          <w:szCs w:val="22"/>
        </w:rPr>
      </w:pPr>
      <w:r w:rsidRPr="00FE3D24">
        <w:rPr>
          <w:b/>
          <w:smallCaps/>
          <w:color w:val="auto"/>
          <w:sz w:val="22"/>
          <w:szCs w:val="22"/>
        </w:rPr>
        <w:t xml:space="preserve">ENOE tercero y cuarto trimestre </w:t>
      </w:r>
      <w:r w:rsidR="000044E4" w:rsidRPr="00FE3D24">
        <w:rPr>
          <w:b/>
          <w:smallCaps/>
          <w:color w:val="auto"/>
          <w:sz w:val="22"/>
          <w:szCs w:val="22"/>
        </w:rPr>
        <w:t xml:space="preserve">de </w:t>
      </w:r>
      <w:r w:rsidRPr="00FE3D24">
        <w:rPr>
          <w:b/>
          <w:smallCaps/>
          <w:color w:val="auto"/>
          <w:sz w:val="22"/>
          <w:szCs w:val="22"/>
        </w:rPr>
        <w:t>2019 y primer trimestre de 2020</w:t>
      </w:r>
    </w:p>
    <w:p w:rsidR="00234FFC" w:rsidRPr="00FE3D24" w:rsidRDefault="00FE3D24" w:rsidP="009749DA">
      <w:pPr>
        <w:pStyle w:val="n0"/>
        <w:keepLines w:val="0"/>
        <w:spacing w:before="0"/>
        <w:ind w:left="0" w:right="49" w:firstLine="0"/>
        <w:jc w:val="center"/>
        <w:rPr>
          <w:b/>
          <w:smallCaps/>
          <w:color w:val="auto"/>
          <w:sz w:val="22"/>
          <w:szCs w:val="22"/>
        </w:rPr>
      </w:pPr>
      <w:r w:rsidRPr="00FE3D24">
        <w:rPr>
          <w:bCs/>
          <w:noProof/>
          <w:color w:val="auto"/>
          <w:spacing w:val="10"/>
          <w:sz w:val="22"/>
          <w:szCs w:val="22"/>
          <w:lang w:val="es-MX" w:eastAsia="es-MX"/>
        </w:rPr>
        <w:drawing>
          <wp:inline distT="0" distB="0" distL="0" distR="0" wp14:anchorId="2231CA76" wp14:editId="6B30CF95">
            <wp:extent cx="4584700" cy="3389630"/>
            <wp:effectExtent l="0" t="0" r="635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84700" cy="3389630"/>
                    </a:xfrm>
                    <a:prstGeom prst="rect">
                      <a:avLst/>
                    </a:prstGeom>
                    <a:noFill/>
                  </pic:spPr>
                </pic:pic>
              </a:graphicData>
            </a:graphic>
          </wp:inline>
        </w:drawing>
      </w:r>
    </w:p>
    <w:p w:rsidR="00DE1072" w:rsidRPr="00FE3D24" w:rsidRDefault="00DE1072" w:rsidP="009749DA">
      <w:pPr>
        <w:tabs>
          <w:tab w:val="left" w:pos="851"/>
        </w:tabs>
        <w:spacing w:after="0" w:line="240" w:lineRule="auto"/>
        <w:ind w:left="284" w:right="333" w:hanging="142"/>
        <w:rPr>
          <w:rFonts w:ascii="Arial" w:hAnsi="Arial" w:cs="Arial"/>
          <w:noProof/>
          <w:sz w:val="14"/>
          <w:szCs w:val="14"/>
          <w:lang w:val="es-ES" w:eastAsia="es-ES"/>
        </w:rPr>
      </w:pPr>
      <w:r w:rsidRPr="00FE3D24">
        <w:rPr>
          <w:rFonts w:ascii="Arial" w:hAnsi="Arial" w:cs="Arial"/>
          <w:noProof/>
          <w:sz w:val="14"/>
          <w:szCs w:val="14"/>
          <w:lang w:val="es-ES" w:eastAsia="es-ES"/>
        </w:rPr>
        <w:t>Intervalos de confianza al 90 por ciento.</w:t>
      </w:r>
    </w:p>
    <w:p w:rsidR="00177695" w:rsidRPr="00FE3D24" w:rsidRDefault="00177695" w:rsidP="009749DA">
      <w:pPr>
        <w:tabs>
          <w:tab w:val="left" w:pos="851"/>
        </w:tabs>
        <w:spacing w:after="0" w:line="240" w:lineRule="auto"/>
        <w:ind w:left="142" w:right="333"/>
        <w:rPr>
          <w:rFonts w:ascii="Arial" w:hAnsi="Arial" w:cs="Arial"/>
          <w:noProof/>
          <w:sz w:val="14"/>
          <w:szCs w:val="14"/>
          <w:lang w:val="es-ES" w:eastAsia="es-ES"/>
        </w:rPr>
      </w:pPr>
      <w:r w:rsidRPr="00FE3D24">
        <w:rPr>
          <w:rFonts w:ascii="Arial" w:hAnsi="Arial" w:cs="Arial"/>
          <w:noProof/>
          <w:sz w:val="14"/>
          <w:szCs w:val="14"/>
          <w:lang w:val="es-ES" w:eastAsia="es-ES"/>
        </w:rPr>
        <w:t>Fuente:</w:t>
      </w:r>
      <w:r w:rsidRPr="00FE3D24">
        <w:rPr>
          <w:rFonts w:ascii="Arial" w:hAnsi="Arial" w:cs="Arial"/>
          <w:noProof/>
          <w:sz w:val="14"/>
          <w:szCs w:val="14"/>
          <w:lang w:val="es-ES" w:eastAsia="es-ES"/>
        </w:rPr>
        <w:tab/>
        <w:t>INEGI. Encuesta Nacional de Ocupación y Empleo. Nueva Edición, tercer trimestre de 2020.</w:t>
      </w:r>
    </w:p>
    <w:p w:rsidR="00177695" w:rsidRPr="00FE3D24" w:rsidRDefault="00177695" w:rsidP="009749DA">
      <w:pPr>
        <w:tabs>
          <w:tab w:val="left" w:pos="851"/>
        </w:tabs>
        <w:spacing w:after="0" w:line="240" w:lineRule="auto"/>
        <w:ind w:left="142" w:right="333"/>
      </w:pPr>
      <w:r w:rsidRPr="00FE3D24">
        <w:rPr>
          <w:rFonts w:ascii="Arial" w:hAnsi="Arial" w:cs="Arial"/>
          <w:noProof/>
          <w:sz w:val="14"/>
          <w:szCs w:val="14"/>
          <w:lang w:val="es-ES" w:eastAsia="es-ES"/>
        </w:rPr>
        <w:tab/>
        <w:t>INEGI. Encuesta Nacional de Ocupación y Empleo, tercero y cuarto trimestre de 2019 y primer trimestre de 2020.</w:t>
      </w:r>
    </w:p>
    <w:p w:rsidR="00AD2164" w:rsidRPr="00E33630" w:rsidRDefault="00AD2164" w:rsidP="009749DA">
      <w:pPr>
        <w:pStyle w:val="n0"/>
        <w:keepLines w:val="0"/>
        <w:spacing w:before="0"/>
        <w:ind w:left="0" w:right="49" w:firstLine="0"/>
        <w:rPr>
          <w:bCs/>
          <w:color w:val="auto"/>
          <w:spacing w:val="10"/>
          <w:sz w:val="22"/>
          <w:szCs w:val="22"/>
          <w:highlight w:val="yellow"/>
        </w:rPr>
      </w:pPr>
    </w:p>
    <w:p w:rsidR="00B70278" w:rsidRPr="00E33630" w:rsidRDefault="00B70278" w:rsidP="009749DA">
      <w:pPr>
        <w:pStyle w:val="n0"/>
        <w:keepLines w:val="0"/>
        <w:spacing w:before="0"/>
        <w:ind w:left="0" w:right="49" w:firstLine="0"/>
        <w:rPr>
          <w:bCs/>
          <w:color w:val="auto"/>
          <w:spacing w:val="10"/>
          <w:sz w:val="22"/>
          <w:szCs w:val="22"/>
          <w:highlight w:val="yellow"/>
        </w:rPr>
      </w:pPr>
    </w:p>
    <w:p w:rsidR="00C740D9" w:rsidRPr="00066757" w:rsidRDefault="00C740D9" w:rsidP="009749DA">
      <w:pPr>
        <w:pStyle w:val="n0"/>
        <w:keepLines w:val="0"/>
        <w:spacing w:before="0"/>
        <w:ind w:left="0" w:right="49" w:firstLine="0"/>
        <w:jc w:val="center"/>
        <w:rPr>
          <w:b/>
          <w:smallCaps/>
          <w:color w:val="auto"/>
          <w:sz w:val="22"/>
          <w:szCs w:val="22"/>
        </w:rPr>
      </w:pPr>
      <w:r w:rsidRPr="00066757">
        <w:rPr>
          <w:b/>
          <w:smallCaps/>
          <w:color w:val="auto"/>
          <w:sz w:val="22"/>
          <w:szCs w:val="22"/>
        </w:rPr>
        <w:t xml:space="preserve">Población ocupada por condición de informalidad y sexo durante </w:t>
      </w:r>
      <w:r w:rsidR="00177695" w:rsidRPr="00066757">
        <w:rPr>
          <w:b/>
          <w:smallCaps/>
          <w:color w:val="auto"/>
          <w:sz w:val="22"/>
          <w:szCs w:val="22"/>
        </w:rPr>
        <w:t>el tercer trimestre</w:t>
      </w:r>
      <w:r w:rsidRPr="00066757">
        <w:rPr>
          <w:b/>
          <w:smallCaps/>
          <w:color w:val="auto"/>
          <w:sz w:val="22"/>
          <w:szCs w:val="22"/>
        </w:rPr>
        <w:t xml:space="preserve"> de 2020</w:t>
      </w:r>
    </w:p>
    <w:p w:rsidR="00C740D9" w:rsidRPr="00066757" w:rsidRDefault="00C740D9" w:rsidP="009749DA">
      <w:pPr>
        <w:spacing w:after="0" w:line="240" w:lineRule="auto"/>
        <w:ind w:right="51"/>
        <w:jc w:val="center"/>
        <w:rPr>
          <w:rFonts w:ascii="Arial" w:hAnsi="Arial" w:cs="Arial"/>
          <w:smallCaps/>
          <w:sz w:val="18"/>
          <w:szCs w:val="18"/>
        </w:rPr>
      </w:pPr>
      <w:r w:rsidRPr="00066757">
        <w:rPr>
          <w:rFonts w:ascii="Arial" w:hAnsi="Arial" w:cs="Arial"/>
          <w:smallCaps/>
          <w:sz w:val="18"/>
          <w:szCs w:val="18"/>
        </w:rPr>
        <w:t>(Porcentaje)</w:t>
      </w:r>
    </w:p>
    <w:p w:rsidR="0084484F" w:rsidRPr="00E33630" w:rsidRDefault="00066757" w:rsidP="009749DA">
      <w:pPr>
        <w:pStyle w:val="n0"/>
        <w:keepLines w:val="0"/>
        <w:spacing w:before="0"/>
        <w:ind w:left="0" w:right="49" w:firstLine="0"/>
        <w:jc w:val="center"/>
        <w:rPr>
          <w:smallCaps/>
          <w:color w:val="auto"/>
          <w:sz w:val="22"/>
          <w:szCs w:val="22"/>
          <w:highlight w:val="yellow"/>
        </w:rPr>
      </w:pPr>
      <w:r w:rsidRPr="00066757">
        <w:rPr>
          <w:noProof/>
          <w:lang w:val="es-MX" w:eastAsia="es-MX"/>
        </w:rPr>
        <w:drawing>
          <wp:inline distT="0" distB="0" distL="0" distR="0" wp14:anchorId="428D0A77" wp14:editId="37D75544">
            <wp:extent cx="5760720" cy="2533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2533650"/>
                    </a:xfrm>
                    <a:prstGeom prst="rect">
                      <a:avLst/>
                    </a:prstGeom>
                    <a:noFill/>
                    <a:ln>
                      <a:noFill/>
                    </a:ln>
                  </pic:spPr>
                </pic:pic>
              </a:graphicData>
            </a:graphic>
          </wp:inline>
        </w:drawing>
      </w:r>
    </w:p>
    <w:p w:rsidR="00177695" w:rsidRPr="00066757" w:rsidRDefault="00177695" w:rsidP="009749DA">
      <w:pPr>
        <w:tabs>
          <w:tab w:val="left" w:pos="851"/>
        </w:tabs>
        <w:spacing w:after="0" w:line="240" w:lineRule="auto"/>
        <w:ind w:left="142" w:right="333"/>
        <w:rPr>
          <w:rFonts w:ascii="Arial" w:hAnsi="Arial" w:cs="Arial"/>
          <w:noProof/>
          <w:sz w:val="14"/>
          <w:szCs w:val="14"/>
          <w:lang w:val="es-ES" w:eastAsia="es-ES"/>
        </w:rPr>
      </w:pPr>
      <w:r w:rsidRPr="00066757">
        <w:rPr>
          <w:rFonts w:ascii="Arial" w:hAnsi="Arial" w:cs="Arial"/>
          <w:noProof/>
          <w:sz w:val="14"/>
          <w:szCs w:val="14"/>
          <w:lang w:val="es-ES" w:eastAsia="es-ES"/>
        </w:rPr>
        <w:t>Fuente:</w:t>
      </w:r>
      <w:r w:rsidRPr="00066757">
        <w:rPr>
          <w:rFonts w:ascii="Arial" w:hAnsi="Arial" w:cs="Arial"/>
          <w:noProof/>
          <w:sz w:val="14"/>
          <w:szCs w:val="14"/>
          <w:lang w:val="es-ES" w:eastAsia="es-ES"/>
        </w:rPr>
        <w:tab/>
        <w:t>INEGI. Encuesta Nacional de Ocupación y Empleo. Nueva Edición, tercer trimestre de 2020.</w:t>
      </w:r>
    </w:p>
    <w:p w:rsidR="00177695" w:rsidRDefault="00177695" w:rsidP="009749DA">
      <w:pPr>
        <w:tabs>
          <w:tab w:val="left" w:pos="851"/>
        </w:tabs>
        <w:spacing w:after="0" w:line="240" w:lineRule="auto"/>
        <w:ind w:left="142" w:right="333"/>
      </w:pPr>
      <w:r w:rsidRPr="00066757">
        <w:rPr>
          <w:rFonts w:ascii="Arial" w:hAnsi="Arial" w:cs="Arial"/>
          <w:noProof/>
          <w:sz w:val="14"/>
          <w:szCs w:val="14"/>
          <w:lang w:val="es-ES" w:eastAsia="es-ES"/>
        </w:rPr>
        <w:tab/>
        <w:t>INEGI. Encuesta Nacional de Ocupación y Empleo, tercero y cuarto trimestre de 2019 y primer trimestre de 2020.</w:t>
      </w:r>
    </w:p>
    <w:p w:rsidR="00C740D9" w:rsidRDefault="00C740D9" w:rsidP="009749DA">
      <w:pPr>
        <w:pStyle w:val="n0"/>
        <w:keepLines w:val="0"/>
        <w:spacing w:before="0"/>
        <w:ind w:left="0" w:right="49" w:firstLine="0"/>
        <w:jc w:val="left"/>
        <w:rPr>
          <w:smallCaps/>
          <w:color w:val="auto"/>
          <w:sz w:val="22"/>
          <w:szCs w:val="22"/>
        </w:rPr>
      </w:pPr>
    </w:p>
    <w:p w:rsidR="002756BF" w:rsidRDefault="002756BF" w:rsidP="009749DA">
      <w:pPr>
        <w:pStyle w:val="n0"/>
        <w:keepLines w:val="0"/>
        <w:spacing w:before="0"/>
        <w:ind w:left="0" w:right="49" w:firstLine="0"/>
        <w:jc w:val="left"/>
        <w:rPr>
          <w:smallCaps/>
          <w:color w:val="auto"/>
          <w:sz w:val="22"/>
          <w:szCs w:val="22"/>
        </w:rPr>
      </w:pPr>
    </w:p>
    <w:p w:rsidR="00CB3E8D" w:rsidRDefault="00CB3E8D" w:rsidP="00CB3E8D">
      <w:pPr>
        <w:pStyle w:val="n0"/>
        <w:keepLines w:val="0"/>
        <w:spacing w:before="0"/>
        <w:ind w:left="0" w:right="49" w:firstLine="0"/>
        <w:jc w:val="left"/>
        <w:rPr>
          <w:smallCaps/>
          <w:color w:val="auto"/>
          <w:sz w:val="22"/>
          <w:szCs w:val="22"/>
        </w:rPr>
      </w:pPr>
    </w:p>
    <w:p w:rsidR="00CB3E8D" w:rsidRPr="00C63172" w:rsidRDefault="00CB3E8D" w:rsidP="00CB3E8D">
      <w:pPr>
        <w:pStyle w:val="n0"/>
        <w:keepLines w:val="0"/>
        <w:spacing w:before="0"/>
        <w:ind w:left="0" w:right="49" w:firstLine="0"/>
        <w:jc w:val="left"/>
        <w:rPr>
          <w:b/>
          <w:smallCaps/>
          <w:color w:val="auto"/>
          <w:sz w:val="22"/>
          <w:szCs w:val="22"/>
        </w:rPr>
      </w:pPr>
      <w:r w:rsidRPr="00C63172">
        <w:rPr>
          <w:b/>
          <w:smallCaps/>
          <w:color w:val="auto"/>
          <w:sz w:val="22"/>
          <w:szCs w:val="22"/>
        </w:rPr>
        <w:t>población desocupada</w:t>
      </w:r>
    </w:p>
    <w:p w:rsidR="00CB3E8D" w:rsidRPr="008D1EE2" w:rsidRDefault="00CB3E8D" w:rsidP="00CB3E8D">
      <w:pPr>
        <w:spacing w:after="0" w:line="240" w:lineRule="auto"/>
        <w:ind w:right="49"/>
        <w:rPr>
          <w:rFonts w:ascii="Arial" w:eastAsia="Times New Roman" w:hAnsi="Arial" w:cs="Arial"/>
          <w:bCs/>
          <w:spacing w:val="10"/>
          <w:lang w:val="es-ES_tradnl" w:eastAsia="es-ES"/>
        </w:rPr>
      </w:pPr>
    </w:p>
    <w:p w:rsidR="00CB3E8D" w:rsidRPr="008D1EE2" w:rsidRDefault="00CB3E8D" w:rsidP="00CB3E8D">
      <w:pPr>
        <w:spacing w:after="0" w:line="240" w:lineRule="auto"/>
        <w:ind w:right="49"/>
        <w:jc w:val="both"/>
        <w:rPr>
          <w:rFonts w:ascii="Arial" w:eastAsia="Times New Roman" w:hAnsi="Arial" w:cs="Arial"/>
          <w:bCs/>
          <w:spacing w:val="10"/>
          <w:lang w:val="es-ES_tradnl" w:eastAsia="es-ES"/>
        </w:rPr>
      </w:pPr>
      <w:r w:rsidRPr="008D1EE2">
        <w:rPr>
          <w:rFonts w:ascii="Arial" w:eastAsia="Times New Roman" w:hAnsi="Arial" w:cs="Arial"/>
          <w:bCs/>
          <w:spacing w:val="10"/>
          <w:lang w:val="es-ES_tradnl" w:eastAsia="es-ES"/>
        </w:rPr>
        <w:t>La población que se encuentra sin trabajar y que estuvo buscando trabajo en el último mes, fue de 2.8% de la PEA en el tercer trimestre de 2020, porcentaje que en igual periodo del año anterior fue de 3.6 por ciento. En términos absolutos, la población desocupada fue de 92</w:t>
      </w:r>
      <w:r w:rsidR="00FB15A0" w:rsidRPr="008D1EE2">
        <w:rPr>
          <w:rFonts w:ascii="Arial" w:eastAsia="Times New Roman" w:hAnsi="Arial" w:cs="Arial"/>
          <w:bCs/>
          <w:spacing w:val="10"/>
          <w:lang w:val="es-ES_tradnl" w:eastAsia="es-ES"/>
        </w:rPr>
        <w:t>.1</w:t>
      </w:r>
      <w:r w:rsidRPr="008D1EE2">
        <w:rPr>
          <w:rFonts w:ascii="Arial" w:eastAsia="Times New Roman" w:hAnsi="Arial" w:cs="Arial"/>
          <w:bCs/>
          <w:spacing w:val="10"/>
          <w:lang w:val="es-ES_tradnl" w:eastAsia="es-ES"/>
        </w:rPr>
        <w:t xml:space="preserve"> mil personas, monto inferior en </w:t>
      </w:r>
      <w:r w:rsidR="00FB15A0" w:rsidRPr="008D1EE2">
        <w:rPr>
          <w:rFonts w:ascii="Arial" w:eastAsia="Times New Roman" w:hAnsi="Arial" w:cs="Arial"/>
          <w:bCs/>
          <w:spacing w:val="10"/>
          <w:lang w:val="es-ES_tradnl" w:eastAsia="es-ES"/>
        </w:rPr>
        <w:t>(-)</w:t>
      </w:r>
      <w:r w:rsidRPr="008D1EE2">
        <w:rPr>
          <w:rFonts w:ascii="Arial" w:eastAsia="Times New Roman" w:hAnsi="Arial" w:cs="Arial"/>
          <w:bCs/>
          <w:spacing w:val="10"/>
          <w:lang w:val="es-ES_tradnl" w:eastAsia="es-ES"/>
        </w:rPr>
        <w:t>29</w:t>
      </w:r>
      <w:r w:rsidR="00FB15A0" w:rsidRPr="008D1EE2">
        <w:rPr>
          <w:rFonts w:ascii="Arial" w:eastAsia="Times New Roman" w:hAnsi="Arial" w:cs="Arial"/>
          <w:bCs/>
          <w:spacing w:val="10"/>
          <w:lang w:val="es-ES_tradnl" w:eastAsia="es-ES"/>
        </w:rPr>
        <w:t>.3</w:t>
      </w:r>
      <w:r w:rsidRPr="008D1EE2">
        <w:rPr>
          <w:rFonts w:ascii="Arial" w:eastAsia="Times New Roman" w:hAnsi="Arial" w:cs="Arial"/>
          <w:bCs/>
          <w:spacing w:val="10"/>
          <w:lang w:val="es-ES_tradnl" w:eastAsia="es-ES"/>
        </w:rPr>
        <w:t xml:space="preserve"> mil personas comparado con el tercer trimestre de 2019, es decir, una disminución anual d</w:t>
      </w:r>
      <w:r w:rsidR="00FB15A0" w:rsidRPr="008D1EE2">
        <w:rPr>
          <w:rFonts w:ascii="Arial" w:eastAsia="Times New Roman" w:hAnsi="Arial" w:cs="Arial"/>
          <w:bCs/>
          <w:spacing w:val="10"/>
          <w:lang w:val="es-ES_tradnl" w:eastAsia="es-ES"/>
        </w:rPr>
        <w:br/>
        <w:t>(-)</w:t>
      </w:r>
      <w:r w:rsidRPr="008D1EE2">
        <w:rPr>
          <w:rFonts w:ascii="Arial" w:eastAsia="Times New Roman" w:hAnsi="Arial" w:cs="Arial"/>
          <w:bCs/>
          <w:spacing w:val="10"/>
          <w:lang w:val="es-ES_tradnl" w:eastAsia="es-ES"/>
        </w:rPr>
        <w:t>24</w:t>
      </w:r>
      <w:r w:rsidR="00FB15A0" w:rsidRPr="008D1EE2">
        <w:rPr>
          <w:rFonts w:ascii="Arial" w:eastAsia="Times New Roman" w:hAnsi="Arial" w:cs="Arial"/>
          <w:bCs/>
          <w:spacing w:val="10"/>
          <w:lang w:val="es-ES_tradnl" w:eastAsia="es-ES"/>
        </w:rPr>
        <w:t>.1</w:t>
      </w:r>
      <w:r w:rsidRPr="008D1EE2">
        <w:rPr>
          <w:rFonts w:ascii="Arial" w:eastAsia="Times New Roman" w:hAnsi="Arial" w:cs="Arial"/>
          <w:bCs/>
          <w:spacing w:val="10"/>
          <w:lang w:val="es-ES_tradnl" w:eastAsia="es-ES"/>
        </w:rPr>
        <w:t xml:space="preserve"> por ciento.</w:t>
      </w:r>
    </w:p>
    <w:p w:rsidR="00CB3E8D" w:rsidRPr="008D1EE2" w:rsidRDefault="00CB3E8D" w:rsidP="00CB3E8D">
      <w:pPr>
        <w:spacing w:after="0" w:line="240" w:lineRule="auto"/>
        <w:ind w:right="49"/>
        <w:jc w:val="both"/>
        <w:rPr>
          <w:rFonts w:ascii="Arial" w:eastAsia="Times New Roman" w:hAnsi="Arial" w:cs="Arial"/>
          <w:bCs/>
          <w:spacing w:val="10"/>
          <w:lang w:val="es-ES_tradnl" w:eastAsia="es-ES"/>
        </w:rPr>
      </w:pPr>
    </w:p>
    <w:p w:rsidR="00CB3E8D" w:rsidRDefault="00CB3E8D" w:rsidP="00CB3E8D">
      <w:pPr>
        <w:spacing w:after="0" w:line="240" w:lineRule="auto"/>
        <w:ind w:right="49"/>
        <w:jc w:val="both"/>
        <w:rPr>
          <w:rFonts w:ascii="Arial" w:eastAsia="Times New Roman" w:hAnsi="Arial" w:cs="Arial"/>
          <w:bCs/>
          <w:spacing w:val="10"/>
          <w:lang w:val="es-ES_tradnl" w:eastAsia="es-ES"/>
        </w:rPr>
      </w:pPr>
      <w:r w:rsidRPr="008D1EE2">
        <w:rPr>
          <w:rFonts w:ascii="Arial" w:eastAsia="Times New Roman" w:hAnsi="Arial" w:cs="Arial"/>
          <w:bCs/>
          <w:spacing w:val="10"/>
          <w:lang w:val="es-ES_tradnl" w:eastAsia="es-ES"/>
        </w:rPr>
        <w:t>Los hombres desocupados descendieron a 66</w:t>
      </w:r>
      <w:r w:rsidR="00647D85" w:rsidRPr="008D1EE2">
        <w:rPr>
          <w:rFonts w:ascii="Arial" w:eastAsia="Times New Roman" w:hAnsi="Arial" w:cs="Arial"/>
          <w:bCs/>
          <w:spacing w:val="10"/>
          <w:lang w:val="es-ES_tradnl" w:eastAsia="es-ES"/>
        </w:rPr>
        <w:t>.2</w:t>
      </w:r>
      <w:r w:rsidRPr="008D1EE2">
        <w:rPr>
          <w:rFonts w:ascii="Arial" w:eastAsia="Times New Roman" w:hAnsi="Arial" w:cs="Arial"/>
          <w:bCs/>
          <w:spacing w:val="10"/>
          <w:lang w:val="es-ES_tradnl" w:eastAsia="es-ES"/>
        </w:rPr>
        <w:t xml:space="preserve"> mil, 7</w:t>
      </w:r>
      <w:r w:rsidR="00647D85" w:rsidRPr="008D1EE2">
        <w:rPr>
          <w:rFonts w:ascii="Arial" w:eastAsia="Times New Roman" w:hAnsi="Arial" w:cs="Arial"/>
          <w:bCs/>
          <w:spacing w:val="10"/>
          <w:lang w:val="es-ES_tradnl" w:eastAsia="es-ES"/>
        </w:rPr>
        <w:t xml:space="preserve"> </w:t>
      </w:r>
      <w:r w:rsidRPr="008D1EE2">
        <w:rPr>
          <w:rFonts w:ascii="Arial" w:eastAsia="Times New Roman" w:hAnsi="Arial" w:cs="Arial"/>
          <w:bCs/>
          <w:spacing w:val="10"/>
          <w:lang w:val="es-ES_tradnl" w:eastAsia="es-ES"/>
        </w:rPr>
        <w:t>5</w:t>
      </w:r>
      <w:r w:rsidR="00647D85" w:rsidRPr="008D1EE2">
        <w:rPr>
          <w:rFonts w:ascii="Arial" w:eastAsia="Times New Roman" w:hAnsi="Arial" w:cs="Arial"/>
          <w:bCs/>
          <w:spacing w:val="10"/>
          <w:lang w:val="es-ES_tradnl" w:eastAsia="es-ES"/>
        </w:rPr>
        <w:t>22</w:t>
      </w:r>
      <w:r w:rsidRPr="008D1EE2">
        <w:rPr>
          <w:rFonts w:ascii="Arial" w:eastAsia="Times New Roman" w:hAnsi="Arial" w:cs="Arial"/>
          <w:bCs/>
          <w:spacing w:val="10"/>
          <w:lang w:val="es-ES_tradnl" w:eastAsia="es-ES"/>
        </w:rPr>
        <w:t xml:space="preserve"> menos que en el tercer trimestre de 2019, las mujeres desocupadas por su parte fueron 2</w:t>
      </w:r>
      <w:r w:rsidR="00647D85" w:rsidRPr="008D1EE2">
        <w:rPr>
          <w:rFonts w:ascii="Arial" w:eastAsia="Times New Roman" w:hAnsi="Arial" w:cs="Arial"/>
          <w:bCs/>
          <w:spacing w:val="10"/>
          <w:lang w:val="es-ES_tradnl" w:eastAsia="es-ES"/>
        </w:rPr>
        <w:t>5.9</w:t>
      </w:r>
      <w:r w:rsidRPr="008D1EE2">
        <w:rPr>
          <w:rFonts w:ascii="Arial" w:eastAsia="Times New Roman" w:hAnsi="Arial" w:cs="Arial"/>
          <w:bCs/>
          <w:spacing w:val="10"/>
          <w:lang w:val="es-ES_tradnl" w:eastAsia="es-ES"/>
        </w:rPr>
        <w:t xml:space="preserve"> mil, con un decremento de 2</w:t>
      </w:r>
      <w:r w:rsidR="00647D85" w:rsidRPr="008D1EE2">
        <w:rPr>
          <w:rFonts w:ascii="Arial" w:eastAsia="Times New Roman" w:hAnsi="Arial" w:cs="Arial"/>
          <w:bCs/>
          <w:spacing w:val="10"/>
          <w:lang w:val="es-ES_tradnl" w:eastAsia="es-ES"/>
        </w:rPr>
        <w:t>1.8</w:t>
      </w:r>
      <w:r w:rsidRPr="008D1EE2">
        <w:rPr>
          <w:rFonts w:ascii="Arial" w:eastAsia="Times New Roman" w:hAnsi="Arial" w:cs="Arial"/>
          <w:bCs/>
          <w:spacing w:val="10"/>
          <w:lang w:val="es-ES_tradnl" w:eastAsia="es-ES"/>
        </w:rPr>
        <w:t xml:space="preserve"> mil personas en el mismo periodo. La tasa de desocupación masculina en el tercer trimestre de 2020 fue de 3.1%, (-)0.3 puntos porcentuales </w:t>
      </w:r>
      <w:r w:rsidR="008D1EE2" w:rsidRPr="008D1EE2">
        <w:rPr>
          <w:rFonts w:ascii="Arial" w:eastAsia="Times New Roman" w:hAnsi="Arial" w:cs="Arial"/>
          <w:bCs/>
          <w:spacing w:val="10"/>
          <w:lang w:val="es-ES_tradnl" w:eastAsia="es-ES"/>
        </w:rPr>
        <w:t>inferior</w:t>
      </w:r>
      <w:r w:rsidRPr="008D1EE2">
        <w:rPr>
          <w:rFonts w:ascii="Arial" w:eastAsia="Times New Roman" w:hAnsi="Arial" w:cs="Arial"/>
          <w:bCs/>
          <w:spacing w:val="10"/>
          <w:lang w:val="es-ES_tradnl" w:eastAsia="es-ES"/>
        </w:rPr>
        <w:t xml:space="preserve"> a la de igual periodo de un año antes, mientras que la tasa de desocupación femenina fue de 2.2%, (-)1.7 puntos porcentuales menos en el mismo lapso.</w:t>
      </w:r>
    </w:p>
    <w:p w:rsidR="00CB3E8D" w:rsidRDefault="00CB3E8D" w:rsidP="00CB3E8D">
      <w:pPr>
        <w:spacing w:after="0" w:line="240" w:lineRule="auto"/>
        <w:ind w:right="49"/>
        <w:jc w:val="both"/>
        <w:rPr>
          <w:rFonts w:ascii="Arial" w:eastAsia="Times New Roman" w:hAnsi="Arial" w:cs="Arial"/>
          <w:bCs/>
          <w:spacing w:val="10"/>
          <w:lang w:val="es-ES_tradnl" w:eastAsia="es-ES"/>
        </w:rPr>
      </w:pPr>
    </w:p>
    <w:p w:rsidR="00CB3E8D" w:rsidRPr="001A1D45" w:rsidRDefault="00CB3E8D" w:rsidP="00CB3E8D">
      <w:pPr>
        <w:pStyle w:val="n0"/>
        <w:keepLines w:val="0"/>
        <w:spacing w:before="0"/>
        <w:ind w:left="0" w:right="51" w:firstLine="0"/>
        <w:jc w:val="center"/>
        <w:rPr>
          <w:b/>
          <w:smallCaps/>
          <w:color w:val="auto"/>
          <w:sz w:val="22"/>
          <w:szCs w:val="22"/>
        </w:rPr>
      </w:pPr>
      <w:r>
        <w:rPr>
          <w:b/>
          <w:smallCaps/>
          <w:color w:val="auto"/>
          <w:sz w:val="22"/>
          <w:szCs w:val="22"/>
        </w:rPr>
        <w:t>Gráfico 6</w:t>
      </w:r>
      <w:r w:rsidRPr="001A1D45">
        <w:rPr>
          <w:b/>
          <w:smallCaps/>
          <w:color w:val="auto"/>
          <w:sz w:val="22"/>
          <w:szCs w:val="22"/>
        </w:rPr>
        <w:t xml:space="preserve">. </w:t>
      </w:r>
      <w:r>
        <w:rPr>
          <w:b/>
          <w:smallCaps/>
          <w:color w:val="auto"/>
          <w:sz w:val="22"/>
          <w:szCs w:val="22"/>
        </w:rPr>
        <w:t xml:space="preserve">Tasa de desocupación </w:t>
      </w:r>
      <w:r w:rsidRPr="001A1D45">
        <w:rPr>
          <w:b/>
          <w:smallCaps/>
          <w:color w:val="auto"/>
          <w:sz w:val="22"/>
          <w:szCs w:val="22"/>
        </w:rPr>
        <w:t>por sexo E</w:t>
      </w:r>
      <w:r>
        <w:rPr>
          <w:b/>
          <w:smallCaps/>
          <w:color w:val="auto"/>
          <w:sz w:val="22"/>
          <w:szCs w:val="22"/>
        </w:rPr>
        <w:t>N</w:t>
      </w:r>
      <w:r w:rsidRPr="001A1D45">
        <w:rPr>
          <w:b/>
          <w:smallCaps/>
          <w:color w:val="auto"/>
          <w:sz w:val="22"/>
          <w:szCs w:val="22"/>
        </w:rPr>
        <w:t>OE</w:t>
      </w:r>
      <w:r>
        <w:rPr>
          <w:b/>
          <w:smallCaps/>
          <w:color w:val="auto"/>
          <w:sz w:val="22"/>
          <w:szCs w:val="22"/>
          <w:vertAlign w:val="superscript"/>
        </w:rPr>
        <w:t>N</w:t>
      </w:r>
      <w:r w:rsidRPr="001A1D45">
        <w:rPr>
          <w:b/>
          <w:smallCaps/>
          <w:color w:val="auto"/>
          <w:sz w:val="22"/>
          <w:szCs w:val="22"/>
        </w:rPr>
        <w:t xml:space="preserve"> al </w:t>
      </w:r>
      <w:r>
        <w:rPr>
          <w:b/>
          <w:smallCaps/>
          <w:color w:val="auto"/>
          <w:sz w:val="22"/>
          <w:szCs w:val="22"/>
        </w:rPr>
        <w:t>tercer trimestre</w:t>
      </w:r>
      <w:r w:rsidRPr="001A1D45">
        <w:rPr>
          <w:b/>
          <w:smallCaps/>
          <w:color w:val="auto"/>
          <w:sz w:val="22"/>
          <w:szCs w:val="22"/>
        </w:rPr>
        <w:t xml:space="preserve"> de 2020</w:t>
      </w:r>
    </w:p>
    <w:p w:rsidR="00CB3E8D" w:rsidRPr="000C73EB" w:rsidRDefault="00CB3E8D" w:rsidP="00CB3E8D">
      <w:pPr>
        <w:pStyle w:val="n0"/>
        <w:keepLines w:val="0"/>
        <w:spacing w:before="0"/>
        <w:ind w:left="0" w:right="49" w:firstLine="0"/>
        <w:jc w:val="center"/>
        <w:rPr>
          <w:b/>
          <w:smallCaps/>
          <w:color w:val="auto"/>
          <w:sz w:val="22"/>
          <w:szCs w:val="22"/>
        </w:rPr>
      </w:pPr>
      <w:r w:rsidRPr="000C73EB">
        <w:rPr>
          <w:b/>
          <w:smallCaps/>
          <w:color w:val="auto"/>
          <w:sz w:val="22"/>
          <w:szCs w:val="22"/>
        </w:rPr>
        <w:t>(</w:t>
      </w:r>
      <w:r>
        <w:rPr>
          <w:b/>
          <w:smallCaps/>
          <w:color w:val="auto"/>
          <w:sz w:val="22"/>
          <w:szCs w:val="22"/>
        </w:rPr>
        <w:t>porcentaje respecto a la pea</w:t>
      </w:r>
      <w:r w:rsidRPr="000C73EB">
        <w:rPr>
          <w:b/>
          <w:smallCaps/>
          <w:color w:val="auto"/>
          <w:sz w:val="22"/>
          <w:szCs w:val="22"/>
        </w:rPr>
        <w:t>)</w:t>
      </w:r>
    </w:p>
    <w:p w:rsidR="00CB3E8D" w:rsidRPr="00674B11" w:rsidRDefault="00CB3E8D" w:rsidP="00CB3E8D">
      <w:pPr>
        <w:pStyle w:val="n0"/>
        <w:keepLines w:val="0"/>
        <w:spacing w:before="0"/>
        <w:ind w:left="0" w:right="49" w:firstLine="0"/>
        <w:jc w:val="center"/>
        <w:rPr>
          <w:b/>
          <w:smallCaps/>
          <w:color w:val="auto"/>
          <w:sz w:val="22"/>
          <w:szCs w:val="22"/>
        </w:rPr>
      </w:pPr>
      <w:r w:rsidRPr="00674B11">
        <w:rPr>
          <w:b/>
          <w:smallCaps/>
          <w:color w:val="auto"/>
          <w:sz w:val="22"/>
          <w:szCs w:val="22"/>
        </w:rPr>
        <w:t xml:space="preserve">ENOE </w:t>
      </w:r>
      <w:r>
        <w:rPr>
          <w:b/>
          <w:smallCaps/>
          <w:color w:val="auto"/>
          <w:sz w:val="22"/>
          <w:szCs w:val="22"/>
        </w:rPr>
        <w:t>tercero y cuarto trimestre</w:t>
      </w:r>
      <w:r w:rsidRPr="00674B11">
        <w:rPr>
          <w:b/>
          <w:smallCaps/>
          <w:color w:val="auto"/>
          <w:sz w:val="22"/>
          <w:szCs w:val="22"/>
        </w:rPr>
        <w:t xml:space="preserve"> </w:t>
      </w:r>
      <w:r>
        <w:rPr>
          <w:b/>
          <w:smallCaps/>
          <w:color w:val="auto"/>
          <w:sz w:val="22"/>
          <w:szCs w:val="22"/>
        </w:rPr>
        <w:t xml:space="preserve">de </w:t>
      </w:r>
      <w:r w:rsidRPr="00674B11">
        <w:rPr>
          <w:b/>
          <w:smallCaps/>
          <w:color w:val="auto"/>
          <w:sz w:val="22"/>
          <w:szCs w:val="22"/>
        </w:rPr>
        <w:t xml:space="preserve">2019 y </w:t>
      </w:r>
      <w:r>
        <w:rPr>
          <w:b/>
          <w:smallCaps/>
          <w:color w:val="auto"/>
          <w:sz w:val="22"/>
          <w:szCs w:val="22"/>
        </w:rPr>
        <w:t xml:space="preserve">primer trimestre de </w:t>
      </w:r>
      <w:r w:rsidRPr="00674B11">
        <w:rPr>
          <w:b/>
          <w:smallCaps/>
          <w:color w:val="auto"/>
          <w:sz w:val="22"/>
          <w:szCs w:val="22"/>
        </w:rPr>
        <w:t>2020</w:t>
      </w:r>
    </w:p>
    <w:p w:rsidR="00CB3E8D" w:rsidRDefault="00CB3E8D" w:rsidP="00CB3E8D">
      <w:pPr>
        <w:spacing w:after="0" w:line="240" w:lineRule="auto"/>
        <w:ind w:right="49"/>
        <w:jc w:val="center"/>
        <w:rPr>
          <w:rFonts w:ascii="Arial" w:eastAsia="Times New Roman" w:hAnsi="Arial" w:cs="Arial"/>
          <w:bCs/>
          <w:spacing w:val="10"/>
          <w:lang w:val="es-ES_tradnl" w:eastAsia="es-ES"/>
        </w:rPr>
      </w:pPr>
      <w:r>
        <w:rPr>
          <w:rFonts w:ascii="Arial" w:eastAsia="Times New Roman" w:hAnsi="Arial" w:cs="Arial"/>
          <w:bCs/>
          <w:noProof/>
          <w:spacing w:val="10"/>
          <w:lang w:eastAsia="es-MX"/>
        </w:rPr>
        <w:drawing>
          <wp:inline distT="0" distB="0" distL="0" distR="0" wp14:anchorId="70E411B4" wp14:editId="78881A87">
            <wp:extent cx="4578350" cy="3389630"/>
            <wp:effectExtent l="0" t="0" r="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78350" cy="3389630"/>
                    </a:xfrm>
                    <a:prstGeom prst="rect">
                      <a:avLst/>
                    </a:prstGeom>
                    <a:noFill/>
                  </pic:spPr>
                </pic:pic>
              </a:graphicData>
            </a:graphic>
          </wp:inline>
        </w:drawing>
      </w:r>
    </w:p>
    <w:p w:rsidR="00CB3E8D" w:rsidRDefault="00CB3E8D" w:rsidP="00CB3E8D">
      <w:pPr>
        <w:spacing w:after="0" w:line="240" w:lineRule="auto"/>
        <w:ind w:left="284" w:right="333" w:hanging="142"/>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rsidR="00CB3E8D" w:rsidRDefault="00CB3E8D" w:rsidP="00CB3E8D">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CB3E8D" w:rsidRDefault="00CB3E8D" w:rsidP="00CB3E8D">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CB3E8D" w:rsidRDefault="00CB3E8D" w:rsidP="00CB3E8D">
      <w:pPr>
        <w:spacing w:after="0" w:line="240" w:lineRule="auto"/>
        <w:ind w:right="49"/>
        <w:jc w:val="both"/>
        <w:rPr>
          <w:rFonts w:ascii="Arial" w:eastAsia="Times New Roman" w:hAnsi="Arial" w:cs="Arial"/>
          <w:bCs/>
          <w:spacing w:val="10"/>
          <w:lang w:val="es-ES_tradnl" w:eastAsia="es-ES"/>
        </w:rPr>
      </w:pPr>
    </w:p>
    <w:p w:rsidR="00CB3E8D" w:rsidRDefault="00CB3E8D" w:rsidP="00CB3E8D">
      <w:pPr>
        <w:spacing w:after="0" w:line="240" w:lineRule="auto"/>
        <w:ind w:right="49"/>
        <w:jc w:val="both"/>
        <w:rPr>
          <w:rFonts w:ascii="Arial" w:eastAsia="Times New Roman" w:hAnsi="Arial" w:cs="Arial"/>
          <w:bCs/>
          <w:spacing w:val="10"/>
          <w:lang w:val="es-ES_tradnl" w:eastAsia="es-ES"/>
        </w:rPr>
      </w:pPr>
    </w:p>
    <w:p w:rsidR="00CB3E8D" w:rsidRDefault="00CB3E8D" w:rsidP="00CB3E8D">
      <w:pPr>
        <w:jc w:val="both"/>
        <w:rPr>
          <w:rFonts w:ascii="Arial" w:eastAsia="Times New Roman" w:hAnsi="Arial" w:cs="Arial"/>
          <w:bCs/>
          <w:spacing w:val="10"/>
          <w:lang w:val="es-ES_tradnl" w:eastAsia="es-ES"/>
        </w:rPr>
      </w:pPr>
      <w:r w:rsidRPr="00332E17">
        <w:rPr>
          <w:rFonts w:ascii="Arial" w:eastAsia="Times New Roman" w:hAnsi="Arial" w:cs="Arial"/>
          <w:bCs/>
          <w:spacing w:val="10"/>
          <w:lang w:val="es-ES_tradnl" w:eastAsia="es-ES"/>
        </w:rPr>
        <w:t xml:space="preserve">En el tercer trimestre de 2020, las personas desocupadas de 25 a 44 años representaron el 66.5%, seguidas del grupo de 15 a 24 años con 15.7 por ciento. El grupo de 25 a 44 años, en comparación con el mismo periodo del año pasado aumentó en </w:t>
      </w:r>
      <w:r w:rsidR="00BE47BB" w:rsidRPr="00387E2B">
        <w:rPr>
          <w:rFonts w:ascii="Arial" w:eastAsia="Times New Roman" w:hAnsi="Arial" w:cs="Arial"/>
          <w:bCs/>
          <w:spacing w:val="10"/>
          <w:lang w:val="es-ES_tradnl" w:eastAsia="es-ES"/>
        </w:rPr>
        <w:t>15.7</w:t>
      </w:r>
      <w:r w:rsidRPr="00387E2B">
        <w:rPr>
          <w:rFonts w:ascii="Arial" w:eastAsia="Times New Roman" w:hAnsi="Arial" w:cs="Arial"/>
          <w:bCs/>
          <w:spacing w:val="10"/>
          <w:lang w:val="es-ES_tradnl" w:eastAsia="es-ES"/>
        </w:rPr>
        <w:t xml:space="preserve"> </w:t>
      </w:r>
      <w:r w:rsidRPr="00332E17">
        <w:rPr>
          <w:rFonts w:ascii="Arial" w:eastAsia="Times New Roman" w:hAnsi="Arial" w:cs="Arial"/>
          <w:bCs/>
          <w:spacing w:val="10"/>
          <w:lang w:val="es-ES_tradnl" w:eastAsia="es-ES"/>
        </w:rPr>
        <w:t>mil personas, es decir, un crecimiento anual de 3</w:t>
      </w:r>
      <w:r w:rsidR="00BE47BB" w:rsidRPr="00332E17">
        <w:rPr>
          <w:rFonts w:ascii="Arial" w:eastAsia="Times New Roman" w:hAnsi="Arial" w:cs="Arial"/>
          <w:bCs/>
          <w:spacing w:val="10"/>
          <w:lang w:val="es-ES_tradnl" w:eastAsia="es-ES"/>
        </w:rPr>
        <w:t>4.6</w:t>
      </w:r>
      <w:r w:rsidRPr="00332E17">
        <w:rPr>
          <w:rFonts w:ascii="Arial" w:eastAsia="Times New Roman" w:hAnsi="Arial" w:cs="Arial"/>
          <w:bCs/>
          <w:spacing w:val="10"/>
          <w:lang w:val="es-ES_tradnl" w:eastAsia="es-ES"/>
        </w:rPr>
        <w:t xml:space="preserve"> por ciento. </w:t>
      </w:r>
      <w:r w:rsidR="00BE47BB" w:rsidRPr="00332E17">
        <w:rPr>
          <w:rFonts w:ascii="Arial" w:eastAsia="Times New Roman" w:hAnsi="Arial" w:cs="Arial"/>
          <w:bCs/>
          <w:spacing w:val="10"/>
          <w:lang w:val="es-ES_tradnl" w:eastAsia="es-ES"/>
        </w:rPr>
        <w:t xml:space="preserve">Las personas </w:t>
      </w:r>
      <w:r w:rsidRPr="00332E17">
        <w:rPr>
          <w:rFonts w:ascii="Arial" w:eastAsia="Times New Roman" w:hAnsi="Arial" w:cs="Arial"/>
          <w:bCs/>
          <w:spacing w:val="10"/>
          <w:lang w:val="es-ES_tradnl" w:eastAsia="es-ES"/>
        </w:rPr>
        <w:lastRenderedPageBreak/>
        <w:t>de 15 a 24 años</w:t>
      </w:r>
      <w:r w:rsidR="00BE47BB" w:rsidRPr="00332E17">
        <w:rPr>
          <w:rFonts w:ascii="Arial" w:eastAsia="Times New Roman" w:hAnsi="Arial" w:cs="Arial"/>
          <w:bCs/>
          <w:spacing w:val="10"/>
          <w:lang w:val="es-ES_tradnl" w:eastAsia="es-ES"/>
        </w:rPr>
        <w:t>, en cambio disminuyeron su participación en (-)</w:t>
      </w:r>
      <w:r w:rsidR="00332E17" w:rsidRPr="00332E17">
        <w:rPr>
          <w:rFonts w:ascii="Arial" w:eastAsia="Times New Roman" w:hAnsi="Arial" w:cs="Arial"/>
          <w:bCs/>
          <w:spacing w:val="10"/>
          <w:lang w:val="es-ES_tradnl" w:eastAsia="es-ES"/>
        </w:rPr>
        <w:t>19.5 puntos porcentuales al pasar de 32.7% en el primer trimestre de 2010 a 15.7% en el mismo trimestre de 2020</w:t>
      </w:r>
      <w:r w:rsidRPr="00332E17">
        <w:rPr>
          <w:rFonts w:ascii="Arial" w:eastAsia="Times New Roman" w:hAnsi="Arial" w:cs="Arial"/>
          <w:bCs/>
          <w:spacing w:val="10"/>
          <w:lang w:val="es-ES_tradnl" w:eastAsia="es-ES"/>
        </w:rPr>
        <w:t xml:space="preserve"> La</w:t>
      </w:r>
      <w:r>
        <w:rPr>
          <w:rFonts w:ascii="Arial" w:eastAsia="Times New Roman" w:hAnsi="Arial" w:cs="Arial"/>
          <w:bCs/>
          <w:spacing w:val="10"/>
          <w:lang w:val="es-ES_tradnl" w:eastAsia="es-ES"/>
        </w:rPr>
        <w:t xml:space="preserve"> situación anterior refleja mayores dificultades de la población en edad adulta para incorporarse al mercado laboral ante la reducción de las oportunidades de empleo derivadas de la contingencia sanitaria, en tanto que los jóvenes, muestran un desaliento abandonando la búsqueda de trabajo esperando mejores condiciones para insertarse en el mercado laboral.</w:t>
      </w:r>
    </w:p>
    <w:p w:rsidR="003C7CCE" w:rsidRDefault="003C7CCE" w:rsidP="003C7CCE">
      <w:pPr>
        <w:rPr>
          <w:rFonts w:ascii="Arial" w:eastAsia="Times New Roman" w:hAnsi="Arial" w:cs="Arial"/>
          <w:b/>
          <w:smallCaps/>
          <w:lang w:val="es-ES_tradnl" w:eastAsia="es-ES"/>
        </w:rPr>
      </w:pPr>
    </w:p>
    <w:p w:rsidR="003C7CCE" w:rsidRDefault="003C7CCE" w:rsidP="003C7CCE">
      <w:pPr>
        <w:pStyle w:val="n0"/>
        <w:keepLines w:val="0"/>
        <w:spacing w:before="0"/>
        <w:ind w:left="0" w:right="49" w:firstLine="0"/>
        <w:jc w:val="center"/>
        <w:rPr>
          <w:b/>
          <w:smallCaps/>
          <w:color w:val="auto"/>
          <w:sz w:val="22"/>
          <w:szCs w:val="22"/>
        </w:rPr>
      </w:pPr>
      <w:r w:rsidRPr="00707308">
        <w:rPr>
          <w:b/>
          <w:smallCaps/>
          <w:color w:val="auto"/>
          <w:sz w:val="22"/>
          <w:szCs w:val="22"/>
        </w:rPr>
        <w:t>Población desocupada según grupos de edad</w:t>
      </w:r>
    </w:p>
    <w:p w:rsidR="003C7CCE" w:rsidRDefault="003C7CCE" w:rsidP="003C7CCE">
      <w:pPr>
        <w:pStyle w:val="n0"/>
        <w:keepLines w:val="0"/>
        <w:spacing w:before="0"/>
        <w:ind w:left="0" w:right="49" w:firstLine="0"/>
        <w:jc w:val="center"/>
        <w:rPr>
          <w:b/>
          <w:smallCaps/>
          <w:color w:val="auto"/>
          <w:sz w:val="22"/>
          <w:szCs w:val="22"/>
        </w:rPr>
      </w:pPr>
      <w:r w:rsidRPr="00707308">
        <w:rPr>
          <w:b/>
          <w:smallCaps/>
          <w:color w:val="auto"/>
          <w:sz w:val="22"/>
          <w:szCs w:val="22"/>
        </w:rPr>
        <w:t xml:space="preserve">durante </w:t>
      </w:r>
      <w:r>
        <w:rPr>
          <w:b/>
          <w:smallCaps/>
          <w:color w:val="auto"/>
          <w:sz w:val="22"/>
          <w:szCs w:val="22"/>
        </w:rPr>
        <w:t>el tercer trimestre</w:t>
      </w:r>
      <w:r w:rsidRPr="00707308">
        <w:rPr>
          <w:b/>
          <w:smallCaps/>
          <w:color w:val="auto"/>
          <w:sz w:val="22"/>
          <w:szCs w:val="22"/>
        </w:rPr>
        <w:t xml:space="preserve"> de 2020</w:t>
      </w:r>
    </w:p>
    <w:p w:rsidR="003C7CCE" w:rsidRPr="00E33F09" w:rsidRDefault="003C7CCE" w:rsidP="003C7CCE">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rsidR="003C7CCE" w:rsidRDefault="003C7CCE" w:rsidP="003C7CCE">
      <w:pPr>
        <w:spacing w:after="0" w:line="240" w:lineRule="auto"/>
        <w:ind w:right="51"/>
        <w:jc w:val="center"/>
        <w:rPr>
          <w:rFonts w:ascii="Arial" w:hAnsi="Arial" w:cs="Arial"/>
          <w:smallCaps/>
        </w:rPr>
      </w:pPr>
      <w:r w:rsidRPr="00832E4C">
        <w:rPr>
          <w:noProof/>
          <w:lang w:eastAsia="es-MX"/>
        </w:rPr>
        <w:drawing>
          <wp:inline distT="0" distB="0" distL="0" distR="0" wp14:anchorId="4C08F48C" wp14:editId="0E9A6BBD">
            <wp:extent cx="5760720" cy="1407030"/>
            <wp:effectExtent l="0" t="0" r="0" b="317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1407030"/>
                    </a:xfrm>
                    <a:prstGeom prst="rect">
                      <a:avLst/>
                    </a:prstGeom>
                    <a:noFill/>
                    <a:ln>
                      <a:noFill/>
                    </a:ln>
                  </pic:spPr>
                </pic:pic>
              </a:graphicData>
            </a:graphic>
          </wp:inline>
        </w:drawing>
      </w:r>
    </w:p>
    <w:p w:rsidR="003C7CCE" w:rsidRDefault="003C7CCE" w:rsidP="003C7CCE">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3C7CCE" w:rsidRDefault="003C7CCE" w:rsidP="003C7CCE">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3C7CCE" w:rsidRDefault="003C7CCE" w:rsidP="003C7CCE">
      <w:pPr>
        <w:spacing w:after="0" w:line="240" w:lineRule="auto"/>
        <w:ind w:right="49"/>
        <w:rPr>
          <w:rFonts w:ascii="Arial" w:hAnsi="Arial" w:cs="Arial"/>
          <w:b/>
        </w:rPr>
      </w:pPr>
    </w:p>
    <w:p w:rsidR="003C7CCE" w:rsidRDefault="003C7CCE" w:rsidP="003C7CCE">
      <w:pPr>
        <w:spacing w:after="0" w:line="240" w:lineRule="auto"/>
        <w:ind w:right="49"/>
        <w:jc w:val="both"/>
        <w:rPr>
          <w:rFonts w:ascii="Arial" w:eastAsia="Times New Roman" w:hAnsi="Arial" w:cs="Arial"/>
          <w:bCs/>
          <w:spacing w:val="10"/>
          <w:lang w:val="es-ES_tradnl" w:eastAsia="es-ES"/>
        </w:rPr>
      </w:pPr>
      <w:r w:rsidRPr="00F13E67">
        <w:rPr>
          <w:rFonts w:ascii="Arial" w:eastAsia="Times New Roman" w:hAnsi="Arial" w:cs="Arial"/>
          <w:bCs/>
          <w:spacing w:val="10"/>
          <w:lang w:val="es-ES_tradnl" w:eastAsia="es-ES"/>
        </w:rPr>
        <w:t xml:space="preserve">En el </w:t>
      </w:r>
      <w:r w:rsidR="00F13E67" w:rsidRPr="00F13E67">
        <w:rPr>
          <w:rFonts w:ascii="Arial" w:eastAsia="Times New Roman" w:hAnsi="Arial" w:cs="Arial"/>
          <w:bCs/>
          <w:spacing w:val="10"/>
          <w:lang w:val="es-ES_tradnl" w:eastAsia="es-ES"/>
        </w:rPr>
        <w:t>México</w:t>
      </w:r>
      <w:r w:rsidRPr="00F13E67">
        <w:rPr>
          <w:rFonts w:ascii="Arial" w:eastAsia="Times New Roman" w:hAnsi="Arial" w:cs="Arial"/>
          <w:bCs/>
          <w:spacing w:val="10"/>
          <w:lang w:val="es-ES_tradnl" w:eastAsia="es-ES"/>
        </w:rPr>
        <w:t>, el nivel de desocupación es bajo y la duración de la población en esa situación es generalmente corta, a diferencia de otros países donde existe un seguro de desempleo. En el tercer trimestre de 2020, la proporción de los desocupados se concentró en las personas que tienen más de u</w:t>
      </w:r>
      <w:r w:rsidR="00F13E67" w:rsidRPr="00F13E67">
        <w:rPr>
          <w:rFonts w:ascii="Arial" w:eastAsia="Times New Roman" w:hAnsi="Arial" w:cs="Arial"/>
          <w:bCs/>
          <w:spacing w:val="10"/>
          <w:lang w:val="es-ES_tradnl" w:eastAsia="es-ES"/>
        </w:rPr>
        <w:t>n</w:t>
      </w:r>
      <w:r w:rsidRPr="00F13E67">
        <w:rPr>
          <w:rFonts w:ascii="Arial" w:eastAsia="Times New Roman" w:hAnsi="Arial" w:cs="Arial"/>
          <w:bCs/>
          <w:spacing w:val="10"/>
          <w:lang w:val="es-ES_tradnl" w:eastAsia="es-ES"/>
        </w:rPr>
        <w:t xml:space="preserve"> mes hasta tres meses buscando trabajo con 37.1%, cifra (-)1.9 puntos porcentuales inferior a la del mismo trimestre de 2019.</w:t>
      </w:r>
    </w:p>
    <w:p w:rsidR="003C7CCE" w:rsidRDefault="003C7CCE" w:rsidP="003C7CCE">
      <w:pPr>
        <w:spacing w:after="0" w:line="240" w:lineRule="auto"/>
        <w:ind w:right="49"/>
        <w:jc w:val="both"/>
        <w:rPr>
          <w:rFonts w:ascii="Arial" w:eastAsia="Times New Roman" w:hAnsi="Arial" w:cs="Arial"/>
          <w:bCs/>
          <w:spacing w:val="10"/>
          <w:lang w:val="es-ES_tradnl" w:eastAsia="es-ES"/>
        </w:rPr>
      </w:pPr>
    </w:p>
    <w:p w:rsidR="003C7CCE" w:rsidRDefault="003C7CCE" w:rsidP="003C7CCE">
      <w:pPr>
        <w:pStyle w:val="n0"/>
        <w:keepLines w:val="0"/>
        <w:spacing w:before="0"/>
        <w:ind w:left="0" w:right="49" w:firstLine="0"/>
        <w:jc w:val="center"/>
        <w:rPr>
          <w:b/>
          <w:smallCaps/>
          <w:color w:val="auto"/>
          <w:sz w:val="22"/>
          <w:szCs w:val="22"/>
        </w:rPr>
      </w:pPr>
      <w:r w:rsidRPr="0046490F">
        <w:rPr>
          <w:b/>
          <w:smallCaps/>
          <w:color w:val="auto"/>
          <w:sz w:val="22"/>
          <w:szCs w:val="22"/>
        </w:rPr>
        <w:t xml:space="preserve">Población </w:t>
      </w:r>
      <w:r>
        <w:rPr>
          <w:b/>
          <w:smallCaps/>
          <w:color w:val="auto"/>
          <w:sz w:val="22"/>
          <w:szCs w:val="22"/>
        </w:rPr>
        <w:t>des</w:t>
      </w:r>
      <w:r w:rsidRPr="0046490F">
        <w:rPr>
          <w:b/>
          <w:smallCaps/>
          <w:color w:val="auto"/>
          <w:sz w:val="22"/>
          <w:szCs w:val="22"/>
        </w:rPr>
        <w:t xml:space="preserve">ocupada según </w:t>
      </w:r>
      <w:r>
        <w:rPr>
          <w:b/>
          <w:smallCaps/>
          <w:color w:val="auto"/>
          <w:sz w:val="22"/>
          <w:szCs w:val="22"/>
        </w:rPr>
        <w:t>duración en la desocupación</w:t>
      </w:r>
    </w:p>
    <w:p w:rsidR="003C7CCE" w:rsidRPr="0046490F" w:rsidRDefault="003C7CCE" w:rsidP="003C7CCE">
      <w:pPr>
        <w:pStyle w:val="n0"/>
        <w:keepLines w:val="0"/>
        <w:spacing w:before="0"/>
        <w:ind w:left="0" w:right="49" w:firstLine="0"/>
        <w:jc w:val="center"/>
        <w:rPr>
          <w:b/>
          <w:smallCaps/>
          <w:color w:val="auto"/>
          <w:sz w:val="22"/>
          <w:szCs w:val="22"/>
        </w:rPr>
      </w:pPr>
      <w:r>
        <w:rPr>
          <w:b/>
          <w:smallCaps/>
          <w:color w:val="auto"/>
          <w:sz w:val="22"/>
          <w:szCs w:val="22"/>
        </w:rPr>
        <w:t>durante el tercer trimestre</w:t>
      </w:r>
      <w:r w:rsidRPr="0046490F">
        <w:rPr>
          <w:b/>
          <w:smallCaps/>
          <w:color w:val="auto"/>
          <w:sz w:val="22"/>
          <w:szCs w:val="22"/>
        </w:rPr>
        <w:t xml:space="preserve"> de 2020</w:t>
      </w:r>
    </w:p>
    <w:p w:rsidR="003C7CCE" w:rsidRPr="00E33F09" w:rsidRDefault="003C7CCE" w:rsidP="003C7CCE">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rsidR="003C7CCE" w:rsidRDefault="003C7CCE" w:rsidP="003C7CCE">
      <w:pPr>
        <w:spacing w:after="0" w:line="240" w:lineRule="auto"/>
        <w:ind w:right="51"/>
        <w:jc w:val="center"/>
        <w:rPr>
          <w:rFonts w:ascii="Arial" w:hAnsi="Arial" w:cs="Arial"/>
          <w:smallCaps/>
          <w:sz w:val="20"/>
        </w:rPr>
      </w:pPr>
      <w:r w:rsidRPr="004A288C">
        <w:rPr>
          <w:noProof/>
          <w:lang w:eastAsia="es-MX"/>
        </w:rPr>
        <w:drawing>
          <wp:inline distT="0" distB="0" distL="0" distR="0" wp14:anchorId="5523F312" wp14:editId="5F30E955">
            <wp:extent cx="5760720" cy="1532263"/>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1532263"/>
                    </a:xfrm>
                    <a:prstGeom prst="rect">
                      <a:avLst/>
                    </a:prstGeom>
                    <a:noFill/>
                    <a:ln>
                      <a:noFill/>
                    </a:ln>
                  </pic:spPr>
                </pic:pic>
              </a:graphicData>
            </a:graphic>
          </wp:inline>
        </w:drawing>
      </w:r>
    </w:p>
    <w:p w:rsidR="003C7CCE" w:rsidRDefault="003C7CCE" w:rsidP="003C7CCE">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3C7CCE" w:rsidRDefault="003C7CCE" w:rsidP="003C7CCE">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3C7CCE" w:rsidRDefault="003C7CCE" w:rsidP="003C7CCE">
      <w:pPr>
        <w:pStyle w:val="n0"/>
        <w:keepLines w:val="0"/>
        <w:spacing w:before="0"/>
        <w:ind w:left="0" w:right="49" w:firstLine="0"/>
        <w:jc w:val="left"/>
        <w:rPr>
          <w:b/>
          <w:smallCaps/>
          <w:color w:val="auto"/>
          <w:sz w:val="22"/>
          <w:szCs w:val="22"/>
        </w:rPr>
      </w:pPr>
    </w:p>
    <w:p w:rsidR="003C7CCE" w:rsidRDefault="003C7CCE" w:rsidP="003C7CCE">
      <w:pPr>
        <w:spacing w:after="0" w:line="240" w:lineRule="auto"/>
        <w:ind w:right="49"/>
        <w:jc w:val="both"/>
        <w:rPr>
          <w:rFonts w:ascii="Arial" w:eastAsia="Times New Roman" w:hAnsi="Arial" w:cs="Arial"/>
          <w:bCs/>
          <w:spacing w:val="10"/>
          <w:lang w:val="es-ES_tradnl" w:eastAsia="es-ES"/>
        </w:rPr>
      </w:pPr>
      <w:r w:rsidRPr="00657EEA">
        <w:rPr>
          <w:rFonts w:ascii="Arial" w:eastAsia="Times New Roman" w:hAnsi="Arial" w:cs="Arial"/>
          <w:bCs/>
          <w:spacing w:val="10"/>
          <w:lang w:val="es-ES_tradnl" w:eastAsia="es-ES"/>
        </w:rPr>
        <w:t>En términos absolutos, el incremento mayor se presentó en la duración de la desocupación por más de 3 a 6 meses, con 8 mil 529 personas más en comparación con el tercer trimestre de 2019, seguido por la duración de más de un año de desocupación con un incremento en el mismo periodo de 2 mil desocupados.</w:t>
      </w:r>
      <w:r>
        <w:rPr>
          <w:rFonts w:ascii="Arial" w:eastAsia="Times New Roman" w:hAnsi="Arial" w:cs="Arial"/>
          <w:bCs/>
          <w:spacing w:val="10"/>
          <w:lang w:val="es-ES_tradnl" w:eastAsia="es-ES"/>
        </w:rPr>
        <w:t xml:space="preserve"> Dicho </w:t>
      </w:r>
      <w:r>
        <w:rPr>
          <w:rFonts w:ascii="Arial" w:eastAsia="Times New Roman" w:hAnsi="Arial" w:cs="Arial"/>
          <w:bCs/>
          <w:spacing w:val="10"/>
          <w:lang w:val="es-ES_tradnl" w:eastAsia="es-ES"/>
        </w:rPr>
        <w:lastRenderedPageBreak/>
        <w:t>comportamiento muestra que durante el periodo de contingencia sanitaria se amplió la duración de la desocupación, es decir, las personas están tardando mayor tiempo para insertarse en el mercado laboral.</w:t>
      </w:r>
    </w:p>
    <w:p w:rsidR="003C7CCE" w:rsidRDefault="003C7CCE" w:rsidP="003C7CCE">
      <w:pPr>
        <w:spacing w:after="0" w:line="240" w:lineRule="auto"/>
        <w:ind w:right="49"/>
        <w:jc w:val="both"/>
        <w:rPr>
          <w:rFonts w:ascii="Arial" w:eastAsia="Times New Roman" w:hAnsi="Arial" w:cs="Arial"/>
          <w:bCs/>
          <w:spacing w:val="10"/>
          <w:lang w:val="es-ES_tradnl" w:eastAsia="es-ES"/>
        </w:rPr>
      </w:pPr>
    </w:p>
    <w:p w:rsidR="003C7CCE" w:rsidRPr="00C63172" w:rsidRDefault="003C7CCE" w:rsidP="003C7CCE">
      <w:pPr>
        <w:pStyle w:val="n0"/>
        <w:keepLines w:val="0"/>
        <w:spacing w:before="0"/>
        <w:ind w:left="0" w:right="49" w:firstLine="0"/>
        <w:jc w:val="left"/>
        <w:rPr>
          <w:b/>
          <w:smallCaps/>
          <w:color w:val="auto"/>
          <w:sz w:val="22"/>
          <w:szCs w:val="22"/>
        </w:rPr>
      </w:pPr>
    </w:p>
    <w:p w:rsidR="003C7CCE" w:rsidRPr="00C63172" w:rsidRDefault="003C7CCE" w:rsidP="003C7CCE">
      <w:pPr>
        <w:pStyle w:val="n0"/>
        <w:keepLines w:val="0"/>
        <w:spacing w:before="0"/>
        <w:ind w:left="0" w:right="49" w:firstLine="0"/>
        <w:jc w:val="left"/>
        <w:rPr>
          <w:b/>
          <w:smallCaps/>
          <w:color w:val="auto"/>
          <w:sz w:val="22"/>
          <w:szCs w:val="22"/>
        </w:rPr>
      </w:pPr>
      <w:r w:rsidRPr="00C63172">
        <w:rPr>
          <w:b/>
          <w:smallCaps/>
          <w:color w:val="auto"/>
          <w:sz w:val="22"/>
          <w:szCs w:val="22"/>
        </w:rPr>
        <w:t>tasas complementarias</w:t>
      </w:r>
    </w:p>
    <w:p w:rsidR="003C7CCE" w:rsidRPr="006E2E20" w:rsidRDefault="003C7CCE" w:rsidP="003C7CCE">
      <w:pPr>
        <w:pStyle w:val="n0"/>
        <w:keepLines w:val="0"/>
        <w:spacing w:before="0"/>
        <w:ind w:left="0" w:right="49" w:firstLine="0"/>
        <w:rPr>
          <w:b/>
          <w:smallCaps/>
          <w:color w:val="auto"/>
          <w:sz w:val="22"/>
          <w:szCs w:val="22"/>
        </w:rPr>
      </w:pPr>
    </w:p>
    <w:p w:rsidR="003C7CCE" w:rsidRDefault="003C7CCE" w:rsidP="003C7CCE">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adición </w:t>
      </w:r>
      <w:r w:rsidRPr="00BD02DC">
        <w:rPr>
          <w:bCs/>
          <w:color w:val="auto"/>
          <w:spacing w:val="10"/>
          <w:sz w:val="22"/>
          <w:szCs w:val="22"/>
        </w:rPr>
        <w:t xml:space="preserve">a las tasas </w:t>
      </w:r>
      <w:r>
        <w:rPr>
          <w:bCs/>
          <w:color w:val="auto"/>
          <w:spacing w:val="10"/>
          <w:sz w:val="22"/>
          <w:szCs w:val="22"/>
        </w:rPr>
        <w:t>anteriores</w:t>
      </w:r>
      <w:r w:rsidRPr="00BD02DC">
        <w:rPr>
          <w:bCs/>
          <w:color w:val="auto"/>
          <w:spacing w:val="10"/>
          <w:sz w:val="22"/>
          <w:szCs w:val="22"/>
        </w:rPr>
        <w:t xml:space="preserve">, </w:t>
      </w:r>
      <w:r>
        <w:rPr>
          <w:bCs/>
          <w:color w:val="auto"/>
          <w:spacing w:val="10"/>
          <w:sz w:val="22"/>
          <w:szCs w:val="22"/>
        </w:rPr>
        <w:t xml:space="preserve">a </w:t>
      </w:r>
      <w:proofErr w:type="gramStart"/>
      <w:r>
        <w:rPr>
          <w:bCs/>
          <w:color w:val="auto"/>
          <w:spacing w:val="10"/>
          <w:sz w:val="22"/>
          <w:szCs w:val="22"/>
        </w:rPr>
        <w:t>continuación</w:t>
      </w:r>
      <w:proofErr w:type="gramEnd"/>
      <w:r>
        <w:rPr>
          <w:bCs/>
          <w:color w:val="auto"/>
          <w:spacing w:val="10"/>
          <w:sz w:val="22"/>
          <w:szCs w:val="22"/>
        </w:rPr>
        <w:t xml:space="preserve"> se presenta un conjunto de tasas complementarias </w:t>
      </w:r>
      <w:r w:rsidRPr="00BD02DC">
        <w:rPr>
          <w:bCs/>
          <w:color w:val="auto"/>
          <w:spacing w:val="10"/>
          <w:sz w:val="22"/>
          <w:szCs w:val="22"/>
        </w:rPr>
        <w:t>que permiten ampliar el análisis de la ocupación y el empleo</w:t>
      </w:r>
      <w:r>
        <w:rPr>
          <w:bCs/>
          <w:color w:val="auto"/>
          <w:spacing w:val="10"/>
          <w:sz w:val="22"/>
          <w:szCs w:val="22"/>
        </w:rPr>
        <w:t xml:space="preserve"> durante el tercer trimestre de 2020</w:t>
      </w:r>
      <w:r w:rsidRPr="00BD02DC">
        <w:rPr>
          <w:bCs/>
          <w:color w:val="auto"/>
          <w:spacing w:val="10"/>
          <w:sz w:val="22"/>
          <w:szCs w:val="22"/>
        </w:rPr>
        <w:t xml:space="preserve">. </w:t>
      </w:r>
      <w:r>
        <w:rPr>
          <w:bCs/>
          <w:color w:val="auto"/>
          <w:spacing w:val="10"/>
          <w:sz w:val="22"/>
          <w:szCs w:val="22"/>
        </w:rPr>
        <w:t>Con relación a l</w:t>
      </w:r>
      <w:r w:rsidRPr="00BD02DC">
        <w:rPr>
          <w:bCs/>
          <w:color w:val="auto"/>
          <w:spacing w:val="10"/>
          <w:sz w:val="22"/>
          <w:szCs w:val="22"/>
        </w:rPr>
        <w:t xml:space="preserve">a presión sobre el mercado laboral, </w:t>
      </w:r>
      <w:r>
        <w:rPr>
          <w:bCs/>
          <w:color w:val="auto"/>
          <w:spacing w:val="10"/>
          <w:sz w:val="22"/>
          <w:szCs w:val="22"/>
        </w:rPr>
        <w:t>se tiene</w:t>
      </w:r>
      <w:r w:rsidRPr="00BD02DC">
        <w:rPr>
          <w:bCs/>
          <w:color w:val="auto"/>
          <w:spacing w:val="10"/>
          <w:sz w:val="22"/>
          <w:szCs w:val="22"/>
        </w:rPr>
        <w:t xml:space="preserve"> la tasa de ocupación parcial y desocupación y la tasa de presión general.</w:t>
      </w:r>
    </w:p>
    <w:p w:rsidR="003C7CCE" w:rsidRDefault="003C7CCE" w:rsidP="003C7CCE">
      <w:pPr>
        <w:pStyle w:val="n0"/>
        <w:keepLines w:val="0"/>
        <w:spacing w:before="0"/>
        <w:ind w:left="0" w:right="49" w:firstLine="0"/>
        <w:contextualSpacing/>
        <w:rPr>
          <w:bCs/>
          <w:color w:val="auto"/>
          <w:spacing w:val="10"/>
          <w:sz w:val="22"/>
          <w:szCs w:val="22"/>
        </w:rPr>
      </w:pPr>
    </w:p>
    <w:p w:rsidR="003C7CCE" w:rsidRDefault="003C7CCE" w:rsidP="003C7CCE">
      <w:pPr>
        <w:pStyle w:val="n0"/>
        <w:keepLines w:val="0"/>
        <w:spacing w:before="0"/>
        <w:ind w:left="0" w:right="49" w:firstLine="0"/>
        <w:contextualSpacing/>
        <w:rPr>
          <w:bCs/>
          <w:color w:val="auto"/>
          <w:spacing w:val="10"/>
          <w:sz w:val="22"/>
          <w:szCs w:val="22"/>
        </w:rPr>
      </w:pPr>
      <w:r w:rsidRPr="00002128">
        <w:rPr>
          <w:bCs/>
          <w:color w:val="auto"/>
          <w:spacing w:val="10"/>
          <w:sz w:val="22"/>
          <w:szCs w:val="22"/>
        </w:rPr>
        <w:t>La Tasa de Ocupación Parcial y Desocupación (TOPD1) considera a la población desocupada y la ocupada que trabajó menos de 15 horas a la semana, respecto a la población económicamente activa. Durante el tercer trimestre de 2020 esta tasa fue de 10.4%, 0.5 puntos porcentuales mayor que la del tercer trimestre de 2019; por su parte esta tasa en los hombres fue de 7.6% y en las mujeres de 15.4%, cifras 0.2 y 1.2 puntos porcentuales mayores que el mismo trimestre del año pasado.</w:t>
      </w:r>
    </w:p>
    <w:p w:rsidR="003C7CCE" w:rsidRDefault="003C7CCE" w:rsidP="003C7CCE">
      <w:pPr>
        <w:pStyle w:val="n0"/>
        <w:keepLines w:val="0"/>
        <w:spacing w:before="0"/>
        <w:ind w:left="0" w:right="49" w:firstLine="0"/>
        <w:contextualSpacing/>
        <w:rPr>
          <w:bCs/>
          <w:color w:val="auto"/>
          <w:spacing w:val="10"/>
          <w:sz w:val="22"/>
          <w:szCs w:val="22"/>
        </w:rPr>
      </w:pPr>
    </w:p>
    <w:p w:rsidR="003C7CCE" w:rsidRDefault="003C7CCE" w:rsidP="003C7CCE">
      <w:pPr>
        <w:pStyle w:val="n0"/>
        <w:keepLines w:val="0"/>
        <w:spacing w:before="0"/>
        <w:ind w:left="0" w:right="49" w:firstLine="0"/>
        <w:contextualSpacing/>
        <w:rPr>
          <w:bCs/>
          <w:color w:val="auto"/>
          <w:spacing w:val="10"/>
          <w:sz w:val="22"/>
          <w:szCs w:val="22"/>
        </w:rPr>
      </w:pPr>
      <w:r w:rsidRPr="00D23113">
        <w:rPr>
          <w:bCs/>
          <w:color w:val="auto"/>
          <w:spacing w:val="10"/>
          <w:sz w:val="22"/>
          <w:szCs w:val="22"/>
        </w:rPr>
        <w:t>La Tasa de Presión General (TP</w:t>
      </w:r>
      <w:r>
        <w:rPr>
          <w:bCs/>
          <w:color w:val="auto"/>
          <w:spacing w:val="10"/>
          <w:sz w:val="22"/>
          <w:szCs w:val="22"/>
        </w:rPr>
        <w:t>R</w:t>
      </w:r>
      <w:r w:rsidRPr="00D23113">
        <w:rPr>
          <w:bCs/>
          <w:color w:val="auto"/>
          <w:spacing w:val="10"/>
          <w:sz w:val="22"/>
          <w:szCs w:val="22"/>
        </w:rPr>
        <w:t xml:space="preserve">G), comprende a </w:t>
      </w:r>
      <w:r>
        <w:rPr>
          <w:bCs/>
          <w:color w:val="auto"/>
          <w:spacing w:val="10"/>
          <w:sz w:val="22"/>
          <w:szCs w:val="22"/>
        </w:rPr>
        <w:t xml:space="preserve">quienes están en desocupación abierta </w:t>
      </w:r>
      <w:r w:rsidRPr="00D23113">
        <w:rPr>
          <w:bCs/>
          <w:color w:val="auto"/>
          <w:spacing w:val="10"/>
          <w:sz w:val="22"/>
          <w:szCs w:val="22"/>
        </w:rPr>
        <w:t>y a los ocupados que buscan empleo adicional o para cambiar el actual</w:t>
      </w:r>
      <w:r w:rsidRPr="00A83689">
        <w:rPr>
          <w:bCs/>
          <w:color w:val="auto"/>
          <w:spacing w:val="10"/>
          <w:sz w:val="22"/>
          <w:szCs w:val="22"/>
        </w:rPr>
        <w:t>,</w:t>
      </w:r>
      <w:r w:rsidRPr="00D23113">
        <w:rPr>
          <w:bCs/>
          <w:color w:val="auto"/>
          <w:spacing w:val="10"/>
          <w:sz w:val="22"/>
          <w:szCs w:val="22"/>
        </w:rPr>
        <w:t xml:space="preserve"> como proporción de la población económicamente activa. </w:t>
      </w:r>
      <w:r>
        <w:rPr>
          <w:bCs/>
          <w:color w:val="auto"/>
          <w:spacing w:val="10"/>
          <w:sz w:val="22"/>
          <w:szCs w:val="22"/>
        </w:rPr>
        <w:t>E</w:t>
      </w:r>
      <w:r w:rsidRPr="00D23113">
        <w:rPr>
          <w:bCs/>
          <w:color w:val="auto"/>
          <w:spacing w:val="10"/>
          <w:sz w:val="22"/>
          <w:szCs w:val="22"/>
        </w:rPr>
        <w:t xml:space="preserve">sta tasa </w:t>
      </w:r>
      <w:r>
        <w:rPr>
          <w:bCs/>
          <w:color w:val="auto"/>
          <w:spacing w:val="10"/>
          <w:sz w:val="22"/>
          <w:szCs w:val="22"/>
        </w:rPr>
        <w:t>fue de</w:t>
      </w:r>
      <w:r w:rsidRPr="00D23113">
        <w:rPr>
          <w:bCs/>
          <w:color w:val="auto"/>
          <w:spacing w:val="10"/>
          <w:sz w:val="22"/>
          <w:szCs w:val="22"/>
        </w:rPr>
        <w:t xml:space="preserve"> </w:t>
      </w:r>
      <w:r>
        <w:rPr>
          <w:bCs/>
          <w:color w:val="auto"/>
          <w:spacing w:val="10"/>
          <w:sz w:val="22"/>
          <w:szCs w:val="22"/>
        </w:rPr>
        <w:t>7.0</w:t>
      </w:r>
      <w:r w:rsidRPr="00D23113">
        <w:rPr>
          <w:bCs/>
          <w:color w:val="auto"/>
          <w:spacing w:val="10"/>
          <w:sz w:val="22"/>
          <w:szCs w:val="22"/>
        </w:rPr>
        <w:t xml:space="preserve">% de la PEA en </w:t>
      </w:r>
      <w:r>
        <w:rPr>
          <w:bCs/>
          <w:color w:val="auto"/>
          <w:spacing w:val="10"/>
          <w:sz w:val="22"/>
          <w:szCs w:val="22"/>
        </w:rPr>
        <w:t>el tercer trimestre</w:t>
      </w:r>
      <w:r w:rsidRPr="00D23113">
        <w:rPr>
          <w:bCs/>
          <w:color w:val="auto"/>
          <w:spacing w:val="10"/>
          <w:sz w:val="22"/>
          <w:szCs w:val="22"/>
        </w:rPr>
        <w:t xml:space="preserve"> del presente año</w:t>
      </w:r>
      <w:r>
        <w:rPr>
          <w:bCs/>
          <w:color w:val="auto"/>
          <w:spacing w:val="10"/>
          <w:sz w:val="22"/>
          <w:szCs w:val="22"/>
        </w:rPr>
        <w:t>, observándose una TPRG masculina de 7.9%, mientras que la femenina fue de 5.2 por ciento. En términos porcentuales, la presión sobre el mercado laboral en demanda de un empleo aumentó 0.2 puntos porcentuales en el total, siendo mayor en los hombres con 1.2 puntos porcentuales frente a un decremento de (-)1.7 puntos porcentuales en las mujeres, entre el tercer trimestre de 2019 y el tercer trimestre de 2020.</w:t>
      </w:r>
    </w:p>
    <w:p w:rsidR="003C7CCE" w:rsidRDefault="003C7CCE" w:rsidP="003C7CCE">
      <w:pPr>
        <w:pStyle w:val="n0"/>
        <w:keepLines w:val="0"/>
        <w:spacing w:before="0"/>
        <w:ind w:left="0" w:right="49" w:firstLine="0"/>
        <w:contextualSpacing/>
        <w:rPr>
          <w:bCs/>
          <w:color w:val="auto"/>
          <w:spacing w:val="10"/>
          <w:sz w:val="22"/>
          <w:szCs w:val="22"/>
        </w:rPr>
      </w:pPr>
    </w:p>
    <w:p w:rsidR="003C7CCE" w:rsidRPr="000044E4" w:rsidRDefault="003C7CCE" w:rsidP="003C7CCE">
      <w:pPr>
        <w:pStyle w:val="n0"/>
        <w:keepLines w:val="0"/>
        <w:spacing w:before="0"/>
        <w:ind w:left="0" w:right="49" w:firstLine="0"/>
        <w:contextualSpacing/>
        <w:rPr>
          <w:bCs/>
          <w:color w:val="auto"/>
          <w:spacing w:val="10"/>
          <w:sz w:val="22"/>
          <w:szCs w:val="22"/>
        </w:rPr>
      </w:pPr>
      <w:r>
        <w:rPr>
          <w:bCs/>
          <w:color w:val="auto"/>
          <w:spacing w:val="10"/>
          <w:sz w:val="22"/>
          <w:szCs w:val="22"/>
        </w:rPr>
        <w:t xml:space="preserve">El conjunto de tasas que ofrecen una mirada sobre la ocupación informal y la ocupación en el sector informal en todas las actividades económicas son: la </w:t>
      </w:r>
      <w:r w:rsidRPr="000044E4">
        <w:rPr>
          <w:bCs/>
          <w:color w:val="auto"/>
          <w:spacing w:val="10"/>
          <w:sz w:val="22"/>
          <w:szCs w:val="22"/>
        </w:rPr>
        <w:t xml:space="preserve">Tasa de Informalidad Laboral 1 (TIL1), que comprende a los ocupados que son laboralmente vulnerables por la naturaleza de la unidad económica para la que trabajan, así como aquellos cuyo vínculo o dependencia laboral no es reconocido por su fuente de trabajo. Durante el tercer trimestre de 2020 la TIL1 fue de </w:t>
      </w:r>
      <w:r>
        <w:rPr>
          <w:bCs/>
          <w:color w:val="auto"/>
          <w:spacing w:val="10"/>
          <w:sz w:val="22"/>
          <w:szCs w:val="22"/>
        </w:rPr>
        <w:t>6</w:t>
      </w:r>
      <w:r w:rsidRPr="000044E4">
        <w:rPr>
          <w:bCs/>
          <w:color w:val="auto"/>
          <w:spacing w:val="10"/>
          <w:sz w:val="22"/>
          <w:szCs w:val="22"/>
        </w:rPr>
        <w:t>5.</w:t>
      </w:r>
      <w:r>
        <w:rPr>
          <w:bCs/>
          <w:color w:val="auto"/>
          <w:spacing w:val="10"/>
          <w:sz w:val="22"/>
          <w:szCs w:val="22"/>
        </w:rPr>
        <w:t>9</w:t>
      </w:r>
      <w:r w:rsidRPr="000044E4">
        <w:rPr>
          <w:bCs/>
          <w:color w:val="auto"/>
          <w:spacing w:val="10"/>
          <w:sz w:val="22"/>
          <w:szCs w:val="22"/>
        </w:rPr>
        <w:t>% de la población ocupada, (-)2.</w:t>
      </w:r>
      <w:r>
        <w:rPr>
          <w:bCs/>
          <w:color w:val="auto"/>
          <w:spacing w:val="10"/>
          <w:sz w:val="22"/>
          <w:szCs w:val="22"/>
        </w:rPr>
        <w:t>7</w:t>
      </w:r>
      <w:r w:rsidRPr="000044E4">
        <w:rPr>
          <w:bCs/>
          <w:color w:val="auto"/>
          <w:spacing w:val="10"/>
          <w:sz w:val="22"/>
          <w:szCs w:val="22"/>
        </w:rPr>
        <w:t xml:space="preserve"> puntos porcentuales menor a la del tercer trimestre de 2019. Por sexo, </w:t>
      </w:r>
      <w:r>
        <w:rPr>
          <w:bCs/>
          <w:color w:val="auto"/>
          <w:spacing w:val="10"/>
          <w:sz w:val="22"/>
          <w:szCs w:val="22"/>
        </w:rPr>
        <w:t xml:space="preserve">la </w:t>
      </w:r>
      <w:r w:rsidRPr="000044E4">
        <w:rPr>
          <w:bCs/>
          <w:color w:val="auto"/>
          <w:spacing w:val="10"/>
          <w:sz w:val="22"/>
          <w:szCs w:val="22"/>
        </w:rPr>
        <w:t xml:space="preserve">TIL1 en los hombres fue de </w:t>
      </w:r>
      <w:r>
        <w:rPr>
          <w:bCs/>
          <w:color w:val="auto"/>
          <w:spacing w:val="10"/>
          <w:sz w:val="22"/>
          <w:szCs w:val="22"/>
        </w:rPr>
        <w:t>68</w:t>
      </w:r>
      <w:r w:rsidRPr="000044E4">
        <w:rPr>
          <w:bCs/>
          <w:color w:val="auto"/>
          <w:spacing w:val="10"/>
          <w:sz w:val="22"/>
          <w:szCs w:val="22"/>
        </w:rPr>
        <w:t>.</w:t>
      </w:r>
      <w:r>
        <w:rPr>
          <w:bCs/>
          <w:color w:val="auto"/>
          <w:spacing w:val="10"/>
          <w:sz w:val="22"/>
          <w:szCs w:val="22"/>
        </w:rPr>
        <w:t>4</w:t>
      </w:r>
      <w:r w:rsidRPr="000044E4">
        <w:rPr>
          <w:bCs/>
          <w:color w:val="auto"/>
          <w:spacing w:val="10"/>
          <w:sz w:val="22"/>
          <w:szCs w:val="22"/>
        </w:rPr>
        <w:t xml:space="preserve">% y en las mujeres de </w:t>
      </w:r>
      <w:r>
        <w:rPr>
          <w:bCs/>
          <w:color w:val="auto"/>
          <w:spacing w:val="10"/>
          <w:sz w:val="22"/>
          <w:szCs w:val="22"/>
        </w:rPr>
        <w:t>61</w:t>
      </w:r>
      <w:r w:rsidRPr="000044E4">
        <w:rPr>
          <w:bCs/>
          <w:color w:val="auto"/>
          <w:spacing w:val="10"/>
          <w:sz w:val="22"/>
          <w:szCs w:val="22"/>
        </w:rPr>
        <w:t>.</w:t>
      </w:r>
      <w:r>
        <w:rPr>
          <w:bCs/>
          <w:color w:val="auto"/>
          <w:spacing w:val="10"/>
          <w:sz w:val="22"/>
          <w:szCs w:val="22"/>
        </w:rPr>
        <w:t>5</w:t>
      </w:r>
      <w:r w:rsidRPr="000044E4">
        <w:rPr>
          <w:bCs/>
          <w:color w:val="auto"/>
          <w:spacing w:val="10"/>
          <w:sz w:val="22"/>
          <w:szCs w:val="22"/>
        </w:rPr>
        <w:t xml:space="preserve">%; siendo </w:t>
      </w:r>
      <w:r>
        <w:rPr>
          <w:bCs/>
          <w:color w:val="auto"/>
          <w:spacing w:val="10"/>
          <w:sz w:val="22"/>
          <w:szCs w:val="22"/>
        </w:rPr>
        <w:t>mayor</w:t>
      </w:r>
      <w:r w:rsidRPr="000044E4">
        <w:rPr>
          <w:bCs/>
          <w:color w:val="auto"/>
          <w:spacing w:val="10"/>
          <w:sz w:val="22"/>
          <w:szCs w:val="22"/>
        </w:rPr>
        <w:t xml:space="preserve"> en 0.</w:t>
      </w:r>
      <w:r>
        <w:rPr>
          <w:bCs/>
          <w:color w:val="auto"/>
          <w:spacing w:val="10"/>
          <w:sz w:val="22"/>
          <w:szCs w:val="22"/>
        </w:rPr>
        <w:t>5</w:t>
      </w:r>
      <w:r w:rsidRPr="000044E4">
        <w:rPr>
          <w:bCs/>
          <w:color w:val="auto"/>
          <w:spacing w:val="10"/>
          <w:sz w:val="22"/>
          <w:szCs w:val="22"/>
        </w:rPr>
        <w:t xml:space="preserve"> puntos porcentuales y </w:t>
      </w:r>
      <w:r>
        <w:rPr>
          <w:bCs/>
          <w:color w:val="auto"/>
          <w:spacing w:val="10"/>
          <w:sz w:val="22"/>
          <w:szCs w:val="22"/>
        </w:rPr>
        <w:t xml:space="preserve">menor en </w:t>
      </w:r>
      <w:r w:rsidRPr="000044E4">
        <w:rPr>
          <w:bCs/>
          <w:color w:val="auto"/>
          <w:spacing w:val="10"/>
          <w:sz w:val="22"/>
          <w:szCs w:val="22"/>
        </w:rPr>
        <w:t>(-)</w:t>
      </w:r>
      <w:r>
        <w:rPr>
          <w:bCs/>
          <w:color w:val="auto"/>
          <w:spacing w:val="10"/>
          <w:sz w:val="22"/>
          <w:szCs w:val="22"/>
        </w:rPr>
        <w:t>8</w:t>
      </w:r>
      <w:r w:rsidRPr="000044E4">
        <w:rPr>
          <w:bCs/>
          <w:color w:val="auto"/>
          <w:spacing w:val="10"/>
          <w:sz w:val="22"/>
          <w:szCs w:val="22"/>
        </w:rPr>
        <w:t>.</w:t>
      </w:r>
      <w:r>
        <w:rPr>
          <w:bCs/>
          <w:color w:val="auto"/>
          <w:spacing w:val="10"/>
          <w:sz w:val="22"/>
          <w:szCs w:val="22"/>
        </w:rPr>
        <w:t>3</w:t>
      </w:r>
      <w:r w:rsidRPr="000044E4">
        <w:rPr>
          <w:bCs/>
          <w:color w:val="auto"/>
          <w:spacing w:val="10"/>
          <w:sz w:val="22"/>
          <w:szCs w:val="22"/>
        </w:rPr>
        <w:t xml:space="preserve"> puntos porcentuales, respectivamente, comparada con la del mismo trimestre de 2019.</w:t>
      </w:r>
    </w:p>
    <w:p w:rsidR="003C7CCE" w:rsidRDefault="003C7CCE" w:rsidP="003C7CCE">
      <w:pPr>
        <w:pStyle w:val="n0"/>
        <w:keepLines w:val="0"/>
        <w:spacing w:before="0"/>
        <w:ind w:left="0" w:right="49" w:firstLine="0"/>
        <w:contextualSpacing/>
        <w:rPr>
          <w:color w:val="auto"/>
          <w:sz w:val="22"/>
          <w:szCs w:val="22"/>
        </w:rPr>
      </w:pPr>
    </w:p>
    <w:p w:rsidR="003C7CCE" w:rsidRPr="000044E4" w:rsidRDefault="003C7CCE" w:rsidP="003C7CCE">
      <w:pPr>
        <w:pStyle w:val="n0"/>
        <w:keepLines w:val="0"/>
        <w:spacing w:before="0"/>
        <w:ind w:left="0" w:right="49" w:firstLine="0"/>
        <w:contextualSpacing/>
        <w:rPr>
          <w:bCs/>
          <w:color w:val="auto"/>
          <w:spacing w:val="10"/>
          <w:sz w:val="22"/>
          <w:szCs w:val="22"/>
        </w:rPr>
      </w:pPr>
      <w:r w:rsidRPr="000044E4">
        <w:rPr>
          <w:bCs/>
          <w:color w:val="auto"/>
          <w:spacing w:val="10"/>
          <w:sz w:val="22"/>
          <w:szCs w:val="22"/>
        </w:rPr>
        <w:t xml:space="preserve">La Tasa de Ocupación en el Sector Informal 1 (TOSI1), que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La TOSI1 durante el </w:t>
      </w:r>
      <w:r w:rsidRPr="00077AE7">
        <w:rPr>
          <w:bCs/>
          <w:color w:val="auto"/>
          <w:spacing w:val="10"/>
          <w:sz w:val="22"/>
          <w:szCs w:val="22"/>
        </w:rPr>
        <w:t>tercer trimestre de 2020 fue de 29.0% de la población ocupada, tasa superior en 0.7 puntos</w:t>
      </w:r>
      <w:r w:rsidRPr="000044E4">
        <w:rPr>
          <w:bCs/>
          <w:color w:val="auto"/>
          <w:spacing w:val="10"/>
          <w:sz w:val="22"/>
          <w:szCs w:val="22"/>
        </w:rPr>
        <w:t xml:space="preserve"> porcentuales respecto </w:t>
      </w:r>
      <w:r w:rsidRPr="000044E4">
        <w:rPr>
          <w:bCs/>
          <w:color w:val="auto"/>
          <w:spacing w:val="10"/>
          <w:sz w:val="22"/>
          <w:szCs w:val="22"/>
        </w:rPr>
        <w:lastRenderedPageBreak/>
        <w:t xml:space="preserve">a la del tercer trimestre de 2019. </w:t>
      </w:r>
      <w:r>
        <w:rPr>
          <w:bCs/>
          <w:color w:val="auto"/>
          <w:spacing w:val="10"/>
          <w:sz w:val="22"/>
          <w:szCs w:val="22"/>
        </w:rPr>
        <w:t xml:space="preserve">La </w:t>
      </w:r>
      <w:r w:rsidRPr="000044E4">
        <w:rPr>
          <w:bCs/>
          <w:color w:val="auto"/>
          <w:spacing w:val="10"/>
          <w:sz w:val="22"/>
          <w:szCs w:val="22"/>
        </w:rPr>
        <w:t xml:space="preserve">TOSI1 masculina fue </w:t>
      </w:r>
      <w:r w:rsidRPr="00C74ECF">
        <w:rPr>
          <w:bCs/>
          <w:color w:val="auto"/>
          <w:spacing w:val="10"/>
          <w:sz w:val="22"/>
          <w:szCs w:val="22"/>
        </w:rPr>
        <w:t>de 25.2% y la</w:t>
      </w:r>
      <w:r w:rsidRPr="000044E4">
        <w:rPr>
          <w:bCs/>
          <w:color w:val="auto"/>
          <w:spacing w:val="10"/>
          <w:sz w:val="22"/>
          <w:szCs w:val="22"/>
        </w:rPr>
        <w:t xml:space="preserve"> femenina de </w:t>
      </w:r>
      <w:r w:rsidR="0099184F" w:rsidRPr="00387E2B">
        <w:rPr>
          <w:bCs/>
          <w:color w:val="auto"/>
          <w:spacing w:val="10"/>
          <w:sz w:val="22"/>
          <w:szCs w:val="22"/>
        </w:rPr>
        <w:t>35.7</w:t>
      </w:r>
      <w:r w:rsidRPr="00387E2B">
        <w:rPr>
          <w:bCs/>
          <w:color w:val="auto"/>
          <w:spacing w:val="10"/>
          <w:sz w:val="22"/>
          <w:szCs w:val="22"/>
        </w:rPr>
        <w:t xml:space="preserve">% en </w:t>
      </w:r>
      <w:r w:rsidRPr="000044E4">
        <w:rPr>
          <w:bCs/>
          <w:color w:val="auto"/>
          <w:spacing w:val="10"/>
          <w:sz w:val="22"/>
          <w:szCs w:val="22"/>
        </w:rPr>
        <w:t xml:space="preserve">el tercer trimestre de 2020, las cuales, comparadas con igual periodo de un año antes, son </w:t>
      </w:r>
      <w:r w:rsidR="0099184F">
        <w:rPr>
          <w:bCs/>
          <w:color w:val="auto"/>
          <w:spacing w:val="10"/>
          <w:sz w:val="22"/>
          <w:szCs w:val="22"/>
        </w:rPr>
        <w:t>superiores</w:t>
      </w:r>
      <w:r w:rsidRPr="000044E4">
        <w:rPr>
          <w:bCs/>
          <w:color w:val="auto"/>
          <w:spacing w:val="10"/>
          <w:sz w:val="22"/>
          <w:szCs w:val="22"/>
        </w:rPr>
        <w:t xml:space="preserve"> en </w:t>
      </w:r>
      <w:r w:rsidR="0099184F">
        <w:rPr>
          <w:bCs/>
          <w:color w:val="auto"/>
          <w:spacing w:val="10"/>
          <w:sz w:val="22"/>
          <w:szCs w:val="22"/>
        </w:rPr>
        <w:t>0.4</w:t>
      </w:r>
      <w:r w:rsidRPr="000044E4">
        <w:rPr>
          <w:bCs/>
          <w:color w:val="auto"/>
          <w:spacing w:val="10"/>
          <w:sz w:val="22"/>
          <w:szCs w:val="22"/>
        </w:rPr>
        <w:t xml:space="preserve"> puntos porcentuales y </w:t>
      </w:r>
      <w:r w:rsidR="0099184F">
        <w:rPr>
          <w:bCs/>
          <w:color w:val="auto"/>
          <w:spacing w:val="10"/>
          <w:sz w:val="22"/>
          <w:szCs w:val="22"/>
        </w:rPr>
        <w:t>1.1</w:t>
      </w:r>
      <w:r>
        <w:rPr>
          <w:bCs/>
          <w:color w:val="auto"/>
          <w:spacing w:val="10"/>
          <w:sz w:val="22"/>
          <w:szCs w:val="22"/>
        </w:rPr>
        <w:t xml:space="preserve"> puntos porcentuales</w:t>
      </w:r>
      <w:r w:rsidRPr="000044E4">
        <w:rPr>
          <w:bCs/>
          <w:color w:val="auto"/>
          <w:spacing w:val="10"/>
          <w:sz w:val="22"/>
          <w:szCs w:val="22"/>
        </w:rPr>
        <w:t>.</w:t>
      </w:r>
    </w:p>
    <w:p w:rsidR="008B555F" w:rsidRDefault="008B555F" w:rsidP="008B555F">
      <w:pPr>
        <w:pStyle w:val="n0"/>
        <w:keepLines w:val="0"/>
        <w:spacing w:before="0"/>
        <w:ind w:left="0" w:right="49" w:firstLine="0"/>
        <w:contextualSpacing/>
        <w:rPr>
          <w:bCs/>
          <w:color w:val="auto"/>
          <w:spacing w:val="10"/>
          <w:sz w:val="22"/>
          <w:szCs w:val="22"/>
        </w:rPr>
      </w:pPr>
    </w:p>
    <w:p w:rsidR="008B555F" w:rsidRPr="00387E2B" w:rsidRDefault="008B555F" w:rsidP="008B555F">
      <w:pPr>
        <w:pStyle w:val="n0"/>
        <w:keepLines w:val="0"/>
        <w:spacing w:before="0"/>
        <w:ind w:left="0" w:right="49" w:firstLine="0"/>
        <w:contextualSpacing/>
        <w:rPr>
          <w:bCs/>
          <w:color w:val="auto"/>
          <w:spacing w:val="10"/>
          <w:sz w:val="22"/>
          <w:szCs w:val="22"/>
        </w:rPr>
      </w:pPr>
      <w:r w:rsidRPr="000044E4">
        <w:rPr>
          <w:bCs/>
          <w:color w:val="auto"/>
          <w:spacing w:val="10"/>
          <w:sz w:val="22"/>
          <w:szCs w:val="22"/>
        </w:rPr>
        <w:t xml:space="preserve">Dejando fuera a las actividades agropecuarias, la Tasa de Informalidad Laboral 2 (TIL2), en el tercer trimestre de 2020 fue de </w:t>
      </w:r>
      <w:r>
        <w:rPr>
          <w:bCs/>
          <w:color w:val="auto"/>
          <w:spacing w:val="10"/>
          <w:sz w:val="22"/>
          <w:szCs w:val="22"/>
        </w:rPr>
        <w:t>59.3</w:t>
      </w:r>
      <w:r w:rsidRPr="000044E4">
        <w:rPr>
          <w:bCs/>
          <w:color w:val="auto"/>
          <w:spacing w:val="10"/>
          <w:sz w:val="22"/>
          <w:szCs w:val="22"/>
        </w:rPr>
        <w:t xml:space="preserve">% de la población ocupada no </w:t>
      </w:r>
      <w:r w:rsidRPr="00387E2B">
        <w:rPr>
          <w:bCs/>
          <w:color w:val="auto"/>
          <w:spacing w:val="10"/>
          <w:sz w:val="22"/>
          <w:szCs w:val="22"/>
        </w:rPr>
        <w:t xml:space="preserve">agropecuaria, </w:t>
      </w:r>
      <w:r w:rsidR="00E7078B" w:rsidRPr="00387E2B">
        <w:rPr>
          <w:bCs/>
          <w:color w:val="auto"/>
          <w:spacing w:val="10"/>
          <w:sz w:val="22"/>
          <w:szCs w:val="22"/>
        </w:rPr>
        <w:t xml:space="preserve">(-2.9) </w:t>
      </w:r>
      <w:r w:rsidRPr="00387E2B">
        <w:rPr>
          <w:bCs/>
          <w:color w:val="auto"/>
          <w:spacing w:val="10"/>
          <w:sz w:val="22"/>
          <w:szCs w:val="22"/>
        </w:rPr>
        <w:t xml:space="preserve">puntos porcentuales </w:t>
      </w:r>
      <w:r w:rsidR="00E7078B" w:rsidRPr="00387E2B">
        <w:rPr>
          <w:bCs/>
          <w:color w:val="auto"/>
          <w:spacing w:val="10"/>
          <w:sz w:val="22"/>
          <w:szCs w:val="22"/>
        </w:rPr>
        <w:t>inferior</w:t>
      </w:r>
      <w:r w:rsidRPr="00387E2B">
        <w:rPr>
          <w:bCs/>
          <w:color w:val="auto"/>
          <w:spacing w:val="10"/>
          <w:sz w:val="22"/>
          <w:szCs w:val="22"/>
        </w:rPr>
        <w:t xml:space="preserve"> a la del mismo periodo de 2019. Por sexo, la TIL2 masculina fue de 58.2% y la femenina de 60.7% en el tercer trimestre de 2020, las cuales son superior en </w:t>
      </w:r>
      <w:r w:rsidR="00F255B5" w:rsidRPr="00387E2B">
        <w:rPr>
          <w:bCs/>
          <w:color w:val="auto"/>
          <w:spacing w:val="10"/>
          <w:sz w:val="22"/>
          <w:szCs w:val="22"/>
        </w:rPr>
        <w:t>2.0</w:t>
      </w:r>
      <w:r w:rsidRPr="00387E2B">
        <w:rPr>
          <w:bCs/>
          <w:color w:val="auto"/>
          <w:spacing w:val="10"/>
          <w:sz w:val="22"/>
          <w:szCs w:val="22"/>
        </w:rPr>
        <w:t xml:space="preserve"> </w:t>
      </w:r>
      <w:r w:rsidR="00F255B5" w:rsidRPr="00387E2B">
        <w:rPr>
          <w:bCs/>
          <w:color w:val="auto"/>
          <w:spacing w:val="10"/>
          <w:sz w:val="22"/>
          <w:szCs w:val="22"/>
        </w:rPr>
        <w:t>e inferior en (-)8.9</w:t>
      </w:r>
      <w:r w:rsidRPr="00387E2B">
        <w:rPr>
          <w:bCs/>
          <w:color w:val="auto"/>
          <w:spacing w:val="10"/>
          <w:sz w:val="22"/>
          <w:szCs w:val="22"/>
        </w:rPr>
        <w:t xml:space="preserve"> puntos porcentuales, respectivamente, en el mismo periodo.</w:t>
      </w:r>
    </w:p>
    <w:p w:rsidR="008B555F" w:rsidRPr="00387E2B" w:rsidRDefault="008B555F" w:rsidP="008B555F">
      <w:pPr>
        <w:pStyle w:val="n0"/>
        <w:keepLines w:val="0"/>
        <w:spacing w:before="0"/>
        <w:ind w:left="0" w:right="49" w:firstLine="0"/>
        <w:contextualSpacing/>
        <w:rPr>
          <w:bCs/>
          <w:color w:val="auto"/>
          <w:spacing w:val="10"/>
          <w:sz w:val="22"/>
          <w:szCs w:val="22"/>
        </w:rPr>
      </w:pPr>
    </w:p>
    <w:p w:rsidR="008B555F" w:rsidRPr="00387E2B" w:rsidRDefault="008B555F" w:rsidP="008B555F">
      <w:pPr>
        <w:pStyle w:val="n0"/>
        <w:keepLines w:val="0"/>
        <w:spacing w:before="0"/>
        <w:ind w:left="0" w:right="49" w:firstLine="0"/>
        <w:contextualSpacing/>
        <w:rPr>
          <w:bCs/>
          <w:color w:val="auto"/>
          <w:spacing w:val="10"/>
          <w:sz w:val="22"/>
          <w:szCs w:val="22"/>
        </w:rPr>
      </w:pPr>
      <w:r w:rsidRPr="00387E2B">
        <w:rPr>
          <w:bCs/>
          <w:color w:val="auto"/>
          <w:spacing w:val="10"/>
          <w:sz w:val="22"/>
          <w:szCs w:val="22"/>
        </w:rPr>
        <w:t xml:space="preserve">La Tasa de Ocupación en el Sector Informal 2 (TOSI2), fue de 37.0% de la población ocupada no agropecuaria durante el tercer trimestre de 2020, tasa superior en </w:t>
      </w:r>
      <w:r w:rsidR="00B5306A" w:rsidRPr="00387E2B">
        <w:rPr>
          <w:bCs/>
          <w:color w:val="auto"/>
          <w:spacing w:val="10"/>
          <w:sz w:val="22"/>
          <w:szCs w:val="22"/>
        </w:rPr>
        <w:t>0.7</w:t>
      </w:r>
      <w:r w:rsidRPr="00387E2B">
        <w:rPr>
          <w:bCs/>
          <w:color w:val="auto"/>
          <w:spacing w:val="10"/>
          <w:sz w:val="22"/>
          <w:szCs w:val="22"/>
        </w:rPr>
        <w:t xml:space="preserve"> puntos porcentuales respecto a la observada en el mismo trimestre de 2019. En el caso de los hombres, la TOSI2 fue de 37.0% y la TOSI2 femenina de 37.1 por ciento; dichos porcentajes comparados con el mismo trimestre de 2019, en los hombres es </w:t>
      </w:r>
      <w:r w:rsidR="00B5306A" w:rsidRPr="00387E2B">
        <w:rPr>
          <w:bCs/>
          <w:color w:val="auto"/>
          <w:spacing w:val="10"/>
          <w:sz w:val="22"/>
          <w:szCs w:val="22"/>
        </w:rPr>
        <w:t>inferior</w:t>
      </w:r>
      <w:r w:rsidRPr="00387E2B">
        <w:rPr>
          <w:bCs/>
          <w:color w:val="auto"/>
          <w:spacing w:val="10"/>
          <w:sz w:val="22"/>
          <w:szCs w:val="22"/>
        </w:rPr>
        <w:t xml:space="preserve"> en </w:t>
      </w:r>
      <w:r w:rsidR="00B5306A" w:rsidRPr="00387E2B">
        <w:rPr>
          <w:bCs/>
          <w:color w:val="auto"/>
          <w:spacing w:val="10"/>
          <w:sz w:val="22"/>
          <w:szCs w:val="22"/>
        </w:rPr>
        <w:t>(-)0.1</w:t>
      </w:r>
      <w:r w:rsidRPr="00387E2B">
        <w:rPr>
          <w:bCs/>
          <w:color w:val="auto"/>
          <w:spacing w:val="10"/>
          <w:sz w:val="22"/>
          <w:szCs w:val="22"/>
        </w:rPr>
        <w:t xml:space="preserve"> puntos porcentuales y en las mujeres </w:t>
      </w:r>
      <w:r w:rsidR="00B5306A" w:rsidRPr="00387E2B">
        <w:rPr>
          <w:bCs/>
          <w:color w:val="auto"/>
          <w:spacing w:val="10"/>
          <w:sz w:val="22"/>
          <w:szCs w:val="22"/>
        </w:rPr>
        <w:t>superior en 1</w:t>
      </w:r>
      <w:r w:rsidRPr="00387E2B">
        <w:rPr>
          <w:bCs/>
          <w:color w:val="auto"/>
          <w:spacing w:val="10"/>
          <w:sz w:val="22"/>
          <w:szCs w:val="22"/>
        </w:rPr>
        <w:t>.6 puntos porcentuales.</w:t>
      </w:r>
    </w:p>
    <w:p w:rsidR="008B555F" w:rsidRDefault="008B555F" w:rsidP="008B555F">
      <w:pPr>
        <w:rPr>
          <w:rFonts w:ascii="Arial" w:eastAsia="Times New Roman" w:hAnsi="Arial" w:cs="Arial"/>
          <w:b/>
          <w:smallCaps/>
          <w:lang w:val="es-ES_tradnl" w:eastAsia="es-ES"/>
        </w:rPr>
      </w:pPr>
    </w:p>
    <w:p w:rsidR="008B555F" w:rsidRPr="00FF73EB" w:rsidRDefault="008B555F" w:rsidP="008B555F">
      <w:pPr>
        <w:pStyle w:val="n0"/>
        <w:keepLines w:val="0"/>
        <w:spacing w:before="0"/>
        <w:ind w:left="0" w:right="49" w:firstLine="0"/>
        <w:jc w:val="center"/>
        <w:rPr>
          <w:b/>
          <w:smallCaps/>
          <w:color w:val="auto"/>
          <w:sz w:val="22"/>
          <w:szCs w:val="22"/>
        </w:rPr>
      </w:pPr>
      <w:r w:rsidRPr="00FF73EB">
        <w:rPr>
          <w:b/>
          <w:smallCaps/>
          <w:color w:val="auto"/>
          <w:sz w:val="22"/>
          <w:szCs w:val="22"/>
        </w:rPr>
        <w:t xml:space="preserve">tasas de ocupación y empleo durante </w:t>
      </w:r>
      <w:r>
        <w:rPr>
          <w:b/>
          <w:smallCaps/>
          <w:color w:val="auto"/>
          <w:sz w:val="22"/>
          <w:szCs w:val="22"/>
        </w:rPr>
        <w:t>el tercer trimestre</w:t>
      </w:r>
      <w:r w:rsidRPr="00FF73EB">
        <w:rPr>
          <w:b/>
          <w:smallCaps/>
          <w:color w:val="auto"/>
          <w:sz w:val="22"/>
          <w:szCs w:val="22"/>
        </w:rPr>
        <w:t xml:space="preserve"> de 2020</w:t>
      </w:r>
    </w:p>
    <w:p w:rsidR="008B555F" w:rsidRDefault="008B555F" w:rsidP="008B555F">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rsidR="008B555F" w:rsidRDefault="008B555F" w:rsidP="008B555F">
      <w:pPr>
        <w:spacing w:after="0" w:line="240" w:lineRule="auto"/>
        <w:ind w:right="51"/>
        <w:jc w:val="center"/>
        <w:rPr>
          <w:rFonts w:ascii="Arial" w:hAnsi="Arial" w:cs="Arial"/>
          <w:smallCaps/>
          <w:sz w:val="18"/>
          <w:szCs w:val="18"/>
        </w:rPr>
      </w:pPr>
      <w:r w:rsidRPr="00B10BAE">
        <w:rPr>
          <w:noProof/>
          <w:lang w:eastAsia="es-MX"/>
        </w:rPr>
        <w:drawing>
          <wp:inline distT="0" distB="0" distL="0" distR="0" wp14:anchorId="03E260FD" wp14:editId="1EAF89FA">
            <wp:extent cx="5760720" cy="2899535"/>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720" cy="2899535"/>
                    </a:xfrm>
                    <a:prstGeom prst="rect">
                      <a:avLst/>
                    </a:prstGeom>
                    <a:noFill/>
                    <a:ln>
                      <a:noFill/>
                    </a:ln>
                  </pic:spPr>
                </pic:pic>
              </a:graphicData>
            </a:graphic>
          </wp:inline>
        </w:drawing>
      </w:r>
    </w:p>
    <w:p w:rsidR="008B555F" w:rsidRPr="00657781" w:rsidRDefault="008B555F" w:rsidP="008B555F">
      <w:pPr>
        <w:tabs>
          <w:tab w:val="left" w:pos="851"/>
        </w:tabs>
        <w:spacing w:after="0" w:line="240" w:lineRule="auto"/>
        <w:ind w:left="284" w:right="333"/>
        <w:rPr>
          <w:rFonts w:ascii="Arial" w:hAnsi="Arial" w:cs="Arial"/>
          <w:noProof/>
          <w:sz w:val="14"/>
          <w:szCs w:val="14"/>
          <w:lang w:val="es-ES" w:eastAsia="es-ES"/>
        </w:rPr>
      </w:pPr>
      <w:r w:rsidRPr="00657781">
        <w:rPr>
          <w:rFonts w:ascii="Arial" w:hAnsi="Arial" w:cs="Arial"/>
          <w:noProof/>
          <w:sz w:val="14"/>
          <w:szCs w:val="14"/>
          <w:lang w:val="es-ES" w:eastAsia="es-ES"/>
        </w:rPr>
        <w:t>* Se omite la comparación con el año previo por el cambio en los niveles del salario mínimo.</w:t>
      </w:r>
    </w:p>
    <w:p w:rsidR="008B555F" w:rsidRDefault="008B555F" w:rsidP="008B555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8B555F" w:rsidRDefault="008B555F" w:rsidP="008B555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8B555F" w:rsidRDefault="008B555F" w:rsidP="008B555F">
      <w:pPr>
        <w:spacing w:after="0" w:line="240" w:lineRule="auto"/>
        <w:ind w:right="49"/>
        <w:rPr>
          <w:rFonts w:ascii="Arial" w:hAnsi="Arial" w:cs="Arial"/>
        </w:rPr>
      </w:pPr>
    </w:p>
    <w:p w:rsidR="008B555F" w:rsidRDefault="008B555F" w:rsidP="008B555F">
      <w:pPr>
        <w:spacing w:after="0" w:line="240" w:lineRule="auto"/>
        <w:ind w:right="49"/>
        <w:jc w:val="both"/>
        <w:rPr>
          <w:rFonts w:ascii="Arial" w:hAnsi="Arial" w:cs="Arial"/>
        </w:rPr>
      </w:pPr>
      <w:r>
        <w:rPr>
          <w:rFonts w:ascii="Arial" w:hAnsi="Arial" w:cs="Arial"/>
        </w:rPr>
        <w:t>La tasa de condiciones críticas de ocupación (TCCO), que comprende a los ocupados que laboraron menos de 35 horas por razones de mercado, a los que trabajaron entre 35 y 48 horas semanales percibiendo ingresos de hasta un salario mínimo y a los ocupados en jornadas de trabajo por más de 48 horas semanales e ingresos entre uno y dos salarios mínimos, fue de 28.3% en el tercer trimestre de 2020; correspondiendo a los hombres una tasa de 30.2% y a las mujeres de 24.9 por ciento.</w:t>
      </w:r>
    </w:p>
    <w:p w:rsidR="008B555F" w:rsidRDefault="008B555F" w:rsidP="008B555F">
      <w:pPr>
        <w:rPr>
          <w:rFonts w:ascii="Arial" w:hAnsi="Arial" w:cs="Arial"/>
        </w:rPr>
      </w:pPr>
      <w:r>
        <w:rPr>
          <w:rFonts w:ascii="Arial" w:hAnsi="Arial" w:cs="Arial"/>
        </w:rPr>
        <w:br w:type="page"/>
      </w:r>
    </w:p>
    <w:p w:rsidR="008B555F" w:rsidRPr="00FF73EB" w:rsidRDefault="008B555F" w:rsidP="008B555F">
      <w:pPr>
        <w:pStyle w:val="n0"/>
        <w:keepLines w:val="0"/>
        <w:spacing w:before="0"/>
        <w:ind w:left="0" w:right="49" w:firstLine="0"/>
        <w:jc w:val="center"/>
        <w:rPr>
          <w:b/>
          <w:smallCaps/>
          <w:color w:val="auto"/>
          <w:sz w:val="22"/>
          <w:szCs w:val="22"/>
        </w:rPr>
      </w:pPr>
      <w:r w:rsidRPr="00FF73EB">
        <w:rPr>
          <w:b/>
          <w:smallCaps/>
          <w:color w:val="auto"/>
          <w:sz w:val="22"/>
          <w:szCs w:val="22"/>
        </w:rPr>
        <w:lastRenderedPageBreak/>
        <w:t xml:space="preserve">tasas de ocupación y empleo </w:t>
      </w:r>
      <w:r>
        <w:rPr>
          <w:b/>
          <w:smallCaps/>
          <w:color w:val="auto"/>
          <w:sz w:val="22"/>
          <w:szCs w:val="22"/>
        </w:rPr>
        <w:t xml:space="preserve">por sexo </w:t>
      </w:r>
      <w:r w:rsidRPr="00FF73EB">
        <w:rPr>
          <w:b/>
          <w:smallCaps/>
          <w:color w:val="auto"/>
          <w:sz w:val="22"/>
          <w:szCs w:val="22"/>
        </w:rPr>
        <w:t xml:space="preserve">durante </w:t>
      </w:r>
      <w:r>
        <w:rPr>
          <w:b/>
          <w:smallCaps/>
          <w:color w:val="auto"/>
          <w:sz w:val="22"/>
          <w:szCs w:val="22"/>
        </w:rPr>
        <w:t>el tercer trimestre</w:t>
      </w:r>
      <w:r w:rsidRPr="00FF73EB">
        <w:rPr>
          <w:b/>
          <w:smallCaps/>
          <w:color w:val="auto"/>
          <w:sz w:val="22"/>
          <w:szCs w:val="22"/>
        </w:rPr>
        <w:t xml:space="preserve"> de 2020</w:t>
      </w:r>
    </w:p>
    <w:p w:rsidR="008B555F" w:rsidRDefault="008B555F" w:rsidP="008B555F">
      <w:pPr>
        <w:spacing w:after="0" w:line="240" w:lineRule="auto"/>
        <w:ind w:right="51"/>
        <w:jc w:val="center"/>
        <w:rPr>
          <w:rFonts w:ascii="Arial" w:hAnsi="Arial" w:cs="Arial"/>
          <w:smallCaps/>
          <w:sz w:val="18"/>
          <w:szCs w:val="18"/>
        </w:rPr>
      </w:pPr>
      <w:r w:rsidRPr="00E33F09">
        <w:rPr>
          <w:rFonts w:ascii="Arial" w:hAnsi="Arial" w:cs="Arial"/>
          <w:smallCaps/>
          <w:sz w:val="18"/>
          <w:szCs w:val="18"/>
        </w:rPr>
        <w:t>(Porcentaje)</w:t>
      </w:r>
    </w:p>
    <w:p w:rsidR="008B555F" w:rsidRDefault="008B555F" w:rsidP="008B555F">
      <w:pPr>
        <w:spacing w:after="0" w:line="240" w:lineRule="auto"/>
        <w:ind w:right="51"/>
        <w:jc w:val="center"/>
        <w:rPr>
          <w:rFonts w:ascii="Arial" w:hAnsi="Arial" w:cs="Arial"/>
          <w:smallCaps/>
          <w:sz w:val="18"/>
          <w:szCs w:val="18"/>
        </w:rPr>
      </w:pPr>
      <w:r w:rsidRPr="00553396">
        <w:rPr>
          <w:noProof/>
          <w:lang w:eastAsia="es-MX"/>
        </w:rPr>
        <w:drawing>
          <wp:inline distT="0" distB="0" distL="0" distR="0" wp14:anchorId="4F4CFAE9" wp14:editId="5742943C">
            <wp:extent cx="5760720" cy="288009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720" cy="2880090"/>
                    </a:xfrm>
                    <a:prstGeom prst="rect">
                      <a:avLst/>
                    </a:prstGeom>
                    <a:noFill/>
                    <a:ln>
                      <a:noFill/>
                    </a:ln>
                  </pic:spPr>
                </pic:pic>
              </a:graphicData>
            </a:graphic>
          </wp:inline>
        </w:drawing>
      </w:r>
    </w:p>
    <w:p w:rsidR="008B555F" w:rsidRPr="00657781" w:rsidRDefault="008B555F" w:rsidP="008B555F">
      <w:pPr>
        <w:spacing w:after="0" w:line="240" w:lineRule="auto"/>
        <w:ind w:left="709" w:right="49" w:hanging="709"/>
        <w:rPr>
          <w:rFonts w:ascii="Arial" w:hAnsi="Arial" w:cs="Arial"/>
          <w:noProof/>
          <w:sz w:val="14"/>
          <w:szCs w:val="14"/>
          <w:lang w:val="es-ES" w:eastAsia="es-ES"/>
        </w:rPr>
      </w:pPr>
      <w:r>
        <w:rPr>
          <w:rFonts w:ascii="Arial" w:hAnsi="Arial" w:cs="Arial"/>
          <w:noProof/>
          <w:sz w:val="14"/>
          <w:szCs w:val="14"/>
          <w:lang w:val="es-ES" w:eastAsia="es-ES"/>
        </w:rPr>
        <w:t xml:space="preserve">       </w:t>
      </w:r>
      <w:r w:rsidRPr="00657781">
        <w:rPr>
          <w:rFonts w:ascii="Arial" w:hAnsi="Arial" w:cs="Arial"/>
          <w:noProof/>
          <w:sz w:val="14"/>
          <w:szCs w:val="14"/>
          <w:lang w:val="es-ES" w:eastAsia="es-ES"/>
        </w:rPr>
        <w:t>* Se omite la comparación con el año previo por el cambio en los niveles del salario mínimo.</w:t>
      </w:r>
    </w:p>
    <w:p w:rsidR="008B555F" w:rsidRDefault="008B555F" w:rsidP="008B555F">
      <w:pPr>
        <w:tabs>
          <w:tab w:val="left" w:pos="851"/>
        </w:tabs>
        <w:spacing w:after="0" w:line="240" w:lineRule="auto"/>
        <w:ind w:left="142"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8B555F" w:rsidRDefault="008B555F" w:rsidP="008B555F">
      <w:pPr>
        <w:tabs>
          <w:tab w:val="left" w:pos="851"/>
        </w:tabs>
        <w:spacing w:after="0" w:line="240" w:lineRule="auto"/>
        <w:ind w:left="142" w:right="333"/>
      </w:pPr>
      <w:r>
        <w:rPr>
          <w:rFonts w:ascii="Arial" w:hAnsi="Arial" w:cs="Arial"/>
          <w:noProof/>
          <w:sz w:val="14"/>
          <w:szCs w:val="14"/>
          <w:lang w:val="es-ES" w:eastAsia="es-ES"/>
        </w:rPr>
        <w:tab/>
        <w:t>INEGI. Encuesta Nacional de Ocupación y Empleo, tercero y cuarto trimestre de 2019 y primer trimestre de 2020.</w:t>
      </w:r>
    </w:p>
    <w:p w:rsidR="008B555F" w:rsidRPr="008031AA" w:rsidRDefault="008B555F" w:rsidP="008B555F">
      <w:pPr>
        <w:pStyle w:val="n0"/>
        <w:keepLines w:val="0"/>
        <w:spacing w:before="0"/>
        <w:ind w:left="0" w:right="49" w:firstLine="0"/>
        <w:rPr>
          <w:bCs/>
          <w:color w:val="auto"/>
          <w:spacing w:val="10"/>
          <w:sz w:val="22"/>
          <w:szCs w:val="22"/>
        </w:rPr>
      </w:pPr>
    </w:p>
    <w:p w:rsidR="008B555F" w:rsidRDefault="008B555F" w:rsidP="008B555F">
      <w:pPr>
        <w:pStyle w:val="n0"/>
        <w:keepLines w:val="0"/>
        <w:spacing w:before="0"/>
        <w:ind w:left="0" w:right="49" w:firstLine="0"/>
        <w:rPr>
          <w:bCs/>
          <w:color w:val="auto"/>
          <w:spacing w:val="10"/>
          <w:sz w:val="22"/>
          <w:szCs w:val="22"/>
        </w:rPr>
      </w:pPr>
    </w:p>
    <w:p w:rsidR="00350F1A" w:rsidRPr="00C63172" w:rsidRDefault="00350F1A" w:rsidP="009749DA">
      <w:pPr>
        <w:pStyle w:val="n0"/>
        <w:keepLines w:val="0"/>
        <w:spacing w:before="0"/>
        <w:ind w:left="0" w:right="49" w:firstLine="0"/>
        <w:jc w:val="left"/>
        <w:rPr>
          <w:b/>
          <w:smallCaps/>
          <w:color w:val="auto"/>
          <w:sz w:val="22"/>
          <w:szCs w:val="22"/>
        </w:rPr>
      </w:pPr>
      <w:r>
        <w:rPr>
          <w:b/>
          <w:smallCaps/>
          <w:color w:val="auto"/>
          <w:sz w:val="22"/>
          <w:szCs w:val="22"/>
        </w:rPr>
        <w:t>indicadores de ocupación y empleo por ciudades</w:t>
      </w:r>
    </w:p>
    <w:p w:rsidR="00350F1A" w:rsidRPr="006E2E20" w:rsidRDefault="00350F1A" w:rsidP="009749DA">
      <w:pPr>
        <w:pStyle w:val="n0"/>
        <w:keepLines w:val="0"/>
        <w:spacing w:before="0"/>
        <w:ind w:left="0" w:right="49" w:firstLine="0"/>
        <w:rPr>
          <w:b/>
          <w:smallCaps/>
          <w:color w:val="auto"/>
          <w:sz w:val="22"/>
          <w:szCs w:val="22"/>
        </w:rPr>
      </w:pPr>
    </w:p>
    <w:p w:rsidR="00EB42D1" w:rsidRDefault="00EF27C2" w:rsidP="009749DA">
      <w:pPr>
        <w:pStyle w:val="Ttulo"/>
        <w:jc w:val="both"/>
        <w:rPr>
          <w:rFonts w:cs="Arial"/>
          <w:b w:val="0"/>
          <w:bCs/>
          <w:spacing w:val="10"/>
          <w:sz w:val="22"/>
          <w:szCs w:val="22"/>
          <w:lang w:val="es-ES_tradnl"/>
        </w:rPr>
      </w:pPr>
      <w:r w:rsidRPr="00EF27C2">
        <w:rPr>
          <w:rFonts w:cs="Arial"/>
          <w:b w:val="0"/>
          <w:bCs/>
          <w:spacing w:val="10"/>
          <w:sz w:val="22"/>
          <w:szCs w:val="22"/>
          <w:lang w:val="es-ES_tradnl"/>
        </w:rPr>
        <w:t xml:space="preserve">En el periodo </w:t>
      </w:r>
      <w:r w:rsidR="009477B7">
        <w:rPr>
          <w:rFonts w:cs="Arial"/>
          <w:b w:val="0"/>
          <w:bCs/>
          <w:spacing w:val="10"/>
          <w:sz w:val="22"/>
          <w:szCs w:val="22"/>
          <w:lang w:val="es-ES_tradnl"/>
        </w:rPr>
        <w:t>julio-septiembre</w:t>
      </w:r>
      <w:r w:rsidRPr="00EF27C2">
        <w:rPr>
          <w:rFonts w:cs="Arial"/>
          <w:b w:val="0"/>
          <w:bCs/>
          <w:spacing w:val="10"/>
          <w:sz w:val="22"/>
          <w:szCs w:val="22"/>
          <w:lang w:val="es-ES_tradnl"/>
        </w:rPr>
        <w:t xml:space="preserve"> de 2020 la población económicamente activa para el agregado urbano de 39 ciudades fue de 2</w:t>
      </w:r>
      <w:r w:rsidR="009477B7">
        <w:rPr>
          <w:rFonts w:cs="Arial"/>
          <w:b w:val="0"/>
          <w:bCs/>
          <w:spacing w:val="10"/>
          <w:sz w:val="22"/>
          <w:szCs w:val="22"/>
          <w:lang w:val="es-ES_tradnl"/>
        </w:rPr>
        <w:t>3</w:t>
      </w:r>
      <w:r w:rsidRPr="00EF27C2">
        <w:rPr>
          <w:rFonts w:cs="Arial"/>
          <w:b w:val="0"/>
          <w:bCs/>
          <w:spacing w:val="10"/>
          <w:sz w:val="22"/>
          <w:szCs w:val="22"/>
          <w:lang w:val="es-ES_tradnl"/>
        </w:rPr>
        <w:t>.</w:t>
      </w:r>
      <w:r w:rsidR="009477B7">
        <w:rPr>
          <w:rFonts w:cs="Arial"/>
          <w:b w:val="0"/>
          <w:bCs/>
          <w:spacing w:val="10"/>
          <w:sz w:val="22"/>
          <w:szCs w:val="22"/>
          <w:lang w:val="es-ES_tradnl"/>
        </w:rPr>
        <w:t>8</w:t>
      </w:r>
      <w:r w:rsidRPr="00EF27C2">
        <w:rPr>
          <w:rFonts w:cs="Arial"/>
          <w:b w:val="0"/>
          <w:bCs/>
          <w:spacing w:val="10"/>
          <w:sz w:val="22"/>
          <w:szCs w:val="22"/>
          <w:lang w:val="es-ES_tradnl"/>
        </w:rPr>
        <w:t xml:space="preserve"> millones de personas y representó una tasa de participación de </w:t>
      </w:r>
      <w:r w:rsidR="009477B7">
        <w:rPr>
          <w:rFonts w:cs="Arial"/>
          <w:b w:val="0"/>
          <w:bCs/>
          <w:spacing w:val="10"/>
          <w:sz w:val="22"/>
          <w:szCs w:val="22"/>
          <w:lang w:val="es-ES_tradnl"/>
        </w:rPr>
        <w:t>55.3</w:t>
      </w:r>
      <w:r w:rsidRPr="00EF27C2">
        <w:rPr>
          <w:rFonts w:cs="Arial"/>
          <w:b w:val="0"/>
          <w:bCs/>
          <w:spacing w:val="10"/>
          <w:sz w:val="22"/>
          <w:szCs w:val="22"/>
          <w:lang w:val="es-ES_tradnl"/>
        </w:rPr>
        <w:t xml:space="preserve"> por ciento.</w:t>
      </w:r>
    </w:p>
    <w:p w:rsidR="00EF6B2E" w:rsidRDefault="00EF6B2E" w:rsidP="009749DA">
      <w:pPr>
        <w:pStyle w:val="Ttulo"/>
        <w:jc w:val="both"/>
        <w:rPr>
          <w:rFonts w:cs="Arial"/>
          <w:b w:val="0"/>
          <w:bCs/>
          <w:spacing w:val="10"/>
          <w:sz w:val="22"/>
          <w:szCs w:val="22"/>
          <w:lang w:val="es-ES_tradnl"/>
        </w:rPr>
      </w:pPr>
    </w:p>
    <w:p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Asimismo, en conjunto las 39 ciudades reportaron una tasa de desocupación de 6.4%, una tasa de subocupación de 18.3%, una tasa de condiciones críticas de ocupación de 21.8% y una tasa de informalidad laboral de 41.6 por ciento.</w:t>
      </w:r>
    </w:p>
    <w:p w:rsidR="00EF6B2E" w:rsidRDefault="00EF6B2E" w:rsidP="00EF6B2E">
      <w:pPr>
        <w:pStyle w:val="Ttulo"/>
        <w:jc w:val="both"/>
        <w:rPr>
          <w:rFonts w:cs="Arial"/>
          <w:b w:val="0"/>
          <w:bCs/>
          <w:spacing w:val="10"/>
          <w:sz w:val="22"/>
          <w:szCs w:val="22"/>
          <w:lang w:val="es-ES_tradnl"/>
        </w:rPr>
      </w:pPr>
    </w:p>
    <w:p w:rsidR="00EF6B2E" w:rsidRPr="00EF27C2"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En este periodo las ciudades que registraron las </w:t>
      </w:r>
      <w:r w:rsidRPr="00EF27C2">
        <w:rPr>
          <w:rFonts w:cs="Arial"/>
          <w:b w:val="0"/>
          <w:bCs/>
          <w:spacing w:val="10"/>
          <w:sz w:val="22"/>
          <w:szCs w:val="22"/>
          <w:lang w:val="es-ES_tradnl"/>
        </w:rPr>
        <w:t>tasa</w:t>
      </w:r>
      <w:r>
        <w:rPr>
          <w:rFonts w:cs="Arial"/>
          <w:b w:val="0"/>
          <w:bCs/>
          <w:spacing w:val="10"/>
          <w:sz w:val="22"/>
          <w:szCs w:val="22"/>
          <w:lang w:val="es-ES_tradnl"/>
        </w:rPr>
        <w:t>s</w:t>
      </w:r>
      <w:r w:rsidRPr="00EF27C2">
        <w:rPr>
          <w:rFonts w:cs="Arial"/>
          <w:b w:val="0"/>
          <w:bCs/>
          <w:spacing w:val="10"/>
          <w:sz w:val="22"/>
          <w:szCs w:val="22"/>
          <w:lang w:val="es-ES_tradnl"/>
        </w:rPr>
        <w:t xml:space="preserve"> de participación </w:t>
      </w:r>
      <w:r>
        <w:rPr>
          <w:rFonts w:cs="Arial"/>
          <w:b w:val="0"/>
          <w:bCs/>
          <w:spacing w:val="10"/>
          <w:sz w:val="22"/>
          <w:szCs w:val="22"/>
          <w:lang w:val="es-ES_tradnl"/>
        </w:rPr>
        <w:t xml:space="preserve">económica más altas fueron </w:t>
      </w:r>
      <w:r w:rsidRPr="00EF27C2">
        <w:rPr>
          <w:rFonts w:cs="Arial"/>
          <w:b w:val="0"/>
          <w:bCs/>
          <w:spacing w:val="10"/>
          <w:sz w:val="22"/>
          <w:szCs w:val="22"/>
          <w:lang w:val="es-ES_tradnl"/>
        </w:rPr>
        <w:t xml:space="preserve">Tepic </w:t>
      </w:r>
      <w:r>
        <w:rPr>
          <w:rFonts w:cs="Arial"/>
          <w:b w:val="0"/>
          <w:bCs/>
          <w:spacing w:val="10"/>
          <w:sz w:val="22"/>
          <w:szCs w:val="22"/>
          <w:lang w:val="es-ES_tradnl"/>
        </w:rPr>
        <w:t xml:space="preserve">con </w:t>
      </w:r>
      <w:r w:rsidRPr="00EF27C2">
        <w:rPr>
          <w:rFonts w:cs="Arial"/>
          <w:b w:val="0"/>
          <w:bCs/>
          <w:spacing w:val="10"/>
          <w:sz w:val="22"/>
          <w:szCs w:val="22"/>
          <w:lang w:val="es-ES_tradnl"/>
        </w:rPr>
        <w:t>6</w:t>
      </w:r>
      <w:r>
        <w:rPr>
          <w:rFonts w:cs="Arial"/>
          <w:b w:val="0"/>
          <w:bCs/>
          <w:spacing w:val="10"/>
          <w:sz w:val="22"/>
          <w:szCs w:val="22"/>
          <w:lang w:val="es-ES_tradnl"/>
        </w:rPr>
        <w:t>5.1</w:t>
      </w:r>
      <w:r w:rsidRPr="00EF27C2">
        <w:rPr>
          <w:rFonts w:cs="Arial"/>
          <w:b w:val="0"/>
          <w:bCs/>
          <w:spacing w:val="10"/>
          <w:sz w:val="22"/>
          <w:szCs w:val="22"/>
          <w:lang w:val="es-ES_tradnl"/>
        </w:rPr>
        <w:t xml:space="preserve">%, Ciudad Juárez </w:t>
      </w:r>
      <w:r>
        <w:rPr>
          <w:rFonts w:cs="Arial"/>
          <w:b w:val="0"/>
          <w:bCs/>
          <w:spacing w:val="10"/>
          <w:sz w:val="22"/>
          <w:szCs w:val="22"/>
          <w:lang w:val="es-ES_tradnl"/>
        </w:rPr>
        <w:t>con 63.9</w:t>
      </w:r>
      <w:r w:rsidRPr="00EF27C2">
        <w:rPr>
          <w:rFonts w:cs="Arial"/>
          <w:b w:val="0"/>
          <w:bCs/>
          <w:spacing w:val="10"/>
          <w:sz w:val="22"/>
          <w:szCs w:val="22"/>
          <w:lang w:val="es-ES_tradnl"/>
        </w:rPr>
        <w:t>%</w:t>
      </w:r>
      <w:r>
        <w:rPr>
          <w:rFonts w:cs="Arial"/>
          <w:b w:val="0"/>
          <w:bCs/>
          <w:spacing w:val="10"/>
          <w:sz w:val="22"/>
          <w:szCs w:val="22"/>
          <w:lang w:val="es-ES_tradnl"/>
        </w:rPr>
        <w:t xml:space="preserve"> y </w:t>
      </w:r>
      <w:r w:rsidRPr="00EF27C2">
        <w:rPr>
          <w:rFonts w:cs="Arial"/>
          <w:b w:val="0"/>
          <w:bCs/>
          <w:spacing w:val="10"/>
          <w:sz w:val="22"/>
          <w:szCs w:val="22"/>
          <w:lang w:val="es-ES_tradnl"/>
        </w:rPr>
        <w:t xml:space="preserve">León </w:t>
      </w:r>
      <w:r>
        <w:rPr>
          <w:rFonts w:cs="Arial"/>
          <w:b w:val="0"/>
          <w:bCs/>
          <w:spacing w:val="10"/>
          <w:sz w:val="22"/>
          <w:szCs w:val="22"/>
          <w:lang w:val="es-ES_tradnl"/>
        </w:rPr>
        <w:t>con 63.5 por ciento; en el otro extremo, se ubicaron las ciudades de Veracruz con 49.9%, la Ciudad de México con 51.1% y Cuernavaca con 51.7 por ciento.</w:t>
      </w:r>
    </w:p>
    <w:p w:rsidR="00EF6B2E" w:rsidRDefault="00EF6B2E" w:rsidP="00EF6B2E">
      <w:pPr>
        <w:pStyle w:val="Ttulo"/>
        <w:jc w:val="both"/>
        <w:rPr>
          <w:rFonts w:cs="Arial"/>
          <w:b w:val="0"/>
          <w:bCs/>
          <w:spacing w:val="10"/>
          <w:sz w:val="22"/>
          <w:szCs w:val="22"/>
          <w:lang w:val="es-ES_tradnl"/>
        </w:rPr>
      </w:pPr>
    </w:p>
    <w:p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En nivel de desocupación, las ciudades de Cancún con 12.6%, Saltillo con 8.1% y León con 7.9% fueron las de mayores tasas de desocupación; frente a las ciudades de Tijuana con 2.1%, Oaxaca 2.9% y Cuernavaca con 3.2 por ciento, que reportaron las tasas de desocupación más bajas en el periodo.</w:t>
      </w:r>
    </w:p>
    <w:p w:rsidR="00EF6B2E" w:rsidRDefault="00EF6B2E" w:rsidP="00EF6B2E">
      <w:pPr>
        <w:pStyle w:val="Ttulo"/>
        <w:jc w:val="both"/>
        <w:rPr>
          <w:rFonts w:cs="Arial"/>
          <w:b w:val="0"/>
          <w:bCs/>
          <w:spacing w:val="10"/>
          <w:sz w:val="22"/>
          <w:szCs w:val="22"/>
          <w:lang w:val="es-ES_tradnl"/>
        </w:rPr>
      </w:pPr>
    </w:p>
    <w:p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En el tema de la subocupación, es decir, de los ocupados que </w:t>
      </w:r>
      <w:r w:rsidRPr="007A6A7A">
        <w:rPr>
          <w:rFonts w:cs="Arial"/>
          <w:b w:val="0"/>
          <w:bCs/>
          <w:spacing w:val="10"/>
          <w:sz w:val="22"/>
          <w:szCs w:val="22"/>
          <w:lang w:val="es-ES_tradnl"/>
        </w:rPr>
        <w:t>tienen la necesidad y disponibilidad de ofertar más tiempo de trabajo de lo que su ocupación actual les demanda</w:t>
      </w:r>
      <w:r>
        <w:rPr>
          <w:rFonts w:cs="Arial"/>
          <w:b w:val="0"/>
          <w:bCs/>
          <w:spacing w:val="10"/>
          <w:sz w:val="22"/>
          <w:szCs w:val="22"/>
          <w:lang w:val="es-ES_tradnl"/>
        </w:rPr>
        <w:t>, Ciudad del Carmen con 36.6% y Coatzacoalcos con 35.7% se situaron en los niveles más altos; mientras que Tijuana con 6.6%, Aguascalientes con 7.2% y Toluca con 7.5% se ubicaron en el otro extremo con las tasas de subocupación más bajas.</w:t>
      </w:r>
    </w:p>
    <w:p w:rsidR="004029F4" w:rsidRDefault="004029F4" w:rsidP="00EF6B2E">
      <w:pPr>
        <w:pStyle w:val="Ttulo"/>
        <w:jc w:val="both"/>
        <w:rPr>
          <w:rFonts w:cs="Arial"/>
          <w:b w:val="0"/>
          <w:bCs/>
          <w:spacing w:val="10"/>
          <w:sz w:val="22"/>
          <w:szCs w:val="22"/>
          <w:lang w:val="es-ES_tradnl"/>
        </w:rPr>
      </w:pPr>
    </w:p>
    <w:p w:rsidR="004029F4" w:rsidRDefault="004029F4" w:rsidP="00EF6B2E">
      <w:pPr>
        <w:pStyle w:val="Ttulo"/>
        <w:jc w:val="both"/>
        <w:rPr>
          <w:rFonts w:cs="Arial"/>
          <w:b w:val="0"/>
          <w:bCs/>
          <w:spacing w:val="10"/>
          <w:sz w:val="22"/>
          <w:szCs w:val="22"/>
          <w:lang w:val="es-ES_tradnl"/>
        </w:rPr>
      </w:pPr>
    </w:p>
    <w:p w:rsidR="007D715A" w:rsidRPr="007D715A" w:rsidRDefault="007D715A" w:rsidP="009749DA">
      <w:pPr>
        <w:pStyle w:val="n0"/>
        <w:keepLines w:val="0"/>
        <w:spacing w:before="0"/>
        <w:ind w:left="0" w:right="49" w:firstLine="0"/>
        <w:jc w:val="center"/>
        <w:rPr>
          <w:b/>
          <w:smallCaps/>
          <w:color w:val="auto"/>
          <w:sz w:val="22"/>
          <w:szCs w:val="22"/>
        </w:rPr>
      </w:pPr>
      <w:r w:rsidRPr="007D715A">
        <w:rPr>
          <w:b/>
          <w:smallCaps/>
          <w:color w:val="auto"/>
          <w:sz w:val="22"/>
          <w:szCs w:val="22"/>
        </w:rPr>
        <w:t>Población y Tasas complementarias de ocupación y desocupación</w:t>
      </w:r>
      <w:r w:rsidRPr="007D715A">
        <w:rPr>
          <w:b/>
          <w:smallCaps/>
          <w:color w:val="auto"/>
          <w:sz w:val="22"/>
          <w:szCs w:val="22"/>
        </w:rPr>
        <w:br/>
        <w:t xml:space="preserve">por </w:t>
      </w:r>
      <w:r w:rsidR="008031AA">
        <w:rPr>
          <w:b/>
          <w:smallCaps/>
          <w:color w:val="auto"/>
          <w:sz w:val="22"/>
          <w:szCs w:val="22"/>
        </w:rPr>
        <w:t>ciudades</w:t>
      </w:r>
      <w:r w:rsidRPr="007D715A">
        <w:rPr>
          <w:b/>
          <w:smallCaps/>
          <w:color w:val="auto"/>
          <w:sz w:val="22"/>
          <w:szCs w:val="22"/>
        </w:rPr>
        <w:t xml:space="preserve"> durante el tercer trimestre de 2020</w:t>
      </w:r>
    </w:p>
    <w:tbl>
      <w:tblPr>
        <w:tblW w:w="11482" w:type="dxa"/>
        <w:tblInd w:w="-1144" w:type="dxa"/>
        <w:tblLayout w:type="fixed"/>
        <w:tblCellMar>
          <w:left w:w="70" w:type="dxa"/>
          <w:right w:w="70" w:type="dxa"/>
        </w:tblCellMar>
        <w:tblLook w:val="04A0" w:firstRow="1" w:lastRow="0" w:firstColumn="1" w:lastColumn="0" w:noHBand="0" w:noVBand="1"/>
      </w:tblPr>
      <w:tblGrid>
        <w:gridCol w:w="1701"/>
        <w:gridCol w:w="993"/>
        <w:gridCol w:w="992"/>
        <w:gridCol w:w="850"/>
        <w:gridCol w:w="849"/>
        <w:gridCol w:w="852"/>
        <w:gridCol w:w="709"/>
        <w:gridCol w:w="709"/>
        <w:gridCol w:w="709"/>
        <w:gridCol w:w="850"/>
        <w:gridCol w:w="709"/>
        <w:gridCol w:w="709"/>
        <w:gridCol w:w="850"/>
      </w:tblGrid>
      <w:tr w:rsidR="00A94148" w:rsidRPr="00E22622" w:rsidTr="003F2E12">
        <w:trPr>
          <w:trHeight w:val="244"/>
        </w:trPr>
        <w:tc>
          <w:tcPr>
            <w:tcW w:w="1701" w:type="dxa"/>
            <w:vMerge w:val="restart"/>
            <w:tcBorders>
              <w:top w:val="single" w:sz="8" w:space="0" w:color="376091"/>
              <w:left w:val="single" w:sz="8" w:space="0" w:color="376091"/>
              <w:bottom w:val="single" w:sz="8" w:space="0" w:color="376091"/>
              <w:right w:val="single" w:sz="8" w:space="0" w:color="376091"/>
            </w:tcBorders>
            <w:shd w:val="clear" w:color="000000" w:fill="ABC3DF"/>
            <w:vAlign w:val="center"/>
            <w:hideMark/>
          </w:tcPr>
          <w:p w:rsidR="00A94148" w:rsidRPr="00E7630F" w:rsidRDefault="00A94148" w:rsidP="009749DA">
            <w:pPr>
              <w:spacing w:after="0" w:line="240" w:lineRule="auto"/>
              <w:jc w:val="center"/>
              <w:rPr>
                <w:rFonts w:ascii="Arial" w:eastAsia="Times New Roman" w:hAnsi="Arial" w:cs="Arial"/>
                <w:b/>
                <w:bCs/>
                <w:color w:val="000000"/>
                <w:sz w:val="16"/>
                <w:szCs w:val="16"/>
                <w:lang w:eastAsia="es-MX"/>
              </w:rPr>
            </w:pPr>
            <w:r w:rsidRPr="00E7630F">
              <w:rPr>
                <w:rFonts w:ascii="Arial" w:eastAsia="Times New Roman" w:hAnsi="Arial" w:cs="Arial"/>
                <w:b/>
                <w:bCs/>
                <w:color w:val="000000"/>
                <w:sz w:val="16"/>
                <w:szCs w:val="16"/>
                <w:lang w:eastAsia="es-MX"/>
              </w:rPr>
              <w:t>Ciudad</w:t>
            </w:r>
          </w:p>
        </w:tc>
        <w:tc>
          <w:tcPr>
            <w:tcW w:w="1985" w:type="dxa"/>
            <w:gridSpan w:val="2"/>
            <w:tcBorders>
              <w:top w:val="single" w:sz="8" w:space="0" w:color="376091"/>
              <w:left w:val="nil"/>
              <w:bottom w:val="single" w:sz="8" w:space="0" w:color="376091"/>
              <w:right w:val="single" w:sz="8" w:space="0" w:color="376091"/>
            </w:tcBorders>
            <w:shd w:val="clear" w:color="000000" w:fill="ABC3DF"/>
            <w:noWrap/>
            <w:vAlign w:val="center"/>
            <w:hideMark/>
          </w:tcPr>
          <w:p w:rsidR="00A94148" w:rsidRPr="00E7630F" w:rsidRDefault="00A94148" w:rsidP="009749DA">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Población</w:t>
            </w:r>
          </w:p>
        </w:tc>
        <w:tc>
          <w:tcPr>
            <w:tcW w:w="7796" w:type="dxa"/>
            <w:gridSpan w:val="10"/>
            <w:tcBorders>
              <w:top w:val="single" w:sz="8" w:space="0" w:color="376091"/>
              <w:left w:val="nil"/>
              <w:bottom w:val="single" w:sz="8" w:space="0" w:color="376091"/>
              <w:right w:val="single" w:sz="8" w:space="0" w:color="376091"/>
            </w:tcBorders>
            <w:shd w:val="clear" w:color="000000" w:fill="ABC3DF"/>
            <w:vAlign w:val="center"/>
            <w:hideMark/>
          </w:tcPr>
          <w:p w:rsidR="00A94148" w:rsidRPr="00E7630F" w:rsidRDefault="00A94148" w:rsidP="009749DA">
            <w:pPr>
              <w:spacing w:after="0" w:line="240" w:lineRule="auto"/>
              <w:jc w:val="center"/>
              <w:rPr>
                <w:rFonts w:ascii="Arial" w:eastAsia="Times New Roman" w:hAnsi="Arial" w:cs="Arial"/>
                <w:b/>
                <w:bCs/>
                <w:color w:val="000000"/>
                <w:sz w:val="18"/>
                <w:szCs w:val="18"/>
                <w:lang w:eastAsia="es-MX"/>
              </w:rPr>
            </w:pPr>
            <w:r w:rsidRPr="00E7630F">
              <w:rPr>
                <w:rFonts w:ascii="Arial" w:eastAsia="Times New Roman" w:hAnsi="Arial" w:cs="Arial"/>
                <w:b/>
                <w:bCs/>
                <w:color w:val="000000"/>
                <w:sz w:val="18"/>
                <w:szCs w:val="18"/>
                <w:lang w:eastAsia="es-MX"/>
              </w:rPr>
              <w:t>Tasa de:</w:t>
            </w:r>
          </w:p>
        </w:tc>
      </w:tr>
      <w:tr w:rsidR="00B77C92" w:rsidRPr="00E22622" w:rsidTr="00785FB8">
        <w:trPr>
          <w:trHeight w:val="814"/>
        </w:trPr>
        <w:tc>
          <w:tcPr>
            <w:tcW w:w="1701" w:type="dxa"/>
            <w:vMerge/>
            <w:tcBorders>
              <w:top w:val="single" w:sz="8" w:space="0" w:color="376091"/>
              <w:left w:val="single" w:sz="8" w:space="0" w:color="376091"/>
              <w:bottom w:val="single" w:sz="8" w:space="0" w:color="376091"/>
              <w:right w:val="single" w:sz="8" w:space="0" w:color="376091"/>
            </w:tcBorders>
            <w:vAlign w:val="center"/>
            <w:hideMark/>
          </w:tcPr>
          <w:p w:rsidR="00B77C92" w:rsidRPr="00EA6098" w:rsidRDefault="00B77C92" w:rsidP="009749DA">
            <w:pPr>
              <w:spacing w:after="0" w:line="240" w:lineRule="auto"/>
              <w:rPr>
                <w:rFonts w:ascii="Arial" w:eastAsia="Times New Roman" w:hAnsi="Arial" w:cs="Arial"/>
                <w:bCs/>
                <w:color w:val="000000"/>
                <w:sz w:val="16"/>
                <w:szCs w:val="16"/>
                <w:lang w:eastAsia="es-MX"/>
              </w:rPr>
            </w:pPr>
          </w:p>
        </w:tc>
        <w:tc>
          <w:tcPr>
            <w:tcW w:w="993" w:type="dxa"/>
            <w:tcBorders>
              <w:top w:val="nil"/>
              <w:left w:val="nil"/>
              <w:bottom w:val="single" w:sz="8" w:space="0" w:color="376091"/>
              <w:right w:val="single" w:sz="8" w:space="0" w:color="376091"/>
            </w:tcBorders>
            <w:shd w:val="clear" w:color="000000" w:fill="ABC3DF"/>
            <w:vAlign w:val="center"/>
            <w:hideMark/>
          </w:tcPr>
          <w:p w:rsidR="00B77C92" w:rsidRPr="00EA6098" w:rsidRDefault="00B77C92" w:rsidP="009749DA">
            <w:pPr>
              <w:spacing w:after="0" w:line="240" w:lineRule="auto"/>
              <w:jc w:val="center"/>
              <w:rPr>
                <w:rFonts w:ascii="Arial" w:eastAsia="Times New Roman" w:hAnsi="Arial" w:cs="Arial"/>
                <w:bCs/>
                <w:color w:val="000000"/>
                <w:sz w:val="16"/>
                <w:szCs w:val="16"/>
                <w:lang w:eastAsia="es-MX"/>
              </w:rPr>
            </w:pPr>
            <w:r w:rsidRPr="00EA6098">
              <w:rPr>
                <w:rFonts w:ascii="Arial" w:eastAsia="Times New Roman" w:hAnsi="Arial" w:cs="Arial"/>
                <w:bCs/>
                <w:color w:val="000000"/>
                <w:sz w:val="16"/>
                <w:szCs w:val="16"/>
                <w:lang w:eastAsia="es-MX"/>
              </w:rPr>
              <w:t>Ocupada</w:t>
            </w:r>
          </w:p>
        </w:tc>
        <w:tc>
          <w:tcPr>
            <w:tcW w:w="992"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Desocu</w:t>
            </w:r>
            <w:proofErr w:type="spellEnd"/>
            <w:r w:rsidRPr="00E22622">
              <w:rPr>
                <w:rFonts w:ascii="Arial" w:eastAsia="Times New Roman" w:hAnsi="Arial" w:cs="Arial"/>
                <w:bCs/>
                <w:color w:val="000000"/>
                <w:sz w:val="16"/>
                <w:szCs w:val="16"/>
                <w:lang w:eastAsia="es-MX"/>
              </w:rPr>
              <w:t>-pada</w:t>
            </w:r>
          </w:p>
        </w:tc>
        <w:tc>
          <w:tcPr>
            <w:tcW w:w="850"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Partici-pación</w:t>
            </w:r>
            <w:r w:rsidRPr="00E22622">
              <w:rPr>
                <w:rFonts w:ascii="Arial" w:eastAsia="Times New Roman" w:hAnsi="Arial" w:cs="Arial"/>
                <w:bCs/>
                <w:color w:val="000000"/>
                <w:sz w:val="18"/>
                <w:szCs w:val="18"/>
                <w:vertAlign w:val="superscript"/>
                <w:lang w:eastAsia="es-MX"/>
              </w:rPr>
              <w:t>1/</w:t>
            </w:r>
          </w:p>
        </w:tc>
        <w:tc>
          <w:tcPr>
            <w:tcW w:w="849"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Desocu-pación</w:t>
            </w:r>
            <w:r w:rsidRPr="00E22622">
              <w:rPr>
                <w:rFonts w:ascii="Arial" w:eastAsia="Times New Roman" w:hAnsi="Arial" w:cs="Arial"/>
                <w:bCs/>
                <w:color w:val="000000"/>
                <w:sz w:val="18"/>
                <w:szCs w:val="18"/>
                <w:vertAlign w:val="superscript"/>
                <w:lang w:eastAsia="es-MX"/>
              </w:rPr>
              <w:t>2/</w:t>
            </w:r>
          </w:p>
        </w:tc>
        <w:tc>
          <w:tcPr>
            <w:tcW w:w="852"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sidR="00785FB8">
              <w:rPr>
                <w:rFonts w:ascii="Arial" w:eastAsia="Times New Roman" w:hAnsi="Arial" w:cs="Arial"/>
                <w:bCs/>
                <w:color w:val="000000"/>
                <w:sz w:val="16"/>
                <w:szCs w:val="16"/>
                <w:lang w:eastAsia="es-MX"/>
              </w:rPr>
              <w:t>-</w:t>
            </w:r>
            <w:proofErr w:type="spellStart"/>
            <w:r w:rsidRPr="00E22622">
              <w:rPr>
                <w:rFonts w:ascii="Arial" w:eastAsia="Times New Roman" w:hAnsi="Arial" w:cs="Arial"/>
                <w:bCs/>
                <w:color w:val="000000"/>
                <w:sz w:val="16"/>
                <w:szCs w:val="16"/>
                <w:lang w:eastAsia="es-MX"/>
              </w:rPr>
              <w:t>ción</w:t>
            </w:r>
            <w:proofErr w:type="spellEnd"/>
            <w:r w:rsidRPr="00E22622">
              <w:rPr>
                <w:rFonts w:ascii="Arial" w:eastAsia="Times New Roman" w:hAnsi="Arial" w:cs="Arial"/>
                <w:bCs/>
                <w:color w:val="000000"/>
                <w:sz w:val="16"/>
                <w:szCs w:val="16"/>
                <w:lang w:eastAsia="es-MX"/>
              </w:rPr>
              <w:t xml:space="preserve"> Parcial y Desocu-pación</w:t>
            </w:r>
            <w:r w:rsidRPr="00E22622">
              <w:rPr>
                <w:rFonts w:ascii="Arial" w:eastAsia="Times New Roman" w:hAnsi="Arial" w:cs="Arial"/>
                <w:bCs/>
                <w:color w:val="000000"/>
                <w:sz w:val="18"/>
                <w:szCs w:val="18"/>
                <w:vertAlign w:val="superscript"/>
                <w:lang w:eastAsia="es-MX"/>
              </w:rPr>
              <w:t>2/</w:t>
            </w:r>
          </w:p>
        </w:tc>
        <w:tc>
          <w:tcPr>
            <w:tcW w:w="709"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Presión Gener</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al</w:t>
            </w:r>
            <w:r w:rsidRPr="00E22622">
              <w:rPr>
                <w:rFonts w:ascii="Arial" w:eastAsia="Times New Roman" w:hAnsi="Arial" w:cs="Arial"/>
                <w:bCs/>
                <w:color w:val="000000"/>
                <w:sz w:val="18"/>
                <w:szCs w:val="18"/>
                <w:vertAlign w:val="superscript"/>
                <w:lang w:eastAsia="es-MX"/>
              </w:rPr>
              <w:t>2/</w:t>
            </w:r>
          </w:p>
        </w:tc>
        <w:tc>
          <w:tcPr>
            <w:tcW w:w="709"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Trabajo Asala-riado</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785FB8">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Sub</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ocupa</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850"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Condicio</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nes</w:t>
            </w:r>
            <w:proofErr w:type="spellEnd"/>
            <w:r w:rsidRPr="00E22622">
              <w:rPr>
                <w:rFonts w:ascii="Arial" w:eastAsia="Times New Roman" w:hAnsi="Arial" w:cs="Arial"/>
                <w:bCs/>
                <w:color w:val="000000"/>
                <w:sz w:val="16"/>
                <w:szCs w:val="16"/>
                <w:lang w:eastAsia="es-MX"/>
              </w:rPr>
              <w:t xml:space="preserve"> Críticas de Ocupa</w:t>
            </w:r>
            <w:r>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ción</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785FB8">
            <w:pPr>
              <w:spacing w:after="0" w:line="240" w:lineRule="auto"/>
              <w:jc w:val="center"/>
              <w:rPr>
                <w:rFonts w:ascii="Arial" w:eastAsia="Times New Roman" w:hAnsi="Arial" w:cs="Arial"/>
                <w:bCs/>
                <w:color w:val="000000"/>
                <w:sz w:val="16"/>
                <w:szCs w:val="16"/>
                <w:lang w:eastAsia="es-MX"/>
              </w:rPr>
            </w:pPr>
            <w:proofErr w:type="spellStart"/>
            <w:r w:rsidRPr="00E22622">
              <w:rPr>
                <w:rFonts w:ascii="Arial" w:eastAsia="Times New Roman" w:hAnsi="Arial" w:cs="Arial"/>
                <w:bCs/>
                <w:color w:val="000000"/>
                <w:sz w:val="16"/>
                <w:szCs w:val="16"/>
                <w:lang w:eastAsia="es-MX"/>
              </w:rPr>
              <w:t>Infor</w:t>
            </w:r>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malidad</w:t>
            </w:r>
            <w:proofErr w:type="spellEnd"/>
            <w:r w:rsidRPr="00E22622">
              <w:rPr>
                <w:rFonts w:ascii="Arial" w:eastAsia="Times New Roman" w:hAnsi="Arial" w:cs="Arial"/>
                <w:bCs/>
                <w:color w:val="000000"/>
                <w:sz w:val="16"/>
                <w:szCs w:val="16"/>
                <w:lang w:eastAsia="es-MX"/>
              </w:rPr>
              <w:t xml:space="preserve"> Laboral 1</w:t>
            </w:r>
            <w:r w:rsidRPr="00E22622">
              <w:rPr>
                <w:rFonts w:ascii="Arial" w:eastAsia="Times New Roman" w:hAnsi="Arial" w:cs="Arial"/>
                <w:bCs/>
                <w:color w:val="000000"/>
                <w:sz w:val="18"/>
                <w:szCs w:val="18"/>
                <w:vertAlign w:val="superscript"/>
                <w:lang w:eastAsia="es-MX"/>
              </w:rPr>
              <w:t>3/</w:t>
            </w:r>
          </w:p>
        </w:tc>
        <w:tc>
          <w:tcPr>
            <w:tcW w:w="709" w:type="dxa"/>
            <w:tcBorders>
              <w:top w:val="nil"/>
              <w:left w:val="nil"/>
              <w:bottom w:val="single" w:sz="8" w:space="0" w:color="376091"/>
              <w:right w:val="single" w:sz="8" w:space="0" w:color="376091"/>
            </w:tcBorders>
            <w:shd w:val="clear" w:color="000000" w:fill="ABC3DF"/>
            <w:vAlign w:val="center"/>
            <w:hideMark/>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Ocupa</w:t>
            </w:r>
            <w:r>
              <w:rPr>
                <w:rFonts w:ascii="Arial" w:eastAsia="Times New Roman" w:hAnsi="Arial" w:cs="Arial"/>
                <w:bCs/>
                <w:color w:val="000000"/>
                <w:sz w:val="16"/>
                <w:szCs w:val="16"/>
                <w:lang w:eastAsia="es-MX"/>
              </w:rPr>
              <w:t>-</w:t>
            </w:r>
            <w:proofErr w:type="spellStart"/>
            <w:r w:rsidRPr="00E22622">
              <w:rPr>
                <w:rFonts w:ascii="Arial" w:eastAsia="Times New Roman" w:hAnsi="Arial" w:cs="Arial"/>
                <w:bCs/>
                <w:color w:val="000000"/>
                <w:sz w:val="16"/>
                <w:szCs w:val="16"/>
                <w:lang w:eastAsia="es-MX"/>
              </w:rPr>
              <w:t>ción</w:t>
            </w:r>
            <w:proofErr w:type="spellEnd"/>
            <w:r w:rsidRPr="00E22622">
              <w:rPr>
                <w:rFonts w:ascii="Arial" w:eastAsia="Times New Roman" w:hAnsi="Arial" w:cs="Arial"/>
                <w:bCs/>
                <w:color w:val="000000"/>
                <w:sz w:val="16"/>
                <w:szCs w:val="16"/>
                <w:lang w:eastAsia="es-MX"/>
              </w:rPr>
              <w:t xml:space="preserve"> en el Sector </w:t>
            </w:r>
            <w:proofErr w:type="spellStart"/>
            <w:r w:rsidRPr="00E22622">
              <w:rPr>
                <w:rFonts w:ascii="Arial" w:eastAsia="Times New Roman" w:hAnsi="Arial" w:cs="Arial"/>
                <w:bCs/>
                <w:color w:val="000000"/>
                <w:sz w:val="16"/>
                <w:szCs w:val="16"/>
                <w:lang w:eastAsia="es-MX"/>
              </w:rPr>
              <w:t>Infor</w:t>
            </w:r>
            <w:proofErr w:type="spellEnd"/>
            <w:r w:rsidR="00785FB8">
              <w:rPr>
                <w:rFonts w:ascii="Arial" w:eastAsia="Times New Roman" w:hAnsi="Arial" w:cs="Arial"/>
                <w:bCs/>
                <w:color w:val="000000"/>
                <w:sz w:val="16"/>
                <w:szCs w:val="16"/>
                <w:lang w:eastAsia="es-MX"/>
              </w:rPr>
              <w:t>-</w:t>
            </w:r>
            <w:r w:rsidRPr="00E22622">
              <w:rPr>
                <w:rFonts w:ascii="Arial" w:eastAsia="Times New Roman" w:hAnsi="Arial" w:cs="Arial"/>
                <w:bCs/>
                <w:color w:val="000000"/>
                <w:sz w:val="16"/>
                <w:szCs w:val="16"/>
                <w:lang w:eastAsia="es-MX"/>
              </w:rPr>
              <w:t>mal 1</w:t>
            </w:r>
            <w:r w:rsidRPr="00E22622">
              <w:rPr>
                <w:rFonts w:ascii="Arial" w:eastAsia="Times New Roman" w:hAnsi="Arial" w:cs="Arial"/>
                <w:bCs/>
                <w:color w:val="000000"/>
                <w:sz w:val="18"/>
                <w:szCs w:val="18"/>
                <w:vertAlign w:val="superscript"/>
                <w:lang w:eastAsia="es-MX"/>
              </w:rPr>
              <w:t>3/</w:t>
            </w:r>
          </w:p>
        </w:tc>
        <w:tc>
          <w:tcPr>
            <w:tcW w:w="850" w:type="dxa"/>
            <w:tcBorders>
              <w:top w:val="nil"/>
              <w:left w:val="nil"/>
              <w:bottom w:val="single" w:sz="8" w:space="0" w:color="376091"/>
              <w:right w:val="single" w:sz="8" w:space="0" w:color="376091"/>
            </w:tcBorders>
            <w:shd w:val="clear" w:color="000000" w:fill="ABC3DF"/>
          </w:tcPr>
          <w:p w:rsidR="00B77C92" w:rsidRPr="00E22622" w:rsidRDefault="00B77C92" w:rsidP="009749DA">
            <w:pPr>
              <w:spacing w:after="0" w:line="240" w:lineRule="auto"/>
              <w:jc w:val="center"/>
              <w:rPr>
                <w:rFonts w:ascii="Arial" w:eastAsia="Times New Roman" w:hAnsi="Arial" w:cs="Arial"/>
                <w:bCs/>
                <w:color w:val="000000"/>
                <w:sz w:val="16"/>
                <w:szCs w:val="16"/>
                <w:lang w:eastAsia="es-MX"/>
              </w:rPr>
            </w:pPr>
            <w:r>
              <w:rPr>
                <w:rFonts w:ascii="Arial" w:eastAsia="Times New Roman" w:hAnsi="Arial" w:cs="Arial"/>
                <w:bCs/>
                <w:color w:val="000000"/>
                <w:sz w:val="16"/>
                <w:szCs w:val="16"/>
                <w:lang w:eastAsia="es-MX"/>
              </w:rPr>
              <w:t>Tasa de subutiliza</w:t>
            </w:r>
            <w:r w:rsidR="00785FB8">
              <w:rPr>
                <w:rFonts w:ascii="Arial" w:eastAsia="Times New Roman" w:hAnsi="Arial" w:cs="Arial"/>
                <w:bCs/>
                <w:color w:val="000000"/>
                <w:sz w:val="16"/>
                <w:szCs w:val="16"/>
                <w:lang w:eastAsia="es-MX"/>
              </w:rPr>
              <w:t>-</w:t>
            </w:r>
            <w:proofErr w:type="spellStart"/>
            <w:r>
              <w:rPr>
                <w:rFonts w:ascii="Arial" w:eastAsia="Times New Roman" w:hAnsi="Arial" w:cs="Arial"/>
                <w:bCs/>
                <w:color w:val="000000"/>
                <w:sz w:val="16"/>
                <w:szCs w:val="16"/>
                <w:lang w:eastAsia="es-MX"/>
              </w:rPr>
              <w:t>ción</w:t>
            </w:r>
            <w:proofErr w:type="spellEnd"/>
            <w:r>
              <w:rPr>
                <w:rFonts w:ascii="Arial" w:eastAsia="Times New Roman" w:hAnsi="Arial" w:cs="Arial"/>
                <w:bCs/>
                <w:color w:val="000000"/>
                <w:sz w:val="16"/>
                <w:szCs w:val="16"/>
                <w:lang w:eastAsia="es-MX"/>
              </w:rPr>
              <w:t xml:space="preserve"> de la fuerza de trabajo</w:t>
            </w:r>
            <w:r w:rsidRPr="00B77C92">
              <w:rPr>
                <w:rFonts w:ascii="Arial" w:eastAsia="Times New Roman" w:hAnsi="Arial" w:cs="Arial"/>
                <w:bCs/>
                <w:color w:val="000000"/>
                <w:sz w:val="16"/>
                <w:szCs w:val="16"/>
                <w:vertAlign w:val="superscript"/>
                <w:lang w:eastAsia="es-MX"/>
              </w:rPr>
              <w:t>4</w:t>
            </w:r>
            <w:r w:rsidR="00331BCE">
              <w:rPr>
                <w:rFonts w:ascii="Arial" w:eastAsia="Times New Roman" w:hAnsi="Arial" w:cs="Arial"/>
                <w:bCs/>
                <w:color w:val="000000"/>
                <w:sz w:val="16"/>
                <w:szCs w:val="16"/>
                <w:vertAlign w:val="superscript"/>
                <w:lang w:eastAsia="es-MX"/>
              </w:rPr>
              <w:t>/</w:t>
            </w:r>
          </w:p>
        </w:tc>
      </w:tr>
      <w:tr w:rsidR="00331BCE" w:rsidRPr="00E22622" w:rsidTr="00A020C6">
        <w:trPr>
          <w:trHeight w:val="272"/>
        </w:trPr>
        <w:tc>
          <w:tcPr>
            <w:tcW w:w="1701" w:type="dxa"/>
            <w:vMerge/>
            <w:tcBorders>
              <w:top w:val="single" w:sz="8" w:space="0" w:color="376091"/>
              <w:left w:val="single" w:sz="8" w:space="0" w:color="376091"/>
              <w:bottom w:val="single" w:sz="8" w:space="0" w:color="376091"/>
              <w:right w:val="single" w:sz="8" w:space="0" w:color="376091"/>
            </w:tcBorders>
            <w:vAlign w:val="center"/>
            <w:hideMark/>
          </w:tcPr>
          <w:p w:rsidR="00331BCE" w:rsidRPr="00513E8F" w:rsidRDefault="00331BCE" w:rsidP="009749DA">
            <w:pPr>
              <w:spacing w:after="0" w:line="240" w:lineRule="auto"/>
              <w:rPr>
                <w:rFonts w:ascii="Arial" w:eastAsia="Times New Roman" w:hAnsi="Arial" w:cs="Arial"/>
                <w:b/>
                <w:bCs/>
                <w:color w:val="000000"/>
                <w:sz w:val="16"/>
                <w:szCs w:val="16"/>
                <w:lang w:eastAsia="es-MX"/>
              </w:rPr>
            </w:pPr>
          </w:p>
        </w:tc>
        <w:tc>
          <w:tcPr>
            <w:tcW w:w="1985" w:type="dxa"/>
            <w:gridSpan w:val="2"/>
            <w:tcBorders>
              <w:top w:val="single" w:sz="8" w:space="0" w:color="376091"/>
              <w:left w:val="nil"/>
              <w:bottom w:val="single" w:sz="8" w:space="0" w:color="376091"/>
              <w:right w:val="single" w:sz="8" w:space="0" w:color="376091"/>
            </w:tcBorders>
            <w:shd w:val="clear" w:color="000000" w:fill="ABC3DF"/>
            <w:vAlign w:val="center"/>
            <w:hideMark/>
          </w:tcPr>
          <w:p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(Personas)</w:t>
            </w:r>
          </w:p>
        </w:tc>
        <w:tc>
          <w:tcPr>
            <w:tcW w:w="7796" w:type="dxa"/>
            <w:gridSpan w:val="10"/>
            <w:tcBorders>
              <w:top w:val="single" w:sz="8" w:space="0" w:color="376091"/>
              <w:left w:val="nil"/>
              <w:bottom w:val="single" w:sz="8" w:space="0" w:color="376091"/>
              <w:right w:val="single" w:sz="8" w:space="0" w:color="376091"/>
            </w:tcBorders>
            <w:shd w:val="clear" w:color="000000" w:fill="ABC3DF"/>
            <w:vAlign w:val="center"/>
            <w:hideMark/>
          </w:tcPr>
          <w:p w:rsidR="00331BCE" w:rsidRPr="00E22622" w:rsidRDefault="00331BCE" w:rsidP="009749DA">
            <w:pPr>
              <w:spacing w:after="0" w:line="240" w:lineRule="auto"/>
              <w:jc w:val="center"/>
              <w:rPr>
                <w:rFonts w:ascii="Arial" w:eastAsia="Times New Roman" w:hAnsi="Arial" w:cs="Arial"/>
                <w:bCs/>
                <w:color w:val="000000"/>
                <w:sz w:val="16"/>
                <w:szCs w:val="16"/>
                <w:lang w:eastAsia="es-MX"/>
              </w:rPr>
            </w:pPr>
            <w:r w:rsidRPr="00E22622">
              <w:rPr>
                <w:rFonts w:ascii="Arial" w:eastAsia="Times New Roman" w:hAnsi="Arial" w:cs="Arial"/>
                <w:bCs/>
                <w:color w:val="000000"/>
                <w:sz w:val="16"/>
                <w:szCs w:val="16"/>
                <w:lang w:eastAsia="es-MX"/>
              </w:rPr>
              <w:t>(Porcentaje)</w:t>
            </w:r>
          </w:p>
        </w:tc>
      </w:tr>
      <w:tr w:rsidR="00B77C92" w:rsidRPr="00E7630F" w:rsidTr="00194332">
        <w:trPr>
          <w:trHeight w:val="57"/>
        </w:trPr>
        <w:tc>
          <w:tcPr>
            <w:tcW w:w="1701" w:type="dxa"/>
            <w:tcBorders>
              <w:top w:val="nil"/>
              <w:left w:val="single" w:sz="8" w:space="0" w:color="376091"/>
              <w:bottom w:val="single" w:sz="8" w:space="0" w:color="C6D9F1"/>
              <w:right w:val="single" w:sz="8" w:space="0" w:color="376091"/>
            </w:tcBorders>
            <w:shd w:val="clear" w:color="auto" w:fill="auto"/>
            <w:vAlign w:val="center"/>
          </w:tcPr>
          <w:p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993" w:type="dxa"/>
            <w:tcBorders>
              <w:top w:val="nil"/>
              <w:left w:val="nil"/>
              <w:bottom w:val="single" w:sz="8" w:space="0" w:color="C6D9F1"/>
              <w:right w:val="single" w:sz="8" w:space="0" w:color="376091"/>
            </w:tcBorders>
            <w:shd w:val="clear" w:color="auto" w:fill="auto"/>
            <w:vAlign w:val="center"/>
          </w:tcPr>
          <w:p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992" w:type="dxa"/>
            <w:tcBorders>
              <w:top w:val="nil"/>
              <w:left w:val="nil"/>
              <w:bottom w:val="single" w:sz="8" w:space="0" w:color="C6D9F1"/>
              <w:right w:val="single" w:sz="8" w:space="0" w:color="376091"/>
            </w:tcBorders>
            <w:shd w:val="clear" w:color="auto" w:fill="auto"/>
            <w:vAlign w:val="center"/>
          </w:tcPr>
          <w:p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850" w:type="dxa"/>
            <w:tcBorders>
              <w:top w:val="nil"/>
              <w:left w:val="nil"/>
              <w:bottom w:val="single" w:sz="8" w:space="0" w:color="C6D9F1"/>
              <w:right w:val="single" w:sz="8" w:space="0" w:color="376091"/>
            </w:tcBorders>
            <w:shd w:val="clear" w:color="auto" w:fill="auto"/>
            <w:vAlign w:val="center"/>
          </w:tcPr>
          <w:p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849" w:type="dxa"/>
            <w:tcBorders>
              <w:top w:val="nil"/>
              <w:left w:val="nil"/>
              <w:bottom w:val="single" w:sz="8" w:space="0" w:color="C6D9F1"/>
              <w:right w:val="single" w:sz="8" w:space="0" w:color="376091"/>
            </w:tcBorders>
            <w:shd w:val="clear" w:color="auto" w:fill="auto"/>
            <w:vAlign w:val="center"/>
          </w:tcPr>
          <w:p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852" w:type="dxa"/>
            <w:tcBorders>
              <w:top w:val="nil"/>
              <w:left w:val="nil"/>
              <w:bottom w:val="single" w:sz="8" w:space="0" w:color="C6D9F1"/>
              <w:right w:val="single" w:sz="8" w:space="0" w:color="376091"/>
            </w:tcBorders>
            <w:shd w:val="clear" w:color="auto" w:fill="auto"/>
            <w:vAlign w:val="center"/>
          </w:tcPr>
          <w:p w:rsidR="00B77C92" w:rsidRPr="00E7630F" w:rsidRDefault="00B77C92" w:rsidP="009749DA">
            <w:pPr>
              <w:spacing w:after="0" w:line="240" w:lineRule="auto"/>
              <w:rPr>
                <w:rFonts w:ascii="Arial" w:eastAsia="Times New Roman" w:hAnsi="Arial" w:cs="Arial"/>
                <w:color w:val="000000"/>
                <w:sz w:val="8"/>
                <w:szCs w:val="16"/>
                <w:lang w:eastAsia="es-MX"/>
              </w:rPr>
            </w:pPr>
          </w:p>
        </w:tc>
        <w:tc>
          <w:tcPr>
            <w:tcW w:w="709" w:type="dxa"/>
            <w:tcBorders>
              <w:top w:val="nil"/>
              <w:left w:val="nil"/>
              <w:bottom w:val="single" w:sz="8" w:space="0" w:color="C6D9F1"/>
              <w:right w:val="single" w:sz="8" w:space="0" w:color="376091"/>
            </w:tcBorders>
            <w:shd w:val="clear" w:color="auto" w:fill="auto"/>
            <w:vAlign w:val="center"/>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vAlign w:val="center"/>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BDD6EE" w:themeColor="accent5" w:themeTint="66"/>
              <w:right w:val="single" w:sz="8" w:space="0" w:color="376091"/>
            </w:tcBorders>
            <w:shd w:val="clear" w:color="auto" w:fill="auto"/>
            <w:noWrap/>
            <w:vAlign w:val="bottom"/>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709" w:type="dxa"/>
            <w:tcBorders>
              <w:top w:val="nil"/>
              <w:left w:val="nil"/>
              <w:bottom w:val="single" w:sz="8" w:space="0" w:color="BDD6EE" w:themeColor="accent5" w:themeTint="66"/>
              <w:right w:val="single" w:sz="8" w:space="0" w:color="376091"/>
            </w:tcBorders>
            <w:shd w:val="clear" w:color="auto" w:fill="auto"/>
            <w:noWrap/>
            <w:vAlign w:val="bottom"/>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BDD6EE" w:themeColor="accent5" w:themeTint="66"/>
              <w:right w:val="single" w:sz="8" w:space="0" w:color="376091"/>
            </w:tcBorders>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b/>
                <w:bCs/>
                <w:color w:val="000000"/>
                <w:sz w:val="16"/>
                <w:szCs w:val="16"/>
                <w:lang w:eastAsia="es-MX"/>
              </w:rPr>
            </w:pPr>
            <w:r>
              <w:rPr>
                <w:rFonts w:ascii="Arial" w:hAnsi="Arial" w:cs="Arial"/>
                <w:b/>
                <w:bCs/>
                <w:color w:val="000000"/>
                <w:sz w:val="16"/>
                <w:szCs w:val="16"/>
              </w:rPr>
              <w:t>Agregado 39 Ciudades</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23,838,111</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1,627,848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55.3</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6.4</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12.4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9.7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72.0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18.3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21.8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41.6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b/>
                <w:bCs/>
                <w:color w:val="000000"/>
                <w:sz w:val="16"/>
                <w:szCs w:val="16"/>
                <w:lang w:eastAsia="es-MX"/>
              </w:rPr>
            </w:pPr>
            <w:r>
              <w:rPr>
                <w:rFonts w:ascii="Arial" w:hAnsi="Arial" w:cs="Arial"/>
                <w:b/>
                <w:bCs/>
                <w:color w:val="000000"/>
                <w:sz w:val="16"/>
                <w:szCs w:val="16"/>
              </w:rPr>
              <w:t>25.4</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
                <w:bCs/>
                <w:color w:val="000000"/>
                <w:sz w:val="16"/>
                <w:szCs w:val="16"/>
              </w:rPr>
              <w:t>36.6</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Aguascalientes (Ags.)</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379,818</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22,371</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58.9</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19.4</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20.7</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Mexicali (B. C.)</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372,147</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13,948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59.4</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16.3</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24.7</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Tijuana (B. C.)</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716,892</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15,196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57.4</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19.5</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24.7</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La Paz (B. C. S.)</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132,023</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6,673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58.2</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17.3</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34.2</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Campeche (Camp.)</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111,573</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5,767</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53.6</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19.9</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31.3</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Ciudad del Carmen (Camp.)</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84,649</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5,773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58.8</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30.8</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48.3</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Torreón - La Laguna (</w:t>
            </w:r>
            <w:proofErr w:type="spellStart"/>
            <w:r>
              <w:rPr>
                <w:rFonts w:ascii="Arial" w:hAnsi="Arial" w:cs="Arial"/>
                <w:color w:val="000000"/>
                <w:sz w:val="16"/>
                <w:szCs w:val="16"/>
              </w:rPr>
              <w:t>Coah</w:t>
            </w:r>
            <w:proofErr w:type="spellEnd"/>
            <w:r>
              <w:rPr>
                <w:rFonts w:ascii="Arial" w:hAnsi="Arial" w:cs="Arial"/>
                <w:color w:val="000000"/>
                <w:sz w:val="16"/>
                <w:szCs w:val="16"/>
              </w:rPr>
              <w:t xml:space="preserve">. y </w:t>
            </w:r>
            <w:proofErr w:type="spellStart"/>
            <w:r>
              <w:rPr>
                <w:rFonts w:ascii="Arial" w:hAnsi="Arial" w:cs="Arial"/>
                <w:color w:val="000000"/>
                <w:sz w:val="16"/>
                <w:szCs w:val="16"/>
              </w:rPr>
              <w:t>Dgo</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488,361</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35,098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59.3</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25.1</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28.5</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Saltillo (</w:t>
            </w:r>
            <w:proofErr w:type="spellStart"/>
            <w:r>
              <w:rPr>
                <w:rFonts w:ascii="Arial" w:hAnsi="Arial" w:cs="Arial"/>
                <w:color w:val="000000"/>
                <w:sz w:val="16"/>
                <w:szCs w:val="16"/>
              </w:rPr>
              <w:t>Coah</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364,829</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32,197</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58.8</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8.1</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18.3</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21.8</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Colima (Col.)</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140,156</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6,045</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59.6</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4.1</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16.5</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44.1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18.9</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31.6</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Tapachula (Chis.)</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103,612</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5,846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57.4</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26.2</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41.6</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Tuxtla Gutiérrez (Chis.)</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263,584</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21,681</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54.7</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16.9</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21.8</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45.0</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Chihuahua (</w:t>
            </w:r>
            <w:proofErr w:type="spellStart"/>
            <w:r>
              <w:rPr>
                <w:rFonts w:ascii="Arial" w:hAnsi="Arial" w:cs="Arial"/>
                <w:color w:val="000000"/>
                <w:sz w:val="16"/>
                <w:szCs w:val="16"/>
              </w:rPr>
              <w:t>Chih</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423,120</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25,660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60.8</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15.6</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27.3</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Ciudad Juárez (</w:t>
            </w:r>
            <w:proofErr w:type="spellStart"/>
            <w:r>
              <w:rPr>
                <w:rFonts w:ascii="Arial" w:hAnsi="Arial" w:cs="Arial"/>
                <w:color w:val="000000"/>
                <w:sz w:val="16"/>
                <w:szCs w:val="16"/>
              </w:rPr>
              <w:t>Chih</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681,596</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34,324</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63.9</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78.4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11.1</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15.3</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22.0</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 xml:space="preserve">Ciudad de México (CDMX y Edo. </w:t>
            </w:r>
            <w:proofErr w:type="spellStart"/>
            <w:r>
              <w:rPr>
                <w:rFonts w:ascii="Arial" w:hAnsi="Arial" w:cs="Arial"/>
                <w:color w:val="000000"/>
                <w:sz w:val="16"/>
                <w:szCs w:val="16"/>
              </w:rPr>
              <w:t>Méx</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7,801,209</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634,978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51.1</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46.1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30.2</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46.7</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Durango (</w:t>
            </w:r>
            <w:proofErr w:type="spellStart"/>
            <w:r>
              <w:rPr>
                <w:rFonts w:ascii="Arial" w:hAnsi="Arial" w:cs="Arial"/>
                <w:color w:val="000000"/>
                <w:sz w:val="16"/>
                <w:szCs w:val="16"/>
              </w:rPr>
              <w:t>Dgo</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256,409</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17,358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60.3</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11.4</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22.4</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28.5</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León (Gto.)</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679,270</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58,100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63.5</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27.1</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41.8</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Acapulco (Gro.)</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289,120</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15,267</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53.0</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38.8</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38.6</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Pachuca (</w:t>
            </w:r>
            <w:proofErr w:type="spellStart"/>
            <w:r>
              <w:rPr>
                <w:rFonts w:ascii="Arial" w:hAnsi="Arial" w:cs="Arial"/>
                <w:color w:val="000000"/>
                <w:sz w:val="16"/>
                <w:szCs w:val="16"/>
              </w:rPr>
              <w:t>Hgo</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163,751</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9,287</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53.6</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21.5</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27.2</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38.4</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Guadalajara (Jal.)</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1,910,659</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97,443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58.7</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23.8</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24.0</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 xml:space="preserve">Toluca (Edo. </w:t>
            </w:r>
            <w:proofErr w:type="spellStart"/>
            <w:r>
              <w:rPr>
                <w:rFonts w:ascii="Arial" w:hAnsi="Arial" w:cs="Arial"/>
                <w:color w:val="000000"/>
                <w:sz w:val="16"/>
                <w:szCs w:val="16"/>
              </w:rPr>
              <w:t>Méx</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569,289</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48,690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56.7</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24.5</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19.4</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Morelia (</w:t>
            </w:r>
            <w:proofErr w:type="spellStart"/>
            <w:r>
              <w:rPr>
                <w:rFonts w:ascii="Arial" w:hAnsi="Arial" w:cs="Arial"/>
                <w:color w:val="000000"/>
                <w:sz w:val="16"/>
                <w:szCs w:val="16"/>
              </w:rPr>
              <w:t>Mich</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309,296</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15,380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58.6</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66.0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18.5</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44.2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27.9</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32.9</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Cuernavaca (Mor.)</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348,686</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11,390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51.7</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67.6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8.4</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33.0</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26.9</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Tepic (</w:t>
            </w:r>
            <w:proofErr w:type="spellStart"/>
            <w:r>
              <w:rPr>
                <w:rFonts w:ascii="Arial" w:hAnsi="Arial" w:cs="Arial"/>
                <w:color w:val="000000"/>
                <w:sz w:val="16"/>
                <w:szCs w:val="16"/>
              </w:rPr>
              <w:t>Nay</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213,298</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13,411</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65.1</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21.0</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35.7</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Monterrey (N. L.)</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1,960,683</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122,871</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58.1</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21.8</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28.0</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Oaxaca (</w:t>
            </w:r>
            <w:proofErr w:type="spellStart"/>
            <w:r>
              <w:rPr>
                <w:rFonts w:ascii="Arial" w:hAnsi="Arial" w:cs="Arial"/>
                <w:color w:val="000000"/>
                <w:sz w:val="16"/>
                <w:szCs w:val="16"/>
              </w:rPr>
              <w:t>Oax</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239,239</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7,188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56.3</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33.0</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46.2</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Puebla (Pue.)</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854,585</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68,778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53.5</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27.2</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42.0</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Querétaro (Qro.)</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371,782</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27,592</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53.0</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10.7</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15.2</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27.6</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Cancún (Q. Roo)</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347,341</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49,924</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58.0</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12.6</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74.4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17.1</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38.2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19.7</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41.1</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San Luis Potosí (S. L. P.)</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484,015</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29,369</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59.3</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18.8</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36.1</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Culiacán (Sin.)</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317,026</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15,673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57.1</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13.7</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20.4</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33.8</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Hermosillo (Son.)</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356,038</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19,923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57.9</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5.3</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10.4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33.4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19.3</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26.6</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Villahermosa (</w:t>
            </w:r>
            <w:proofErr w:type="spellStart"/>
            <w:r>
              <w:rPr>
                <w:rFonts w:ascii="Arial" w:hAnsi="Arial" w:cs="Arial"/>
                <w:color w:val="000000"/>
                <w:sz w:val="16"/>
                <w:szCs w:val="16"/>
              </w:rPr>
              <w:t>Tab</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172,928</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14,476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54.2</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7.7</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69.7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45.5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25.6</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40.8</w:t>
            </w:r>
          </w:p>
        </w:tc>
      </w:tr>
      <w:tr w:rsidR="00B77C92" w:rsidRPr="00513E8F" w:rsidTr="00A94148">
        <w:trPr>
          <w:trHeight w:val="288"/>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Tampico (</w:t>
            </w:r>
            <w:proofErr w:type="spellStart"/>
            <w:r>
              <w:rPr>
                <w:rFonts w:ascii="Arial" w:hAnsi="Arial" w:cs="Arial"/>
                <w:color w:val="000000"/>
                <w:sz w:val="16"/>
                <w:szCs w:val="16"/>
              </w:rPr>
              <w:t>Tamps</w:t>
            </w:r>
            <w:proofErr w:type="spellEnd"/>
            <w:r>
              <w:rPr>
                <w:rFonts w:ascii="Arial" w:hAnsi="Arial" w:cs="Arial"/>
                <w:color w:val="000000"/>
                <w:sz w:val="16"/>
                <w:szCs w:val="16"/>
              </w:rPr>
              <w:t>. y Ver.)</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329,802</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27,244</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54.3</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17.9</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40.5</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34.3</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Reynosa (</w:t>
            </w:r>
            <w:proofErr w:type="spellStart"/>
            <w:r>
              <w:rPr>
                <w:rFonts w:ascii="Arial" w:hAnsi="Arial" w:cs="Arial"/>
                <w:color w:val="000000"/>
                <w:sz w:val="16"/>
                <w:szCs w:val="16"/>
              </w:rPr>
              <w:t>Tamps</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275,698</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9,248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56.5</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14.9</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31.1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21.3</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29.0</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Tlaxcala (</w:t>
            </w:r>
            <w:proofErr w:type="spellStart"/>
            <w:r>
              <w:rPr>
                <w:rFonts w:ascii="Arial" w:hAnsi="Arial" w:cs="Arial"/>
                <w:color w:val="000000"/>
                <w:sz w:val="16"/>
                <w:szCs w:val="16"/>
              </w:rPr>
              <w:t>Tlax</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309,722</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23,918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57.0</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27.0</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30.8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61.4</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37.6</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45.1</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Coatzacoalcos (Ver.)</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114,365</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7,686</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52.0</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6.3</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61.9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35.7</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36.5</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50.1</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Veracruz (Ver.)</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273,398</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20,635</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49.9</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7.0</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13.0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9.6</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64.9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12.9</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21.7</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45.3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26.9</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36.3</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Mérida (</w:t>
            </w:r>
            <w:proofErr w:type="spellStart"/>
            <w:r>
              <w:rPr>
                <w:rFonts w:ascii="Arial" w:hAnsi="Arial" w:cs="Arial"/>
                <w:color w:val="000000"/>
                <w:sz w:val="16"/>
                <w:szCs w:val="16"/>
              </w:rPr>
              <w:t>Yuc</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508,979</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25,162</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60.0</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4.7</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14.0</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72.1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19.3</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42.9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22.9</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31.4</w:t>
            </w:r>
          </w:p>
        </w:tc>
      </w:tr>
      <w:tr w:rsidR="00B77C92" w:rsidRPr="00513E8F" w:rsidTr="00A94148">
        <w:trPr>
          <w:trHeight w:val="113"/>
        </w:trPr>
        <w:tc>
          <w:tcPr>
            <w:tcW w:w="1701" w:type="dxa"/>
            <w:tcBorders>
              <w:top w:val="nil"/>
              <w:left w:val="single" w:sz="8" w:space="0" w:color="376091"/>
              <w:bottom w:val="single" w:sz="8" w:space="0" w:color="C6D9F1"/>
              <w:right w:val="single" w:sz="8" w:space="0" w:color="376091"/>
            </w:tcBorders>
            <w:shd w:val="clear" w:color="auto" w:fill="auto"/>
            <w:noWrap/>
            <w:vAlign w:val="center"/>
          </w:tcPr>
          <w:p w:rsidR="00B77C92" w:rsidRPr="00513E8F" w:rsidRDefault="00B77C92" w:rsidP="00B77C92">
            <w:pPr>
              <w:spacing w:after="0" w:line="240" w:lineRule="auto"/>
              <w:rPr>
                <w:rFonts w:ascii="Arial" w:eastAsia="Times New Roman" w:hAnsi="Arial" w:cs="Arial"/>
                <w:color w:val="000000"/>
                <w:sz w:val="16"/>
                <w:szCs w:val="16"/>
                <w:lang w:eastAsia="es-MX"/>
              </w:rPr>
            </w:pPr>
            <w:r>
              <w:rPr>
                <w:rFonts w:ascii="Arial" w:hAnsi="Arial" w:cs="Arial"/>
                <w:color w:val="000000"/>
                <w:sz w:val="16"/>
                <w:szCs w:val="16"/>
              </w:rPr>
              <w:t>Zacatecas (</w:t>
            </w:r>
            <w:proofErr w:type="spellStart"/>
            <w:r>
              <w:rPr>
                <w:rFonts w:ascii="Arial" w:hAnsi="Arial" w:cs="Arial"/>
                <w:color w:val="000000"/>
                <w:sz w:val="16"/>
                <w:szCs w:val="16"/>
              </w:rPr>
              <w:t>Zac</w:t>
            </w:r>
            <w:proofErr w:type="spellEnd"/>
            <w:r>
              <w:rPr>
                <w:rFonts w:ascii="Arial" w:hAnsi="Arial" w:cs="Arial"/>
                <w:color w:val="000000"/>
                <w:sz w:val="16"/>
                <w:szCs w:val="16"/>
              </w:rPr>
              <w:t>.)</w:t>
            </w:r>
          </w:p>
        </w:tc>
        <w:tc>
          <w:tcPr>
            <w:tcW w:w="993"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119,163</w:t>
            </w:r>
          </w:p>
        </w:tc>
        <w:tc>
          <w:tcPr>
            <w:tcW w:w="99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6,278</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58.7</w:t>
            </w:r>
          </w:p>
        </w:tc>
        <w:tc>
          <w:tcPr>
            <w:tcW w:w="84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5.0</w:t>
            </w:r>
          </w:p>
        </w:tc>
        <w:tc>
          <w:tcPr>
            <w:tcW w:w="852"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75.3</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18.1</w:t>
            </w:r>
          </w:p>
        </w:tc>
        <w:tc>
          <w:tcPr>
            <w:tcW w:w="850"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36.2</w:t>
            </w:r>
          </w:p>
        </w:tc>
        <w:tc>
          <w:tcPr>
            <w:tcW w:w="709" w:type="dxa"/>
            <w:tcBorders>
              <w:top w:val="nil"/>
              <w:left w:val="nil"/>
              <w:bottom w:val="single" w:sz="8" w:space="0" w:color="C6D9F1"/>
              <w:right w:val="single" w:sz="8" w:space="0" w:color="376091"/>
            </w:tcBorders>
            <w:shd w:val="clear" w:color="auto" w:fill="auto"/>
            <w:vAlign w:val="center"/>
          </w:tcPr>
          <w:p w:rsidR="00B77C92" w:rsidRPr="00513E8F" w:rsidRDefault="00B77C92" w:rsidP="00B77C92">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18.9</w:t>
            </w:r>
          </w:p>
        </w:tc>
        <w:tc>
          <w:tcPr>
            <w:tcW w:w="850" w:type="dxa"/>
            <w:tcBorders>
              <w:top w:val="nil"/>
              <w:left w:val="nil"/>
              <w:bottom w:val="single" w:sz="8" w:space="0" w:color="C6D9F1"/>
              <w:right w:val="single" w:sz="8" w:space="0" w:color="376091"/>
            </w:tcBorders>
            <w:vAlign w:val="center"/>
          </w:tcPr>
          <w:p w:rsidR="00B77C92" w:rsidRPr="00B77C92" w:rsidRDefault="00B77C92" w:rsidP="00B77C92">
            <w:pPr>
              <w:spacing w:after="0" w:line="240" w:lineRule="auto"/>
              <w:jc w:val="center"/>
              <w:rPr>
                <w:rFonts w:ascii="Arial" w:hAnsi="Arial" w:cs="Arial"/>
                <w:bCs/>
                <w:color w:val="000000"/>
                <w:sz w:val="16"/>
                <w:szCs w:val="16"/>
              </w:rPr>
            </w:pPr>
            <w:r w:rsidRPr="00B77C92">
              <w:rPr>
                <w:rFonts w:ascii="Arial" w:hAnsi="Arial" w:cs="Arial"/>
                <w:bCs/>
                <w:color w:val="000000"/>
                <w:sz w:val="16"/>
                <w:szCs w:val="16"/>
              </w:rPr>
              <w:t>32.9</w:t>
            </w:r>
          </w:p>
        </w:tc>
      </w:tr>
      <w:tr w:rsidR="00B77C92" w:rsidRPr="00E7630F" w:rsidTr="00785FB8">
        <w:trPr>
          <w:trHeight w:val="20"/>
        </w:trPr>
        <w:tc>
          <w:tcPr>
            <w:tcW w:w="1701" w:type="dxa"/>
            <w:tcBorders>
              <w:top w:val="nil"/>
              <w:left w:val="single" w:sz="8" w:space="0" w:color="376091"/>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993"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390E88">
            <w:pPr>
              <w:spacing w:after="0" w:line="240" w:lineRule="auto"/>
              <w:jc w:val="center"/>
              <w:rPr>
                <w:rFonts w:ascii="Arial" w:eastAsia="Times New Roman" w:hAnsi="Arial" w:cs="Arial"/>
                <w:color w:val="000000"/>
                <w:sz w:val="8"/>
                <w:szCs w:val="16"/>
                <w:lang w:eastAsia="es-MX"/>
              </w:rPr>
            </w:pPr>
          </w:p>
        </w:tc>
        <w:tc>
          <w:tcPr>
            <w:tcW w:w="992"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390E88">
            <w:pPr>
              <w:spacing w:after="0" w:line="240" w:lineRule="auto"/>
              <w:jc w:val="center"/>
              <w:rPr>
                <w:rFonts w:ascii="Arial" w:eastAsia="Times New Roman" w:hAnsi="Arial" w:cs="Arial"/>
                <w:color w:val="000000"/>
                <w:sz w:val="8"/>
                <w:szCs w:val="16"/>
                <w:lang w:eastAsia="es-MX"/>
              </w:rPr>
            </w:pPr>
          </w:p>
        </w:tc>
        <w:tc>
          <w:tcPr>
            <w:tcW w:w="850"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49"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2"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0"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709" w:type="dxa"/>
            <w:tcBorders>
              <w:top w:val="nil"/>
              <w:left w:val="nil"/>
              <w:bottom w:val="single" w:sz="8" w:space="0" w:color="376091"/>
              <w:right w:val="single" w:sz="8" w:space="0" w:color="376091"/>
            </w:tcBorders>
            <w:shd w:val="clear" w:color="auto" w:fill="auto"/>
            <w:vAlign w:val="center"/>
            <w:hideMark/>
          </w:tcPr>
          <w:p w:rsidR="00B77C92" w:rsidRPr="00E7630F" w:rsidRDefault="00B77C92" w:rsidP="009749DA">
            <w:pPr>
              <w:spacing w:after="0" w:line="240" w:lineRule="auto"/>
              <w:jc w:val="center"/>
              <w:rPr>
                <w:rFonts w:ascii="Arial" w:eastAsia="Times New Roman" w:hAnsi="Arial" w:cs="Arial"/>
                <w:color w:val="000000"/>
                <w:sz w:val="8"/>
                <w:szCs w:val="16"/>
                <w:lang w:eastAsia="es-MX"/>
              </w:rPr>
            </w:pPr>
            <w:r w:rsidRPr="00E7630F">
              <w:rPr>
                <w:rFonts w:ascii="Arial" w:eastAsia="Times New Roman" w:hAnsi="Arial" w:cs="Arial"/>
                <w:color w:val="000000"/>
                <w:sz w:val="8"/>
                <w:szCs w:val="16"/>
                <w:lang w:eastAsia="es-MX"/>
              </w:rPr>
              <w:t> </w:t>
            </w:r>
          </w:p>
        </w:tc>
        <w:tc>
          <w:tcPr>
            <w:tcW w:w="850" w:type="dxa"/>
            <w:tcBorders>
              <w:top w:val="nil"/>
              <w:left w:val="nil"/>
              <w:bottom w:val="single" w:sz="8" w:space="0" w:color="376091"/>
              <w:right w:val="single" w:sz="8" w:space="0" w:color="376091"/>
            </w:tcBorders>
          </w:tcPr>
          <w:p w:rsidR="00B77C92" w:rsidRPr="00B77C92" w:rsidRDefault="00B77C92" w:rsidP="009749DA">
            <w:pPr>
              <w:spacing w:after="0" w:line="240" w:lineRule="auto"/>
              <w:jc w:val="center"/>
              <w:rPr>
                <w:rFonts w:ascii="Arial" w:hAnsi="Arial" w:cs="Arial"/>
                <w:bCs/>
                <w:color w:val="000000"/>
                <w:sz w:val="16"/>
                <w:szCs w:val="16"/>
              </w:rPr>
            </w:pPr>
          </w:p>
        </w:tc>
      </w:tr>
    </w:tbl>
    <w:p w:rsidR="00E7630F" w:rsidRPr="0095099D" w:rsidRDefault="00E7630F" w:rsidP="009749DA">
      <w:pPr>
        <w:pStyle w:val="Ttulo"/>
        <w:tabs>
          <w:tab w:val="left" w:pos="-284"/>
          <w:tab w:val="left" w:pos="8647"/>
        </w:tabs>
        <w:spacing w:before="20"/>
        <w:ind w:left="-567" w:right="191" w:hanging="284"/>
        <w:jc w:val="both"/>
        <w:rPr>
          <w:rFonts w:cs="Arial"/>
          <w:b w:val="0"/>
          <w:sz w:val="14"/>
          <w:szCs w:val="16"/>
        </w:rPr>
      </w:pPr>
      <w:r w:rsidRPr="0095099D">
        <w:rPr>
          <w:rFonts w:cs="Arial"/>
          <w:b w:val="0"/>
          <w:sz w:val="14"/>
          <w:szCs w:val="16"/>
        </w:rPr>
        <w:lastRenderedPageBreak/>
        <w:t>Nota:</w:t>
      </w:r>
      <w:r w:rsidRPr="0095099D">
        <w:rPr>
          <w:rFonts w:cs="Arial"/>
          <w:b w:val="0"/>
          <w:sz w:val="14"/>
          <w:szCs w:val="16"/>
        </w:rPr>
        <w:tab/>
        <w:t>Los datos de la encuesta están ajustados a las proyecciones demográficas del Consejo Nacional de Población (CONAPO), 2010-2050</w:t>
      </w:r>
      <w:r w:rsidRPr="0095099D">
        <w:rPr>
          <w:b w:val="0"/>
          <w:sz w:val="14"/>
          <w:szCs w:val="16"/>
        </w:rPr>
        <w:t>,</w:t>
      </w:r>
      <w:r w:rsidRPr="0095099D">
        <w:rPr>
          <w:sz w:val="14"/>
          <w:szCs w:val="16"/>
        </w:rPr>
        <w:t xml:space="preserve"> </w:t>
      </w:r>
      <w:r w:rsidRPr="0095099D">
        <w:rPr>
          <w:rFonts w:cs="Arial"/>
          <w:b w:val="0"/>
          <w:sz w:val="14"/>
          <w:szCs w:val="16"/>
        </w:rPr>
        <w:t>publicadas el 16 de abril de 2013.</w:t>
      </w:r>
    </w:p>
    <w:p w:rsidR="00E7630F" w:rsidRPr="0095099D" w:rsidRDefault="00E7630F" w:rsidP="009749DA">
      <w:pPr>
        <w:pStyle w:val="n0"/>
        <w:keepLines w:val="0"/>
        <w:tabs>
          <w:tab w:val="left" w:pos="-284"/>
          <w:tab w:val="left" w:pos="1350"/>
          <w:tab w:val="left" w:pos="2190"/>
          <w:tab w:val="left" w:pos="3752"/>
          <w:tab w:val="left" w:pos="8647"/>
        </w:tabs>
        <w:spacing w:before="0"/>
        <w:ind w:left="-567" w:right="191" w:hanging="284"/>
        <w:jc w:val="left"/>
        <w:rPr>
          <w:color w:val="auto"/>
          <w:sz w:val="14"/>
          <w:szCs w:val="16"/>
        </w:rPr>
      </w:pPr>
      <w:r w:rsidRPr="0095099D">
        <w:rPr>
          <w:color w:val="auto"/>
          <w:sz w:val="16"/>
          <w:szCs w:val="18"/>
          <w:vertAlign w:val="superscript"/>
        </w:rPr>
        <w:t>1/</w:t>
      </w:r>
      <w:r w:rsidRPr="0095099D">
        <w:rPr>
          <w:color w:val="auto"/>
          <w:sz w:val="16"/>
          <w:szCs w:val="18"/>
          <w:vertAlign w:val="superscript"/>
        </w:rPr>
        <w:tab/>
      </w:r>
      <w:r w:rsidRPr="0095099D">
        <w:rPr>
          <w:color w:val="000000" w:themeColor="text1"/>
          <w:sz w:val="14"/>
          <w:szCs w:val="16"/>
        </w:rPr>
        <w:t>Población Económicamente Activa como porcentaje de la población de 15 años y más</w:t>
      </w:r>
      <w:r w:rsidRPr="0095099D">
        <w:rPr>
          <w:color w:val="auto"/>
          <w:sz w:val="14"/>
          <w:szCs w:val="16"/>
        </w:rPr>
        <w:t>.</w:t>
      </w:r>
    </w:p>
    <w:p w:rsidR="00E7630F" w:rsidRPr="0095099D" w:rsidRDefault="00E7630F" w:rsidP="009749DA">
      <w:pPr>
        <w:pStyle w:val="n0"/>
        <w:keepLines w:val="0"/>
        <w:tabs>
          <w:tab w:val="left" w:pos="-284"/>
          <w:tab w:val="left" w:pos="1350"/>
          <w:tab w:val="left" w:pos="2190"/>
          <w:tab w:val="left" w:pos="3752"/>
          <w:tab w:val="left" w:pos="8647"/>
        </w:tabs>
        <w:spacing w:before="0"/>
        <w:ind w:left="-567" w:right="191" w:hanging="284"/>
        <w:jc w:val="left"/>
        <w:rPr>
          <w:color w:val="auto"/>
          <w:sz w:val="14"/>
          <w:szCs w:val="16"/>
        </w:rPr>
      </w:pPr>
      <w:r w:rsidRPr="0095099D">
        <w:rPr>
          <w:color w:val="auto"/>
          <w:sz w:val="16"/>
          <w:szCs w:val="18"/>
          <w:vertAlign w:val="superscript"/>
        </w:rPr>
        <w:t>2/</w:t>
      </w:r>
      <w:r w:rsidRPr="0095099D">
        <w:rPr>
          <w:color w:val="auto"/>
          <w:sz w:val="14"/>
          <w:szCs w:val="16"/>
          <w:vertAlign w:val="superscript"/>
        </w:rPr>
        <w:tab/>
      </w:r>
      <w:r w:rsidRPr="0095099D">
        <w:rPr>
          <w:color w:val="000000" w:themeColor="text1"/>
          <w:sz w:val="14"/>
          <w:szCs w:val="16"/>
        </w:rPr>
        <w:t>Porcentaje respecto a la Población Económicamente Activa</w:t>
      </w:r>
      <w:r w:rsidRPr="0095099D">
        <w:rPr>
          <w:color w:val="auto"/>
          <w:sz w:val="14"/>
          <w:szCs w:val="16"/>
        </w:rPr>
        <w:t>.</w:t>
      </w:r>
    </w:p>
    <w:p w:rsidR="00E7630F" w:rsidRDefault="00E7630F" w:rsidP="009749DA">
      <w:pPr>
        <w:pStyle w:val="n0"/>
        <w:keepLines w:val="0"/>
        <w:tabs>
          <w:tab w:val="left" w:pos="-284"/>
          <w:tab w:val="left" w:pos="1350"/>
          <w:tab w:val="left" w:pos="2190"/>
          <w:tab w:val="left" w:pos="3752"/>
          <w:tab w:val="left" w:pos="8647"/>
        </w:tabs>
        <w:spacing w:before="0"/>
        <w:ind w:left="-567" w:right="191" w:hanging="284"/>
        <w:rPr>
          <w:color w:val="auto"/>
          <w:sz w:val="14"/>
          <w:szCs w:val="16"/>
        </w:rPr>
      </w:pPr>
      <w:r w:rsidRPr="0095099D">
        <w:rPr>
          <w:color w:val="auto"/>
          <w:sz w:val="16"/>
          <w:szCs w:val="18"/>
          <w:vertAlign w:val="superscript"/>
        </w:rPr>
        <w:t>3/</w:t>
      </w:r>
      <w:r w:rsidRPr="0095099D">
        <w:rPr>
          <w:color w:val="auto"/>
          <w:sz w:val="16"/>
          <w:szCs w:val="18"/>
          <w:vertAlign w:val="superscript"/>
        </w:rPr>
        <w:tab/>
      </w:r>
      <w:r w:rsidRPr="0095099D">
        <w:rPr>
          <w:color w:val="000000" w:themeColor="text1"/>
          <w:sz w:val="14"/>
          <w:szCs w:val="16"/>
        </w:rPr>
        <w:t>Porcentaje respecto a la Población Ocupada</w:t>
      </w:r>
      <w:r w:rsidRPr="0095099D">
        <w:rPr>
          <w:color w:val="auto"/>
          <w:sz w:val="14"/>
          <w:szCs w:val="16"/>
        </w:rPr>
        <w:t>. Por construcción, los indicadores de la Encuesta Nacional de Ocupación y Empleo (ENOE) y los de la ENOE</w:t>
      </w:r>
      <w:r w:rsidRPr="0095099D">
        <w:rPr>
          <w:color w:val="auto"/>
          <w:sz w:val="14"/>
          <w:szCs w:val="16"/>
          <w:vertAlign w:val="superscript"/>
        </w:rPr>
        <w:t>N</w:t>
      </w:r>
      <w:r w:rsidRPr="0095099D">
        <w:rPr>
          <w:color w:val="auto"/>
          <w:sz w:val="14"/>
          <w:szCs w:val="16"/>
        </w:rPr>
        <w:t xml:space="preserve"> que involucran a la población ocupada u otra variable clasificada en rangos de salarios mínimos son sensibles a los cambios en dichos salarios.</w:t>
      </w:r>
    </w:p>
    <w:p w:rsidR="00E04FB8" w:rsidRDefault="00E04FB8" w:rsidP="00E04FB8">
      <w:pPr>
        <w:pStyle w:val="n0"/>
        <w:keepLines w:val="0"/>
        <w:tabs>
          <w:tab w:val="left" w:pos="-284"/>
          <w:tab w:val="left" w:pos="1350"/>
          <w:tab w:val="left" w:pos="2190"/>
          <w:tab w:val="left" w:pos="3752"/>
          <w:tab w:val="left" w:pos="8647"/>
        </w:tabs>
        <w:spacing w:before="0"/>
        <w:ind w:left="-567" w:right="191" w:hanging="284"/>
        <w:rPr>
          <w:color w:val="auto"/>
          <w:sz w:val="14"/>
          <w:szCs w:val="16"/>
        </w:rPr>
      </w:pPr>
      <w:r>
        <w:rPr>
          <w:color w:val="auto"/>
          <w:sz w:val="16"/>
          <w:szCs w:val="18"/>
          <w:vertAlign w:val="superscript"/>
        </w:rPr>
        <w:t>4</w:t>
      </w:r>
      <w:r w:rsidRPr="0095099D">
        <w:rPr>
          <w:color w:val="auto"/>
          <w:sz w:val="16"/>
          <w:szCs w:val="18"/>
          <w:vertAlign w:val="superscript"/>
        </w:rPr>
        <w:t>/</w:t>
      </w:r>
      <w:r w:rsidRPr="0095099D">
        <w:rPr>
          <w:color w:val="auto"/>
          <w:sz w:val="16"/>
          <w:szCs w:val="18"/>
          <w:vertAlign w:val="superscript"/>
        </w:rPr>
        <w:tab/>
      </w:r>
      <w:r w:rsidRPr="0095099D">
        <w:rPr>
          <w:color w:val="000000" w:themeColor="text1"/>
          <w:sz w:val="14"/>
          <w:szCs w:val="16"/>
        </w:rPr>
        <w:t xml:space="preserve">Porcentaje </w:t>
      </w:r>
      <w:r>
        <w:rPr>
          <w:color w:val="000000" w:themeColor="text1"/>
          <w:sz w:val="14"/>
          <w:szCs w:val="16"/>
        </w:rPr>
        <w:t>de</w:t>
      </w:r>
      <w:r w:rsidRPr="0095099D">
        <w:rPr>
          <w:color w:val="000000" w:themeColor="text1"/>
          <w:sz w:val="14"/>
          <w:szCs w:val="16"/>
        </w:rPr>
        <w:t xml:space="preserve"> la </w:t>
      </w:r>
      <w:r>
        <w:rPr>
          <w:color w:val="000000" w:themeColor="text1"/>
          <w:sz w:val="14"/>
          <w:szCs w:val="16"/>
        </w:rPr>
        <w:t xml:space="preserve">fuerza de trabajo </w:t>
      </w:r>
      <w:r w:rsidRPr="00E04FB8">
        <w:rPr>
          <w:color w:val="auto"/>
          <w:sz w:val="14"/>
          <w:szCs w:val="16"/>
        </w:rPr>
        <w:t>ampliada (población económicamente activa más población no económicamente activa disponible para trabajar) que representan los desocupados, subocupados y no económicamente activos disponibles para trabajar.</w:t>
      </w:r>
    </w:p>
    <w:p w:rsidR="00E7630F" w:rsidRDefault="00E7630F" w:rsidP="009749DA">
      <w:pPr>
        <w:tabs>
          <w:tab w:val="left" w:pos="-284"/>
          <w:tab w:val="left" w:pos="851"/>
          <w:tab w:val="left" w:pos="8647"/>
        </w:tabs>
        <w:spacing w:after="0" w:line="240" w:lineRule="auto"/>
        <w:ind w:left="-567" w:right="333" w:hanging="284"/>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t>INEGI. Encuesta Nacional de Ocupación y Empleo. Nueva Edición, tercer trimestre de 2020.</w:t>
      </w:r>
    </w:p>
    <w:p w:rsidR="00F263AE" w:rsidRDefault="00F263AE" w:rsidP="009749DA">
      <w:pPr>
        <w:pStyle w:val="Ttulo"/>
        <w:jc w:val="both"/>
        <w:rPr>
          <w:rFonts w:cs="Arial"/>
          <w:b w:val="0"/>
          <w:bCs/>
          <w:spacing w:val="10"/>
          <w:sz w:val="22"/>
          <w:szCs w:val="22"/>
          <w:lang w:val="es-ES_tradnl"/>
        </w:rPr>
      </w:pPr>
    </w:p>
    <w:p w:rsidR="00EF6B2E" w:rsidRDefault="00EF6B2E" w:rsidP="00EF6B2E">
      <w:pPr>
        <w:pStyle w:val="Ttulo"/>
        <w:jc w:val="both"/>
        <w:rPr>
          <w:rFonts w:cs="Arial"/>
          <w:b w:val="0"/>
          <w:bCs/>
          <w:spacing w:val="10"/>
          <w:sz w:val="22"/>
          <w:szCs w:val="22"/>
          <w:lang w:val="es-ES_tradnl"/>
        </w:rPr>
      </w:pPr>
      <w:r>
        <w:rPr>
          <w:rFonts w:cs="Arial"/>
          <w:b w:val="0"/>
          <w:bCs/>
          <w:spacing w:val="10"/>
          <w:sz w:val="22"/>
          <w:szCs w:val="22"/>
          <w:lang w:val="es-ES_tradnl"/>
        </w:rPr>
        <w:t xml:space="preserve">En la ocupación en condiciones críticas considerando las horas trabajadas y los ingresos, se encuentran Tapachula con 36.2% y Tuxtla </w:t>
      </w:r>
      <w:proofErr w:type="spellStart"/>
      <w:r>
        <w:rPr>
          <w:rFonts w:cs="Arial"/>
          <w:b w:val="0"/>
          <w:bCs/>
          <w:spacing w:val="10"/>
          <w:sz w:val="22"/>
          <w:szCs w:val="22"/>
          <w:lang w:val="es-ES_tradnl"/>
        </w:rPr>
        <w:t>Gutierrez</w:t>
      </w:r>
      <w:proofErr w:type="spellEnd"/>
      <w:r>
        <w:rPr>
          <w:rFonts w:cs="Arial"/>
          <w:b w:val="0"/>
          <w:bCs/>
          <w:spacing w:val="10"/>
          <w:sz w:val="22"/>
          <w:szCs w:val="22"/>
          <w:lang w:val="es-ES_tradnl"/>
        </w:rPr>
        <w:t xml:space="preserve"> con 34.9% en el nivel más alto; en cambio, las ciudades de Guadalajara, Hermosillo y Chihuahua con porcentajes entre 9.8% y 10.9%, son las de menores niveles de ocupación crítica.</w:t>
      </w:r>
    </w:p>
    <w:p w:rsidR="00EF6B2E" w:rsidRDefault="00EF6B2E" w:rsidP="00EF6B2E">
      <w:pPr>
        <w:pStyle w:val="Ttulo"/>
        <w:jc w:val="both"/>
        <w:rPr>
          <w:rFonts w:cs="Arial"/>
          <w:b w:val="0"/>
          <w:bCs/>
          <w:spacing w:val="10"/>
          <w:sz w:val="22"/>
          <w:szCs w:val="22"/>
          <w:lang w:val="es-ES_tradnl"/>
        </w:rPr>
      </w:pPr>
    </w:p>
    <w:p w:rsidR="00F263AE" w:rsidRDefault="00F263AE" w:rsidP="009749DA">
      <w:pPr>
        <w:pStyle w:val="Ttulo"/>
        <w:jc w:val="both"/>
        <w:rPr>
          <w:rFonts w:cs="Arial"/>
          <w:b w:val="0"/>
          <w:bCs/>
          <w:spacing w:val="10"/>
          <w:sz w:val="22"/>
          <w:szCs w:val="22"/>
          <w:lang w:val="es-ES_tradnl"/>
        </w:rPr>
      </w:pPr>
      <w:r>
        <w:rPr>
          <w:rFonts w:cs="Arial"/>
          <w:b w:val="0"/>
          <w:bCs/>
          <w:spacing w:val="10"/>
          <w:sz w:val="22"/>
          <w:szCs w:val="22"/>
          <w:lang w:val="es-ES_tradnl"/>
        </w:rPr>
        <w:t xml:space="preserve">La informalidad laboral, es decir, los ocupados </w:t>
      </w:r>
      <w:r w:rsidRPr="0004410C">
        <w:rPr>
          <w:rFonts w:cs="Arial"/>
          <w:b w:val="0"/>
          <w:bCs/>
          <w:spacing w:val="10"/>
          <w:sz w:val="22"/>
          <w:szCs w:val="22"/>
          <w:lang w:val="es-ES_tradnl"/>
        </w:rPr>
        <w:t xml:space="preserve">que son laboralmente vulnerables </w:t>
      </w:r>
      <w:r>
        <w:rPr>
          <w:rFonts w:cs="Arial"/>
          <w:b w:val="0"/>
          <w:bCs/>
          <w:spacing w:val="10"/>
          <w:sz w:val="22"/>
          <w:szCs w:val="22"/>
          <w:lang w:val="es-ES_tradnl"/>
        </w:rPr>
        <w:t xml:space="preserve">considerando la naturaleza de la </w:t>
      </w:r>
      <w:r w:rsidRPr="0004410C">
        <w:rPr>
          <w:rFonts w:cs="Arial"/>
          <w:b w:val="0"/>
          <w:bCs/>
          <w:spacing w:val="10"/>
          <w:sz w:val="22"/>
          <w:szCs w:val="22"/>
          <w:lang w:val="es-ES_tradnl"/>
        </w:rPr>
        <w:t>unidad económica para la que trabajan</w:t>
      </w:r>
      <w:r>
        <w:rPr>
          <w:rFonts w:cs="Arial"/>
          <w:b w:val="0"/>
          <w:bCs/>
          <w:spacing w:val="10"/>
          <w:sz w:val="22"/>
          <w:szCs w:val="22"/>
          <w:lang w:val="es-ES_tradnl"/>
        </w:rPr>
        <w:t xml:space="preserve"> y/o el </w:t>
      </w:r>
      <w:r w:rsidRPr="0004410C">
        <w:rPr>
          <w:rFonts w:cs="Arial"/>
          <w:b w:val="0"/>
          <w:bCs/>
          <w:spacing w:val="10"/>
          <w:sz w:val="22"/>
          <w:szCs w:val="22"/>
          <w:lang w:val="es-ES_tradnl"/>
        </w:rPr>
        <w:t xml:space="preserve">vínculo laboral </w:t>
      </w:r>
      <w:r>
        <w:rPr>
          <w:rFonts w:cs="Arial"/>
          <w:b w:val="0"/>
          <w:bCs/>
          <w:spacing w:val="10"/>
          <w:sz w:val="22"/>
          <w:szCs w:val="22"/>
          <w:lang w:val="es-ES_tradnl"/>
        </w:rPr>
        <w:t>con la unidad empleadora, las ciudades de Acapulco con 62% y Tlaxcala con 61.4% se colocaron como las ciudades con mayores niveles de ocupación informal; más del doble, comparadas con Ciudad Juárez (26.1%), Chihuahua (27.3%) y Saltillo (27.8%) que reportaron los porcentajes de ocupación informal menores.</w:t>
      </w:r>
    </w:p>
    <w:p w:rsidR="00F263AE" w:rsidRDefault="00F263AE" w:rsidP="009749DA">
      <w:pPr>
        <w:pStyle w:val="Ttulo"/>
        <w:jc w:val="both"/>
        <w:rPr>
          <w:rFonts w:cs="Arial"/>
          <w:b w:val="0"/>
          <w:bCs/>
          <w:spacing w:val="10"/>
          <w:sz w:val="22"/>
          <w:szCs w:val="22"/>
          <w:lang w:val="es-ES_tradnl"/>
        </w:rPr>
      </w:pPr>
    </w:p>
    <w:p w:rsidR="00C66AEC" w:rsidRDefault="00C66AEC" w:rsidP="009749DA">
      <w:pPr>
        <w:pStyle w:val="Ttulo"/>
        <w:jc w:val="both"/>
        <w:rPr>
          <w:rFonts w:cs="Arial"/>
          <w:b w:val="0"/>
          <w:bCs/>
          <w:spacing w:val="10"/>
          <w:sz w:val="22"/>
          <w:szCs w:val="22"/>
          <w:lang w:val="es-ES_tradnl"/>
        </w:rPr>
      </w:pPr>
      <w:r>
        <w:rPr>
          <w:rFonts w:cs="Arial"/>
          <w:b w:val="0"/>
          <w:bCs/>
          <w:spacing w:val="10"/>
          <w:sz w:val="22"/>
          <w:szCs w:val="22"/>
          <w:lang w:val="es-ES_tradnl"/>
        </w:rPr>
        <w:t xml:space="preserve">En relación </w:t>
      </w:r>
      <w:r w:rsidR="000D654B">
        <w:rPr>
          <w:rFonts w:cs="Arial"/>
          <w:b w:val="0"/>
          <w:bCs/>
          <w:spacing w:val="10"/>
          <w:sz w:val="22"/>
          <w:szCs w:val="22"/>
          <w:lang w:val="es-ES_tradnl"/>
        </w:rPr>
        <w:t>con</w:t>
      </w:r>
      <w:r>
        <w:rPr>
          <w:rFonts w:cs="Arial"/>
          <w:b w:val="0"/>
          <w:bCs/>
          <w:spacing w:val="10"/>
          <w:sz w:val="22"/>
          <w:szCs w:val="22"/>
          <w:lang w:val="es-ES_tradnl"/>
        </w:rPr>
        <w:t xml:space="preserve"> la subutilización de la fuerza de trabajo; es decir, el porcentaje de la fuerza de trabajo ampliada </w:t>
      </w:r>
      <w:r w:rsidRPr="00C66AEC">
        <w:rPr>
          <w:rFonts w:cs="Arial"/>
          <w:b w:val="0"/>
          <w:bCs/>
          <w:spacing w:val="10"/>
          <w:sz w:val="22"/>
          <w:szCs w:val="22"/>
          <w:lang w:val="es-ES_tradnl"/>
        </w:rPr>
        <w:t>(población económicamente activa más población no económicamente activa disponible para trabajar) que representan los desocupados, subocupados y no económicamente activos disponibles para trabajar</w:t>
      </w:r>
      <w:r>
        <w:rPr>
          <w:rFonts w:cs="Arial"/>
          <w:b w:val="0"/>
          <w:bCs/>
          <w:spacing w:val="10"/>
          <w:sz w:val="22"/>
          <w:szCs w:val="22"/>
          <w:lang w:val="es-ES_tradnl"/>
        </w:rPr>
        <w:t>.</w:t>
      </w:r>
      <w:r w:rsidRPr="00C66AEC">
        <w:rPr>
          <w:rFonts w:cs="Arial"/>
          <w:b w:val="0"/>
          <w:bCs/>
          <w:spacing w:val="10"/>
          <w:sz w:val="22"/>
          <w:szCs w:val="22"/>
          <w:lang w:val="es-ES_tradnl"/>
        </w:rPr>
        <w:t xml:space="preserve"> Las ciudades de Coatzacoalcos con 50.1% y Ciudad del Carmen con 48.3% </w:t>
      </w:r>
      <w:r>
        <w:rPr>
          <w:rFonts w:cs="Arial"/>
          <w:b w:val="0"/>
          <w:bCs/>
          <w:spacing w:val="10"/>
          <w:sz w:val="22"/>
          <w:szCs w:val="22"/>
          <w:lang w:val="es-ES_tradnl"/>
        </w:rPr>
        <w:t>reportaron</w:t>
      </w:r>
      <w:r w:rsidRPr="00C66AEC">
        <w:rPr>
          <w:rFonts w:cs="Arial"/>
          <w:b w:val="0"/>
          <w:bCs/>
          <w:spacing w:val="10"/>
          <w:sz w:val="22"/>
          <w:szCs w:val="22"/>
          <w:lang w:val="es-ES_tradnl"/>
        </w:rPr>
        <w:t xml:space="preserve"> las mayores tasas de subutilización de la fuerza de trabajo</w:t>
      </w:r>
      <w:r w:rsidR="000D654B">
        <w:rPr>
          <w:rFonts w:cs="Arial"/>
          <w:b w:val="0"/>
          <w:bCs/>
          <w:spacing w:val="10"/>
          <w:sz w:val="22"/>
          <w:szCs w:val="22"/>
          <w:lang w:val="es-ES_tradnl"/>
        </w:rPr>
        <w:t>,</w:t>
      </w:r>
      <w:r w:rsidRPr="00C66AEC">
        <w:rPr>
          <w:rFonts w:cs="Arial"/>
          <w:b w:val="0"/>
          <w:bCs/>
          <w:spacing w:val="10"/>
          <w:sz w:val="22"/>
          <w:szCs w:val="22"/>
          <w:lang w:val="es-ES_tradnl"/>
        </w:rPr>
        <w:t xml:space="preserve"> frente a las ciudades de Toluca con 19.4% y Aguascalientes con 20.7 por ciento, que </w:t>
      </w:r>
      <w:r>
        <w:rPr>
          <w:rFonts w:cs="Arial"/>
          <w:b w:val="0"/>
          <w:bCs/>
          <w:spacing w:val="10"/>
          <w:sz w:val="22"/>
          <w:szCs w:val="22"/>
          <w:lang w:val="es-ES_tradnl"/>
        </w:rPr>
        <w:t>registraron</w:t>
      </w:r>
      <w:r w:rsidRPr="00C66AEC">
        <w:rPr>
          <w:rFonts w:cs="Arial"/>
          <w:b w:val="0"/>
          <w:bCs/>
          <w:spacing w:val="10"/>
          <w:sz w:val="22"/>
          <w:szCs w:val="22"/>
          <w:lang w:val="es-ES_tradnl"/>
        </w:rPr>
        <w:t xml:space="preserve"> las tasas más bajas en el periodo.</w:t>
      </w:r>
    </w:p>
    <w:p w:rsidR="007E62CA" w:rsidRPr="00793D7D" w:rsidRDefault="007E62CA" w:rsidP="009749DA">
      <w:pPr>
        <w:pStyle w:val="n0"/>
        <w:keepLines w:val="0"/>
        <w:spacing w:before="0"/>
        <w:ind w:left="0" w:right="49" w:firstLine="0"/>
        <w:rPr>
          <w:b/>
          <w:smallCaps/>
          <w:color w:val="auto"/>
          <w:sz w:val="22"/>
          <w:szCs w:val="22"/>
        </w:rPr>
      </w:pPr>
    </w:p>
    <w:p w:rsidR="00252EDE" w:rsidRDefault="00252EDE" w:rsidP="009749DA">
      <w:pPr>
        <w:pStyle w:val="n0"/>
        <w:keepLines w:val="0"/>
        <w:spacing w:before="0"/>
        <w:ind w:left="0" w:right="49" w:firstLine="0"/>
        <w:rPr>
          <w:b/>
          <w:smallCaps/>
          <w:color w:val="auto"/>
          <w:sz w:val="22"/>
          <w:szCs w:val="22"/>
        </w:rPr>
      </w:pPr>
      <w:r w:rsidRPr="00C63172">
        <w:rPr>
          <w:b/>
          <w:smallCaps/>
          <w:color w:val="auto"/>
          <w:sz w:val="22"/>
          <w:szCs w:val="22"/>
        </w:rPr>
        <w:t>Caracterí</w:t>
      </w:r>
      <w:r w:rsidR="00DF798C" w:rsidRPr="00C63172">
        <w:rPr>
          <w:b/>
          <w:smallCaps/>
          <w:color w:val="auto"/>
          <w:sz w:val="22"/>
          <w:szCs w:val="22"/>
        </w:rPr>
        <w:t>sticas metodológicas de la E</w:t>
      </w:r>
      <w:r w:rsidR="00821589">
        <w:rPr>
          <w:b/>
          <w:smallCaps/>
          <w:color w:val="auto"/>
          <w:sz w:val="22"/>
          <w:szCs w:val="22"/>
        </w:rPr>
        <w:t>N</w:t>
      </w:r>
      <w:r w:rsidR="00DF798C" w:rsidRPr="00C63172">
        <w:rPr>
          <w:b/>
          <w:smallCaps/>
          <w:color w:val="auto"/>
          <w:sz w:val="22"/>
          <w:szCs w:val="22"/>
        </w:rPr>
        <w:t>OE</w:t>
      </w:r>
      <w:r w:rsidR="00F66482">
        <w:rPr>
          <w:b/>
          <w:smallCaps/>
          <w:color w:val="auto"/>
          <w:sz w:val="22"/>
          <w:szCs w:val="22"/>
          <w:vertAlign w:val="superscript"/>
        </w:rPr>
        <w:t>N</w:t>
      </w:r>
      <w:r w:rsidR="00CB0099">
        <w:rPr>
          <w:b/>
          <w:smallCaps/>
          <w:color w:val="auto"/>
          <w:sz w:val="22"/>
          <w:szCs w:val="22"/>
        </w:rPr>
        <w:t xml:space="preserve"> Trimestral</w:t>
      </w:r>
    </w:p>
    <w:p w:rsidR="00A24896" w:rsidRPr="00C63172" w:rsidRDefault="00A24896" w:rsidP="009749DA">
      <w:pPr>
        <w:pStyle w:val="n0"/>
        <w:keepLines w:val="0"/>
        <w:spacing w:before="0"/>
        <w:ind w:left="0" w:right="49" w:firstLine="0"/>
        <w:rPr>
          <w:b/>
          <w:smallCaps/>
          <w:color w:val="auto"/>
          <w:sz w:val="22"/>
          <w:szCs w:val="22"/>
        </w:rPr>
      </w:pPr>
    </w:p>
    <w:p w:rsidR="00806D35" w:rsidRPr="008D043B" w:rsidRDefault="00806D35" w:rsidP="009749DA">
      <w:pPr>
        <w:pStyle w:val="n0"/>
        <w:keepLines w:val="0"/>
        <w:numPr>
          <w:ilvl w:val="0"/>
          <w:numId w:val="24"/>
        </w:numPr>
        <w:spacing w:before="0"/>
        <w:ind w:left="0" w:right="49" w:firstLine="0"/>
        <w:rPr>
          <w:smallCaps/>
          <w:sz w:val="22"/>
          <w:szCs w:val="22"/>
        </w:rPr>
      </w:pPr>
      <w:r w:rsidRPr="00751905">
        <w:rPr>
          <w:b/>
          <w:color w:val="auto"/>
          <w:spacing w:val="10"/>
          <w:sz w:val="22"/>
          <w:szCs w:val="22"/>
        </w:rPr>
        <w:t>Al</w:t>
      </w:r>
      <w:r w:rsidRPr="008D043B">
        <w:rPr>
          <w:b/>
          <w:color w:val="auto"/>
          <w:spacing w:val="10"/>
          <w:sz w:val="22"/>
          <w:szCs w:val="22"/>
        </w:rPr>
        <w:t>cance metodológico de la Encuesta Nacional de Ocupación y Empleo</w:t>
      </w:r>
      <w:r w:rsidR="00177695">
        <w:rPr>
          <w:b/>
          <w:color w:val="auto"/>
          <w:spacing w:val="10"/>
          <w:sz w:val="22"/>
          <w:szCs w:val="22"/>
        </w:rPr>
        <w:t xml:space="preserve">. </w:t>
      </w:r>
      <w:r w:rsidRPr="008D043B">
        <w:rPr>
          <w:b/>
          <w:color w:val="auto"/>
          <w:spacing w:val="10"/>
          <w:sz w:val="22"/>
          <w:szCs w:val="22"/>
        </w:rPr>
        <w:t>Nueva Edición</w:t>
      </w:r>
      <w:r w:rsidRPr="008D043B">
        <w:rPr>
          <w:b/>
          <w:smallCaps/>
          <w:color w:val="auto"/>
          <w:sz w:val="22"/>
          <w:szCs w:val="22"/>
        </w:rPr>
        <w:t xml:space="preserve"> (ENOE</w:t>
      </w:r>
      <w:r w:rsidRPr="008D043B">
        <w:rPr>
          <w:b/>
          <w:smallCaps/>
          <w:color w:val="auto"/>
          <w:sz w:val="22"/>
          <w:szCs w:val="22"/>
          <w:vertAlign w:val="superscript"/>
        </w:rPr>
        <w:t>N</w:t>
      </w:r>
      <w:r w:rsidRPr="008D043B">
        <w:rPr>
          <w:b/>
          <w:smallCaps/>
          <w:color w:val="auto"/>
          <w:sz w:val="22"/>
          <w:szCs w:val="22"/>
        </w:rPr>
        <w:t>)</w:t>
      </w:r>
    </w:p>
    <w:p w:rsidR="00806D35" w:rsidRPr="00484460" w:rsidRDefault="00806D35" w:rsidP="009749DA">
      <w:pPr>
        <w:pStyle w:val="Ttulo"/>
        <w:rPr>
          <w:rFonts w:cs="Arial"/>
          <w:szCs w:val="24"/>
        </w:rPr>
      </w:pPr>
    </w:p>
    <w:p w:rsidR="00806D35" w:rsidRPr="00D15F9B" w:rsidRDefault="00806D35" w:rsidP="009749DA">
      <w:pPr>
        <w:pStyle w:val="Subttulo"/>
        <w:ind w:right="49"/>
        <w:jc w:val="both"/>
        <w:rPr>
          <w:b w:val="0"/>
          <w:spacing w:val="10"/>
          <w:sz w:val="22"/>
          <w:szCs w:val="22"/>
        </w:rPr>
      </w:pPr>
      <w:r>
        <w:rPr>
          <w:b w:val="0"/>
          <w:spacing w:val="10"/>
          <w:sz w:val="22"/>
          <w:szCs w:val="22"/>
        </w:rPr>
        <w:t xml:space="preserve">Para </w:t>
      </w:r>
      <w:r w:rsidR="00177695">
        <w:rPr>
          <w:b w:val="0"/>
          <w:spacing w:val="10"/>
          <w:sz w:val="22"/>
          <w:szCs w:val="22"/>
        </w:rPr>
        <w:t>el tercer trimestre</w:t>
      </w:r>
      <w:r>
        <w:rPr>
          <w:b w:val="0"/>
          <w:spacing w:val="10"/>
          <w:sz w:val="22"/>
          <w:szCs w:val="22"/>
        </w:rPr>
        <w:t xml:space="preserve"> </w:t>
      </w:r>
      <w:r w:rsidR="0095099D">
        <w:rPr>
          <w:b w:val="0"/>
          <w:spacing w:val="10"/>
          <w:sz w:val="22"/>
          <w:szCs w:val="22"/>
        </w:rPr>
        <w:t xml:space="preserve">de 2020 </w:t>
      </w:r>
      <w:r>
        <w:rPr>
          <w:b w:val="0"/>
          <w:spacing w:val="10"/>
          <w:sz w:val="22"/>
          <w:szCs w:val="22"/>
        </w:rPr>
        <w:t>la</w:t>
      </w:r>
      <w:r w:rsidRPr="00DF3C61">
        <w:rPr>
          <w:b w:val="0"/>
          <w:spacing w:val="10"/>
          <w:sz w:val="22"/>
          <w:szCs w:val="22"/>
        </w:rPr>
        <w:t xml:space="preserve"> Encuesta Nacional de Ocupación y Empleo Nueva Edición </w:t>
      </w:r>
      <w:r w:rsidRPr="00DF3C61">
        <w:rPr>
          <w:b w:val="0"/>
          <w:sz w:val="22"/>
          <w:szCs w:val="22"/>
        </w:rPr>
        <w:t>(ENOE</w:t>
      </w:r>
      <w:r w:rsidRPr="00DF3C61">
        <w:rPr>
          <w:b w:val="0"/>
          <w:sz w:val="22"/>
          <w:szCs w:val="22"/>
          <w:vertAlign w:val="superscript"/>
        </w:rPr>
        <w:t>N</w:t>
      </w:r>
      <w:r w:rsidRPr="00DF3C61">
        <w:rPr>
          <w:b w:val="0"/>
          <w:sz w:val="22"/>
          <w:szCs w:val="22"/>
        </w:rPr>
        <w:t>)</w:t>
      </w:r>
      <w:r>
        <w:rPr>
          <w:b w:val="0"/>
          <w:sz w:val="22"/>
          <w:szCs w:val="22"/>
        </w:rPr>
        <w:t xml:space="preserve"> </w:t>
      </w:r>
      <w:r w:rsidRPr="00B25B60">
        <w:rPr>
          <w:b w:val="0"/>
          <w:spacing w:val="10"/>
          <w:sz w:val="22"/>
          <w:szCs w:val="22"/>
        </w:rPr>
        <w:t xml:space="preserve">alcanzó un </w:t>
      </w:r>
      <w:r w:rsidR="00B25B60" w:rsidRPr="00B25B60">
        <w:rPr>
          <w:b w:val="0"/>
          <w:spacing w:val="10"/>
          <w:sz w:val="22"/>
          <w:szCs w:val="22"/>
        </w:rPr>
        <w:t>64</w:t>
      </w:r>
      <w:r w:rsidRPr="00B25B60">
        <w:rPr>
          <w:b w:val="0"/>
          <w:spacing w:val="10"/>
          <w:sz w:val="22"/>
          <w:szCs w:val="22"/>
        </w:rPr>
        <w:t>%</w:t>
      </w:r>
      <w:r w:rsidRPr="00DF3C61">
        <w:rPr>
          <w:b w:val="0"/>
          <w:spacing w:val="10"/>
          <w:sz w:val="22"/>
          <w:szCs w:val="22"/>
        </w:rPr>
        <w:t xml:space="preserve"> de la muestra </w:t>
      </w:r>
      <w:r w:rsidR="00B25B60">
        <w:rPr>
          <w:b w:val="0"/>
          <w:spacing w:val="10"/>
          <w:sz w:val="22"/>
          <w:szCs w:val="22"/>
        </w:rPr>
        <w:t>trimestral</w:t>
      </w:r>
      <w:r>
        <w:rPr>
          <w:b w:val="0"/>
          <w:spacing w:val="10"/>
          <w:sz w:val="22"/>
          <w:szCs w:val="22"/>
        </w:rPr>
        <w:t xml:space="preserve"> y </w:t>
      </w:r>
      <w:r w:rsidRPr="00D15F9B">
        <w:rPr>
          <w:b w:val="0"/>
          <w:spacing w:val="10"/>
          <w:sz w:val="22"/>
          <w:szCs w:val="22"/>
        </w:rPr>
        <w:t xml:space="preserve">los resultados que se presentan contienen los indicadores estratégicos </w:t>
      </w:r>
      <w:r w:rsidR="00CE31A4">
        <w:rPr>
          <w:b w:val="0"/>
          <w:spacing w:val="10"/>
          <w:sz w:val="22"/>
          <w:szCs w:val="22"/>
        </w:rPr>
        <w:t xml:space="preserve">y tabulados </w:t>
      </w:r>
      <w:r w:rsidRPr="00D15F9B">
        <w:rPr>
          <w:b w:val="0"/>
          <w:spacing w:val="10"/>
          <w:sz w:val="22"/>
          <w:szCs w:val="22"/>
        </w:rPr>
        <w:t>de ediciones anteriores</w:t>
      </w:r>
      <w:r w:rsidR="00CE31A4">
        <w:rPr>
          <w:b w:val="0"/>
          <w:spacing w:val="10"/>
          <w:sz w:val="22"/>
          <w:szCs w:val="22"/>
        </w:rPr>
        <w:t xml:space="preserve"> de la ENOE</w:t>
      </w:r>
      <w:r w:rsidRPr="00D15F9B">
        <w:rPr>
          <w:b w:val="0"/>
          <w:spacing w:val="10"/>
          <w:sz w:val="22"/>
          <w:szCs w:val="22"/>
        </w:rPr>
        <w:t xml:space="preserve">, en algunos casos con niveles menores de precisión, dado que aún no se alcanzan los niveles de respuesta </w:t>
      </w:r>
      <w:r w:rsidR="00CE31A4">
        <w:rPr>
          <w:b w:val="0"/>
          <w:spacing w:val="10"/>
          <w:sz w:val="22"/>
          <w:szCs w:val="22"/>
        </w:rPr>
        <w:t>previos al inicio de la pandemia originada por la enfermedad del COVID-19</w:t>
      </w:r>
      <w:r w:rsidRPr="00D15F9B">
        <w:rPr>
          <w:b w:val="0"/>
          <w:spacing w:val="10"/>
          <w:sz w:val="22"/>
          <w:szCs w:val="22"/>
        </w:rPr>
        <w:t xml:space="preserve">. </w:t>
      </w:r>
    </w:p>
    <w:p w:rsidR="00806D35" w:rsidRDefault="00806D35" w:rsidP="009749DA">
      <w:pPr>
        <w:pStyle w:val="Subttulo"/>
        <w:ind w:left="-567" w:right="-518"/>
        <w:jc w:val="both"/>
        <w:rPr>
          <w:b w:val="0"/>
          <w:spacing w:val="10"/>
          <w:sz w:val="22"/>
          <w:szCs w:val="22"/>
        </w:rPr>
      </w:pPr>
    </w:p>
    <w:p w:rsidR="00806D35" w:rsidRDefault="00806D35" w:rsidP="009749DA">
      <w:pPr>
        <w:pStyle w:val="Subttulo"/>
        <w:jc w:val="both"/>
        <w:rPr>
          <w:b w:val="0"/>
          <w:spacing w:val="10"/>
          <w:sz w:val="22"/>
          <w:szCs w:val="22"/>
        </w:rPr>
      </w:pPr>
      <w:r>
        <w:rPr>
          <w:b w:val="0"/>
          <w:spacing w:val="10"/>
          <w:sz w:val="22"/>
          <w:szCs w:val="22"/>
        </w:rPr>
        <w:t>La</w:t>
      </w:r>
      <w:r w:rsidRPr="00DF3C61">
        <w:rPr>
          <w:b w:val="0"/>
          <w:spacing w:val="10"/>
          <w:sz w:val="22"/>
          <w:szCs w:val="22"/>
        </w:rPr>
        <w:t xml:space="preserve"> Encuesta Nacional de Ocupación y Empleo</w:t>
      </w:r>
      <w:r w:rsidR="00177695">
        <w:rPr>
          <w:b w:val="0"/>
          <w:spacing w:val="10"/>
          <w:sz w:val="22"/>
          <w:szCs w:val="22"/>
        </w:rPr>
        <w:t>.</w:t>
      </w:r>
      <w:r>
        <w:rPr>
          <w:b w:val="0"/>
          <w:spacing w:val="10"/>
          <w:sz w:val="22"/>
          <w:szCs w:val="22"/>
        </w:rPr>
        <w:t xml:space="preserve"> </w:t>
      </w:r>
      <w:r w:rsidRPr="00DF3C61">
        <w:rPr>
          <w:b w:val="0"/>
          <w:spacing w:val="10"/>
          <w:sz w:val="22"/>
          <w:szCs w:val="22"/>
        </w:rPr>
        <w:t xml:space="preserve">Nueva Edición </w:t>
      </w:r>
      <w:r w:rsidRPr="00DF3C61">
        <w:rPr>
          <w:b w:val="0"/>
          <w:sz w:val="22"/>
          <w:szCs w:val="22"/>
        </w:rPr>
        <w:t>(ENOE</w:t>
      </w:r>
      <w:r w:rsidRPr="00DF3C61">
        <w:rPr>
          <w:b w:val="0"/>
          <w:sz w:val="22"/>
          <w:szCs w:val="22"/>
          <w:vertAlign w:val="superscript"/>
        </w:rPr>
        <w:t>N</w:t>
      </w:r>
      <w:r w:rsidRPr="00DF3C61">
        <w:rPr>
          <w:b w:val="0"/>
          <w:sz w:val="22"/>
          <w:szCs w:val="22"/>
        </w:rPr>
        <w:t>)</w:t>
      </w:r>
      <w:r>
        <w:rPr>
          <w:b w:val="0"/>
          <w:sz w:val="22"/>
          <w:szCs w:val="22"/>
        </w:rPr>
        <w:t>,</w:t>
      </w:r>
      <w:r w:rsidRPr="00A039B6">
        <w:rPr>
          <w:b w:val="0"/>
          <w:sz w:val="22"/>
          <w:szCs w:val="22"/>
        </w:rPr>
        <w:t xml:space="preserve"> </w:t>
      </w:r>
      <w:r w:rsidRPr="00A039B6">
        <w:rPr>
          <w:b w:val="0"/>
          <w:spacing w:val="10"/>
          <w:sz w:val="22"/>
          <w:szCs w:val="22"/>
        </w:rPr>
        <w:t xml:space="preserve">mantiene el mismo diseño conceptual, estadístico y metodológico que la ENOE tradicional, </w:t>
      </w:r>
      <w:r>
        <w:rPr>
          <w:b w:val="0"/>
          <w:spacing w:val="10"/>
          <w:sz w:val="22"/>
          <w:szCs w:val="22"/>
        </w:rPr>
        <w:t xml:space="preserve">pero </w:t>
      </w:r>
      <w:r w:rsidRPr="00A039B6">
        <w:rPr>
          <w:b w:val="0"/>
          <w:spacing w:val="10"/>
          <w:sz w:val="22"/>
          <w:szCs w:val="22"/>
        </w:rPr>
        <w:t xml:space="preserve">su muestra se conformó de </w:t>
      </w:r>
      <w:r w:rsidRPr="00B25B60">
        <w:rPr>
          <w:b w:val="0"/>
          <w:spacing w:val="10"/>
          <w:sz w:val="22"/>
          <w:szCs w:val="22"/>
        </w:rPr>
        <w:t xml:space="preserve">un </w:t>
      </w:r>
      <w:r w:rsidR="00B25B60" w:rsidRPr="00B25B60">
        <w:rPr>
          <w:b w:val="0"/>
          <w:spacing w:val="10"/>
          <w:sz w:val="22"/>
          <w:szCs w:val="22"/>
        </w:rPr>
        <w:t>79</w:t>
      </w:r>
      <w:r w:rsidRPr="00B25B60">
        <w:rPr>
          <w:b w:val="0"/>
          <w:spacing w:val="10"/>
          <w:sz w:val="22"/>
          <w:szCs w:val="22"/>
        </w:rPr>
        <w:t xml:space="preserve">% entrevistas cara a cara y un </w:t>
      </w:r>
      <w:r w:rsidR="00B25B60" w:rsidRPr="00B25B60">
        <w:rPr>
          <w:b w:val="0"/>
          <w:spacing w:val="10"/>
          <w:sz w:val="22"/>
          <w:szCs w:val="22"/>
        </w:rPr>
        <w:t>21</w:t>
      </w:r>
      <w:r w:rsidRPr="00B25B60">
        <w:rPr>
          <w:b w:val="0"/>
          <w:spacing w:val="10"/>
          <w:sz w:val="22"/>
          <w:szCs w:val="22"/>
        </w:rPr>
        <w:t>% de entrevistas telefónicas efectivas.</w:t>
      </w:r>
    </w:p>
    <w:p w:rsidR="00806D35" w:rsidRPr="00484460" w:rsidRDefault="00806D35" w:rsidP="009749DA">
      <w:pPr>
        <w:pStyle w:val="Subttulo"/>
        <w:jc w:val="both"/>
        <w:rPr>
          <w:b w:val="0"/>
          <w:spacing w:val="10"/>
          <w:sz w:val="22"/>
          <w:szCs w:val="22"/>
        </w:rPr>
      </w:pPr>
    </w:p>
    <w:p w:rsidR="00806D35" w:rsidRPr="00484460" w:rsidRDefault="00806D35" w:rsidP="009749DA">
      <w:pPr>
        <w:pStyle w:val="Subttulo"/>
        <w:ind w:right="49"/>
        <w:jc w:val="both"/>
        <w:rPr>
          <w:b w:val="0"/>
          <w:spacing w:val="10"/>
          <w:sz w:val="22"/>
          <w:szCs w:val="22"/>
        </w:rPr>
      </w:pPr>
      <w:r w:rsidRPr="00484460">
        <w:rPr>
          <w:b w:val="0"/>
          <w:spacing w:val="10"/>
          <w:sz w:val="22"/>
          <w:szCs w:val="22"/>
        </w:rPr>
        <w:t xml:space="preserve">La combinación </w:t>
      </w:r>
      <w:r>
        <w:rPr>
          <w:b w:val="0"/>
          <w:spacing w:val="10"/>
          <w:sz w:val="22"/>
          <w:szCs w:val="22"/>
        </w:rPr>
        <w:t xml:space="preserve">de ambas estrategias de levantamiento es válida en tanto que </w:t>
      </w:r>
      <w:r w:rsidRPr="00484460">
        <w:rPr>
          <w:b w:val="0"/>
          <w:spacing w:val="10"/>
          <w:sz w:val="22"/>
          <w:szCs w:val="22"/>
        </w:rPr>
        <w:t>mantienen el mismo diseño conceptual, estadístico y</w:t>
      </w:r>
      <w:r>
        <w:rPr>
          <w:b w:val="0"/>
          <w:spacing w:val="10"/>
          <w:sz w:val="22"/>
          <w:szCs w:val="22"/>
        </w:rPr>
        <w:t xml:space="preserve"> metodológico, además de que derivado del análisis de los resultados de los indicadores estratégicos considerando la muestra de entrevistas cara a cara versus la muestra de entrevistas cara a cara </w:t>
      </w:r>
      <w:r>
        <w:rPr>
          <w:b w:val="0"/>
          <w:spacing w:val="10"/>
          <w:sz w:val="22"/>
          <w:szCs w:val="22"/>
        </w:rPr>
        <w:lastRenderedPageBreak/>
        <w:t xml:space="preserve">más las entrevistas telefónicas, se observa que no </w:t>
      </w:r>
      <w:r w:rsidRPr="00484460">
        <w:rPr>
          <w:b w:val="0"/>
          <w:spacing w:val="10"/>
          <w:sz w:val="22"/>
          <w:szCs w:val="22"/>
        </w:rPr>
        <w:t>existen cambios estadístic</w:t>
      </w:r>
      <w:r>
        <w:rPr>
          <w:b w:val="0"/>
          <w:spacing w:val="10"/>
          <w:sz w:val="22"/>
          <w:szCs w:val="22"/>
        </w:rPr>
        <w:t xml:space="preserve">amente significativos </w:t>
      </w:r>
      <w:r w:rsidRPr="00484460">
        <w:rPr>
          <w:b w:val="0"/>
          <w:spacing w:val="10"/>
          <w:sz w:val="22"/>
          <w:szCs w:val="22"/>
        </w:rPr>
        <w:t>en los indicadores estratégicos de ocupación y empleo</w:t>
      </w:r>
      <w:r>
        <w:rPr>
          <w:b w:val="0"/>
          <w:spacing w:val="10"/>
          <w:sz w:val="22"/>
          <w:szCs w:val="22"/>
        </w:rPr>
        <w:t xml:space="preserve"> y mejoran las precisiones estadísticas de los resultados.</w:t>
      </w:r>
    </w:p>
    <w:p w:rsidR="00792F92" w:rsidRDefault="00792F92" w:rsidP="009749DA">
      <w:pPr>
        <w:pStyle w:val="Subttulo"/>
        <w:jc w:val="both"/>
        <w:rPr>
          <w:b w:val="0"/>
          <w:spacing w:val="10"/>
          <w:sz w:val="22"/>
          <w:szCs w:val="22"/>
        </w:rPr>
      </w:pPr>
    </w:p>
    <w:p w:rsidR="00806D35" w:rsidRDefault="00806D35" w:rsidP="009749DA">
      <w:pPr>
        <w:pStyle w:val="Subttulo"/>
        <w:jc w:val="both"/>
        <w:rPr>
          <w:b w:val="0"/>
          <w:spacing w:val="10"/>
          <w:sz w:val="22"/>
          <w:szCs w:val="22"/>
        </w:rPr>
      </w:pPr>
      <w:r w:rsidRPr="00484460">
        <w:rPr>
          <w:b w:val="0"/>
          <w:spacing w:val="10"/>
          <w:sz w:val="22"/>
          <w:szCs w:val="22"/>
        </w:rPr>
        <w:t>La ENOE</w:t>
      </w:r>
      <w:r>
        <w:rPr>
          <w:b w:val="0"/>
          <w:spacing w:val="10"/>
          <w:sz w:val="22"/>
          <w:szCs w:val="22"/>
          <w:vertAlign w:val="superscript"/>
        </w:rPr>
        <w:t>N</w:t>
      </w:r>
      <w:r>
        <w:rPr>
          <w:b w:val="0"/>
          <w:spacing w:val="10"/>
          <w:sz w:val="22"/>
          <w:szCs w:val="22"/>
        </w:rPr>
        <w:t xml:space="preserve"> responde a la necesidad de retornar de manera paulatina el levantamiento regular de la Encuesta Nacional de Ocupación y Empleo (ENOE) y dar continuidad a la generación de la</w:t>
      </w:r>
      <w:r w:rsidRPr="00484460">
        <w:rPr>
          <w:b w:val="0"/>
          <w:spacing w:val="10"/>
          <w:sz w:val="22"/>
          <w:szCs w:val="22"/>
        </w:rPr>
        <w:t xml:space="preserve"> información </w:t>
      </w:r>
      <w:r>
        <w:rPr>
          <w:b w:val="0"/>
          <w:spacing w:val="10"/>
          <w:sz w:val="22"/>
          <w:szCs w:val="22"/>
        </w:rPr>
        <w:t xml:space="preserve">sobre las características y condiciones de la </w:t>
      </w:r>
      <w:r w:rsidRPr="00484460">
        <w:rPr>
          <w:b w:val="0"/>
          <w:spacing w:val="10"/>
          <w:sz w:val="22"/>
          <w:szCs w:val="22"/>
        </w:rPr>
        <w:t xml:space="preserve">población </w:t>
      </w:r>
      <w:r>
        <w:rPr>
          <w:b w:val="0"/>
          <w:spacing w:val="10"/>
          <w:sz w:val="22"/>
          <w:szCs w:val="22"/>
        </w:rPr>
        <w:t xml:space="preserve">vinculada </w:t>
      </w:r>
      <w:r w:rsidRPr="00484460">
        <w:rPr>
          <w:b w:val="0"/>
          <w:spacing w:val="10"/>
          <w:sz w:val="22"/>
          <w:szCs w:val="22"/>
        </w:rPr>
        <w:t>al mercado laboral</w:t>
      </w:r>
      <w:r>
        <w:rPr>
          <w:b w:val="0"/>
          <w:spacing w:val="10"/>
          <w:sz w:val="22"/>
          <w:szCs w:val="22"/>
        </w:rPr>
        <w:t>.</w:t>
      </w:r>
    </w:p>
    <w:p w:rsidR="00806D35" w:rsidRDefault="00806D35" w:rsidP="009749DA">
      <w:pPr>
        <w:pStyle w:val="Subttulo"/>
        <w:jc w:val="both"/>
        <w:rPr>
          <w:b w:val="0"/>
          <w:spacing w:val="10"/>
          <w:sz w:val="22"/>
          <w:szCs w:val="22"/>
        </w:rPr>
      </w:pPr>
    </w:p>
    <w:p w:rsidR="00806D35" w:rsidRPr="00484460" w:rsidRDefault="00806D35" w:rsidP="009749DA">
      <w:pPr>
        <w:pStyle w:val="Subttulo"/>
        <w:jc w:val="both"/>
        <w:rPr>
          <w:b w:val="0"/>
          <w:spacing w:val="10"/>
          <w:sz w:val="22"/>
          <w:szCs w:val="22"/>
        </w:rPr>
      </w:pPr>
      <w:r w:rsidRPr="00484460">
        <w:rPr>
          <w:b w:val="0"/>
          <w:spacing w:val="10"/>
          <w:sz w:val="22"/>
          <w:szCs w:val="22"/>
        </w:rPr>
        <w:t>En cuanto al diseño estadístico</w:t>
      </w:r>
      <w:r>
        <w:rPr>
          <w:b w:val="0"/>
          <w:spacing w:val="10"/>
          <w:sz w:val="22"/>
          <w:szCs w:val="22"/>
        </w:rPr>
        <w:t>, como se señaló anteriormente,</w:t>
      </w:r>
      <w:r w:rsidRPr="00484460">
        <w:rPr>
          <w:b w:val="0"/>
          <w:spacing w:val="10"/>
          <w:sz w:val="22"/>
          <w:szCs w:val="22"/>
        </w:rPr>
        <w:t xml:space="preserve"> la ENOE</w:t>
      </w:r>
      <w:r>
        <w:rPr>
          <w:b w:val="0"/>
          <w:spacing w:val="10"/>
          <w:sz w:val="22"/>
          <w:szCs w:val="22"/>
          <w:vertAlign w:val="superscript"/>
        </w:rPr>
        <w:t>N</w:t>
      </w:r>
      <w:r>
        <w:rPr>
          <w:b w:val="0"/>
          <w:spacing w:val="10"/>
          <w:sz w:val="22"/>
          <w:szCs w:val="22"/>
        </w:rPr>
        <w:t xml:space="preserve"> </w:t>
      </w:r>
      <w:r w:rsidRPr="00484460">
        <w:rPr>
          <w:b w:val="0"/>
          <w:spacing w:val="10"/>
          <w:sz w:val="22"/>
          <w:szCs w:val="22"/>
        </w:rPr>
        <w:t xml:space="preserve">sigue el </w:t>
      </w:r>
      <w:r>
        <w:rPr>
          <w:b w:val="0"/>
          <w:spacing w:val="10"/>
          <w:sz w:val="22"/>
          <w:szCs w:val="22"/>
        </w:rPr>
        <w:t xml:space="preserve">mismo </w:t>
      </w:r>
      <w:r w:rsidRPr="00484460">
        <w:rPr>
          <w:b w:val="0"/>
          <w:spacing w:val="10"/>
          <w:sz w:val="22"/>
          <w:szCs w:val="22"/>
        </w:rPr>
        <w:t xml:space="preserve">diseño muestral de </w:t>
      </w:r>
      <w:r>
        <w:rPr>
          <w:b w:val="0"/>
          <w:spacing w:val="10"/>
          <w:sz w:val="22"/>
          <w:szCs w:val="22"/>
        </w:rPr>
        <w:t xml:space="preserve">la </w:t>
      </w:r>
      <w:r w:rsidRPr="00484460">
        <w:rPr>
          <w:b w:val="0"/>
          <w:spacing w:val="10"/>
          <w:sz w:val="22"/>
          <w:szCs w:val="22"/>
        </w:rPr>
        <w:t xml:space="preserve">ENOE, </w:t>
      </w:r>
      <w:r>
        <w:rPr>
          <w:b w:val="0"/>
          <w:spacing w:val="10"/>
          <w:sz w:val="22"/>
          <w:szCs w:val="22"/>
        </w:rPr>
        <w:t xml:space="preserve">al tomarse </w:t>
      </w:r>
      <w:r w:rsidRPr="00484460">
        <w:rPr>
          <w:b w:val="0"/>
          <w:spacing w:val="10"/>
          <w:sz w:val="22"/>
          <w:szCs w:val="22"/>
        </w:rPr>
        <w:t xml:space="preserve">la muestra </w:t>
      </w:r>
      <w:r>
        <w:rPr>
          <w:b w:val="0"/>
          <w:spacing w:val="10"/>
          <w:sz w:val="22"/>
          <w:szCs w:val="22"/>
        </w:rPr>
        <w:t>correspondiente al</w:t>
      </w:r>
      <w:r w:rsidRPr="00484460">
        <w:rPr>
          <w:b w:val="0"/>
          <w:spacing w:val="10"/>
          <w:sz w:val="22"/>
          <w:szCs w:val="22"/>
        </w:rPr>
        <w:t xml:space="preserve"> </w:t>
      </w:r>
      <w:r w:rsidR="00177695">
        <w:rPr>
          <w:b w:val="0"/>
          <w:spacing w:val="10"/>
          <w:sz w:val="22"/>
          <w:szCs w:val="22"/>
        </w:rPr>
        <w:t>tercer trimestre</w:t>
      </w:r>
      <w:r>
        <w:rPr>
          <w:b w:val="0"/>
          <w:spacing w:val="10"/>
          <w:sz w:val="22"/>
          <w:szCs w:val="22"/>
        </w:rPr>
        <w:t xml:space="preserve"> </w:t>
      </w:r>
      <w:r w:rsidRPr="00484460">
        <w:rPr>
          <w:b w:val="0"/>
          <w:spacing w:val="10"/>
          <w:sz w:val="22"/>
          <w:szCs w:val="22"/>
        </w:rPr>
        <w:t>de 2020</w:t>
      </w:r>
      <w:r>
        <w:rPr>
          <w:b w:val="0"/>
          <w:spacing w:val="10"/>
          <w:sz w:val="22"/>
          <w:szCs w:val="22"/>
        </w:rPr>
        <w:t xml:space="preserve"> para las entrevistas cara a cara y la muestra de viviendas de entrevistas telefónicas de la muestra del primer trimestre de 2020</w:t>
      </w:r>
      <w:r w:rsidRPr="00484460">
        <w:rPr>
          <w:b w:val="0"/>
          <w:spacing w:val="10"/>
          <w:sz w:val="22"/>
          <w:szCs w:val="22"/>
        </w:rPr>
        <w:t>.</w:t>
      </w:r>
      <w:r>
        <w:rPr>
          <w:b w:val="0"/>
          <w:spacing w:val="10"/>
          <w:sz w:val="22"/>
          <w:szCs w:val="22"/>
        </w:rPr>
        <w:t xml:space="preserve"> En</w:t>
      </w:r>
      <w:r w:rsidRPr="00484460">
        <w:rPr>
          <w:b w:val="0"/>
          <w:spacing w:val="10"/>
          <w:sz w:val="22"/>
          <w:szCs w:val="22"/>
        </w:rPr>
        <w:t xml:space="preserve"> </w:t>
      </w:r>
      <w:r w:rsidR="0095099D">
        <w:rPr>
          <w:b w:val="0"/>
          <w:spacing w:val="10"/>
          <w:sz w:val="22"/>
          <w:szCs w:val="22"/>
        </w:rPr>
        <w:t>este</w:t>
      </w:r>
      <w:r w:rsidR="00177695">
        <w:rPr>
          <w:b w:val="0"/>
          <w:spacing w:val="10"/>
          <w:sz w:val="22"/>
          <w:szCs w:val="22"/>
        </w:rPr>
        <w:t xml:space="preserve"> trimestre</w:t>
      </w:r>
      <w:r w:rsidRPr="00484460">
        <w:rPr>
          <w:b w:val="0"/>
          <w:spacing w:val="10"/>
          <w:sz w:val="22"/>
          <w:szCs w:val="22"/>
        </w:rPr>
        <w:t>, la E</w:t>
      </w:r>
      <w:r>
        <w:rPr>
          <w:b w:val="0"/>
          <w:spacing w:val="10"/>
          <w:sz w:val="22"/>
          <w:szCs w:val="22"/>
        </w:rPr>
        <w:t>N</w:t>
      </w:r>
      <w:r w:rsidRPr="00484460">
        <w:rPr>
          <w:b w:val="0"/>
          <w:spacing w:val="10"/>
          <w:sz w:val="22"/>
          <w:szCs w:val="22"/>
        </w:rPr>
        <w:t>OE</w:t>
      </w:r>
      <w:r>
        <w:rPr>
          <w:b w:val="0"/>
          <w:spacing w:val="10"/>
          <w:sz w:val="22"/>
          <w:szCs w:val="22"/>
          <w:vertAlign w:val="superscript"/>
        </w:rPr>
        <w:t>N</w:t>
      </w:r>
      <w:r w:rsidRPr="00484460">
        <w:rPr>
          <w:b w:val="0"/>
          <w:spacing w:val="10"/>
          <w:sz w:val="22"/>
          <w:szCs w:val="22"/>
        </w:rPr>
        <w:t xml:space="preserve"> </w:t>
      </w:r>
      <w:r>
        <w:rPr>
          <w:b w:val="0"/>
          <w:spacing w:val="10"/>
          <w:sz w:val="22"/>
          <w:szCs w:val="22"/>
        </w:rPr>
        <w:t>estimó los ponderadores de la encuesta igual que se realizaba en la ENOE</w:t>
      </w:r>
      <w:r w:rsidR="0095099D">
        <w:rPr>
          <w:b w:val="0"/>
          <w:spacing w:val="10"/>
          <w:sz w:val="22"/>
          <w:szCs w:val="22"/>
        </w:rPr>
        <w:t>.</w:t>
      </w:r>
    </w:p>
    <w:p w:rsidR="00806D35" w:rsidRDefault="00806D35" w:rsidP="009749DA">
      <w:pPr>
        <w:pStyle w:val="Prrafodelista"/>
        <w:spacing w:after="0" w:line="240" w:lineRule="auto"/>
        <w:ind w:left="0" w:right="49"/>
        <w:rPr>
          <w:rFonts w:ascii="Arial" w:eastAsia="Times New Roman" w:hAnsi="Arial" w:cs="Arial"/>
          <w:b/>
          <w:bCs/>
          <w:spacing w:val="10"/>
          <w:lang w:val="es-ES_tradnl" w:eastAsia="es-ES"/>
        </w:rPr>
      </w:pPr>
    </w:p>
    <w:p w:rsidR="00252EDE" w:rsidRPr="003E6E0C" w:rsidRDefault="00252EDE"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conceptual</w:t>
      </w:r>
    </w:p>
    <w:p w:rsidR="00252EDE" w:rsidRPr="006E2E20" w:rsidRDefault="00252EDE" w:rsidP="009749DA">
      <w:pPr>
        <w:spacing w:after="0" w:line="240" w:lineRule="auto"/>
        <w:ind w:right="49"/>
        <w:jc w:val="both"/>
        <w:rPr>
          <w:rFonts w:ascii="Arial" w:hAnsi="Arial" w:cs="Arial"/>
        </w:rPr>
      </w:pPr>
    </w:p>
    <w:p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El diseño conceptual de la </w:t>
      </w:r>
      <w:r w:rsidR="00E27274">
        <w:rPr>
          <w:rFonts w:ascii="Arial" w:eastAsia="Times New Roman" w:hAnsi="Arial" w:cs="Arial"/>
          <w:bCs/>
          <w:spacing w:val="10"/>
          <w:lang w:val="es-ES_tradnl" w:eastAsia="es-ES"/>
        </w:rPr>
        <w:t xml:space="preserve">Encuesta </w:t>
      </w:r>
      <w:r w:rsidR="00821589">
        <w:rPr>
          <w:rFonts w:ascii="Arial" w:eastAsia="Times New Roman" w:hAnsi="Arial" w:cs="Arial"/>
          <w:bCs/>
          <w:spacing w:val="10"/>
          <w:lang w:val="es-ES_tradnl" w:eastAsia="es-ES"/>
        </w:rPr>
        <w:t xml:space="preserve">Nacional </w:t>
      </w:r>
      <w:r w:rsidR="00E27274">
        <w:rPr>
          <w:rFonts w:ascii="Arial" w:eastAsia="Times New Roman" w:hAnsi="Arial" w:cs="Arial"/>
          <w:bCs/>
          <w:spacing w:val="10"/>
          <w:lang w:val="es-ES_tradnl" w:eastAsia="es-ES"/>
        </w:rPr>
        <w:t>de Ocupación y Empleo</w:t>
      </w:r>
      <w:r w:rsidR="0099487C">
        <w:rPr>
          <w:rFonts w:ascii="Arial" w:eastAsia="Times New Roman" w:hAnsi="Arial" w:cs="Arial"/>
          <w:bCs/>
          <w:spacing w:val="10"/>
          <w:lang w:val="es-ES_tradnl" w:eastAsia="es-ES"/>
        </w:rPr>
        <w:t xml:space="preserve">. </w:t>
      </w:r>
      <w:r w:rsidR="002B3CA4">
        <w:rPr>
          <w:rFonts w:ascii="Arial" w:eastAsia="Times New Roman" w:hAnsi="Arial" w:cs="Arial"/>
          <w:bCs/>
          <w:spacing w:val="10"/>
          <w:lang w:val="es-ES_tradnl" w:eastAsia="es-ES"/>
        </w:rPr>
        <w:t xml:space="preserve">Nueva Edición </w:t>
      </w:r>
      <w:r w:rsidR="00E27274">
        <w:rPr>
          <w:rFonts w:ascii="Arial" w:eastAsia="Times New Roman" w:hAnsi="Arial" w:cs="Arial"/>
          <w:bCs/>
          <w:spacing w:val="10"/>
          <w:lang w:val="es-ES_tradnl" w:eastAsia="es-ES"/>
        </w:rPr>
        <w:t>(E</w:t>
      </w:r>
      <w:r w:rsidR="00821589">
        <w:rPr>
          <w:rFonts w:ascii="Arial" w:eastAsia="Times New Roman" w:hAnsi="Arial" w:cs="Arial"/>
          <w:bCs/>
          <w:spacing w:val="10"/>
          <w:lang w:val="es-ES_tradnl" w:eastAsia="es-ES"/>
        </w:rPr>
        <w:t>N</w:t>
      </w:r>
      <w:r w:rsidR="00E27274">
        <w:rPr>
          <w:rFonts w:ascii="Arial" w:eastAsia="Times New Roman" w:hAnsi="Arial" w:cs="Arial"/>
          <w:bCs/>
          <w:spacing w:val="10"/>
          <w:lang w:val="es-ES_tradnl" w:eastAsia="es-ES"/>
        </w:rPr>
        <w:t>OE</w:t>
      </w:r>
      <w:r w:rsidR="00F66482">
        <w:rPr>
          <w:rFonts w:ascii="Arial" w:eastAsia="Times New Roman" w:hAnsi="Arial" w:cs="Arial"/>
          <w:bCs/>
          <w:spacing w:val="10"/>
          <w:vertAlign w:val="superscript"/>
          <w:lang w:val="es-ES_tradnl" w:eastAsia="es-ES"/>
        </w:rPr>
        <w:t>N</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821589">
        <w:rPr>
          <w:rFonts w:ascii="Arial" w:eastAsia="Times New Roman" w:hAnsi="Arial" w:cs="Arial"/>
          <w:bCs/>
          <w:spacing w:val="10"/>
          <w:lang w:val="es-ES_tradnl" w:eastAsia="es-ES"/>
        </w:rPr>
        <w:t>mantiene el mismo</w:t>
      </w:r>
      <w:r w:rsidRPr="003E6E0C">
        <w:rPr>
          <w:rFonts w:ascii="Arial" w:eastAsia="Times New Roman" w:hAnsi="Arial" w:cs="Arial"/>
          <w:bCs/>
          <w:spacing w:val="10"/>
          <w:lang w:val="es-ES_tradnl" w:eastAsia="es-ES"/>
        </w:rPr>
        <w:t xml:space="preserve"> marco conceptual de la Encuesta Nacion</w:t>
      </w:r>
      <w:r w:rsidR="00821589">
        <w:rPr>
          <w:rFonts w:ascii="Arial" w:eastAsia="Times New Roman" w:hAnsi="Arial" w:cs="Arial"/>
          <w:bCs/>
          <w:spacing w:val="10"/>
          <w:lang w:val="es-ES_tradnl" w:eastAsia="es-ES"/>
        </w:rPr>
        <w:t>al de Ocupación y Empleo (ENOE), el cual es</w:t>
      </w:r>
      <w:r w:rsidRPr="003E6E0C">
        <w:rPr>
          <w:rFonts w:ascii="Arial" w:eastAsia="Times New Roman" w:hAnsi="Arial" w:cs="Arial"/>
          <w:bCs/>
          <w:spacing w:val="10"/>
          <w:lang w:val="es-ES_tradnl" w:eastAsia="es-ES"/>
        </w:rPr>
        <w:t xml:space="preserve"> acorde con las recomendaciones internacionales de la Organización Internacional del Trabajo (OIT) y los lineamientos de la Organización para la Cooperación y el Desarrollo Económicos (OCDE)</w:t>
      </w:r>
      <w:r w:rsidR="004E678C">
        <w:rPr>
          <w:rFonts w:ascii="Arial" w:eastAsia="Times New Roman" w:hAnsi="Arial" w:cs="Arial"/>
          <w:bCs/>
          <w:spacing w:val="10"/>
          <w:lang w:val="es-ES_tradnl" w:eastAsia="es-ES"/>
        </w:rPr>
        <w:t xml:space="preserve">, inscritas en </w:t>
      </w:r>
      <w:r w:rsidRPr="003E6E0C">
        <w:rPr>
          <w:rFonts w:ascii="Arial" w:eastAsia="Times New Roman" w:hAnsi="Arial" w:cs="Arial"/>
          <w:bCs/>
          <w:spacing w:val="10"/>
          <w:lang w:val="es-ES_tradnl" w:eastAsia="es-ES"/>
        </w:rPr>
        <w:t>las resoluciones en materia de estadísticas del trabajo de la 13</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15</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16</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y 18</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Conferencia Internacional de Estadísticos del Trabajo (CIET).</w:t>
      </w:r>
      <w:r w:rsidR="00472882">
        <w:rPr>
          <w:rFonts w:ascii="Arial" w:eastAsia="Times New Roman" w:hAnsi="Arial" w:cs="Arial"/>
          <w:bCs/>
          <w:spacing w:val="10"/>
          <w:lang w:val="es-ES_tradnl" w:eastAsia="es-ES"/>
        </w:rPr>
        <w:t xml:space="preserve"> </w:t>
      </w:r>
    </w:p>
    <w:p w:rsidR="00252EDE" w:rsidRPr="006E2E20" w:rsidRDefault="00252EDE" w:rsidP="009749DA">
      <w:pPr>
        <w:spacing w:after="0" w:line="240" w:lineRule="auto"/>
        <w:ind w:right="49"/>
        <w:jc w:val="both"/>
        <w:rPr>
          <w:rFonts w:ascii="Arial" w:hAnsi="Arial" w:cs="Arial"/>
        </w:rPr>
      </w:pPr>
    </w:p>
    <w:p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3" w:name="_Toc40113478"/>
      <w:r w:rsidRPr="003E6E0C">
        <w:rPr>
          <w:rFonts w:ascii="Arial" w:eastAsia="Times New Roman" w:hAnsi="Arial" w:cs="Arial"/>
          <w:b/>
          <w:bCs/>
          <w:spacing w:val="10"/>
          <w:lang w:val="es-ES_tradnl" w:eastAsia="es-ES"/>
        </w:rPr>
        <w:t>Objetivo general</w:t>
      </w:r>
      <w:bookmarkEnd w:id="3"/>
    </w:p>
    <w:p w:rsidR="00343375" w:rsidRDefault="00343375" w:rsidP="009749DA">
      <w:pPr>
        <w:spacing w:after="0" w:line="240" w:lineRule="auto"/>
        <w:ind w:right="49"/>
        <w:jc w:val="both"/>
        <w:rPr>
          <w:rFonts w:ascii="Arial" w:eastAsia="Times New Roman" w:hAnsi="Arial" w:cs="Arial"/>
          <w:bCs/>
          <w:spacing w:val="10"/>
          <w:lang w:val="es-ES_tradnl" w:eastAsia="es-ES"/>
        </w:rPr>
      </w:pPr>
    </w:p>
    <w:p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Obtener información estadística sobre las características ocupacionales de la población de 15 </w:t>
      </w:r>
      <w:r w:rsidR="00E27274">
        <w:rPr>
          <w:rFonts w:ascii="Arial" w:eastAsia="Times New Roman" w:hAnsi="Arial" w:cs="Arial"/>
          <w:bCs/>
          <w:spacing w:val="10"/>
          <w:lang w:val="es-ES_tradnl" w:eastAsia="es-ES"/>
        </w:rPr>
        <w:t xml:space="preserve">y más </w:t>
      </w:r>
      <w:r w:rsidRPr="003E6E0C">
        <w:rPr>
          <w:rFonts w:ascii="Arial" w:eastAsia="Times New Roman" w:hAnsi="Arial" w:cs="Arial"/>
          <w:bCs/>
          <w:spacing w:val="10"/>
          <w:lang w:val="es-ES_tradnl" w:eastAsia="es-ES"/>
        </w:rPr>
        <w:t>años a nivel nacional, así como de variables demográficas y económicas para el análisis de la fuerza de trabajo, la toma de decisiones, el diseño y seguimiento de las políticas laborales.</w:t>
      </w:r>
    </w:p>
    <w:p w:rsidR="00252EDE" w:rsidRDefault="00252EDE" w:rsidP="009749DA">
      <w:pPr>
        <w:spacing w:after="0" w:line="240" w:lineRule="auto"/>
        <w:ind w:right="49"/>
        <w:jc w:val="both"/>
        <w:rPr>
          <w:rFonts w:ascii="Arial" w:hAnsi="Arial" w:cs="Arial"/>
          <w:b/>
        </w:rPr>
      </w:pPr>
    </w:p>
    <w:p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4" w:name="_Toc40113480"/>
      <w:r w:rsidRPr="003E6E0C">
        <w:rPr>
          <w:rFonts w:ascii="Arial" w:eastAsia="Times New Roman" w:hAnsi="Arial" w:cs="Arial"/>
          <w:b/>
          <w:bCs/>
          <w:spacing w:val="10"/>
          <w:lang w:val="es-ES_tradnl" w:eastAsia="es-ES"/>
        </w:rPr>
        <w:t>Instrumentos de captación</w:t>
      </w:r>
    </w:p>
    <w:p w:rsidR="00343375" w:rsidRDefault="00343375" w:rsidP="009749DA">
      <w:pPr>
        <w:spacing w:after="0" w:line="240" w:lineRule="auto"/>
        <w:ind w:right="49"/>
        <w:jc w:val="both"/>
        <w:rPr>
          <w:rFonts w:ascii="Arial" w:eastAsia="Times New Roman" w:hAnsi="Arial" w:cs="Arial"/>
          <w:bCs/>
          <w:spacing w:val="10"/>
          <w:lang w:val="es-ES_tradnl" w:eastAsia="es-ES"/>
        </w:rPr>
      </w:pPr>
    </w:p>
    <w:p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Se aplicaron los mismos cuestionarios </w:t>
      </w:r>
      <w:r w:rsidR="00E27274">
        <w:rPr>
          <w:rFonts w:ascii="Arial" w:eastAsia="Times New Roman" w:hAnsi="Arial" w:cs="Arial"/>
          <w:bCs/>
          <w:spacing w:val="10"/>
          <w:lang w:val="es-ES_tradnl" w:eastAsia="es-ES"/>
        </w:rPr>
        <w:t>S</w:t>
      </w:r>
      <w:r w:rsidR="00E27274" w:rsidRPr="003E6E0C">
        <w:rPr>
          <w:rFonts w:ascii="Arial" w:eastAsia="Times New Roman" w:hAnsi="Arial" w:cs="Arial"/>
          <w:bCs/>
          <w:spacing w:val="10"/>
          <w:lang w:val="es-ES_tradnl" w:eastAsia="es-ES"/>
        </w:rPr>
        <w:t xml:space="preserve">ociodemográfico </w:t>
      </w:r>
      <w:r w:rsidR="00E27274">
        <w:rPr>
          <w:rFonts w:ascii="Arial" w:eastAsia="Times New Roman" w:hAnsi="Arial" w:cs="Arial"/>
          <w:bCs/>
          <w:spacing w:val="10"/>
          <w:lang w:val="es-ES_tradnl" w:eastAsia="es-ES"/>
        </w:rPr>
        <w:t xml:space="preserve">(CS) </w:t>
      </w:r>
      <w:r w:rsidRPr="003E6E0C">
        <w:rPr>
          <w:rFonts w:ascii="Arial" w:eastAsia="Times New Roman" w:hAnsi="Arial" w:cs="Arial"/>
          <w:bCs/>
          <w:spacing w:val="10"/>
          <w:lang w:val="es-ES_tradnl" w:eastAsia="es-ES"/>
        </w:rPr>
        <w:t xml:space="preserve">y de </w:t>
      </w:r>
      <w:r w:rsidR="00E27274">
        <w:rPr>
          <w:rFonts w:ascii="Arial" w:eastAsia="Times New Roman" w:hAnsi="Arial" w:cs="Arial"/>
          <w:bCs/>
          <w:spacing w:val="10"/>
          <w:lang w:val="es-ES_tradnl" w:eastAsia="es-ES"/>
        </w:rPr>
        <w:t>O</w:t>
      </w:r>
      <w:r w:rsidR="00E27274" w:rsidRPr="003E6E0C">
        <w:rPr>
          <w:rFonts w:ascii="Arial" w:eastAsia="Times New Roman" w:hAnsi="Arial" w:cs="Arial"/>
          <w:bCs/>
          <w:spacing w:val="10"/>
          <w:lang w:val="es-ES_tradnl" w:eastAsia="es-ES"/>
        </w:rPr>
        <w:t xml:space="preserve">cupación </w:t>
      </w:r>
      <w:r w:rsidRPr="003E6E0C">
        <w:rPr>
          <w:rFonts w:ascii="Arial" w:eastAsia="Times New Roman" w:hAnsi="Arial" w:cs="Arial"/>
          <w:bCs/>
          <w:spacing w:val="10"/>
          <w:lang w:val="es-ES_tradnl" w:eastAsia="es-ES"/>
        </w:rPr>
        <w:t xml:space="preserve">y </w:t>
      </w:r>
      <w:r w:rsidR="00E27274">
        <w:rPr>
          <w:rFonts w:ascii="Arial" w:eastAsia="Times New Roman" w:hAnsi="Arial" w:cs="Arial"/>
          <w:bCs/>
          <w:spacing w:val="10"/>
          <w:lang w:val="es-ES_tradnl" w:eastAsia="es-ES"/>
        </w:rPr>
        <w:t>E</w:t>
      </w:r>
      <w:r w:rsidR="00E27274" w:rsidRPr="003E6E0C">
        <w:rPr>
          <w:rFonts w:ascii="Arial" w:eastAsia="Times New Roman" w:hAnsi="Arial" w:cs="Arial"/>
          <w:bCs/>
          <w:spacing w:val="10"/>
          <w:lang w:val="es-ES_tradnl" w:eastAsia="es-ES"/>
        </w:rPr>
        <w:t>mpleo</w:t>
      </w:r>
      <w:r w:rsidR="00E27274">
        <w:rPr>
          <w:rFonts w:ascii="Arial" w:eastAsia="Times New Roman" w:hAnsi="Arial" w:cs="Arial"/>
          <w:bCs/>
          <w:spacing w:val="10"/>
          <w:lang w:val="es-ES_tradnl" w:eastAsia="es-ES"/>
        </w:rPr>
        <w:t xml:space="preserve"> (COE)</w:t>
      </w:r>
      <w:r w:rsidR="00E27274"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básico de la Encuesta Nacional de Ocupación y Empleo (ENOE)</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e</w:t>
      </w:r>
      <w:r w:rsidRPr="003E6E0C">
        <w:rPr>
          <w:rFonts w:ascii="Arial" w:eastAsia="Times New Roman" w:hAnsi="Arial" w:cs="Arial"/>
          <w:bCs/>
          <w:spacing w:val="10"/>
          <w:lang w:val="es-ES_tradnl" w:eastAsia="es-ES"/>
        </w:rPr>
        <w:t>s decir, no se realizaron modificaciones en los instrumentos de captación de la encuesta.</w:t>
      </w:r>
    </w:p>
    <w:p w:rsidR="00252EDE" w:rsidRPr="006E2E20" w:rsidRDefault="00252EDE" w:rsidP="009749DA">
      <w:pPr>
        <w:spacing w:after="0" w:line="240" w:lineRule="auto"/>
        <w:ind w:right="49"/>
        <w:jc w:val="both"/>
        <w:rPr>
          <w:rFonts w:ascii="Arial" w:hAnsi="Arial" w:cs="Arial"/>
        </w:rPr>
      </w:pPr>
    </w:p>
    <w:p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Informante de la encuesta</w:t>
      </w:r>
    </w:p>
    <w:p w:rsidR="00343375" w:rsidRDefault="00343375" w:rsidP="009749DA">
      <w:pPr>
        <w:spacing w:after="0" w:line="240" w:lineRule="auto"/>
        <w:ind w:right="49"/>
        <w:jc w:val="both"/>
        <w:rPr>
          <w:rFonts w:ascii="Arial" w:eastAsia="Times New Roman" w:hAnsi="Arial" w:cs="Arial"/>
          <w:bCs/>
          <w:spacing w:val="10"/>
          <w:lang w:val="es-ES_tradnl" w:eastAsia="es-ES"/>
        </w:rPr>
      </w:pPr>
    </w:p>
    <w:p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información fue proporcionada por la jefa o jefe del hogar o una persona de 15 y más años residente habitual de la vivienda</w:t>
      </w:r>
      <w:r w:rsidR="00DC6656">
        <w:rPr>
          <w:rFonts w:ascii="Arial" w:eastAsia="Times New Roman" w:hAnsi="Arial" w:cs="Arial"/>
          <w:bCs/>
          <w:spacing w:val="10"/>
          <w:lang w:val="es-ES_tradnl" w:eastAsia="es-ES"/>
        </w:rPr>
        <w:t xml:space="preserve"> </w:t>
      </w:r>
      <w:r w:rsidR="004E678C">
        <w:rPr>
          <w:rFonts w:ascii="Arial" w:eastAsia="Times New Roman" w:hAnsi="Arial" w:cs="Arial"/>
          <w:bCs/>
          <w:spacing w:val="10"/>
          <w:lang w:val="es-ES_tradnl" w:eastAsia="es-ES"/>
        </w:rPr>
        <w:t xml:space="preserve">a través de entrevistas presenciales o </w:t>
      </w:r>
      <w:r w:rsidR="00E27274">
        <w:rPr>
          <w:rFonts w:ascii="Arial" w:eastAsia="Times New Roman" w:hAnsi="Arial" w:cs="Arial"/>
          <w:bCs/>
          <w:spacing w:val="10"/>
          <w:lang w:val="es-ES_tradnl" w:eastAsia="es-ES"/>
        </w:rPr>
        <w:t>telefónica</w:t>
      </w:r>
      <w:r w:rsidR="004E678C">
        <w:rPr>
          <w:rFonts w:ascii="Arial" w:eastAsia="Times New Roman" w:hAnsi="Arial" w:cs="Arial"/>
          <w:bCs/>
          <w:spacing w:val="10"/>
          <w:lang w:val="es-ES_tradnl" w:eastAsia="es-ES"/>
        </w:rPr>
        <w:t>s.</w:t>
      </w:r>
    </w:p>
    <w:p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p>
    <w:p w:rsidR="00252EDE" w:rsidRPr="001530F2"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Población objetivo</w:t>
      </w:r>
    </w:p>
    <w:p w:rsidR="00343375" w:rsidRDefault="00343375" w:rsidP="009749DA">
      <w:pPr>
        <w:spacing w:after="0" w:line="240" w:lineRule="auto"/>
        <w:ind w:right="49"/>
        <w:jc w:val="both"/>
        <w:rPr>
          <w:rFonts w:ascii="Arial" w:eastAsia="Times New Roman" w:hAnsi="Arial" w:cs="Arial"/>
          <w:bCs/>
          <w:spacing w:val="10"/>
          <w:lang w:val="es-ES_tradnl" w:eastAsia="es-ES"/>
        </w:rPr>
      </w:pPr>
    </w:p>
    <w:p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población objetivo de la encuesta son todos los integrantes de la</w:t>
      </w:r>
      <w:r w:rsidR="00E94EE0">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vivienda</w:t>
      </w:r>
      <w:r w:rsidR="00E94EE0">
        <w:rPr>
          <w:rFonts w:ascii="Arial" w:eastAsia="Times New Roman" w:hAnsi="Arial" w:cs="Arial"/>
          <w:bCs/>
          <w:spacing w:val="10"/>
          <w:lang w:val="es-ES_tradnl" w:eastAsia="es-ES"/>
        </w:rPr>
        <w:t xml:space="preserve">s y </w:t>
      </w:r>
      <w:r w:rsidR="00121E72">
        <w:rPr>
          <w:rFonts w:ascii="Arial" w:eastAsia="Times New Roman" w:hAnsi="Arial" w:cs="Arial"/>
          <w:bCs/>
          <w:spacing w:val="10"/>
          <w:lang w:val="es-ES_tradnl" w:eastAsia="es-ES"/>
        </w:rPr>
        <w:t>hogares</w:t>
      </w:r>
      <w:r w:rsidRPr="003E6E0C">
        <w:rPr>
          <w:rFonts w:ascii="Arial" w:eastAsia="Times New Roman" w:hAnsi="Arial" w:cs="Arial"/>
          <w:bCs/>
          <w:spacing w:val="10"/>
          <w:lang w:val="es-ES_tradnl" w:eastAsia="es-ES"/>
        </w:rPr>
        <w:t>, así como las personas de 12 y más años de edad.</w:t>
      </w:r>
    </w:p>
    <w:p w:rsidR="00252EDE" w:rsidRPr="006E2E20" w:rsidRDefault="00252EDE" w:rsidP="009749DA">
      <w:pPr>
        <w:spacing w:after="0" w:line="240" w:lineRule="auto"/>
        <w:ind w:right="49"/>
        <w:jc w:val="both"/>
        <w:rPr>
          <w:rFonts w:ascii="Arial" w:hAnsi="Arial" w:cs="Arial"/>
        </w:rPr>
      </w:pPr>
    </w:p>
    <w:p w:rsidR="00DF5D01" w:rsidRDefault="00252EDE"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405792">
        <w:rPr>
          <w:rFonts w:ascii="Arial" w:eastAsia="Times New Roman" w:hAnsi="Arial" w:cs="Arial"/>
          <w:b/>
          <w:bCs/>
          <w:spacing w:val="10"/>
          <w:lang w:val="es-ES_tradnl" w:eastAsia="es-ES"/>
        </w:rPr>
        <w:t>Temática</w:t>
      </w:r>
      <w:bookmarkEnd w:id="4"/>
    </w:p>
    <w:tbl>
      <w:tblPr>
        <w:tblStyle w:val="Tabladecuadrcula4-nfasis2"/>
        <w:tblW w:w="0" w:type="auto"/>
        <w:tblLook w:val="04A0" w:firstRow="1" w:lastRow="0" w:firstColumn="1" w:lastColumn="0" w:noHBand="0" w:noVBand="1"/>
      </w:tblPr>
      <w:tblGrid>
        <w:gridCol w:w="2751"/>
        <w:gridCol w:w="6077"/>
      </w:tblGrid>
      <w:tr w:rsidR="00252EDE" w:rsidRPr="003E6E0C" w:rsidTr="00811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Tema</w:t>
            </w:r>
          </w:p>
        </w:tc>
        <w:tc>
          <w:tcPr>
            <w:tcW w:w="6077" w:type="dxa"/>
          </w:tcPr>
          <w:p w:rsidR="00252EDE" w:rsidRPr="00405792" w:rsidRDefault="00252EDE" w:rsidP="009749DA">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Variables</w:t>
            </w:r>
          </w:p>
        </w:tc>
      </w:tr>
      <w:tr w:rsidR="00252EDE" w:rsidRPr="003E6E0C"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Situación laboral</w:t>
            </w:r>
          </w:p>
        </w:tc>
        <w:tc>
          <w:tcPr>
            <w:tcW w:w="6077" w:type="dxa"/>
          </w:tcPr>
          <w:p w:rsidR="00252EDE" w:rsidRPr="00405792" w:rsidRDefault="00252EDE"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actividad económica y de ocupación, ausencia laboral, tiempo de búsqueda de trabajo, disponibilidad para trabajar, deseos de trabajar, etc.</w:t>
            </w:r>
          </w:p>
        </w:tc>
      </w:tr>
      <w:tr w:rsidR="00252EDE" w:rsidRPr="003E6E0C" w:rsidTr="00811F67">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Contexto laboral</w:t>
            </w:r>
          </w:p>
        </w:tc>
        <w:tc>
          <w:tcPr>
            <w:tcW w:w="6077" w:type="dxa"/>
          </w:tcPr>
          <w:p w:rsidR="00252EDE" w:rsidRPr="00405792" w:rsidRDefault="00252EDE" w:rsidP="009749DA">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Grupos de ocupación, posición en la ocupación, número de trabajadores, contratación, prestaciones.</w:t>
            </w:r>
          </w:p>
        </w:tc>
      </w:tr>
      <w:tr w:rsidR="00252EDE" w:rsidRPr="003E6E0C"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Características de la unidad económica</w:t>
            </w:r>
          </w:p>
        </w:tc>
        <w:tc>
          <w:tcPr>
            <w:tcW w:w="6077" w:type="dxa"/>
          </w:tcPr>
          <w:p w:rsidR="00252EDE" w:rsidRPr="00405792" w:rsidRDefault="00252EDE"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Sector de actividad económica, tipo de unidad económica, lugar de trabajo, tipo de local, registros contables, cadenas de negocios, empleo en multinacionales.</w:t>
            </w:r>
          </w:p>
        </w:tc>
      </w:tr>
      <w:tr w:rsidR="00252EDE" w:rsidRPr="003E6E0C" w:rsidTr="00811F67">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Jornada y regularidad laboral </w:t>
            </w:r>
          </w:p>
        </w:tc>
        <w:tc>
          <w:tcPr>
            <w:tcW w:w="6077" w:type="dxa"/>
          </w:tcPr>
          <w:p w:rsidR="00252EDE" w:rsidRPr="00405792" w:rsidRDefault="00252EDE" w:rsidP="009749DA">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Tipo de jornada, días y horas trabajadas, nivel de actividad, motivos por los que no trabaj</w:t>
            </w:r>
            <w:r w:rsidR="00071E5E">
              <w:rPr>
                <w:rFonts w:ascii="Arial" w:eastAsia="Times New Roman" w:hAnsi="Arial" w:cs="Arial"/>
                <w:bCs/>
                <w:spacing w:val="10"/>
                <w:sz w:val="18"/>
                <w:szCs w:val="18"/>
                <w:lang w:val="es-ES_tradnl" w:eastAsia="es-ES"/>
              </w:rPr>
              <w:t>ó</w:t>
            </w:r>
            <w:r w:rsidRPr="00405792">
              <w:rPr>
                <w:rFonts w:ascii="Arial" w:eastAsia="Times New Roman" w:hAnsi="Arial" w:cs="Arial"/>
                <w:bCs/>
                <w:spacing w:val="10"/>
                <w:sz w:val="18"/>
                <w:szCs w:val="18"/>
                <w:lang w:val="es-ES_tradnl" w:eastAsia="es-ES"/>
              </w:rPr>
              <w:t xml:space="preserve"> las horas habituales, meses trabajados.</w:t>
            </w:r>
          </w:p>
        </w:tc>
      </w:tr>
      <w:tr w:rsidR="00252EDE" w:rsidRPr="003E6E0C"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Ingresos y atención médica</w:t>
            </w:r>
          </w:p>
        </w:tc>
        <w:tc>
          <w:tcPr>
            <w:tcW w:w="6077" w:type="dxa"/>
          </w:tcPr>
          <w:p w:rsidR="00252EDE" w:rsidRPr="00405792" w:rsidRDefault="00252EDE"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Forma de pago, periodo de pago, monto de ingresos, sueldos y salarios mensuales y acceso a seguridad social.</w:t>
            </w:r>
          </w:p>
        </w:tc>
      </w:tr>
      <w:tr w:rsidR="00252EDE" w:rsidRPr="003E6E0C" w:rsidTr="00811F67">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Trabajo secundario</w:t>
            </w:r>
          </w:p>
        </w:tc>
        <w:tc>
          <w:tcPr>
            <w:tcW w:w="6077" w:type="dxa"/>
          </w:tcPr>
          <w:p w:rsidR="00252EDE" w:rsidRPr="00405792" w:rsidRDefault="00252EDE" w:rsidP="009749DA">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Posición en la ocupación, grupos de ocupación, sector de actividad económica.</w:t>
            </w:r>
          </w:p>
        </w:tc>
      </w:tr>
      <w:tr w:rsidR="00252EDE" w:rsidRPr="003E6E0C"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Búsqueda de otro trabajo</w:t>
            </w:r>
          </w:p>
        </w:tc>
        <w:tc>
          <w:tcPr>
            <w:tcW w:w="6077" w:type="dxa"/>
          </w:tcPr>
          <w:p w:rsidR="00252EDE" w:rsidRPr="00405792" w:rsidRDefault="00252EDE"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búsqueda y motivo de búsqueda de otro trabajo.</w:t>
            </w:r>
          </w:p>
        </w:tc>
      </w:tr>
      <w:tr w:rsidR="00252EDE" w:rsidRPr="003E6E0C" w:rsidTr="00811F67">
        <w:tc>
          <w:tcPr>
            <w:cnfStyle w:val="001000000000" w:firstRow="0" w:lastRow="0" w:firstColumn="1" w:lastColumn="0" w:oddVBand="0" w:evenVBand="0" w:oddHBand="0" w:evenHBand="0" w:firstRowFirstColumn="0" w:firstRowLastColumn="0" w:lastRowFirstColumn="0" w:lastRowLastColumn="0"/>
            <w:tcW w:w="2751" w:type="dxa"/>
          </w:tcPr>
          <w:p w:rsidR="00252EDE" w:rsidRPr="00405792" w:rsidRDefault="00252EDE"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Antecedentes laborales </w:t>
            </w:r>
          </w:p>
        </w:tc>
        <w:tc>
          <w:tcPr>
            <w:tcW w:w="6077" w:type="dxa"/>
          </w:tcPr>
          <w:p w:rsidR="00252EDE" w:rsidRPr="00405792" w:rsidRDefault="00252EDE" w:rsidP="009749DA">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Motivo por el que perdió o abandonó el empleo o negocio, año de término.</w:t>
            </w:r>
          </w:p>
        </w:tc>
      </w:tr>
      <w:tr w:rsidR="00DF5D01" w:rsidRPr="003E6E0C"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rsidR="00DF5D01" w:rsidRPr="00405792" w:rsidRDefault="00DF5D01" w:rsidP="009749DA">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Otras actividades</w:t>
            </w:r>
          </w:p>
        </w:tc>
        <w:tc>
          <w:tcPr>
            <w:tcW w:w="6077" w:type="dxa"/>
          </w:tcPr>
          <w:p w:rsidR="00DF5D01" w:rsidRPr="00405792" w:rsidRDefault="00DF5D01" w:rsidP="009749DA">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Quehaceres domésticos, estudio, servicios comunitarios y horas dedicadas a dichas actividades</w:t>
            </w:r>
          </w:p>
        </w:tc>
      </w:tr>
    </w:tbl>
    <w:p w:rsidR="00252EDE" w:rsidRPr="003E6E0C" w:rsidRDefault="00252EDE" w:rsidP="009749DA">
      <w:pPr>
        <w:spacing w:after="0" w:line="240" w:lineRule="auto"/>
        <w:ind w:right="49"/>
        <w:jc w:val="both"/>
        <w:rPr>
          <w:rFonts w:ascii="Arial" w:eastAsia="Times New Roman" w:hAnsi="Arial" w:cs="Arial"/>
          <w:bCs/>
          <w:spacing w:val="10"/>
          <w:lang w:val="es-ES_tradnl" w:eastAsia="es-ES"/>
        </w:rPr>
      </w:pPr>
    </w:p>
    <w:p w:rsidR="00252EDE" w:rsidRPr="001530F2" w:rsidRDefault="00CE4998" w:rsidP="009749DA">
      <w:pPr>
        <w:pStyle w:val="Prrafodelista"/>
        <w:numPr>
          <w:ilvl w:val="0"/>
          <w:numId w:val="19"/>
        </w:numPr>
        <w:spacing w:after="0" w:line="240" w:lineRule="auto"/>
        <w:ind w:right="49"/>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t xml:space="preserve">Situaciones laborales </w:t>
      </w:r>
      <w:r w:rsidR="007369DE">
        <w:rPr>
          <w:rFonts w:ascii="Arial" w:eastAsia="Times New Roman" w:hAnsi="Arial" w:cs="Arial"/>
          <w:b/>
          <w:bCs/>
          <w:spacing w:val="10"/>
          <w:lang w:val="es-ES_tradnl" w:eastAsia="es-ES"/>
        </w:rPr>
        <w:t>relevantes en</w:t>
      </w:r>
      <w:r>
        <w:rPr>
          <w:rFonts w:ascii="Arial" w:eastAsia="Times New Roman" w:hAnsi="Arial" w:cs="Arial"/>
          <w:b/>
          <w:bCs/>
          <w:spacing w:val="10"/>
          <w:lang w:val="es-ES_tradnl" w:eastAsia="es-ES"/>
        </w:rPr>
        <w:t xml:space="preserve"> la pandemia</w:t>
      </w:r>
    </w:p>
    <w:p w:rsidR="00343375" w:rsidRDefault="00343375" w:rsidP="009749DA">
      <w:pPr>
        <w:spacing w:after="0" w:line="240" w:lineRule="auto"/>
        <w:ind w:right="49"/>
        <w:jc w:val="both"/>
        <w:rPr>
          <w:rFonts w:ascii="Arial" w:eastAsia="Times New Roman" w:hAnsi="Arial" w:cs="Arial"/>
          <w:bCs/>
          <w:spacing w:val="10"/>
          <w:lang w:val="es-ES_tradnl" w:eastAsia="es-ES"/>
        </w:rPr>
      </w:pPr>
      <w:bookmarkStart w:id="5" w:name="_Toc41756104"/>
    </w:p>
    <w:p w:rsidR="00252EDE" w:rsidRPr="00DF5D01" w:rsidRDefault="007369DE" w:rsidP="009749DA">
      <w:pPr>
        <w:spacing w:after="0" w:line="240" w:lineRule="auto"/>
        <w:ind w:right="49"/>
        <w:jc w:val="both"/>
        <w:rPr>
          <w:rFonts w:ascii="Arial" w:eastAsia="Times New Roman" w:hAnsi="Arial" w:cs="Arial"/>
          <w:bCs/>
          <w:spacing w:val="10"/>
          <w:lang w:val="es-ES_tradnl" w:eastAsia="es-ES"/>
        </w:rPr>
      </w:pPr>
      <w:r w:rsidRPr="00DF5D01">
        <w:rPr>
          <w:rFonts w:ascii="Arial" w:eastAsia="Times New Roman" w:hAnsi="Arial" w:cs="Arial"/>
          <w:bCs/>
          <w:spacing w:val="10"/>
          <w:lang w:val="es-ES_tradnl" w:eastAsia="es-ES"/>
        </w:rPr>
        <w:t xml:space="preserve">Durante el periodo de la pandemia y las medidas de distanciamiento social, </w:t>
      </w:r>
      <w:r w:rsidR="004E678C">
        <w:rPr>
          <w:rFonts w:ascii="Arial" w:eastAsia="Times New Roman" w:hAnsi="Arial" w:cs="Arial"/>
          <w:bCs/>
          <w:spacing w:val="10"/>
          <w:lang w:val="es-ES_tradnl" w:eastAsia="es-ES"/>
        </w:rPr>
        <w:t xml:space="preserve">así como el </w:t>
      </w:r>
      <w:r w:rsidR="00B96E1D">
        <w:rPr>
          <w:rFonts w:ascii="Arial" w:eastAsia="Times New Roman" w:hAnsi="Arial" w:cs="Arial"/>
          <w:bCs/>
          <w:spacing w:val="10"/>
          <w:lang w:val="es-ES_tradnl" w:eastAsia="es-ES"/>
        </w:rPr>
        <w:t xml:space="preserve">reinicio </w:t>
      </w:r>
      <w:r w:rsidR="004E678C">
        <w:rPr>
          <w:rFonts w:ascii="Arial" w:eastAsia="Times New Roman" w:hAnsi="Arial" w:cs="Arial"/>
          <w:bCs/>
          <w:spacing w:val="10"/>
          <w:lang w:val="es-ES_tradnl" w:eastAsia="es-ES"/>
        </w:rPr>
        <w:t xml:space="preserve">gradual de las actividades no esenciales, </w:t>
      </w:r>
      <w:r w:rsidRPr="00DF5D01">
        <w:rPr>
          <w:rFonts w:ascii="Arial" w:eastAsia="Times New Roman" w:hAnsi="Arial" w:cs="Arial"/>
          <w:bCs/>
          <w:spacing w:val="10"/>
          <w:lang w:val="es-ES_tradnl" w:eastAsia="es-ES"/>
        </w:rPr>
        <w:t>tres segmentos de la fuerza de trabajo resultan relevantes para monitorear los impactos en el mercado laboral</w:t>
      </w:r>
      <w:r w:rsidR="00071E5E">
        <w:rPr>
          <w:rFonts w:ascii="Arial" w:eastAsia="Times New Roman" w:hAnsi="Arial" w:cs="Arial"/>
          <w:bCs/>
          <w:spacing w:val="10"/>
          <w:lang w:val="es-ES_tradnl" w:eastAsia="es-ES"/>
        </w:rPr>
        <w:t>:</w:t>
      </w:r>
      <w:r w:rsidRPr="00DF5D01">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1) l</w:t>
      </w:r>
      <w:r w:rsidR="00E27274" w:rsidRPr="00DF5D01">
        <w:rPr>
          <w:rFonts w:ascii="Arial" w:eastAsia="Times New Roman" w:hAnsi="Arial" w:cs="Arial"/>
          <w:bCs/>
          <w:spacing w:val="10"/>
          <w:lang w:val="es-ES_tradnl" w:eastAsia="es-ES"/>
        </w:rPr>
        <w:t xml:space="preserve">a </w:t>
      </w:r>
      <w:r w:rsidRPr="00DF5D01">
        <w:rPr>
          <w:rFonts w:ascii="Arial" w:eastAsia="Times New Roman" w:hAnsi="Arial" w:cs="Arial"/>
          <w:bCs/>
          <w:spacing w:val="10"/>
          <w:lang w:val="es-ES_tradnl" w:eastAsia="es-ES"/>
        </w:rPr>
        <w:t xml:space="preserve">subocupación, uno de los indicadores ampliamente utilizados y que permitirá conocer el número de personas que están en posibilidades de ofertar una </w:t>
      </w:r>
      <w:r w:rsidR="00E94EE0">
        <w:rPr>
          <w:rFonts w:ascii="Arial" w:eastAsia="Times New Roman" w:hAnsi="Arial" w:cs="Arial"/>
          <w:bCs/>
          <w:spacing w:val="10"/>
          <w:lang w:val="es-ES_tradnl" w:eastAsia="es-ES"/>
        </w:rPr>
        <w:t>mayor</w:t>
      </w:r>
      <w:r w:rsidR="00E94EE0" w:rsidRPr="00DF5D01">
        <w:rPr>
          <w:rFonts w:ascii="Arial" w:eastAsia="Times New Roman" w:hAnsi="Arial" w:cs="Arial"/>
          <w:bCs/>
          <w:spacing w:val="10"/>
          <w:lang w:val="es-ES_tradnl" w:eastAsia="es-ES"/>
        </w:rPr>
        <w:t xml:space="preserve"> </w:t>
      </w:r>
      <w:r w:rsidRPr="00DF5D01">
        <w:rPr>
          <w:rFonts w:ascii="Arial" w:eastAsia="Times New Roman" w:hAnsi="Arial" w:cs="Arial"/>
          <w:bCs/>
          <w:spacing w:val="10"/>
          <w:lang w:val="es-ES_tradnl" w:eastAsia="es-ES"/>
        </w:rPr>
        <w:t xml:space="preserve">cantidad de trabajo; </w:t>
      </w:r>
      <w:r w:rsidR="00E27274">
        <w:rPr>
          <w:rFonts w:ascii="Arial" w:eastAsia="Times New Roman" w:hAnsi="Arial" w:cs="Arial"/>
          <w:bCs/>
          <w:spacing w:val="10"/>
          <w:lang w:val="es-ES_tradnl" w:eastAsia="es-ES"/>
        </w:rPr>
        <w:t xml:space="preserve">2) </w:t>
      </w:r>
      <w:r w:rsidRPr="00DF5D01">
        <w:rPr>
          <w:rFonts w:ascii="Arial" w:eastAsia="Times New Roman" w:hAnsi="Arial" w:cs="Arial"/>
          <w:bCs/>
          <w:spacing w:val="10"/>
          <w:lang w:val="es-ES_tradnl" w:eastAsia="es-ES"/>
        </w:rPr>
        <w:t xml:space="preserve">los ausentes temporales de su empleo, especialmente aquellos </w:t>
      </w:r>
      <w:r w:rsidR="005C4141">
        <w:rPr>
          <w:rFonts w:ascii="Arial" w:eastAsia="Times New Roman" w:hAnsi="Arial" w:cs="Arial"/>
          <w:bCs/>
          <w:spacing w:val="10"/>
          <w:lang w:val="es-ES_tradnl" w:eastAsia="es-ES"/>
        </w:rPr>
        <w:t xml:space="preserve">que </w:t>
      </w:r>
      <w:r w:rsidRPr="00DF5D01">
        <w:rPr>
          <w:rFonts w:ascii="Arial" w:eastAsia="Times New Roman" w:hAnsi="Arial" w:cs="Arial"/>
          <w:bCs/>
          <w:spacing w:val="10"/>
          <w:lang w:val="es-ES_tradnl" w:eastAsia="es-ES"/>
        </w:rPr>
        <w:t xml:space="preserve">no lograron mantener su vínculo laboral durante la pandemia y las razones por las cuales dejaron el empleo o negocio; y finalmente </w:t>
      </w:r>
      <w:r w:rsidR="00E27274">
        <w:rPr>
          <w:rFonts w:ascii="Arial" w:eastAsia="Times New Roman" w:hAnsi="Arial" w:cs="Arial"/>
          <w:bCs/>
          <w:spacing w:val="10"/>
          <w:lang w:val="es-ES_tradnl" w:eastAsia="es-ES"/>
        </w:rPr>
        <w:t xml:space="preserve">3) </w:t>
      </w:r>
      <w:r w:rsidRPr="00DF5D01">
        <w:rPr>
          <w:rFonts w:ascii="Arial" w:eastAsia="Times New Roman" w:hAnsi="Arial" w:cs="Arial"/>
          <w:bCs/>
          <w:spacing w:val="10"/>
          <w:lang w:val="es-ES_tradnl" w:eastAsia="es-ES"/>
        </w:rPr>
        <w:t>los disponibles para trabajar, que tienen la necesidad o deseos de trabajar, pero que en la coyuntura actual, enfrentarán dificultades para incorporarse al mercado laboral.</w:t>
      </w:r>
      <w:bookmarkEnd w:id="5"/>
      <w:r w:rsidRPr="00DF5D01">
        <w:rPr>
          <w:rFonts w:ascii="Arial" w:eastAsia="Times New Roman" w:hAnsi="Arial" w:cs="Arial"/>
          <w:bCs/>
          <w:spacing w:val="10"/>
          <w:lang w:val="es-ES_tradnl" w:eastAsia="es-ES"/>
        </w:rPr>
        <w:t xml:space="preserve"> Entre los disponibles se pueden identificar diferentes grupos según el grado de vinculación con el mercado laboral; por un lado, se puede diferenciar entre quienes están ausentes temporalmente de su empleo, de aquellos que no lo están; así como, ubicar en el tiempo, aquellos que tienen experiencia laboral y que por algún motivo perdieron su empleo, renunciaron a un empleo, cerraron su negocio u otras razones, en un periodo reciente, situaciones que en periodos de parálisis de la actividad productiva, resultan en elementos clave para comprender el impacto de la pandemia en segmentos de la fuerza de trabajo, cuya fuente de trabajo es altamente vulnerable.</w:t>
      </w:r>
    </w:p>
    <w:p w:rsidR="001530F2" w:rsidRDefault="001530F2" w:rsidP="009749DA">
      <w:pPr>
        <w:pStyle w:val="Prrafodelista"/>
        <w:spacing w:after="0" w:line="240" w:lineRule="auto"/>
        <w:ind w:left="0" w:right="49"/>
        <w:rPr>
          <w:rFonts w:ascii="Arial" w:eastAsia="Times New Roman" w:hAnsi="Arial" w:cs="Arial"/>
          <w:b/>
          <w:bCs/>
          <w:spacing w:val="10"/>
          <w:lang w:val="es-ES_tradnl" w:eastAsia="es-ES"/>
        </w:rPr>
      </w:pPr>
    </w:p>
    <w:p w:rsidR="00E8274E" w:rsidRPr="001530F2" w:rsidRDefault="00E8274E" w:rsidP="00E8274E">
      <w:pPr>
        <w:pStyle w:val="Prrafodelista"/>
        <w:numPr>
          <w:ilvl w:val="0"/>
          <w:numId w:val="19"/>
        </w:numPr>
        <w:spacing w:after="0" w:line="240" w:lineRule="auto"/>
        <w:ind w:right="49"/>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t>Resultados del segundo trimestre de 2020</w:t>
      </w:r>
    </w:p>
    <w:p w:rsidR="00E8274E" w:rsidRDefault="00E8274E" w:rsidP="00E8274E">
      <w:pPr>
        <w:spacing w:after="0" w:line="240" w:lineRule="auto"/>
        <w:ind w:right="49"/>
        <w:jc w:val="both"/>
        <w:rPr>
          <w:rFonts w:ascii="Arial" w:eastAsia="Times New Roman" w:hAnsi="Arial" w:cs="Arial"/>
          <w:bCs/>
          <w:spacing w:val="10"/>
          <w:lang w:val="es-ES_tradnl" w:eastAsia="es-ES"/>
        </w:rPr>
      </w:pPr>
    </w:p>
    <w:p w:rsidR="00E8274E" w:rsidRDefault="00E8274E" w:rsidP="00E8274E">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El segundo trimestre de 2020 fue el periodo de mayor afectación en el levantamiento de la información sobre ocupación y empleo; periodo durante el cual el INEGI llevó a cabo la recolección de información a través de entrevistas telefónicas, lo que permitió garantizar la oferta de información mensual y ofrecer a los usuarios datos oportunos sobre </w:t>
      </w:r>
      <w:r w:rsidR="002F68C6">
        <w:rPr>
          <w:rFonts w:ascii="Arial" w:eastAsia="Times New Roman" w:hAnsi="Arial" w:cs="Arial"/>
          <w:bCs/>
          <w:spacing w:val="10"/>
          <w:lang w:val="es-ES_tradnl" w:eastAsia="es-ES"/>
        </w:rPr>
        <w:t xml:space="preserve">el mercado laboral y </w:t>
      </w:r>
      <w:r>
        <w:rPr>
          <w:rFonts w:ascii="Arial" w:eastAsia="Times New Roman" w:hAnsi="Arial" w:cs="Arial"/>
          <w:bCs/>
          <w:spacing w:val="10"/>
          <w:lang w:val="es-ES_tradnl" w:eastAsia="es-ES"/>
        </w:rPr>
        <w:t>el impacto de la pandemia originad</w:t>
      </w:r>
      <w:r w:rsidR="002F68C6">
        <w:rPr>
          <w:rFonts w:ascii="Arial" w:eastAsia="Times New Roman" w:hAnsi="Arial" w:cs="Arial"/>
          <w:bCs/>
          <w:spacing w:val="10"/>
          <w:lang w:val="es-ES_tradnl" w:eastAsia="es-ES"/>
        </w:rPr>
        <w:t xml:space="preserve">a por el COVID-19. En este sentido se informa a los usuarios que el Instituto está realizando </w:t>
      </w:r>
      <w:r w:rsidR="002F68C6">
        <w:rPr>
          <w:rFonts w:ascii="Arial" w:eastAsia="Times New Roman" w:hAnsi="Arial" w:cs="Arial"/>
          <w:bCs/>
          <w:spacing w:val="10"/>
          <w:lang w:val="es-ES_tradnl" w:eastAsia="es-ES"/>
        </w:rPr>
        <w:lastRenderedPageBreak/>
        <w:t xml:space="preserve">los </w:t>
      </w:r>
      <w:r w:rsidR="00E51F75">
        <w:rPr>
          <w:rFonts w:ascii="Arial" w:eastAsia="Times New Roman" w:hAnsi="Arial" w:cs="Arial"/>
          <w:bCs/>
          <w:spacing w:val="10"/>
          <w:lang w:val="es-ES_tradnl" w:eastAsia="es-ES"/>
        </w:rPr>
        <w:t>análisis</w:t>
      </w:r>
      <w:r w:rsidR="002F68C6">
        <w:rPr>
          <w:rFonts w:ascii="Arial" w:eastAsia="Times New Roman" w:hAnsi="Arial" w:cs="Arial"/>
          <w:bCs/>
          <w:spacing w:val="10"/>
          <w:lang w:val="es-ES_tradnl" w:eastAsia="es-ES"/>
        </w:rPr>
        <w:t xml:space="preserve"> </w:t>
      </w:r>
      <w:r w:rsidR="00E51F75">
        <w:rPr>
          <w:rFonts w:ascii="Arial" w:eastAsia="Times New Roman" w:hAnsi="Arial" w:cs="Arial"/>
          <w:bCs/>
          <w:spacing w:val="10"/>
          <w:lang w:val="es-ES_tradnl" w:eastAsia="es-ES"/>
        </w:rPr>
        <w:t>necesario</w:t>
      </w:r>
      <w:r w:rsidR="002F68C6">
        <w:rPr>
          <w:rFonts w:ascii="Arial" w:eastAsia="Times New Roman" w:hAnsi="Arial" w:cs="Arial"/>
          <w:bCs/>
          <w:spacing w:val="10"/>
          <w:lang w:val="es-ES_tradnl" w:eastAsia="es-ES"/>
        </w:rPr>
        <w:t xml:space="preserve">s con la finalidad de </w:t>
      </w:r>
      <w:r w:rsidR="00E51F75">
        <w:rPr>
          <w:rFonts w:ascii="Arial" w:eastAsia="Times New Roman" w:hAnsi="Arial" w:cs="Arial"/>
          <w:bCs/>
          <w:spacing w:val="10"/>
          <w:lang w:val="es-ES_tradnl" w:eastAsia="es-ES"/>
        </w:rPr>
        <w:t>integrar estadísticas trimestrales de ocupación y empleo sobre dicho periodo, por lo que una vez que concluyan las pruebas y evaluaciones estadísticas correspondientes se pondrán a disposición de los usuarios.</w:t>
      </w:r>
    </w:p>
    <w:p w:rsidR="00F709DD" w:rsidRDefault="00F709DD" w:rsidP="00E8274E">
      <w:pPr>
        <w:spacing w:after="0" w:line="240" w:lineRule="auto"/>
        <w:ind w:right="49"/>
        <w:jc w:val="both"/>
        <w:rPr>
          <w:rFonts w:ascii="Arial" w:eastAsia="Times New Roman" w:hAnsi="Arial" w:cs="Arial"/>
          <w:bCs/>
          <w:spacing w:val="10"/>
          <w:lang w:val="es-ES_tradnl" w:eastAsia="es-ES"/>
        </w:rPr>
      </w:pPr>
    </w:p>
    <w:p w:rsidR="00F709DD" w:rsidRPr="00EA6098" w:rsidRDefault="00F709DD" w:rsidP="00EA6098">
      <w:pPr>
        <w:pStyle w:val="Prrafodelista"/>
        <w:numPr>
          <w:ilvl w:val="0"/>
          <w:numId w:val="19"/>
        </w:numPr>
        <w:spacing w:after="0" w:line="240" w:lineRule="auto"/>
        <w:ind w:right="49"/>
        <w:jc w:val="both"/>
        <w:rPr>
          <w:rFonts w:ascii="Arial" w:eastAsia="Times New Roman" w:hAnsi="Arial" w:cs="Arial"/>
          <w:b/>
          <w:bCs/>
          <w:spacing w:val="10"/>
          <w:lang w:val="es-ES_tradnl" w:eastAsia="es-ES"/>
        </w:rPr>
      </w:pPr>
      <w:r w:rsidRPr="00EA6098">
        <w:rPr>
          <w:rFonts w:ascii="Arial" w:eastAsia="Times New Roman" w:hAnsi="Arial" w:cs="Arial"/>
          <w:b/>
          <w:bCs/>
          <w:spacing w:val="10"/>
          <w:lang w:val="es-ES_tradnl" w:eastAsia="es-ES"/>
        </w:rPr>
        <w:t>Comparaciones entre entrevistas cara a cara y entrevistas telefónicas</w:t>
      </w:r>
    </w:p>
    <w:p w:rsidR="00F709DD" w:rsidRDefault="00F709DD" w:rsidP="00E8274E">
      <w:pPr>
        <w:spacing w:after="0" w:line="240" w:lineRule="auto"/>
        <w:ind w:right="49"/>
        <w:jc w:val="both"/>
        <w:rPr>
          <w:rFonts w:ascii="Arial" w:eastAsia="Times New Roman" w:hAnsi="Arial" w:cs="Arial"/>
          <w:bCs/>
          <w:spacing w:val="10"/>
          <w:lang w:val="es-ES_tradnl" w:eastAsia="es-ES"/>
        </w:rPr>
      </w:pPr>
    </w:p>
    <w:p w:rsidR="00F709DD" w:rsidRDefault="00F709DD" w:rsidP="00F709DD">
      <w:pPr>
        <w:pStyle w:val="Subttulo"/>
        <w:ind w:right="49"/>
        <w:jc w:val="both"/>
        <w:rPr>
          <w:b w:val="0"/>
          <w:spacing w:val="10"/>
          <w:sz w:val="22"/>
          <w:szCs w:val="22"/>
        </w:rPr>
      </w:pPr>
      <w:r>
        <w:rPr>
          <w:b w:val="0"/>
          <w:spacing w:val="10"/>
          <w:sz w:val="22"/>
          <w:szCs w:val="22"/>
        </w:rPr>
        <w:t>La comparación de la ENOE y la ENOE</w:t>
      </w:r>
      <w:r w:rsidRPr="00B50866">
        <w:rPr>
          <w:b w:val="0"/>
          <w:spacing w:val="10"/>
          <w:sz w:val="22"/>
          <w:szCs w:val="22"/>
          <w:vertAlign w:val="superscript"/>
        </w:rPr>
        <w:t>N</w:t>
      </w:r>
      <w:r w:rsidRPr="00484460">
        <w:rPr>
          <w:b w:val="0"/>
          <w:spacing w:val="10"/>
          <w:sz w:val="22"/>
          <w:szCs w:val="22"/>
        </w:rPr>
        <w:t xml:space="preserve"> </w:t>
      </w:r>
      <w:r>
        <w:rPr>
          <w:b w:val="0"/>
          <w:spacing w:val="10"/>
          <w:sz w:val="22"/>
          <w:szCs w:val="22"/>
        </w:rPr>
        <w:t xml:space="preserve">es válida ya que se </w:t>
      </w:r>
      <w:r w:rsidRPr="00484460">
        <w:rPr>
          <w:b w:val="0"/>
          <w:spacing w:val="10"/>
          <w:sz w:val="22"/>
          <w:szCs w:val="22"/>
        </w:rPr>
        <w:t>mantiene el mismo diseño conceptual, estadístico y</w:t>
      </w:r>
      <w:r>
        <w:rPr>
          <w:b w:val="0"/>
          <w:spacing w:val="10"/>
          <w:sz w:val="22"/>
          <w:szCs w:val="22"/>
        </w:rPr>
        <w:t xml:space="preserve"> metodológico, además de </w:t>
      </w:r>
      <w:proofErr w:type="gramStart"/>
      <w:r>
        <w:rPr>
          <w:b w:val="0"/>
          <w:spacing w:val="10"/>
          <w:sz w:val="22"/>
          <w:szCs w:val="22"/>
        </w:rPr>
        <w:t>que</w:t>
      </w:r>
      <w:proofErr w:type="gramEnd"/>
      <w:r>
        <w:rPr>
          <w:b w:val="0"/>
          <w:spacing w:val="10"/>
          <w:sz w:val="22"/>
          <w:szCs w:val="22"/>
        </w:rPr>
        <w:t xml:space="preserve"> derivado de los primeros análisis de los resultados de los indicadores estratégicos, considerando la muestra de entrevistas cara a cara versus la muestra de entrevistas cara a cara más las entrevistas telefónicas, se observa en general que no </w:t>
      </w:r>
      <w:r w:rsidRPr="00484460">
        <w:rPr>
          <w:b w:val="0"/>
          <w:spacing w:val="10"/>
          <w:sz w:val="22"/>
          <w:szCs w:val="22"/>
        </w:rPr>
        <w:t>existen cambios estadístic</w:t>
      </w:r>
      <w:r>
        <w:rPr>
          <w:b w:val="0"/>
          <w:spacing w:val="10"/>
          <w:sz w:val="22"/>
          <w:szCs w:val="22"/>
        </w:rPr>
        <w:t xml:space="preserve">amente significativos </w:t>
      </w:r>
      <w:r w:rsidRPr="00484460">
        <w:rPr>
          <w:b w:val="0"/>
          <w:spacing w:val="10"/>
          <w:sz w:val="22"/>
          <w:szCs w:val="22"/>
        </w:rPr>
        <w:t>en los indicadores estratégicos de ocupación y empleo</w:t>
      </w:r>
      <w:r>
        <w:rPr>
          <w:b w:val="0"/>
          <w:spacing w:val="10"/>
          <w:sz w:val="22"/>
          <w:szCs w:val="22"/>
        </w:rPr>
        <w:t xml:space="preserve">. </w:t>
      </w:r>
      <w:r w:rsidRPr="00F709DD">
        <w:rPr>
          <w:b w:val="0"/>
          <w:spacing w:val="10"/>
          <w:sz w:val="22"/>
          <w:szCs w:val="22"/>
        </w:rPr>
        <w:t>En este sentido se informa a los usuarios que el Instituto est</w:t>
      </w:r>
      <w:r>
        <w:rPr>
          <w:b w:val="0"/>
          <w:spacing w:val="10"/>
          <w:sz w:val="22"/>
          <w:szCs w:val="22"/>
        </w:rPr>
        <w:t xml:space="preserve">ará publicando un primer análisis sobre los efectos de las entrevistas telefónicas y las entrevistas cara a cara. </w:t>
      </w:r>
    </w:p>
    <w:p w:rsidR="00F709DD" w:rsidRPr="00E8274E" w:rsidRDefault="00F709DD" w:rsidP="00E8274E">
      <w:pPr>
        <w:spacing w:after="0" w:line="240" w:lineRule="auto"/>
        <w:ind w:right="49"/>
        <w:jc w:val="both"/>
        <w:rPr>
          <w:rFonts w:ascii="Arial" w:eastAsia="Times New Roman" w:hAnsi="Arial" w:cs="Arial"/>
          <w:bCs/>
          <w:spacing w:val="10"/>
          <w:lang w:val="es-ES_tradnl" w:eastAsia="es-ES"/>
        </w:rPr>
      </w:pPr>
    </w:p>
    <w:p w:rsidR="00E8274E" w:rsidRDefault="00E8274E" w:rsidP="009749DA">
      <w:pPr>
        <w:pStyle w:val="Prrafodelista"/>
        <w:spacing w:after="0" w:line="240" w:lineRule="auto"/>
        <w:ind w:left="0" w:right="49"/>
        <w:rPr>
          <w:rFonts w:ascii="Arial" w:eastAsia="Times New Roman" w:hAnsi="Arial" w:cs="Arial"/>
          <w:b/>
          <w:bCs/>
          <w:spacing w:val="10"/>
          <w:lang w:val="es-ES_tradnl" w:eastAsia="es-ES"/>
        </w:rPr>
      </w:pPr>
    </w:p>
    <w:p w:rsidR="00252EDE" w:rsidRPr="003E6E0C" w:rsidRDefault="00252EDE"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Estrategia operativa y resultados del levantamiento</w:t>
      </w:r>
    </w:p>
    <w:p w:rsidR="00252EDE" w:rsidRPr="00C07470" w:rsidRDefault="00252EDE" w:rsidP="009749DA">
      <w:pPr>
        <w:spacing w:after="0" w:line="240" w:lineRule="auto"/>
        <w:ind w:right="49"/>
        <w:jc w:val="both"/>
        <w:rPr>
          <w:rFonts w:ascii="Arial" w:hAnsi="Arial" w:cs="Arial"/>
        </w:rPr>
      </w:pPr>
    </w:p>
    <w:p w:rsidR="00926FED"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w:t>
      </w:r>
      <w:r>
        <w:rPr>
          <w:rFonts w:ascii="Arial" w:eastAsia="Times New Roman" w:hAnsi="Arial" w:cs="Arial"/>
          <w:bCs/>
          <w:spacing w:val="10"/>
          <w:lang w:val="es-ES_tradnl" w:eastAsia="es-ES"/>
        </w:rPr>
        <w:t xml:space="preserve"> mayoría de las </w:t>
      </w:r>
      <w:r w:rsidRPr="003E6E0C">
        <w:rPr>
          <w:rFonts w:ascii="Arial" w:eastAsia="Times New Roman" w:hAnsi="Arial" w:cs="Arial"/>
          <w:bCs/>
          <w:spacing w:val="10"/>
          <w:lang w:val="es-ES_tradnl" w:eastAsia="es-ES"/>
        </w:rPr>
        <w:t xml:space="preserve">oficinas estadísticas de los países levantan sus encuestas de fuerza de trabajo mediante entrevistas cara a cara en </w:t>
      </w:r>
      <w:r w:rsidRPr="00A83689">
        <w:rPr>
          <w:rFonts w:ascii="Arial" w:eastAsia="Times New Roman" w:hAnsi="Arial" w:cs="Arial"/>
          <w:bCs/>
          <w:spacing w:val="10"/>
          <w:lang w:val="es-ES_tradnl" w:eastAsia="es-ES"/>
        </w:rPr>
        <w:t>las</w:t>
      </w:r>
      <w:r w:rsidRPr="003E6E0C">
        <w:rPr>
          <w:rFonts w:ascii="Arial" w:eastAsia="Times New Roman" w:hAnsi="Arial" w:cs="Arial"/>
          <w:bCs/>
          <w:spacing w:val="10"/>
          <w:lang w:val="es-ES_tradnl" w:eastAsia="es-ES"/>
        </w:rPr>
        <w:t xml:space="preserve"> viviendas seleccionadas</w:t>
      </w:r>
      <w:r>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Pr>
          <w:rFonts w:ascii="Arial" w:eastAsia="Times New Roman" w:hAnsi="Arial" w:cs="Arial"/>
          <w:bCs/>
          <w:spacing w:val="10"/>
          <w:lang w:val="es-ES_tradnl" w:eastAsia="es-ES"/>
        </w:rPr>
        <w:t>sin embargo,</w:t>
      </w:r>
      <w:r w:rsidRPr="003E6E0C">
        <w:rPr>
          <w:rFonts w:ascii="Arial" w:eastAsia="Times New Roman" w:hAnsi="Arial" w:cs="Arial"/>
          <w:bCs/>
          <w:spacing w:val="10"/>
          <w:lang w:val="es-ES_tradnl" w:eastAsia="es-ES"/>
        </w:rPr>
        <w:t xml:space="preserve"> las medidas de aislamiento social adoptadas por los gobiernos para contener la pandemia del COVID-19</w:t>
      </w:r>
      <w:r>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afectaron en </w:t>
      </w:r>
      <w:r>
        <w:rPr>
          <w:rFonts w:ascii="Arial" w:eastAsia="Times New Roman" w:hAnsi="Arial" w:cs="Arial"/>
          <w:bCs/>
          <w:spacing w:val="10"/>
          <w:lang w:val="es-ES_tradnl" w:eastAsia="es-ES"/>
        </w:rPr>
        <w:t>mayor</w:t>
      </w:r>
      <w:r w:rsidRPr="003E6E0C">
        <w:rPr>
          <w:rFonts w:ascii="Arial" w:eastAsia="Times New Roman" w:hAnsi="Arial" w:cs="Arial"/>
          <w:bCs/>
          <w:spacing w:val="10"/>
          <w:lang w:val="es-ES_tradnl" w:eastAsia="es-ES"/>
        </w:rPr>
        <w:t xml:space="preserve"> o menor medida el levantamiento de </w:t>
      </w:r>
      <w:r>
        <w:rPr>
          <w:rFonts w:ascii="Arial" w:eastAsia="Times New Roman" w:hAnsi="Arial" w:cs="Arial"/>
          <w:bCs/>
          <w:spacing w:val="10"/>
          <w:lang w:val="es-ES_tradnl" w:eastAsia="es-ES"/>
        </w:rPr>
        <w:t>estas</w:t>
      </w:r>
      <w:r w:rsidRPr="003E6E0C">
        <w:rPr>
          <w:rFonts w:ascii="Arial" w:eastAsia="Times New Roman" w:hAnsi="Arial" w:cs="Arial"/>
          <w:bCs/>
          <w:spacing w:val="10"/>
          <w:lang w:val="es-ES_tradnl" w:eastAsia="es-ES"/>
        </w:rPr>
        <w:t xml:space="preserve"> encuestas y la generación de información para conocer los efectos de la pandemia sobre el empleo.</w:t>
      </w:r>
    </w:p>
    <w:p w:rsidR="00CB0099" w:rsidRPr="003E6E0C" w:rsidRDefault="00CB0099" w:rsidP="009749DA">
      <w:pPr>
        <w:spacing w:after="0" w:line="240" w:lineRule="auto"/>
        <w:ind w:right="49"/>
        <w:jc w:val="both"/>
        <w:rPr>
          <w:rFonts w:ascii="Arial" w:eastAsia="Times New Roman" w:hAnsi="Arial" w:cs="Arial"/>
          <w:bCs/>
          <w:spacing w:val="10"/>
          <w:lang w:val="es-ES_tradnl" w:eastAsia="es-ES"/>
        </w:rPr>
      </w:pPr>
    </w:p>
    <w:p w:rsidR="00926FED" w:rsidRDefault="00926FED" w:rsidP="009749DA">
      <w:pPr>
        <w:spacing w:after="0" w:line="240" w:lineRule="auto"/>
        <w:ind w:right="49"/>
        <w:jc w:val="both"/>
        <w:rPr>
          <w:rFonts w:ascii="Arial" w:eastAsia="Times New Roman" w:hAnsi="Arial" w:cs="Arial"/>
          <w:bCs/>
          <w:spacing w:val="10"/>
          <w:lang w:val="es-ES_tradnl" w:eastAsia="es-ES"/>
        </w:rPr>
      </w:pPr>
      <w:r w:rsidRPr="0000569C">
        <w:rPr>
          <w:rFonts w:ascii="Arial" w:eastAsia="Times New Roman" w:hAnsi="Arial" w:cs="Arial"/>
          <w:bCs/>
          <w:spacing w:val="10"/>
          <w:lang w:val="es-ES_tradnl" w:eastAsia="es-ES"/>
        </w:rPr>
        <w:t>México no es la excepción</w:t>
      </w:r>
      <w:r w:rsidR="00AB673F">
        <w:rPr>
          <w:rFonts w:ascii="Arial" w:eastAsia="Times New Roman" w:hAnsi="Arial" w:cs="Arial"/>
          <w:bCs/>
          <w:spacing w:val="10"/>
          <w:lang w:val="es-ES_tradnl" w:eastAsia="es-ES"/>
        </w:rPr>
        <w:t>,</w:t>
      </w:r>
      <w:r w:rsidRPr="0000569C">
        <w:rPr>
          <w:rFonts w:ascii="Arial" w:eastAsia="Times New Roman" w:hAnsi="Arial" w:cs="Arial"/>
          <w:bCs/>
          <w:spacing w:val="10"/>
          <w:lang w:val="es-ES_tradnl" w:eastAsia="es-ES"/>
        </w:rPr>
        <w:t xml:space="preserve"> por lo que se diseñaron estrategias alternativas para </w:t>
      </w:r>
      <w:r>
        <w:rPr>
          <w:rFonts w:ascii="Arial" w:eastAsia="Times New Roman" w:hAnsi="Arial" w:cs="Arial"/>
          <w:bCs/>
          <w:spacing w:val="10"/>
          <w:lang w:val="es-ES_tradnl" w:eastAsia="es-ES"/>
        </w:rPr>
        <w:t xml:space="preserve">mantener la generación </w:t>
      </w:r>
      <w:r w:rsidRPr="0000569C">
        <w:rPr>
          <w:rFonts w:ascii="Arial" w:eastAsia="Times New Roman" w:hAnsi="Arial" w:cs="Arial"/>
          <w:bCs/>
          <w:spacing w:val="10"/>
          <w:lang w:val="es-ES_tradnl" w:eastAsia="es-ES"/>
        </w:rPr>
        <w:t xml:space="preserve">de </w:t>
      </w:r>
      <w:r>
        <w:rPr>
          <w:rFonts w:ascii="Arial" w:eastAsia="Times New Roman" w:hAnsi="Arial" w:cs="Arial"/>
          <w:bCs/>
          <w:spacing w:val="10"/>
          <w:lang w:val="es-ES_tradnl" w:eastAsia="es-ES"/>
        </w:rPr>
        <w:t xml:space="preserve">la </w:t>
      </w:r>
      <w:r w:rsidRPr="0000569C">
        <w:rPr>
          <w:rFonts w:ascii="Arial" w:eastAsia="Times New Roman" w:hAnsi="Arial" w:cs="Arial"/>
          <w:bCs/>
          <w:spacing w:val="10"/>
          <w:lang w:val="es-ES_tradnl" w:eastAsia="es-ES"/>
        </w:rPr>
        <w:t>información estadística</w:t>
      </w:r>
      <w:r>
        <w:rPr>
          <w:rFonts w:ascii="Arial" w:eastAsia="Times New Roman" w:hAnsi="Arial" w:cs="Arial"/>
          <w:bCs/>
          <w:spacing w:val="10"/>
          <w:lang w:val="es-ES_tradnl" w:eastAsia="es-ES"/>
        </w:rPr>
        <w:t xml:space="preserve"> y disponer de información sobre la coyuntura de la pandemia originada por el COVID-19</w:t>
      </w:r>
      <w:r w:rsidRPr="0000569C">
        <w:rPr>
          <w:rFonts w:ascii="Arial" w:eastAsia="Times New Roman" w:hAnsi="Arial" w:cs="Arial"/>
          <w:bCs/>
          <w:spacing w:val="10"/>
          <w:lang w:val="es-ES_tradnl" w:eastAsia="es-ES"/>
        </w:rPr>
        <w:t>.</w:t>
      </w:r>
    </w:p>
    <w:p w:rsidR="00926FED" w:rsidRDefault="00926FED" w:rsidP="009749DA">
      <w:pPr>
        <w:spacing w:after="0" w:line="240" w:lineRule="auto"/>
        <w:ind w:right="49"/>
        <w:jc w:val="both"/>
        <w:rPr>
          <w:rFonts w:ascii="Arial" w:eastAsia="Times New Roman" w:hAnsi="Arial" w:cs="Arial"/>
          <w:bCs/>
          <w:spacing w:val="10"/>
          <w:lang w:val="es-ES_tradnl" w:eastAsia="es-ES"/>
        </w:rPr>
      </w:pPr>
    </w:p>
    <w:p w:rsidR="00926FED" w:rsidRPr="004B30CC" w:rsidRDefault="00926FED" w:rsidP="009749DA">
      <w:pPr>
        <w:spacing w:after="0" w:line="240" w:lineRule="auto"/>
        <w:ind w:right="49"/>
        <w:jc w:val="both"/>
        <w:rPr>
          <w:rFonts w:ascii="Arial" w:eastAsia="Times New Roman" w:hAnsi="Arial" w:cs="Arial"/>
          <w:bCs/>
          <w:spacing w:val="10"/>
          <w:lang w:val="es-ES_tradnl" w:eastAsia="es-ES"/>
        </w:rPr>
      </w:pPr>
      <w:r w:rsidRPr="0000569C">
        <w:rPr>
          <w:rFonts w:ascii="Arial" w:eastAsia="Times New Roman" w:hAnsi="Arial" w:cs="Arial"/>
          <w:bCs/>
          <w:spacing w:val="10"/>
          <w:lang w:val="es-ES_tradnl" w:eastAsia="es-ES"/>
        </w:rPr>
        <w:t xml:space="preserve">En este contexto, </w:t>
      </w:r>
      <w:r>
        <w:rPr>
          <w:rFonts w:ascii="Arial" w:eastAsia="Times New Roman" w:hAnsi="Arial" w:cs="Arial"/>
          <w:bCs/>
          <w:spacing w:val="10"/>
          <w:lang w:val="es-ES_tradnl" w:eastAsia="es-ES"/>
        </w:rPr>
        <w:t>surgieron las</w:t>
      </w:r>
      <w:r w:rsidRPr="0000569C">
        <w:rPr>
          <w:rFonts w:ascii="Arial" w:eastAsia="Times New Roman" w:hAnsi="Arial" w:cs="Arial"/>
          <w:bCs/>
          <w:spacing w:val="10"/>
          <w:lang w:val="es-ES_tradnl" w:eastAsia="es-ES"/>
        </w:rPr>
        <w:t xml:space="preserve"> encuesta</w:t>
      </w:r>
      <w:r>
        <w:rPr>
          <w:rFonts w:ascii="Arial" w:eastAsia="Times New Roman" w:hAnsi="Arial" w:cs="Arial"/>
          <w:bCs/>
          <w:spacing w:val="10"/>
          <w:lang w:val="es-ES_tradnl" w:eastAsia="es-ES"/>
        </w:rPr>
        <w:t>s telefónicas y ahora las encuestas que combina</w:t>
      </w:r>
      <w:r w:rsidR="0099487C">
        <w:rPr>
          <w:rFonts w:ascii="Arial" w:eastAsia="Times New Roman" w:hAnsi="Arial" w:cs="Arial"/>
          <w:bCs/>
          <w:spacing w:val="10"/>
          <w:lang w:val="es-ES_tradnl" w:eastAsia="es-ES"/>
        </w:rPr>
        <w:t>n</w:t>
      </w:r>
      <w:r>
        <w:rPr>
          <w:rFonts w:ascii="Arial" w:eastAsia="Times New Roman" w:hAnsi="Arial" w:cs="Arial"/>
          <w:bCs/>
          <w:spacing w:val="10"/>
          <w:lang w:val="es-ES_tradnl" w:eastAsia="es-ES"/>
        </w:rPr>
        <w:t xml:space="preserve"> entrevistas cara a cara y entrevistas telefónicas, dado el reinicio de los operativos de campo tradicionales que implican la vista del personal a las viviendas en muestra para recolectar la información.</w:t>
      </w:r>
    </w:p>
    <w:p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En la </w:t>
      </w:r>
      <w:r w:rsidRPr="003E6E0C">
        <w:rPr>
          <w:rFonts w:ascii="Arial" w:eastAsia="Times New Roman" w:hAnsi="Arial" w:cs="Arial"/>
          <w:bCs/>
          <w:spacing w:val="10"/>
          <w:lang w:val="es-ES_tradnl" w:eastAsia="es-ES"/>
        </w:rPr>
        <w:t>ENOE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el periodo de referencia fue la semana anterior</w:t>
      </w:r>
      <w:r>
        <w:rPr>
          <w:rFonts w:ascii="Arial" w:eastAsia="Times New Roman" w:hAnsi="Arial" w:cs="Arial"/>
          <w:bCs/>
          <w:spacing w:val="10"/>
          <w:lang w:val="es-ES_tradnl" w:eastAsia="es-ES"/>
        </w:rPr>
        <w:t xml:space="preserve"> a la entrevista</w:t>
      </w:r>
      <w:r w:rsidR="00CB0099">
        <w:rPr>
          <w:rFonts w:ascii="Arial" w:eastAsia="Times New Roman" w:hAnsi="Arial" w:cs="Arial"/>
          <w:bCs/>
          <w:spacing w:val="10"/>
          <w:lang w:val="es-ES_tradnl" w:eastAsia="es-ES"/>
        </w:rPr>
        <w:t>, tanto en las entrevistas telefónicas como cara a cara,</w:t>
      </w:r>
      <w:r>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para captar la situación laboral de las personas y se cuidó que quien contestara la entrevista fuese residente de la vivienda, un informante adecuado de 15 y más años</w:t>
      </w:r>
      <w:r>
        <w:rPr>
          <w:rFonts w:ascii="Arial" w:eastAsia="Times New Roman" w:hAnsi="Arial" w:cs="Arial"/>
          <w:bCs/>
          <w:spacing w:val="10"/>
          <w:lang w:val="es-ES_tradnl" w:eastAsia="es-ES"/>
        </w:rPr>
        <w:t xml:space="preserve"> de edad</w:t>
      </w:r>
      <w:r w:rsidRPr="003E6E0C">
        <w:rPr>
          <w:rFonts w:ascii="Arial" w:eastAsia="Times New Roman" w:hAnsi="Arial" w:cs="Arial"/>
          <w:bCs/>
          <w:spacing w:val="10"/>
          <w:lang w:val="es-ES_tradnl" w:eastAsia="es-ES"/>
        </w:rPr>
        <w:t>.</w:t>
      </w:r>
    </w:p>
    <w:p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El personal que levantó la encuesta fue el propio de la ENOE, aplic</w:t>
      </w:r>
      <w:r>
        <w:rPr>
          <w:rFonts w:ascii="Arial" w:eastAsia="Times New Roman" w:hAnsi="Arial" w:cs="Arial"/>
          <w:bCs/>
          <w:spacing w:val="10"/>
          <w:lang w:val="es-ES_tradnl" w:eastAsia="es-ES"/>
        </w:rPr>
        <w:t>ando</w:t>
      </w:r>
      <w:r w:rsidRPr="003E6E0C">
        <w:rPr>
          <w:rFonts w:ascii="Arial" w:eastAsia="Times New Roman" w:hAnsi="Arial" w:cs="Arial"/>
          <w:bCs/>
          <w:spacing w:val="10"/>
          <w:lang w:val="es-ES_tradnl" w:eastAsia="es-ES"/>
        </w:rPr>
        <w:t xml:space="preserve"> los mismos instrumentos de captación, es decir, el Cuestionario Sociodemográfico (CS) y el Cuestionario de Ocupación y Empleo (COE), así como los mismos procedimientos de captura, codificación, validación y tratamiento de la información.</w:t>
      </w:r>
    </w:p>
    <w:p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rsidR="00926FED" w:rsidRPr="00052D90" w:rsidRDefault="00926FED" w:rsidP="009749DA">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Como en un levantamiento regular, se supervis</w:t>
      </w:r>
      <w:r>
        <w:rPr>
          <w:rFonts w:ascii="Arial" w:eastAsia="Times New Roman" w:hAnsi="Arial" w:cs="Arial"/>
          <w:bCs/>
          <w:spacing w:val="10"/>
          <w:lang w:val="es-ES_tradnl" w:eastAsia="es-ES"/>
        </w:rPr>
        <w:t>aron tanto las entrevistas cara a cara como las entrevistas telefónicas</w:t>
      </w:r>
      <w:r w:rsidRPr="003E6E0C">
        <w:rPr>
          <w:rFonts w:ascii="Arial" w:eastAsia="Times New Roman" w:hAnsi="Arial" w:cs="Arial"/>
          <w:bCs/>
          <w:spacing w:val="10"/>
          <w:lang w:val="es-ES_tradnl" w:eastAsia="es-ES"/>
        </w:rPr>
        <w:t xml:space="preserve">. De tal suerte que las figuras operativas (encuestador, supervisor, crítico validador, responsable de área y jefe de </w:t>
      </w:r>
      <w:r w:rsidRPr="003E6E0C">
        <w:rPr>
          <w:rFonts w:ascii="Arial" w:eastAsia="Times New Roman" w:hAnsi="Arial" w:cs="Arial"/>
          <w:bCs/>
          <w:spacing w:val="10"/>
          <w:lang w:val="es-ES_tradnl" w:eastAsia="es-ES"/>
        </w:rPr>
        <w:lastRenderedPageBreak/>
        <w:t xml:space="preserve">departamento) que participaron en la encuesta siguieron realizando sus funciones para </w:t>
      </w:r>
      <w:r>
        <w:rPr>
          <w:rFonts w:ascii="Arial" w:eastAsia="Times New Roman" w:hAnsi="Arial" w:cs="Arial"/>
          <w:bCs/>
          <w:spacing w:val="10"/>
          <w:lang w:val="es-ES_tradnl" w:eastAsia="es-ES"/>
        </w:rPr>
        <w:t>cuidar</w:t>
      </w:r>
      <w:r w:rsidRPr="003E6E0C">
        <w:rPr>
          <w:rFonts w:ascii="Arial" w:eastAsia="Times New Roman" w:hAnsi="Arial" w:cs="Arial"/>
          <w:bCs/>
          <w:spacing w:val="10"/>
          <w:lang w:val="es-ES_tradnl" w:eastAsia="es-ES"/>
        </w:rPr>
        <w:t xml:space="preserve"> la </w:t>
      </w:r>
      <w:r w:rsidRPr="00052D90">
        <w:rPr>
          <w:rFonts w:ascii="Arial" w:eastAsia="Times New Roman" w:hAnsi="Arial" w:cs="Arial"/>
          <w:bCs/>
          <w:spacing w:val="10"/>
          <w:lang w:val="es-ES_tradnl" w:eastAsia="es-ES"/>
        </w:rPr>
        <w:t>veracidad y calidad de la información.</w:t>
      </w:r>
    </w:p>
    <w:p w:rsidR="00926FED" w:rsidRPr="00052D90" w:rsidRDefault="00926FED" w:rsidP="009749DA">
      <w:pPr>
        <w:spacing w:after="0" w:line="240" w:lineRule="auto"/>
        <w:ind w:right="49"/>
        <w:jc w:val="both"/>
        <w:rPr>
          <w:rFonts w:ascii="Arial" w:eastAsia="Times New Roman" w:hAnsi="Arial" w:cs="Arial"/>
          <w:bCs/>
          <w:spacing w:val="10"/>
          <w:lang w:val="es-ES_tradnl" w:eastAsia="es-ES"/>
        </w:rPr>
      </w:pPr>
    </w:p>
    <w:p w:rsidR="00ED3CF5" w:rsidRDefault="00926FED" w:rsidP="00EA6098">
      <w:pPr>
        <w:spacing w:after="0" w:line="240" w:lineRule="auto"/>
        <w:ind w:right="49"/>
        <w:jc w:val="both"/>
        <w:rPr>
          <w:rFonts w:ascii="Arial" w:eastAsia="Times New Roman" w:hAnsi="Arial" w:cs="Arial"/>
          <w:bCs/>
          <w:spacing w:val="10"/>
          <w:lang w:val="es-ES_tradnl" w:eastAsia="es-ES"/>
        </w:rPr>
      </w:pPr>
      <w:r w:rsidRPr="00052D90">
        <w:rPr>
          <w:rFonts w:ascii="Arial" w:eastAsia="Times New Roman" w:hAnsi="Arial" w:cs="Arial"/>
          <w:bCs/>
          <w:spacing w:val="10"/>
          <w:lang w:val="es-ES_tradnl" w:eastAsia="es-ES"/>
        </w:rPr>
        <w:t xml:space="preserve">La muestra </w:t>
      </w:r>
      <w:r w:rsidR="00ED3CF5">
        <w:rPr>
          <w:rFonts w:ascii="Arial" w:eastAsia="Times New Roman" w:hAnsi="Arial" w:cs="Arial"/>
          <w:bCs/>
          <w:spacing w:val="10"/>
          <w:lang w:val="es-ES_tradnl" w:eastAsia="es-ES"/>
        </w:rPr>
        <w:t xml:space="preserve">total de viviendas particulares </w:t>
      </w:r>
      <w:r w:rsidRPr="00052D90">
        <w:rPr>
          <w:rFonts w:ascii="Arial" w:eastAsia="Times New Roman" w:hAnsi="Arial" w:cs="Arial"/>
          <w:bCs/>
          <w:spacing w:val="10"/>
          <w:lang w:val="es-ES_tradnl" w:eastAsia="es-ES"/>
        </w:rPr>
        <w:t xml:space="preserve">para </w:t>
      </w:r>
      <w:r w:rsidR="00177695" w:rsidRPr="00052D90">
        <w:rPr>
          <w:rFonts w:ascii="Arial" w:eastAsia="Times New Roman" w:hAnsi="Arial" w:cs="Arial"/>
          <w:bCs/>
          <w:spacing w:val="10"/>
          <w:lang w:val="es-ES_tradnl" w:eastAsia="es-ES"/>
        </w:rPr>
        <w:t>el tercer trimestre</w:t>
      </w:r>
      <w:r w:rsidRPr="00052D90">
        <w:rPr>
          <w:rFonts w:ascii="Arial" w:eastAsia="Times New Roman" w:hAnsi="Arial" w:cs="Arial"/>
          <w:bCs/>
          <w:spacing w:val="10"/>
          <w:lang w:val="es-ES_tradnl" w:eastAsia="es-ES"/>
        </w:rPr>
        <w:t xml:space="preserve"> </w:t>
      </w:r>
      <w:r w:rsidR="00ED3CF5">
        <w:rPr>
          <w:rFonts w:ascii="Arial" w:eastAsia="Times New Roman" w:hAnsi="Arial" w:cs="Arial"/>
          <w:bCs/>
          <w:spacing w:val="10"/>
          <w:lang w:val="es-ES_tradnl" w:eastAsia="es-ES"/>
        </w:rPr>
        <w:t>de la ENOE</w:t>
      </w:r>
      <w:r w:rsidR="00ED3CF5" w:rsidRPr="00EA6098">
        <w:rPr>
          <w:rFonts w:ascii="Arial" w:eastAsia="Times New Roman" w:hAnsi="Arial" w:cs="Arial"/>
          <w:bCs/>
          <w:spacing w:val="10"/>
          <w:vertAlign w:val="superscript"/>
          <w:lang w:val="es-ES_tradnl" w:eastAsia="es-ES"/>
        </w:rPr>
        <w:t>N</w:t>
      </w:r>
      <w:r w:rsidR="00ED3CF5">
        <w:rPr>
          <w:rFonts w:ascii="Arial" w:eastAsia="Times New Roman" w:hAnsi="Arial" w:cs="Arial"/>
          <w:bCs/>
          <w:spacing w:val="10"/>
          <w:vertAlign w:val="superscript"/>
          <w:lang w:val="es-ES_tradnl" w:eastAsia="es-ES"/>
        </w:rPr>
        <w:t xml:space="preserve"> </w:t>
      </w:r>
      <w:r w:rsidRPr="00052D90">
        <w:rPr>
          <w:rFonts w:ascii="Arial" w:eastAsia="Times New Roman" w:hAnsi="Arial" w:cs="Arial"/>
          <w:bCs/>
          <w:spacing w:val="10"/>
          <w:lang w:val="es-ES_tradnl" w:eastAsia="es-ES"/>
        </w:rPr>
        <w:t xml:space="preserve">fue de </w:t>
      </w:r>
      <w:r w:rsidR="002A2A18" w:rsidRPr="00052D90">
        <w:rPr>
          <w:rFonts w:ascii="Arial" w:eastAsia="Times New Roman" w:hAnsi="Arial" w:cs="Arial"/>
          <w:bCs/>
          <w:spacing w:val="10"/>
          <w:lang w:val="es-ES_tradnl" w:eastAsia="es-ES"/>
        </w:rPr>
        <w:t>132 325</w:t>
      </w:r>
      <w:r w:rsidRPr="00052D90">
        <w:rPr>
          <w:rFonts w:ascii="Arial" w:eastAsia="Times New Roman" w:hAnsi="Arial" w:cs="Arial"/>
          <w:bCs/>
          <w:spacing w:val="10"/>
          <w:lang w:val="es-ES_tradnl" w:eastAsia="es-ES"/>
        </w:rPr>
        <w:t xml:space="preserve"> viviendas, </w:t>
      </w:r>
      <w:r w:rsidR="00C96EBC">
        <w:rPr>
          <w:rFonts w:ascii="Arial" w:eastAsia="Times New Roman" w:hAnsi="Arial" w:cs="Arial"/>
          <w:bCs/>
          <w:spacing w:val="10"/>
          <w:lang w:val="es-ES_tradnl" w:eastAsia="es-ES"/>
        </w:rPr>
        <w:t xml:space="preserve">en las cuales se logró entrevista completa en </w:t>
      </w:r>
      <w:r w:rsidR="00C96EBC" w:rsidRPr="00062B81">
        <w:rPr>
          <w:rFonts w:ascii="Arial" w:eastAsia="Times New Roman" w:hAnsi="Arial" w:cs="Arial"/>
          <w:bCs/>
          <w:spacing w:val="10"/>
          <w:lang w:val="es-ES_tradnl" w:eastAsia="es-ES"/>
        </w:rPr>
        <w:t>8</w:t>
      </w:r>
      <w:r w:rsidR="00C96EBC">
        <w:rPr>
          <w:rFonts w:ascii="Arial" w:eastAsia="Times New Roman" w:hAnsi="Arial" w:cs="Arial"/>
          <w:bCs/>
          <w:spacing w:val="10"/>
          <w:lang w:val="es-ES_tradnl" w:eastAsia="es-ES"/>
        </w:rPr>
        <w:t>4</w:t>
      </w:r>
      <w:r w:rsidR="00C96EBC" w:rsidRPr="00062B81">
        <w:rPr>
          <w:rFonts w:ascii="Arial" w:eastAsia="Times New Roman" w:hAnsi="Arial" w:cs="Arial"/>
          <w:bCs/>
          <w:spacing w:val="10"/>
          <w:lang w:val="es-ES_tradnl" w:eastAsia="es-ES"/>
        </w:rPr>
        <w:t xml:space="preserve"> </w:t>
      </w:r>
      <w:r w:rsidR="00C96EBC">
        <w:rPr>
          <w:rFonts w:ascii="Arial" w:eastAsia="Times New Roman" w:hAnsi="Arial" w:cs="Arial"/>
          <w:bCs/>
          <w:spacing w:val="10"/>
          <w:lang w:val="es-ES_tradnl" w:eastAsia="es-ES"/>
        </w:rPr>
        <w:t>556</w:t>
      </w:r>
      <w:r w:rsidR="00C96EBC" w:rsidRPr="00062B81">
        <w:rPr>
          <w:rFonts w:ascii="Arial" w:eastAsia="Times New Roman" w:hAnsi="Arial" w:cs="Arial"/>
          <w:bCs/>
          <w:spacing w:val="10"/>
          <w:lang w:val="es-ES_tradnl" w:eastAsia="es-ES"/>
        </w:rPr>
        <w:t xml:space="preserve"> (6</w:t>
      </w:r>
      <w:r w:rsidR="00C96EBC">
        <w:rPr>
          <w:rFonts w:ascii="Arial" w:eastAsia="Times New Roman" w:hAnsi="Arial" w:cs="Arial"/>
          <w:bCs/>
          <w:spacing w:val="10"/>
          <w:lang w:val="es-ES_tradnl" w:eastAsia="es-ES"/>
        </w:rPr>
        <w:t>3.9</w:t>
      </w:r>
      <w:r w:rsidR="00C96EBC" w:rsidRPr="00062B81">
        <w:rPr>
          <w:rFonts w:ascii="Arial" w:eastAsia="Times New Roman" w:hAnsi="Arial" w:cs="Arial"/>
          <w:bCs/>
          <w:spacing w:val="10"/>
          <w:lang w:val="es-ES_tradnl" w:eastAsia="es-ES"/>
        </w:rPr>
        <w:t>%)</w:t>
      </w:r>
      <w:r w:rsidR="00C96EBC">
        <w:rPr>
          <w:rFonts w:ascii="Arial" w:eastAsia="Times New Roman" w:hAnsi="Arial" w:cs="Arial"/>
          <w:bCs/>
          <w:spacing w:val="10"/>
          <w:lang w:val="es-ES_tradnl" w:eastAsia="es-ES"/>
        </w:rPr>
        <w:t xml:space="preserve">, de ellas, </w:t>
      </w:r>
      <w:r w:rsidR="00C96EBC" w:rsidRPr="00062B81">
        <w:rPr>
          <w:rFonts w:ascii="Arial" w:eastAsia="Times New Roman" w:hAnsi="Arial" w:cs="Arial"/>
          <w:bCs/>
          <w:spacing w:val="10"/>
          <w:lang w:val="es-ES_tradnl" w:eastAsia="es-ES"/>
        </w:rPr>
        <w:t xml:space="preserve">66 </w:t>
      </w:r>
      <w:r w:rsidR="00C96EBC">
        <w:rPr>
          <w:rFonts w:ascii="Arial" w:eastAsia="Times New Roman" w:hAnsi="Arial" w:cs="Arial"/>
          <w:bCs/>
          <w:spacing w:val="10"/>
          <w:lang w:val="es-ES_tradnl" w:eastAsia="es-ES"/>
        </w:rPr>
        <w:t>459</w:t>
      </w:r>
      <w:r w:rsidR="00C96EBC" w:rsidRPr="00062B81">
        <w:rPr>
          <w:rFonts w:ascii="Arial" w:eastAsia="Times New Roman" w:hAnsi="Arial" w:cs="Arial"/>
          <w:bCs/>
          <w:spacing w:val="10"/>
          <w:lang w:val="es-ES_tradnl" w:eastAsia="es-ES"/>
        </w:rPr>
        <w:t xml:space="preserve"> (78.6%) fueron entrevistas cara a cara y 18 1</w:t>
      </w:r>
      <w:r w:rsidR="00C96EBC">
        <w:rPr>
          <w:rFonts w:ascii="Arial" w:eastAsia="Times New Roman" w:hAnsi="Arial" w:cs="Arial"/>
          <w:bCs/>
          <w:spacing w:val="10"/>
          <w:lang w:val="es-ES_tradnl" w:eastAsia="es-ES"/>
        </w:rPr>
        <w:t>07</w:t>
      </w:r>
      <w:r w:rsidR="00C96EBC" w:rsidRPr="00062B81">
        <w:rPr>
          <w:rFonts w:ascii="Arial" w:eastAsia="Times New Roman" w:hAnsi="Arial" w:cs="Arial"/>
          <w:bCs/>
          <w:spacing w:val="10"/>
          <w:lang w:val="es-ES_tradnl" w:eastAsia="es-ES"/>
        </w:rPr>
        <w:t xml:space="preserve"> (21.4%) entrevistas telefónicas.</w:t>
      </w:r>
      <w:r w:rsidR="00C96EBC">
        <w:rPr>
          <w:rFonts w:ascii="Arial" w:eastAsia="Times New Roman" w:hAnsi="Arial" w:cs="Arial"/>
          <w:bCs/>
          <w:spacing w:val="10"/>
          <w:lang w:val="es-ES_tradnl" w:eastAsia="es-ES"/>
        </w:rPr>
        <w:t xml:space="preserve"> </w:t>
      </w:r>
      <w:r w:rsidR="004C4235">
        <w:rPr>
          <w:rFonts w:ascii="Arial" w:eastAsia="Times New Roman" w:hAnsi="Arial" w:cs="Arial"/>
          <w:bCs/>
          <w:spacing w:val="10"/>
          <w:lang w:val="es-ES_tradnl" w:eastAsia="es-ES"/>
        </w:rPr>
        <w:t xml:space="preserve">Todavía no se alcanza la cobertura total de la muestra, derivado de </w:t>
      </w:r>
      <w:r w:rsidR="00971F3C">
        <w:rPr>
          <w:rFonts w:ascii="Arial" w:eastAsia="Times New Roman" w:hAnsi="Arial" w:cs="Arial"/>
          <w:bCs/>
          <w:spacing w:val="10"/>
          <w:lang w:val="es-ES_tradnl" w:eastAsia="es-ES"/>
        </w:rPr>
        <w:t xml:space="preserve">las restricciones a la movilidad </w:t>
      </w:r>
      <w:r w:rsidR="007F5554">
        <w:rPr>
          <w:rFonts w:ascii="Arial" w:eastAsia="Times New Roman" w:hAnsi="Arial" w:cs="Arial"/>
          <w:bCs/>
          <w:spacing w:val="10"/>
          <w:lang w:val="es-ES_tradnl" w:eastAsia="es-ES"/>
        </w:rPr>
        <w:t xml:space="preserve">entre la </w:t>
      </w:r>
      <w:r w:rsidR="005F4437">
        <w:rPr>
          <w:rFonts w:ascii="Arial" w:eastAsia="Times New Roman" w:hAnsi="Arial" w:cs="Arial"/>
          <w:bCs/>
          <w:spacing w:val="10"/>
          <w:lang w:val="es-ES_tradnl" w:eastAsia="es-ES"/>
        </w:rPr>
        <w:t>población,</w:t>
      </w:r>
      <w:r w:rsidR="007F5554">
        <w:rPr>
          <w:rFonts w:ascii="Arial" w:eastAsia="Times New Roman" w:hAnsi="Arial" w:cs="Arial"/>
          <w:bCs/>
          <w:spacing w:val="10"/>
          <w:lang w:val="es-ES_tradnl" w:eastAsia="es-ES"/>
        </w:rPr>
        <w:t xml:space="preserve"> así como</w:t>
      </w:r>
      <w:r w:rsidR="00971F3C">
        <w:rPr>
          <w:rFonts w:ascii="Arial" w:eastAsia="Times New Roman" w:hAnsi="Arial" w:cs="Arial"/>
          <w:bCs/>
          <w:spacing w:val="10"/>
          <w:lang w:val="es-ES_tradnl" w:eastAsia="es-ES"/>
        </w:rPr>
        <w:t xml:space="preserve"> las medidas sanitarias para contener la pandemia </w:t>
      </w:r>
      <w:r w:rsidR="007F5554">
        <w:rPr>
          <w:rFonts w:ascii="Arial" w:eastAsia="Times New Roman" w:hAnsi="Arial" w:cs="Arial"/>
          <w:bCs/>
          <w:spacing w:val="10"/>
          <w:lang w:val="es-ES_tradnl" w:eastAsia="es-ES"/>
        </w:rPr>
        <w:t xml:space="preserve">originada por </w:t>
      </w:r>
      <w:r w:rsidR="00971F3C">
        <w:rPr>
          <w:rFonts w:ascii="Arial" w:eastAsia="Times New Roman" w:hAnsi="Arial" w:cs="Arial"/>
          <w:bCs/>
          <w:spacing w:val="10"/>
          <w:lang w:val="es-ES_tradnl" w:eastAsia="es-ES"/>
        </w:rPr>
        <w:t>el COVID-19.</w:t>
      </w:r>
    </w:p>
    <w:p w:rsidR="00ED3CF5" w:rsidRDefault="00ED3CF5" w:rsidP="009749DA">
      <w:pPr>
        <w:spacing w:after="0" w:line="240" w:lineRule="auto"/>
        <w:ind w:right="49"/>
        <w:jc w:val="both"/>
        <w:rPr>
          <w:rFonts w:ascii="Arial" w:eastAsia="Times New Roman" w:hAnsi="Arial" w:cs="Arial"/>
          <w:bCs/>
          <w:spacing w:val="10"/>
          <w:lang w:val="es-ES_tradnl" w:eastAsia="es-ES"/>
        </w:rPr>
      </w:pPr>
    </w:p>
    <w:p w:rsidR="00DE7CEF" w:rsidRDefault="00DE7CEF" w:rsidP="009749DA">
      <w:pPr>
        <w:spacing w:after="0" w:line="240" w:lineRule="auto"/>
        <w:ind w:right="49"/>
        <w:jc w:val="both"/>
        <w:rPr>
          <w:rFonts w:ascii="Arial" w:eastAsia="Times New Roman" w:hAnsi="Arial" w:cs="Arial"/>
          <w:bCs/>
          <w:spacing w:val="10"/>
          <w:lang w:val="es-ES_tradnl" w:eastAsia="es-ES"/>
        </w:rPr>
      </w:pPr>
    </w:p>
    <w:p w:rsidR="00926FED" w:rsidRPr="003E6E0C" w:rsidRDefault="00926FED" w:rsidP="009749DA">
      <w:pPr>
        <w:spacing w:after="0" w:line="240" w:lineRule="auto"/>
        <w:ind w:right="49"/>
        <w:jc w:val="both"/>
        <w:rPr>
          <w:rFonts w:ascii="Arial" w:eastAsia="Times New Roman" w:hAnsi="Arial" w:cs="Arial"/>
          <w:bCs/>
          <w:spacing w:val="10"/>
          <w:lang w:val="es-ES_tradnl" w:eastAsia="es-ES"/>
        </w:rPr>
      </w:pPr>
    </w:p>
    <w:p w:rsidR="00926FED" w:rsidRDefault="00926FED"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muestral</w:t>
      </w:r>
    </w:p>
    <w:p w:rsidR="00926FED" w:rsidRDefault="00926FED" w:rsidP="009749DA">
      <w:pPr>
        <w:spacing w:after="0" w:line="240" w:lineRule="auto"/>
        <w:ind w:right="49"/>
        <w:jc w:val="both"/>
        <w:rPr>
          <w:rFonts w:ascii="Arial" w:eastAsia="Times New Roman" w:hAnsi="Arial" w:cs="Arial"/>
          <w:bCs/>
          <w:spacing w:val="10"/>
          <w:lang w:val="es-ES_tradnl" w:eastAsia="es-ES"/>
        </w:rPr>
      </w:pPr>
    </w:p>
    <w:p w:rsidR="00926FED" w:rsidRDefault="00926FED" w:rsidP="009749DA">
      <w:pPr>
        <w:spacing w:after="0" w:line="240" w:lineRule="auto"/>
        <w:ind w:right="49"/>
        <w:jc w:val="both"/>
        <w:rPr>
          <w:rFonts w:ascii="Arial" w:eastAsia="Times New Roman" w:hAnsi="Arial" w:cs="Arial"/>
          <w:bCs/>
          <w:spacing w:val="10"/>
          <w:lang w:val="es-ES_tradnl" w:eastAsia="es-ES"/>
        </w:rPr>
      </w:pPr>
      <w:r w:rsidRPr="00657781">
        <w:rPr>
          <w:rFonts w:ascii="Arial" w:eastAsia="Times New Roman" w:hAnsi="Arial" w:cs="Arial"/>
          <w:bCs/>
          <w:spacing w:val="10"/>
          <w:lang w:val="es-ES_tradnl" w:eastAsia="es-ES"/>
        </w:rPr>
        <w:t>El diseño muestral de la E</w:t>
      </w:r>
      <w:r>
        <w:rPr>
          <w:rFonts w:ascii="Arial" w:eastAsia="Times New Roman" w:hAnsi="Arial" w:cs="Arial"/>
          <w:bCs/>
          <w:spacing w:val="10"/>
          <w:lang w:val="es-ES_tradnl" w:eastAsia="es-ES"/>
        </w:rPr>
        <w:t>N</w:t>
      </w:r>
      <w:r w:rsidRPr="00657781">
        <w:rPr>
          <w:rFonts w:ascii="Arial" w:eastAsia="Times New Roman" w:hAnsi="Arial" w:cs="Arial"/>
          <w:bCs/>
          <w:spacing w:val="10"/>
          <w:lang w:val="es-ES_tradnl" w:eastAsia="es-ES"/>
        </w:rPr>
        <w:t>OE</w:t>
      </w:r>
      <w:r>
        <w:rPr>
          <w:rFonts w:ascii="Arial" w:eastAsia="Times New Roman" w:hAnsi="Arial" w:cs="Arial"/>
          <w:bCs/>
          <w:spacing w:val="10"/>
          <w:vertAlign w:val="superscript"/>
          <w:lang w:val="es-ES_tradnl" w:eastAsia="es-ES"/>
        </w:rPr>
        <w:t>N</w:t>
      </w:r>
      <w:r w:rsidRPr="00657781">
        <w:rPr>
          <w:rFonts w:ascii="Arial" w:eastAsia="Times New Roman" w:hAnsi="Arial" w:cs="Arial"/>
          <w:bCs/>
          <w:spacing w:val="10"/>
          <w:lang w:val="es-ES_tradnl" w:eastAsia="es-ES"/>
        </w:rPr>
        <w:t xml:space="preserve"> es probabilístico, ya que las viviendas heredan las probabilidades de inclusión del modelo probabilístico de la ENOE. A su vez, es bietápica</w:t>
      </w:r>
      <w:r>
        <w:rPr>
          <w:rFonts w:ascii="Arial" w:eastAsia="Times New Roman" w:hAnsi="Arial" w:cs="Arial"/>
          <w:bCs/>
          <w:spacing w:val="10"/>
          <w:lang w:val="es-ES_tradnl" w:eastAsia="es-ES"/>
        </w:rPr>
        <w:t xml:space="preserve"> y por conglomerados debido a que se obtiene </w:t>
      </w:r>
      <w:r w:rsidRPr="00657781">
        <w:rPr>
          <w:rFonts w:ascii="Arial" w:eastAsia="Times New Roman" w:hAnsi="Arial" w:cs="Arial"/>
          <w:bCs/>
          <w:spacing w:val="10"/>
          <w:lang w:val="es-ES_tradnl" w:eastAsia="es-ES"/>
        </w:rPr>
        <w:t>a partir de un marco de muestreo de conglomerados estratificados.</w:t>
      </w:r>
    </w:p>
    <w:p w:rsidR="00925C4F" w:rsidRDefault="00925C4F" w:rsidP="009749DA">
      <w:pPr>
        <w:spacing w:after="0" w:line="240" w:lineRule="auto"/>
        <w:ind w:right="49"/>
        <w:jc w:val="both"/>
        <w:rPr>
          <w:rFonts w:ascii="Arial" w:eastAsia="Times New Roman" w:hAnsi="Arial" w:cs="Arial"/>
          <w:bCs/>
          <w:spacing w:val="10"/>
          <w:lang w:val="es-ES_tradnl" w:eastAsia="es-ES"/>
        </w:rPr>
      </w:pPr>
    </w:p>
    <w:p w:rsidR="00926FED" w:rsidRDefault="00926FED" w:rsidP="009749DA">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L</w:t>
      </w:r>
      <w:r w:rsidRPr="003E6E0C">
        <w:rPr>
          <w:rFonts w:ascii="Arial" w:eastAsia="Times New Roman" w:hAnsi="Arial" w:cs="Arial"/>
          <w:bCs/>
          <w:spacing w:val="10"/>
          <w:lang w:val="es-ES_tradnl" w:eastAsia="es-ES"/>
        </w:rPr>
        <w:t xml:space="preserve">a </w:t>
      </w:r>
      <w:r>
        <w:rPr>
          <w:rFonts w:ascii="Arial" w:eastAsia="Times New Roman" w:hAnsi="Arial" w:cs="Arial"/>
          <w:bCs/>
          <w:spacing w:val="10"/>
          <w:lang w:val="es-ES_tradnl" w:eastAsia="es-ES"/>
        </w:rPr>
        <w:t>ENOE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toma como referencia </w:t>
      </w:r>
      <w:r>
        <w:rPr>
          <w:rFonts w:ascii="Arial" w:eastAsia="Times New Roman" w:hAnsi="Arial" w:cs="Arial"/>
          <w:bCs/>
          <w:spacing w:val="10"/>
          <w:lang w:val="es-ES_tradnl" w:eastAsia="es-ES"/>
        </w:rPr>
        <w:t xml:space="preserve">la </w:t>
      </w:r>
      <w:r w:rsidRPr="003E6E0C">
        <w:rPr>
          <w:rFonts w:ascii="Arial" w:eastAsia="Times New Roman" w:hAnsi="Arial" w:cs="Arial"/>
          <w:bCs/>
          <w:spacing w:val="10"/>
          <w:lang w:val="es-ES_tradnl" w:eastAsia="es-ES"/>
        </w:rPr>
        <w:t>muestra de viviendas de la Encuesta Nacional de Ocupación y Empleo (ENOE) de</w:t>
      </w:r>
      <w:r>
        <w:rPr>
          <w:rFonts w:ascii="Arial" w:eastAsia="Times New Roman" w:hAnsi="Arial" w:cs="Arial"/>
          <w:bCs/>
          <w:spacing w:val="10"/>
          <w:lang w:val="es-ES_tradnl" w:eastAsia="es-ES"/>
        </w:rPr>
        <w:t xml:space="preserve">l </w:t>
      </w:r>
      <w:r w:rsidR="00177695">
        <w:rPr>
          <w:rFonts w:ascii="Arial" w:eastAsia="Times New Roman" w:hAnsi="Arial" w:cs="Arial"/>
          <w:bCs/>
          <w:spacing w:val="10"/>
          <w:lang w:val="es-ES_tradnl" w:eastAsia="es-ES"/>
        </w:rPr>
        <w:t>tercer trimestre</w:t>
      </w:r>
      <w:r>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 xml:space="preserve">2020, </w:t>
      </w:r>
      <w:r>
        <w:rPr>
          <w:rFonts w:ascii="Arial" w:eastAsia="Times New Roman" w:hAnsi="Arial" w:cs="Arial"/>
          <w:bCs/>
          <w:spacing w:val="10"/>
          <w:lang w:val="es-ES_tradnl" w:eastAsia="es-ES"/>
        </w:rPr>
        <w:t xml:space="preserve">así como las </w:t>
      </w:r>
      <w:r w:rsidRPr="003E6E0C">
        <w:rPr>
          <w:rFonts w:ascii="Arial" w:eastAsia="Times New Roman" w:hAnsi="Arial" w:cs="Arial"/>
          <w:bCs/>
          <w:spacing w:val="10"/>
          <w:lang w:val="es-ES_tradnl" w:eastAsia="es-ES"/>
        </w:rPr>
        <w:t>viviendas de las cuales se dispone del número de contacto telefónico</w:t>
      </w:r>
      <w:r>
        <w:rPr>
          <w:rFonts w:ascii="Arial" w:eastAsia="Times New Roman" w:hAnsi="Arial" w:cs="Arial"/>
          <w:bCs/>
          <w:spacing w:val="10"/>
          <w:lang w:val="es-ES_tradnl" w:eastAsia="es-ES"/>
        </w:rPr>
        <w:t xml:space="preserve"> del primer trimestre de 2020.</w:t>
      </w:r>
    </w:p>
    <w:p w:rsidR="00926FED" w:rsidRDefault="00926FED" w:rsidP="009749DA">
      <w:pPr>
        <w:spacing w:after="0" w:line="240" w:lineRule="auto"/>
        <w:ind w:right="49"/>
        <w:jc w:val="both"/>
        <w:rPr>
          <w:rFonts w:ascii="Arial" w:eastAsia="Times New Roman" w:hAnsi="Arial" w:cs="Arial"/>
          <w:bCs/>
          <w:spacing w:val="10"/>
          <w:lang w:val="es-ES_tradnl" w:eastAsia="es-ES"/>
        </w:rPr>
      </w:pPr>
    </w:p>
    <w:p w:rsidR="00926FED" w:rsidRDefault="00926FED" w:rsidP="009749DA">
      <w:pPr>
        <w:spacing w:after="0" w:line="240" w:lineRule="auto"/>
        <w:ind w:right="49"/>
        <w:jc w:val="both"/>
        <w:rPr>
          <w:rFonts w:ascii="Arial" w:eastAsia="Times New Roman" w:hAnsi="Arial" w:cs="Arial"/>
          <w:bCs/>
          <w:spacing w:val="10"/>
          <w:lang w:val="es-ES_tradnl" w:eastAsia="es-ES"/>
        </w:rPr>
      </w:pPr>
    </w:p>
    <w:p w:rsidR="00926FED" w:rsidRDefault="00926FED" w:rsidP="009749DA">
      <w:pPr>
        <w:spacing w:after="0" w:line="240" w:lineRule="auto"/>
        <w:ind w:right="49"/>
        <w:jc w:val="both"/>
        <w:rPr>
          <w:rFonts w:ascii="Arial" w:eastAsia="Times New Roman" w:hAnsi="Arial" w:cs="Arial"/>
          <w:bCs/>
          <w:spacing w:val="10"/>
          <w:lang w:val="es-ES_tradnl" w:eastAsia="es-ES"/>
        </w:rPr>
      </w:pPr>
      <w:bookmarkStart w:id="6" w:name="_Hlk41563539"/>
    </w:p>
    <w:bookmarkEnd w:id="6"/>
    <w:p w:rsidR="00926FED" w:rsidRPr="003E6E0C" w:rsidRDefault="00926FED" w:rsidP="009749DA">
      <w:pPr>
        <w:pStyle w:val="Prrafodelista"/>
        <w:numPr>
          <w:ilvl w:val="0"/>
          <w:numId w:val="24"/>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Consulta de la información</w:t>
      </w:r>
    </w:p>
    <w:p w:rsidR="00926FED" w:rsidRDefault="00926FED" w:rsidP="009749DA">
      <w:pPr>
        <w:spacing w:after="0" w:line="240" w:lineRule="auto"/>
        <w:ind w:right="49"/>
        <w:rPr>
          <w:rFonts w:ascii="Arial" w:hAnsi="Arial" w:cs="Arial"/>
        </w:rPr>
      </w:pPr>
    </w:p>
    <w:p w:rsidR="00926FED" w:rsidRPr="008B4E0B" w:rsidRDefault="00926FED" w:rsidP="009749DA">
      <w:pPr>
        <w:spacing w:after="0" w:line="240" w:lineRule="auto"/>
        <w:ind w:right="49"/>
        <w:jc w:val="both"/>
        <w:rPr>
          <w:rFonts w:ascii="Arial" w:eastAsia="Times New Roman" w:hAnsi="Arial" w:cs="Arial"/>
          <w:bCs/>
          <w:color w:val="0000FF"/>
          <w:spacing w:val="10"/>
          <w:u w:val="single"/>
          <w:lang w:val="es-ES_tradnl" w:eastAsia="es-ES"/>
        </w:rPr>
      </w:pPr>
      <w:r w:rsidRPr="003E6E0C">
        <w:rPr>
          <w:rFonts w:ascii="Arial" w:eastAsia="Times New Roman" w:hAnsi="Arial" w:cs="Arial"/>
          <w:bCs/>
          <w:spacing w:val="10"/>
          <w:lang w:val="es-ES_tradnl" w:eastAsia="es-ES"/>
        </w:rPr>
        <w:t>La información de la E</w:t>
      </w:r>
      <w:r>
        <w:rPr>
          <w:rFonts w:ascii="Arial" w:eastAsia="Times New Roman" w:hAnsi="Arial" w:cs="Arial"/>
          <w:bCs/>
          <w:spacing w:val="10"/>
          <w:lang w:val="es-ES_tradnl" w:eastAsia="es-ES"/>
        </w:rPr>
        <w:t>N</w:t>
      </w:r>
      <w:r w:rsidRPr="003E6E0C">
        <w:rPr>
          <w:rFonts w:ascii="Arial" w:eastAsia="Times New Roman" w:hAnsi="Arial" w:cs="Arial"/>
          <w:bCs/>
          <w:spacing w:val="10"/>
          <w:lang w:val="es-ES_tradnl" w:eastAsia="es-ES"/>
        </w:rPr>
        <w:t>OE</w:t>
      </w:r>
      <w:r>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puede consultarse en la siguiente dirección de Internet: </w:t>
      </w:r>
      <w:hyperlink r:id="rId44" w:history="1">
        <w:r w:rsidRPr="001A3C77">
          <w:rPr>
            <w:rStyle w:val="Hipervnculo"/>
            <w:rFonts w:ascii="Arial" w:eastAsia="Times New Roman" w:hAnsi="Arial" w:cs="Arial"/>
            <w:bCs/>
            <w:spacing w:val="10"/>
            <w:lang w:val="es-ES_tradnl" w:eastAsia="es-ES"/>
          </w:rPr>
          <w:t>https://www.inegi.org.mx/</w:t>
        </w:r>
      </w:hyperlink>
    </w:p>
    <w:sectPr w:rsidR="00926FED" w:rsidRPr="008B4E0B" w:rsidSect="00E64D72">
      <w:headerReference w:type="default" r:id="rId45"/>
      <w:footerReference w:type="default" r:id="rId46"/>
      <w:pgSz w:w="12240" w:h="15840"/>
      <w:pgMar w:top="1417" w:right="1467" w:bottom="1417" w:left="1701" w:header="708" w:footer="4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E6C" w:rsidRDefault="00273E6C" w:rsidP="00252EDE">
      <w:pPr>
        <w:spacing w:after="0" w:line="240" w:lineRule="auto"/>
      </w:pPr>
      <w:r>
        <w:separator/>
      </w:r>
    </w:p>
  </w:endnote>
  <w:endnote w:type="continuationSeparator" w:id="0">
    <w:p w:rsidR="00273E6C" w:rsidRDefault="00273E6C" w:rsidP="0025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hilena">
    <w:altName w:val="Chil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510" w:rsidRPr="00121A1B" w:rsidRDefault="00033510" w:rsidP="007B4B63">
    <w:pPr>
      <w:pStyle w:val="Piedepgina"/>
      <w:jc w:val="center"/>
      <w:rPr>
        <w:rFonts w:ascii="Arial" w:hAnsi="Arial" w:cs="Arial"/>
        <w:b/>
        <w:bCs/>
        <w:color w:val="002060"/>
        <w:sz w:val="20"/>
        <w:szCs w:val="20"/>
      </w:rPr>
    </w:pPr>
    <w:r w:rsidRPr="00121A1B">
      <w:rPr>
        <w:rFonts w:ascii="Arial" w:hAnsi="Arial" w:cs="Arial"/>
        <w:b/>
        <w:bCs/>
        <w:color w:val="002060"/>
        <w:sz w:val="20"/>
        <w:szCs w:val="20"/>
      </w:rPr>
      <w:t>COMUNICACIÓN SOCIAL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607080"/>
      <w:docPartObj>
        <w:docPartGallery w:val="Page Numbers (Bottom of Page)"/>
        <w:docPartUnique/>
      </w:docPartObj>
    </w:sdtPr>
    <w:sdtEndPr>
      <w:rPr>
        <w:rFonts w:ascii="Arial" w:hAnsi="Arial" w:cs="Arial"/>
        <w:b/>
        <w:bCs/>
        <w:color w:val="002060"/>
        <w:sz w:val="20"/>
        <w:szCs w:val="20"/>
      </w:rPr>
    </w:sdtEndPr>
    <w:sdtContent>
      <w:p w:rsidR="00033510" w:rsidRPr="00F14CF7" w:rsidRDefault="00033510" w:rsidP="00F14CF7">
        <w:pPr>
          <w:pStyle w:val="Piedepgina"/>
          <w:jc w:val="center"/>
          <w:rPr>
            <w:rFonts w:ascii="Arial" w:hAnsi="Arial" w:cs="Arial"/>
            <w:b/>
            <w:bCs/>
            <w:color w:val="002060"/>
            <w:sz w:val="20"/>
            <w:szCs w:val="20"/>
          </w:rPr>
        </w:pPr>
        <w:r w:rsidRPr="00F14CF7">
          <w:rPr>
            <w:rFonts w:ascii="Arial" w:hAnsi="Arial" w:cs="Arial"/>
            <w:b/>
            <w:bCs/>
            <w:color w:val="002060"/>
            <w:sz w:val="20"/>
            <w:szCs w:val="20"/>
          </w:rPr>
          <w:t>COMUNICACIÓN SOCIAL</w:t>
        </w:r>
      </w:p>
    </w:sdtContent>
  </w:sdt>
  <w:p w:rsidR="00033510" w:rsidRPr="007B4B63" w:rsidRDefault="00033510" w:rsidP="007B4B63">
    <w:pPr>
      <w:pStyle w:val="Piedepgina"/>
      <w:jc w:val="center"/>
      <w:rPr>
        <w:b/>
        <w:bCs/>
        <w:color w:val="00206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E6C" w:rsidRDefault="00273E6C" w:rsidP="00252EDE">
      <w:pPr>
        <w:spacing w:after="0" w:line="240" w:lineRule="auto"/>
      </w:pPr>
      <w:r>
        <w:separator/>
      </w:r>
    </w:p>
  </w:footnote>
  <w:footnote w:type="continuationSeparator" w:id="0">
    <w:p w:rsidR="00273E6C" w:rsidRDefault="00273E6C" w:rsidP="00252EDE">
      <w:pPr>
        <w:spacing w:after="0" w:line="240" w:lineRule="auto"/>
      </w:pPr>
      <w:r>
        <w:continuationSeparator/>
      </w:r>
    </w:p>
  </w:footnote>
  <w:footnote w:id="1">
    <w:p w:rsidR="00033510" w:rsidRDefault="00033510" w:rsidP="00945818">
      <w:pPr>
        <w:pStyle w:val="Textonotapie"/>
        <w:widowControl w:val="0"/>
        <w:spacing w:before="40"/>
        <w:ind w:left="181" w:hanging="181"/>
        <w:rPr>
          <w:sz w:val="16"/>
        </w:rPr>
      </w:pPr>
      <w:r w:rsidRPr="00DD202D">
        <w:rPr>
          <w:rStyle w:val="Refdenotaalpie"/>
          <w:sz w:val="18"/>
          <w:szCs w:val="18"/>
        </w:rPr>
        <w:footnoteRef/>
      </w:r>
      <w:r w:rsidRPr="00383A43">
        <w:rPr>
          <w:sz w:val="14"/>
          <w:szCs w:val="14"/>
          <w:lang w:val="es-MX"/>
        </w:rPr>
        <w:tab/>
      </w:r>
      <w:r w:rsidRPr="00A851A5">
        <w:rPr>
          <w:sz w:val="16"/>
        </w:rPr>
        <w:t xml:space="preserve">Los datos de la ENOE están ajustados a las proyecciones demográficas del </w:t>
      </w:r>
      <w:r w:rsidRPr="00A851A5">
        <w:rPr>
          <w:sz w:val="16"/>
          <w:szCs w:val="16"/>
        </w:rPr>
        <w:t xml:space="preserve">Consejo Nacional de Población (CONAPO), </w:t>
      </w:r>
      <w:r w:rsidRPr="00A851A5">
        <w:rPr>
          <w:sz w:val="16"/>
          <w:szCs w:val="16"/>
        </w:rPr>
        <w:br/>
        <w:t xml:space="preserve">2010-2050, </w:t>
      </w:r>
      <w:r w:rsidRPr="00A851A5">
        <w:rPr>
          <w:sz w:val="16"/>
        </w:rPr>
        <w:t>publicadas el 16 de abril de 2013.</w:t>
      </w:r>
    </w:p>
    <w:p w:rsidR="00033510" w:rsidRPr="00A851A5" w:rsidRDefault="00033510" w:rsidP="00945818">
      <w:pPr>
        <w:pStyle w:val="Textonotapie"/>
        <w:widowControl w:val="0"/>
        <w:spacing w:before="40"/>
        <w:ind w:left="181" w:hanging="181"/>
        <w:rPr>
          <w:sz w:val="16"/>
          <w:szCs w:val="16"/>
          <w:lang w:val="es-MX"/>
        </w:rPr>
      </w:pPr>
      <w:r>
        <w:rPr>
          <w:sz w:val="16"/>
        </w:rPr>
        <w:tab/>
      </w:r>
      <w:r w:rsidRPr="00492B71">
        <w:rPr>
          <w:sz w:val="16"/>
        </w:rPr>
        <w:t>La suma de los componentes que integran la estadística de la Encuesta Nacional de Ocupación y Empleo</w:t>
      </w:r>
      <w:r>
        <w:rPr>
          <w:sz w:val="16"/>
        </w:rPr>
        <w:t>. Nueva Edición (ENOE</w:t>
      </w:r>
      <w:r w:rsidRPr="008E19F3">
        <w:rPr>
          <w:sz w:val="16"/>
          <w:vertAlign w:val="superscript"/>
        </w:rPr>
        <w:t>N</w:t>
      </w:r>
      <w:r>
        <w:rPr>
          <w:sz w:val="16"/>
        </w:rPr>
        <w:t>)</w:t>
      </w:r>
      <w:r w:rsidRPr="00492B71">
        <w:rPr>
          <w:sz w:val="16"/>
        </w:rPr>
        <w:t xml:space="preserve"> que se presenta en este documento puede no coincidir con los totales debido al redondeo de las cifras.</w:t>
      </w:r>
    </w:p>
  </w:footnote>
  <w:footnote w:id="2">
    <w:p w:rsidR="00033510" w:rsidRPr="001A1D45" w:rsidRDefault="00033510" w:rsidP="00F614B1">
      <w:pPr>
        <w:pStyle w:val="Textonotapie"/>
        <w:rPr>
          <w:lang w:val="es-MX"/>
        </w:rPr>
      </w:pPr>
      <w:r>
        <w:rPr>
          <w:rStyle w:val="Refdenotaalpie"/>
        </w:rPr>
        <w:footnoteRef/>
      </w:r>
      <w:r>
        <w:t xml:space="preserve"> </w:t>
      </w:r>
      <w:r w:rsidRPr="007746BC">
        <w:rPr>
          <w:sz w:val="18"/>
          <w:szCs w:val="18"/>
        </w:rPr>
        <w:t xml:space="preserve">Para la </w:t>
      </w:r>
      <w:r w:rsidRPr="0004722C">
        <w:rPr>
          <w:sz w:val="18"/>
          <w:szCs w:val="18"/>
        </w:rPr>
        <w:t>ENOE</w:t>
      </w:r>
      <w:r>
        <w:rPr>
          <w:sz w:val="18"/>
          <w:szCs w:val="18"/>
          <w:vertAlign w:val="superscript"/>
        </w:rPr>
        <w:t>N</w:t>
      </w:r>
      <w:r w:rsidRPr="007746BC">
        <w:rPr>
          <w:sz w:val="18"/>
          <w:szCs w:val="18"/>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w:t>
      </w:r>
      <w:r>
        <w:rPr>
          <w:sz w:val="18"/>
          <w:szCs w:val="18"/>
        </w:rPr>
        <w:t xml:space="preserve"> Ver documento de Diseño Conceptual de la ENOE</w:t>
      </w:r>
      <w:r>
        <w:rPr>
          <w:sz w:val="18"/>
          <w:szCs w:val="18"/>
          <w:vertAlign w:val="superscript"/>
        </w:rPr>
        <w:t>N</w:t>
      </w:r>
      <w:r>
        <w:rPr>
          <w:sz w:val="18"/>
          <w:szCs w:val="18"/>
        </w:rPr>
        <w:t xml:space="preserve"> Sección 3.6.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510" w:rsidRPr="0012318C" w:rsidRDefault="00033510" w:rsidP="007B4B63">
    <w:pPr>
      <w:pStyle w:val="Encabezado"/>
      <w:tabs>
        <w:tab w:val="clear" w:pos="4419"/>
        <w:tab w:val="clear" w:pos="8838"/>
      </w:tabs>
      <w:ind w:left="-567" w:right="-518"/>
      <w:jc w:val="right"/>
      <w:rPr>
        <w:rFonts w:ascii="Arial" w:hAnsi="Arial"/>
        <w:b/>
        <w:color w:val="002060"/>
        <w:sz w:val="24"/>
        <w:szCs w:val="24"/>
        <w:lang w:val="pt-BR"/>
      </w:rPr>
    </w:pPr>
    <w:r>
      <w:rPr>
        <w:noProof/>
        <w:lang w:eastAsia="es-MX"/>
      </w:rPr>
      <w:drawing>
        <wp:anchor distT="0" distB="0" distL="114300" distR="114300" simplePos="0" relativeHeight="251663360" behindDoc="0" locked="0" layoutInCell="1" allowOverlap="1" wp14:anchorId="54A418B4" wp14:editId="36548370">
          <wp:simplePos x="0" y="0"/>
          <wp:positionH relativeFrom="margin">
            <wp:posOffset>-276225</wp:posOffset>
          </wp:positionH>
          <wp:positionV relativeFrom="margin">
            <wp:posOffset>-979805</wp:posOffset>
          </wp:positionV>
          <wp:extent cx="687070" cy="7143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12318C">
      <w:rPr>
        <w:rFonts w:ascii="Arial" w:hAnsi="Arial" w:cs="Arial"/>
        <w:b/>
        <w:color w:val="002060"/>
        <w:sz w:val="24"/>
        <w:szCs w:val="24"/>
      </w:rPr>
      <w:t>C</w:t>
    </w:r>
    <w:r w:rsidRPr="0012318C">
      <w:rPr>
        <w:rFonts w:ascii="Arial" w:hAnsi="Arial"/>
        <w:b/>
        <w:color w:val="002060"/>
        <w:sz w:val="24"/>
        <w:szCs w:val="24"/>
      </w:rPr>
      <w:t xml:space="preserve">OMUNICADO DE PRENSA NÚM. </w:t>
    </w:r>
    <w:r w:rsidR="007C3D68">
      <w:rPr>
        <w:rFonts w:ascii="Arial" w:hAnsi="Arial"/>
        <w:b/>
        <w:color w:val="002060"/>
        <w:sz w:val="24"/>
        <w:szCs w:val="24"/>
      </w:rPr>
      <w:t>545</w:t>
    </w:r>
    <w:r w:rsidRPr="0012318C">
      <w:rPr>
        <w:rFonts w:ascii="Arial" w:hAnsi="Arial"/>
        <w:b/>
        <w:color w:val="002060"/>
        <w:sz w:val="24"/>
        <w:szCs w:val="24"/>
      </w:rPr>
      <w:t>/20</w:t>
    </w:r>
  </w:p>
  <w:p w:rsidR="00033510" w:rsidRPr="0012318C" w:rsidRDefault="000E2453" w:rsidP="007B4B63">
    <w:pPr>
      <w:pStyle w:val="Encabezado"/>
      <w:tabs>
        <w:tab w:val="clear" w:pos="4419"/>
        <w:tab w:val="clear" w:pos="8838"/>
      </w:tabs>
      <w:ind w:left="-567" w:right="-518"/>
      <w:jc w:val="right"/>
      <w:rPr>
        <w:rFonts w:ascii="Arial" w:hAnsi="Arial"/>
        <w:b/>
        <w:color w:val="002060"/>
        <w:sz w:val="24"/>
        <w:szCs w:val="24"/>
        <w:lang w:val="pt-BR"/>
      </w:rPr>
    </w:pPr>
    <w:r>
      <w:rPr>
        <w:rFonts w:ascii="Arial" w:hAnsi="Arial"/>
        <w:b/>
        <w:color w:val="002060"/>
        <w:sz w:val="24"/>
        <w:szCs w:val="24"/>
        <w:lang w:val="pt-BR"/>
      </w:rPr>
      <w:t>18</w:t>
    </w:r>
    <w:r w:rsidR="00033510">
      <w:rPr>
        <w:rFonts w:ascii="Arial" w:hAnsi="Arial"/>
        <w:b/>
        <w:color w:val="002060"/>
        <w:sz w:val="24"/>
        <w:szCs w:val="24"/>
        <w:lang w:val="pt-BR"/>
      </w:rPr>
      <w:t xml:space="preserve"> </w:t>
    </w:r>
    <w:r w:rsidR="00033510" w:rsidRPr="0012318C">
      <w:rPr>
        <w:rFonts w:ascii="Arial" w:hAnsi="Arial"/>
        <w:b/>
        <w:color w:val="002060"/>
        <w:sz w:val="24"/>
        <w:szCs w:val="24"/>
        <w:lang w:val="pt-BR"/>
      </w:rPr>
      <w:t xml:space="preserve">DE </w:t>
    </w:r>
    <w:r w:rsidR="00033510">
      <w:rPr>
        <w:rFonts w:ascii="Arial" w:hAnsi="Arial"/>
        <w:b/>
        <w:color w:val="002060"/>
        <w:sz w:val="24"/>
        <w:szCs w:val="24"/>
        <w:lang w:val="pt-BR"/>
      </w:rPr>
      <w:t xml:space="preserve">NOVIEMBRE </w:t>
    </w:r>
    <w:r w:rsidR="00033510" w:rsidRPr="0012318C">
      <w:rPr>
        <w:rFonts w:ascii="Arial" w:hAnsi="Arial"/>
        <w:b/>
        <w:color w:val="002060"/>
        <w:sz w:val="24"/>
        <w:szCs w:val="24"/>
        <w:lang w:val="pt-BR"/>
      </w:rPr>
      <w:t>DE 2020</w:t>
    </w:r>
  </w:p>
  <w:p w:rsidR="00033510" w:rsidRDefault="00033510" w:rsidP="007B4B63">
    <w:pPr>
      <w:pStyle w:val="Encabezado"/>
      <w:tabs>
        <w:tab w:val="clear" w:pos="4419"/>
        <w:tab w:val="clear" w:pos="8838"/>
      </w:tabs>
      <w:ind w:left="-567" w:right="-518"/>
      <w:jc w:val="right"/>
      <w:rPr>
        <w:rFonts w:ascii="Arial" w:hAnsi="Arial"/>
        <w:b/>
        <w:color w:val="002060"/>
        <w:sz w:val="24"/>
        <w:szCs w:val="24"/>
      </w:rPr>
    </w:pPr>
    <w:r w:rsidRPr="0012318C">
      <w:rPr>
        <w:rFonts w:ascii="Arial" w:hAnsi="Arial"/>
        <w:b/>
        <w:color w:val="002060"/>
        <w:sz w:val="24"/>
        <w:szCs w:val="24"/>
      </w:rPr>
      <w:t xml:space="preserve">PÁGINA </w:t>
    </w:r>
    <w:r w:rsidRPr="0012318C">
      <w:rPr>
        <w:rFonts w:ascii="Arial" w:hAnsi="Arial"/>
        <w:b/>
        <w:color w:val="002060"/>
        <w:sz w:val="24"/>
        <w:szCs w:val="24"/>
      </w:rPr>
      <w:fldChar w:fldCharType="begin"/>
    </w:r>
    <w:r w:rsidRPr="0012318C">
      <w:rPr>
        <w:rFonts w:ascii="Arial" w:hAnsi="Arial"/>
        <w:b/>
        <w:color w:val="002060"/>
        <w:sz w:val="24"/>
        <w:szCs w:val="24"/>
      </w:rPr>
      <w:instrText xml:space="preserve"> PAGE  \* Arabic </w:instrText>
    </w:r>
    <w:r w:rsidRPr="0012318C">
      <w:rPr>
        <w:rFonts w:ascii="Arial" w:hAnsi="Arial"/>
        <w:b/>
        <w:color w:val="002060"/>
        <w:sz w:val="24"/>
        <w:szCs w:val="24"/>
      </w:rPr>
      <w:fldChar w:fldCharType="separate"/>
    </w:r>
    <w:r w:rsidR="00152E17">
      <w:rPr>
        <w:rFonts w:ascii="Arial" w:hAnsi="Arial"/>
        <w:b/>
        <w:noProof/>
        <w:color w:val="002060"/>
        <w:sz w:val="24"/>
        <w:szCs w:val="24"/>
      </w:rPr>
      <w:t>3</w:t>
    </w:r>
    <w:r w:rsidRPr="0012318C">
      <w:rPr>
        <w:rFonts w:ascii="Arial" w:hAnsi="Arial"/>
        <w:b/>
        <w:color w:val="002060"/>
        <w:sz w:val="24"/>
        <w:szCs w:val="24"/>
      </w:rPr>
      <w:fldChar w:fldCharType="end"/>
    </w:r>
    <w:r w:rsidRPr="0012318C">
      <w:rPr>
        <w:rFonts w:ascii="Arial" w:hAnsi="Arial"/>
        <w:b/>
        <w:color w:val="002060"/>
        <w:sz w:val="24"/>
        <w:szCs w:val="24"/>
      </w:rPr>
      <w:t>/</w:t>
    </w:r>
    <w:r>
      <w:rPr>
        <w:rFonts w:ascii="Arial" w:hAnsi="Arial"/>
        <w:b/>
        <w:color w:val="002060"/>
        <w:sz w:val="24"/>
        <w:szCs w:val="24"/>
      </w:rPr>
      <w:t>3</w:t>
    </w:r>
  </w:p>
  <w:p w:rsidR="00033510" w:rsidRPr="0012318C" w:rsidRDefault="00033510" w:rsidP="007B4B63">
    <w:pPr>
      <w:pStyle w:val="Encabezado"/>
      <w:tabs>
        <w:tab w:val="clear" w:pos="4419"/>
        <w:tab w:val="clear" w:pos="8838"/>
      </w:tabs>
      <w:ind w:left="-567" w:right="-518"/>
      <w:jc w:val="right"/>
      <w:rPr>
        <w:rFonts w:ascii="Arial" w:hAnsi="Arial"/>
        <w:b/>
        <w:color w:val="002060"/>
        <w:sz w:val="24"/>
        <w:szCs w:val="24"/>
      </w:rPr>
    </w:pPr>
  </w:p>
  <w:p w:rsidR="00033510" w:rsidRDefault="00033510" w:rsidP="00395855">
    <w:pPr>
      <w:pStyle w:val="Encabezad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510" w:rsidRPr="00FE1C98" w:rsidRDefault="00033510" w:rsidP="00A77492">
    <w:pPr>
      <w:pStyle w:val="Encabezado"/>
      <w:tabs>
        <w:tab w:val="clear" w:pos="4419"/>
        <w:tab w:val="clear" w:pos="8838"/>
      </w:tabs>
      <w:ind w:left="-567" w:right="-518"/>
      <w:jc w:val="right"/>
      <w:rPr>
        <w:rFonts w:ascii="Arial" w:hAnsi="Arial"/>
        <w:b/>
        <w:color w:val="002060"/>
        <w:sz w:val="24"/>
      </w:rPr>
    </w:pPr>
    <w:r>
      <w:rPr>
        <w:noProof/>
        <w:lang w:eastAsia="es-MX"/>
      </w:rPr>
      <w:drawing>
        <wp:anchor distT="0" distB="0" distL="114300" distR="114300" simplePos="0" relativeHeight="251659264" behindDoc="0" locked="0" layoutInCell="1" allowOverlap="1" wp14:anchorId="340DCDD4" wp14:editId="109E0607">
          <wp:simplePos x="0" y="0"/>
          <wp:positionH relativeFrom="margin">
            <wp:posOffset>2462530</wp:posOffset>
          </wp:positionH>
          <wp:positionV relativeFrom="topMargin">
            <wp:posOffset>213995</wp:posOffset>
          </wp:positionV>
          <wp:extent cx="687070" cy="714375"/>
          <wp:effectExtent l="0" t="0" r="0" b="9525"/>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4E9">
      <w:rPr>
        <w:rFonts w:ascii="Arial" w:hAnsi="Arial" w:cs="Arial"/>
        <w:b/>
        <w:color w:val="002060"/>
        <w:sz w:val="24"/>
        <w:szCs w:val="24"/>
      </w:rPr>
      <w:t xml:space="preserve"> </w:t>
    </w:r>
  </w:p>
  <w:p w:rsidR="00033510" w:rsidRDefault="00033510" w:rsidP="00395855">
    <w:pPr>
      <w:pStyle w:val="Encabezado"/>
      <w:jc w:val="center"/>
    </w:pPr>
  </w:p>
  <w:p w:rsidR="00033510" w:rsidRDefault="00033510" w:rsidP="00395855">
    <w:pPr>
      <w:pStyle w:val="Encabezado"/>
      <w:jc w:val="center"/>
    </w:pPr>
  </w:p>
  <w:p w:rsidR="00033510" w:rsidRDefault="00033510" w:rsidP="00395855">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08C"/>
    <w:multiLevelType w:val="hybridMultilevel"/>
    <w:tmpl w:val="E078115C"/>
    <w:lvl w:ilvl="0" w:tplc="049E7E62">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71ECF"/>
    <w:multiLevelType w:val="hybridMultilevel"/>
    <w:tmpl w:val="64769A12"/>
    <w:lvl w:ilvl="0" w:tplc="6FF6C354">
      <w:start w:val="1"/>
      <w:numFmt w:val="decimal"/>
      <w:lvlText w:val="%1."/>
      <w:lvlJc w:val="left"/>
      <w:pPr>
        <w:ind w:left="720" w:hanging="360"/>
      </w:pPr>
      <w:rPr>
        <w:rFonts w:ascii="Arial" w:hAnsi="Arial"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923DF"/>
    <w:multiLevelType w:val="hybridMultilevel"/>
    <w:tmpl w:val="31749376"/>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4C3875"/>
    <w:multiLevelType w:val="hybridMultilevel"/>
    <w:tmpl w:val="094CE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6" w15:restartNumberingAfterBreak="0">
    <w:nsid w:val="22CF14EB"/>
    <w:multiLevelType w:val="hybridMultilevel"/>
    <w:tmpl w:val="60D410B2"/>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5">
      <w:start w:val="1"/>
      <w:numFmt w:val="bullet"/>
      <w:lvlText w:val=""/>
      <w:lvlJc w:val="left"/>
      <w:pPr>
        <w:ind w:left="883" w:hanging="360"/>
      </w:pPr>
      <w:rPr>
        <w:rFonts w:ascii="Wingdings" w:hAnsi="Wingdings"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7" w15:restartNumberingAfterBreak="0">
    <w:nsid w:val="30EF7AFF"/>
    <w:multiLevelType w:val="hybridMultilevel"/>
    <w:tmpl w:val="CF069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202F20"/>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784291"/>
    <w:multiLevelType w:val="hybridMultilevel"/>
    <w:tmpl w:val="45C4E23C"/>
    <w:lvl w:ilvl="0" w:tplc="A51A7B1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5A2AE8"/>
    <w:multiLevelType w:val="hybridMultilevel"/>
    <w:tmpl w:val="19F8C5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9C3A06"/>
    <w:multiLevelType w:val="hybridMultilevel"/>
    <w:tmpl w:val="553AFDEC"/>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2" w15:restartNumberingAfterBreak="0">
    <w:nsid w:val="45063CC3"/>
    <w:multiLevelType w:val="hybridMultilevel"/>
    <w:tmpl w:val="86FC0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4" w15:restartNumberingAfterBreak="0">
    <w:nsid w:val="4B2040E3"/>
    <w:multiLevelType w:val="hybridMultilevel"/>
    <w:tmpl w:val="27EAA95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1E45BF"/>
    <w:multiLevelType w:val="hybridMultilevel"/>
    <w:tmpl w:val="07A20B10"/>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3479BF"/>
    <w:multiLevelType w:val="hybridMultilevel"/>
    <w:tmpl w:val="E438B7F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7" w15:restartNumberingAfterBreak="0">
    <w:nsid w:val="4FC32D25"/>
    <w:multiLevelType w:val="hybridMultilevel"/>
    <w:tmpl w:val="5BAA26DE"/>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1">
      <w:start w:val="1"/>
      <w:numFmt w:val="bullet"/>
      <w:lvlText w:val=""/>
      <w:lvlJc w:val="left"/>
      <w:pPr>
        <w:ind w:left="883" w:hanging="360"/>
      </w:pPr>
      <w:rPr>
        <w:rFonts w:ascii="Symbol" w:hAnsi="Symbol"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18" w15:restartNumberingAfterBreak="0">
    <w:nsid w:val="534E184C"/>
    <w:multiLevelType w:val="hybridMultilevel"/>
    <w:tmpl w:val="67E437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3E66D9"/>
    <w:multiLevelType w:val="hybridMultilevel"/>
    <w:tmpl w:val="AE824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6F18FB"/>
    <w:multiLevelType w:val="hybridMultilevel"/>
    <w:tmpl w:val="072A4E64"/>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9E94D0B"/>
    <w:multiLevelType w:val="hybridMultilevel"/>
    <w:tmpl w:val="DE808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AF4E0B"/>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012974"/>
    <w:multiLevelType w:val="hybridMultilevel"/>
    <w:tmpl w:val="EE0E24B4"/>
    <w:lvl w:ilvl="0" w:tplc="5A304654">
      <w:start w:val="1"/>
      <w:numFmt w:val="decimal"/>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8F7C79"/>
    <w:multiLevelType w:val="hybridMultilevel"/>
    <w:tmpl w:val="70421AEA"/>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AF3F82"/>
    <w:multiLevelType w:val="hybridMultilevel"/>
    <w:tmpl w:val="18F4A2D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6"/>
  </w:num>
  <w:num w:numId="4">
    <w:abstractNumId w:val="16"/>
  </w:num>
  <w:num w:numId="5">
    <w:abstractNumId w:val="11"/>
  </w:num>
  <w:num w:numId="6">
    <w:abstractNumId w:val="4"/>
  </w:num>
  <w:num w:numId="7">
    <w:abstractNumId w:val="21"/>
  </w:num>
  <w:num w:numId="8">
    <w:abstractNumId w:val="15"/>
  </w:num>
  <w:num w:numId="9">
    <w:abstractNumId w:val="1"/>
  </w:num>
  <w:num w:numId="10">
    <w:abstractNumId w:val="14"/>
  </w:num>
  <w:num w:numId="11">
    <w:abstractNumId w:val="18"/>
  </w:num>
  <w:num w:numId="12">
    <w:abstractNumId w:val="9"/>
  </w:num>
  <w:num w:numId="13">
    <w:abstractNumId w:val="25"/>
  </w:num>
  <w:num w:numId="14">
    <w:abstractNumId w:val="20"/>
  </w:num>
  <w:num w:numId="15">
    <w:abstractNumId w:val="2"/>
  </w:num>
  <w:num w:numId="16">
    <w:abstractNumId w:val="24"/>
  </w:num>
  <w:num w:numId="17">
    <w:abstractNumId w:val="19"/>
  </w:num>
  <w:num w:numId="18">
    <w:abstractNumId w:val="12"/>
  </w:num>
  <w:num w:numId="19">
    <w:abstractNumId w:val="22"/>
  </w:num>
  <w:num w:numId="20">
    <w:abstractNumId w:val="0"/>
  </w:num>
  <w:num w:numId="21">
    <w:abstractNumId w:val="3"/>
  </w:num>
  <w:num w:numId="22">
    <w:abstractNumId w:val="10"/>
  </w:num>
  <w:num w:numId="23">
    <w:abstractNumId w:val="7"/>
  </w:num>
  <w:num w:numId="24">
    <w:abstractNumId w:val="23"/>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DE"/>
    <w:rsid w:val="00000449"/>
    <w:rsid w:val="00002128"/>
    <w:rsid w:val="0000410E"/>
    <w:rsid w:val="000044E4"/>
    <w:rsid w:val="0000500B"/>
    <w:rsid w:val="0000569C"/>
    <w:rsid w:val="0000656B"/>
    <w:rsid w:val="00007612"/>
    <w:rsid w:val="000103F8"/>
    <w:rsid w:val="000127EC"/>
    <w:rsid w:val="00012BE5"/>
    <w:rsid w:val="0001338B"/>
    <w:rsid w:val="00013C97"/>
    <w:rsid w:val="00014404"/>
    <w:rsid w:val="00014BA1"/>
    <w:rsid w:val="0001502C"/>
    <w:rsid w:val="000170BD"/>
    <w:rsid w:val="00017CCF"/>
    <w:rsid w:val="0002334D"/>
    <w:rsid w:val="00024DB5"/>
    <w:rsid w:val="000263CA"/>
    <w:rsid w:val="00026AC1"/>
    <w:rsid w:val="00026F66"/>
    <w:rsid w:val="00027DCE"/>
    <w:rsid w:val="00027DDE"/>
    <w:rsid w:val="00030476"/>
    <w:rsid w:val="00031472"/>
    <w:rsid w:val="00031479"/>
    <w:rsid w:val="00032B43"/>
    <w:rsid w:val="00033510"/>
    <w:rsid w:val="00034203"/>
    <w:rsid w:val="000343B0"/>
    <w:rsid w:val="000349C3"/>
    <w:rsid w:val="0003597F"/>
    <w:rsid w:val="000360B9"/>
    <w:rsid w:val="00036B89"/>
    <w:rsid w:val="0004099D"/>
    <w:rsid w:val="00041B88"/>
    <w:rsid w:val="000429F6"/>
    <w:rsid w:val="0004410C"/>
    <w:rsid w:val="000456A6"/>
    <w:rsid w:val="00046ED9"/>
    <w:rsid w:val="0004722C"/>
    <w:rsid w:val="0004741F"/>
    <w:rsid w:val="000478B3"/>
    <w:rsid w:val="00047E68"/>
    <w:rsid w:val="00047F84"/>
    <w:rsid w:val="00052B79"/>
    <w:rsid w:val="00052D90"/>
    <w:rsid w:val="0005308A"/>
    <w:rsid w:val="000533DD"/>
    <w:rsid w:val="000534B3"/>
    <w:rsid w:val="00055ABA"/>
    <w:rsid w:val="00057EB7"/>
    <w:rsid w:val="00060471"/>
    <w:rsid w:val="000609B2"/>
    <w:rsid w:val="00062B81"/>
    <w:rsid w:val="0006385F"/>
    <w:rsid w:val="00066757"/>
    <w:rsid w:val="0006750C"/>
    <w:rsid w:val="00070A45"/>
    <w:rsid w:val="00071E5E"/>
    <w:rsid w:val="000759C3"/>
    <w:rsid w:val="000765AE"/>
    <w:rsid w:val="00077AE7"/>
    <w:rsid w:val="00082B39"/>
    <w:rsid w:val="00083C32"/>
    <w:rsid w:val="00083F37"/>
    <w:rsid w:val="00084323"/>
    <w:rsid w:val="0008467F"/>
    <w:rsid w:val="000857E1"/>
    <w:rsid w:val="00085AE1"/>
    <w:rsid w:val="00085D3E"/>
    <w:rsid w:val="00087504"/>
    <w:rsid w:val="00090065"/>
    <w:rsid w:val="000927EB"/>
    <w:rsid w:val="0009689C"/>
    <w:rsid w:val="00096D8A"/>
    <w:rsid w:val="000A3A97"/>
    <w:rsid w:val="000A46F5"/>
    <w:rsid w:val="000A5237"/>
    <w:rsid w:val="000A5ABC"/>
    <w:rsid w:val="000B1967"/>
    <w:rsid w:val="000B206F"/>
    <w:rsid w:val="000B3812"/>
    <w:rsid w:val="000B425A"/>
    <w:rsid w:val="000B4D68"/>
    <w:rsid w:val="000B74FD"/>
    <w:rsid w:val="000C192D"/>
    <w:rsid w:val="000C2469"/>
    <w:rsid w:val="000C304B"/>
    <w:rsid w:val="000C3BB1"/>
    <w:rsid w:val="000C5F88"/>
    <w:rsid w:val="000C73EB"/>
    <w:rsid w:val="000C7858"/>
    <w:rsid w:val="000D0FB4"/>
    <w:rsid w:val="000D1613"/>
    <w:rsid w:val="000D47A4"/>
    <w:rsid w:val="000D6469"/>
    <w:rsid w:val="000D654B"/>
    <w:rsid w:val="000D7D55"/>
    <w:rsid w:val="000E0518"/>
    <w:rsid w:val="000E16CF"/>
    <w:rsid w:val="000E19FE"/>
    <w:rsid w:val="000E2453"/>
    <w:rsid w:val="000E293B"/>
    <w:rsid w:val="000E30CA"/>
    <w:rsid w:val="000E4005"/>
    <w:rsid w:val="000E55A8"/>
    <w:rsid w:val="000E62A3"/>
    <w:rsid w:val="000E6CEB"/>
    <w:rsid w:val="000E7460"/>
    <w:rsid w:val="000E7BE6"/>
    <w:rsid w:val="000E7CD4"/>
    <w:rsid w:val="000F0B17"/>
    <w:rsid w:val="000F13CC"/>
    <w:rsid w:val="000F2CD4"/>
    <w:rsid w:val="000F4128"/>
    <w:rsid w:val="000F469B"/>
    <w:rsid w:val="000F4BDA"/>
    <w:rsid w:val="000F5DF5"/>
    <w:rsid w:val="000F6AB5"/>
    <w:rsid w:val="000F70DC"/>
    <w:rsid w:val="000F7D3E"/>
    <w:rsid w:val="00100104"/>
    <w:rsid w:val="001019F9"/>
    <w:rsid w:val="00101BB9"/>
    <w:rsid w:val="0010263A"/>
    <w:rsid w:val="00103311"/>
    <w:rsid w:val="001047BD"/>
    <w:rsid w:val="0010615D"/>
    <w:rsid w:val="00106F4D"/>
    <w:rsid w:val="00110FED"/>
    <w:rsid w:val="00116A92"/>
    <w:rsid w:val="0012093A"/>
    <w:rsid w:val="00120D04"/>
    <w:rsid w:val="00121A1B"/>
    <w:rsid w:val="00121E72"/>
    <w:rsid w:val="0012446A"/>
    <w:rsid w:val="00124873"/>
    <w:rsid w:val="00124D74"/>
    <w:rsid w:val="00125159"/>
    <w:rsid w:val="00125876"/>
    <w:rsid w:val="00126A54"/>
    <w:rsid w:val="00130744"/>
    <w:rsid w:val="001327FB"/>
    <w:rsid w:val="00132B5D"/>
    <w:rsid w:val="00133BD8"/>
    <w:rsid w:val="00135833"/>
    <w:rsid w:val="00137A43"/>
    <w:rsid w:val="00140502"/>
    <w:rsid w:val="001406FA"/>
    <w:rsid w:val="00140AB5"/>
    <w:rsid w:val="00144389"/>
    <w:rsid w:val="001458DD"/>
    <w:rsid w:val="001521FB"/>
    <w:rsid w:val="00152E17"/>
    <w:rsid w:val="001530F2"/>
    <w:rsid w:val="001531CF"/>
    <w:rsid w:val="001535F5"/>
    <w:rsid w:val="00156D29"/>
    <w:rsid w:val="00156ED7"/>
    <w:rsid w:val="00157838"/>
    <w:rsid w:val="00160BE9"/>
    <w:rsid w:val="00162D4A"/>
    <w:rsid w:val="001661D1"/>
    <w:rsid w:val="001664C9"/>
    <w:rsid w:val="00167BAC"/>
    <w:rsid w:val="0017007B"/>
    <w:rsid w:val="00170737"/>
    <w:rsid w:val="001729F9"/>
    <w:rsid w:val="00173607"/>
    <w:rsid w:val="00176A34"/>
    <w:rsid w:val="00176C8B"/>
    <w:rsid w:val="00177695"/>
    <w:rsid w:val="00181855"/>
    <w:rsid w:val="00182481"/>
    <w:rsid w:val="00182EFF"/>
    <w:rsid w:val="001839E4"/>
    <w:rsid w:val="00186B65"/>
    <w:rsid w:val="00190391"/>
    <w:rsid w:val="00193E1C"/>
    <w:rsid w:val="00194332"/>
    <w:rsid w:val="00197104"/>
    <w:rsid w:val="001A0A0C"/>
    <w:rsid w:val="001A1CD1"/>
    <w:rsid w:val="001A1D45"/>
    <w:rsid w:val="001A5BAE"/>
    <w:rsid w:val="001A631B"/>
    <w:rsid w:val="001A7BF5"/>
    <w:rsid w:val="001B08D2"/>
    <w:rsid w:val="001B0CB5"/>
    <w:rsid w:val="001B31FA"/>
    <w:rsid w:val="001B5186"/>
    <w:rsid w:val="001B5BD3"/>
    <w:rsid w:val="001B6750"/>
    <w:rsid w:val="001B67A8"/>
    <w:rsid w:val="001B7198"/>
    <w:rsid w:val="001C6E34"/>
    <w:rsid w:val="001D0569"/>
    <w:rsid w:val="001D1D98"/>
    <w:rsid w:val="001D1F01"/>
    <w:rsid w:val="001D293E"/>
    <w:rsid w:val="001D4E1E"/>
    <w:rsid w:val="001D6039"/>
    <w:rsid w:val="001D691F"/>
    <w:rsid w:val="001E2286"/>
    <w:rsid w:val="001E6023"/>
    <w:rsid w:val="001E7124"/>
    <w:rsid w:val="001F13DE"/>
    <w:rsid w:val="001F1F8C"/>
    <w:rsid w:val="001F4770"/>
    <w:rsid w:val="001F51FA"/>
    <w:rsid w:val="001F6BCC"/>
    <w:rsid w:val="001F7068"/>
    <w:rsid w:val="00200FD9"/>
    <w:rsid w:val="0020118F"/>
    <w:rsid w:val="002024E8"/>
    <w:rsid w:val="00204E2F"/>
    <w:rsid w:val="00206A08"/>
    <w:rsid w:val="00207254"/>
    <w:rsid w:val="0020740F"/>
    <w:rsid w:val="00210681"/>
    <w:rsid w:val="002129BF"/>
    <w:rsid w:val="002136CF"/>
    <w:rsid w:val="0021404B"/>
    <w:rsid w:val="00215B78"/>
    <w:rsid w:val="002177E6"/>
    <w:rsid w:val="00217B1C"/>
    <w:rsid w:val="002204AF"/>
    <w:rsid w:val="002206DE"/>
    <w:rsid w:val="00220E74"/>
    <w:rsid w:val="0022260B"/>
    <w:rsid w:val="0022319E"/>
    <w:rsid w:val="00224419"/>
    <w:rsid w:val="002247F1"/>
    <w:rsid w:val="00227C5F"/>
    <w:rsid w:val="00230374"/>
    <w:rsid w:val="0023358E"/>
    <w:rsid w:val="002344ED"/>
    <w:rsid w:val="00234FFC"/>
    <w:rsid w:val="002351AF"/>
    <w:rsid w:val="00236E58"/>
    <w:rsid w:val="00240207"/>
    <w:rsid w:val="0024075B"/>
    <w:rsid w:val="0024134C"/>
    <w:rsid w:val="00241CC3"/>
    <w:rsid w:val="00242C86"/>
    <w:rsid w:val="00243EBE"/>
    <w:rsid w:val="00244B3F"/>
    <w:rsid w:val="002471D2"/>
    <w:rsid w:val="0025075E"/>
    <w:rsid w:val="00251565"/>
    <w:rsid w:val="00252516"/>
    <w:rsid w:val="002525B7"/>
    <w:rsid w:val="00252EDE"/>
    <w:rsid w:val="00253FBB"/>
    <w:rsid w:val="002549AA"/>
    <w:rsid w:val="00255227"/>
    <w:rsid w:val="00261581"/>
    <w:rsid w:val="00263175"/>
    <w:rsid w:val="00263C9D"/>
    <w:rsid w:val="00264CBD"/>
    <w:rsid w:val="002702AD"/>
    <w:rsid w:val="0027170E"/>
    <w:rsid w:val="00273E6C"/>
    <w:rsid w:val="00274148"/>
    <w:rsid w:val="002756BF"/>
    <w:rsid w:val="00275A4B"/>
    <w:rsid w:val="00276398"/>
    <w:rsid w:val="00276B5A"/>
    <w:rsid w:val="0028018C"/>
    <w:rsid w:val="00281D55"/>
    <w:rsid w:val="00284F64"/>
    <w:rsid w:val="00291F8A"/>
    <w:rsid w:val="00292E50"/>
    <w:rsid w:val="00293B5C"/>
    <w:rsid w:val="00294F78"/>
    <w:rsid w:val="00297082"/>
    <w:rsid w:val="00297F7C"/>
    <w:rsid w:val="002A1C27"/>
    <w:rsid w:val="002A2A18"/>
    <w:rsid w:val="002A31D5"/>
    <w:rsid w:val="002A45EE"/>
    <w:rsid w:val="002A628B"/>
    <w:rsid w:val="002A64BB"/>
    <w:rsid w:val="002B093F"/>
    <w:rsid w:val="002B23D5"/>
    <w:rsid w:val="002B3391"/>
    <w:rsid w:val="002B33C9"/>
    <w:rsid w:val="002B3C3B"/>
    <w:rsid w:val="002B3CA4"/>
    <w:rsid w:val="002B5E87"/>
    <w:rsid w:val="002B6B8E"/>
    <w:rsid w:val="002C0933"/>
    <w:rsid w:val="002C2924"/>
    <w:rsid w:val="002C529E"/>
    <w:rsid w:val="002D0C18"/>
    <w:rsid w:val="002D0DDF"/>
    <w:rsid w:val="002D1644"/>
    <w:rsid w:val="002D2334"/>
    <w:rsid w:val="002D496E"/>
    <w:rsid w:val="002D4982"/>
    <w:rsid w:val="002D749A"/>
    <w:rsid w:val="002E1C6E"/>
    <w:rsid w:val="002E2336"/>
    <w:rsid w:val="002E29DD"/>
    <w:rsid w:val="002E3151"/>
    <w:rsid w:val="002E4A8D"/>
    <w:rsid w:val="002E4F02"/>
    <w:rsid w:val="002F0A87"/>
    <w:rsid w:val="002F0CEE"/>
    <w:rsid w:val="002F10E9"/>
    <w:rsid w:val="002F15DA"/>
    <w:rsid w:val="002F17EA"/>
    <w:rsid w:val="002F2660"/>
    <w:rsid w:val="002F2C46"/>
    <w:rsid w:val="002F477C"/>
    <w:rsid w:val="002F4F1D"/>
    <w:rsid w:val="002F68C6"/>
    <w:rsid w:val="002F72F7"/>
    <w:rsid w:val="00300FEB"/>
    <w:rsid w:val="00304ABC"/>
    <w:rsid w:val="00311117"/>
    <w:rsid w:val="00311BBD"/>
    <w:rsid w:val="00314BF4"/>
    <w:rsid w:val="00314EB9"/>
    <w:rsid w:val="00316CD7"/>
    <w:rsid w:val="00317ED8"/>
    <w:rsid w:val="0032157A"/>
    <w:rsid w:val="0032196F"/>
    <w:rsid w:val="00322069"/>
    <w:rsid w:val="00327531"/>
    <w:rsid w:val="0032783F"/>
    <w:rsid w:val="00330002"/>
    <w:rsid w:val="003314DD"/>
    <w:rsid w:val="00331BCE"/>
    <w:rsid w:val="00332E17"/>
    <w:rsid w:val="0034119E"/>
    <w:rsid w:val="003427BB"/>
    <w:rsid w:val="00342AF7"/>
    <w:rsid w:val="00343375"/>
    <w:rsid w:val="0034353E"/>
    <w:rsid w:val="00343A70"/>
    <w:rsid w:val="003441B7"/>
    <w:rsid w:val="00344D4B"/>
    <w:rsid w:val="003478EF"/>
    <w:rsid w:val="00350F1A"/>
    <w:rsid w:val="0035282A"/>
    <w:rsid w:val="003538B0"/>
    <w:rsid w:val="00354116"/>
    <w:rsid w:val="00354947"/>
    <w:rsid w:val="00355483"/>
    <w:rsid w:val="00357EE5"/>
    <w:rsid w:val="00357F40"/>
    <w:rsid w:val="00363FFC"/>
    <w:rsid w:val="00365405"/>
    <w:rsid w:val="00365C61"/>
    <w:rsid w:val="00366564"/>
    <w:rsid w:val="0037146B"/>
    <w:rsid w:val="0037407A"/>
    <w:rsid w:val="003848B4"/>
    <w:rsid w:val="0038651E"/>
    <w:rsid w:val="00387213"/>
    <w:rsid w:val="00387E2B"/>
    <w:rsid w:val="00390582"/>
    <w:rsid w:val="0039067D"/>
    <w:rsid w:val="00390E88"/>
    <w:rsid w:val="00392FCC"/>
    <w:rsid w:val="00393319"/>
    <w:rsid w:val="003936CE"/>
    <w:rsid w:val="00395855"/>
    <w:rsid w:val="003966E8"/>
    <w:rsid w:val="00397083"/>
    <w:rsid w:val="0039727C"/>
    <w:rsid w:val="003A1A4D"/>
    <w:rsid w:val="003A319F"/>
    <w:rsid w:val="003A4F94"/>
    <w:rsid w:val="003A4FC0"/>
    <w:rsid w:val="003A5389"/>
    <w:rsid w:val="003A543B"/>
    <w:rsid w:val="003A5769"/>
    <w:rsid w:val="003A5950"/>
    <w:rsid w:val="003A7249"/>
    <w:rsid w:val="003B0A8E"/>
    <w:rsid w:val="003B1E78"/>
    <w:rsid w:val="003B3119"/>
    <w:rsid w:val="003B463E"/>
    <w:rsid w:val="003B4E17"/>
    <w:rsid w:val="003B4F7A"/>
    <w:rsid w:val="003B5367"/>
    <w:rsid w:val="003B5CC8"/>
    <w:rsid w:val="003B7D34"/>
    <w:rsid w:val="003C02BD"/>
    <w:rsid w:val="003C121E"/>
    <w:rsid w:val="003C255E"/>
    <w:rsid w:val="003C3AA2"/>
    <w:rsid w:val="003C400B"/>
    <w:rsid w:val="003C44CE"/>
    <w:rsid w:val="003C5D59"/>
    <w:rsid w:val="003C7129"/>
    <w:rsid w:val="003C7CCE"/>
    <w:rsid w:val="003D0B51"/>
    <w:rsid w:val="003D2B6A"/>
    <w:rsid w:val="003D49E3"/>
    <w:rsid w:val="003E086D"/>
    <w:rsid w:val="003E1286"/>
    <w:rsid w:val="003E1EAC"/>
    <w:rsid w:val="003E203B"/>
    <w:rsid w:val="003E345D"/>
    <w:rsid w:val="003E434F"/>
    <w:rsid w:val="003E61FA"/>
    <w:rsid w:val="003E6D39"/>
    <w:rsid w:val="003F1245"/>
    <w:rsid w:val="003F1FE9"/>
    <w:rsid w:val="003F25FD"/>
    <w:rsid w:val="003F2E12"/>
    <w:rsid w:val="003F3475"/>
    <w:rsid w:val="003F4FB4"/>
    <w:rsid w:val="003F520F"/>
    <w:rsid w:val="003F691E"/>
    <w:rsid w:val="003F6E0D"/>
    <w:rsid w:val="003F7739"/>
    <w:rsid w:val="003F7884"/>
    <w:rsid w:val="004010FE"/>
    <w:rsid w:val="004029F4"/>
    <w:rsid w:val="00405792"/>
    <w:rsid w:val="004076AC"/>
    <w:rsid w:val="0040790D"/>
    <w:rsid w:val="00410475"/>
    <w:rsid w:val="004112D2"/>
    <w:rsid w:val="004140CA"/>
    <w:rsid w:val="00415EEF"/>
    <w:rsid w:val="00416493"/>
    <w:rsid w:val="00424637"/>
    <w:rsid w:val="004247BF"/>
    <w:rsid w:val="0042507D"/>
    <w:rsid w:val="00426C9A"/>
    <w:rsid w:val="004275AA"/>
    <w:rsid w:val="00427871"/>
    <w:rsid w:val="0043090B"/>
    <w:rsid w:val="00434044"/>
    <w:rsid w:val="00434D5B"/>
    <w:rsid w:val="0043570F"/>
    <w:rsid w:val="00435A6C"/>
    <w:rsid w:val="00436C36"/>
    <w:rsid w:val="00440634"/>
    <w:rsid w:val="00441008"/>
    <w:rsid w:val="0044186D"/>
    <w:rsid w:val="0044326C"/>
    <w:rsid w:val="0044335D"/>
    <w:rsid w:val="00443C9D"/>
    <w:rsid w:val="00444BB3"/>
    <w:rsid w:val="00445223"/>
    <w:rsid w:val="004455A8"/>
    <w:rsid w:val="00450261"/>
    <w:rsid w:val="00450478"/>
    <w:rsid w:val="00451645"/>
    <w:rsid w:val="004540FE"/>
    <w:rsid w:val="00454108"/>
    <w:rsid w:val="00456512"/>
    <w:rsid w:val="004626B9"/>
    <w:rsid w:val="00462BF9"/>
    <w:rsid w:val="004670C5"/>
    <w:rsid w:val="00472882"/>
    <w:rsid w:val="00474AEE"/>
    <w:rsid w:val="00477BD2"/>
    <w:rsid w:val="00480E8A"/>
    <w:rsid w:val="00481417"/>
    <w:rsid w:val="004829C1"/>
    <w:rsid w:val="0048330F"/>
    <w:rsid w:val="00484460"/>
    <w:rsid w:val="00484A52"/>
    <w:rsid w:val="004870E6"/>
    <w:rsid w:val="00487D0E"/>
    <w:rsid w:val="00491C7C"/>
    <w:rsid w:val="00492380"/>
    <w:rsid w:val="0049275E"/>
    <w:rsid w:val="0049368F"/>
    <w:rsid w:val="00494339"/>
    <w:rsid w:val="00496002"/>
    <w:rsid w:val="004A0A2E"/>
    <w:rsid w:val="004A2EE1"/>
    <w:rsid w:val="004A4015"/>
    <w:rsid w:val="004A5619"/>
    <w:rsid w:val="004A5932"/>
    <w:rsid w:val="004B0B64"/>
    <w:rsid w:val="004B0E5B"/>
    <w:rsid w:val="004B2675"/>
    <w:rsid w:val="004B30CC"/>
    <w:rsid w:val="004B380C"/>
    <w:rsid w:val="004B3BE0"/>
    <w:rsid w:val="004B609B"/>
    <w:rsid w:val="004B60E7"/>
    <w:rsid w:val="004B67E2"/>
    <w:rsid w:val="004C0061"/>
    <w:rsid w:val="004C0543"/>
    <w:rsid w:val="004C17FD"/>
    <w:rsid w:val="004C1AB7"/>
    <w:rsid w:val="004C24E9"/>
    <w:rsid w:val="004C3778"/>
    <w:rsid w:val="004C4235"/>
    <w:rsid w:val="004C5062"/>
    <w:rsid w:val="004C5F77"/>
    <w:rsid w:val="004C6D3F"/>
    <w:rsid w:val="004D488B"/>
    <w:rsid w:val="004D5BC6"/>
    <w:rsid w:val="004D5C03"/>
    <w:rsid w:val="004E00FF"/>
    <w:rsid w:val="004E036B"/>
    <w:rsid w:val="004E039F"/>
    <w:rsid w:val="004E1598"/>
    <w:rsid w:val="004E1B1D"/>
    <w:rsid w:val="004E65C3"/>
    <w:rsid w:val="004E678C"/>
    <w:rsid w:val="004F51C8"/>
    <w:rsid w:val="004F6D6A"/>
    <w:rsid w:val="004F7EFD"/>
    <w:rsid w:val="00501938"/>
    <w:rsid w:val="00503BD1"/>
    <w:rsid w:val="00505C44"/>
    <w:rsid w:val="005068B9"/>
    <w:rsid w:val="00506F61"/>
    <w:rsid w:val="005112CA"/>
    <w:rsid w:val="005126F9"/>
    <w:rsid w:val="00513265"/>
    <w:rsid w:val="00513E8F"/>
    <w:rsid w:val="00513EC4"/>
    <w:rsid w:val="00514AF4"/>
    <w:rsid w:val="00515CF9"/>
    <w:rsid w:val="00516F2C"/>
    <w:rsid w:val="00520245"/>
    <w:rsid w:val="00521A09"/>
    <w:rsid w:val="0052446B"/>
    <w:rsid w:val="00524F19"/>
    <w:rsid w:val="0052736C"/>
    <w:rsid w:val="00527920"/>
    <w:rsid w:val="00527E58"/>
    <w:rsid w:val="005317BF"/>
    <w:rsid w:val="0053239F"/>
    <w:rsid w:val="00532A08"/>
    <w:rsid w:val="00533043"/>
    <w:rsid w:val="005347BD"/>
    <w:rsid w:val="00534882"/>
    <w:rsid w:val="00534F1A"/>
    <w:rsid w:val="005357A2"/>
    <w:rsid w:val="00536048"/>
    <w:rsid w:val="005363FE"/>
    <w:rsid w:val="0053681E"/>
    <w:rsid w:val="0053694E"/>
    <w:rsid w:val="0054040B"/>
    <w:rsid w:val="00540F23"/>
    <w:rsid w:val="00541FD6"/>
    <w:rsid w:val="00542A95"/>
    <w:rsid w:val="0054404B"/>
    <w:rsid w:val="005441FE"/>
    <w:rsid w:val="005448EC"/>
    <w:rsid w:val="00546CE1"/>
    <w:rsid w:val="00547B67"/>
    <w:rsid w:val="005521E1"/>
    <w:rsid w:val="0055379C"/>
    <w:rsid w:val="0055593A"/>
    <w:rsid w:val="0055613A"/>
    <w:rsid w:val="005563F6"/>
    <w:rsid w:val="00556C7A"/>
    <w:rsid w:val="00560257"/>
    <w:rsid w:val="005605B2"/>
    <w:rsid w:val="00564D4B"/>
    <w:rsid w:val="005701AB"/>
    <w:rsid w:val="00570480"/>
    <w:rsid w:val="00571052"/>
    <w:rsid w:val="00574F1E"/>
    <w:rsid w:val="00576AD4"/>
    <w:rsid w:val="005802F2"/>
    <w:rsid w:val="00581422"/>
    <w:rsid w:val="00582E02"/>
    <w:rsid w:val="00582FC6"/>
    <w:rsid w:val="00583C12"/>
    <w:rsid w:val="00585B30"/>
    <w:rsid w:val="00586151"/>
    <w:rsid w:val="0059639B"/>
    <w:rsid w:val="005A0D6B"/>
    <w:rsid w:val="005A15F8"/>
    <w:rsid w:val="005A1EEB"/>
    <w:rsid w:val="005A37EE"/>
    <w:rsid w:val="005A3886"/>
    <w:rsid w:val="005A3CB1"/>
    <w:rsid w:val="005A47F8"/>
    <w:rsid w:val="005B0767"/>
    <w:rsid w:val="005B19A6"/>
    <w:rsid w:val="005B4C15"/>
    <w:rsid w:val="005B53EF"/>
    <w:rsid w:val="005B54EE"/>
    <w:rsid w:val="005B551E"/>
    <w:rsid w:val="005B5D92"/>
    <w:rsid w:val="005B7553"/>
    <w:rsid w:val="005B76CF"/>
    <w:rsid w:val="005C06FE"/>
    <w:rsid w:val="005C2CF7"/>
    <w:rsid w:val="005C4141"/>
    <w:rsid w:val="005C58B4"/>
    <w:rsid w:val="005C6415"/>
    <w:rsid w:val="005C7C06"/>
    <w:rsid w:val="005D0702"/>
    <w:rsid w:val="005D35A0"/>
    <w:rsid w:val="005D4882"/>
    <w:rsid w:val="005D7F7B"/>
    <w:rsid w:val="005E0992"/>
    <w:rsid w:val="005E1CCB"/>
    <w:rsid w:val="005E26A8"/>
    <w:rsid w:val="005E583C"/>
    <w:rsid w:val="005E600D"/>
    <w:rsid w:val="005E6934"/>
    <w:rsid w:val="005F0830"/>
    <w:rsid w:val="005F176A"/>
    <w:rsid w:val="005F235D"/>
    <w:rsid w:val="005F2D33"/>
    <w:rsid w:val="005F4437"/>
    <w:rsid w:val="005F4A51"/>
    <w:rsid w:val="005F5D2F"/>
    <w:rsid w:val="006007E9"/>
    <w:rsid w:val="0060427D"/>
    <w:rsid w:val="00604A2B"/>
    <w:rsid w:val="00604CE1"/>
    <w:rsid w:val="0060714C"/>
    <w:rsid w:val="00610A8C"/>
    <w:rsid w:val="00610F1C"/>
    <w:rsid w:val="00611C39"/>
    <w:rsid w:val="00613835"/>
    <w:rsid w:val="00614091"/>
    <w:rsid w:val="0061598B"/>
    <w:rsid w:val="00616957"/>
    <w:rsid w:val="00621655"/>
    <w:rsid w:val="00622E76"/>
    <w:rsid w:val="0062694B"/>
    <w:rsid w:val="00626C9B"/>
    <w:rsid w:val="0062757F"/>
    <w:rsid w:val="00630A61"/>
    <w:rsid w:val="006319B0"/>
    <w:rsid w:val="00632826"/>
    <w:rsid w:val="00632DAC"/>
    <w:rsid w:val="00634554"/>
    <w:rsid w:val="00634A65"/>
    <w:rsid w:val="00634BC2"/>
    <w:rsid w:val="006359C4"/>
    <w:rsid w:val="00635A7F"/>
    <w:rsid w:val="00636C16"/>
    <w:rsid w:val="00640491"/>
    <w:rsid w:val="00642853"/>
    <w:rsid w:val="006446E8"/>
    <w:rsid w:val="00645628"/>
    <w:rsid w:val="0064737A"/>
    <w:rsid w:val="00647971"/>
    <w:rsid w:val="00647D85"/>
    <w:rsid w:val="00650347"/>
    <w:rsid w:val="00650A14"/>
    <w:rsid w:val="00654881"/>
    <w:rsid w:val="006565E1"/>
    <w:rsid w:val="00657781"/>
    <w:rsid w:val="00657EEA"/>
    <w:rsid w:val="00660816"/>
    <w:rsid w:val="006644DF"/>
    <w:rsid w:val="00670276"/>
    <w:rsid w:val="0067095B"/>
    <w:rsid w:val="00671F29"/>
    <w:rsid w:val="0067216E"/>
    <w:rsid w:val="00674B11"/>
    <w:rsid w:val="00674D60"/>
    <w:rsid w:val="00675862"/>
    <w:rsid w:val="0067748F"/>
    <w:rsid w:val="0067793F"/>
    <w:rsid w:val="0068246F"/>
    <w:rsid w:val="00682C62"/>
    <w:rsid w:val="00684D36"/>
    <w:rsid w:val="00685A0A"/>
    <w:rsid w:val="0069052D"/>
    <w:rsid w:val="00691194"/>
    <w:rsid w:val="006915B0"/>
    <w:rsid w:val="00692E40"/>
    <w:rsid w:val="006949A3"/>
    <w:rsid w:val="006951E8"/>
    <w:rsid w:val="00695481"/>
    <w:rsid w:val="00697261"/>
    <w:rsid w:val="006974AD"/>
    <w:rsid w:val="006976A8"/>
    <w:rsid w:val="006A05CD"/>
    <w:rsid w:val="006A1E22"/>
    <w:rsid w:val="006A1EBD"/>
    <w:rsid w:val="006A352A"/>
    <w:rsid w:val="006A616B"/>
    <w:rsid w:val="006A7673"/>
    <w:rsid w:val="006B0D6C"/>
    <w:rsid w:val="006B1E0A"/>
    <w:rsid w:val="006B26A3"/>
    <w:rsid w:val="006B5902"/>
    <w:rsid w:val="006B5D82"/>
    <w:rsid w:val="006C025C"/>
    <w:rsid w:val="006C10C1"/>
    <w:rsid w:val="006C2E61"/>
    <w:rsid w:val="006C5FC3"/>
    <w:rsid w:val="006C6854"/>
    <w:rsid w:val="006C6BE0"/>
    <w:rsid w:val="006D0387"/>
    <w:rsid w:val="006D2BFA"/>
    <w:rsid w:val="006D2CA9"/>
    <w:rsid w:val="006D3B57"/>
    <w:rsid w:val="006D4507"/>
    <w:rsid w:val="006D7284"/>
    <w:rsid w:val="006E1E03"/>
    <w:rsid w:val="006E2144"/>
    <w:rsid w:val="006E5F04"/>
    <w:rsid w:val="006F08EE"/>
    <w:rsid w:val="006F09E2"/>
    <w:rsid w:val="006F0FB6"/>
    <w:rsid w:val="006F10F3"/>
    <w:rsid w:val="006F18D4"/>
    <w:rsid w:val="006F305E"/>
    <w:rsid w:val="006F61A2"/>
    <w:rsid w:val="007007C6"/>
    <w:rsid w:val="00702D1E"/>
    <w:rsid w:val="0070480C"/>
    <w:rsid w:val="007057CB"/>
    <w:rsid w:val="0070727E"/>
    <w:rsid w:val="00707308"/>
    <w:rsid w:val="007074B4"/>
    <w:rsid w:val="007078A6"/>
    <w:rsid w:val="00710CE4"/>
    <w:rsid w:val="00712F35"/>
    <w:rsid w:val="00715020"/>
    <w:rsid w:val="00716125"/>
    <w:rsid w:val="00716256"/>
    <w:rsid w:val="00716B9B"/>
    <w:rsid w:val="00717775"/>
    <w:rsid w:val="00721D75"/>
    <w:rsid w:val="0072488B"/>
    <w:rsid w:val="00724EAC"/>
    <w:rsid w:val="00724F5F"/>
    <w:rsid w:val="007259AD"/>
    <w:rsid w:val="00732472"/>
    <w:rsid w:val="007327A4"/>
    <w:rsid w:val="00734FF7"/>
    <w:rsid w:val="007369DE"/>
    <w:rsid w:val="0074035D"/>
    <w:rsid w:val="0074075A"/>
    <w:rsid w:val="00740DA0"/>
    <w:rsid w:val="00740DDF"/>
    <w:rsid w:val="00742A34"/>
    <w:rsid w:val="00743F28"/>
    <w:rsid w:val="00744775"/>
    <w:rsid w:val="00744F7E"/>
    <w:rsid w:val="0074617E"/>
    <w:rsid w:val="0075095A"/>
    <w:rsid w:val="00750B1C"/>
    <w:rsid w:val="00750FE2"/>
    <w:rsid w:val="00751905"/>
    <w:rsid w:val="00752EF0"/>
    <w:rsid w:val="00753A2E"/>
    <w:rsid w:val="00753DAF"/>
    <w:rsid w:val="007543F9"/>
    <w:rsid w:val="00754B6D"/>
    <w:rsid w:val="007566C8"/>
    <w:rsid w:val="00757E8D"/>
    <w:rsid w:val="00760042"/>
    <w:rsid w:val="007604B5"/>
    <w:rsid w:val="00761A36"/>
    <w:rsid w:val="0076447E"/>
    <w:rsid w:val="007651E5"/>
    <w:rsid w:val="00767398"/>
    <w:rsid w:val="007673EF"/>
    <w:rsid w:val="007705CC"/>
    <w:rsid w:val="00774382"/>
    <w:rsid w:val="007746BC"/>
    <w:rsid w:val="00776076"/>
    <w:rsid w:val="007765F6"/>
    <w:rsid w:val="007766FA"/>
    <w:rsid w:val="00777489"/>
    <w:rsid w:val="007775FD"/>
    <w:rsid w:val="00777953"/>
    <w:rsid w:val="00777DC7"/>
    <w:rsid w:val="007802E5"/>
    <w:rsid w:val="007843A4"/>
    <w:rsid w:val="007848D1"/>
    <w:rsid w:val="00785A3E"/>
    <w:rsid w:val="00785FB8"/>
    <w:rsid w:val="007878C5"/>
    <w:rsid w:val="00787F37"/>
    <w:rsid w:val="007911DC"/>
    <w:rsid w:val="00791767"/>
    <w:rsid w:val="00791CBB"/>
    <w:rsid w:val="00792692"/>
    <w:rsid w:val="00792F92"/>
    <w:rsid w:val="00793AC8"/>
    <w:rsid w:val="00793D7D"/>
    <w:rsid w:val="00794B17"/>
    <w:rsid w:val="00794DF9"/>
    <w:rsid w:val="007A2B0A"/>
    <w:rsid w:val="007A2C03"/>
    <w:rsid w:val="007A4119"/>
    <w:rsid w:val="007A467B"/>
    <w:rsid w:val="007A6845"/>
    <w:rsid w:val="007A6A7A"/>
    <w:rsid w:val="007A6B53"/>
    <w:rsid w:val="007B0233"/>
    <w:rsid w:val="007B0768"/>
    <w:rsid w:val="007B2315"/>
    <w:rsid w:val="007B4B63"/>
    <w:rsid w:val="007B67A7"/>
    <w:rsid w:val="007B77FE"/>
    <w:rsid w:val="007C1C42"/>
    <w:rsid w:val="007C2018"/>
    <w:rsid w:val="007C3C72"/>
    <w:rsid w:val="007C3D68"/>
    <w:rsid w:val="007C4946"/>
    <w:rsid w:val="007C5DA2"/>
    <w:rsid w:val="007C6B61"/>
    <w:rsid w:val="007D089E"/>
    <w:rsid w:val="007D283F"/>
    <w:rsid w:val="007D4103"/>
    <w:rsid w:val="007D51B5"/>
    <w:rsid w:val="007D6795"/>
    <w:rsid w:val="007D6F9D"/>
    <w:rsid w:val="007D715A"/>
    <w:rsid w:val="007D7650"/>
    <w:rsid w:val="007E0EED"/>
    <w:rsid w:val="007E1614"/>
    <w:rsid w:val="007E25D4"/>
    <w:rsid w:val="007E2EEE"/>
    <w:rsid w:val="007E556D"/>
    <w:rsid w:val="007E62CA"/>
    <w:rsid w:val="007F075E"/>
    <w:rsid w:val="007F1D32"/>
    <w:rsid w:val="007F3E63"/>
    <w:rsid w:val="007F404B"/>
    <w:rsid w:val="007F456F"/>
    <w:rsid w:val="007F509D"/>
    <w:rsid w:val="007F5554"/>
    <w:rsid w:val="007F7665"/>
    <w:rsid w:val="007F7E68"/>
    <w:rsid w:val="00801797"/>
    <w:rsid w:val="008020FF"/>
    <w:rsid w:val="008031AA"/>
    <w:rsid w:val="008036EC"/>
    <w:rsid w:val="0080543D"/>
    <w:rsid w:val="00805612"/>
    <w:rsid w:val="00805AD5"/>
    <w:rsid w:val="00806D35"/>
    <w:rsid w:val="008113FC"/>
    <w:rsid w:val="00811F67"/>
    <w:rsid w:val="00812BED"/>
    <w:rsid w:val="00814463"/>
    <w:rsid w:val="008144D1"/>
    <w:rsid w:val="008159AF"/>
    <w:rsid w:val="00817C2E"/>
    <w:rsid w:val="00821589"/>
    <w:rsid w:val="008219D1"/>
    <w:rsid w:val="00821B83"/>
    <w:rsid w:val="00821F51"/>
    <w:rsid w:val="00823878"/>
    <w:rsid w:val="00824878"/>
    <w:rsid w:val="00826382"/>
    <w:rsid w:val="00826F09"/>
    <w:rsid w:val="008271F2"/>
    <w:rsid w:val="008300BE"/>
    <w:rsid w:val="008322CE"/>
    <w:rsid w:val="008332D8"/>
    <w:rsid w:val="00835862"/>
    <w:rsid w:val="00835BF3"/>
    <w:rsid w:val="00836BA5"/>
    <w:rsid w:val="008400D8"/>
    <w:rsid w:val="00840CCB"/>
    <w:rsid w:val="0084484F"/>
    <w:rsid w:val="00846FD6"/>
    <w:rsid w:val="0084772A"/>
    <w:rsid w:val="0085079C"/>
    <w:rsid w:val="00851476"/>
    <w:rsid w:val="00851681"/>
    <w:rsid w:val="00852B4E"/>
    <w:rsid w:val="00853A21"/>
    <w:rsid w:val="008565FF"/>
    <w:rsid w:val="00860186"/>
    <w:rsid w:val="00860BE4"/>
    <w:rsid w:val="008615C4"/>
    <w:rsid w:val="008640CC"/>
    <w:rsid w:val="00864AE8"/>
    <w:rsid w:val="00864D56"/>
    <w:rsid w:val="00866553"/>
    <w:rsid w:val="00867BD2"/>
    <w:rsid w:val="00870211"/>
    <w:rsid w:val="00871B9C"/>
    <w:rsid w:val="0087275D"/>
    <w:rsid w:val="008728FF"/>
    <w:rsid w:val="00874633"/>
    <w:rsid w:val="00874B42"/>
    <w:rsid w:val="00874BD1"/>
    <w:rsid w:val="00875822"/>
    <w:rsid w:val="008768A2"/>
    <w:rsid w:val="00880C57"/>
    <w:rsid w:val="00881D7E"/>
    <w:rsid w:val="00883364"/>
    <w:rsid w:val="008860B4"/>
    <w:rsid w:val="00886C8E"/>
    <w:rsid w:val="00886E71"/>
    <w:rsid w:val="00890006"/>
    <w:rsid w:val="00891604"/>
    <w:rsid w:val="00893EF2"/>
    <w:rsid w:val="00894200"/>
    <w:rsid w:val="00894D47"/>
    <w:rsid w:val="008971E4"/>
    <w:rsid w:val="00897268"/>
    <w:rsid w:val="008A0158"/>
    <w:rsid w:val="008A0688"/>
    <w:rsid w:val="008A2179"/>
    <w:rsid w:val="008A4879"/>
    <w:rsid w:val="008A4E28"/>
    <w:rsid w:val="008A5944"/>
    <w:rsid w:val="008A5D7D"/>
    <w:rsid w:val="008A6B5B"/>
    <w:rsid w:val="008B0650"/>
    <w:rsid w:val="008B0808"/>
    <w:rsid w:val="008B082E"/>
    <w:rsid w:val="008B087D"/>
    <w:rsid w:val="008B19D1"/>
    <w:rsid w:val="008B30DE"/>
    <w:rsid w:val="008B3155"/>
    <w:rsid w:val="008B31A9"/>
    <w:rsid w:val="008B4E0B"/>
    <w:rsid w:val="008B555F"/>
    <w:rsid w:val="008B58BD"/>
    <w:rsid w:val="008B5A5D"/>
    <w:rsid w:val="008B5E20"/>
    <w:rsid w:val="008B6BCA"/>
    <w:rsid w:val="008C0B0A"/>
    <w:rsid w:val="008C0CC0"/>
    <w:rsid w:val="008C11F6"/>
    <w:rsid w:val="008C3135"/>
    <w:rsid w:val="008C409B"/>
    <w:rsid w:val="008C46B8"/>
    <w:rsid w:val="008C5241"/>
    <w:rsid w:val="008C75BC"/>
    <w:rsid w:val="008D043B"/>
    <w:rsid w:val="008D1211"/>
    <w:rsid w:val="008D182B"/>
    <w:rsid w:val="008D1EE2"/>
    <w:rsid w:val="008D24A0"/>
    <w:rsid w:val="008D2A45"/>
    <w:rsid w:val="008D402B"/>
    <w:rsid w:val="008D51E3"/>
    <w:rsid w:val="008D6BFF"/>
    <w:rsid w:val="008D75F7"/>
    <w:rsid w:val="008D7AE0"/>
    <w:rsid w:val="008E19F3"/>
    <w:rsid w:val="008E4A53"/>
    <w:rsid w:val="008E5007"/>
    <w:rsid w:val="008E5983"/>
    <w:rsid w:val="008E64D7"/>
    <w:rsid w:val="008F129B"/>
    <w:rsid w:val="008F1A6E"/>
    <w:rsid w:val="008F2739"/>
    <w:rsid w:val="008F50DF"/>
    <w:rsid w:val="008F6E9A"/>
    <w:rsid w:val="008F703F"/>
    <w:rsid w:val="008F726E"/>
    <w:rsid w:val="008F7AEA"/>
    <w:rsid w:val="0090112B"/>
    <w:rsid w:val="0090342D"/>
    <w:rsid w:val="0091415D"/>
    <w:rsid w:val="0091587A"/>
    <w:rsid w:val="009172FD"/>
    <w:rsid w:val="00917686"/>
    <w:rsid w:val="0091797A"/>
    <w:rsid w:val="00917CB4"/>
    <w:rsid w:val="00924134"/>
    <w:rsid w:val="009249DD"/>
    <w:rsid w:val="0092504F"/>
    <w:rsid w:val="009254EE"/>
    <w:rsid w:val="00925C4F"/>
    <w:rsid w:val="00926834"/>
    <w:rsid w:val="00926857"/>
    <w:rsid w:val="00926FED"/>
    <w:rsid w:val="0092778D"/>
    <w:rsid w:val="00927BD8"/>
    <w:rsid w:val="00927DD3"/>
    <w:rsid w:val="00930A05"/>
    <w:rsid w:val="009327AE"/>
    <w:rsid w:val="009341EE"/>
    <w:rsid w:val="00934409"/>
    <w:rsid w:val="00936678"/>
    <w:rsid w:val="00944051"/>
    <w:rsid w:val="00945818"/>
    <w:rsid w:val="00947708"/>
    <w:rsid w:val="009477B7"/>
    <w:rsid w:val="0095099D"/>
    <w:rsid w:val="00951A27"/>
    <w:rsid w:val="009524D8"/>
    <w:rsid w:val="009536B9"/>
    <w:rsid w:val="00956C38"/>
    <w:rsid w:val="00960827"/>
    <w:rsid w:val="00960DC5"/>
    <w:rsid w:val="00961F6D"/>
    <w:rsid w:val="00965727"/>
    <w:rsid w:val="00965E24"/>
    <w:rsid w:val="00970064"/>
    <w:rsid w:val="00970998"/>
    <w:rsid w:val="00971F3C"/>
    <w:rsid w:val="00972F67"/>
    <w:rsid w:val="009749DA"/>
    <w:rsid w:val="00974EA1"/>
    <w:rsid w:val="00975A6C"/>
    <w:rsid w:val="009769BB"/>
    <w:rsid w:val="00976A35"/>
    <w:rsid w:val="009809DA"/>
    <w:rsid w:val="009809E8"/>
    <w:rsid w:val="00983879"/>
    <w:rsid w:val="00984EA0"/>
    <w:rsid w:val="00987B2F"/>
    <w:rsid w:val="00987BAC"/>
    <w:rsid w:val="0099184F"/>
    <w:rsid w:val="009925A2"/>
    <w:rsid w:val="0099312F"/>
    <w:rsid w:val="009945EC"/>
    <w:rsid w:val="0099487C"/>
    <w:rsid w:val="00994BC4"/>
    <w:rsid w:val="00995BB5"/>
    <w:rsid w:val="00996137"/>
    <w:rsid w:val="009966D3"/>
    <w:rsid w:val="009A1356"/>
    <w:rsid w:val="009A29AE"/>
    <w:rsid w:val="009A36B9"/>
    <w:rsid w:val="009A47F6"/>
    <w:rsid w:val="009A6D12"/>
    <w:rsid w:val="009A7A1E"/>
    <w:rsid w:val="009B40A4"/>
    <w:rsid w:val="009B509B"/>
    <w:rsid w:val="009B5BCF"/>
    <w:rsid w:val="009B664B"/>
    <w:rsid w:val="009B71DC"/>
    <w:rsid w:val="009B7D08"/>
    <w:rsid w:val="009C0A3E"/>
    <w:rsid w:val="009C3938"/>
    <w:rsid w:val="009C3FF7"/>
    <w:rsid w:val="009D1676"/>
    <w:rsid w:val="009D6005"/>
    <w:rsid w:val="009D6C68"/>
    <w:rsid w:val="009D76D5"/>
    <w:rsid w:val="009E07AC"/>
    <w:rsid w:val="009E1BC7"/>
    <w:rsid w:val="009E4949"/>
    <w:rsid w:val="009E6AE9"/>
    <w:rsid w:val="009E6DCA"/>
    <w:rsid w:val="009E7104"/>
    <w:rsid w:val="009F07AD"/>
    <w:rsid w:val="009F2D19"/>
    <w:rsid w:val="009F656A"/>
    <w:rsid w:val="009F65A3"/>
    <w:rsid w:val="009F6EB1"/>
    <w:rsid w:val="00A020C6"/>
    <w:rsid w:val="00A03870"/>
    <w:rsid w:val="00A038E3"/>
    <w:rsid w:val="00A03FAA"/>
    <w:rsid w:val="00A074C0"/>
    <w:rsid w:val="00A11C24"/>
    <w:rsid w:val="00A11D39"/>
    <w:rsid w:val="00A1319D"/>
    <w:rsid w:val="00A14E08"/>
    <w:rsid w:val="00A211FE"/>
    <w:rsid w:val="00A21C5F"/>
    <w:rsid w:val="00A22AFB"/>
    <w:rsid w:val="00A23109"/>
    <w:rsid w:val="00A24896"/>
    <w:rsid w:val="00A25C39"/>
    <w:rsid w:val="00A27BB7"/>
    <w:rsid w:val="00A306D6"/>
    <w:rsid w:val="00A30F13"/>
    <w:rsid w:val="00A32280"/>
    <w:rsid w:val="00A33929"/>
    <w:rsid w:val="00A346F6"/>
    <w:rsid w:val="00A34C7E"/>
    <w:rsid w:val="00A36B50"/>
    <w:rsid w:val="00A37731"/>
    <w:rsid w:val="00A40A49"/>
    <w:rsid w:val="00A41207"/>
    <w:rsid w:val="00A417A9"/>
    <w:rsid w:val="00A41953"/>
    <w:rsid w:val="00A4250F"/>
    <w:rsid w:val="00A44790"/>
    <w:rsid w:val="00A4701D"/>
    <w:rsid w:val="00A47571"/>
    <w:rsid w:val="00A537E7"/>
    <w:rsid w:val="00A540EA"/>
    <w:rsid w:val="00A54CD9"/>
    <w:rsid w:val="00A559DC"/>
    <w:rsid w:val="00A577D5"/>
    <w:rsid w:val="00A60085"/>
    <w:rsid w:val="00A602CB"/>
    <w:rsid w:val="00A60B74"/>
    <w:rsid w:val="00A64425"/>
    <w:rsid w:val="00A65782"/>
    <w:rsid w:val="00A658E0"/>
    <w:rsid w:val="00A65C35"/>
    <w:rsid w:val="00A706A2"/>
    <w:rsid w:val="00A72090"/>
    <w:rsid w:val="00A72863"/>
    <w:rsid w:val="00A72B26"/>
    <w:rsid w:val="00A74C8B"/>
    <w:rsid w:val="00A77492"/>
    <w:rsid w:val="00A804A0"/>
    <w:rsid w:val="00A809FC"/>
    <w:rsid w:val="00A816AF"/>
    <w:rsid w:val="00A81EB3"/>
    <w:rsid w:val="00A82502"/>
    <w:rsid w:val="00A83689"/>
    <w:rsid w:val="00A907BA"/>
    <w:rsid w:val="00A928BF"/>
    <w:rsid w:val="00A94148"/>
    <w:rsid w:val="00A94999"/>
    <w:rsid w:val="00A94E71"/>
    <w:rsid w:val="00A94EE0"/>
    <w:rsid w:val="00A97763"/>
    <w:rsid w:val="00A97FEB"/>
    <w:rsid w:val="00AA0480"/>
    <w:rsid w:val="00AA049D"/>
    <w:rsid w:val="00AA13F2"/>
    <w:rsid w:val="00AA2AB4"/>
    <w:rsid w:val="00AA38B4"/>
    <w:rsid w:val="00AA57BA"/>
    <w:rsid w:val="00AA6007"/>
    <w:rsid w:val="00AA6DD7"/>
    <w:rsid w:val="00AA75B5"/>
    <w:rsid w:val="00AB4783"/>
    <w:rsid w:val="00AB492B"/>
    <w:rsid w:val="00AB5675"/>
    <w:rsid w:val="00AB673F"/>
    <w:rsid w:val="00AC0BDB"/>
    <w:rsid w:val="00AC21DC"/>
    <w:rsid w:val="00AC233F"/>
    <w:rsid w:val="00AC47D6"/>
    <w:rsid w:val="00AC798B"/>
    <w:rsid w:val="00AC7C3D"/>
    <w:rsid w:val="00AD03AE"/>
    <w:rsid w:val="00AD0816"/>
    <w:rsid w:val="00AD1762"/>
    <w:rsid w:val="00AD1A93"/>
    <w:rsid w:val="00AD2164"/>
    <w:rsid w:val="00AD28BA"/>
    <w:rsid w:val="00AD3F1A"/>
    <w:rsid w:val="00AD4258"/>
    <w:rsid w:val="00AD50B3"/>
    <w:rsid w:val="00AD61DE"/>
    <w:rsid w:val="00AD69A7"/>
    <w:rsid w:val="00AD6D17"/>
    <w:rsid w:val="00AD6FC1"/>
    <w:rsid w:val="00AD7036"/>
    <w:rsid w:val="00AD79BC"/>
    <w:rsid w:val="00AE0064"/>
    <w:rsid w:val="00AE0B7F"/>
    <w:rsid w:val="00AE2C98"/>
    <w:rsid w:val="00AE52CF"/>
    <w:rsid w:val="00AE6B1A"/>
    <w:rsid w:val="00AE7781"/>
    <w:rsid w:val="00AF05FD"/>
    <w:rsid w:val="00AF1130"/>
    <w:rsid w:val="00AF1501"/>
    <w:rsid w:val="00AF1CC0"/>
    <w:rsid w:val="00AF2073"/>
    <w:rsid w:val="00AF42C6"/>
    <w:rsid w:val="00AF4D07"/>
    <w:rsid w:val="00AF53F6"/>
    <w:rsid w:val="00AF5778"/>
    <w:rsid w:val="00AF5EEC"/>
    <w:rsid w:val="00AF6F8C"/>
    <w:rsid w:val="00B03A28"/>
    <w:rsid w:val="00B07094"/>
    <w:rsid w:val="00B1000D"/>
    <w:rsid w:val="00B11292"/>
    <w:rsid w:val="00B12321"/>
    <w:rsid w:val="00B12ED3"/>
    <w:rsid w:val="00B13044"/>
    <w:rsid w:val="00B13F2F"/>
    <w:rsid w:val="00B14E93"/>
    <w:rsid w:val="00B15C6D"/>
    <w:rsid w:val="00B1622D"/>
    <w:rsid w:val="00B22A4A"/>
    <w:rsid w:val="00B22A9D"/>
    <w:rsid w:val="00B24791"/>
    <w:rsid w:val="00B2541D"/>
    <w:rsid w:val="00B25B60"/>
    <w:rsid w:val="00B26B90"/>
    <w:rsid w:val="00B26CAB"/>
    <w:rsid w:val="00B26FC2"/>
    <w:rsid w:val="00B3310A"/>
    <w:rsid w:val="00B403B9"/>
    <w:rsid w:val="00B40DA8"/>
    <w:rsid w:val="00B4281A"/>
    <w:rsid w:val="00B42C8E"/>
    <w:rsid w:val="00B42E4E"/>
    <w:rsid w:val="00B434DF"/>
    <w:rsid w:val="00B44B86"/>
    <w:rsid w:val="00B44D45"/>
    <w:rsid w:val="00B473EB"/>
    <w:rsid w:val="00B47C14"/>
    <w:rsid w:val="00B5198B"/>
    <w:rsid w:val="00B52C42"/>
    <w:rsid w:val="00B5306A"/>
    <w:rsid w:val="00B5424F"/>
    <w:rsid w:val="00B560ED"/>
    <w:rsid w:val="00B62178"/>
    <w:rsid w:val="00B64C2D"/>
    <w:rsid w:val="00B64D10"/>
    <w:rsid w:val="00B70278"/>
    <w:rsid w:val="00B70A71"/>
    <w:rsid w:val="00B71173"/>
    <w:rsid w:val="00B718A8"/>
    <w:rsid w:val="00B71F4C"/>
    <w:rsid w:val="00B72929"/>
    <w:rsid w:val="00B75416"/>
    <w:rsid w:val="00B75ECB"/>
    <w:rsid w:val="00B760D4"/>
    <w:rsid w:val="00B76B1A"/>
    <w:rsid w:val="00B770D8"/>
    <w:rsid w:val="00B7794A"/>
    <w:rsid w:val="00B77B6A"/>
    <w:rsid w:val="00B77C92"/>
    <w:rsid w:val="00B80DBC"/>
    <w:rsid w:val="00B81725"/>
    <w:rsid w:val="00B85EC3"/>
    <w:rsid w:val="00B87695"/>
    <w:rsid w:val="00B9203C"/>
    <w:rsid w:val="00B9251B"/>
    <w:rsid w:val="00B92C41"/>
    <w:rsid w:val="00B958E6"/>
    <w:rsid w:val="00B96AE2"/>
    <w:rsid w:val="00B96E1D"/>
    <w:rsid w:val="00B974FD"/>
    <w:rsid w:val="00BA23FE"/>
    <w:rsid w:val="00BA5DA4"/>
    <w:rsid w:val="00BA7CFD"/>
    <w:rsid w:val="00BB02E1"/>
    <w:rsid w:val="00BB0732"/>
    <w:rsid w:val="00BB0DFA"/>
    <w:rsid w:val="00BB0EC4"/>
    <w:rsid w:val="00BB0EEE"/>
    <w:rsid w:val="00BB10BB"/>
    <w:rsid w:val="00BB448E"/>
    <w:rsid w:val="00BC004D"/>
    <w:rsid w:val="00BC09A9"/>
    <w:rsid w:val="00BC0CF2"/>
    <w:rsid w:val="00BC1073"/>
    <w:rsid w:val="00BC1CA2"/>
    <w:rsid w:val="00BC2CAC"/>
    <w:rsid w:val="00BC35B9"/>
    <w:rsid w:val="00BC3918"/>
    <w:rsid w:val="00BC39B9"/>
    <w:rsid w:val="00BC41A0"/>
    <w:rsid w:val="00BC5BBD"/>
    <w:rsid w:val="00BD2BA5"/>
    <w:rsid w:val="00BD3375"/>
    <w:rsid w:val="00BD439C"/>
    <w:rsid w:val="00BD4A1A"/>
    <w:rsid w:val="00BD4CE5"/>
    <w:rsid w:val="00BD72B4"/>
    <w:rsid w:val="00BE47BB"/>
    <w:rsid w:val="00BE5B81"/>
    <w:rsid w:val="00BE6741"/>
    <w:rsid w:val="00BE6BA6"/>
    <w:rsid w:val="00BF0DC6"/>
    <w:rsid w:val="00BF407F"/>
    <w:rsid w:val="00BF6813"/>
    <w:rsid w:val="00BF71A5"/>
    <w:rsid w:val="00BF738D"/>
    <w:rsid w:val="00BF7845"/>
    <w:rsid w:val="00C00552"/>
    <w:rsid w:val="00C02F9A"/>
    <w:rsid w:val="00C056D1"/>
    <w:rsid w:val="00C05C29"/>
    <w:rsid w:val="00C05EB7"/>
    <w:rsid w:val="00C06D63"/>
    <w:rsid w:val="00C07A29"/>
    <w:rsid w:val="00C10A85"/>
    <w:rsid w:val="00C1107E"/>
    <w:rsid w:val="00C13047"/>
    <w:rsid w:val="00C134DB"/>
    <w:rsid w:val="00C142BC"/>
    <w:rsid w:val="00C16303"/>
    <w:rsid w:val="00C203C1"/>
    <w:rsid w:val="00C20E09"/>
    <w:rsid w:val="00C216BB"/>
    <w:rsid w:val="00C22166"/>
    <w:rsid w:val="00C2382C"/>
    <w:rsid w:val="00C23E03"/>
    <w:rsid w:val="00C23EEE"/>
    <w:rsid w:val="00C24989"/>
    <w:rsid w:val="00C26C9A"/>
    <w:rsid w:val="00C27F85"/>
    <w:rsid w:val="00C27FE7"/>
    <w:rsid w:val="00C302D1"/>
    <w:rsid w:val="00C306BC"/>
    <w:rsid w:val="00C3081E"/>
    <w:rsid w:val="00C315D2"/>
    <w:rsid w:val="00C33C8D"/>
    <w:rsid w:val="00C365C5"/>
    <w:rsid w:val="00C3758B"/>
    <w:rsid w:val="00C40F6C"/>
    <w:rsid w:val="00C424DC"/>
    <w:rsid w:val="00C427D7"/>
    <w:rsid w:val="00C44CE2"/>
    <w:rsid w:val="00C451FD"/>
    <w:rsid w:val="00C45C05"/>
    <w:rsid w:val="00C46791"/>
    <w:rsid w:val="00C51713"/>
    <w:rsid w:val="00C532DE"/>
    <w:rsid w:val="00C53AE4"/>
    <w:rsid w:val="00C55B83"/>
    <w:rsid w:val="00C5619A"/>
    <w:rsid w:val="00C562B0"/>
    <w:rsid w:val="00C60515"/>
    <w:rsid w:val="00C60D6E"/>
    <w:rsid w:val="00C62294"/>
    <w:rsid w:val="00C63172"/>
    <w:rsid w:val="00C64021"/>
    <w:rsid w:val="00C64FA6"/>
    <w:rsid w:val="00C6697D"/>
    <w:rsid w:val="00C66AEC"/>
    <w:rsid w:val="00C67BD5"/>
    <w:rsid w:val="00C70D7D"/>
    <w:rsid w:val="00C714C5"/>
    <w:rsid w:val="00C71849"/>
    <w:rsid w:val="00C7265B"/>
    <w:rsid w:val="00C740D9"/>
    <w:rsid w:val="00C743E1"/>
    <w:rsid w:val="00C74ECF"/>
    <w:rsid w:val="00C75407"/>
    <w:rsid w:val="00C76B16"/>
    <w:rsid w:val="00C807A6"/>
    <w:rsid w:val="00C809CB"/>
    <w:rsid w:val="00C8279E"/>
    <w:rsid w:val="00C83514"/>
    <w:rsid w:val="00C83A02"/>
    <w:rsid w:val="00C83B9E"/>
    <w:rsid w:val="00C8437C"/>
    <w:rsid w:val="00C90755"/>
    <w:rsid w:val="00C908DB"/>
    <w:rsid w:val="00C90A93"/>
    <w:rsid w:val="00C911F0"/>
    <w:rsid w:val="00C9144A"/>
    <w:rsid w:val="00C91AF0"/>
    <w:rsid w:val="00C94C37"/>
    <w:rsid w:val="00C95C62"/>
    <w:rsid w:val="00C96EBC"/>
    <w:rsid w:val="00CA4ACC"/>
    <w:rsid w:val="00CA50C3"/>
    <w:rsid w:val="00CA5D96"/>
    <w:rsid w:val="00CA64BC"/>
    <w:rsid w:val="00CA655A"/>
    <w:rsid w:val="00CA720D"/>
    <w:rsid w:val="00CA7B28"/>
    <w:rsid w:val="00CB0067"/>
    <w:rsid w:val="00CB0099"/>
    <w:rsid w:val="00CB1225"/>
    <w:rsid w:val="00CB2B58"/>
    <w:rsid w:val="00CB3E8D"/>
    <w:rsid w:val="00CB6162"/>
    <w:rsid w:val="00CB706E"/>
    <w:rsid w:val="00CC0D2F"/>
    <w:rsid w:val="00CC0DA5"/>
    <w:rsid w:val="00CC15D8"/>
    <w:rsid w:val="00CC1BAE"/>
    <w:rsid w:val="00CC5E3A"/>
    <w:rsid w:val="00CC61A8"/>
    <w:rsid w:val="00CC72F1"/>
    <w:rsid w:val="00CD08BA"/>
    <w:rsid w:val="00CD2EEE"/>
    <w:rsid w:val="00CD40CF"/>
    <w:rsid w:val="00CD5805"/>
    <w:rsid w:val="00CD5EA1"/>
    <w:rsid w:val="00CE03F1"/>
    <w:rsid w:val="00CE31A4"/>
    <w:rsid w:val="00CE455D"/>
    <w:rsid w:val="00CE4998"/>
    <w:rsid w:val="00CE54E6"/>
    <w:rsid w:val="00CE684F"/>
    <w:rsid w:val="00CF0A25"/>
    <w:rsid w:val="00CF6529"/>
    <w:rsid w:val="00D04290"/>
    <w:rsid w:val="00D07C65"/>
    <w:rsid w:val="00D10565"/>
    <w:rsid w:val="00D11030"/>
    <w:rsid w:val="00D1260E"/>
    <w:rsid w:val="00D14A14"/>
    <w:rsid w:val="00D15F9B"/>
    <w:rsid w:val="00D16484"/>
    <w:rsid w:val="00D16763"/>
    <w:rsid w:val="00D16F44"/>
    <w:rsid w:val="00D17149"/>
    <w:rsid w:val="00D20C12"/>
    <w:rsid w:val="00D22FC4"/>
    <w:rsid w:val="00D23113"/>
    <w:rsid w:val="00D232E1"/>
    <w:rsid w:val="00D25566"/>
    <w:rsid w:val="00D25B40"/>
    <w:rsid w:val="00D26976"/>
    <w:rsid w:val="00D26FBF"/>
    <w:rsid w:val="00D323A0"/>
    <w:rsid w:val="00D3555F"/>
    <w:rsid w:val="00D360CA"/>
    <w:rsid w:val="00D36D44"/>
    <w:rsid w:val="00D41527"/>
    <w:rsid w:val="00D4286A"/>
    <w:rsid w:val="00D44113"/>
    <w:rsid w:val="00D4416A"/>
    <w:rsid w:val="00D44468"/>
    <w:rsid w:val="00D444EE"/>
    <w:rsid w:val="00D450A8"/>
    <w:rsid w:val="00D46266"/>
    <w:rsid w:val="00D517B7"/>
    <w:rsid w:val="00D52B17"/>
    <w:rsid w:val="00D52BA7"/>
    <w:rsid w:val="00D552DC"/>
    <w:rsid w:val="00D56FC6"/>
    <w:rsid w:val="00D57FD7"/>
    <w:rsid w:val="00D60FB7"/>
    <w:rsid w:val="00D6148B"/>
    <w:rsid w:val="00D63DF2"/>
    <w:rsid w:val="00D64DB0"/>
    <w:rsid w:val="00D65D08"/>
    <w:rsid w:val="00D66A7E"/>
    <w:rsid w:val="00D66E53"/>
    <w:rsid w:val="00D66E60"/>
    <w:rsid w:val="00D677E9"/>
    <w:rsid w:val="00D67EE6"/>
    <w:rsid w:val="00D70B86"/>
    <w:rsid w:val="00D720BF"/>
    <w:rsid w:val="00D73A6C"/>
    <w:rsid w:val="00D7488B"/>
    <w:rsid w:val="00D74E47"/>
    <w:rsid w:val="00D75849"/>
    <w:rsid w:val="00D75A98"/>
    <w:rsid w:val="00D76A00"/>
    <w:rsid w:val="00D77606"/>
    <w:rsid w:val="00D82622"/>
    <w:rsid w:val="00D85271"/>
    <w:rsid w:val="00D87955"/>
    <w:rsid w:val="00D90756"/>
    <w:rsid w:val="00D91805"/>
    <w:rsid w:val="00D92570"/>
    <w:rsid w:val="00D92903"/>
    <w:rsid w:val="00D92C9F"/>
    <w:rsid w:val="00D92DDC"/>
    <w:rsid w:val="00D930CC"/>
    <w:rsid w:val="00D97242"/>
    <w:rsid w:val="00DA0242"/>
    <w:rsid w:val="00DA03E7"/>
    <w:rsid w:val="00DA1491"/>
    <w:rsid w:val="00DA1607"/>
    <w:rsid w:val="00DA17F1"/>
    <w:rsid w:val="00DA61E9"/>
    <w:rsid w:val="00DA7BAE"/>
    <w:rsid w:val="00DB1A03"/>
    <w:rsid w:val="00DB4812"/>
    <w:rsid w:val="00DB4F74"/>
    <w:rsid w:val="00DB5236"/>
    <w:rsid w:val="00DB5584"/>
    <w:rsid w:val="00DB6509"/>
    <w:rsid w:val="00DB7569"/>
    <w:rsid w:val="00DC0615"/>
    <w:rsid w:val="00DC22C5"/>
    <w:rsid w:val="00DC4022"/>
    <w:rsid w:val="00DC4CD6"/>
    <w:rsid w:val="00DC50F3"/>
    <w:rsid w:val="00DC6656"/>
    <w:rsid w:val="00DD1CEE"/>
    <w:rsid w:val="00DD2104"/>
    <w:rsid w:val="00DD3175"/>
    <w:rsid w:val="00DD366B"/>
    <w:rsid w:val="00DD458E"/>
    <w:rsid w:val="00DD57D2"/>
    <w:rsid w:val="00DD6926"/>
    <w:rsid w:val="00DD770C"/>
    <w:rsid w:val="00DE0759"/>
    <w:rsid w:val="00DE1072"/>
    <w:rsid w:val="00DE1B11"/>
    <w:rsid w:val="00DE2C89"/>
    <w:rsid w:val="00DE4311"/>
    <w:rsid w:val="00DE46F9"/>
    <w:rsid w:val="00DE5E72"/>
    <w:rsid w:val="00DE7CEF"/>
    <w:rsid w:val="00DF0201"/>
    <w:rsid w:val="00DF0204"/>
    <w:rsid w:val="00DF0984"/>
    <w:rsid w:val="00DF12BC"/>
    <w:rsid w:val="00DF2689"/>
    <w:rsid w:val="00DF5D01"/>
    <w:rsid w:val="00DF7254"/>
    <w:rsid w:val="00DF798C"/>
    <w:rsid w:val="00E00E6E"/>
    <w:rsid w:val="00E03C5E"/>
    <w:rsid w:val="00E04FB8"/>
    <w:rsid w:val="00E052CD"/>
    <w:rsid w:val="00E05F81"/>
    <w:rsid w:val="00E06120"/>
    <w:rsid w:val="00E0629D"/>
    <w:rsid w:val="00E06C9A"/>
    <w:rsid w:val="00E07312"/>
    <w:rsid w:val="00E12201"/>
    <w:rsid w:val="00E16A1B"/>
    <w:rsid w:val="00E20C94"/>
    <w:rsid w:val="00E212F9"/>
    <w:rsid w:val="00E21543"/>
    <w:rsid w:val="00E22622"/>
    <w:rsid w:val="00E252B0"/>
    <w:rsid w:val="00E263DD"/>
    <w:rsid w:val="00E26428"/>
    <w:rsid w:val="00E27274"/>
    <w:rsid w:val="00E27CA9"/>
    <w:rsid w:val="00E318F4"/>
    <w:rsid w:val="00E31C6F"/>
    <w:rsid w:val="00E33630"/>
    <w:rsid w:val="00E33F09"/>
    <w:rsid w:val="00E347EC"/>
    <w:rsid w:val="00E35E93"/>
    <w:rsid w:val="00E36813"/>
    <w:rsid w:val="00E37C4F"/>
    <w:rsid w:val="00E40838"/>
    <w:rsid w:val="00E41F0C"/>
    <w:rsid w:val="00E41F47"/>
    <w:rsid w:val="00E42482"/>
    <w:rsid w:val="00E43372"/>
    <w:rsid w:val="00E47930"/>
    <w:rsid w:val="00E50951"/>
    <w:rsid w:val="00E51800"/>
    <w:rsid w:val="00E51F75"/>
    <w:rsid w:val="00E525BF"/>
    <w:rsid w:val="00E53893"/>
    <w:rsid w:val="00E546AE"/>
    <w:rsid w:val="00E56BAF"/>
    <w:rsid w:val="00E6296F"/>
    <w:rsid w:val="00E64BDF"/>
    <w:rsid w:val="00E64D72"/>
    <w:rsid w:val="00E64F4D"/>
    <w:rsid w:val="00E65291"/>
    <w:rsid w:val="00E65A6A"/>
    <w:rsid w:val="00E66607"/>
    <w:rsid w:val="00E67BB4"/>
    <w:rsid w:val="00E7078B"/>
    <w:rsid w:val="00E70AA1"/>
    <w:rsid w:val="00E73AED"/>
    <w:rsid w:val="00E7410D"/>
    <w:rsid w:val="00E74233"/>
    <w:rsid w:val="00E74B3A"/>
    <w:rsid w:val="00E7630F"/>
    <w:rsid w:val="00E8274E"/>
    <w:rsid w:val="00E828E9"/>
    <w:rsid w:val="00E83198"/>
    <w:rsid w:val="00E84930"/>
    <w:rsid w:val="00E84BE5"/>
    <w:rsid w:val="00E84E5C"/>
    <w:rsid w:val="00E85415"/>
    <w:rsid w:val="00E87BF6"/>
    <w:rsid w:val="00E87D5A"/>
    <w:rsid w:val="00E900F2"/>
    <w:rsid w:val="00E92083"/>
    <w:rsid w:val="00E92C70"/>
    <w:rsid w:val="00E94EE0"/>
    <w:rsid w:val="00E95EFC"/>
    <w:rsid w:val="00E979E4"/>
    <w:rsid w:val="00E97CA7"/>
    <w:rsid w:val="00EA005E"/>
    <w:rsid w:val="00EA0748"/>
    <w:rsid w:val="00EA36B9"/>
    <w:rsid w:val="00EA6098"/>
    <w:rsid w:val="00EA79C3"/>
    <w:rsid w:val="00EA7BF2"/>
    <w:rsid w:val="00EB1D48"/>
    <w:rsid w:val="00EB3851"/>
    <w:rsid w:val="00EB3982"/>
    <w:rsid w:val="00EB42D1"/>
    <w:rsid w:val="00EB439C"/>
    <w:rsid w:val="00EB4832"/>
    <w:rsid w:val="00EB572F"/>
    <w:rsid w:val="00EB5AA6"/>
    <w:rsid w:val="00EC1468"/>
    <w:rsid w:val="00EC2502"/>
    <w:rsid w:val="00EC4C38"/>
    <w:rsid w:val="00EC5279"/>
    <w:rsid w:val="00EC5F13"/>
    <w:rsid w:val="00EC6D77"/>
    <w:rsid w:val="00ED217F"/>
    <w:rsid w:val="00ED27C0"/>
    <w:rsid w:val="00ED3CF5"/>
    <w:rsid w:val="00ED60B9"/>
    <w:rsid w:val="00EE01C6"/>
    <w:rsid w:val="00EE3B92"/>
    <w:rsid w:val="00EE43E5"/>
    <w:rsid w:val="00EE46BD"/>
    <w:rsid w:val="00EE4755"/>
    <w:rsid w:val="00EE6AE6"/>
    <w:rsid w:val="00EE71CA"/>
    <w:rsid w:val="00EE7CE9"/>
    <w:rsid w:val="00EE7F44"/>
    <w:rsid w:val="00EF0025"/>
    <w:rsid w:val="00EF0E8F"/>
    <w:rsid w:val="00EF0FE0"/>
    <w:rsid w:val="00EF1322"/>
    <w:rsid w:val="00EF27C2"/>
    <w:rsid w:val="00EF4747"/>
    <w:rsid w:val="00EF4921"/>
    <w:rsid w:val="00EF53E9"/>
    <w:rsid w:val="00EF56D9"/>
    <w:rsid w:val="00EF6B2E"/>
    <w:rsid w:val="00EF6B65"/>
    <w:rsid w:val="00EF78B8"/>
    <w:rsid w:val="00EF7FB9"/>
    <w:rsid w:val="00F01FFD"/>
    <w:rsid w:val="00F02B8B"/>
    <w:rsid w:val="00F02F3A"/>
    <w:rsid w:val="00F03539"/>
    <w:rsid w:val="00F03BA9"/>
    <w:rsid w:val="00F04CC3"/>
    <w:rsid w:val="00F05625"/>
    <w:rsid w:val="00F0584C"/>
    <w:rsid w:val="00F059CA"/>
    <w:rsid w:val="00F06827"/>
    <w:rsid w:val="00F07417"/>
    <w:rsid w:val="00F1124E"/>
    <w:rsid w:val="00F122E1"/>
    <w:rsid w:val="00F1281F"/>
    <w:rsid w:val="00F13E67"/>
    <w:rsid w:val="00F1498A"/>
    <w:rsid w:val="00F14CF7"/>
    <w:rsid w:val="00F14F7E"/>
    <w:rsid w:val="00F155BC"/>
    <w:rsid w:val="00F1634C"/>
    <w:rsid w:val="00F20707"/>
    <w:rsid w:val="00F209EE"/>
    <w:rsid w:val="00F22B5D"/>
    <w:rsid w:val="00F236F6"/>
    <w:rsid w:val="00F255B5"/>
    <w:rsid w:val="00F263AE"/>
    <w:rsid w:val="00F27519"/>
    <w:rsid w:val="00F27B73"/>
    <w:rsid w:val="00F31379"/>
    <w:rsid w:val="00F31D74"/>
    <w:rsid w:val="00F31FD3"/>
    <w:rsid w:val="00F31FF9"/>
    <w:rsid w:val="00F334A7"/>
    <w:rsid w:val="00F3358D"/>
    <w:rsid w:val="00F33703"/>
    <w:rsid w:val="00F342E6"/>
    <w:rsid w:val="00F34D8B"/>
    <w:rsid w:val="00F37682"/>
    <w:rsid w:val="00F40407"/>
    <w:rsid w:val="00F409E1"/>
    <w:rsid w:val="00F40F52"/>
    <w:rsid w:val="00F41008"/>
    <w:rsid w:val="00F4168A"/>
    <w:rsid w:val="00F418B0"/>
    <w:rsid w:val="00F42F67"/>
    <w:rsid w:val="00F4489A"/>
    <w:rsid w:val="00F44A4A"/>
    <w:rsid w:val="00F44C27"/>
    <w:rsid w:val="00F45312"/>
    <w:rsid w:val="00F45EE3"/>
    <w:rsid w:val="00F47C10"/>
    <w:rsid w:val="00F47FBA"/>
    <w:rsid w:val="00F52B10"/>
    <w:rsid w:val="00F5494C"/>
    <w:rsid w:val="00F54EC6"/>
    <w:rsid w:val="00F5732F"/>
    <w:rsid w:val="00F60DD2"/>
    <w:rsid w:val="00F614B1"/>
    <w:rsid w:val="00F61BF3"/>
    <w:rsid w:val="00F61CE8"/>
    <w:rsid w:val="00F642FA"/>
    <w:rsid w:val="00F66482"/>
    <w:rsid w:val="00F67359"/>
    <w:rsid w:val="00F67A3D"/>
    <w:rsid w:val="00F709DD"/>
    <w:rsid w:val="00F74947"/>
    <w:rsid w:val="00F77A42"/>
    <w:rsid w:val="00F77B1C"/>
    <w:rsid w:val="00F80F93"/>
    <w:rsid w:val="00F82B9A"/>
    <w:rsid w:val="00F830C7"/>
    <w:rsid w:val="00F91282"/>
    <w:rsid w:val="00F913DD"/>
    <w:rsid w:val="00F913E3"/>
    <w:rsid w:val="00F91650"/>
    <w:rsid w:val="00F92E96"/>
    <w:rsid w:val="00F95958"/>
    <w:rsid w:val="00F97B53"/>
    <w:rsid w:val="00F97FB7"/>
    <w:rsid w:val="00FA0C56"/>
    <w:rsid w:val="00FA6FA1"/>
    <w:rsid w:val="00FA7507"/>
    <w:rsid w:val="00FA7CA0"/>
    <w:rsid w:val="00FB1136"/>
    <w:rsid w:val="00FB15A0"/>
    <w:rsid w:val="00FB394D"/>
    <w:rsid w:val="00FB4A13"/>
    <w:rsid w:val="00FB4B73"/>
    <w:rsid w:val="00FB536E"/>
    <w:rsid w:val="00FB5CAB"/>
    <w:rsid w:val="00FB7848"/>
    <w:rsid w:val="00FC07F1"/>
    <w:rsid w:val="00FC0AAB"/>
    <w:rsid w:val="00FC0F11"/>
    <w:rsid w:val="00FC14B0"/>
    <w:rsid w:val="00FC18A6"/>
    <w:rsid w:val="00FC4BDF"/>
    <w:rsid w:val="00FC6A68"/>
    <w:rsid w:val="00FD2BE9"/>
    <w:rsid w:val="00FD304A"/>
    <w:rsid w:val="00FD3530"/>
    <w:rsid w:val="00FD40FC"/>
    <w:rsid w:val="00FE0D36"/>
    <w:rsid w:val="00FE2982"/>
    <w:rsid w:val="00FE3D24"/>
    <w:rsid w:val="00FE4C0A"/>
    <w:rsid w:val="00FE4E28"/>
    <w:rsid w:val="00FE5FE5"/>
    <w:rsid w:val="00FE71A6"/>
    <w:rsid w:val="00FE7A4F"/>
    <w:rsid w:val="00FF12F7"/>
    <w:rsid w:val="00FF42DA"/>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52FD4"/>
  <w15:chartTrackingRefBased/>
  <w15:docId w15:val="{002DC4CB-0C21-4E06-B5FF-3B8D02A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EDE"/>
  </w:style>
  <w:style w:type="paragraph" w:styleId="Ttulo2">
    <w:name w:val="heading 2"/>
    <w:basedOn w:val="Normal"/>
    <w:next w:val="Normal"/>
    <w:link w:val="Ttulo2Car"/>
    <w:uiPriority w:val="9"/>
    <w:unhideWhenUsed/>
    <w:qFormat/>
    <w:rsid w:val="00252EDE"/>
    <w:pPr>
      <w:keepNext/>
      <w:keepLines/>
      <w:spacing w:after="0" w:line="240" w:lineRule="auto"/>
      <w:outlineLvl w:val="1"/>
    </w:pPr>
    <w:rPr>
      <w:rFonts w:ascii="Arial" w:eastAsiaTheme="majorEastAsia" w:hAnsi="Arial" w:cstheme="majorBidi"/>
      <w:b/>
      <w:color w:val="2F5496" w:themeColor="accent1" w:themeShade="BF"/>
      <w:sz w:val="24"/>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2EDE"/>
    <w:rPr>
      <w:rFonts w:ascii="Arial" w:eastAsiaTheme="majorEastAsia" w:hAnsi="Arial" w:cstheme="majorBidi"/>
      <w:b/>
      <w:color w:val="2F5496" w:themeColor="accent1" w:themeShade="BF"/>
      <w:sz w:val="24"/>
      <w:szCs w:val="26"/>
      <w:lang w:val="en-US"/>
    </w:rPr>
  </w:style>
  <w:style w:type="paragraph" w:customStyle="1" w:styleId="n0">
    <w:name w:val="n0"/>
    <w:basedOn w:val="Normal"/>
    <w:rsid w:val="00252EDE"/>
    <w:pPr>
      <w:keepLines/>
      <w:spacing w:before="240" w:after="0" w:line="240" w:lineRule="auto"/>
      <w:ind w:left="709" w:right="-351" w:hanging="709"/>
      <w:jc w:val="both"/>
    </w:pPr>
    <w:rPr>
      <w:rFonts w:ascii="Arial" w:eastAsia="Times New Roman" w:hAnsi="Arial" w:cs="Arial"/>
      <w:color w:val="800080"/>
      <w:sz w:val="24"/>
      <w:szCs w:val="24"/>
      <w:lang w:val="es-ES_tradnl" w:eastAsia="es-ES"/>
    </w:rPr>
  </w:style>
  <w:style w:type="paragraph" w:styleId="Subttulo">
    <w:name w:val="Subtitle"/>
    <w:basedOn w:val="Normal"/>
    <w:link w:val="SubttuloCar"/>
    <w:qFormat/>
    <w:rsid w:val="00252EDE"/>
    <w:pPr>
      <w:spacing w:after="0" w:line="240" w:lineRule="auto"/>
      <w:jc w:val="center"/>
    </w:pPr>
    <w:rPr>
      <w:rFonts w:ascii="Arial" w:eastAsia="Times New Roman" w:hAnsi="Arial" w:cs="Arial"/>
      <w:b/>
      <w:bCs/>
      <w:sz w:val="24"/>
      <w:szCs w:val="24"/>
      <w:lang w:val="es-ES_tradnl" w:eastAsia="es-ES"/>
    </w:rPr>
  </w:style>
  <w:style w:type="character" w:customStyle="1" w:styleId="SubttuloCar">
    <w:name w:val="Subtítulo Car"/>
    <w:basedOn w:val="Fuentedeprrafopredeter"/>
    <w:link w:val="Subttulo"/>
    <w:rsid w:val="00252EDE"/>
    <w:rPr>
      <w:rFonts w:ascii="Arial" w:eastAsia="Times New Roman" w:hAnsi="Arial" w:cs="Arial"/>
      <w:b/>
      <w:bCs/>
      <w:sz w:val="24"/>
      <w:szCs w:val="24"/>
      <w:lang w:val="es-ES_tradnl" w:eastAsia="es-ES"/>
    </w:rPr>
  </w:style>
  <w:style w:type="paragraph" w:styleId="Textonotapie">
    <w:name w:val="footnote text"/>
    <w:basedOn w:val="Normal"/>
    <w:link w:val="TextonotapieCar"/>
    <w:rsid w:val="00252EDE"/>
    <w:pPr>
      <w:spacing w:after="0" w:line="240" w:lineRule="auto"/>
      <w:jc w:val="both"/>
    </w:pPr>
    <w:rPr>
      <w:rFonts w:ascii="Arial" w:eastAsia="Times New Roman" w:hAnsi="Arial" w:cs="Arial"/>
      <w:sz w:val="20"/>
      <w:szCs w:val="20"/>
      <w:lang w:val="es-ES_tradnl" w:eastAsia="es-ES"/>
    </w:rPr>
  </w:style>
  <w:style w:type="character" w:customStyle="1" w:styleId="TextonotapieCar">
    <w:name w:val="Texto nota pie Car"/>
    <w:basedOn w:val="Fuentedeprrafopredeter"/>
    <w:link w:val="Textonotapie"/>
    <w:rsid w:val="00252EDE"/>
    <w:rPr>
      <w:rFonts w:ascii="Arial" w:eastAsia="Times New Roman" w:hAnsi="Arial" w:cs="Arial"/>
      <w:sz w:val="20"/>
      <w:szCs w:val="20"/>
      <w:lang w:val="es-ES_tradnl" w:eastAsia="es-ES"/>
    </w:rPr>
  </w:style>
  <w:style w:type="character" w:styleId="Refdenotaalpie">
    <w:name w:val="footnote reference"/>
    <w:basedOn w:val="Fuentedeprrafopredeter"/>
    <w:rsid w:val="00252EDE"/>
    <w:rPr>
      <w:vertAlign w:val="superscript"/>
    </w:rPr>
  </w:style>
  <w:style w:type="paragraph" w:styleId="Ttulo">
    <w:name w:val="Title"/>
    <w:basedOn w:val="Normal"/>
    <w:link w:val="TtuloCar"/>
    <w:qFormat/>
    <w:rsid w:val="00252EDE"/>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252EDE"/>
    <w:rPr>
      <w:rFonts w:ascii="Arial" w:eastAsia="Times New Roman" w:hAnsi="Arial" w:cs="Times New Roman"/>
      <w:b/>
      <w:sz w:val="24"/>
      <w:szCs w:val="20"/>
      <w:lang w:val="es-ES" w:eastAsia="es-ES"/>
    </w:rPr>
  </w:style>
  <w:style w:type="table" w:customStyle="1" w:styleId="Tabladelista4-nfasis21">
    <w:name w:val="Tabla de lista 4 - Énfasis 21"/>
    <w:basedOn w:val="Tablanormal"/>
    <w:uiPriority w:val="49"/>
    <w:rsid w:val="00252EDE"/>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apadeldocumento1">
    <w:name w:val="Mapa del documento1"/>
    <w:basedOn w:val="Normal"/>
    <w:rsid w:val="00252EDE"/>
    <w:pPr>
      <w:shd w:val="clear" w:color="auto" w:fill="000080"/>
      <w:spacing w:after="0" w:line="240" w:lineRule="auto"/>
      <w:jc w:val="both"/>
    </w:pPr>
    <w:rPr>
      <w:rFonts w:ascii="Tahoma" w:eastAsia="Times New Roman" w:hAnsi="Tahoma" w:cs="Tahoma"/>
      <w:sz w:val="24"/>
      <w:szCs w:val="24"/>
      <w:lang w:val="es-ES_tradnl" w:eastAsia="es-ES"/>
    </w:rPr>
  </w:style>
  <w:style w:type="paragraph" w:styleId="Prrafodelista">
    <w:name w:val="List Paragraph"/>
    <w:basedOn w:val="Normal"/>
    <w:uiPriority w:val="34"/>
    <w:qFormat/>
    <w:rsid w:val="00252EDE"/>
    <w:pPr>
      <w:ind w:left="720"/>
      <w:contextualSpacing/>
    </w:pPr>
  </w:style>
  <w:style w:type="paragraph" w:styleId="Textodeglobo">
    <w:name w:val="Balloon Text"/>
    <w:basedOn w:val="Normal"/>
    <w:link w:val="TextodegloboCar"/>
    <w:uiPriority w:val="99"/>
    <w:semiHidden/>
    <w:unhideWhenUsed/>
    <w:rsid w:val="00252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EDE"/>
    <w:rPr>
      <w:rFonts w:ascii="Segoe UI" w:hAnsi="Segoe UI" w:cs="Segoe UI"/>
      <w:sz w:val="18"/>
      <w:szCs w:val="18"/>
    </w:rPr>
  </w:style>
  <w:style w:type="paragraph" w:styleId="NormalWeb">
    <w:name w:val="Normal (Web)"/>
    <w:basedOn w:val="Normal"/>
    <w:uiPriority w:val="99"/>
    <w:semiHidden/>
    <w:unhideWhenUsed/>
    <w:rsid w:val="00252ED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252E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4">
    <w:name w:val="Grid Table 5 Dark Accent 4"/>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decuadrcula5oscura-nfasis3">
    <w:name w:val="Grid Table 5 Dark Accent 3"/>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5oscura-nfasis2">
    <w:name w:val="Grid Table 5 Dark Accent 2"/>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xmsolistparagraph">
    <w:name w:val="x_msolistparagraph"/>
    <w:basedOn w:val="Normal"/>
    <w:rsid w:val="00252EDE"/>
    <w:pPr>
      <w:spacing w:after="0" w:line="240" w:lineRule="auto"/>
      <w:ind w:left="720"/>
    </w:pPr>
    <w:rPr>
      <w:rFonts w:ascii="Calibri" w:hAnsi="Calibri" w:cs="Calibri"/>
      <w:lang w:eastAsia="es-MX"/>
    </w:rPr>
  </w:style>
  <w:style w:type="table" w:styleId="Tabladecuadrcula4-nfasis1">
    <w:name w:val="Grid Table 4 Accent 1"/>
    <w:basedOn w:val="Tablanormal"/>
    <w:uiPriority w:val="49"/>
    <w:rsid w:val="00252ED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01">
    <w:name w:val="n01"/>
    <w:basedOn w:val="Normal"/>
    <w:rsid w:val="00252EDE"/>
    <w:pPr>
      <w:keepLines/>
      <w:spacing w:before="240" w:after="0" w:line="240" w:lineRule="auto"/>
      <w:ind w:left="720" w:hanging="720"/>
      <w:jc w:val="both"/>
    </w:pPr>
    <w:rPr>
      <w:rFonts w:ascii="Univers (W1)" w:eastAsia="Times New Roman" w:hAnsi="Univers (W1)" w:cs="Arial"/>
      <w:color w:val="800080"/>
      <w:sz w:val="24"/>
      <w:szCs w:val="24"/>
      <w:lang w:val="es-ES_tradnl" w:eastAsia="es-ES"/>
    </w:rPr>
  </w:style>
  <w:style w:type="character" w:styleId="Hipervnculo">
    <w:name w:val="Hyperlink"/>
    <w:basedOn w:val="Fuentedeprrafopredeter"/>
    <w:rsid w:val="00252EDE"/>
    <w:rPr>
      <w:color w:val="0000FF"/>
      <w:u w:val="single"/>
    </w:rPr>
  </w:style>
  <w:style w:type="character" w:styleId="Textodelmarcadordeposicin">
    <w:name w:val="Placeholder Text"/>
    <w:basedOn w:val="Fuentedeprrafopredeter"/>
    <w:uiPriority w:val="99"/>
    <w:semiHidden/>
    <w:rsid w:val="00252EDE"/>
    <w:rPr>
      <w:color w:val="808080"/>
    </w:rPr>
  </w:style>
  <w:style w:type="paragraph" w:styleId="Encabezado">
    <w:name w:val="header"/>
    <w:basedOn w:val="Normal"/>
    <w:link w:val="EncabezadoCar"/>
    <w:uiPriority w:val="99"/>
    <w:unhideWhenUsed/>
    <w:rsid w:val="00743F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3F28"/>
  </w:style>
  <w:style w:type="paragraph" w:styleId="Piedepgina">
    <w:name w:val="footer"/>
    <w:basedOn w:val="Normal"/>
    <w:link w:val="PiedepginaCar"/>
    <w:uiPriority w:val="99"/>
    <w:unhideWhenUsed/>
    <w:rsid w:val="00743F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3F28"/>
  </w:style>
  <w:style w:type="character" w:customStyle="1" w:styleId="Mencinsinresolver1">
    <w:name w:val="Mención sin resolver1"/>
    <w:basedOn w:val="Fuentedeprrafopredeter"/>
    <w:uiPriority w:val="99"/>
    <w:semiHidden/>
    <w:unhideWhenUsed/>
    <w:rsid w:val="00743F28"/>
    <w:rPr>
      <w:color w:val="605E5C"/>
      <w:shd w:val="clear" w:color="auto" w:fill="E1DFDD"/>
    </w:rPr>
  </w:style>
  <w:style w:type="paragraph" w:styleId="Revisin">
    <w:name w:val="Revision"/>
    <w:hidden/>
    <w:uiPriority w:val="99"/>
    <w:semiHidden/>
    <w:rsid w:val="00A83689"/>
    <w:pPr>
      <w:spacing w:after="0" w:line="240" w:lineRule="auto"/>
    </w:pPr>
  </w:style>
  <w:style w:type="character" w:styleId="Refdecomentario">
    <w:name w:val="annotation reference"/>
    <w:basedOn w:val="Fuentedeprrafopredeter"/>
    <w:uiPriority w:val="99"/>
    <w:semiHidden/>
    <w:unhideWhenUsed/>
    <w:rsid w:val="002525B7"/>
    <w:rPr>
      <w:sz w:val="16"/>
      <w:szCs w:val="16"/>
    </w:rPr>
  </w:style>
  <w:style w:type="paragraph" w:styleId="Textocomentario">
    <w:name w:val="annotation text"/>
    <w:basedOn w:val="Normal"/>
    <w:link w:val="TextocomentarioCar"/>
    <w:uiPriority w:val="99"/>
    <w:semiHidden/>
    <w:unhideWhenUsed/>
    <w:rsid w:val="002525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5B7"/>
    <w:rPr>
      <w:sz w:val="20"/>
      <w:szCs w:val="20"/>
    </w:rPr>
  </w:style>
  <w:style w:type="paragraph" w:styleId="Asuntodelcomentario">
    <w:name w:val="annotation subject"/>
    <w:basedOn w:val="Textocomentario"/>
    <w:next w:val="Textocomentario"/>
    <w:link w:val="AsuntodelcomentarioCar"/>
    <w:uiPriority w:val="99"/>
    <w:semiHidden/>
    <w:unhideWhenUsed/>
    <w:rsid w:val="002525B7"/>
    <w:rPr>
      <w:b/>
      <w:bCs/>
    </w:rPr>
  </w:style>
  <w:style w:type="character" w:customStyle="1" w:styleId="AsuntodelcomentarioCar">
    <w:name w:val="Asunto del comentario Car"/>
    <w:basedOn w:val="TextocomentarioCar"/>
    <w:link w:val="Asuntodelcomentario"/>
    <w:uiPriority w:val="99"/>
    <w:semiHidden/>
    <w:rsid w:val="002525B7"/>
    <w:rPr>
      <w:b/>
      <w:bCs/>
      <w:sz w:val="20"/>
      <w:szCs w:val="20"/>
    </w:rPr>
  </w:style>
  <w:style w:type="paragraph" w:customStyle="1" w:styleId="Default">
    <w:name w:val="Default"/>
    <w:rsid w:val="00FE7A4F"/>
    <w:pPr>
      <w:autoSpaceDE w:val="0"/>
      <w:autoSpaceDN w:val="0"/>
      <w:adjustRightInd w:val="0"/>
      <w:spacing w:after="0" w:line="240" w:lineRule="auto"/>
    </w:pPr>
    <w:rPr>
      <w:rFonts w:ascii="Chilena" w:hAnsi="Chilena" w:cs="Chilena"/>
      <w:color w:val="000000"/>
      <w:sz w:val="24"/>
      <w:szCs w:val="24"/>
    </w:rPr>
  </w:style>
  <w:style w:type="character" w:customStyle="1" w:styleId="A2">
    <w:name w:val="A2"/>
    <w:uiPriority w:val="99"/>
    <w:rsid w:val="00FE7A4F"/>
    <w:rPr>
      <w:rFonts w:cs="Chilena"/>
      <w:b/>
      <w:bCs/>
      <w:color w:val="FFFFFF"/>
      <w:sz w:val="40"/>
      <w:szCs w:val="40"/>
    </w:rPr>
  </w:style>
  <w:style w:type="paragraph" w:styleId="Textoindependiente2">
    <w:name w:val="Body Text 2"/>
    <w:basedOn w:val="Normal"/>
    <w:link w:val="Textoindependiente2Car"/>
    <w:semiHidden/>
    <w:unhideWhenUsed/>
    <w:rsid w:val="00B75416"/>
    <w:pPr>
      <w:spacing w:before="240" w:after="0" w:line="240" w:lineRule="auto"/>
      <w:ind w:right="1951"/>
      <w:jc w:val="both"/>
    </w:pPr>
    <w:rPr>
      <w:rFonts w:ascii="Arial" w:eastAsia="Times New Roman" w:hAnsi="Arial" w:cs="Arial"/>
      <w:sz w:val="24"/>
      <w:szCs w:val="24"/>
      <w:lang w:val="es-ES_tradnl" w:eastAsia="es-ES"/>
    </w:rPr>
  </w:style>
  <w:style w:type="character" w:customStyle="1" w:styleId="Textoindependiente2Car">
    <w:name w:val="Texto independiente 2 Car"/>
    <w:basedOn w:val="Fuentedeprrafopredeter"/>
    <w:link w:val="Textoindependiente2"/>
    <w:semiHidden/>
    <w:rsid w:val="00B75416"/>
    <w:rPr>
      <w:rFonts w:ascii="Arial" w:eastAsia="Times New Roman" w:hAnsi="Arial" w:cs="Arial"/>
      <w:sz w:val="24"/>
      <w:szCs w:val="24"/>
      <w:lang w:val="es-ES_tradnl" w:eastAsia="es-ES"/>
    </w:rPr>
  </w:style>
  <w:style w:type="paragraph" w:customStyle="1" w:styleId="p0">
    <w:name w:val="p0"/>
    <w:basedOn w:val="Normal"/>
    <w:rsid w:val="00B75416"/>
    <w:pPr>
      <w:keepLines/>
      <w:widowControl w:val="0"/>
      <w:snapToGrid w:val="0"/>
      <w:spacing w:before="240" w:after="0" w:line="240" w:lineRule="auto"/>
      <w:jc w:val="both"/>
    </w:pPr>
    <w:rPr>
      <w:rFonts w:ascii="Helvetica" w:eastAsia="Times New Roman" w:hAnsi="Helvetica" w:cs="Arial"/>
      <w:color w:val="0000FF"/>
      <w:sz w:val="24"/>
      <w:szCs w:val="24"/>
      <w:lang w:val="es-ES_tradnl" w:eastAsia="es-ES"/>
    </w:rPr>
  </w:style>
  <w:style w:type="table" w:styleId="Tabladecuadrcula4-nfasis2">
    <w:name w:val="Grid Table 4 Accent 2"/>
    <w:basedOn w:val="Tablanormal"/>
    <w:uiPriority w:val="49"/>
    <w:rsid w:val="00811F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2">
    <w:name w:val="Mención sin resolver2"/>
    <w:basedOn w:val="Fuentedeprrafopredeter"/>
    <w:uiPriority w:val="99"/>
    <w:semiHidden/>
    <w:unhideWhenUsed/>
    <w:rsid w:val="005068B9"/>
    <w:rPr>
      <w:color w:val="605E5C"/>
      <w:shd w:val="clear" w:color="auto" w:fill="E1DFDD"/>
    </w:rPr>
  </w:style>
  <w:style w:type="paragraph" w:customStyle="1" w:styleId="Profesin">
    <w:name w:val="Profesión"/>
    <w:basedOn w:val="Normal"/>
    <w:rsid w:val="00C60D6E"/>
    <w:pPr>
      <w:spacing w:after="0" w:line="240" w:lineRule="auto"/>
      <w:jc w:val="center"/>
    </w:pPr>
    <w:rPr>
      <w:rFonts w:ascii="Arial" w:eastAsia="Times New Roman" w:hAnsi="Arial" w:cs="Arial"/>
      <w:b/>
      <w:bCs/>
      <w:caps/>
      <w:sz w:val="28"/>
      <w:szCs w:val="28"/>
      <w:lang w:val="es-ES_tradnl" w:eastAsia="es-ES"/>
    </w:rPr>
  </w:style>
  <w:style w:type="paragraph" w:customStyle="1" w:styleId="Textonotafinal">
    <w:name w:val="Texto nota final"/>
    <w:basedOn w:val="Normal"/>
    <w:rsid w:val="00945818"/>
    <w:pPr>
      <w:spacing w:after="0" w:line="240" w:lineRule="auto"/>
      <w:jc w:val="both"/>
    </w:pPr>
    <w:rPr>
      <w:rFonts w:ascii="Arial" w:eastAsia="Times New Roman" w:hAnsi="Arial" w:cs="Arial"/>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6084">
      <w:bodyDiv w:val="1"/>
      <w:marLeft w:val="0"/>
      <w:marRight w:val="0"/>
      <w:marTop w:val="0"/>
      <w:marBottom w:val="0"/>
      <w:divBdr>
        <w:top w:val="none" w:sz="0" w:space="0" w:color="auto"/>
        <w:left w:val="none" w:sz="0" w:space="0" w:color="auto"/>
        <w:bottom w:val="none" w:sz="0" w:space="0" w:color="auto"/>
        <w:right w:val="none" w:sz="0" w:space="0" w:color="auto"/>
      </w:divBdr>
    </w:div>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65421716">
      <w:bodyDiv w:val="1"/>
      <w:marLeft w:val="0"/>
      <w:marRight w:val="0"/>
      <w:marTop w:val="0"/>
      <w:marBottom w:val="0"/>
      <w:divBdr>
        <w:top w:val="none" w:sz="0" w:space="0" w:color="auto"/>
        <w:left w:val="none" w:sz="0" w:space="0" w:color="auto"/>
        <w:bottom w:val="none" w:sz="0" w:space="0" w:color="auto"/>
        <w:right w:val="none" w:sz="0" w:space="0" w:color="auto"/>
      </w:divBdr>
    </w:div>
    <w:div w:id="65688568">
      <w:bodyDiv w:val="1"/>
      <w:marLeft w:val="0"/>
      <w:marRight w:val="0"/>
      <w:marTop w:val="0"/>
      <w:marBottom w:val="0"/>
      <w:divBdr>
        <w:top w:val="none" w:sz="0" w:space="0" w:color="auto"/>
        <w:left w:val="none" w:sz="0" w:space="0" w:color="auto"/>
        <w:bottom w:val="none" w:sz="0" w:space="0" w:color="auto"/>
        <w:right w:val="none" w:sz="0" w:space="0" w:color="auto"/>
      </w:divBdr>
    </w:div>
    <w:div w:id="65692073">
      <w:bodyDiv w:val="1"/>
      <w:marLeft w:val="0"/>
      <w:marRight w:val="0"/>
      <w:marTop w:val="0"/>
      <w:marBottom w:val="0"/>
      <w:divBdr>
        <w:top w:val="none" w:sz="0" w:space="0" w:color="auto"/>
        <w:left w:val="none" w:sz="0" w:space="0" w:color="auto"/>
        <w:bottom w:val="none" w:sz="0" w:space="0" w:color="auto"/>
        <w:right w:val="none" w:sz="0" w:space="0" w:color="auto"/>
      </w:divBdr>
    </w:div>
    <w:div w:id="73823318">
      <w:bodyDiv w:val="1"/>
      <w:marLeft w:val="0"/>
      <w:marRight w:val="0"/>
      <w:marTop w:val="0"/>
      <w:marBottom w:val="0"/>
      <w:divBdr>
        <w:top w:val="none" w:sz="0" w:space="0" w:color="auto"/>
        <w:left w:val="none" w:sz="0" w:space="0" w:color="auto"/>
        <w:bottom w:val="none" w:sz="0" w:space="0" w:color="auto"/>
        <w:right w:val="none" w:sz="0" w:space="0" w:color="auto"/>
      </w:divBdr>
    </w:div>
    <w:div w:id="101925133">
      <w:bodyDiv w:val="1"/>
      <w:marLeft w:val="0"/>
      <w:marRight w:val="0"/>
      <w:marTop w:val="0"/>
      <w:marBottom w:val="0"/>
      <w:divBdr>
        <w:top w:val="none" w:sz="0" w:space="0" w:color="auto"/>
        <w:left w:val="none" w:sz="0" w:space="0" w:color="auto"/>
        <w:bottom w:val="none" w:sz="0" w:space="0" w:color="auto"/>
        <w:right w:val="none" w:sz="0" w:space="0" w:color="auto"/>
      </w:divBdr>
    </w:div>
    <w:div w:id="134878289">
      <w:bodyDiv w:val="1"/>
      <w:marLeft w:val="0"/>
      <w:marRight w:val="0"/>
      <w:marTop w:val="0"/>
      <w:marBottom w:val="0"/>
      <w:divBdr>
        <w:top w:val="none" w:sz="0" w:space="0" w:color="auto"/>
        <w:left w:val="none" w:sz="0" w:space="0" w:color="auto"/>
        <w:bottom w:val="none" w:sz="0" w:space="0" w:color="auto"/>
        <w:right w:val="none" w:sz="0" w:space="0" w:color="auto"/>
      </w:divBdr>
    </w:div>
    <w:div w:id="138159015">
      <w:bodyDiv w:val="1"/>
      <w:marLeft w:val="0"/>
      <w:marRight w:val="0"/>
      <w:marTop w:val="0"/>
      <w:marBottom w:val="0"/>
      <w:divBdr>
        <w:top w:val="none" w:sz="0" w:space="0" w:color="auto"/>
        <w:left w:val="none" w:sz="0" w:space="0" w:color="auto"/>
        <w:bottom w:val="none" w:sz="0" w:space="0" w:color="auto"/>
        <w:right w:val="none" w:sz="0" w:space="0" w:color="auto"/>
      </w:divBdr>
    </w:div>
    <w:div w:id="141626399">
      <w:bodyDiv w:val="1"/>
      <w:marLeft w:val="0"/>
      <w:marRight w:val="0"/>
      <w:marTop w:val="0"/>
      <w:marBottom w:val="0"/>
      <w:divBdr>
        <w:top w:val="none" w:sz="0" w:space="0" w:color="auto"/>
        <w:left w:val="none" w:sz="0" w:space="0" w:color="auto"/>
        <w:bottom w:val="none" w:sz="0" w:space="0" w:color="auto"/>
        <w:right w:val="none" w:sz="0" w:space="0" w:color="auto"/>
      </w:divBdr>
    </w:div>
    <w:div w:id="153761878">
      <w:bodyDiv w:val="1"/>
      <w:marLeft w:val="0"/>
      <w:marRight w:val="0"/>
      <w:marTop w:val="0"/>
      <w:marBottom w:val="0"/>
      <w:divBdr>
        <w:top w:val="none" w:sz="0" w:space="0" w:color="auto"/>
        <w:left w:val="none" w:sz="0" w:space="0" w:color="auto"/>
        <w:bottom w:val="none" w:sz="0" w:space="0" w:color="auto"/>
        <w:right w:val="none" w:sz="0" w:space="0" w:color="auto"/>
      </w:divBdr>
    </w:div>
    <w:div w:id="162548260">
      <w:bodyDiv w:val="1"/>
      <w:marLeft w:val="0"/>
      <w:marRight w:val="0"/>
      <w:marTop w:val="0"/>
      <w:marBottom w:val="0"/>
      <w:divBdr>
        <w:top w:val="none" w:sz="0" w:space="0" w:color="auto"/>
        <w:left w:val="none" w:sz="0" w:space="0" w:color="auto"/>
        <w:bottom w:val="none" w:sz="0" w:space="0" w:color="auto"/>
        <w:right w:val="none" w:sz="0" w:space="0" w:color="auto"/>
      </w:divBdr>
    </w:div>
    <w:div w:id="173616451">
      <w:bodyDiv w:val="1"/>
      <w:marLeft w:val="0"/>
      <w:marRight w:val="0"/>
      <w:marTop w:val="0"/>
      <w:marBottom w:val="0"/>
      <w:divBdr>
        <w:top w:val="none" w:sz="0" w:space="0" w:color="auto"/>
        <w:left w:val="none" w:sz="0" w:space="0" w:color="auto"/>
        <w:bottom w:val="none" w:sz="0" w:space="0" w:color="auto"/>
        <w:right w:val="none" w:sz="0" w:space="0" w:color="auto"/>
      </w:divBdr>
    </w:div>
    <w:div w:id="215632035">
      <w:bodyDiv w:val="1"/>
      <w:marLeft w:val="0"/>
      <w:marRight w:val="0"/>
      <w:marTop w:val="0"/>
      <w:marBottom w:val="0"/>
      <w:divBdr>
        <w:top w:val="none" w:sz="0" w:space="0" w:color="auto"/>
        <w:left w:val="none" w:sz="0" w:space="0" w:color="auto"/>
        <w:bottom w:val="none" w:sz="0" w:space="0" w:color="auto"/>
        <w:right w:val="none" w:sz="0" w:space="0" w:color="auto"/>
      </w:divBdr>
    </w:div>
    <w:div w:id="220405689">
      <w:bodyDiv w:val="1"/>
      <w:marLeft w:val="0"/>
      <w:marRight w:val="0"/>
      <w:marTop w:val="0"/>
      <w:marBottom w:val="0"/>
      <w:divBdr>
        <w:top w:val="none" w:sz="0" w:space="0" w:color="auto"/>
        <w:left w:val="none" w:sz="0" w:space="0" w:color="auto"/>
        <w:bottom w:val="none" w:sz="0" w:space="0" w:color="auto"/>
        <w:right w:val="none" w:sz="0" w:space="0" w:color="auto"/>
      </w:divBdr>
    </w:div>
    <w:div w:id="229315933">
      <w:bodyDiv w:val="1"/>
      <w:marLeft w:val="0"/>
      <w:marRight w:val="0"/>
      <w:marTop w:val="0"/>
      <w:marBottom w:val="0"/>
      <w:divBdr>
        <w:top w:val="none" w:sz="0" w:space="0" w:color="auto"/>
        <w:left w:val="none" w:sz="0" w:space="0" w:color="auto"/>
        <w:bottom w:val="none" w:sz="0" w:space="0" w:color="auto"/>
        <w:right w:val="none" w:sz="0" w:space="0" w:color="auto"/>
      </w:divBdr>
    </w:div>
    <w:div w:id="232006153">
      <w:bodyDiv w:val="1"/>
      <w:marLeft w:val="0"/>
      <w:marRight w:val="0"/>
      <w:marTop w:val="0"/>
      <w:marBottom w:val="0"/>
      <w:divBdr>
        <w:top w:val="none" w:sz="0" w:space="0" w:color="auto"/>
        <w:left w:val="none" w:sz="0" w:space="0" w:color="auto"/>
        <w:bottom w:val="none" w:sz="0" w:space="0" w:color="auto"/>
        <w:right w:val="none" w:sz="0" w:space="0" w:color="auto"/>
      </w:divBdr>
    </w:div>
    <w:div w:id="233862155">
      <w:bodyDiv w:val="1"/>
      <w:marLeft w:val="0"/>
      <w:marRight w:val="0"/>
      <w:marTop w:val="0"/>
      <w:marBottom w:val="0"/>
      <w:divBdr>
        <w:top w:val="none" w:sz="0" w:space="0" w:color="auto"/>
        <w:left w:val="none" w:sz="0" w:space="0" w:color="auto"/>
        <w:bottom w:val="none" w:sz="0" w:space="0" w:color="auto"/>
        <w:right w:val="none" w:sz="0" w:space="0" w:color="auto"/>
      </w:divBdr>
    </w:div>
    <w:div w:id="247421394">
      <w:bodyDiv w:val="1"/>
      <w:marLeft w:val="0"/>
      <w:marRight w:val="0"/>
      <w:marTop w:val="0"/>
      <w:marBottom w:val="0"/>
      <w:divBdr>
        <w:top w:val="none" w:sz="0" w:space="0" w:color="auto"/>
        <w:left w:val="none" w:sz="0" w:space="0" w:color="auto"/>
        <w:bottom w:val="none" w:sz="0" w:space="0" w:color="auto"/>
        <w:right w:val="none" w:sz="0" w:space="0" w:color="auto"/>
      </w:divBdr>
    </w:div>
    <w:div w:id="271135127">
      <w:bodyDiv w:val="1"/>
      <w:marLeft w:val="0"/>
      <w:marRight w:val="0"/>
      <w:marTop w:val="0"/>
      <w:marBottom w:val="0"/>
      <w:divBdr>
        <w:top w:val="none" w:sz="0" w:space="0" w:color="auto"/>
        <w:left w:val="none" w:sz="0" w:space="0" w:color="auto"/>
        <w:bottom w:val="none" w:sz="0" w:space="0" w:color="auto"/>
        <w:right w:val="none" w:sz="0" w:space="0" w:color="auto"/>
      </w:divBdr>
    </w:div>
    <w:div w:id="287249515">
      <w:bodyDiv w:val="1"/>
      <w:marLeft w:val="0"/>
      <w:marRight w:val="0"/>
      <w:marTop w:val="0"/>
      <w:marBottom w:val="0"/>
      <w:divBdr>
        <w:top w:val="none" w:sz="0" w:space="0" w:color="auto"/>
        <w:left w:val="none" w:sz="0" w:space="0" w:color="auto"/>
        <w:bottom w:val="none" w:sz="0" w:space="0" w:color="auto"/>
        <w:right w:val="none" w:sz="0" w:space="0" w:color="auto"/>
      </w:divBdr>
    </w:div>
    <w:div w:id="296497855">
      <w:bodyDiv w:val="1"/>
      <w:marLeft w:val="0"/>
      <w:marRight w:val="0"/>
      <w:marTop w:val="0"/>
      <w:marBottom w:val="0"/>
      <w:divBdr>
        <w:top w:val="none" w:sz="0" w:space="0" w:color="auto"/>
        <w:left w:val="none" w:sz="0" w:space="0" w:color="auto"/>
        <w:bottom w:val="none" w:sz="0" w:space="0" w:color="auto"/>
        <w:right w:val="none" w:sz="0" w:space="0" w:color="auto"/>
      </w:divBdr>
    </w:div>
    <w:div w:id="298650827">
      <w:bodyDiv w:val="1"/>
      <w:marLeft w:val="0"/>
      <w:marRight w:val="0"/>
      <w:marTop w:val="0"/>
      <w:marBottom w:val="0"/>
      <w:divBdr>
        <w:top w:val="none" w:sz="0" w:space="0" w:color="auto"/>
        <w:left w:val="none" w:sz="0" w:space="0" w:color="auto"/>
        <w:bottom w:val="none" w:sz="0" w:space="0" w:color="auto"/>
        <w:right w:val="none" w:sz="0" w:space="0" w:color="auto"/>
      </w:divBdr>
    </w:div>
    <w:div w:id="301079980">
      <w:bodyDiv w:val="1"/>
      <w:marLeft w:val="0"/>
      <w:marRight w:val="0"/>
      <w:marTop w:val="0"/>
      <w:marBottom w:val="0"/>
      <w:divBdr>
        <w:top w:val="none" w:sz="0" w:space="0" w:color="auto"/>
        <w:left w:val="none" w:sz="0" w:space="0" w:color="auto"/>
        <w:bottom w:val="none" w:sz="0" w:space="0" w:color="auto"/>
        <w:right w:val="none" w:sz="0" w:space="0" w:color="auto"/>
      </w:divBdr>
    </w:div>
    <w:div w:id="304285371">
      <w:bodyDiv w:val="1"/>
      <w:marLeft w:val="0"/>
      <w:marRight w:val="0"/>
      <w:marTop w:val="0"/>
      <w:marBottom w:val="0"/>
      <w:divBdr>
        <w:top w:val="none" w:sz="0" w:space="0" w:color="auto"/>
        <w:left w:val="none" w:sz="0" w:space="0" w:color="auto"/>
        <w:bottom w:val="none" w:sz="0" w:space="0" w:color="auto"/>
        <w:right w:val="none" w:sz="0" w:space="0" w:color="auto"/>
      </w:divBdr>
    </w:div>
    <w:div w:id="330449965">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
    <w:div w:id="361825291">
      <w:bodyDiv w:val="1"/>
      <w:marLeft w:val="0"/>
      <w:marRight w:val="0"/>
      <w:marTop w:val="0"/>
      <w:marBottom w:val="0"/>
      <w:divBdr>
        <w:top w:val="none" w:sz="0" w:space="0" w:color="auto"/>
        <w:left w:val="none" w:sz="0" w:space="0" w:color="auto"/>
        <w:bottom w:val="none" w:sz="0" w:space="0" w:color="auto"/>
        <w:right w:val="none" w:sz="0" w:space="0" w:color="auto"/>
      </w:divBdr>
    </w:div>
    <w:div w:id="404643879">
      <w:bodyDiv w:val="1"/>
      <w:marLeft w:val="0"/>
      <w:marRight w:val="0"/>
      <w:marTop w:val="0"/>
      <w:marBottom w:val="0"/>
      <w:divBdr>
        <w:top w:val="none" w:sz="0" w:space="0" w:color="auto"/>
        <w:left w:val="none" w:sz="0" w:space="0" w:color="auto"/>
        <w:bottom w:val="none" w:sz="0" w:space="0" w:color="auto"/>
        <w:right w:val="none" w:sz="0" w:space="0" w:color="auto"/>
      </w:divBdr>
    </w:div>
    <w:div w:id="405421358">
      <w:bodyDiv w:val="1"/>
      <w:marLeft w:val="0"/>
      <w:marRight w:val="0"/>
      <w:marTop w:val="0"/>
      <w:marBottom w:val="0"/>
      <w:divBdr>
        <w:top w:val="none" w:sz="0" w:space="0" w:color="auto"/>
        <w:left w:val="none" w:sz="0" w:space="0" w:color="auto"/>
        <w:bottom w:val="none" w:sz="0" w:space="0" w:color="auto"/>
        <w:right w:val="none" w:sz="0" w:space="0" w:color="auto"/>
      </w:divBdr>
    </w:div>
    <w:div w:id="421530516">
      <w:bodyDiv w:val="1"/>
      <w:marLeft w:val="0"/>
      <w:marRight w:val="0"/>
      <w:marTop w:val="0"/>
      <w:marBottom w:val="0"/>
      <w:divBdr>
        <w:top w:val="none" w:sz="0" w:space="0" w:color="auto"/>
        <w:left w:val="none" w:sz="0" w:space="0" w:color="auto"/>
        <w:bottom w:val="none" w:sz="0" w:space="0" w:color="auto"/>
        <w:right w:val="none" w:sz="0" w:space="0" w:color="auto"/>
      </w:divBdr>
    </w:div>
    <w:div w:id="452134230">
      <w:bodyDiv w:val="1"/>
      <w:marLeft w:val="0"/>
      <w:marRight w:val="0"/>
      <w:marTop w:val="0"/>
      <w:marBottom w:val="0"/>
      <w:divBdr>
        <w:top w:val="none" w:sz="0" w:space="0" w:color="auto"/>
        <w:left w:val="none" w:sz="0" w:space="0" w:color="auto"/>
        <w:bottom w:val="none" w:sz="0" w:space="0" w:color="auto"/>
        <w:right w:val="none" w:sz="0" w:space="0" w:color="auto"/>
      </w:divBdr>
    </w:div>
    <w:div w:id="455832643">
      <w:bodyDiv w:val="1"/>
      <w:marLeft w:val="0"/>
      <w:marRight w:val="0"/>
      <w:marTop w:val="0"/>
      <w:marBottom w:val="0"/>
      <w:divBdr>
        <w:top w:val="none" w:sz="0" w:space="0" w:color="auto"/>
        <w:left w:val="none" w:sz="0" w:space="0" w:color="auto"/>
        <w:bottom w:val="none" w:sz="0" w:space="0" w:color="auto"/>
        <w:right w:val="none" w:sz="0" w:space="0" w:color="auto"/>
      </w:divBdr>
    </w:div>
    <w:div w:id="461770626">
      <w:bodyDiv w:val="1"/>
      <w:marLeft w:val="0"/>
      <w:marRight w:val="0"/>
      <w:marTop w:val="0"/>
      <w:marBottom w:val="0"/>
      <w:divBdr>
        <w:top w:val="none" w:sz="0" w:space="0" w:color="auto"/>
        <w:left w:val="none" w:sz="0" w:space="0" w:color="auto"/>
        <w:bottom w:val="none" w:sz="0" w:space="0" w:color="auto"/>
        <w:right w:val="none" w:sz="0" w:space="0" w:color="auto"/>
      </w:divBdr>
    </w:div>
    <w:div w:id="463428624">
      <w:bodyDiv w:val="1"/>
      <w:marLeft w:val="0"/>
      <w:marRight w:val="0"/>
      <w:marTop w:val="0"/>
      <w:marBottom w:val="0"/>
      <w:divBdr>
        <w:top w:val="none" w:sz="0" w:space="0" w:color="auto"/>
        <w:left w:val="none" w:sz="0" w:space="0" w:color="auto"/>
        <w:bottom w:val="none" w:sz="0" w:space="0" w:color="auto"/>
        <w:right w:val="none" w:sz="0" w:space="0" w:color="auto"/>
      </w:divBdr>
    </w:div>
    <w:div w:id="476534687">
      <w:bodyDiv w:val="1"/>
      <w:marLeft w:val="0"/>
      <w:marRight w:val="0"/>
      <w:marTop w:val="0"/>
      <w:marBottom w:val="0"/>
      <w:divBdr>
        <w:top w:val="none" w:sz="0" w:space="0" w:color="auto"/>
        <w:left w:val="none" w:sz="0" w:space="0" w:color="auto"/>
        <w:bottom w:val="none" w:sz="0" w:space="0" w:color="auto"/>
        <w:right w:val="none" w:sz="0" w:space="0" w:color="auto"/>
      </w:divBdr>
    </w:div>
    <w:div w:id="489447828">
      <w:bodyDiv w:val="1"/>
      <w:marLeft w:val="0"/>
      <w:marRight w:val="0"/>
      <w:marTop w:val="0"/>
      <w:marBottom w:val="0"/>
      <w:divBdr>
        <w:top w:val="none" w:sz="0" w:space="0" w:color="auto"/>
        <w:left w:val="none" w:sz="0" w:space="0" w:color="auto"/>
        <w:bottom w:val="none" w:sz="0" w:space="0" w:color="auto"/>
        <w:right w:val="none" w:sz="0" w:space="0" w:color="auto"/>
      </w:divBdr>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22136450">
      <w:bodyDiv w:val="1"/>
      <w:marLeft w:val="0"/>
      <w:marRight w:val="0"/>
      <w:marTop w:val="0"/>
      <w:marBottom w:val="0"/>
      <w:divBdr>
        <w:top w:val="none" w:sz="0" w:space="0" w:color="auto"/>
        <w:left w:val="none" w:sz="0" w:space="0" w:color="auto"/>
        <w:bottom w:val="none" w:sz="0" w:space="0" w:color="auto"/>
        <w:right w:val="none" w:sz="0" w:space="0" w:color="auto"/>
      </w:divBdr>
    </w:div>
    <w:div w:id="533344872">
      <w:bodyDiv w:val="1"/>
      <w:marLeft w:val="0"/>
      <w:marRight w:val="0"/>
      <w:marTop w:val="0"/>
      <w:marBottom w:val="0"/>
      <w:divBdr>
        <w:top w:val="none" w:sz="0" w:space="0" w:color="auto"/>
        <w:left w:val="none" w:sz="0" w:space="0" w:color="auto"/>
        <w:bottom w:val="none" w:sz="0" w:space="0" w:color="auto"/>
        <w:right w:val="none" w:sz="0" w:space="0" w:color="auto"/>
      </w:divBdr>
    </w:div>
    <w:div w:id="542015198">
      <w:bodyDiv w:val="1"/>
      <w:marLeft w:val="0"/>
      <w:marRight w:val="0"/>
      <w:marTop w:val="0"/>
      <w:marBottom w:val="0"/>
      <w:divBdr>
        <w:top w:val="none" w:sz="0" w:space="0" w:color="auto"/>
        <w:left w:val="none" w:sz="0" w:space="0" w:color="auto"/>
        <w:bottom w:val="none" w:sz="0" w:space="0" w:color="auto"/>
        <w:right w:val="none" w:sz="0" w:space="0" w:color="auto"/>
      </w:divBdr>
    </w:div>
    <w:div w:id="554856788">
      <w:bodyDiv w:val="1"/>
      <w:marLeft w:val="0"/>
      <w:marRight w:val="0"/>
      <w:marTop w:val="0"/>
      <w:marBottom w:val="0"/>
      <w:divBdr>
        <w:top w:val="none" w:sz="0" w:space="0" w:color="auto"/>
        <w:left w:val="none" w:sz="0" w:space="0" w:color="auto"/>
        <w:bottom w:val="none" w:sz="0" w:space="0" w:color="auto"/>
        <w:right w:val="none" w:sz="0" w:space="0" w:color="auto"/>
      </w:divBdr>
    </w:div>
    <w:div w:id="573853750">
      <w:bodyDiv w:val="1"/>
      <w:marLeft w:val="0"/>
      <w:marRight w:val="0"/>
      <w:marTop w:val="0"/>
      <w:marBottom w:val="0"/>
      <w:divBdr>
        <w:top w:val="none" w:sz="0" w:space="0" w:color="auto"/>
        <w:left w:val="none" w:sz="0" w:space="0" w:color="auto"/>
        <w:bottom w:val="none" w:sz="0" w:space="0" w:color="auto"/>
        <w:right w:val="none" w:sz="0" w:space="0" w:color="auto"/>
      </w:divBdr>
    </w:div>
    <w:div w:id="574706376">
      <w:bodyDiv w:val="1"/>
      <w:marLeft w:val="0"/>
      <w:marRight w:val="0"/>
      <w:marTop w:val="0"/>
      <w:marBottom w:val="0"/>
      <w:divBdr>
        <w:top w:val="none" w:sz="0" w:space="0" w:color="auto"/>
        <w:left w:val="none" w:sz="0" w:space="0" w:color="auto"/>
        <w:bottom w:val="none" w:sz="0" w:space="0" w:color="auto"/>
        <w:right w:val="none" w:sz="0" w:space="0" w:color="auto"/>
      </w:divBdr>
    </w:div>
    <w:div w:id="586234421">
      <w:bodyDiv w:val="1"/>
      <w:marLeft w:val="0"/>
      <w:marRight w:val="0"/>
      <w:marTop w:val="0"/>
      <w:marBottom w:val="0"/>
      <w:divBdr>
        <w:top w:val="none" w:sz="0" w:space="0" w:color="auto"/>
        <w:left w:val="none" w:sz="0" w:space="0" w:color="auto"/>
        <w:bottom w:val="none" w:sz="0" w:space="0" w:color="auto"/>
        <w:right w:val="none" w:sz="0" w:space="0" w:color="auto"/>
      </w:divBdr>
    </w:div>
    <w:div w:id="589311020">
      <w:bodyDiv w:val="1"/>
      <w:marLeft w:val="0"/>
      <w:marRight w:val="0"/>
      <w:marTop w:val="0"/>
      <w:marBottom w:val="0"/>
      <w:divBdr>
        <w:top w:val="none" w:sz="0" w:space="0" w:color="auto"/>
        <w:left w:val="none" w:sz="0" w:space="0" w:color="auto"/>
        <w:bottom w:val="none" w:sz="0" w:space="0" w:color="auto"/>
        <w:right w:val="none" w:sz="0" w:space="0" w:color="auto"/>
      </w:divBdr>
    </w:div>
    <w:div w:id="598030108">
      <w:bodyDiv w:val="1"/>
      <w:marLeft w:val="0"/>
      <w:marRight w:val="0"/>
      <w:marTop w:val="0"/>
      <w:marBottom w:val="0"/>
      <w:divBdr>
        <w:top w:val="none" w:sz="0" w:space="0" w:color="auto"/>
        <w:left w:val="none" w:sz="0" w:space="0" w:color="auto"/>
        <w:bottom w:val="none" w:sz="0" w:space="0" w:color="auto"/>
        <w:right w:val="none" w:sz="0" w:space="0" w:color="auto"/>
      </w:divBdr>
    </w:div>
    <w:div w:id="601030727">
      <w:bodyDiv w:val="1"/>
      <w:marLeft w:val="0"/>
      <w:marRight w:val="0"/>
      <w:marTop w:val="0"/>
      <w:marBottom w:val="0"/>
      <w:divBdr>
        <w:top w:val="none" w:sz="0" w:space="0" w:color="auto"/>
        <w:left w:val="none" w:sz="0" w:space="0" w:color="auto"/>
        <w:bottom w:val="none" w:sz="0" w:space="0" w:color="auto"/>
        <w:right w:val="none" w:sz="0" w:space="0" w:color="auto"/>
      </w:divBdr>
    </w:div>
    <w:div w:id="603923182">
      <w:bodyDiv w:val="1"/>
      <w:marLeft w:val="0"/>
      <w:marRight w:val="0"/>
      <w:marTop w:val="0"/>
      <w:marBottom w:val="0"/>
      <w:divBdr>
        <w:top w:val="none" w:sz="0" w:space="0" w:color="auto"/>
        <w:left w:val="none" w:sz="0" w:space="0" w:color="auto"/>
        <w:bottom w:val="none" w:sz="0" w:space="0" w:color="auto"/>
        <w:right w:val="none" w:sz="0" w:space="0" w:color="auto"/>
      </w:divBdr>
    </w:div>
    <w:div w:id="626395878">
      <w:bodyDiv w:val="1"/>
      <w:marLeft w:val="0"/>
      <w:marRight w:val="0"/>
      <w:marTop w:val="0"/>
      <w:marBottom w:val="0"/>
      <w:divBdr>
        <w:top w:val="none" w:sz="0" w:space="0" w:color="auto"/>
        <w:left w:val="none" w:sz="0" w:space="0" w:color="auto"/>
        <w:bottom w:val="none" w:sz="0" w:space="0" w:color="auto"/>
        <w:right w:val="none" w:sz="0" w:space="0" w:color="auto"/>
      </w:divBdr>
    </w:div>
    <w:div w:id="631405057">
      <w:bodyDiv w:val="1"/>
      <w:marLeft w:val="0"/>
      <w:marRight w:val="0"/>
      <w:marTop w:val="0"/>
      <w:marBottom w:val="0"/>
      <w:divBdr>
        <w:top w:val="none" w:sz="0" w:space="0" w:color="auto"/>
        <w:left w:val="none" w:sz="0" w:space="0" w:color="auto"/>
        <w:bottom w:val="none" w:sz="0" w:space="0" w:color="auto"/>
        <w:right w:val="none" w:sz="0" w:space="0" w:color="auto"/>
      </w:divBdr>
    </w:div>
    <w:div w:id="633371213">
      <w:bodyDiv w:val="1"/>
      <w:marLeft w:val="0"/>
      <w:marRight w:val="0"/>
      <w:marTop w:val="0"/>
      <w:marBottom w:val="0"/>
      <w:divBdr>
        <w:top w:val="none" w:sz="0" w:space="0" w:color="auto"/>
        <w:left w:val="none" w:sz="0" w:space="0" w:color="auto"/>
        <w:bottom w:val="none" w:sz="0" w:space="0" w:color="auto"/>
        <w:right w:val="none" w:sz="0" w:space="0" w:color="auto"/>
      </w:divBdr>
    </w:div>
    <w:div w:id="637996835">
      <w:bodyDiv w:val="1"/>
      <w:marLeft w:val="0"/>
      <w:marRight w:val="0"/>
      <w:marTop w:val="0"/>
      <w:marBottom w:val="0"/>
      <w:divBdr>
        <w:top w:val="none" w:sz="0" w:space="0" w:color="auto"/>
        <w:left w:val="none" w:sz="0" w:space="0" w:color="auto"/>
        <w:bottom w:val="none" w:sz="0" w:space="0" w:color="auto"/>
        <w:right w:val="none" w:sz="0" w:space="0" w:color="auto"/>
      </w:divBdr>
    </w:div>
    <w:div w:id="641809154">
      <w:bodyDiv w:val="1"/>
      <w:marLeft w:val="0"/>
      <w:marRight w:val="0"/>
      <w:marTop w:val="0"/>
      <w:marBottom w:val="0"/>
      <w:divBdr>
        <w:top w:val="none" w:sz="0" w:space="0" w:color="auto"/>
        <w:left w:val="none" w:sz="0" w:space="0" w:color="auto"/>
        <w:bottom w:val="none" w:sz="0" w:space="0" w:color="auto"/>
        <w:right w:val="none" w:sz="0" w:space="0" w:color="auto"/>
      </w:divBdr>
    </w:div>
    <w:div w:id="655766048">
      <w:bodyDiv w:val="1"/>
      <w:marLeft w:val="0"/>
      <w:marRight w:val="0"/>
      <w:marTop w:val="0"/>
      <w:marBottom w:val="0"/>
      <w:divBdr>
        <w:top w:val="none" w:sz="0" w:space="0" w:color="auto"/>
        <w:left w:val="none" w:sz="0" w:space="0" w:color="auto"/>
        <w:bottom w:val="none" w:sz="0" w:space="0" w:color="auto"/>
        <w:right w:val="none" w:sz="0" w:space="0" w:color="auto"/>
      </w:divBdr>
    </w:div>
    <w:div w:id="658845748">
      <w:bodyDiv w:val="1"/>
      <w:marLeft w:val="0"/>
      <w:marRight w:val="0"/>
      <w:marTop w:val="0"/>
      <w:marBottom w:val="0"/>
      <w:divBdr>
        <w:top w:val="none" w:sz="0" w:space="0" w:color="auto"/>
        <w:left w:val="none" w:sz="0" w:space="0" w:color="auto"/>
        <w:bottom w:val="none" w:sz="0" w:space="0" w:color="auto"/>
        <w:right w:val="none" w:sz="0" w:space="0" w:color="auto"/>
      </w:divBdr>
    </w:div>
    <w:div w:id="668094687">
      <w:bodyDiv w:val="1"/>
      <w:marLeft w:val="0"/>
      <w:marRight w:val="0"/>
      <w:marTop w:val="0"/>
      <w:marBottom w:val="0"/>
      <w:divBdr>
        <w:top w:val="none" w:sz="0" w:space="0" w:color="auto"/>
        <w:left w:val="none" w:sz="0" w:space="0" w:color="auto"/>
        <w:bottom w:val="none" w:sz="0" w:space="0" w:color="auto"/>
        <w:right w:val="none" w:sz="0" w:space="0" w:color="auto"/>
      </w:divBdr>
    </w:div>
    <w:div w:id="682165358">
      <w:bodyDiv w:val="1"/>
      <w:marLeft w:val="0"/>
      <w:marRight w:val="0"/>
      <w:marTop w:val="0"/>
      <w:marBottom w:val="0"/>
      <w:divBdr>
        <w:top w:val="none" w:sz="0" w:space="0" w:color="auto"/>
        <w:left w:val="none" w:sz="0" w:space="0" w:color="auto"/>
        <w:bottom w:val="none" w:sz="0" w:space="0" w:color="auto"/>
        <w:right w:val="none" w:sz="0" w:space="0" w:color="auto"/>
      </w:divBdr>
    </w:div>
    <w:div w:id="685599739">
      <w:bodyDiv w:val="1"/>
      <w:marLeft w:val="0"/>
      <w:marRight w:val="0"/>
      <w:marTop w:val="0"/>
      <w:marBottom w:val="0"/>
      <w:divBdr>
        <w:top w:val="none" w:sz="0" w:space="0" w:color="auto"/>
        <w:left w:val="none" w:sz="0" w:space="0" w:color="auto"/>
        <w:bottom w:val="none" w:sz="0" w:space="0" w:color="auto"/>
        <w:right w:val="none" w:sz="0" w:space="0" w:color="auto"/>
      </w:divBdr>
    </w:div>
    <w:div w:id="696545029">
      <w:bodyDiv w:val="1"/>
      <w:marLeft w:val="0"/>
      <w:marRight w:val="0"/>
      <w:marTop w:val="0"/>
      <w:marBottom w:val="0"/>
      <w:divBdr>
        <w:top w:val="none" w:sz="0" w:space="0" w:color="auto"/>
        <w:left w:val="none" w:sz="0" w:space="0" w:color="auto"/>
        <w:bottom w:val="none" w:sz="0" w:space="0" w:color="auto"/>
        <w:right w:val="none" w:sz="0" w:space="0" w:color="auto"/>
      </w:divBdr>
    </w:div>
    <w:div w:id="709065414">
      <w:bodyDiv w:val="1"/>
      <w:marLeft w:val="0"/>
      <w:marRight w:val="0"/>
      <w:marTop w:val="0"/>
      <w:marBottom w:val="0"/>
      <w:divBdr>
        <w:top w:val="none" w:sz="0" w:space="0" w:color="auto"/>
        <w:left w:val="none" w:sz="0" w:space="0" w:color="auto"/>
        <w:bottom w:val="none" w:sz="0" w:space="0" w:color="auto"/>
        <w:right w:val="none" w:sz="0" w:space="0" w:color="auto"/>
      </w:divBdr>
    </w:div>
    <w:div w:id="711609983">
      <w:bodyDiv w:val="1"/>
      <w:marLeft w:val="0"/>
      <w:marRight w:val="0"/>
      <w:marTop w:val="0"/>
      <w:marBottom w:val="0"/>
      <w:divBdr>
        <w:top w:val="none" w:sz="0" w:space="0" w:color="auto"/>
        <w:left w:val="none" w:sz="0" w:space="0" w:color="auto"/>
        <w:bottom w:val="none" w:sz="0" w:space="0" w:color="auto"/>
        <w:right w:val="none" w:sz="0" w:space="0" w:color="auto"/>
      </w:divBdr>
    </w:div>
    <w:div w:id="714281406">
      <w:bodyDiv w:val="1"/>
      <w:marLeft w:val="0"/>
      <w:marRight w:val="0"/>
      <w:marTop w:val="0"/>
      <w:marBottom w:val="0"/>
      <w:divBdr>
        <w:top w:val="none" w:sz="0" w:space="0" w:color="auto"/>
        <w:left w:val="none" w:sz="0" w:space="0" w:color="auto"/>
        <w:bottom w:val="none" w:sz="0" w:space="0" w:color="auto"/>
        <w:right w:val="none" w:sz="0" w:space="0" w:color="auto"/>
      </w:divBdr>
    </w:div>
    <w:div w:id="726954225">
      <w:bodyDiv w:val="1"/>
      <w:marLeft w:val="0"/>
      <w:marRight w:val="0"/>
      <w:marTop w:val="0"/>
      <w:marBottom w:val="0"/>
      <w:divBdr>
        <w:top w:val="none" w:sz="0" w:space="0" w:color="auto"/>
        <w:left w:val="none" w:sz="0" w:space="0" w:color="auto"/>
        <w:bottom w:val="none" w:sz="0" w:space="0" w:color="auto"/>
        <w:right w:val="none" w:sz="0" w:space="0" w:color="auto"/>
      </w:divBdr>
    </w:div>
    <w:div w:id="739518176">
      <w:bodyDiv w:val="1"/>
      <w:marLeft w:val="0"/>
      <w:marRight w:val="0"/>
      <w:marTop w:val="0"/>
      <w:marBottom w:val="0"/>
      <w:divBdr>
        <w:top w:val="none" w:sz="0" w:space="0" w:color="auto"/>
        <w:left w:val="none" w:sz="0" w:space="0" w:color="auto"/>
        <w:bottom w:val="none" w:sz="0" w:space="0" w:color="auto"/>
        <w:right w:val="none" w:sz="0" w:space="0" w:color="auto"/>
      </w:divBdr>
    </w:div>
    <w:div w:id="766922645">
      <w:bodyDiv w:val="1"/>
      <w:marLeft w:val="0"/>
      <w:marRight w:val="0"/>
      <w:marTop w:val="0"/>
      <w:marBottom w:val="0"/>
      <w:divBdr>
        <w:top w:val="none" w:sz="0" w:space="0" w:color="auto"/>
        <w:left w:val="none" w:sz="0" w:space="0" w:color="auto"/>
        <w:bottom w:val="none" w:sz="0" w:space="0" w:color="auto"/>
        <w:right w:val="none" w:sz="0" w:space="0" w:color="auto"/>
      </w:divBdr>
    </w:div>
    <w:div w:id="796723962">
      <w:bodyDiv w:val="1"/>
      <w:marLeft w:val="0"/>
      <w:marRight w:val="0"/>
      <w:marTop w:val="0"/>
      <w:marBottom w:val="0"/>
      <w:divBdr>
        <w:top w:val="none" w:sz="0" w:space="0" w:color="auto"/>
        <w:left w:val="none" w:sz="0" w:space="0" w:color="auto"/>
        <w:bottom w:val="none" w:sz="0" w:space="0" w:color="auto"/>
        <w:right w:val="none" w:sz="0" w:space="0" w:color="auto"/>
      </w:divBdr>
    </w:div>
    <w:div w:id="825318559">
      <w:bodyDiv w:val="1"/>
      <w:marLeft w:val="0"/>
      <w:marRight w:val="0"/>
      <w:marTop w:val="0"/>
      <w:marBottom w:val="0"/>
      <w:divBdr>
        <w:top w:val="none" w:sz="0" w:space="0" w:color="auto"/>
        <w:left w:val="none" w:sz="0" w:space="0" w:color="auto"/>
        <w:bottom w:val="none" w:sz="0" w:space="0" w:color="auto"/>
        <w:right w:val="none" w:sz="0" w:space="0" w:color="auto"/>
      </w:divBdr>
    </w:div>
    <w:div w:id="828057492">
      <w:bodyDiv w:val="1"/>
      <w:marLeft w:val="0"/>
      <w:marRight w:val="0"/>
      <w:marTop w:val="0"/>
      <w:marBottom w:val="0"/>
      <w:divBdr>
        <w:top w:val="none" w:sz="0" w:space="0" w:color="auto"/>
        <w:left w:val="none" w:sz="0" w:space="0" w:color="auto"/>
        <w:bottom w:val="none" w:sz="0" w:space="0" w:color="auto"/>
        <w:right w:val="none" w:sz="0" w:space="0" w:color="auto"/>
      </w:divBdr>
    </w:div>
    <w:div w:id="837622559">
      <w:bodyDiv w:val="1"/>
      <w:marLeft w:val="0"/>
      <w:marRight w:val="0"/>
      <w:marTop w:val="0"/>
      <w:marBottom w:val="0"/>
      <w:divBdr>
        <w:top w:val="none" w:sz="0" w:space="0" w:color="auto"/>
        <w:left w:val="none" w:sz="0" w:space="0" w:color="auto"/>
        <w:bottom w:val="none" w:sz="0" w:space="0" w:color="auto"/>
        <w:right w:val="none" w:sz="0" w:space="0" w:color="auto"/>
      </w:divBdr>
    </w:div>
    <w:div w:id="842664657">
      <w:bodyDiv w:val="1"/>
      <w:marLeft w:val="0"/>
      <w:marRight w:val="0"/>
      <w:marTop w:val="0"/>
      <w:marBottom w:val="0"/>
      <w:divBdr>
        <w:top w:val="none" w:sz="0" w:space="0" w:color="auto"/>
        <w:left w:val="none" w:sz="0" w:space="0" w:color="auto"/>
        <w:bottom w:val="none" w:sz="0" w:space="0" w:color="auto"/>
        <w:right w:val="none" w:sz="0" w:space="0" w:color="auto"/>
      </w:divBdr>
    </w:div>
    <w:div w:id="843396223">
      <w:bodyDiv w:val="1"/>
      <w:marLeft w:val="0"/>
      <w:marRight w:val="0"/>
      <w:marTop w:val="0"/>
      <w:marBottom w:val="0"/>
      <w:divBdr>
        <w:top w:val="none" w:sz="0" w:space="0" w:color="auto"/>
        <w:left w:val="none" w:sz="0" w:space="0" w:color="auto"/>
        <w:bottom w:val="none" w:sz="0" w:space="0" w:color="auto"/>
        <w:right w:val="none" w:sz="0" w:space="0" w:color="auto"/>
      </w:divBdr>
    </w:div>
    <w:div w:id="849221876">
      <w:bodyDiv w:val="1"/>
      <w:marLeft w:val="0"/>
      <w:marRight w:val="0"/>
      <w:marTop w:val="0"/>
      <w:marBottom w:val="0"/>
      <w:divBdr>
        <w:top w:val="none" w:sz="0" w:space="0" w:color="auto"/>
        <w:left w:val="none" w:sz="0" w:space="0" w:color="auto"/>
        <w:bottom w:val="none" w:sz="0" w:space="0" w:color="auto"/>
        <w:right w:val="none" w:sz="0" w:space="0" w:color="auto"/>
      </w:divBdr>
    </w:div>
    <w:div w:id="853151696">
      <w:bodyDiv w:val="1"/>
      <w:marLeft w:val="0"/>
      <w:marRight w:val="0"/>
      <w:marTop w:val="0"/>
      <w:marBottom w:val="0"/>
      <w:divBdr>
        <w:top w:val="none" w:sz="0" w:space="0" w:color="auto"/>
        <w:left w:val="none" w:sz="0" w:space="0" w:color="auto"/>
        <w:bottom w:val="none" w:sz="0" w:space="0" w:color="auto"/>
        <w:right w:val="none" w:sz="0" w:space="0" w:color="auto"/>
      </w:divBdr>
    </w:div>
    <w:div w:id="853226283">
      <w:bodyDiv w:val="1"/>
      <w:marLeft w:val="0"/>
      <w:marRight w:val="0"/>
      <w:marTop w:val="0"/>
      <w:marBottom w:val="0"/>
      <w:divBdr>
        <w:top w:val="none" w:sz="0" w:space="0" w:color="auto"/>
        <w:left w:val="none" w:sz="0" w:space="0" w:color="auto"/>
        <w:bottom w:val="none" w:sz="0" w:space="0" w:color="auto"/>
        <w:right w:val="none" w:sz="0" w:space="0" w:color="auto"/>
      </w:divBdr>
    </w:div>
    <w:div w:id="855997972">
      <w:bodyDiv w:val="1"/>
      <w:marLeft w:val="0"/>
      <w:marRight w:val="0"/>
      <w:marTop w:val="0"/>
      <w:marBottom w:val="0"/>
      <w:divBdr>
        <w:top w:val="none" w:sz="0" w:space="0" w:color="auto"/>
        <w:left w:val="none" w:sz="0" w:space="0" w:color="auto"/>
        <w:bottom w:val="none" w:sz="0" w:space="0" w:color="auto"/>
        <w:right w:val="none" w:sz="0" w:space="0" w:color="auto"/>
      </w:divBdr>
    </w:div>
    <w:div w:id="870335749">
      <w:bodyDiv w:val="1"/>
      <w:marLeft w:val="0"/>
      <w:marRight w:val="0"/>
      <w:marTop w:val="0"/>
      <w:marBottom w:val="0"/>
      <w:divBdr>
        <w:top w:val="none" w:sz="0" w:space="0" w:color="auto"/>
        <w:left w:val="none" w:sz="0" w:space="0" w:color="auto"/>
        <w:bottom w:val="none" w:sz="0" w:space="0" w:color="auto"/>
        <w:right w:val="none" w:sz="0" w:space="0" w:color="auto"/>
      </w:divBdr>
    </w:div>
    <w:div w:id="880629056">
      <w:bodyDiv w:val="1"/>
      <w:marLeft w:val="0"/>
      <w:marRight w:val="0"/>
      <w:marTop w:val="0"/>
      <w:marBottom w:val="0"/>
      <w:divBdr>
        <w:top w:val="none" w:sz="0" w:space="0" w:color="auto"/>
        <w:left w:val="none" w:sz="0" w:space="0" w:color="auto"/>
        <w:bottom w:val="none" w:sz="0" w:space="0" w:color="auto"/>
        <w:right w:val="none" w:sz="0" w:space="0" w:color="auto"/>
      </w:divBdr>
    </w:div>
    <w:div w:id="885289088">
      <w:bodyDiv w:val="1"/>
      <w:marLeft w:val="0"/>
      <w:marRight w:val="0"/>
      <w:marTop w:val="0"/>
      <w:marBottom w:val="0"/>
      <w:divBdr>
        <w:top w:val="none" w:sz="0" w:space="0" w:color="auto"/>
        <w:left w:val="none" w:sz="0" w:space="0" w:color="auto"/>
        <w:bottom w:val="none" w:sz="0" w:space="0" w:color="auto"/>
        <w:right w:val="none" w:sz="0" w:space="0" w:color="auto"/>
      </w:divBdr>
    </w:div>
    <w:div w:id="891888108">
      <w:bodyDiv w:val="1"/>
      <w:marLeft w:val="0"/>
      <w:marRight w:val="0"/>
      <w:marTop w:val="0"/>
      <w:marBottom w:val="0"/>
      <w:divBdr>
        <w:top w:val="none" w:sz="0" w:space="0" w:color="auto"/>
        <w:left w:val="none" w:sz="0" w:space="0" w:color="auto"/>
        <w:bottom w:val="none" w:sz="0" w:space="0" w:color="auto"/>
        <w:right w:val="none" w:sz="0" w:space="0" w:color="auto"/>
      </w:divBdr>
    </w:div>
    <w:div w:id="931476839">
      <w:bodyDiv w:val="1"/>
      <w:marLeft w:val="0"/>
      <w:marRight w:val="0"/>
      <w:marTop w:val="0"/>
      <w:marBottom w:val="0"/>
      <w:divBdr>
        <w:top w:val="none" w:sz="0" w:space="0" w:color="auto"/>
        <w:left w:val="none" w:sz="0" w:space="0" w:color="auto"/>
        <w:bottom w:val="none" w:sz="0" w:space="0" w:color="auto"/>
        <w:right w:val="none" w:sz="0" w:space="0" w:color="auto"/>
      </w:divBdr>
    </w:div>
    <w:div w:id="934022358">
      <w:bodyDiv w:val="1"/>
      <w:marLeft w:val="0"/>
      <w:marRight w:val="0"/>
      <w:marTop w:val="0"/>
      <w:marBottom w:val="0"/>
      <w:divBdr>
        <w:top w:val="none" w:sz="0" w:space="0" w:color="auto"/>
        <w:left w:val="none" w:sz="0" w:space="0" w:color="auto"/>
        <w:bottom w:val="none" w:sz="0" w:space="0" w:color="auto"/>
        <w:right w:val="none" w:sz="0" w:space="0" w:color="auto"/>
      </w:divBdr>
    </w:div>
    <w:div w:id="937982086">
      <w:bodyDiv w:val="1"/>
      <w:marLeft w:val="0"/>
      <w:marRight w:val="0"/>
      <w:marTop w:val="0"/>
      <w:marBottom w:val="0"/>
      <w:divBdr>
        <w:top w:val="none" w:sz="0" w:space="0" w:color="auto"/>
        <w:left w:val="none" w:sz="0" w:space="0" w:color="auto"/>
        <w:bottom w:val="none" w:sz="0" w:space="0" w:color="auto"/>
        <w:right w:val="none" w:sz="0" w:space="0" w:color="auto"/>
      </w:divBdr>
    </w:div>
    <w:div w:id="939948872">
      <w:bodyDiv w:val="1"/>
      <w:marLeft w:val="0"/>
      <w:marRight w:val="0"/>
      <w:marTop w:val="0"/>
      <w:marBottom w:val="0"/>
      <w:divBdr>
        <w:top w:val="none" w:sz="0" w:space="0" w:color="auto"/>
        <w:left w:val="none" w:sz="0" w:space="0" w:color="auto"/>
        <w:bottom w:val="none" w:sz="0" w:space="0" w:color="auto"/>
        <w:right w:val="none" w:sz="0" w:space="0" w:color="auto"/>
      </w:divBdr>
    </w:div>
    <w:div w:id="941885092">
      <w:bodyDiv w:val="1"/>
      <w:marLeft w:val="0"/>
      <w:marRight w:val="0"/>
      <w:marTop w:val="0"/>
      <w:marBottom w:val="0"/>
      <w:divBdr>
        <w:top w:val="none" w:sz="0" w:space="0" w:color="auto"/>
        <w:left w:val="none" w:sz="0" w:space="0" w:color="auto"/>
        <w:bottom w:val="none" w:sz="0" w:space="0" w:color="auto"/>
        <w:right w:val="none" w:sz="0" w:space="0" w:color="auto"/>
      </w:divBdr>
    </w:div>
    <w:div w:id="969363277">
      <w:bodyDiv w:val="1"/>
      <w:marLeft w:val="0"/>
      <w:marRight w:val="0"/>
      <w:marTop w:val="0"/>
      <w:marBottom w:val="0"/>
      <w:divBdr>
        <w:top w:val="none" w:sz="0" w:space="0" w:color="auto"/>
        <w:left w:val="none" w:sz="0" w:space="0" w:color="auto"/>
        <w:bottom w:val="none" w:sz="0" w:space="0" w:color="auto"/>
        <w:right w:val="none" w:sz="0" w:space="0" w:color="auto"/>
      </w:divBdr>
    </w:div>
    <w:div w:id="983392764">
      <w:bodyDiv w:val="1"/>
      <w:marLeft w:val="0"/>
      <w:marRight w:val="0"/>
      <w:marTop w:val="0"/>
      <w:marBottom w:val="0"/>
      <w:divBdr>
        <w:top w:val="none" w:sz="0" w:space="0" w:color="auto"/>
        <w:left w:val="none" w:sz="0" w:space="0" w:color="auto"/>
        <w:bottom w:val="none" w:sz="0" w:space="0" w:color="auto"/>
        <w:right w:val="none" w:sz="0" w:space="0" w:color="auto"/>
      </w:divBdr>
    </w:div>
    <w:div w:id="988708022">
      <w:bodyDiv w:val="1"/>
      <w:marLeft w:val="0"/>
      <w:marRight w:val="0"/>
      <w:marTop w:val="0"/>
      <w:marBottom w:val="0"/>
      <w:divBdr>
        <w:top w:val="none" w:sz="0" w:space="0" w:color="auto"/>
        <w:left w:val="none" w:sz="0" w:space="0" w:color="auto"/>
        <w:bottom w:val="none" w:sz="0" w:space="0" w:color="auto"/>
        <w:right w:val="none" w:sz="0" w:space="0" w:color="auto"/>
      </w:divBdr>
    </w:div>
    <w:div w:id="988947833">
      <w:bodyDiv w:val="1"/>
      <w:marLeft w:val="0"/>
      <w:marRight w:val="0"/>
      <w:marTop w:val="0"/>
      <w:marBottom w:val="0"/>
      <w:divBdr>
        <w:top w:val="none" w:sz="0" w:space="0" w:color="auto"/>
        <w:left w:val="none" w:sz="0" w:space="0" w:color="auto"/>
        <w:bottom w:val="none" w:sz="0" w:space="0" w:color="auto"/>
        <w:right w:val="none" w:sz="0" w:space="0" w:color="auto"/>
      </w:divBdr>
    </w:div>
    <w:div w:id="989600475">
      <w:bodyDiv w:val="1"/>
      <w:marLeft w:val="0"/>
      <w:marRight w:val="0"/>
      <w:marTop w:val="0"/>
      <w:marBottom w:val="0"/>
      <w:divBdr>
        <w:top w:val="none" w:sz="0" w:space="0" w:color="auto"/>
        <w:left w:val="none" w:sz="0" w:space="0" w:color="auto"/>
        <w:bottom w:val="none" w:sz="0" w:space="0" w:color="auto"/>
        <w:right w:val="none" w:sz="0" w:space="0" w:color="auto"/>
      </w:divBdr>
    </w:div>
    <w:div w:id="998847620">
      <w:bodyDiv w:val="1"/>
      <w:marLeft w:val="0"/>
      <w:marRight w:val="0"/>
      <w:marTop w:val="0"/>
      <w:marBottom w:val="0"/>
      <w:divBdr>
        <w:top w:val="none" w:sz="0" w:space="0" w:color="auto"/>
        <w:left w:val="none" w:sz="0" w:space="0" w:color="auto"/>
        <w:bottom w:val="none" w:sz="0" w:space="0" w:color="auto"/>
        <w:right w:val="none" w:sz="0" w:space="0" w:color="auto"/>
      </w:divBdr>
    </w:div>
    <w:div w:id="1009412764">
      <w:bodyDiv w:val="1"/>
      <w:marLeft w:val="0"/>
      <w:marRight w:val="0"/>
      <w:marTop w:val="0"/>
      <w:marBottom w:val="0"/>
      <w:divBdr>
        <w:top w:val="none" w:sz="0" w:space="0" w:color="auto"/>
        <w:left w:val="none" w:sz="0" w:space="0" w:color="auto"/>
        <w:bottom w:val="none" w:sz="0" w:space="0" w:color="auto"/>
        <w:right w:val="none" w:sz="0" w:space="0" w:color="auto"/>
      </w:divBdr>
    </w:div>
    <w:div w:id="1027490595">
      <w:bodyDiv w:val="1"/>
      <w:marLeft w:val="0"/>
      <w:marRight w:val="0"/>
      <w:marTop w:val="0"/>
      <w:marBottom w:val="0"/>
      <w:divBdr>
        <w:top w:val="none" w:sz="0" w:space="0" w:color="auto"/>
        <w:left w:val="none" w:sz="0" w:space="0" w:color="auto"/>
        <w:bottom w:val="none" w:sz="0" w:space="0" w:color="auto"/>
        <w:right w:val="none" w:sz="0" w:space="0" w:color="auto"/>
      </w:divBdr>
    </w:div>
    <w:div w:id="1045134697">
      <w:bodyDiv w:val="1"/>
      <w:marLeft w:val="0"/>
      <w:marRight w:val="0"/>
      <w:marTop w:val="0"/>
      <w:marBottom w:val="0"/>
      <w:divBdr>
        <w:top w:val="none" w:sz="0" w:space="0" w:color="auto"/>
        <w:left w:val="none" w:sz="0" w:space="0" w:color="auto"/>
        <w:bottom w:val="none" w:sz="0" w:space="0" w:color="auto"/>
        <w:right w:val="none" w:sz="0" w:space="0" w:color="auto"/>
      </w:divBdr>
    </w:div>
    <w:div w:id="1058287689">
      <w:bodyDiv w:val="1"/>
      <w:marLeft w:val="0"/>
      <w:marRight w:val="0"/>
      <w:marTop w:val="0"/>
      <w:marBottom w:val="0"/>
      <w:divBdr>
        <w:top w:val="none" w:sz="0" w:space="0" w:color="auto"/>
        <w:left w:val="none" w:sz="0" w:space="0" w:color="auto"/>
        <w:bottom w:val="none" w:sz="0" w:space="0" w:color="auto"/>
        <w:right w:val="none" w:sz="0" w:space="0" w:color="auto"/>
      </w:divBdr>
    </w:div>
    <w:div w:id="1058361929">
      <w:bodyDiv w:val="1"/>
      <w:marLeft w:val="0"/>
      <w:marRight w:val="0"/>
      <w:marTop w:val="0"/>
      <w:marBottom w:val="0"/>
      <w:divBdr>
        <w:top w:val="none" w:sz="0" w:space="0" w:color="auto"/>
        <w:left w:val="none" w:sz="0" w:space="0" w:color="auto"/>
        <w:bottom w:val="none" w:sz="0" w:space="0" w:color="auto"/>
        <w:right w:val="none" w:sz="0" w:space="0" w:color="auto"/>
      </w:divBdr>
    </w:div>
    <w:div w:id="1059784166">
      <w:bodyDiv w:val="1"/>
      <w:marLeft w:val="0"/>
      <w:marRight w:val="0"/>
      <w:marTop w:val="0"/>
      <w:marBottom w:val="0"/>
      <w:divBdr>
        <w:top w:val="none" w:sz="0" w:space="0" w:color="auto"/>
        <w:left w:val="none" w:sz="0" w:space="0" w:color="auto"/>
        <w:bottom w:val="none" w:sz="0" w:space="0" w:color="auto"/>
        <w:right w:val="none" w:sz="0" w:space="0" w:color="auto"/>
      </w:divBdr>
    </w:div>
    <w:div w:id="1061564608">
      <w:bodyDiv w:val="1"/>
      <w:marLeft w:val="0"/>
      <w:marRight w:val="0"/>
      <w:marTop w:val="0"/>
      <w:marBottom w:val="0"/>
      <w:divBdr>
        <w:top w:val="none" w:sz="0" w:space="0" w:color="auto"/>
        <w:left w:val="none" w:sz="0" w:space="0" w:color="auto"/>
        <w:bottom w:val="none" w:sz="0" w:space="0" w:color="auto"/>
        <w:right w:val="none" w:sz="0" w:space="0" w:color="auto"/>
      </w:divBdr>
    </w:div>
    <w:div w:id="1071269146">
      <w:bodyDiv w:val="1"/>
      <w:marLeft w:val="0"/>
      <w:marRight w:val="0"/>
      <w:marTop w:val="0"/>
      <w:marBottom w:val="0"/>
      <w:divBdr>
        <w:top w:val="none" w:sz="0" w:space="0" w:color="auto"/>
        <w:left w:val="none" w:sz="0" w:space="0" w:color="auto"/>
        <w:bottom w:val="none" w:sz="0" w:space="0" w:color="auto"/>
        <w:right w:val="none" w:sz="0" w:space="0" w:color="auto"/>
      </w:divBdr>
    </w:div>
    <w:div w:id="1081563922">
      <w:bodyDiv w:val="1"/>
      <w:marLeft w:val="0"/>
      <w:marRight w:val="0"/>
      <w:marTop w:val="0"/>
      <w:marBottom w:val="0"/>
      <w:divBdr>
        <w:top w:val="none" w:sz="0" w:space="0" w:color="auto"/>
        <w:left w:val="none" w:sz="0" w:space="0" w:color="auto"/>
        <w:bottom w:val="none" w:sz="0" w:space="0" w:color="auto"/>
        <w:right w:val="none" w:sz="0" w:space="0" w:color="auto"/>
      </w:divBdr>
    </w:div>
    <w:div w:id="1083725152">
      <w:bodyDiv w:val="1"/>
      <w:marLeft w:val="0"/>
      <w:marRight w:val="0"/>
      <w:marTop w:val="0"/>
      <w:marBottom w:val="0"/>
      <w:divBdr>
        <w:top w:val="none" w:sz="0" w:space="0" w:color="auto"/>
        <w:left w:val="none" w:sz="0" w:space="0" w:color="auto"/>
        <w:bottom w:val="none" w:sz="0" w:space="0" w:color="auto"/>
        <w:right w:val="none" w:sz="0" w:space="0" w:color="auto"/>
      </w:divBdr>
    </w:div>
    <w:div w:id="1103114907">
      <w:bodyDiv w:val="1"/>
      <w:marLeft w:val="0"/>
      <w:marRight w:val="0"/>
      <w:marTop w:val="0"/>
      <w:marBottom w:val="0"/>
      <w:divBdr>
        <w:top w:val="none" w:sz="0" w:space="0" w:color="auto"/>
        <w:left w:val="none" w:sz="0" w:space="0" w:color="auto"/>
        <w:bottom w:val="none" w:sz="0" w:space="0" w:color="auto"/>
        <w:right w:val="none" w:sz="0" w:space="0" w:color="auto"/>
      </w:divBdr>
    </w:div>
    <w:div w:id="1122723629">
      <w:bodyDiv w:val="1"/>
      <w:marLeft w:val="0"/>
      <w:marRight w:val="0"/>
      <w:marTop w:val="0"/>
      <w:marBottom w:val="0"/>
      <w:divBdr>
        <w:top w:val="none" w:sz="0" w:space="0" w:color="auto"/>
        <w:left w:val="none" w:sz="0" w:space="0" w:color="auto"/>
        <w:bottom w:val="none" w:sz="0" w:space="0" w:color="auto"/>
        <w:right w:val="none" w:sz="0" w:space="0" w:color="auto"/>
      </w:divBdr>
    </w:div>
    <w:div w:id="1141845259">
      <w:bodyDiv w:val="1"/>
      <w:marLeft w:val="0"/>
      <w:marRight w:val="0"/>
      <w:marTop w:val="0"/>
      <w:marBottom w:val="0"/>
      <w:divBdr>
        <w:top w:val="none" w:sz="0" w:space="0" w:color="auto"/>
        <w:left w:val="none" w:sz="0" w:space="0" w:color="auto"/>
        <w:bottom w:val="none" w:sz="0" w:space="0" w:color="auto"/>
        <w:right w:val="none" w:sz="0" w:space="0" w:color="auto"/>
      </w:divBdr>
    </w:div>
    <w:div w:id="1150291025">
      <w:bodyDiv w:val="1"/>
      <w:marLeft w:val="0"/>
      <w:marRight w:val="0"/>
      <w:marTop w:val="0"/>
      <w:marBottom w:val="0"/>
      <w:divBdr>
        <w:top w:val="none" w:sz="0" w:space="0" w:color="auto"/>
        <w:left w:val="none" w:sz="0" w:space="0" w:color="auto"/>
        <w:bottom w:val="none" w:sz="0" w:space="0" w:color="auto"/>
        <w:right w:val="none" w:sz="0" w:space="0" w:color="auto"/>
      </w:divBdr>
    </w:div>
    <w:div w:id="1155993243">
      <w:bodyDiv w:val="1"/>
      <w:marLeft w:val="0"/>
      <w:marRight w:val="0"/>
      <w:marTop w:val="0"/>
      <w:marBottom w:val="0"/>
      <w:divBdr>
        <w:top w:val="none" w:sz="0" w:space="0" w:color="auto"/>
        <w:left w:val="none" w:sz="0" w:space="0" w:color="auto"/>
        <w:bottom w:val="none" w:sz="0" w:space="0" w:color="auto"/>
        <w:right w:val="none" w:sz="0" w:space="0" w:color="auto"/>
      </w:divBdr>
    </w:div>
    <w:div w:id="1159150880">
      <w:bodyDiv w:val="1"/>
      <w:marLeft w:val="0"/>
      <w:marRight w:val="0"/>
      <w:marTop w:val="0"/>
      <w:marBottom w:val="0"/>
      <w:divBdr>
        <w:top w:val="none" w:sz="0" w:space="0" w:color="auto"/>
        <w:left w:val="none" w:sz="0" w:space="0" w:color="auto"/>
        <w:bottom w:val="none" w:sz="0" w:space="0" w:color="auto"/>
        <w:right w:val="none" w:sz="0" w:space="0" w:color="auto"/>
      </w:divBdr>
    </w:div>
    <w:div w:id="1160852960">
      <w:bodyDiv w:val="1"/>
      <w:marLeft w:val="0"/>
      <w:marRight w:val="0"/>
      <w:marTop w:val="0"/>
      <w:marBottom w:val="0"/>
      <w:divBdr>
        <w:top w:val="none" w:sz="0" w:space="0" w:color="auto"/>
        <w:left w:val="none" w:sz="0" w:space="0" w:color="auto"/>
        <w:bottom w:val="none" w:sz="0" w:space="0" w:color="auto"/>
        <w:right w:val="none" w:sz="0" w:space="0" w:color="auto"/>
      </w:divBdr>
    </w:div>
    <w:div w:id="1162159746">
      <w:bodyDiv w:val="1"/>
      <w:marLeft w:val="0"/>
      <w:marRight w:val="0"/>
      <w:marTop w:val="0"/>
      <w:marBottom w:val="0"/>
      <w:divBdr>
        <w:top w:val="none" w:sz="0" w:space="0" w:color="auto"/>
        <w:left w:val="none" w:sz="0" w:space="0" w:color="auto"/>
        <w:bottom w:val="none" w:sz="0" w:space="0" w:color="auto"/>
        <w:right w:val="none" w:sz="0" w:space="0" w:color="auto"/>
      </w:divBdr>
    </w:div>
    <w:div w:id="1177814008">
      <w:bodyDiv w:val="1"/>
      <w:marLeft w:val="0"/>
      <w:marRight w:val="0"/>
      <w:marTop w:val="0"/>
      <w:marBottom w:val="0"/>
      <w:divBdr>
        <w:top w:val="none" w:sz="0" w:space="0" w:color="auto"/>
        <w:left w:val="none" w:sz="0" w:space="0" w:color="auto"/>
        <w:bottom w:val="none" w:sz="0" w:space="0" w:color="auto"/>
        <w:right w:val="none" w:sz="0" w:space="0" w:color="auto"/>
      </w:divBdr>
    </w:div>
    <w:div w:id="1182623578">
      <w:bodyDiv w:val="1"/>
      <w:marLeft w:val="0"/>
      <w:marRight w:val="0"/>
      <w:marTop w:val="0"/>
      <w:marBottom w:val="0"/>
      <w:divBdr>
        <w:top w:val="none" w:sz="0" w:space="0" w:color="auto"/>
        <w:left w:val="none" w:sz="0" w:space="0" w:color="auto"/>
        <w:bottom w:val="none" w:sz="0" w:space="0" w:color="auto"/>
        <w:right w:val="none" w:sz="0" w:space="0" w:color="auto"/>
      </w:divBdr>
    </w:div>
    <w:div w:id="1208177969">
      <w:bodyDiv w:val="1"/>
      <w:marLeft w:val="0"/>
      <w:marRight w:val="0"/>
      <w:marTop w:val="0"/>
      <w:marBottom w:val="0"/>
      <w:divBdr>
        <w:top w:val="none" w:sz="0" w:space="0" w:color="auto"/>
        <w:left w:val="none" w:sz="0" w:space="0" w:color="auto"/>
        <w:bottom w:val="none" w:sz="0" w:space="0" w:color="auto"/>
        <w:right w:val="none" w:sz="0" w:space="0" w:color="auto"/>
      </w:divBdr>
    </w:div>
    <w:div w:id="1210266115">
      <w:bodyDiv w:val="1"/>
      <w:marLeft w:val="0"/>
      <w:marRight w:val="0"/>
      <w:marTop w:val="0"/>
      <w:marBottom w:val="0"/>
      <w:divBdr>
        <w:top w:val="none" w:sz="0" w:space="0" w:color="auto"/>
        <w:left w:val="none" w:sz="0" w:space="0" w:color="auto"/>
        <w:bottom w:val="none" w:sz="0" w:space="0" w:color="auto"/>
        <w:right w:val="none" w:sz="0" w:space="0" w:color="auto"/>
      </w:divBdr>
    </w:div>
    <w:div w:id="1216746421">
      <w:bodyDiv w:val="1"/>
      <w:marLeft w:val="0"/>
      <w:marRight w:val="0"/>
      <w:marTop w:val="0"/>
      <w:marBottom w:val="0"/>
      <w:divBdr>
        <w:top w:val="none" w:sz="0" w:space="0" w:color="auto"/>
        <w:left w:val="none" w:sz="0" w:space="0" w:color="auto"/>
        <w:bottom w:val="none" w:sz="0" w:space="0" w:color="auto"/>
        <w:right w:val="none" w:sz="0" w:space="0" w:color="auto"/>
      </w:divBdr>
    </w:div>
    <w:div w:id="1218711700">
      <w:bodyDiv w:val="1"/>
      <w:marLeft w:val="0"/>
      <w:marRight w:val="0"/>
      <w:marTop w:val="0"/>
      <w:marBottom w:val="0"/>
      <w:divBdr>
        <w:top w:val="none" w:sz="0" w:space="0" w:color="auto"/>
        <w:left w:val="none" w:sz="0" w:space="0" w:color="auto"/>
        <w:bottom w:val="none" w:sz="0" w:space="0" w:color="auto"/>
        <w:right w:val="none" w:sz="0" w:space="0" w:color="auto"/>
      </w:divBdr>
    </w:div>
    <w:div w:id="1223130623">
      <w:bodyDiv w:val="1"/>
      <w:marLeft w:val="0"/>
      <w:marRight w:val="0"/>
      <w:marTop w:val="0"/>
      <w:marBottom w:val="0"/>
      <w:divBdr>
        <w:top w:val="none" w:sz="0" w:space="0" w:color="auto"/>
        <w:left w:val="none" w:sz="0" w:space="0" w:color="auto"/>
        <w:bottom w:val="none" w:sz="0" w:space="0" w:color="auto"/>
        <w:right w:val="none" w:sz="0" w:space="0" w:color="auto"/>
      </w:divBdr>
    </w:div>
    <w:div w:id="1229538495">
      <w:bodyDiv w:val="1"/>
      <w:marLeft w:val="0"/>
      <w:marRight w:val="0"/>
      <w:marTop w:val="0"/>
      <w:marBottom w:val="0"/>
      <w:divBdr>
        <w:top w:val="none" w:sz="0" w:space="0" w:color="auto"/>
        <w:left w:val="none" w:sz="0" w:space="0" w:color="auto"/>
        <w:bottom w:val="none" w:sz="0" w:space="0" w:color="auto"/>
        <w:right w:val="none" w:sz="0" w:space="0" w:color="auto"/>
      </w:divBdr>
    </w:div>
    <w:div w:id="1241059752">
      <w:bodyDiv w:val="1"/>
      <w:marLeft w:val="0"/>
      <w:marRight w:val="0"/>
      <w:marTop w:val="0"/>
      <w:marBottom w:val="0"/>
      <w:divBdr>
        <w:top w:val="none" w:sz="0" w:space="0" w:color="auto"/>
        <w:left w:val="none" w:sz="0" w:space="0" w:color="auto"/>
        <w:bottom w:val="none" w:sz="0" w:space="0" w:color="auto"/>
        <w:right w:val="none" w:sz="0" w:space="0" w:color="auto"/>
      </w:divBdr>
    </w:div>
    <w:div w:id="1249190343">
      <w:bodyDiv w:val="1"/>
      <w:marLeft w:val="0"/>
      <w:marRight w:val="0"/>
      <w:marTop w:val="0"/>
      <w:marBottom w:val="0"/>
      <w:divBdr>
        <w:top w:val="none" w:sz="0" w:space="0" w:color="auto"/>
        <w:left w:val="none" w:sz="0" w:space="0" w:color="auto"/>
        <w:bottom w:val="none" w:sz="0" w:space="0" w:color="auto"/>
        <w:right w:val="none" w:sz="0" w:space="0" w:color="auto"/>
      </w:divBdr>
    </w:div>
    <w:div w:id="1265377949">
      <w:bodyDiv w:val="1"/>
      <w:marLeft w:val="0"/>
      <w:marRight w:val="0"/>
      <w:marTop w:val="0"/>
      <w:marBottom w:val="0"/>
      <w:divBdr>
        <w:top w:val="none" w:sz="0" w:space="0" w:color="auto"/>
        <w:left w:val="none" w:sz="0" w:space="0" w:color="auto"/>
        <w:bottom w:val="none" w:sz="0" w:space="0" w:color="auto"/>
        <w:right w:val="none" w:sz="0" w:space="0" w:color="auto"/>
      </w:divBdr>
    </w:div>
    <w:div w:id="1279411914">
      <w:bodyDiv w:val="1"/>
      <w:marLeft w:val="0"/>
      <w:marRight w:val="0"/>
      <w:marTop w:val="0"/>
      <w:marBottom w:val="0"/>
      <w:divBdr>
        <w:top w:val="none" w:sz="0" w:space="0" w:color="auto"/>
        <w:left w:val="none" w:sz="0" w:space="0" w:color="auto"/>
        <w:bottom w:val="none" w:sz="0" w:space="0" w:color="auto"/>
        <w:right w:val="none" w:sz="0" w:space="0" w:color="auto"/>
      </w:divBdr>
    </w:div>
    <w:div w:id="1284309558">
      <w:bodyDiv w:val="1"/>
      <w:marLeft w:val="0"/>
      <w:marRight w:val="0"/>
      <w:marTop w:val="0"/>
      <w:marBottom w:val="0"/>
      <w:divBdr>
        <w:top w:val="none" w:sz="0" w:space="0" w:color="auto"/>
        <w:left w:val="none" w:sz="0" w:space="0" w:color="auto"/>
        <w:bottom w:val="none" w:sz="0" w:space="0" w:color="auto"/>
        <w:right w:val="none" w:sz="0" w:space="0" w:color="auto"/>
      </w:divBdr>
    </w:div>
    <w:div w:id="1284311324">
      <w:bodyDiv w:val="1"/>
      <w:marLeft w:val="0"/>
      <w:marRight w:val="0"/>
      <w:marTop w:val="0"/>
      <w:marBottom w:val="0"/>
      <w:divBdr>
        <w:top w:val="none" w:sz="0" w:space="0" w:color="auto"/>
        <w:left w:val="none" w:sz="0" w:space="0" w:color="auto"/>
        <w:bottom w:val="none" w:sz="0" w:space="0" w:color="auto"/>
        <w:right w:val="none" w:sz="0" w:space="0" w:color="auto"/>
      </w:divBdr>
    </w:div>
    <w:div w:id="1303080647">
      <w:bodyDiv w:val="1"/>
      <w:marLeft w:val="0"/>
      <w:marRight w:val="0"/>
      <w:marTop w:val="0"/>
      <w:marBottom w:val="0"/>
      <w:divBdr>
        <w:top w:val="none" w:sz="0" w:space="0" w:color="auto"/>
        <w:left w:val="none" w:sz="0" w:space="0" w:color="auto"/>
        <w:bottom w:val="none" w:sz="0" w:space="0" w:color="auto"/>
        <w:right w:val="none" w:sz="0" w:space="0" w:color="auto"/>
      </w:divBdr>
    </w:div>
    <w:div w:id="1313633410">
      <w:bodyDiv w:val="1"/>
      <w:marLeft w:val="0"/>
      <w:marRight w:val="0"/>
      <w:marTop w:val="0"/>
      <w:marBottom w:val="0"/>
      <w:divBdr>
        <w:top w:val="none" w:sz="0" w:space="0" w:color="auto"/>
        <w:left w:val="none" w:sz="0" w:space="0" w:color="auto"/>
        <w:bottom w:val="none" w:sz="0" w:space="0" w:color="auto"/>
        <w:right w:val="none" w:sz="0" w:space="0" w:color="auto"/>
      </w:divBdr>
    </w:div>
    <w:div w:id="1322194807">
      <w:bodyDiv w:val="1"/>
      <w:marLeft w:val="0"/>
      <w:marRight w:val="0"/>
      <w:marTop w:val="0"/>
      <w:marBottom w:val="0"/>
      <w:divBdr>
        <w:top w:val="none" w:sz="0" w:space="0" w:color="auto"/>
        <w:left w:val="none" w:sz="0" w:space="0" w:color="auto"/>
        <w:bottom w:val="none" w:sz="0" w:space="0" w:color="auto"/>
        <w:right w:val="none" w:sz="0" w:space="0" w:color="auto"/>
      </w:divBdr>
    </w:div>
    <w:div w:id="1329164567">
      <w:bodyDiv w:val="1"/>
      <w:marLeft w:val="0"/>
      <w:marRight w:val="0"/>
      <w:marTop w:val="0"/>
      <w:marBottom w:val="0"/>
      <w:divBdr>
        <w:top w:val="none" w:sz="0" w:space="0" w:color="auto"/>
        <w:left w:val="none" w:sz="0" w:space="0" w:color="auto"/>
        <w:bottom w:val="none" w:sz="0" w:space="0" w:color="auto"/>
        <w:right w:val="none" w:sz="0" w:space="0" w:color="auto"/>
      </w:divBdr>
    </w:div>
    <w:div w:id="1330912171">
      <w:bodyDiv w:val="1"/>
      <w:marLeft w:val="0"/>
      <w:marRight w:val="0"/>
      <w:marTop w:val="0"/>
      <w:marBottom w:val="0"/>
      <w:divBdr>
        <w:top w:val="none" w:sz="0" w:space="0" w:color="auto"/>
        <w:left w:val="none" w:sz="0" w:space="0" w:color="auto"/>
        <w:bottom w:val="none" w:sz="0" w:space="0" w:color="auto"/>
        <w:right w:val="none" w:sz="0" w:space="0" w:color="auto"/>
      </w:divBdr>
    </w:div>
    <w:div w:id="1361197710">
      <w:bodyDiv w:val="1"/>
      <w:marLeft w:val="0"/>
      <w:marRight w:val="0"/>
      <w:marTop w:val="0"/>
      <w:marBottom w:val="0"/>
      <w:divBdr>
        <w:top w:val="none" w:sz="0" w:space="0" w:color="auto"/>
        <w:left w:val="none" w:sz="0" w:space="0" w:color="auto"/>
        <w:bottom w:val="none" w:sz="0" w:space="0" w:color="auto"/>
        <w:right w:val="none" w:sz="0" w:space="0" w:color="auto"/>
      </w:divBdr>
    </w:div>
    <w:div w:id="1381202415">
      <w:bodyDiv w:val="1"/>
      <w:marLeft w:val="0"/>
      <w:marRight w:val="0"/>
      <w:marTop w:val="0"/>
      <w:marBottom w:val="0"/>
      <w:divBdr>
        <w:top w:val="none" w:sz="0" w:space="0" w:color="auto"/>
        <w:left w:val="none" w:sz="0" w:space="0" w:color="auto"/>
        <w:bottom w:val="none" w:sz="0" w:space="0" w:color="auto"/>
        <w:right w:val="none" w:sz="0" w:space="0" w:color="auto"/>
      </w:divBdr>
    </w:div>
    <w:div w:id="1382293460">
      <w:bodyDiv w:val="1"/>
      <w:marLeft w:val="0"/>
      <w:marRight w:val="0"/>
      <w:marTop w:val="0"/>
      <w:marBottom w:val="0"/>
      <w:divBdr>
        <w:top w:val="none" w:sz="0" w:space="0" w:color="auto"/>
        <w:left w:val="none" w:sz="0" w:space="0" w:color="auto"/>
        <w:bottom w:val="none" w:sz="0" w:space="0" w:color="auto"/>
        <w:right w:val="none" w:sz="0" w:space="0" w:color="auto"/>
      </w:divBdr>
    </w:div>
    <w:div w:id="1386101233">
      <w:bodyDiv w:val="1"/>
      <w:marLeft w:val="0"/>
      <w:marRight w:val="0"/>
      <w:marTop w:val="0"/>
      <w:marBottom w:val="0"/>
      <w:divBdr>
        <w:top w:val="none" w:sz="0" w:space="0" w:color="auto"/>
        <w:left w:val="none" w:sz="0" w:space="0" w:color="auto"/>
        <w:bottom w:val="none" w:sz="0" w:space="0" w:color="auto"/>
        <w:right w:val="none" w:sz="0" w:space="0" w:color="auto"/>
      </w:divBdr>
    </w:div>
    <w:div w:id="1393888223">
      <w:bodyDiv w:val="1"/>
      <w:marLeft w:val="0"/>
      <w:marRight w:val="0"/>
      <w:marTop w:val="0"/>
      <w:marBottom w:val="0"/>
      <w:divBdr>
        <w:top w:val="none" w:sz="0" w:space="0" w:color="auto"/>
        <w:left w:val="none" w:sz="0" w:space="0" w:color="auto"/>
        <w:bottom w:val="none" w:sz="0" w:space="0" w:color="auto"/>
        <w:right w:val="none" w:sz="0" w:space="0" w:color="auto"/>
      </w:divBdr>
    </w:div>
    <w:div w:id="1398090252">
      <w:bodyDiv w:val="1"/>
      <w:marLeft w:val="0"/>
      <w:marRight w:val="0"/>
      <w:marTop w:val="0"/>
      <w:marBottom w:val="0"/>
      <w:divBdr>
        <w:top w:val="none" w:sz="0" w:space="0" w:color="auto"/>
        <w:left w:val="none" w:sz="0" w:space="0" w:color="auto"/>
        <w:bottom w:val="none" w:sz="0" w:space="0" w:color="auto"/>
        <w:right w:val="none" w:sz="0" w:space="0" w:color="auto"/>
      </w:divBdr>
    </w:div>
    <w:div w:id="1418597793">
      <w:bodyDiv w:val="1"/>
      <w:marLeft w:val="0"/>
      <w:marRight w:val="0"/>
      <w:marTop w:val="0"/>
      <w:marBottom w:val="0"/>
      <w:divBdr>
        <w:top w:val="none" w:sz="0" w:space="0" w:color="auto"/>
        <w:left w:val="none" w:sz="0" w:space="0" w:color="auto"/>
        <w:bottom w:val="none" w:sz="0" w:space="0" w:color="auto"/>
        <w:right w:val="none" w:sz="0" w:space="0" w:color="auto"/>
      </w:divBdr>
    </w:div>
    <w:div w:id="1487428526">
      <w:bodyDiv w:val="1"/>
      <w:marLeft w:val="0"/>
      <w:marRight w:val="0"/>
      <w:marTop w:val="0"/>
      <w:marBottom w:val="0"/>
      <w:divBdr>
        <w:top w:val="none" w:sz="0" w:space="0" w:color="auto"/>
        <w:left w:val="none" w:sz="0" w:space="0" w:color="auto"/>
        <w:bottom w:val="none" w:sz="0" w:space="0" w:color="auto"/>
        <w:right w:val="none" w:sz="0" w:space="0" w:color="auto"/>
      </w:divBdr>
    </w:div>
    <w:div w:id="1487936313">
      <w:bodyDiv w:val="1"/>
      <w:marLeft w:val="0"/>
      <w:marRight w:val="0"/>
      <w:marTop w:val="0"/>
      <w:marBottom w:val="0"/>
      <w:divBdr>
        <w:top w:val="none" w:sz="0" w:space="0" w:color="auto"/>
        <w:left w:val="none" w:sz="0" w:space="0" w:color="auto"/>
        <w:bottom w:val="none" w:sz="0" w:space="0" w:color="auto"/>
        <w:right w:val="none" w:sz="0" w:space="0" w:color="auto"/>
      </w:divBdr>
    </w:div>
    <w:div w:id="1489980395">
      <w:bodyDiv w:val="1"/>
      <w:marLeft w:val="0"/>
      <w:marRight w:val="0"/>
      <w:marTop w:val="0"/>
      <w:marBottom w:val="0"/>
      <w:divBdr>
        <w:top w:val="none" w:sz="0" w:space="0" w:color="auto"/>
        <w:left w:val="none" w:sz="0" w:space="0" w:color="auto"/>
        <w:bottom w:val="none" w:sz="0" w:space="0" w:color="auto"/>
        <w:right w:val="none" w:sz="0" w:space="0" w:color="auto"/>
      </w:divBdr>
    </w:div>
    <w:div w:id="1504542111">
      <w:bodyDiv w:val="1"/>
      <w:marLeft w:val="0"/>
      <w:marRight w:val="0"/>
      <w:marTop w:val="0"/>
      <w:marBottom w:val="0"/>
      <w:divBdr>
        <w:top w:val="none" w:sz="0" w:space="0" w:color="auto"/>
        <w:left w:val="none" w:sz="0" w:space="0" w:color="auto"/>
        <w:bottom w:val="none" w:sz="0" w:space="0" w:color="auto"/>
        <w:right w:val="none" w:sz="0" w:space="0" w:color="auto"/>
      </w:divBdr>
    </w:div>
    <w:div w:id="1504736221">
      <w:bodyDiv w:val="1"/>
      <w:marLeft w:val="0"/>
      <w:marRight w:val="0"/>
      <w:marTop w:val="0"/>
      <w:marBottom w:val="0"/>
      <w:divBdr>
        <w:top w:val="none" w:sz="0" w:space="0" w:color="auto"/>
        <w:left w:val="none" w:sz="0" w:space="0" w:color="auto"/>
        <w:bottom w:val="none" w:sz="0" w:space="0" w:color="auto"/>
        <w:right w:val="none" w:sz="0" w:space="0" w:color="auto"/>
      </w:divBdr>
    </w:div>
    <w:div w:id="1510370707">
      <w:bodyDiv w:val="1"/>
      <w:marLeft w:val="0"/>
      <w:marRight w:val="0"/>
      <w:marTop w:val="0"/>
      <w:marBottom w:val="0"/>
      <w:divBdr>
        <w:top w:val="none" w:sz="0" w:space="0" w:color="auto"/>
        <w:left w:val="none" w:sz="0" w:space="0" w:color="auto"/>
        <w:bottom w:val="none" w:sz="0" w:space="0" w:color="auto"/>
        <w:right w:val="none" w:sz="0" w:space="0" w:color="auto"/>
      </w:divBdr>
    </w:div>
    <w:div w:id="1514954521">
      <w:bodyDiv w:val="1"/>
      <w:marLeft w:val="0"/>
      <w:marRight w:val="0"/>
      <w:marTop w:val="0"/>
      <w:marBottom w:val="0"/>
      <w:divBdr>
        <w:top w:val="none" w:sz="0" w:space="0" w:color="auto"/>
        <w:left w:val="none" w:sz="0" w:space="0" w:color="auto"/>
        <w:bottom w:val="none" w:sz="0" w:space="0" w:color="auto"/>
        <w:right w:val="none" w:sz="0" w:space="0" w:color="auto"/>
      </w:divBdr>
    </w:div>
    <w:div w:id="1517108855">
      <w:bodyDiv w:val="1"/>
      <w:marLeft w:val="0"/>
      <w:marRight w:val="0"/>
      <w:marTop w:val="0"/>
      <w:marBottom w:val="0"/>
      <w:divBdr>
        <w:top w:val="none" w:sz="0" w:space="0" w:color="auto"/>
        <w:left w:val="none" w:sz="0" w:space="0" w:color="auto"/>
        <w:bottom w:val="none" w:sz="0" w:space="0" w:color="auto"/>
        <w:right w:val="none" w:sz="0" w:space="0" w:color="auto"/>
      </w:divBdr>
    </w:div>
    <w:div w:id="1550188957">
      <w:bodyDiv w:val="1"/>
      <w:marLeft w:val="0"/>
      <w:marRight w:val="0"/>
      <w:marTop w:val="0"/>
      <w:marBottom w:val="0"/>
      <w:divBdr>
        <w:top w:val="none" w:sz="0" w:space="0" w:color="auto"/>
        <w:left w:val="none" w:sz="0" w:space="0" w:color="auto"/>
        <w:bottom w:val="none" w:sz="0" w:space="0" w:color="auto"/>
        <w:right w:val="none" w:sz="0" w:space="0" w:color="auto"/>
      </w:divBdr>
    </w:div>
    <w:div w:id="1565676634">
      <w:bodyDiv w:val="1"/>
      <w:marLeft w:val="0"/>
      <w:marRight w:val="0"/>
      <w:marTop w:val="0"/>
      <w:marBottom w:val="0"/>
      <w:divBdr>
        <w:top w:val="none" w:sz="0" w:space="0" w:color="auto"/>
        <w:left w:val="none" w:sz="0" w:space="0" w:color="auto"/>
        <w:bottom w:val="none" w:sz="0" w:space="0" w:color="auto"/>
        <w:right w:val="none" w:sz="0" w:space="0" w:color="auto"/>
      </w:divBdr>
    </w:div>
    <w:div w:id="1573853443">
      <w:bodyDiv w:val="1"/>
      <w:marLeft w:val="0"/>
      <w:marRight w:val="0"/>
      <w:marTop w:val="0"/>
      <w:marBottom w:val="0"/>
      <w:divBdr>
        <w:top w:val="none" w:sz="0" w:space="0" w:color="auto"/>
        <w:left w:val="none" w:sz="0" w:space="0" w:color="auto"/>
        <w:bottom w:val="none" w:sz="0" w:space="0" w:color="auto"/>
        <w:right w:val="none" w:sz="0" w:space="0" w:color="auto"/>
      </w:divBdr>
    </w:div>
    <w:div w:id="1581987284">
      <w:bodyDiv w:val="1"/>
      <w:marLeft w:val="0"/>
      <w:marRight w:val="0"/>
      <w:marTop w:val="0"/>
      <w:marBottom w:val="0"/>
      <w:divBdr>
        <w:top w:val="none" w:sz="0" w:space="0" w:color="auto"/>
        <w:left w:val="none" w:sz="0" w:space="0" w:color="auto"/>
        <w:bottom w:val="none" w:sz="0" w:space="0" w:color="auto"/>
        <w:right w:val="none" w:sz="0" w:space="0" w:color="auto"/>
      </w:divBdr>
    </w:div>
    <w:div w:id="1586258857">
      <w:bodyDiv w:val="1"/>
      <w:marLeft w:val="0"/>
      <w:marRight w:val="0"/>
      <w:marTop w:val="0"/>
      <w:marBottom w:val="0"/>
      <w:divBdr>
        <w:top w:val="none" w:sz="0" w:space="0" w:color="auto"/>
        <w:left w:val="none" w:sz="0" w:space="0" w:color="auto"/>
        <w:bottom w:val="none" w:sz="0" w:space="0" w:color="auto"/>
        <w:right w:val="none" w:sz="0" w:space="0" w:color="auto"/>
      </w:divBdr>
    </w:div>
    <w:div w:id="1594046846">
      <w:bodyDiv w:val="1"/>
      <w:marLeft w:val="0"/>
      <w:marRight w:val="0"/>
      <w:marTop w:val="0"/>
      <w:marBottom w:val="0"/>
      <w:divBdr>
        <w:top w:val="none" w:sz="0" w:space="0" w:color="auto"/>
        <w:left w:val="none" w:sz="0" w:space="0" w:color="auto"/>
        <w:bottom w:val="none" w:sz="0" w:space="0" w:color="auto"/>
        <w:right w:val="none" w:sz="0" w:space="0" w:color="auto"/>
      </w:divBdr>
    </w:div>
    <w:div w:id="1599673681">
      <w:bodyDiv w:val="1"/>
      <w:marLeft w:val="0"/>
      <w:marRight w:val="0"/>
      <w:marTop w:val="0"/>
      <w:marBottom w:val="0"/>
      <w:divBdr>
        <w:top w:val="none" w:sz="0" w:space="0" w:color="auto"/>
        <w:left w:val="none" w:sz="0" w:space="0" w:color="auto"/>
        <w:bottom w:val="none" w:sz="0" w:space="0" w:color="auto"/>
        <w:right w:val="none" w:sz="0" w:space="0" w:color="auto"/>
      </w:divBdr>
    </w:div>
    <w:div w:id="1630819288">
      <w:bodyDiv w:val="1"/>
      <w:marLeft w:val="0"/>
      <w:marRight w:val="0"/>
      <w:marTop w:val="0"/>
      <w:marBottom w:val="0"/>
      <w:divBdr>
        <w:top w:val="none" w:sz="0" w:space="0" w:color="auto"/>
        <w:left w:val="none" w:sz="0" w:space="0" w:color="auto"/>
        <w:bottom w:val="none" w:sz="0" w:space="0" w:color="auto"/>
        <w:right w:val="none" w:sz="0" w:space="0" w:color="auto"/>
      </w:divBdr>
    </w:div>
    <w:div w:id="1648823787">
      <w:bodyDiv w:val="1"/>
      <w:marLeft w:val="0"/>
      <w:marRight w:val="0"/>
      <w:marTop w:val="0"/>
      <w:marBottom w:val="0"/>
      <w:divBdr>
        <w:top w:val="none" w:sz="0" w:space="0" w:color="auto"/>
        <w:left w:val="none" w:sz="0" w:space="0" w:color="auto"/>
        <w:bottom w:val="none" w:sz="0" w:space="0" w:color="auto"/>
        <w:right w:val="none" w:sz="0" w:space="0" w:color="auto"/>
      </w:divBdr>
    </w:div>
    <w:div w:id="1652248071">
      <w:bodyDiv w:val="1"/>
      <w:marLeft w:val="0"/>
      <w:marRight w:val="0"/>
      <w:marTop w:val="0"/>
      <w:marBottom w:val="0"/>
      <w:divBdr>
        <w:top w:val="none" w:sz="0" w:space="0" w:color="auto"/>
        <w:left w:val="none" w:sz="0" w:space="0" w:color="auto"/>
        <w:bottom w:val="none" w:sz="0" w:space="0" w:color="auto"/>
        <w:right w:val="none" w:sz="0" w:space="0" w:color="auto"/>
      </w:divBdr>
    </w:div>
    <w:div w:id="1656059780">
      <w:bodyDiv w:val="1"/>
      <w:marLeft w:val="0"/>
      <w:marRight w:val="0"/>
      <w:marTop w:val="0"/>
      <w:marBottom w:val="0"/>
      <w:divBdr>
        <w:top w:val="none" w:sz="0" w:space="0" w:color="auto"/>
        <w:left w:val="none" w:sz="0" w:space="0" w:color="auto"/>
        <w:bottom w:val="none" w:sz="0" w:space="0" w:color="auto"/>
        <w:right w:val="none" w:sz="0" w:space="0" w:color="auto"/>
      </w:divBdr>
    </w:div>
    <w:div w:id="1677267194">
      <w:bodyDiv w:val="1"/>
      <w:marLeft w:val="0"/>
      <w:marRight w:val="0"/>
      <w:marTop w:val="0"/>
      <w:marBottom w:val="0"/>
      <w:divBdr>
        <w:top w:val="none" w:sz="0" w:space="0" w:color="auto"/>
        <w:left w:val="none" w:sz="0" w:space="0" w:color="auto"/>
        <w:bottom w:val="none" w:sz="0" w:space="0" w:color="auto"/>
        <w:right w:val="none" w:sz="0" w:space="0" w:color="auto"/>
      </w:divBdr>
    </w:div>
    <w:div w:id="1677995601">
      <w:bodyDiv w:val="1"/>
      <w:marLeft w:val="0"/>
      <w:marRight w:val="0"/>
      <w:marTop w:val="0"/>
      <w:marBottom w:val="0"/>
      <w:divBdr>
        <w:top w:val="none" w:sz="0" w:space="0" w:color="auto"/>
        <w:left w:val="none" w:sz="0" w:space="0" w:color="auto"/>
        <w:bottom w:val="none" w:sz="0" w:space="0" w:color="auto"/>
        <w:right w:val="none" w:sz="0" w:space="0" w:color="auto"/>
      </w:divBdr>
    </w:div>
    <w:div w:id="1684865998">
      <w:bodyDiv w:val="1"/>
      <w:marLeft w:val="0"/>
      <w:marRight w:val="0"/>
      <w:marTop w:val="0"/>
      <w:marBottom w:val="0"/>
      <w:divBdr>
        <w:top w:val="none" w:sz="0" w:space="0" w:color="auto"/>
        <w:left w:val="none" w:sz="0" w:space="0" w:color="auto"/>
        <w:bottom w:val="none" w:sz="0" w:space="0" w:color="auto"/>
        <w:right w:val="none" w:sz="0" w:space="0" w:color="auto"/>
      </w:divBdr>
    </w:div>
    <w:div w:id="1693457585">
      <w:bodyDiv w:val="1"/>
      <w:marLeft w:val="0"/>
      <w:marRight w:val="0"/>
      <w:marTop w:val="0"/>
      <w:marBottom w:val="0"/>
      <w:divBdr>
        <w:top w:val="none" w:sz="0" w:space="0" w:color="auto"/>
        <w:left w:val="none" w:sz="0" w:space="0" w:color="auto"/>
        <w:bottom w:val="none" w:sz="0" w:space="0" w:color="auto"/>
        <w:right w:val="none" w:sz="0" w:space="0" w:color="auto"/>
      </w:divBdr>
    </w:div>
    <w:div w:id="1701540810">
      <w:bodyDiv w:val="1"/>
      <w:marLeft w:val="0"/>
      <w:marRight w:val="0"/>
      <w:marTop w:val="0"/>
      <w:marBottom w:val="0"/>
      <w:divBdr>
        <w:top w:val="none" w:sz="0" w:space="0" w:color="auto"/>
        <w:left w:val="none" w:sz="0" w:space="0" w:color="auto"/>
        <w:bottom w:val="none" w:sz="0" w:space="0" w:color="auto"/>
        <w:right w:val="none" w:sz="0" w:space="0" w:color="auto"/>
      </w:divBdr>
    </w:div>
    <w:div w:id="1722099484">
      <w:bodyDiv w:val="1"/>
      <w:marLeft w:val="0"/>
      <w:marRight w:val="0"/>
      <w:marTop w:val="0"/>
      <w:marBottom w:val="0"/>
      <w:divBdr>
        <w:top w:val="none" w:sz="0" w:space="0" w:color="auto"/>
        <w:left w:val="none" w:sz="0" w:space="0" w:color="auto"/>
        <w:bottom w:val="none" w:sz="0" w:space="0" w:color="auto"/>
        <w:right w:val="none" w:sz="0" w:space="0" w:color="auto"/>
      </w:divBdr>
    </w:div>
    <w:div w:id="1733692208">
      <w:bodyDiv w:val="1"/>
      <w:marLeft w:val="0"/>
      <w:marRight w:val="0"/>
      <w:marTop w:val="0"/>
      <w:marBottom w:val="0"/>
      <w:divBdr>
        <w:top w:val="none" w:sz="0" w:space="0" w:color="auto"/>
        <w:left w:val="none" w:sz="0" w:space="0" w:color="auto"/>
        <w:bottom w:val="none" w:sz="0" w:space="0" w:color="auto"/>
        <w:right w:val="none" w:sz="0" w:space="0" w:color="auto"/>
      </w:divBdr>
    </w:div>
    <w:div w:id="1737126094">
      <w:bodyDiv w:val="1"/>
      <w:marLeft w:val="0"/>
      <w:marRight w:val="0"/>
      <w:marTop w:val="0"/>
      <w:marBottom w:val="0"/>
      <w:divBdr>
        <w:top w:val="none" w:sz="0" w:space="0" w:color="auto"/>
        <w:left w:val="none" w:sz="0" w:space="0" w:color="auto"/>
        <w:bottom w:val="none" w:sz="0" w:space="0" w:color="auto"/>
        <w:right w:val="none" w:sz="0" w:space="0" w:color="auto"/>
      </w:divBdr>
    </w:div>
    <w:div w:id="1743984268">
      <w:bodyDiv w:val="1"/>
      <w:marLeft w:val="0"/>
      <w:marRight w:val="0"/>
      <w:marTop w:val="0"/>
      <w:marBottom w:val="0"/>
      <w:divBdr>
        <w:top w:val="none" w:sz="0" w:space="0" w:color="auto"/>
        <w:left w:val="none" w:sz="0" w:space="0" w:color="auto"/>
        <w:bottom w:val="none" w:sz="0" w:space="0" w:color="auto"/>
        <w:right w:val="none" w:sz="0" w:space="0" w:color="auto"/>
      </w:divBdr>
    </w:div>
    <w:div w:id="1752505685">
      <w:bodyDiv w:val="1"/>
      <w:marLeft w:val="0"/>
      <w:marRight w:val="0"/>
      <w:marTop w:val="0"/>
      <w:marBottom w:val="0"/>
      <w:divBdr>
        <w:top w:val="none" w:sz="0" w:space="0" w:color="auto"/>
        <w:left w:val="none" w:sz="0" w:space="0" w:color="auto"/>
        <w:bottom w:val="none" w:sz="0" w:space="0" w:color="auto"/>
        <w:right w:val="none" w:sz="0" w:space="0" w:color="auto"/>
      </w:divBdr>
    </w:div>
    <w:div w:id="1754355470">
      <w:bodyDiv w:val="1"/>
      <w:marLeft w:val="0"/>
      <w:marRight w:val="0"/>
      <w:marTop w:val="0"/>
      <w:marBottom w:val="0"/>
      <w:divBdr>
        <w:top w:val="none" w:sz="0" w:space="0" w:color="auto"/>
        <w:left w:val="none" w:sz="0" w:space="0" w:color="auto"/>
        <w:bottom w:val="none" w:sz="0" w:space="0" w:color="auto"/>
        <w:right w:val="none" w:sz="0" w:space="0" w:color="auto"/>
      </w:divBdr>
    </w:div>
    <w:div w:id="1774130847">
      <w:bodyDiv w:val="1"/>
      <w:marLeft w:val="0"/>
      <w:marRight w:val="0"/>
      <w:marTop w:val="0"/>
      <w:marBottom w:val="0"/>
      <w:divBdr>
        <w:top w:val="none" w:sz="0" w:space="0" w:color="auto"/>
        <w:left w:val="none" w:sz="0" w:space="0" w:color="auto"/>
        <w:bottom w:val="none" w:sz="0" w:space="0" w:color="auto"/>
        <w:right w:val="none" w:sz="0" w:space="0" w:color="auto"/>
      </w:divBdr>
    </w:div>
    <w:div w:id="1780644120">
      <w:bodyDiv w:val="1"/>
      <w:marLeft w:val="0"/>
      <w:marRight w:val="0"/>
      <w:marTop w:val="0"/>
      <w:marBottom w:val="0"/>
      <w:divBdr>
        <w:top w:val="none" w:sz="0" w:space="0" w:color="auto"/>
        <w:left w:val="none" w:sz="0" w:space="0" w:color="auto"/>
        <w:bottom w:val="none" w:sz="0" w:space="0" w:color="auto"/>
        <w:right w:val="none" w:sz="0" w:space="0" w:color="auto"/>
      </w:divBdr>
    </w:div>
    <w:div w:id="1815677234">
      <w:bodyDiv w:val="1"/>
      <w:marLeft w:val="0"/>
      <w:marRight w:val="0"/>
      <w:marTop w:val="0"/>
      <w:marBottom w:val="0"/>
      <w:divBdr>
        <w:top w:val="none" w:sz="0" w:space="0" w:color="auto"/>
        <w:left w:val="none" w:sz="0" w:space="0" w:color="auto"/>
        <w:bottom w:val="none" w:sz="0" w:space="0" w:color="auto"/>
        <w:right w:val="none" w:sz="0" w:space="0" w:color="auto"/>
      </w:divBdr>
    </w:div>
    <w:div w:id="1842545159">
      <w:bodyDiv w:val="1"/>
      <w:marLeft w:val="0"/>
      <w:marRight w:val="0"/>
      <w:marTop w:val="0"/>
      <w:marBottom w:val="0"/>
      <w:divBdr>
        <w:top w:val="none" w:sz="0" w:space="0" w:color="auto"/>
        <w:left w:val="none" w:sz="0" w:space="0" w:color="auto"/>
        <w:bottom w:val="none" w:sz="0" w:space="0" w:color="auto"/>
        <w:right w:val="none" w:sz="0" w:space="0" w:color="auto"/>
      </w:divBdr>
    </w:div>
    <w:div w:id="1870683761">
      <w:bodyDiv w:val="1"/>
      <w:marLeft w:val="0"/>
      <w:marRight w:val="0"/>
      <w:marTop w:val="0"/>
      <w:marBottom w:val="0"/>
      <w:divBdr>
        <w:top w:val="none" w:sz="0" w:space="0" w:color="auto"/>
        <w:left w:val="none" w:sz="0" w:space="0" w:color="auto"/>
        <w:bottom w:val="none" w:sz="0" w:space="0" w:color="auto"/>
        <w:right w:val="none" w:sz="0" w:space="0" w:color="auto"/>
      </w:divBdr>
    </w:div>
    <w:div w:id="1874614081">
      <w:bodyDiv w:val="1"/>
      <w:marLeft w:val="0"/>
      <w:marRight w:val="0"/>
      <w:marTop w:val="0"/>
      <w:marBottom w:val="0"/>
      <w:divBdr>
        <w:top w:val="none" w:sz="0" w:space="0" w:color="auto"/>
        <w:left w:val="none" w:sz="0" w:space="0" w:color="auto"/>
        <w:bottom w:val="none" w:sz="0" w:space="0" w:color="auto"/>
        <w:right w:val="none" w:sz="0" w:space="0" w:color="auto"/>
      </w:divBdr>
    </w:div>
    <w:div w:id="1915970943">
      <w:bodyDiv w:val="1"/>
      <w:marLeft w:val="0"/>
      <w:marRight w:val="0"/>
      <w:marTop w:val="0"/>
      <w:marBottom w:val="0"/>
      <w:divBdr>
        <w:top w:val="none" w:sz="0" w:space="0" w:color="auto"/>
        <w:left w:val="none" w:sz="0" w:space="0" w:color="auto"/>
        <w:bottom w:val="none" w:sz="0" w:space="0" w:color="auto"/>
        <w:right w:val="none" w:sz="0" w:space="0" w:color="auto"/>
      </w:divBdr>
    </w:div>
    <w:div w:id="1917662116">
      <w:bodyDiv w:val="1"/>
      <w:marLeft w:val="0"/>
      <w:marRight w:val="0"/>
      <w:marTop w:val="0"/>
      <w:marBottom w:val="0"/>
      <w:divBdr>
        <w:top w:val="none" w:sz="0" w:space="0" w:color="auto"/>
        <w:left w:val="none" w:sz="0" w:space="0" w:color="auto"/>
        <w:bottom w:val="none" w:sz="0" w:space="0" w:color="auto"/>
        <w:right w:val="none" w:sz="0" w:space="0" w:color="auto"/>
      </w:divBdr>
    </w:div>
    <w:div w:id="1921136349">
      <w:bodyDiv w:val="1"/>
      <w:marLeft w:val="0"/>
      <w:marRight w:val="0"/>
      <w:marTop w:val="0"/>
      <w:marBottom w:val="0"/>
      <w:divBdr>
        <w:top w:val="none" w:sz="0" w:space="0" w:color="auto"/>
        <w:left w:val="none" w:sz="0" w:space="0" w:color="auto"/>
        <w:bottom w:val="none" w:sz="0" w:space="0" w:color="auto"/>
        <w:right w:val="none" w:sz="0" w:space="0" w:color="auto"/>
      </w:divBdr>
    </w:div>
    <w:div w:id="1948154838">
      <w:bodyDiv w:val="1"/>
      <w:marLeft w:val="0"/>
      <w:marRight w:val="0"/>
      <w:marTop w:val="0"/>
      <w:marBottom w:val="0"/>
      <w:divBdr>
        <w:top w:val="none" w:sz="0" w:space="0" w:color="auto"/>
        <w:left w:val="none" w:sz="0" w:space="0" w:color="auto"/>
        <w:bottom w:val="none" w:sz="0" w:space="0" w:color="auto"/>
        <w:right w:val="none" w:sz="0" w:space="0" w:color="auto"/>
      </w:divBdr>
    </w:div>
    <w:div w:id="1951089860">
      <w:bodyDiv w:val="1"/>
      <w:marLeft w:val="0"/>
      <w:marRight w:val="0"/>
      <w:marTop w:val="0"/>
      <w:marBottom w:val="0"/>
      <w:divBdr>
        <w:top w:val="none" w:sz="0" w:space="0" w:color="auto"/>
        <w:left w:val="none" w:sz="0" w:space="0" w:color="auto"/>
        <w:bottom w:val="none" w:sz="0" w:space="0" w:color="auto"/>
        <w:right w:val="none" w:sz="0" w:space="0" w:color="auto"/>
      </w:divBdr>
    </w:div>
    <w:div w:id="1965963213">
      <w:bodyDiv w:val="1"/>
      <w:marLeft w:val="0"/>
      <w:marRight w:val="0"/>
      <w:marTop w:val="0"/>
      <w:marBottom w:val="0"/>
      <w:divBdr>
        <w:top w:val="none" w:sz="0" w:space="0" w:color="auto"/>
        <w:left w:val="none" w:sz="0" w:space="0" w:color="auto"/>
        <w:bottom w:val="none" w:sz="0" w:space="0" w:color="auto"/>
        <w:right w:val="none" w:sz="0" w:space="0" w:color="auto"/>
      </w:divBdr>
    </w:div>
    <w:div w:id="1981838250">
      <w:bodyDiv w:val="1"/>
      <w:marLeft w:val="0"/>
      <w:marRight w:val="0"/>
      <w:marTop w:val="0"/>
      <w:marBottom w:val="0"/>
      <w:divBdr>
        <w:top w:val="none" w:sz="0" w:space="0" w:color="auto"/>
        <w:left w:val="none" w:sz="0" w:space="0" w:color="auto"/>
        <w:bottom w:val="none" w:sz="0" w:space="0" w:color="auto"/>
        <w:right w:val="none" w:sz="0" w:space="0" w:color="auto"/>
      </w:divBdr>
    </w:div>
    <w:div w:id="1997222228">
      <w:bodyDiv w:val="1"/>
      <w:marLeft w:val="0"/>
      <w:marRight w:val="0"/>
      <w:marTop w:val="0"/>
      <w:marBottom w:val="0"/>
      <w:divBdr>
        <w:top w:val="none" w:sz="0" w:space="0" w:color="auto"/>
        <w:left w:val="none" w:sz="0" w:space="0" w:color="auto"/>
        <w:bottom w:val="none" w:sz="0" w:space="0" w:color="auto"/>
        <w:right w:val="none" w:sz="0" w:space="0" w:color="auto"/>
      </w:divBdr>
    </w:div>
    <w:div w:id="2009287773">
      <w:bodyDiv w:val="1"/>
      <w:marLeft w:val="0"/>
      <w:marRight w:val="0"/>
      <w:marTop w:val="0"/>
      <w:marBottom w:val="0"/>
      <w:divBdr>
        <w:top w:val="none" w:sz="0" w:space="0" w:color="auto"/>
        <w:left w:val="none" w:sz="0" w:space="0" w:color="auto"/>
        <w:bottom w:val="none" w:sz="0" w:space="0" w:color="auto"/>
        <w:right w:val="none" w:sz="0" w:space="0" w:color="auto"/>
      </w:divBdr>
    </w:div>
    <w:div w:id="2018842162">
      <w:bodyDiv w:val="1"/>
      <w:marLeft w:val="0"/>
      <w:marRight w:val="0"/>
      <w:marTop w:val="0"/>
      <w:marBottom w:val="0"/>
      <w:divBdr>
        <w:top w:val="none" w:sz="0" w:space="0" w:color="auto"/>
        <w:left w:val="none" w:sz="0" w:space="0" w:color="auto"/>
        <w:bottom w:val="none" w:sz="0" w:space="0" w:color="auto"/>
        <w:right w:val="none" w:sz="0" w:space="0" w:color="auto"/>
      </w:divBdr>
    </w:div>
    <w:div w:id="2054890057">
      <w:bodyDiv w:val="1"/>
      <w:marLeft w:val="0"/>
      <w:marRight w:val="0"/>
      <w:marTop w:val="0"/>
      <w:marBottom w:val="0"/>
      <w:divBdr>
        <w:top w:val="none" w:sz="0" w:space="0" w:color="auto"/>
        <w:left w:val="none" w:sz="0" w:space="0" w:color="auto"/>
        <w:bottom w:val="none" w:sz="0" w:space="0" w:color="auto"/>
        <w:right w:val="none" w:sz="0" w:space="0" w:color="auto"/>
      </w:divBdr>
    </w:div>
    <w:div w:id="2062442192">
      <w:bodyDiv w:val="1"/>
      <w:marLeft w:val="0"/>
      <w:marRight w:val="0"/>
      <w:marTop w:val="0"/>
      <w:marBottom w:val="0"/>
      <w:divBdr>
        <w:top w:val="none" w:sz="0" w:space="0" w:color="auto"/>
        <w:left w:val="none" w:sz="0" w:space="0" w:color="auto"/>
        <w:bottom w:val="none" w:sz="0" w:space="0" w:color="auto"/>
        <w:right w:val="none" w:sz="0" w:space="0" w:color="auto"/>
      </w:divBdr>
    </w:div>
    <w:div w:id="2068144642">
      <w:bodyDiv w:val="1"/>
      <w:marLeft w:val="0"/>
      <w:marRight w:val="0"/>
      <w:marTop w:val="0"/>
      <w:marBottom w:val="0"/>
      <w:divBdr>
        <w:top w:val="none" w:sz="0" w:space="0" w:color="auto"/>
        <w:left w:val="none" w:sz="0" w:space="0" w:color="auto"/>
        <w:bottom w:val="none" w:sz="0" w:space="0" w:color="auto"/>
        <w:right w:val="none" w:sz="0" w:space="0" w:color="auto"/>
      </w:divBdr>
    </w:div>
    <w:div w:id="2078084988">
      <w:bodyDiv w:val="1"/>
      <w:marLeft w:val="0"/>
      <w:marRight w:val="0"/>
      <w:marTop w:val="0"/>
      <w:marBottom w:val="0"/>
      <w:divBdr>
        <w:top w:val="none" w:sz="0" w:space="0" w:color="auto"/>
        <w:left w:val="none" w:sz="0" w:space="0" w:color="auto"/>
        <w:bottom w:val="none" w:sz="0" w:space="0" w:color="auto"/>
        <w:right w:val="none" w:sz="0" w:space="0" w:color="auto"/>
      </w:divBdr>
    </w:div>
    <w:div w:id="2079477872">
      <w:bodyDiv w:val="1"/>
      <w:marLeft w:val="0"/>
      <w:marRight w:val="0"/>
      <w:marTop w:val="0"/>
      <w:marBottom w:val="0"/>
      <w:divBdr>
        <w:top w:val="none" w:sz="0" w:space="0" w:color="auto"/>
        <w:left w:val="none" w:sz="0" w:space="0" w:color="auto"/>
        <w:bottom w:val="none" w:sz="0" w:space="0" w:color="auto"/>
        <w:right w:val="none" w:sz="0" w:space="0" w:color="auto"/>
      </w:divBdr>
    </w:div>
    <w:div w:id="2095010442">
      <w:bodyDiv w:val="1"/>
      <w:marLeft w:val="0"/>
      <w:marRight w:val="0"/>
      <w:marTop w:val="0"/>
      <w:marBottom w:val="0"/>
      <w:divBdr>
        <w:top w:val="none" w:sz="0" w:space="0" w:color="auto"/>
        <w:left w:val="none" w:sz="0" w:space="0" w:color="auto"/>
        <w:bottom w:val="none" w:sz="0" w:space="0" w:color="auto"/>
        <w:right w:val="none" w:sz="0" w:space="0" w:color="auto"/>
      </w:divBdr>
    </w:div>
    <w:div w:id="21271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hyperlink" Target="https://www.youtube.com/user/INEGIInforma" TargetMode="External"/><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egi.org.mx/app/consultapublica/" TargetMode="External"/><Relationship Id="rId24" Type="http://schemas.openxmlformats.org/officeDocument/2006/relationships/image" Target="media/image6.png"/><Relationship Id="rId32" Type="http://schemas.openxmlformats.org/officeDocument/2006/relationships/image" Target="media/image14.emf"/><Relationship Id="rId37" Type="http://schemas.openxmlformats.org/officeDocument/2006/relationships/image" Target="media/image19.png"/><Relationship Id="rId40" Type="http://schemas.openxmlformats.org/officeDocument/2006/relationships/image" Target="media/image22.emf"/><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INEGIInforma/" TargetMode="External"/><Relationship Id="rId23" Type="http://schemas.openxmlformats.org/officeDocument/2006/relationships/hyperlink" Target="http://www.inegi.org.mx/" TargetMode="Externa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hyperlink" Target="https://twitter.com/INEGI_INFORMA" TargetMode="External"/><Relationship Id="rId31" Type="http://schemas.openxmlformats.org/officeDocument/2006/relationships/image" Target="media/image13.emf"/><Relationship Id="rId44" Type="http://schemas.openxmlformats.org/officeDocument/2006/relationships/hyperlink" Target="https://www.inegi.org.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ncepcion.chavez@inegi.org.mx" TargetMode="External"/><Relationship Id="rId17" Type="http://schemas.openxmlformats.org/officeDocument/2006/relationships/hyperlink" Target="https://www.instagram.com/inegi_informa/" TargetMode="External"/><Relationship Id="rId25" Type="http://schemas.openxmlformats.org/officeDocument/2006/relationships/image" Target="media/image7.emf"/><Relationship Id="rId33" Type="http://schemas.openxmlformats.org/officeDocument/2006/relationships/image" Target="media/image15.png"/><Relationship Id="rId38" Type="http://schemas.openxmlformats.org/officeDocument/2006/relationships/image" Target="media/image20.emf"/><Relationship Id="rId46" Type="http://schemas.openxmlformats.org/officeDocument/2006/relationships/footer" Target="footer2.xml"/><Relationship Id="rId20" Type="http://schemas.openxmlformats.org/officeDocument/2006/relationships/image" Target="media/image4.jpeg"/><Relationship Id="rId41" Type="http://schemas.openxmlformats.org/officeDocument/2006/relationships/image" Target="media/image2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CF906B9E2CD479979948FBA231C39" ma:contentTypeVersion="7" ma:contentTypeDescription="Create a new document." ma:contentTypeScope="" ma:versionID="ad62ef61b049b757d5d127db14ebce30">
  <xsd:schema xmlns:xsd="http://www.w3.org/2001/XMLSchema" xmlns:xs="http://www.w3.org/2001/XMLSchema" xmlns:p="http://schemas.microsoft.com/office/2006/metadata/properties" xmlns:ns3="0921883c-71ca-4649-a9e6-15958c063a2d" xmlns:ns4="e33e3730-0c95-4e62-81c3-f423b515f4cb" targetNamespace="http://schemas.microsoft.com/office/2006/metadata/properties" ma:root="true" ma:fieldsID="77ea4e018893c82f785cb01802a2d6bd" ns3:_="" ns4:_="">
    <xsd:import namespace="0921883c-71ca-4649-a9e6-15958c063a2d"/>
    <xsd:import namespace="e33e3730-0c95-4e62-81c3-f423b515f4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1883c-71ca-4649-a9e6-15958c063a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e3730-0c95-4e62-81c3-f423b515f4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9769-2FCA-4376-AFB1-C0F68F0E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1883c-71ca-4649-a9e6-15958c063a2d"/>
    <ds:schemaRef ds:uri="e33e3730-0c95-4e62-81c3-f423b515f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B0299-C35C-4EF3-A315-2E9E9D1F8B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306BDD-4A95-440F-80A1-6FC28CA677F6}">
  <ds:schemaRefs>
    <ds:schemaRef ds:uri="http://schemas.microsoft.com/sharepoint/v3/contenttype/forms"/>
  </ds:schemaRefs>
</ds:datastoreItem>
</file>

<file path=customXml/itemProps4.xml><?xml version="1.0" encoding="utf-8"?>
<ds:datastoreItem xmlns:ds="http://schemas.openxmlformats.org/officeDocument/2006/customXml" ds:itemID="{9C0F4EDD-F7B9-4E83-9584-70E9A0DD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8188</Words>
  <Characters>45039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HEREDIA HERNANDEZ OCTAVIO</dc:creator>
  <cp:keywords/>
  <dc:description/>
  <cp:lastModifiedBy>RUMBO QUINTAL GUADALUPE</cp:lastModifiedBy>
  <cp:revision>4</cp:revision>
  <cp:lastPrinted>2020-11-17T23:06:00Z</cp:lastPrinted>
  <dcterms:created xsi:type="dcterms:W3CDTF">2020-11-18T17:46:00Z</dcterms:created>
  <dcterms:modified xsi:type="dcterms:W3CDTF">2020-11-18T18:19:00Z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0x0101005FBCF906B9E2CD479979948FBA231C39</vt:lpwstr>
  </property>
</Properties>
</file>