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383" w:rsidRDefault="004F338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jdgxs" w:colFirst="0" w:colLast="0"/>
      <w:bookmarkEnd w:id="0"/>
    </w:p>
    <w:p w:rsidR="004F3383" w:rsidRDefault="0097392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INEGI TOMA MEDIDAS EXTRAORDINARIAS POR EL ESTADO DE EMERGENCIA SANITARIA ORIGINADA POR EL COVID-19 </w:t>
      </w:r>
    </w:p>
    <w:p w:rsidR="004F3383" w:rsidRDefault="0097392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F3383" w:rsidRDefault="00973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47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Se postergan hasta nuevo aviso todas las encuestas que involucran la interacción cara a cara entre las personas.</w:t>
      </w:r>
    </w:p>
    <w:p w:rsidR="004F3383" w:rsidRDefault="00973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47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Se levantarán datos por internet, teléfono y plataformas digitales para continuar la generación de información económica incluyendo el Índice Nacional de </w:t>
      </w:r>
      <w:bookmarkStart w:id="1" w:name="_GoBack"/>
      <w:bookmarkEnd w:id="1"/>
      <w:r>
        <w:rPr>
          <w:rFonts w:ascii="Arial" w:eastAsia="Arial" w:hAnsi="Arial" w:cs="Arial"/>
          <w:color w:val="000000"/>
        </w:rPr>
        <w:t xml:space="preserve">Precios al Consumidor (INPC), encuestas económicas y cuentas nacionales.  </w:t>
      </w:r>
    </w:p>
    <w:p w:rsidR="004F3383" w:rsidRDefault="00973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right="474" w:hanging="284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 esta etapa de emergencia</w:t>
      </w:r>
      <w:r>
        <w:rPr>
          <w:rFonts w:ascii="Arial" w:eastAsia="Arial" w:hAnsi="Arial" w:cs="Arial"/>
          <w:color w:val="000000"/>
        </w:rPr>
        <w:t xml:space="preserve"> sanitaria, el INEGI seguirá trabajando para dotar al Estado y a la sociedad de información relevante para la oportuna toma de decisiones.  </w:t>
      </w:r>
    </w:p>
    <w:p w:rsidR="004F3383" w:rsidRDefault="004F3383">
      <w:pPr>
        <w:spacing w:after="0" w:line="240" w:lineRule="auto"/>
        <w:jc w:val="both"/>
        <w:rPr>
          <w:rFonts w:ascii="Arial" w:eastAsia="Arial" w:hAnsi="Arial" w:cs="Arial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Consciente del estado de emergencia sanitaria que el COVID-19 (coronavirus) significa para nuestro país, el Instit</w:t>
      </w:r>
      <w:r>
        <w:rPr>
          <w:rFonts w:ascii="Arial" w:eastAsia="Arial" w:hAnsi="Arial" w:cs="Arial"/>
          <w:color w:val="000000"/>
        </w:rPr>
        <w:t xml:space="preserve">uto Nacional de Estadística y Geografía anuncia medidas adicionales respecto a su operación en las próximas semanas. 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Desde el pasado 19 de marzo implementamos un programa de trabajo vía remota para que el máximo número posible de personas que así podía </w:t>
      </w:r>
      <w:r>
        <w:rPr>
          <w:rFonts w:ascii="Arial" w:eastAsia="Arial" w:hAnsi="Arial" w:cs="Arial"/>
          <w:color w:val="000000"/>
        </w:rPr>
        <w:t>hacerlo realizara sus actividades laborales desde casa; además tomamos especial cuidado de que el personal vulnerable (por su edad, condición de salud o embarazo) dejara de asistir a las instalaciones del Instituto y reforzamos medidas de seguridad para el</w:t>
      </w:r>
      <w:r>
        <w:rPr>
          <w:rFonts w:ascii="Arial" w:eastAsia="Arial" w:hAnsi="Arial" w:cs="Arial"/>
          <w:color w:val="000000"/>
        </w:rPr>
        <w:t xml:space="preserve"> personal operativo de campo.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Adicionalmente a las medidas anteriores, a partir de hoy 31 de marzo, se instrumentarán nuevas acciones con el propósito de conservar la operación esencial en </w:t>
      </w:r>
      <w:r>
        <w:rPr>
          <w:rFonts w:ascii="Arial" w:eastAsia="Arial" w:hAnsi="Arial" w:cs="Arial"/>
          <w:color w:val="000000"/>
        </w:rPr>
        <w:lastRenderedPageBreak/>
        <w:t>la producción y difusión de la información estadística y geográfic</w:t>
      </w:r>
      <w:r>
        <w:rPr>
          <w:rFonts w:ascii="Arial" w:eastAsia="Arial" w:hAnsi="Arial" w:cs="Arial"/>
          <w:color w:val="000000"/>
        </w:rPr>
        <w:t>a que el país requiere en una coyuntura como la que se vive actualmente, al tiempo que se cuida minimizar la exposición de nuestro personal y cumplir las medidas del estado de emergencia sanitaria recientemente anunciado.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Con respecto a la estadística económica, la medición del Índice Nacional de Precios al Consumidor (INPC) se llevará a cabo principalmente mediante un levantamiento de cotizaciones por internet, teléfono y otras tecnologías de la información. 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 el prop</w:t>
      </w:r>
      <w:r>
        <w:rPr>
          <w:rFonts w:ascii="Arial" w:eastAsia="Arial" w:hAnsi="Arial" w:cs="Arial"/>
          <w:color w:val="000000"/>
        </w:rPr>
        <w:t>ósito de evitar el contacto presencial que involucran, las Encuestas Económicas Nacionales se recabarán por internet y asistencia telefónica; en tanto que el Sistema de Cuentas Nacionales de México (SCNM) se allegará de los insumos anteriores y de los regi</w:t>
      </w:r>
      <w:r>
        <w:rPr>
          <w:rFonts w:ascii="Arial" w:eastAsia="Arial" w:hAnsi="Arial" w:cs="Arial"/>
          <w:color w:val="000000"/>
        </w:rPr>
        <w:t>stros administrativos por vía remota. Todos los productos y servicios señalados serán difundidos de acuerdo con el calendario.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En lo que toca a las encuestas en hogares, para evitar las entrevistas cara a cara en vivienda que implican, se reprogramarán ha</w:t>
      </w:r>
      <w:r>
        <w:rPr>
          <w:rFonts w:ascii="Arial" w:eastAsia="Arial" w:hAnsi="Arial" w:cs="Arial"/>
          <w:color w:val="000000"/>
        </w:rPr>
        <w:t>sta nuevo aviso los siguientes programas de información estadística: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Encuesta Nacional de Ocupación y Empleo (ENOE).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Encuesta Nacional de Confianza del Consumidor (ENCO).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Encuesta Nacional de Victimización y Percepción sobre Seguridad Pública (ENVIPE).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</w:t>
      </w:r>
      <w:r>
        <w:rPr>
          <w:rFonts w:ascii="Arial" w:eastAsia="Arial" w:hAnsi="Arial" w:cs="Arial"/>
          <w:color w:val="000000"/>
        </w:rPr>
        <w:t>cuesta Nacional de Vivienda (ENVI).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Encuesta Nacional sobre Disponibilidad y Uso de Tecnologías de la Información en los Hogares (ENDUTIH).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Encuesta Cognitiva de la Encuesta Nacional sobre Salud y Envejecimiento en México (ENASEM).</w:t>
      </w:r>
    </w:p>
    <w:p w:rsidR="004F3383" w:rsidRDefault="00973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-518" w:hanging="283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Módulos sobre Eventos Cu</w:t>
      </w:r>
      <w:r>
        <w:rPr>
          <w:rFonts w:ascii="Arial" w:eastAsia="Arial" w:hAnsi="Arial" w:cs="Arial"/>
          <w:color w:val="000000"/>
        </w:rPr>
        <w:t xml:space="preserve">lturales Seleccionados (MODECULT) y de Bienestar </w:t>
      </w:r>
      <w:proofErr w:type="spellStart"/>
      <w:r>
        <w:rPr>
          <w:rFonts w:ascii="Arial" w:eastAsia="Arial" w:hAnsi="Arial" w:cs="Arial"/>
          <w:color w:val="000000"/>
        </w:rPr>
        <w:t>Autorreportado</w:t>
      </w:r>
      <w:proofErr w:type="spellEnd"/>
      <w:r>
        <w:rPr>
          <w:rFonts w:ascii="Arial" w:eastAsia="Arial" w:hAnsi="Arial" w:cs="Arial"/>
          <w:color w:val="000000"/>
        </w:rPr>
        <w:t xml:space="preserve"> (BIARE)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Dada la importancia de que en la coyuntura actual nuestro país pueda contar con indicadores de ocupación y empleo, en la medida de lo posible se buscará habilitar mecanismos para proveer a la Encuesta Nacional de Ocupación y Empleo con un medio de recolecc</w:t>
      </w:r>
      <w:r>
        <w:rPr>
          <w:rFonts w:ascii="Arial" w:eastAsia="Arial" w:hAnsi="Arial" w:cs="Arial"/>
          <w:color w:val="000000"/>
        </w:rPr>
        <w:t xml:space="preserve">ión por medios remotos, tanto por teléfono como por internet.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Cabe destacar que la emergencia sanitaria actual en México, aunada a las medidas anteriores, impactarán en los resultados de la información estadística a difundir.  En adición a la ausencia de</w:t>
      </w:r>
      <w:r>
        <w:rPr>
          <w:rFonts w:ascii="Arial" w:eastAsia="Arial" w:hAnsi="Arial" w:cs="Arial"/>
          <w:color w:val="000000"/>
        </w:rPr>
        <w:t xml:space="preserve"> información durante el periodo de postergación de las encuestas señaladas, podrá presentarse una afectación como consecuencia de una mayor tasa de no respuesta, la alteración de la comparabilidad histórica, o la pérdida de cobertura y de precisión.  Cada </w:t>
      </w:r>
      <w:r>
        <w:rPr>
          <w:rFonts w:ascii="Arial" w:eastAsia="Arial" w:hAnsi="Arial" w:cs="Arial"/>
          <w:color w:val="000000"/>
        </w:rPr>
        <w:t>uno de los programas de información dará a conocer en sus notas técnicas los impactos específicos que pudieran estar incidiendo en sus resultados respectivos.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bookmarkStart w:id="2" w:name="_30j0zll" w:colFirst="0" w:colLast="0"/>
      <w:bookmarkEnd w:id="2"/>
      <w:r>
        <w:rPr>
          <w:rFonts w:ascii="Arial" w:eastAsia="Arial" w:hAnsi="Arial" w:cs="Arial"/>
          <w:color w:val="000000"/>
        </w:rPr>
        <w:t>Finalmente, concluyó el levantamiento masivo de enumeración presencial a nivel nacional del Cens</w:t>
      </w:r>
      <w:r>
        <w:rPr>
          <w:rFonts w:ascii="Arial" w:eastAsia="Arial" w:hAnsi="Arial" w:cs="Arial"/>
          <w:color w:val="000000"/>
        </w:rPr>
        <w:t xml:space="preserve">o de Población y Vivienda 2020.  La etapa de verificación se pospone hasta nuevo aviso y continuará el seguimiento remoto de cerca de </w:t>
      </w:r>
      <w:r>
        <w:rPr>
          <w:rFonts w:ascii="Arial" w:eastAsia="Arial" w:hAnsi="Arial" w:cs="Arial"/>
        </w:rPr>
        <w:t xml:space="preserve">un </w:t>
      </w:r>
      <w:r>
        <w:rPr>
          <w:rFonts w:ascii="Arial" w:eastAsia="Arial" w:hAnsi="Arial" w:cs="Arial"/>
          <w:color w:val="000000"/>
        </w:rPr>
        <w:t>millón de invitaciones a responder el cuestionario censal por internet.  A su vez, el operativo de cobertura del Censo (</w:t>
      </w:r>
      <w:proofErr w:type="spellStart"/>
      <w:r>
        <w:rPr>
          <w:rFonts w:ascii="Arial" w:eastAsia="Arial" w:hAnsi="Arial" w:cs="Arial"/>
          <w:color w:val="000000"/>
        </w:rPr>
        <w:t>posenumeración</w:t>
      </w:r>
      <w:proofErr w:type="spellEnd"/>
      <w:r>
        <w:rPr>
          <w:rFonts w:ascii="Arial" w:eastAsia="Arial" w:hAnsi="Arial" w:cs="Arial"/>
          <w:color w:val="000000"/>
        </w:rPr>
        <w:t xml:space="preserve">) programado a partir del 27 de abril, queda cancelando.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Las modificaciones anteriores y cualquier otra que pudiera dete</w:t>
      </w:r>
      <w:r>
        <w:rPr>
          <w:rFonts w:ascii="Arial" w:eastAsia="Arial" w:hAnsi="Arial" w:cs="Arial"/>
          <w:color w:val="000000"/>
        </w:rPr>
        <w:t xml:space="preserve">rminarse más adelante, se verán reflejadas de manera oportuna en el Calendario de Difusión de Información Estadística y Geográfica y de Interés Nacional que se mantendrá disponible en el sitio web del Instituto.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Congruente con el cuidado de la salud de s</w:t>
      </w:r>
      <w:r>
        <w:rPr>
          <w:rFonts w:ascii="Arial" w:eastAsia="Arial" w:hAnsi="Arial" w:cs="Arial"/>
          <w:color w:val="000000"/>
        </w:rPr>
        <w:t>u personal y de la sociedad en general, el Instituto seguirá atento y acatará inmediatamente cualquier disposición que determinen las autoridades sanitarias de nuestro país.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El INEGI hace un llamado a la sociedad y a las empresas para seguir aportando la </w:t>
      </w:r>
      <w:r>
        <w:rPr>
          <w:rFonts w:ascii="Arial" w:eastAsia="Arial" w:hAnsi="Arial" w:cs="Arial"/>
          <w:color w:val="000000"/>
        </w:rPr>
        <w:t xml:space="preserve">información que permite disponer de estadística confiable y oportuna para la toma de decisiones, tan necesaria en medio de la coyuntura sanitaria que se vive en nuestro país.  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El Instituto refrenda su compromiso de seguir trabajando con la máxima calidad</w:t>
      </w:r>
      <w:r>
        <w:rPr>
          <w:rFonts w:ascii="Arial" w:eastAsia="Arial" w:hAnsi="Arial" w:cs="Arial"/>
          <w:color w:val="000000"/>
        </w:rPr>
        <w:t xml:space="preserve"> y redoblará esfuerzos para restablecer los programas de información modificados a sus estándares habituales tan pronto como sea posible.</w:t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-518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oOo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>-</w:t>
      </w:r>
    </w:p>
    <w:p w:rsidR="004F3383" w:rsidRDefault="004F3383"/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51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Para consultas de medios y periodistas, contactar a: </w:t>
      </w:r>
      <w:hyperlink r:id="rId7">
        <w:r>
          <w:rPr>
            <w:rFonts w:ascii="Arial" w:eastAsia="Arial" w:hAnsi="Arial" w:cs="Arial"/>
            <w:color w:val="0000FF"/>
            <w:u w:val="single"/>
          </w:rPr>
          <w:t>comunicacionsocial@inegi.org.mx</w:t>
        </w:r>
      </w:hyperlink>
      <w:r>
        <w:rPr>
          <w:rFonts w:ascii="Arial" w:eastAsia="Arial" w:hAnsi="Arial" w:cs="Arial"/>
          <w:color w:val="000000"/>
        </w:rPr>
        <w:t xml:space="preserve"> </w:t>
      </w:r>
    </w:p>
    <w:p w:rsidR="004F3383" w:rsidRDefault="009739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 w:right="-518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llamar al teléfono (55) 52-78-10-00, </w:t>
      </w:r>
      <w:proofErr w:type="spellStart"/>
      <w:r>
        <w:rPr>
          <w:rFonts w:ascii="Arial" w:eastAsia="Arial" w:hAnsi="Arial" w:cs="Arial"/>
          <w:color w:val="000000"/>
        </w:rPr>
        <w:t>exts</w:t>
      </w:r>
      <w:proofErr w:type="spellEnd"/>
      <w:r>
        <w:rPr>
          <w:rFonts w:ascii="Arial" w:eastAsia="Arial" w:hAnsi="Arial" w:cs="Arial"/>
          <w:color w:val="000000"/>
        </w:rPr>
        <w:t>. 1134, 1260 y 1241.</w:t>
      </w:r>
    </w:p>
    <w:p w:rsidR="004F3383" w:rsidRDefault="00973922">
      <w:pPr>
        <w:spacing w:after="0"/>
        <w:ind w:left="-426" w:right="-51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Dirección de Atención a Medios / Dirección General Adjunta de Comunicación</w:t>
      </w:r>
    </w:p>
    <w:p w:rsidR="004F3383" w:rsidRDefault="004F3383">
      <w:pPr>
        <w:spacing w:after="0"/>
        <w:ind w:left="-426" w:right="-518"/>
        <w:jc w:val="center"/>
      </w:pPr>
    </w:p>
    <w:p w:rsidR="004F3383" w:rsidRDefault="004F3383">
      <w:pPr>
        <w:spacing w:after="0"/>
        <w:ind w:left="-426" w:right="-518"/>
        <w:jc w:val="center"/>
      </w:pPr>
    </w:p>
    <w:p w:rsidR="004F3383" w:rsidRDefault="00973922">
      <w:pPr>
        <w:ind w:left="-425" w:right="-516"/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350520" cy="365760"/>
            <wp:effectExtent l="0" t="0" r="0" b="0"/>
            <wp:docPr id="1" name="image1.png" descr="C:\Users\saladeprensa\Desktop\NVOS LOGOS\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aladeprensa\Desktop\NVOS LOGOS\F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365760" cy="365760"/>
            <wp:effectExtent l="0" t="0" r="0" b="0"/>
            <wp:docPr id="3" name="image3.png" descr="C:\Users\saladeprensa\Desktop\NVOS LOGOS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saladeprensa\Desktop\NVOS LOGOS\I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365760" cy="365760"/>
            <wp:effectExtent l="0" t="0" r="0" b="0"/>
            <wp:docPr id="2" name="image2.png" descr="C:\Users\saladeprensa\Desktop\NVOS LOGOS\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saladeprensa\Desktop\NVOS LOGOS\T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val="en-US"/>
        </w:rPr>
        <w:drawing>
          <wp:inline distT="0" distB="0" distL="0" distR="0">
            <wp:extent cx="365760" cy="365760"/>
            <wp:effectExtent l="0" t="0" r="0" b="0"/>
            <wp:docPr id="5" name="image5.png" descr="C:\Users\saladeprensa\Desktop\NVOS LOGOS\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C:\Users\saladeprensa\Desktop\NVOS LOGOS\Y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14"/>
          <w:szCs w:val="14"/>
          <w:lang w:val="en-US"/>
        </w:rPr>
        <w:drawing>
          <wp:inline distT="0" distB="0" distL="0" distR="0">
            <wp:extent cx="2286000" cy="274320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F3383" w:rsidRDefault="004F338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4F3383" w:rsidRDefault="004F3383">
      <w:pPr>
        <w:tabs>
          <w:tab w:val="left" w:pos="2175"/>
        </w:tabs>
      </w:pPr>
    </w:p>
    <w:sectPr w:rsidR="004F3383">
      <w:headerReference w:type="default" r:id="rId13"/>
      <w:footerReference w:type="default" r:id="rId14"/>
      <w:pgSz w:w="12240" w:h="15840"/>
      <w:pgMar w:top="1417" w:right="1701" w:bottom="1135" w:left="1701" w:header="708" w:footer="5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73922">
      <w:pPr>
        <w:spacing w:after="0" w:line="240" w:lineRule="auto"/>
      </w:pPr>
      <w:r>
        <w:separator/>
      </w:r>
    </w:p>
  </w:endnote>
  <w:endnote w:type="continuationSeparator" w:id="0">
    <w:p w:rsidR="00000000" w:rsidRDefault="00973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83" w:rsidRDefault="009739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2060"/>
        <w:sz w:val="20"/>
        <w:szCs w:val="20"/>
      </w:rPr>
    </w:pPr>
    <w:r>
      <w:rPr>
        <w:rFonts w:ascii="Arial" w:eastAsia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73922">
      <w:pPr>
        <w:spacing w:after="0" w:line="240" w:lineRule="auto"/>
      </w:pPr>
      <w:r>
        <w:separator/>
      </w:r>
    </w:p>
  </w:footnote>
  <w:footnote w:type="continuationSeparator" w:id="0">
    <w:p w:rsidR="00000000" w:rsidRDefault="00973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83" w:rsidRDefault="009739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567" w:right="-660" w:hanging="11"/>
      <w:jc w:val="right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 xml:space="preserve">COMUNICADO DE PRENSA NÚM. </w:t>
    </w:r>
    <w:r w:rsidR="000520C7">
      <w:rPr>
        <w:rFonts w:ascii="Arial" w:eastAsia="Arial" w:hAnsi="Arial" w:cs="Arial"/>
        <w:b/>
        <w:color w:val="002060"/>
        <w:sz w:val="24"/>
        <w:szCs w:val="24"/>
      </w:rPr>
      <w:t>142</w:t>
    </w:r>
    <w:r>
      <w:rPr>
        <w:rFonts w:ascii="Arial" w:eastAsia="Arial" w:hAnsi="Arial" w:cs="Arial"/>
        <w:b/>
        <w:color w:val="002060"/>
        <w:sz w:val="24"/>
        <w:szCs w:val="24"/>
      </w:rPr>
      <w:t>/20</w:t>
    </w:r>
    <w:r>
      <w:rPr>
        <w:noProof/>
        <w:lang w:val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-322782</wp:posOffset>
          </wp:positionH>
          <wp:positionV relativeFrom="paragraph">
            <wp:posOffset>0</wp:posOffset>
          </wp:positionV>
          <wp:extent cx="628650" cy="652780"/>
          <wp:effectExtent l="0" t="0" r="0" b="0"/>
          <wp:wrapSquare wrapText="bothSides" distT="0" distB="0" distL="114300" distR="11430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652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F3383" w:rsidRDefault="009739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567" w:right="-660" w:hanging="11"/>
      <w:jc w:val="right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>31 DE MARZO DE 2020</w:t>
    </w:r>
  </w:p>
  <w:p w:rsidR="004F3383" w:rsidRDefault="0097392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567" w:right="-660" w:hanging="11"/>
      <w:jc w:val="right"/>
      <w:rPr>
        <w:rFonts w:ascii="Arial" w:eastAsia="Arial" w:hAnsi="Arial" w:cs="Arial"/>
        <w:b/>
        <w:color w:val="002060"/>
        <w:sz w:val="24"/>
        <w:szCs w:val="24"/>
      </w:rPr>
    </w:pPr>
    <w:r>
      <w:rPr>
        <w:rFonts w:ascii="Arial" w:eastAsia="Arial" w:hAnsi="Arial" w:cs="Arial"/>
        <w:b/>
        <w:color w:val="002060"/>
        <w:sz w:val="24"/>
        <w:szCs w:val="24"/>
      </w:rPr>
      <w:t xml:space="preserve">PÁGINA </w:t>
    </w:r>
    <w:r>
      <w:rPr>
        <w:rFonts w:ascii="Arial" w:eastAsia="Arial" w:hAnsi="Arial" w:cs="Arial"/>
        <w:color w:val="002060"/>
        <w:sz w:val="24"/>
        <w:szCs w:val="24"/>
      </w:rPr>
      <w:t>1</w:t>
    </w:r>
    <w:r>
      <w:rPr>
        <w:rFonts w:ascii="Arial" w:eastAsia="Arial" w:hAnsi="Arial" w:cs="Arial"/>
        <w:b/>
        <w:color w:val="002060"/>
        <w:sz w:val="24"/>
        <w:szCs w:val="24"/>
      </w:rPr>
      <w:t>/2</w:t>
    </w:r>
  </w:p>
  <w:p w:rsidR="004F3383" w:rsidRDefault="004F33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35E2"/>
    <w:multiLevelType w:val="multilevel"/>
    <w:tmpl w:val="B70AADC2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893C07"/>
    <w:multiLevelType w:val="multilevel"/>
    <w:tmpl w:val="1B48EFC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83"/>
    <w:rsid w:val="000520C7"/>
    <w:rsid w:val="004F3383"/>
    <w:rsid w:val="0097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5AB9"/>
  <w15:docId w15:val="{FF6926D7-C2C7-4174-957D-B9B40988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52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0C7"/>
  </w:style>
  <w:style w:type="paragraph" w:styleId="Piedepgina">
    <w:name w:val="footer"/>
    <w:basedOn w:val="Normal"/>
    <w:link w:val="PiedepginaCar"/>
    <w:uiPriority w:val="99"/>
    <w:unhideWhenUsed/>
    <w:rsid w:val="000520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icacionsocial@inegi.org.mx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MORONES RUIZ FABIOLA CRISTINA</dc:creator>
  <cp:lastModifiedBy>MORONES RUIZ FABIOLA CRISTINA</cp:lastModifiedBy>
  <cp:revision>2</cp:revision>
  <dcterms:created xsi:type="dcterms:W3CDTF">2020-03-31T16:55:00Z</dcterms:created>
  <dcterms:modified xsi:type="dcterms:W3CDTF">2020-03-31T16:55:00Z</dcterms:modified>
</cp:coreProperties>
</file>