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3A051" w14:textId="77777777" w:rsidR="00516623" w:rsidRDefault="00516623" w:rsidP="00516623">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1B01B729" wp14:editId="2BDC54B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A786003" w14:textId="77777777" w:rsidR="00516623" w:rsidRPr="00265B8C" w:rsidRDefault="00516623" w:rsidP="0051662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D37B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516623" w:rsidRPr="00265B8C" w:rsidRDefault="00516623" w:rsidP="0051662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w:t>
                      </w:r>
                      <w:r>
                        <w:rPr>
                          <w:b/>
                          <w:color w:val="FFFFFF" w:themeColor="background1"/>
                          <w:shd w:val="clear" w:color="auto" w:fill="365F91" w:themeFill="accent1" w:themeFillShade="BF"/>
                          <w:lang w:val="pt-BR"/>
                        </w:rPr>
                        <w:t>5</w:t>
                      </w:r>
                      <w:r>
                        <w:rPr>
                          <w:b/>
                          <w:color w:val="FFFFFF" w:themeColor="background1"/>
                          <w:shd w:val="clear" w:color="auto" w:fill="365F91" w:themeFill="accent1" w:themeFillShade="BF"/>
                          <w:lang w:val="pt-BR"/>
                        </w:rPr>
                        <w:t xml:space="preserve">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5229F4CE" w14:textId="77777777" w:rsidR="00516623" w:rsidRDefault="00516623" w:rsidP="00516623">
      <w:pPr>
        <w:tabs>
          <w:tab w:val="left" w:pos="8789"/>
        </w:tabs>
        <w:ind w:right="51"/>
        <w:jc w:val="center"/>
        <w:rPr>
          <w:b/>
          <w:sz w:val="28"/>
        </w:rPr>
      </w:pPr>
    </w:p>
    <w:p w14:paraId="2EA15136" w14:textId="77777777" w:rsidR="00516623" w:rsidRPr="00892096" w:rsidRDefault="00516623" w:rsidP="00516623">
      <w:pPr>
        <w:pStyle w:val="Ttulo"/>
        <w:widowControl w:val="0"/>
        <w:tabs>
          <w:tab w:val="left" w:pos="1134"/>
        </w:tabs>
        <w:rPr>
          <w:caps/>
          <w:snapToGrid w:val="0"/>
          <w:spacing w:val="25"/>
          <w:sz w:val="28"/>
          <w:szCs w:val="28"/>
        </w:rPr>
      </w:pPr>
    </w:p>
    <w:p w14:paraId="7DB55E4E" w14:textId="77777777" w:rsidR="00516623" w:rsidRPr="00FB7154" w:rsidRDefault="00516623" w:rsidP="00516623">
      <w:pPr>
        <w:pStyle w:val="Profesin"/>
        <w:outlineLvl w:val="0"/>
        <w:rPr>
          <w:lang w:val="es-MX"/>
        </w:rPr>
      </w:pPr>
      <w:r w:rsidRPr="00FB7154">
        <w:rPr>
          <w:lang w:val="es-MX"/>
        </w:rPr>
        <w:t>INDICADOR GLOBAL DE LA ACTIVIDAD ECONÓMICA</w:t>
      </w:r>
      <w:r w:rsidRPr="00FB7154">
        <w:rPr>
          <w:vertAlign w:val="superscript"/>
        </w:rPr>
        <w:footnoteReference w:id="1"/>
      </w:r>
    </w:p>
    <w:p w14:paraId="31EFC070" w14:textId="77777777" w:rsidR="00516623" w:rsidRDefault="00516623" w:rsidP="00516623">
      <w:pPr>
        <w:jc w:val="center"/>
        <w:rPr>
          <w:b/>
          <w:spacing w:val="25"/>
          <w:sz w:val="26"/>
          <w:lang w:val="es-MX"/>
        </w:rPr>
      </w:pPr>
      <w:r>
        <w:rPr>
          <w:b/>
          <w:spacing w:val="25"/>
          <w:sz w:val="26"/>
          <w:lang w:val="es-MX"/>
        </w:rPr>
        <w:t>DURANTE NOVIEMBRE DE 2019</w:t>
      </w:r>
    </w:p>
    <w:p w14:paraId="55B643F4" w14:textId="77777777" w:rsidR="00516623" w:rsidRPr="00FB7154" w:rsidRDefault="00516623" w:rsidP="00516623">
      <w:pPr>
        <w:jc w:val="center"/>
        <w:rPr>
          <w:b/>
          <w:spacing w:val="25"/>
          <w:lang w:val="es-MX"/>
        </w:rPr>
      </w:pPr>
      <w:r w:rsidRPr="00FB7154">
        <w:rPr>
          <w:b/>
          <w:spacing w:val="25"/>
          <w:lang w:val="es-MX"/>
        </w:rPr>
        <w:t>(</w:t>
      </w:r>
      <w:r w:rsidRPr="00FB7154">
        <w:rPr>
          <w:b/>
          <w:i/>
          <w:spacing w:val="25"/>
          <w:lang w:val="es-MX"/>
        </w:rPr>
        <w:t>Cifras desestacionalizadas</w:t>
      </w:r>
      <w:r w:rsidRPr="00FB7154">
        <w:rPr>
          <w:b/>
          <w:spacing w:val="25"/>
          <w:lang w:val="es-MX"/>
        </w:rPr>
        <w:t>)</w:t>
      </w:r>
    </w:p>
    <w:p w14:paraId="4C59DB7B" w14:textId="77777777" w:rsidR="00516623" w:rsidRPr="00B97033" w:rsidRDefault="00516623" w:rsidP="00516623">
      <w:pPr>
        <w:pStyle w:val="bullet"/>
        <w:keepLines w:val="0"/>
        <w:spacing w:before="360" w:after="0"/>
        <w:ind w:left="-284" w:right="-405" w:firstLine="0"/>
        <w:rPr>
          <w:b w:val="0"/>
          <w:color w:val="auto"/>
          <w:szCs w:val="24"/>
        </w:rPr>
      </w:pPr>
      <w:r w:rsidRPr="00B97033">
        <w:rPr>
          <w:b w:val="0"/>
          <w:color w:val="auto"/>
          <w:szCs w:val="24"/>
        </w:rPr>
        <w:t>El INEGI informa que el Indicador Global de la Actividad Económica (IGAE) aumentó 0.1% en términos reales en el penúltimo mes del año pasado respecto al mes previo, con cifras desestacionalizadas</w:t>
      </w:r>
      <w:r w:rsidRPr="00B97033">
        <w:rPr>
          <w:b w:val="0"/>
          <w:color w:val="auto"/>
          <w:szCs w:val="24"/>
          <w:vertAlign w:val="superscript"/>
        </w:rPr>
        <w:footnoteReference w:id="2"/>
      </w:r>
      <w:r w:rsidRPr="00B97033">
        <w:rPr>
          <w:b w:val="0"/>
          <w:color w:val="auto"/>
          <w:szCs w:val="24"/>
        </w:rPr>
        <w:t>.</w:t>
      </w:r>
    </w:p>
    <w:p w14:paraId="2E45D07B" w14:textId="77777777" w:rsidR="00516623" w:rsidRPr="00FB7154" w:rsidRDefault="00516623" w:rsidP="00516623">
      <w:pPr>
        <w:pStyle w:val="p02"/>
        <w:keepNext/>
        <w:widowControl w:val="0"/>
        <w:ind w:right="23"/>
        <w:jc w:val="center"/>
        <w:rPr>
          <w:rFonts w:ascii="Arial" w:hAnsi="Arial" w:cs="Arial"/>
          <w:smallCaps/>
          <w:color w:val="auto"/>
          <w:szCs w:val="24"/>
        </w:rPr>
      </w:pPr>
    </w:p>
    <w:p w14:paraId="475BCD82" w14:textId="77777777" w:rsidR="00516623" w:rsidRDefault="00516623" w:rsidP="00516623">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noviembre </w:t>
      </w:r>
      <w:r>
        <w:rPr>
          <w:rFonts w:ascii="Arial" w:hAnsi="Arial" w:cs="Arial"/>
          <w:b/>
          <w:smallCaps/>
          <w:color w:val="000000"/>
          <w:sz w:val="22"/>
          <w:szCs w:val="22"/>
          <w:lang w:val="es-MX"/>
        </w:rPr>
        <w:t>de 2019</w:t>
      </w:r>
    </w:p>
    <w:p w14:paraId="27E7D15D" w14:textId="77777777" w:rsidR="00516623" w:rsidRPr="00961776" w:rsidRDefault="00516623" w:rsidP="00516623">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0357AE29" w14:textId="77777777" w:rsidR="00516623" w:rsidRPr="009B388F" w:rsidRDefault="00516623" w:rsidP="00516623">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55C11869" w14:textId="77777777" w:rsidR="00516623" w:rsidRPr="000B1975" w:rsidRDefault="00516623" w:rsidP="00516623">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3EAAF2DB" wp14:editId="3F33977F">
            <wp:extent cx="4680000" cy="2472800"/>
            <wp:effectExtent l="0" t="0" r="25400" b="2286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D252DA" w14:textId="77777777" w:rsidR="00516623" w:rsidRPr="00AA768F" w:rsidRDefault="00516623" w:rsidP="00516623">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7EC165CF" w14:textId="77777777" w:rsidR="00516623" w:rsidRDefault="00516623" w:rsidP="00516623">
      <w:pPr>
        <w:rPr>
          <w:szCs w:val="16"/>
          <w:lang w:val="es-MX"/>
        </w:rPr>
      </w:pPr>
    </w:p>
    <w:p w14:paraId="5C6BB6B3" w14:textId="77777777" w:rsidR="00516623" w:rsidRDefault="00516623" w:rsidP="00516623">
      <w:pPr>
        <w:rPr>
          <w:szCs w:val="16"/>
          <w:lang w:val="es-MX"/>
        </w:rPr>
      </w:pPr>
    </w:p>
    <w:p w14:paraId="2B4CDEA6" w14:textId="77777777" w:rsidR="00516623" w:rsidRPr="003F5204" w:rsidRDefault="00516623" w:rsidP="00516623">
      <w:pPr>
        <w:pStyle w:val="bullet"/>
        <w:keepLines w:val="0"/>
        <w:spacing w:before="360" w:after="0"/>
        <w:ind w:left="-284" w:right="-405" w:firstLine="0"/>
        <w:rPr>
          <w:b w:val="0"/>
          <w:color w:val="auto"/>
          <w:szCs w:val="24"/>
        </w:rPr>
      </w:pPr>
      <w:r w:rsidRPr="003F5204">
        <w:rPr>
          <w:b w:val="0"/>
          <w:color w:val="auto"/>
          <w:szCs w:val="24"/>
        </w:rPr>
        <w:t>Por grandes grupos de actividades, las Secundarias crecieron 0.8%; en cambio, las Primarias descendieron (</w:t>
      </w:r>
      <w:r w:rsidRPr="003F5204">
        <w:rPr>
          <w:b w:val="0"/>
          <w:color w:val="auto"/>
          <w:szCs w:val="24"/>
        </w:rPr>
        <w:noBreakHyphen/>
        <w:t>)2 por ciento. Por su parte, las Terciarias no presentaron variación durante noviembre de 2019 frente al mes precedente.</w:t>
      </w:r>
    </w:p>
    <w:p w14:paraId="3F06562E" w14:textId="77777777" w:rsidR="00516623" w:rsidRPr="009077FB" w:rsidRDefault="00516623" w:rsidP="00516623">
      <w:pPr>
        <w:pStyle w:val="bullet"/>
        <w:keepLines w:val="0"/>
        <w:spacing w:after="0"/>
        <w:ind w:left="-284" w:right="-405" w:firstLine="0"/>
        <w:rPr>
          <w:b w:val="0"/>
          <w:color w:val="auto"/>
          <w:szCs w:val="24"/>
        </w:rPr>
      </w:pPr>
    </w:p>
    <w:p w14:paraId="7124EE50" w14:textId="77777777" w:rsidR="00516623" w:rsidRDefault="00516623" w:rsidP="00516623">
      <w:pPr>
        <w:pStyle w:val="bullet"/>
        <w:keepLines w:val="0"/>
        <w:spacing w:after="0"/>
        <w:ind w:left="-567" w:right="-405" w:firstLine="0"/>
        <w:rPr>
          <w:b w:val="0"/>
          <w:color w:val="auto"/>
          <w:szCs w:val="24"/>
        </w:rPr>
      </w:pPr>
    </w:p>
    <w:p w14:paraId="30D75778" w14:textId="77777777" w:rsidR="00516623" w:rsidRDefault="00516623" w:rsidP="00516623">
      <w:pPr>
        <w:pStyle w:val="bullet"/>
        <w:keepLines w:val="0"/>
        <w:spacing w:after="0"/>
        <w:ind w:left="-567" w:right="-405" w:firstLine="0"/>
        <w:rPr>
          <w:b w:val="0"/>
          <w:color w:val="auto"/>
          <w:szCs w:val="24"/>
        </w:rPr>
      </w:pPr>
    </w:p>
    <w:p w14:paraId="5043595B" w14:textId="77777777" w:rsidR="00516623" w:rsidRDefault="00516623" w:rsidP="00516623">
      <w:pPr>
        <w:pStyle w:val="bullet"/>
        <w:keepLines w:val="0"/>
        <w:spacing w:before="360" w:after="0"/>
        <w:ind w:left="-567" w:right="-405" w:firstLine="0"/>
        <w:rPr>
          <w:b w:val="0"/>
          <w:color w:val="auto"/>
          <w:szCs w:val="24"/>
        </w:rPr>
      </w:pPr>
    </w:p>
    <w:p w14:paraId="42C7CBD4" w14:textId="77777777" w:rsidR="00516623" w:rsidRPr="006F285A" w:rsidRDefault="00516623" w:rsidP="00516623">
      <w:pPr>
        <w:pStyle w:val="bullet"/>
        <w:keepLines w:val="0"/>
        <w:spacing w:before="360" w:after="0"/>
        <w:ind w:left="-567" w:right="-405" w:firstLine="0"/>
        <w:rPr>
          <w:rFonts w:cs="Arial"/>
          <w:b w:val="0"/>
          <w:smallCaps/>
          <w:szCs w:val="24"/>
        </w:rPr>
      </w:pPr>
      <w:r w:rsidRPr="006F285A">
        <w:rPr>
          <w:b w:val="0"/>
          <w:color w:val="auto"/>
          <w:szCs w:val="24"/>
        </w:rPr>
        <w:t>En términos anuales</w:t>
      </w:r>
      <w:r w:rsidRPr="006F285A">
        <w:rPr>
          <w:b w:val="0"/>
          <w:color w:val="auto"/>
          <w:szCs w:val="24"/>
          <w:vertAlign w:val="superscript"/>
        </w:rPr>
        <w:footnoteReference w:id="3"/>
      </w:r>
      <w:r w:rsidRPr="006F285A">
        <w:rPr>
          <w:b w:val="0"/>
          <w:color w:val="auto"/>
          <w:szCs w:val="24"/>
        </w:rPr>
        <w:t>, el IGAE registró una caída real de (-)0.8% en el mes de referencia. Por grandes grupos de actividades, las Primarias disminuyeron (-)2.4%, las Secundarias retrocedieron (</w:t>
      </w:r>
      <w:r w:rsidRPr="006F285A">
        <w:rPr>
          <w:b w:val="0"/>
          <w:color w:val="auto"/>
          <w:szCs w:val="24"/>
        </w:rPr>
        <w:noBreakHyphen/>
        <w:t>)1.7% y las Terciarias lo hicieron en (</w:t>
      </w:r>
      <w:r w:rsidRPr="006F285A">
        <w:rPr>
          <w:b w:val="0"/>
          <w:color w:val="auto"/>
          <w:szCs w:val="24"/>
        </w:rPr>
        <w:noBreakHyphen/>
        <w:t xml:space="preserve">)0.3% con relación a noviembre de 2018. </w:t>
      </w:r>
    </w:p>
    <w:p w14:paraId="05E360B5" w14:textId="77777777" w:rsidR="00516623" w:rsidRDefault="00516623" w:rsidP="00516623">
      <w:pPr>
        <w:pStyle w:val="bullet"/>
        <w:keepLines w:val="0"/>
        <w:spacing w:before="48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noviembre de 2019</w:t>
      </w:r>
    </w:p>
    <w:p w14:paraId="7F01A750" w14:textId="77777777" w:rsidR="00516623" w:rsidRPr="0082401B" w:rsidRDefault="00516623" w:rsidP="00516623">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516623" w14:paraId="5D17E4F5" w14:textId="77777777" w:rsidTr="00D10C8A">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7D7CA4AA" w14:textId="77777777" w:rsidR="00516623" w:rsidRPr="008F66F2" w:rsidRDefault="00516623" w:rsidP="00D10C8A">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31C610A9" w14:textId="77777777" w:rsidR="00516623" w:rsidRPr="008F66F2" w:rsidRDefault="00516623" w:rsidP="00D10C8A">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1679E376" w14:textId="77777777" w:rsidR="00516623" w:rsidRPr="008F66F2" w:rsidRDefault="00516623" w:rsidP="00D10C8A">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8</w:t>
            </w:r>
          </w:p>
        </w:tc>
      </w:tr>
      <w:tr w:rsidR="00516623" w:rsidRPr="00901570" w14:paraId="53A18DBC" w14:textId="77777777" w:rsidTr="00D10C8A">
        <w:trPr>
          <w:jc w:val="center"/>
        </w:trPr>
        <w:tc>
          <w:tcPr>
            <w:tcW w:w="2977" w:type="dxa"/>
            <w:tcBorders>
              <w:top w:val="single" w:sz="4" w:space="0" w:color="auto"/>
              <w:left w:val="double" w:sz="4" w:space="0" w:color="auto"/>
              <w:bottom w:val="nil"/>
              <w:right w:val="single" w:sz="4" w:space="0" w:color="000000"/>
            </w:tcBorders>
            <w:vAlign w:val="center"/>
            <w:hideMark/>
          </w:tcPr>
          <w:p w14:paraId="78B76298" w14:textId="77777777" w:rsidR="00516623" w:rsidRPr="00901570" w:rsidRDefault="00516623" w:rsidP="00D10C8A">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14:paraId="2E4E4806" w14:textId="77777777" w:rsidR="00516623" w:rsidRPr="007B22D2" w:rsidRDefault="00516623" w:rsidP="00D10C8A">
            <w:pPr>
              <w:pStyle w:val="p0"/>
              <w:spacing w:before="120"/>
              <w:ind w:right="818"/>
              <w:jc w:val="right"/>
              <w:rPr>
                <w:rFonts w:ascii="Arial" w:hAnsi="Arial"/>
                <w:b/>
                <w:color w:val="auto"/>
                <w:sz w:val="18"/>
              </w:rPr>
            </w:pPr>
            <w:r w:rsidRPr="007B22D2">
              <w:rPr>
                <w:rFonts w:ascii="Arial" w:hAnsi="Arial"/>
                <w:b/>
                <w:color w:val="auto"/>
                <w:sz w:val="18"/>
              </w:rPr>
              <w:t xml:space="preserve">  0.</w:t>
            </w:r>
            <w:r>
              <w:rPr>
                <w:rFonts w:ascii="Arial" w:hAnsi="Arial"/>
                <w:b/>
                <w:color w:val="auto"/>
                <w:sz w:val="18"/>
              </w:rPr>
              <w:t>1</w:t>
            </w:r>
          </w:p>
        </w:tc>
        <w:tc>
          <w:tcPr>
            <w:tcW w:w="2410" w:type="dxa"/>
            <w:tcBorders>
              <w:top w:val="single" w:sz="4" w:space="0" w:color="auto"/>
              <w:left w:val="single" w:sz="4" w:space="0" w:color="000000"/>
              <w:bottom w:val="nil"/>
              <w:right w:val="double" w:sz="4" w:space="0" w:color="auto"/>
            </w:tcBorders>
            <w:vAlign w:val="center"/>
            <w:hideMark/>
          </w:tcPr>
          <w:p w14:paraId="0C2DC9C0" w14:textId="77777777" w:rsidR="00516623" w:rsidRPr="007B22D2" w:rsidRDefault="00516623" w:rsidP="00D10C8A">
            <w:pPr>
              <w:pStyle w:val="p0"/>
              <w:spacing w:before="120"/>
              <w:ind w:right="1021"/>
              <w:jc w:val="right"/>
              <w:rPr>
                <w:rFonts w:ascii="Arial" w:hAnsi="Arial"/>
                <w:b/>
                <w:color w:val="auto"/>
                <w:sz w:val="18"/>
              </w:rPr>
            </w:pPr>
            <w:r w:rsidRPr="007B22D2">
              <w:rPr>
                <w:rFonts w:ascii="Arial" w:hAnsi="Arial"/>
                <w:b/>
                <w:color w:val="auto"/>
                <w:sz w:val="18"/>
              </w:rPr>
              <w:t>(-</w:t>
            </w:r>
            <w:proofErr w:type="gramStart"/>
            <w:r w:rsidRPr="007B22D2">
              <w:rPr>
                <w:rFonts w:ascii="Arial" w:hAnsi="Arial"/>
                <w:b/>
                <w:color w:val="auto"/>
                <w:sz w:val="18"/>
              </w:rPr>
              <w:t>)  0</w:t>
            </w:r>
            <w:proofErr w:type="gramEnd"/>
            <w:r w:rsidRPr="007B22D2">
              <w:rPr>
                <w:rFonts w:ascii="Arial" w:hAnsi="Arial"/>
                <w:b/>
                <w:color w:val="auto"/>
                <w:sz w:val="18"/>
              </w:rPr>
              <w:t>.</w:t>
            </w:r>
            <w:r>
              <w:rPr>
                <w:rFonts w:ascii="Arial" w:hAnsi="Arial"/>
                <w:b/>
                <w:color w:val="auto"/>
                <w:sz w:val="18"/>
              </w:rPr>
              <w:t>8</w:t>
            </w:r>
          </w:p>
        </w:tc>
      </w:tr>
      <w:tr w:rsidR="00516623" w:rsidRPr="00901570" w14:paraId="1143D76F" w14:textId="77777777" w:rsidTr="00D10C8A">
        <w:trPr>
          <w:jc w:val="center"/>
        </w:trPr>
        <w:tc>
          <w:tcPr>
            <w:tcW w:w="2977" w:type="dxa"/>
            <w:tcBorders>
              <w:top w:val="nil"/>
              <w:left w:val="double" w:sz="4" w:space="0" w:color="auto"/>
              <w:bottom w:val="nil"/>
              <w:right w:val="single" w:sz="4" w:space="0" w:color="000000"/>
            </w:tcBorders>
            <w:vAlign w:val="center"/>
            <w:hideMark/>
          </w:tcPr>
          <w:p w14:paraId="77C74DF8" w14:textId="77777777" w:rsidR="00516623" w:rsidRPr="00901570" w:rsidRDefault="00516623" w:rsidP="00D10C8A">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340719C8" w14:textId="77777777" w:rsidR="00516623" w:rsidRPr="007B22D2" w:rsidRDefault="00516623" w:rsidP="00D10C8A">
            <w:pPr>
              <w:pStyle w:val="p0"/>
              <w:spacing w:before="120"/>
              <w:ind w:right="818"/>
              <w:jc w:val="right"/>
              <w:rPr>
                <w:rFonts w:ascii="Arial" w:hAnsi="Arial"/>
                <w:color w:val="auto"/>
                <w:sz w:val="18"/>
              </w:rPr>
            </w:pPr>
            <w:r w:rsidRPr="007B22D2">
              <w:rPr>
                <w:rFonts w:ascii="Arial" w:hAnsi="Arial"/>
                <w:color w:val="auto"/>
                <w:sz w:val="18"/>
              </w:rPr>
              <w:t>(-</w:t>
            </w:r>
            <w:proofErr w:type="gramStart"/>
            <w:r w:rsidRPr="007B22D2">
              <w:rPr>
                <w:rFonts w:ascii="Arial" w:hAnsi="Arial"/>
                <w:color w:val="auto"/>
                <w:sz w:val="18"/>
              </w:rPr>
              <w:t xml:space="preserve">)  </w:t>
            </w:r>
            <w:r>
              <w:rPr>
                <w:rFonts w:ascii="Arial" w:hAnsi="Arial"/>
                <w:color w:val="auto"/>
                <w:sz w:val="18"/>
              </w:rPr>
              <w:t>2</w:t>
            </w:r>
            <w:proofErr w:type="gramEnd"/>
            <w:r w:rsidRPr="007B22D2">
              <w:rPr>
                <w:rFonts w:ascii="Arial" w:hAnsi="Arial"/>
                <w:color w:val="auto"/>
                <w:sz w:val="18"/>
              </w:rPr>
              <w:t>.</w:t>
            </w:r>
            <w:r>
              <w:rPr>
                <w:rFonts w:ascii="Arial" w:hAnsi="Arial"/>
                <w:color w:val="auto"/>
                <w:sz w:val="18"/>
              </w:rPr>
              <w:t>0</w:t>
            </w:r>
          </w:p>
        </w:tc>
        <w:tc>
          <w:tcPr>
            <w:tcW w:w="2410" w:type="dxa"/>
            <w:tcBorders>
              <w:top w:val="nil"/>
              <w:left w:val="single" w:sz="4" w:space="0" w:color="000000"/>
              <w:bottom w:val="nil"/>
              <w:right w:val="double" w:sz="4" w:space="0" w:color="auto"/>
            </w:tcBorders>
            <w:vAlign w:val="center"/>
            <w:hideMark/>
          </w:tcPr>
          <w:p w14:paraId="0F74DCB5" w14:textId="77777777" w:rsidR="00516623" w:rsidRPr="007B22D2" w:rsidRDefault="00516623" w:rsidP="00D10C8A">
            <w:pPr>
              <w:pStyle w:val="p0"/>
              <w:spacing w:before="120"/>
              <w:ind w:right="1021"/>
              <w:jc w:val="right"/>
              <w:rPr>
                <w:rFonts w:ascii="Arial" w:hAnsi="Arial"/>
                <w:color w:val="auto"/>
                <w:sz w:val="18"/>
              </w:rPr>
            </w:pPr>
            <w:r>
              <w:rPr>
                <w:rFonts w:ascii="Arial" w:hAnsi="Arial"/>
                <w:color w:val="auto"/>
                <w:sz w:val="18"/>
              </w:rPr>
              <w:t>(-</w:t>
            </w:r>
            <w:proofErr w:type="gramStart"/>
            <w:r>
              <w:rPr>
                <w:rFonts w:ascii="Arial" w:hAnsi="Arial"/>
                <w:color w:val="auto"/>
                <w:sz w:val="18"/>
              </w:rPr>
              <w:t>)  2</w:t>
            </w:r>
            <w:proofErr w:type="gramEnd"/>
            <w:r w:rsidRPr="007B22D2">
              <w:rPr>
                <w:rFonts w:ascii="Arial" w:hAnsi="Arial"/>
                <w:color w:val="auto"/>
                <w:sz w:val="18"/>
              </w:rPr>
              <w:t>.</w:t>
            </w:r>
            <w:r>
              <w:rPr>
                <w:rFonts w:ascii="Arial" w:hAnsi="Arial"/>
                <w:color w:val="auto"/>
                <w:sz w:val="18"/>
              </w:rPr>
              <w:t>4</w:t>
            </w:r>
          </w:p>
        </w:tc>
      </w:tr>
      <w:tr w:rsidR="00516623" w:rsidRPr="00901570" w14:paraId="6463E70D" w14:textId="77777777" w:rsidTr="00D10C8A">
        <w:trPr>
          <w:jc w:val="center"/>
        </w:trPr>
        <w:tc>
          <w:tcPr>
            <w:tcW w:w="2977" w:type="dxa"/>
            <w:tcBorders>
              <w:top w:val="nil"/>
              <w:left w:val="double" w:sz="4" w:space="0" w:color="auto"/>
              <w:bottom w:val="nil"/>
              <w:right w:val="single" w:sz="4" w:space="0" w:color="000000"/>
            </w:tcBorders>
            <w:vAlign w:val="center"/>
            <w:hideMark/>
          </w:tcPr>
          <w:p w14:paraId="72AC8255" w14:textId="77777777" w:rsidR="00516623" w:rsidRPr="00901570" w:rsidRDefault="00516623" w:rsidP="00D10C8A">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5F10DBE1" w14:textId="77777777" w:rsidR="00516623" w:rsidRPr="007B22D2" w:rsidRDefault="00516623" w:rsidP="00D10C8A">
            <w:pPr>
              <w:pStyle w:val="p0"/>
              <w:spacing w:before="120"/>
              <w:ind w:right="818"/>
              <w:jc w:val="right"/>
              <w:rPr>
                <w:rFonts w:ascii="Arial" w:hAnsi="Arial"/>
                <w:color w:val="auto"/>
                <w:sz w:val="18"/>
              </w:rPr>
            </w:pPr>
            <w:r w:rsidRPr="007B22D2">
              <w:rPr>
                <w:rFonts w:ascii="Arial" w:hAnsi="Arial"/>
                <w:color w:val="auto"/>
                <w:sz w:val="18"/>
              </w:rPr>
              <w:t xml:space="preserve">  </w:t>
            </w:r>
            <w:r>
              <w:rPr>
                <w:rFonts w:ascii="Arial" w:hAnsi="Arial"/>
                <w:color w:val="auto"/>
                <w:sz w:val="18"/>
              </w:rPr>
              <w:t>0</w:t>
            </w:r>
            <w:r w:rsidRPr="007B22D2">
              <w:rPr>
                <w:rFonts w:ascii="Arial" w:hAnsi="Arial"/>
                <w:color w:val="auto"/>
                <w:sz w:val="18"/>
              </w:rPr>
              <w:t>.</w:t>
            </w:r>
            <w:r>
              <w:rPr>
                <w:rFonts w:ascii="Arial" w:hAnsi="Arial"/>
                <w:color w:val="auto"/>
                <w:sz w:val="18"/>
              </w:rPr>
              <w:t>8</w:t>
            </w:r>
          </w:p>
        </w:tc>
        <w:tc>
          <w:tcPr>
            <w:tcW w:w="2410" w:type="dxa"/>
            <w:tcBorders>
              <w:top w:val="nil"/>
              <w:left w:val="single" w:sz="4" w:space="0" w:color="000000"/>
              <w:bottom w:val="nil"/>
              <w:right w:val="double" w:sz="4" w:space="0" w:color="auto"/>
            </w:tcBorders>
            <w:vAlign w:val="center"/>
            <w:hideMark/>
          </w:tcPr>
          <w:p w14:paraId="24D0413F" w14:textId="77777777" w:rsidR="00516623" w:rsidRPr="007B22D2" w:rsidRDefault="00516623" w:rsidP="00D10C8A">
            <w:pPr>
              <w:pStyle w:val="p0"/>
              <w:spacing w:before="120"/>
              <w:ind w:right="1021"/>
              <w:jc w:val="right"/>
              <w:rPr>
                <w:rFonts w:ascii="Arial" w:hAnsi="Arial"/>
                <w:color w:val="auto"/>
                <w:sz w:val="18"/>
              </w:rPr>
            </w:pPr>
            <w:r w:rsidRPr="007B22D2">
              <w:rPr>
                <w:rFonts w:ascii="Arial" w:hAnsi="Arial"/>
                <w:color w:val="auto"/>
                <w:sz w:val="18"/>
              </w:rPr>
              <w:t>(-</w:t>
            </w:r>
            <w:proofErr w:type="gramStart"/>
            <w:r w:rsidRPr="007B22D2">
              <w:rPr>
                <w:rFonts w:ascii="Arial" w:hAnsi="Arial"/>
                <w:color w:val="auto"/>
                <w:sz w:val="18"/>
              </w:rPr>
              <w:t xml:space="preserve">)  </w:t>
            </w:r>
            <w:r>
              <w:rPr>
                <w:rFonts w:ascii="Arial" w:hAnsi="Arial"/>
                <w:color w:val="auto"/>
                <w:sz w:val="18"/>
              </w:rPr>
              <w:t>1</w:t>
            </w:r>
            <w:proofErr w:type="gramEnd"/>
            <w:r w:rsidRPr="007B22D2">
              <w:rPr>
                <w:rFonts w:ascii="Arial" w:hAnsi="Arial"/>
                <w:color w:val="auto"/>
                <w:sz w:val="18"/>
              </w:rPr>
              <w:t>.</w:t>
            </w:r>
            <w:r>
              <w:rPr>
                <w:rFonts w:ascii="Arial" w:hAnsi="Arial"/>
                <w:color w:val="auto"/>
                <w:sz w:val="18"/>
              </w:rPr>
              <w:t>7</w:t>
            </w:r>
          </w:p>
        </w:tc>
      </w:tr>
      <w:tr w:rsidR="00516623" w:rsidRPr="00901570" w14:paraId="50B8C13A" w14:textId="77777777" w:rsidTr="00D10C8A">
        <w:trPr>
          <w:jc w:val="center"/>
        </w:trPr>
        <w:tc>
          <w:tcPr>
            <w:tcW w:w="2977" w:type="dxa"/>
            <w:tcBorders>
              <w:top w:val="nil"/>
              <w:left w:val="double" w:sz="4" w:space="0" w:color="auto"/>
              <w:bottom w:val="double" w:sz="4" w:space="0" w:color="auto"/>
              <w:right w:val="single" w:sz="4" w:space="0" w:color="000000"/>
            </w:tcBorders>
            <w:vAlign w:val="center"/>
            <w:hideMark/>
          </w:tcPr>
          <w:p w14:paraId="67A3BD67" w14:textId="77777777" w:rsidR="00516623" w:rsidRPr="00901570" w:rsidRDefault="00516623" w:rsidP="00D10C8A">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0FA616E6" w14:textId="77777777" w:rsidR="00516623" w:rsidRPr="007B22D2" w:rsidRDefault="00516623" w:rsidP="00D10C8A">
            <w:pPr>
              <w:pStyle w:val="p0"/>
              <w:spacing w:before="120" w:after="120"/>
              <w:ind w:right="818"/>
              <w:jc w:val="right"/>
              <w:rPr>
                <w:rFonts w:ascii="Arial" w:hAnsi="Arial"/>
                <w:color w:val="auto"/>
                <w:sz w:val="18"/>
              </w:rPr>
            </w:pPr>
            <w:r w:rsidRPr="007B22D2">
              <w:rPr>
                <w:rFonts w:ascii="Arial" w:hAnsi="Arial"/>
                <w:color w:val="auto"/>
                <w:sz w:val="18"/>
              </w:rPr>
              <w:t xml:space="preserve">  0.</w:t>
            </w:r>
            <w:r>
              <w:rPr>
                <w:rFonts w:ascii="Arial" w:hAnsi="Arial"/>
                <w:color w:val="auto"/>
                <w:sz w:val="18"/>
              </w:rPr>
              <w:t>0</w:t>
            </w:r>
          </w:p>
        </w:tc>
        <w:tc>
          <w:tcPr>
            <w:tcW w:w="2410" w:type="dxa"/>
            <w:tcBorders>
              <w:top w:val="nil"/>
              <w:left w:val="single" w:sz="4" w:space="0" w:color="000000"/>
              <w:bottom w:val="double" w:sz="4" w:space="0" w:color="auto"/>
              <w:right w:val="double" w:sz="4" w:space="0" w:color="auto"/>
            </w:tcBorders>
            <w:vAlign w:val="center"/>
            <w:hideMark/>
          </w:tcPr>
          <w:p w14:paraId="71C94068" w14:textId="77777777" w:rsidR="00516623" w:rsidRPr="007B22D2" w:rsidRDefault="00516623" w:rsidP="00D10C8A">
            <w:pPr>
              <w:pStyle w:val="p0"/>
              <w:spacing w:before="120" w:after="120"/>
              <w:ind w:right="1021"/>
              <w:jc w:val="right"/>
              <w:rPr>
                <w:rFonts w:ascii="Arial" w:hAnsi="Arial"/>
                <w:color w:val="auto"/>
                <w:sz w:val="18"/>
              </w:rPr>
            </w:pPr>
            <w:r w:rsidRPr="007B22D2">
              <w:rPr>
                <w:rFonts w:ascii="Arial" w:hAnsi="Arial"/>
                <w:color w:val="auto"/>
                <w:sz w:val="18"/>
              </w:rPr>
              <w:t>(-</w:t>
            </w:r>
            <w:proofErr w:type="gramStart"/>
            <w:r w:rsidRPr="007B22D2">
              <w:rPr>
                <w:rFonts w:ascii="Arial" w:hAnsi="Arial"/>
                <w:color w:val="auto"/>
                <w:sz w:val="18"/>
              </w:rPr>
              <w:t>)  0</w:t>
            </w:r>
            <w:proofErr w:type="gramEnd"/>
            <w:r w:rsidRPr="007B22D2">
              <w:rPr>
                <w:rFonts w:ascii="Arial" w:hAnsi="Arial"/>
                <w:color w:val="auto"/>
                <w:sz w:val="18"/>
              </w:rPr>
              <w:t>.</w:t>
            </w:r>
            <w:r>
              <w:rPr>
                <w:rFonts w:ascii="Arial" w:hAnsi="Arial"/>
                <w:color w:val="auto"/>
                <w:sz w:val="18"/>
              </w:rPr>
              <w:t>3</w:t>
            </w:r>
          </w:p>
        </w:tc>
      </w:tr>
    </w:tbl>
    <w:p w14:paraId="5AD9BA31" w14:textId="77777777" w:rsidR="00516623" w:rsidRPr="0082401B" w:rsidRDefault="00516623" w:rsidP="00D26395">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6DC8C7C2" w14:textId="77777777" w:rsidR="00516623" w:rsidRPr="0082401B" w:rsidRDefault="00516623" w:rsidP="00D26395">
      <w:pPr>
        <w:tabs>
          <w:tab w:val="num" w:pos="1843"/>
        </w:tabs>
        <w:spacing w:after="240"/>
        <w:ind w:left="709" w:right="729"/>
        <w:rPr>
          <w:lang w:val="es-MX"/>
        </w:rPr>
      </w:pPr>
      <w:r w:rsidRPr="0082401B">
        <w:rPr>
          <w:sz w:val="16"/>
          <w:szCs w:val="16"/>
        </w:rPr>
        <w:t>Fuente: INEGI.</w:t>
      </w:r>
    </w:p>
    <w:p w14:paraId="4AA45523" w14:textId="77777777" w:rsidR="00516623" w:rsidRDefault="00516623" w:rsidP="00516623">
      <w:pPr>
        <w:jc w:val="center"/>
        <w:rPr>
          <w:b/>
          <w:color w:val="000000"/>
        </w:rPr>
      </w:pPr>
    </w:p>
    <w:p w14:paraId="1D62FCB4" w14:textId="77777777" w:rsidR="00516623" w:rsidRDefault="00516623" w:rsidP="00516623">
      <w:pPr>
        <w:jc w:val="center"/>
        <w:rPr>
          <w:b/>
          <w:color w:val="000000"/>
        </w:rPr>
      </w:pPr>
    </w:p>
    <w:p w14:paraId="798548D3" w14:textId="77777777" w:rsidR="00516623" w:rsidRDefault="00516623" w:rsidP="00516623">
      <w:pPr>
        <w:jc w:val="center"/>
        <w:rPr>
          <w:b/>
          <w:color w:val="000000"/>
        </w:rPr>
      </w:pPr>
    </w:p>
    <w:p w14:paraId="0947B2C7" w14:textId="77777777" w:rsidR="00516623" w:rsidRDefault="00516623" w:rsidP="00516623">
      <w:pPr>
        <w:jc w:val="center"/>
        <w:rPr>
          <w:b/>
          <w:color w:val="000000"/>
        </w:rPr>
      </w:pPr>
      <w:r w:rsidRPr="003B1ACA">
        <w:rPr>
          <w:b/>
          <w:color w:val="000000"/>
        </w:rPr>
        <w:t>Se anexa Nota Técnica</w:t>
      </w:r>
    </w:p>
    <w:p w14:paraId="1EA233F8" w14:textId="77777777" w:rsidR="00516623" w:rsidRDefault="00516623" w:rsidP="00516623">
      <w:pPr>
        <w:pStyle w:val="p0"/>
        <w:jc w:val="center"/>
      </w:pPr>
    </w:p>
    <w:p w14:paraId="4FB062FF"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3CD2A96D"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78BA9DCD"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2A44AE32"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27DB7D39"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2A5FAB01"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33302127"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58749C33" w14:textId="77777777" w:rsidR="00516623"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0C9931DD" w14:textId="77777777" w:rsidR="00516623" w:rsidRPr="00745B1D" w:rsidRDefault="00516623" w:rsidP="00516623">
      <w:pPr>
        <w:pStyle w:val="NormalWeb"/>
        <w:spacing w:before="0" w:beforeAutospacing="0" w:after="0" w:afterAutospacing="0"/>
        <w:ind w:left="-426" w:right="-518"/>
        <w:contextualSpacing/>
        <w:jc w:val="center"/>
        <w:rPr>
          <w:rFonts w:ascii="Arial" w:hAnsi="Arial" w:cs="Arial"/>
          <w:sz w:val="22"/>
          <w:szCs w:val="22"/>
        </w:rPr>
      </w:pPr>
    </w:p>
    <w:p w14:paraId="6C1A9CE3" w14:textId="77777777" w:rsidR="00516623" w:rsidRPr="00AE4A42" w:rsidRDefault="00516623" w:rsidP="00516623">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Para consultas de medios y periodistas, contactar a: </w:t>
      </w:r>
      <w:hyperlink r:id="rId9" w:history="1">
        <w:r w:rsidRPr="00AE4A42">
          <w:rPr>
            <w:rStyle w:val="Hipervnculo"/>
            <w:rFonts w:ascii="Arial" w:hAnsi="Arial" w:cs="Arial"/>
            <w:sz w:val="22"/>
            <w:szCs w:val="22"/>
          </w:rPr>
          <w:t>comunicacionsocial@inegi.org.mx</w:t>
        </w:r>
      </w:hyperlink>
      <w:r w:rsidRPr="00AE4A42">
        <w:rPr>
          <w:rFonts w:ascii="Arial" w:hAnsi="Arial" w:cs="Arial"/>
          <w:sz w:val="22"/>
          <w:szCs w:val="22"/>
        </w:rPr>
        <w:t xml:space="preserve"> </w:t>
      </w:r>
    </w:p>
    <w:p w14:paraId="540193BE" w14:textId="77777777" w:rsidR="00516623" w:rsidRPr="00AE4A42" w:rsidRDefault="00516623" w:rsidP="00516623">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o llamar al teléfono (55) 52-78-10-00, </w:t>
      </w:r>
      <w:proofErr w:type="spellStart"/>
      <w:r w:rsidRPr="00AE4A42">
        <w:rPr>
          <w:rFonts w:ascii="Arial" w:hAnsi="Arial" w:cs="Arial"/>
          <w:sz w:val="22"/>
          <w:szCs w:val="22"/>
        </w:rPr>
        <w:t>exts</w:t>
      </w:r>
      <w:proofErr w:type="spellEnd"/>
      <w:r w:rsidRPr="00AE4A42">
        <w:rPr>
          <w:rFonts w:ascii="Arial" w:hAnsi="Arial" w:cs="Arial"/>
          <w:sz w:val="22"/>
          <w:szCs w:val="22"/>
        </w:rPr>
        <w:t>. 1134, 1260 y 1241.</w:t>
      </w:r>
    </w:p>
    <w:p w14:paraId="5B8DD3C9" w14:textId="77777777" w:rsidR="00516623" w:rsidRPr="00AE4A42" w:rsidRDefault="00516623" w:rsidP="00516623">
      <w:pPr>
        <w:ind w:left="-426" w:right="-518"/>
        <w:contextualSpacing/>
        <w:jc w:val="center"/>
        <w:rPr>
          <w:sz w:val="22"/>
          <w:szCs w:val="22"/>
        </w:rPr>
      </w:pPr>
    </w:p>
    <w:p w14:paraId="6B02B835" w14:textId="77777777" w:rsidR="00516623" w:rsidRPr="00AE4A42" w:rsidRDefault="00516623" w:rsidP="00516623">
      <w:pPr>
        <w:ind w:left="-426" w:right="-518"/>
        <w:contextualSpacing/>
        <w:jc w:val="center"/>
        <w:rPr>
          <w:sz w:val="22"/>
          <w:szCs w:val="22"/>
        </w:rPr>
      </w:pPr>
      <w:r w:rsidRPr="00AE4A42">
        <w:rPr>
          <w:sz w:val="22"/>
          <w:szCs w:val="22"/>
        </w:rPr>
        <w:t xml:space="preserve">Dirección de Atención a Medios / Dirección General Adjunta de Comunicación </w:t>
      </w:r>
    </w:p>
    <w:p w14:paraId="6261C290" w14:textId="77777777" w:rsidR="00516623" w:rsidRPr="006F4700" w:rsidRDefault="00516623" w:rsidP="00516623">
      <w:pPr>
        <w:ind w:left="-426" w:right="-518"/>
        <w:contextualSpacing/>
        <w:jc w:val="center"/>
        <w:rPr>
          <w:sz w:val="22"/>
          <w:szCs w:val="22"/>
        </w:rPr>
      </w:pPr>
    </w:p>
    <w:p w14:paraId="5B71EB26" w14:textId="77777777" w:rsidR="00516623" w:rsidRPr="003C537A" w:rsidRDefault="00516623" w:rsidP="00516623">
      <w:pPr>
        <w:ind w:left="-425" w:right="-516"/>
        <w:contextualSpacing/>
        <w:jc w:val="center"/>
        <w:rPr>
          <w:strike/>
          <w:sz w:val="8"/>
          <w:szCs w:val="8"/>
        </w:rPr>
      </w:pPr>
      <w:r w:rsidRPr="00FF1218">
        <w:rPr>
          <w:noProof/>
          <w:lang w:val="es-MX" w:eastAsia="es-MX"/>
        </w:rPr>
        <w:drawing>
          <wp:inline distT="0" distB="0" distL="0" distR="0" wp14:anchorId="3947B81B" wp14:editId="0F6EBCE7">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519C46" wp14:editId="23E4DF4E">
            <wp:extent cx="365760" cy="365760"/>
            <wp:effectExtent l="0" t="0" r="0" b="0"/>
            <wp:docPr id="2" name="Imagen 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577DD1" wp14:editId="1D828389">
            <wp:extent cx="365760" cy="365760"/>
            <wp:effectExtent l="0" t="0" r="0" b="0"/>
            <wp:docPr id="3" name="Imagen 3"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2FCD29F" wp14:editId="2828EBEA">
            <wp:extent cx="365760" cy="365760"/>
            <wp:effectExtent l="0" t="0" r="0" b="0"/>
            <wp:docPr id="7" name="Imagen 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4EF34CB" wp14:editId="27C91FD9">
            <wp:extent cx="2286000" cy="274320"/>
            <wp:effectExtent l="0" t="0" r="0" b="0"/>
            <wp:docPr id="12" name="Imagen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C56ECAB" w14:textId="77777777" w:rsidR="00516623" w:rsidRDefault="00516623" w:rsidP="00516623">
      <w:pPr>
        <w:pStyle w:val="NormalWeb"/>
        <w:spacing w:before="0" w:beforeAutospacing="0" w:after="0" w:afterAutospacing="0"/>
        <w:ind w:left="-426" w:right="-518"/>
        <w:contextualSpacing/>
        <w:jc w:val="center"/>
        <w:rPr>
          <w:rFonts w:ascii="Arial" w:hAnsi="Arial" w:cs="Arial"/>
          <w:sz w:val="18"/>
          <w:szCs w:val="18"/>
        </w:rPr>
      </w:pPr>
    </w:p>
    <w:p w14:paraId="6DC22A1E" w14:textId="77777777" w:rsidR="00516623" w:rsidRPr="00157C43" w:rsidRDefault="00516623" w:rsidP="00516623">
      <w:pPr>
        <w:pStyle w:val="bullet"/>
        <w:tabs>
          <w:tab w:val="left" w:pos="8789"/>
        </w:tabs>
        <w:spacing w:before="0"/>
        <w:ind w:left="0" w:right="51" w:firstLine="0"/>
        <w:jc w:val="center"/>
        <w:rPr>
          <w:rFonts w:cs="Arial"/>
          <w:szCs w:val="24"/>
        </w:rPr>
        <w:sectPr w:rsidR="00516623"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4CD6C479" w14:textId="77777777" w:rsidR="00516623" w:rsidRDefault="00516623" w:rsidP="00516623">
      <w:pPr>
        <w:tabs>
          <w:tab w:val="left" w:pos="8789"/>
        </w:tabs>
        <w:ind w:right="51"/>
        <w:jc w:val="center"/>
      </w:pPr>
      <w:r w:rsidRPr="001F1169">
        <w:lastRenderedPageBreak/>
        <w:t xml:space="preserve"> </w:t>
      </w:r>
      <w:r>
        <w:t xml:space="preserve"> </w:t>
      </w:r>
    </w:p>
    <w:p w14:paraId="663C2E4C" w14:textId="77777777" w:rsidR="00516623" w:rsidRDefault="00516623" w:rsidP="00516623">
      <w:pPr>
        <w:tabs>
          <w:tab w:val="left" w:pos="8789"/>
        </w:tabs>
        <w:ind w:right="51"/>
        <w:jc w:val="center"/>
        <w:rPr>
          <w:b/>
          <w:sz w:val="28"/>
          <w:szCs w:val="28"/>
        </w:rPr>
      </w:pPr>
      <w:r>
        <w:t xml:space="preserve"> </w:t>
      </w:r>
      <w:r w:rsidRPr="00BF3D60">
        <w:rPr>
          <w:b/>
          <w:sz w:val="28"/>
          <w:szCs w:val="28"/>
        </w:rPr>
        <w:t>NOTA TÉCNICA</w:t>
      </w:r>
    </w:p>
    <w:p w14:paraId="2DC8F95F" w14:textId="77777777" w:rsidR="00E463F2" w:rsidRPr="00AE33CA" w:rsidRDefault="00E463F2" w:rsidP="0082401B">
      <w:pPr>
        <w:pStyle w:val="Profesin"/>
        <w:outlineLvl w:val="0"/>
        <w:rPr>
          <w:sz w:val="20"/>
          <w:szCs w:val="20"/>
          <w:lang w:val="es-MX"/>
        </w:rPr>
      </w:pPr>
    </w:p>
    <w:p w14:paraId="12136A3C" w14:textId="77777777" w:rsidR="0082401B" w:rsidRDefault="0082401B" w:rsidP="0082401B">
      <w:pPr>
        <w:pStyle w:val="Profesin"/>
        <w:outlineLvl w:val="0"/>
        <w:rPr>
          <w:lang w:val="es-MX"/>
        </w:rPr>
      </w:pPr>
      <w:r>
        <w:rPr>
          <w:lang w:val="es-MX"/>
        </w:rPr>
        <w:t>INDICADOR GLOBAL DE LA ACTIVIDAD ECONÓMICA</w:t>
      </w:r>
      <w:r w:rsidR="00524FC0" w:rsidRPr="00757C3A">
        <w:rPr>
          <w:szCs w:val="22"/>
          <w:vertAlign w:val="superscript"/>
        </w:rPr>
        <w:footnoteReference w:id="4"/>
      </w:r>
    </w:p>
    <w:p w14:paraId="0DDF4688" w14:textId="77777777" w:rsidR="0082401B" w:rsidRDefault="0082401B" w:rsidP="0082401B">
      <w:pPr>
        <w:jc w:val="center"/>
        <w:rPr>
          <w:b/>
          <w:spacing w:val="25"/>
          <w:sz w:val="26"/>
          <w:lang w:val="es-MX"/>
        </w:rPr>
      </w:pPr>
      <w:r>
        <w:rPr>
          <w:b/>
          <w:spacing w:val="25"/>
          <w:sz w:val="26"/>
          <w:lang w:val="es-MX"/>
        </w:rPr>
        <w:t xml:space="preserve">DURANTE </w:t>
      </w:r>
      <w:r w:rsidR="0010113A">
        <w:rPr>
          <w:b/>
          <w:spacing w:val="25"/>
          <w:sz w:val="26"/>
          <w:lang w:val="es-MX"/>
        </w:rPr>
        <w:t>N</w:t>
      </w:r>
      <w:r w:rsidR="00CD7642">
        <w:rPr>
          <w:b/>
          <w:spacing w:val="25"/>
          <w:sz w:val="26"/>
          <w:lang w:val="es-MX"/>
        </w:rPr>
        <w:t>O</w:t>
      </w:r>
      <w:r w:rsidR="0010113A">
        <w:rPr>
          <w:b/>
          <w:spacing w:val="25"/>
          <w:sz w:val="26"/>
          <w:lang w:val="es-MX"/>
        </w:rPr>
        <w:t>VIEM</w:t>
      </w:r>
      <w:r w:rsidR="009E155E">
        <w:rPr>
          <w:b/>
          <w:spacing w:val="25"/>
          <w:sz w:val="26"/>
          <w:lang w:val="es-MX"/>
        </w:rPr>
        <w:t>BRE</w:t>
      </w:r>
      <w:r w:rsidR="00662155">
        <w:rPr>
          <w:b/>
          <w:spacing w:val="25"/>
          <w:sz w:val="26"/>
          <w:lang w:val="es-MX"/>
        </w:rPr>
        <w:t xml:space="preserve"> DE 201</w:t>
      </w:r>
      <w:r w:rsidR="00387C8E">
        <w:rPr>
          <w:b/>
          <w:spacing w:val="25"/>
          <w:sz w:val="26"/>
          <w:lang w:val="es-MX"/>
        </w:rPr>
        <w:t>9</w:t>
      </w:r>
    </w:p>
    <w:p w14:paraId="49A194DD" w14:textId="77777777" w:rsidR="0082401B" w:rsidRDefault="0082401B" w:rsidP="0082401B">
      <w:pPr>
        <w:jc w:val="center"/>
        <w:rPr>
          <w:b/>
          <w:spacing w:val="25"/>
          <w:sz w:val="26"/>
          <w:lang w:val="es-MX"/>
        </w:rPr>
      </w:pPr>
      <w:r>
        <w:rPr>
          <w:b/>
          <w:spacing w:val="25"/>
          <w:sz w:val="26"/>
          <w:lang w:val="es-MX"/>
        </w:rPr>
        <w:t>(</w:t>
      </w:r>
      <w:r>
        <w:rPr>
          <w:b/>
          <w:i/>
          <w:spacing w:val="25"/>
          <w:sz w:val="26"/>
          <w:lang w:val="es-MX"/>
        </w:rPr>
        <w:t>Cifras</w:t>
      </w:r>
      <w:r w:rsidRPr="00937212">
        <w:rPr>
          <w:b/>
          <w:i/>
          <w:spacing w:val="25"/>
          <w:sz w:val="26"/>
          <w:lang w:val="es-MX"/>
        </w:rPr>
        <w:t xml:space="preserve"> desestacionalizadas</w:t>
      </w:r>
      <w:r>
        <w:rPr>
          <w:b/>
          <w:spacing w:val="25"/>
          <w:sz w:val="26"/>
          <w:lang w:val="es-MX"/>
        </w:rPr>
        <w:t>)</w:t>
      </w:r>
    </w:p>
    <w:p w14:paraId="56D8CABC" w14:textId="77777777" w:rsidR="000A06B1" w:rsidRDefault="000A06B1" w:rsidP="00525C4D">
      <w:pPr>
        <w:spacing w:before="120"/>
        <w:rPr>
          <w:sz w:val="28"/>
          <w:szCs w:val="28"/>
          <w:lang w:val="es-MX"/>
        </w:rPr>
      </w:pPr>
    </w:p>
    <w:p w14:paraId="55E67014" w14:textId="77777777"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715703">
        <w:rPr>
          <w:lang w:val="es-MX"/>
        </w:rPr>
        <w:t>aument</w:t>
      </w:r>
      <w:r w:rsidR="002B306E">
        <w:rPr>
          <w:lang w:val="es-MX"/>
        </w:rPr>
        <w:t xml:space="preserve">ó </w:t>
      </w:r>
      <w:r w:rsidR="00715703">
        <w:rPr>
          <w:lang w:val="es-MX"/>
        </w:rPr>
        <w:t>0.1</w:t>
      </w:r>
      <w:r w:rsidR="002B306E">
        <w:rPr>
          <w:lang w:val="es-MX"/>
        </w:rPr>
        <w:t>%</w:t>
      </w:r>
      <w:r w:rsidR="008E15B0">
        <w:rPr>
          <w:lang w:val="es-MX"/>
        </w:rPr>
        <w:t xml:space="preserve"> 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10113A">
        <w:rPr>
          <w:lang w:val="es-MX"/>
        </w:rPr>
        <w:t>penúltimo</w:t>
      </w:r>
      <w:r w:rsidR="000D0825">
        <w:rPr>
          <w:lang w:val="es-MX"/>
        </w:rPr>
        <w:t xml:space="preserve"> mes </w:t>
      </w:r>
      <w:r w:rsidR="00365D38">
        <w:rPr>
          <w:lang w:val="es-MX"/>
        </w:rPr>
        <w:t>de 201</w:t>
      </w:r>
      <w:r w:rsidR="00387C8E">
        <w:rPr>
          <w:lang w:val="es-MX"/>
        </w:rPr>
        <w:t>9</w:t>
      </w:r>
      <w:r>
        <w:t xml:space="preserve"> </w:t>
      </w:r>
      <w:r>
        <w:rPr>
          <w:lang w:val="es-MX"/>
        </w:rPr>
        <w:t xml:space="preserve">con relación al mes inmediato </w:t>
      </w:r>
      <w:r w:rsidR="00DA405C">
        <w:rPr>
          <w:lang w:val="es-MX"/>
        </w:rPr>
        <w:t>a</w:t>
      </w:r>
      <w:r>
        <w:rPr>
          <w:lang w:val="es-MX"/>
        </w:rPr>
        <w:t>nterior</w:t>
      </w:r>
      <w:r w:rsidR="00CE01E2">
        <w:rPr>
          <w:lang w:val="es-MX"/>
        </w:rPr>
        <w:t>.</w:t>
      </w:r>
    </w:p>
    <w:p w14:paraId="04668AAF" w14:textId="77777777" w:rsidR="001F1169" w:rsidRPr="003B6473" w:rsidRDefault="001F1169" w:rsidP="000A06B1">
      <w:pPr>
        <w:keepNext/>
        <w:keepLines/>
        <w:widowControl w:val="0"/>
        <w:spacing w:before="600"/>
        <w:jc w:val="center"/>
      </w:pPr>
      <w:r w:rsidRPr="00B90B81">
        <w:rPr>
          <w:color w:val="000000"/>
          <w:sz w:val="20"/>
          <w:lang w:val="es-MX"/>
        </w:rPr>
        <w:t>Gráfica 1</w:t>
      </w:r>
    </w:p>
    <w:p w14:paraId="6CE2FFC3" w14:textId="77777777"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7E0FD3">
        <w:rPr>
          <w:rFonts w:ascii="Arial" w:hAnsi="Arial" w:cs="Arial"/>
          <w:b/>
          <w:smallCaps/>
          <w:color w:val="auto"/>
          <w:sz w:val="22"/>
        </w:rPr>
        <w:t xml:space="preserve"> </w:t>
      </w:r>
      <w:r w:rsidR="0010113A">
        <w:rPr>
          <w:rFonts w:ascii="Arial" w:hAnsi="Arial" w:cs="Arial"/>
          <w:b/>
          <w:smallCaps/>
          <w:color w:val="auto"/>
          <w:sz w:val="22"/>
        </w:rPr>
        <w:t>n</w:t>
      </w:r>
      <w:r w:rsidR="00B54245">
        <w:rPr>
          <w:rFonts w:ascii="Arial" w:hAnsi="Arial" w:cs="Arial"/>
          <w:b/>
          <w:smallCaps/>
          <w:color w:val="auto"/>
          <w:sz w:val="22"/>
        </w:rPr>
        <w:t>o</w:t>
      </w:r>
      <w:r w:rsidR="0010113A">
        <w:rPr>
          <w:rFonts w:ascii="Arial" w:hAnsi="Arial" w:cs="Arial"/>
          <w:b/>
          <w:smallCaps/>
          <w:color w:val="auto"/>
          <w:sz w:val="22"/>
        </w:rPr>
        <w:t>viem</w:t>
      </w:r>
      <w:r w:rsidR="009E155E">
        <w:rPr>
          <w:rFonts w:ascii="Arial" w:hAnsi="Arial" w:cs="Arial"/>
          <w:b/>
          <w:smallCaps/>
          <w:color w:val="auto"/>
          <w:sz w:val="22"/>
        </w:rPr>
        <w:t>bre</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201</w:t>
      </w:r>
      <w:r w:rsidR="00387C8E">
        <w:rPr>
          <w:rFonts w:ascii="Arial" w:hAnsi="Arial" w:cs="Arial"/>
          <w:b/>
          <w:smallCaps/>
          <w:color w:val="000000"/>
          <w:sz w:val="22"/>
          <w:szCs w:val="22"/>
          <w:lang w:val="es-MX"/>
        </w:rPr>
        <w:t>9</w:t>
      </w:r>
    </w:p>
    <w:p w14:paraId="5B7AD1C7" w14:textId="77777777"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11CE958A" w14:textId="77777777"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3D4B853B" w14:textId="77777777" w:rsidR="001F1169" w:rsidRPr="000B1975" w:rsidRDefault="00B54A24"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69D781F9" wp14:editId="0BA22BDD">
            <wp:extent cx="4680000" cy="2472800"/>
            <wp:effectExtent l="0" t="0" r="25400" b="22860"/>
            <wp:docPr id="6" name="Gráfico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54307D2" w14:textId="77777777"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14:paraId="478FBF88" w14:textId="77777777" w:rsidR="003C2C17" w:rsidRPr="00AA768F" w:rsidRDefault="003C2C17" w:rsidP="003C2C17">
      <w:pPr>
        <w:rPr>
          <w:szCs w:val="16"/>
          <w:lang w:val="es-MX"/>
        </w:rPr>
      </w:pPr>
    </w:p>
    <w:p w14:paraId="70B39FBE" w14:textId="77777777" w:rsidR="002E5922" w:rsidRPr="002E5922" w:rsidRDefault="002E5922" w:rsidP="004C7EE1">
      <w:pPr>
        <w:spacing w:before="120"/>
        <w:rPr>
          <w:lang w:val="es-MX"/>
        </w:rPr>
      </w:pPr>
      <w:r w:rsidRPr="002E5922">
        <w:rPr>
          <w:lang w:val="es-MX"/>
        </w:rPr>
        <w:t>Por grandes grupos de actividades, las Secundarias crecieron 0.8%; en cambio, las Primarias descendieron (</w:t>
      </w:r>
      <w:r w:rsidRPr="002E5922">
        <w:rPr>
          <w:lang w:val="es-MX"/>
        </w:rPr>
        <w:noBreakHyphen/>
        <w:t>)2 por ciento</w:t>
      </w:r>
      <w:r w:rsidR="00EF0B47">
        <w:rPr>
          <w:lang w:val="es-MX"/>
        </w:rPr>
        <w:t>.</w:t>
      </w:r>
      <w:r w:rsidRPr="002E5922">
        <w:rPr>
          <w:lang w:val="es-MX"/>
        </w:rPr>
        <w:t xml:space="preserve"> </w:t>
      </w:r>
      <w:r w:rsidR="00EF0B47">
        <w:rPr>
          <w:lang w:val="es-MX"/>
        </w:rPr>
        <w:t>P</w:t>
      </w:r>
      <w:r w:rsidRPr="002E5922">
        <w:rPr>
          <w:lang w:val="es-MX"/>
        </w:rPr>
        <w:t>or su parte</w:t>
      </w:r>
      <w:r w:rsidR="00225920">
        <w:rPr>
          <w:lang w:val="es-MX"/>
        </w:rPr>
        <w:t>,</w:t>
      </w:r>
      <w:r w:rsidRPr="002E5922">
        <w:rPr>
          <w:lang w:val="es-MX"/>
        </w:rPr>
        <w:t xml:space="preserve"> las Terciarias no presentaron variación durante noviembre de 2019 frente al mes precedente.</w:t>
      </w:r>
    </w:p>
    <w:p w14:paraId="360425F9" w14:textId="77777777" w:rsidR="00022D8E" w:rsidRDefault="00270419" w:rsidP="005075DC">
      <w:pPr>
        <w:rPr>
          <w:color w:val="000000"/>
          <w:sz w:val="20"/>
          <w:lang w:val="es-MX"/>
        </w:rPr>
      </w:pPr>
      <w:r>
        <w:rPr>
          <w:color w:val="000000"/>
          <w:sz w:val="20"/>
          <w:lang w:val="es-MX"/>
        </w:rPr>
        <w:t xml:space="preserve"> </w:t>
      </w:r>
    </w:p>
    <w:p w14:paraId="5831954D" w14:textId="77777777" w:rsidR="002E5922" w:rsidRDefault="002E5922">
      <w:pPr>
        <w:jc w:val="left"/>
        <w:rPr>
          <w:color w:val="000000"/>
          <w:sz w:val="28"/>
          <w:szCs w:val="28"/>
          <w:lang w:val="es-MX"/>
        </w:rPr>
      </w:pPr>
      <w:r>
        <w:rPr>
          <w:color w:val="000000"/>
          <w:sz w:val="28"/>
          <w:szCs w:val="28"/>
          <w:lang w:val="es-MX"/>
        </w:rPr>
        <w:br w:type="page"/>
      </w:r>
    </w:p>
    <w:p w14:paraId="01398EA2" w14:textId="77777777" w:rsidR="001F1169" w:rsidRPr="00022D8E" w:rsidRDefault="001F1169" w:rsidP="00022D8E">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1821804C"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7E0FD3">
        <w:rPr>
          <w:b/>
          <w:smallCaps/>
          <w:color w:val="auto"/>
          <w:sz w:val="22"/>
          <w:szCs w:val="22"/>
        </w:rPr>
        <w:t xml:space="preserve"> </w:t>
      </w:r>
      <w:r w:rsidR="0010113A">
        <w:rPr>
          <w:b/>
          <w:smallCaps/>
          <w:color w:val="auto"/>
          <w:sz w:val="22"/>
          <w:szCs w:val="22"/>
        </w:rPr>
        <w:t>n</w:t>
      </w:r>
      <w:r w:rsidR="00B54245">
        <w:rPr>
          <w:b/>
          <w:smallCaps/>
          <w:color w:val="auto"/>
          <w:sz w:val="22"/>
          <w:szCs w:val="22"/>
        </w:rPr>
        <w:t>o</w:t>
      </w:r>
      <w:r w:rsidR="0010113A">
        <w:rPr>
          <w:b/>
          <w:smallCaps/>
          <w:color w:val="auto"/>
          <w:sz w:val="22"/>
          <w:szCs w:val="22"/>
        </w:rPr>
        <w:t>viem</w:t>
      </w:r>
      <w:r w:rsidR="009E155E">
        <w:rPr>
          <w:b/>
          <w:smallCaps/>
          <w:color w:val="auto"/>
          <w:sz w:val="22"/>
          <w:szCs w:val="22"/>
        </w:rPr>
        <w:t>bre</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201</w:t>
      </w:r>
      <w:r w:rsidR="00387C8E">
        <w:rPr>
          <w:b/>
          <w:smallCaps/>
          <w:color w:val="auto"/>
          <w:sz w:val="22"/>
          <w:szCs w:val="22"/>
        </w:rPr>
        <w:t>9</w:t>
      </w:r>
    </w:p>
    <w:p w14:paraId="584393DD"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338C69BA" w14:textId="77777777"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2CC0DE09" w14:textId="77777777" w:rsidR="001F1169" w:rsidRDefault="00B54A24" w:rsidP="001F1169">
      <w:pPr>
        <w:pStyle w:val="p0"/>
        <w:spacing w:before="0"/>
        <w:ind w:left="992" w:right="1021"/>
        <w:jc w:val="center"/>
      </w:pPr>
      <w:r>
        <w:rPr>
          <w:noProof/>
          <w:lang w:val="es-MX" w:eastAsia="es-MX"/>
        </w:rPr>
        <w:drawing>
          <wp:inline distT="0" distB="0" distL="0" distR="0" wp14:anchorId="6779812B" wp14:editId="3B5D3E31">
            <wp:extent cx="4680000" cy="2472375"/>
            <wp:effectExtent l="0" t="0" r="25400" b="23495"/>
            <wp:docPr id="10" name="Gráfico 1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E12D476" w14:textId="77777777"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14:paraId="336DA0DD" w14:textId="77777777" w:rsidR="00525C4D" w:rsidRDefault="00525C4D" w:rsidP="00525C4D">
      <w:pPr>
        <w:ind w:left="2127"/>
        <w:jc w:val="left"/>
        <w:rPr>
          <w:sz w:val="16"/>
        </w:rPr>
      </w:pPr>
    </w:p>
    <w:p w14:paraId="0FC10AA4" w14:textId="77777777" w:rsidR="001F1169" w:rsidRDefault="001F1169" w:rsidP="00525C4D">
      <w:pPr>
        <w:ind w:left="2127"/>
        <w:jc w:val="left"/>
        <w:rPr>
          <w:sz w:val="16"/>
        </w:rPr>
      </w:pPr>
    </w:p>
    <w:p w14:paraId="7BC1EC92" w14:textId="77777777" w:rsidR="001F1169" w:rsidRDefault="001F1169" w:rsidP="00B90B81">
      <w:pPr>
        <w:pStyle w:val="Textoindependiente"/>
        <w:spacing w:before="36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599DA9AE" w14:textId="77777777"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7E0FD3">
        <w:rPr>
          <w:b/>
          <w:smallCaps/>
          <w:color w:val="auto"/>
          <w:sz w:val="22"/>
          <w:szCs w:val="22"/>
        </w:rPr>
        <w:t xml:space="preserve"> </w:t>
      </w:r>
      <w:r w:rsidR="0010113A">
        <w:rPr>
          <w:b/>
          <w:smallCaps/>
          <w:color w:val="auto"/>
          <w:sz w:val="22"/>
          <w:szCs w:val="22"/>
        </w:rPr>
        <w:t>n</w:t>
      </w:r>
      <w:r w:rsidR="00B54245">
        <w:rPr>
          <w:b/>
          <w:smallCaps/>
          <w:color w:val="auto"/>
          <w:sz w:val="22"/>
          <w:szCs w:val="22"/>
        </w:rPr>
        <w:t>o</w:t>
      </w:r>
      <w:r w:rsidR="0010113A">
        <w:rPr>
          <w:b/>
          <w:smallCaps/>
          <w:color w:val="auto"/>
          <w:sz w:val="22"/>
          <w:szCs w:val="22"/>
        </w:rPr>
        <w:t>viem</w:t>
      </w:r>
      <w:r w:rsidR="009E155E">
        <w:rPr>
          <w:b/>
          <w:smallCaps/>
          <w:color w:val="auto"/>
          <w:sz w:val="22"/>
          <w:szCs w:val="22"/>
        </w:rPr>
        <w:t>bre</w:t>
      </w:r>
      <w:r w:rsidR="00936782">
        <w:rPr>
          <w:b/>
          <w:smallCaps/>
          <w:color w:val="auto"/>
          <w:sz w:val="22"/>
          <w:szCs w:val="22"/>
        </w:rPr>
        <w:t xml:space="preserve"> </w:t>
      </w:r>
      <w:r w:rsidR="00365D38">
        <w:rPr>
          <w:b/>
          <w:smallCaps/>
          <w:color w:val="auto"/>
          <w:sz w:val="22"/>
          <w:szCs w:val="22"/>
        </w:rPr>
        <w:t>de 201</w:t>
      </w:r>
      <w:r w:rsidR="00387C8E">
        <w:rPr>
          <w:b/>
          <w:smallCaps/>
          <w:color w:val="auto"/>
          <w:sz w:val="22"/>
          <w:szCs w:val="22"/>
        </w:rPr>
        <w:t>9</w:t>
      </w:r>
    </w:p>
    <w:p w14:paraId="10834FCE"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8995247" w14:textId="77777777" w:rsidR="001F1169" w:rsidRDefault="001F1169" w:rsidP="001F1169">
      <w:pPr>
        <w:pStyle w:val="p0"/>
        <w:spacing w:before="0"/>
        <w:ind w:left="992" w:right="1021"/>
        <w:jc w:val="cente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B54A24">
        <w:rPr>
          <w:noProof/>
          <w:lang w:val="es-MX" w:eastAsia="es-MX"/>
        </w:rPr>
        <w:drawing>
          <wp:inline distT="0" distB="0" distL="0" distR="0" wp14:anchorId="0327A30A" wp14:editId="22A663D1">
            <wp:extent cx="4680000" cy="2472375"/>
            <wp:effectExtent l="0" t="0" r="25400" b="23495"/>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CF6295C" w14:textId="77777777"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1A9D97C6" w14:textId="77777777" w:rsidR="001F1169" w:rsidRDefault="001F1169" w:rsidP="00525C4D">
      <w:pPr>
        <w:pStyle w:val="p0"/>
        <w:spacing w:before="0"/>
        <w:ind w:left="567"/>
        <w:jc w:val="center"/>
        <w:rPr>
          <w:rFonts w:ascii="Arial" w:hAnsi="Arial"/>
          <w:b/>
          <w:smallCaps/>
          <w:color w:val="auto"/>
          <w:sz w:val="22"/>
        </w:rPr>
      </w:pPr>
    </w:p>
    <w:p w14:paraId="2AD4493E" w14:textId="77777777" w:rsidR="002E5922" w:rsidRDefault="002E5922">
      <w:pPr>
        <w:jc w:val="left"/>
        <w:rPr>
          <w:b/>
          <w:smallCaps/>
          <w:snapToGrid w:val="0"/>
          <w:sz w:val="28"/>
          <w:szCs w:val="28"/>
        </w:rPr>
      </w:pPr>
      <w:r>
        <w:rPr>
          <w:b/>
          <w:smallCaps/>
          <w:sz w:val="28"/>
          <w:szCs w:val="28"/>
        </w:rPr>
        <w:br w:type="page"/>
      </w:r>
    </w:p>
    <w:p w14:paraId="2D0A9FD9" w14:textId="77777777" w:rsidR="001F1169" w:rsidRDefault="001F1169" w:rsidP="00B90B81">
      <w:pPr>
        <w:pStyle w:val="Textoindependiente"/>
        <w:keepNext/>
        <w:keepLines/>
        <w:spacing w:before="0"/>
        <w:ind w:right="51"/>
        <w:jc w:val="center"/>
        <w:rPr>
          <w:b/>
          <w:smallCaps/>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0BA316E3"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10113A">
        <w:rPr>
          <w:b/>
          <w:smallCaps/>
          <w:color w:val="auto"/>
          <w:sz w:val="22"/>
          <w:szCs w:val="22"/>
        </w:rPr>
        <w:t>n</w:t>
      </w:r>
      <w:r w:rsidR="00B54245">
        <w:rPr>
          <w:b/>
          <w:smallCaps/>
          <w:color w:val="auto"/>
          <w:sz w:val="22"/>
          <w:szCs w:val="22"/>
        </w:rPr>
        <w:t>o</w:t>
      </w:r>
      <w:r w:rsidR="0010113A">
        <w:rPr>
          <w:b/>
          <w:smallCaps/>
          <w:color w:val="auto"/>
          <w:sz w:val="22"/>
          <w:szCs w:val="22"/>
        </w:rPr>
        <w:t>viem</w:t>
      </w:r>
      <w:r w:rsidR="009E155E">
        <w:rPr>
          <w:b/>
          <w:smallCaps/>
          <w:color w:val="auto"/>
          <w:sz w:val="22"/>
          <w:szCs w:val="22"/>
        </w:rPr>
        <w:t>bre</w:t>
      </w:r>
      <w:r w:rsidR="00365D38">
        <w:rPr>
          <w:b/>
          <w:smallCaps/>
          <w:color w:val="auto"/>
          <w:sz w:val="22"/>
          <w:szCs w:val="22"/>
        </w:rPr>
        <w:t xml:space="preserve"> de 201</w:t>
      </w:r>
      <w:r w:rsidR="00387C8E">
        <w:rPr>
          <w:b/>
          <w:smallCaps/>
          <w:color w:val="auto"/>
          <w:sz w:val="22"/>
          <w:szCs w:val="22"/>
        </w:rPr>
        <w:t>9</w:t>
      </w:r>
    </w:p>
    <w:p w14:paraId="0AB1A7C8"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5C7E68AA" w14:textId="77777777" w:rsidR="001F1169" w:rsidRPr="00191064" w:rsidRDefault="001F1169" w:rsidP="00B90B81">
      <w:pPr>
        <w:pStyle w:val="n0"/>
        <w:keepLines w:val="0"/>
        <w:spacing w:before="0"/>
        <w:ind w:left="0" w:right="0" w:firstLine="0"/>
        <w:jc w:val="center"/>
        <w:rPr>
          <w:b/>
          <w:smallCaps/>
          <w:color w:val="auto"/>
          <w:sz w:val="22"/>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788226C2" w14:textId="77777777" w:rsidR="00EC70AF" w:rsidRDefault="002E5922" w:rsidP="00EC70AF">
      <w:pPr>
        <w:pStyle w:val="p02"/>
        <w:keepLines w:val="0"/>
        <w:widowControl w:val="0"/>
        <w:spacing w:before="0"/>
        <w:jc w:val="center"/>
        <w:rPr>
          <w:sz w:val="16"/>
          <w:szCs w:val="16"/>
        </w:rPr>
      </w:pPr>
      <w:r>
        <w:rPr>
          <w:noProof/>
          <w:lang w:val="es-MX" w:eastAsia="es-MX"/>
        </w:rPr>
        <w:drawing>
          <wp:inline distT="0" distB="0" distL="0" distR="0" wp14:anchorId="645010B5" wp14:editId="6E9DE10B">
            <wp:extent cx="4680000" cy="2475975"/>
            <wp:effectExtent l="0" t="0" r="25400" b="19685"/>
            <wp:docPr id="15" name="Gráfico 1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15DAFC" w14:textId="77777777" w:rsidR="001F1169" w:rsidRPr="00E42AC9" w:rsidRDefault="00EC70AF" w:rsidP="00EC70AF">
      <w:pPr>
        <w:pStyle w:val="p02"/>
        <w:keepLines w:val="0"/>
        <w:widowControl w:val="0"/>
        <w:spacing w:before="0"/>
        <w:ind w:left="708"/>
        <w:rPr>
          <w:rFonts w:ascii="Arial" w:hAnsi="Arial" w:cs="Arial"/>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14:paraId="457ECEC9" w14:textId="77777777" w:rsidR="001F1169" w:rsidRPr="001A449E" w:rsidRDefault="001F1169" w:rsidP="00127CE3">
      <w:pPr>
        <w:spacing w:before="120"/>
        <w:rPr>
          <w:b/>
          <w:i/>
          <w:lang w:val="es-MX"/>
        </w:rPr>
      </w:pPr>
      <w:r>
        <w:rPr>
          <w:b/>
          <w:i/>
          <w:lang w:val="es-MX"/>
        </w:rPr>
        <w:t>Cifras</w:t>
      </w:r>
      <w:r w:rsidRPr="001A449E">
        <w:rPr>
          <w:b/>
          <w:i/>
          <w:lang w:val="es-MX"/>
        </w:rPr>
        <w:t xml:space="preserve"> Originales</w:t>
      </w:r>
    </w:p>
    <w:p w14:paraId="2CCFDBAC" w14:textId="77777777"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14:paraId="3D2B297B" w14:textId="77777777"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3BE31EEA" w14:textId="77777777"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10113A">
        <w:rPr>
          <w:rFonts w:ascii="Arial" w:hAnsi="Arial" w:cs="Arial"/>
          <w:b/>
          <w:smallCaps/>
          <w:color w:val="auto"/>
          <w:sz w:val="22"/>
          <w:szCs w:val="22"/>
        </w:rPr>
        <w:t>n</w:t>
      </w:r>
      <w:r w:rsidR="00B54245">
        <w:rPr>
          <w:rFonts w:ascii="Arial" w:hAnsi="Arial" w:cs="Arial"/>
          <w:b/>
          <w:smallCaps/>
          <w:color w:val="auto"/>
          <w:sz w:val="22"/>
          <w:szCs w:val="22"/>
        </w:rPr>
        <w:t>o</w:t>
      </w:r>
      <w:r w:rsidR="0010113A">
        <w:rPr>
          <w:rFonts w:ascii="Arial" w:hAnsi="Arial" w:cs="Arial"/>
          <w:b/>
          <w:smallCaps/>
          <w:color w:val="auto"/>
          <w:sz w:val="22"/>
          <w:szCs w:val="22"/>
        </w:rPr>
        <w:t>viem</w:t>
      </w:r>
      <w:r w:rsidR="009E155E">
        <w:rPr>
          <w:rFonts w:ascii="Arial" w:hAnsi="Arial" w:cs="Arial"/>
          <w:b/>
          <w:smallCaps/>
          <w:color w:val="auto"/>
          <w:sz w:val="22"/>
          <w:szCs w:val="22"/>
        </w:rPr>
        <w:t>bre</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201</w:t>
      </w:r>
      <w:r w:rsidR="00387C8E">
        <w:rPr>
          <w:rFonts w:ascii="Arial" w:hAnsi="Arial" w:cs="Arial"/>
          <w:b/>
          <w:smallCaps/>
          <w:color w:val="auto"/>
          <w:sz w:val="22"/>
          <w:szCs w:val="22"/>
        </w:rPr>
        <w:t>9</w:t>
      </w:r>
    </w:p>
    <w:p w14:paraId="1325B893" w14:textId="77777777"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29269068" w14:textId="77777777" w:rsidR="001F1169" w:rsidRDefault="00657081" w:rsidP="001F1169">
      <w:pPr>
        <w:pStyle w:val="p0"/>
        <w:spacing w:before="0"/>
        <w:jc w:val="center"/>
      </w:pPr>
      <w:r>
        <w:rPr>
          <w:noProof/>
          <w:lang w:val="es-MX" w:eastAsia="es-MX"/>
        </w:rPr>
        <w:drawing>
          <wp:inline distT="0" distB="0" distL="0" distR="0" wp14:anchorId="39CF556A" wp14:editId="620C8511">
            <wp:extent cx="4644000" cy="2376000"/>
            <wp:effectExtent l="0" t="0" r="23495" b="24765"/>
            <wp:docPr id="16" name="Gráfico 1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7EB7AE" w14:textId="77777777"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14:paraId="63595624" w14:textId="77777777"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14:paraId="754A8B4D" w14:textId="77777777"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14:paraId="47CEFC36" w14:textId="77777777" w:rsidR="009B3248" w:rsidRDefault="009B3248" w:rsidP="00760518">
      <w:pPr>
        <w:tabs>
          <w:tab w:val="num" w:pos="1843"/>
          <w:tab w:val="left" w:pos="7939"/>
        </w:tabs>
        <w:spacing w:before="120"/>
        <w:ind w:right="51"/>
        <w:rPr>
          <w:b/>
          <w:bCs/>
          <w:iCs/>
          <w:smallCaps/>
        </w:rPr>
      </w:pPr>
      <w:bookmarkStart w:id="1" w:name="_Hlk24107995"/>
    </w:p>
    <w:bookmarkEnd w:id="1"/>
    <w:p w14:paraId="6AAE8B8A" w14:textId="77777777" w:rsidR="002573A3" w:rsidRDefault="002573A3" w:rsidP="00E71D9F">
      <w:pPr>
        <w:tabs>
          <w:tab w:val="num" w:pos="1843"/>
          <w:tab w:val="left" w:pos="7939"/>
        </w:tabs>
        <w:spacing w:before="120"/>
        <w:ind w:right="51"/>
        <w:rPr>
          <w:b/>
          <w:bCs/>
          <w:iCs/>
          <w:smallCaps/>
        </w:rPr>
      </w:pPr>
    </w:p>
    <w:p w14:paraId="452C2ADD" w14:textId="77777777" w:rsidR="001F1169" w:rsidRPr="00D128F7" w:rsidRDefault="00F91052" w:rsidP="00E71D9F">
      <w:pPr>
        <w:tabs>
          <w:tab w:val="num" w:pos="1843"/>
          <w:tab w:val="left" w:pos="7939"/>
        </w:tabs>
        <w:spacing w:before="120"/>
        <w:ind w:right="51"/>
        <w:rPr>
          <w:b/>
          <w:bCs/>
          <w:iCs/>
          <w:smallCaps/>
        </w:rPr>
      </w:pPr>
      <w:r w:rsidRPr="00D128F7">
        <w:rPr>
          <w:b/>
          <w:bCs/>
          <w:iCs/>
          <w:smallCaps/>
        </w:rPr>
        <w:t>Nota metodológica</w:t>
      </w:r>
    </w:p>
    <w:p w14:paraId="4A75322E" w14:textId="77777777"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0D12FD02" w14:textId="77777777"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14:paraId="2C80F797" w14:textId="77777777"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6AA728BB" w14:textId="77777777"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29D275B6" w14:textId="77777777"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intra-anuales</w:t>
      </w:r>
      <w:proofErr w:type="spellEnd"/>
      <w:r w:rsidRPr="00DE1840">
        <w:rPr>
          <w:rFonts w:ascii="Arial" w:hAnsi="Arial"/>
          <w:color w:val="auto"/>
        </w:rP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DE1840">
        <w:rPr>
          <w:rFonts w:ascii="Arial" w:hAnsi="Arial"/>
          <w:color w:val="auto"/>
        </w:rPr>
        <w:t>la misma</w:t>
      </w:r>
      <w:proofErr w:type="gramEnd"/>
      <w:r w:rsidRPr="00DE1840">
        <w:rPr>
          <w:rFonts w:ascii="Arial" w:hAnsi="Arial"/>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14:paraId="09FA908D" w14:textId="77777777"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6C8824FF" w14:textId="77777777" w:rsidR="00406A35" w:rsidRPr="00DE1840" w:rsidRDefault="00EE4120" w:rsidP="00CD47B8">
      <w:pPr>
        <w:widowControl w:val="0"/>
        <w:spacing w:before="120"/>
        <w:rPr>
          <w:color w:val="1F497D"/>
          <w:sz w:val="22"/>
          <w:szCs w:val="20"/>
          <w:lang w:val="es-MX" w:eastAsia="en-US"/>
        </w:rPr>
      </w:pPr>
      <w:hyperlink r:id="rId31" w:history="1">
        <w:r w:rsidR="00A74BF9" w:rsidRPr="00DD63A0">
          <w:rPr>
            <w:rStyle w:val="Hipervnculo"/>
            <w:szCs w:val="20"/>
            <w:lang w:val="es-MX" w:eastAsia="en-US"/>
          </w:rPr>
          <w:t>http://www.inegi.org.mx/app/biblioteca/ficha.html?upc=702825099060</w:t>
        </w:r>
      </w:hyperlink>
    </w:p>
    <w:p w14:paraId="3E00382F" w14:textId="77777777" w:rsidR="008111E3" w:rsidRDefault="008111E3">
      <w:pPr>
        <w:jc w:val="left"/>
      </w:pPr>
      <w:r>
        <w:br w:type="page"/>
      </w:r>
    </w:p>
    <w:p w14:paraId="29782C22" w14:textId="77777777" w:rsidR="008111E3" w:rsidRDefault="008111E3" w:rsidP="00B61960">
      <w:pPr>
        <w:spacing w:before="240"/>
      </w:pPr>
    </w:p>
    <w:p w14:paraId="0241CBA7" w14:textId="77777777"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14:anchorId="1559DAE9" wp14:editId="332FC82E">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312E7B18" w14:textId="77777777" w:rsidR="0067385F" w:rsidRPr="00DE1840" w:rsidRDefault="0067385F" w:rsidP="00D50C90">
      <w:pPr>
        <w:pStyle w:val="Textoindependiente"/>
        <w:ind w:right="51"/>
        <w:rPr>
          <w:color w:val="auto"/>
          <w:lang w:val="es-MX"/>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Pr="00DE1840">
        <w:rPr>
          <w:color w:val="auto"/>
        </w:rPr>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5F350EC0" w14:textId="77777777"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1183D417" w14:textId="77777777"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096C1EE5" w14:textId="77777777"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13E9F4EF" w14:textId="77777777"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14:paraId="11664214" w14:textId="77777777" w:rsidR="00593F5A" w:rsidRPr="001F1169" w:rsidRDefault="00EE4120" w:rsidP="007300E1">
      <w:pPr>
        <w:pStyle w:val="texto0"/>
        <w:rPr>
          <w:color w:val="auto"/>
        </w:rPr>
      </w:pPr>
      <w:hyperlink r:id="rId34" w:history="1">
        <w:r w:rsidR="00E60138" w:rsidRPr="00260B48">
          <w:rPr>
            <w:rFonts w:cs="Arial"/>
            <w:color w:val="0000FF"/>
            <w:u w:val="single"/>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0B19F" w14:textId="77777777" w:rsidR="00F1700E" w:rsidRDefault="00F1700E">
      <w:r>
        <w:separator/>
      </w:r>
    </w:p>
  </w:endnote>
  <w:endnote w:type="continuationSeparator" w:id="0">
    <w:p w14:paraId="4018371A" w14:textId="77777777" w:rsidR="00F1700E" w:rsidRDefault="00F1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5F8E" w14:textId="77777777" w:rsidR="00EE4120" w:rsidRDefault="00EE41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E679" w14:textId="77777777" w:rsidR="00516623" w:rsidRPr="00B824C9" w:rsidRDefault="00516623"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20D2" w14:textId="77777777" w:rsidR="00EE4120" w:rsidRDefault="00EE412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977C"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54A4" w14:textId="77777777" w:rsidR="00F1700E" w:rsidRDefault="00F1700E">
      <w:r>
        <w:separator/>
      </w:r>
    </w:p>
  </w:footnote>
  <w:footnote w:type="continuationSeparator" w:id="0">
    <w:p w14:paraId="50A84EB6" w14:textId="77777777" w:rsidR="00F1700E" w:rsidRDefault="00F1700E">
      <w:r>
        <w:continuationSeparator/>
      </w:r>
    </w:p>
  </w:footnote>
  <w:footnote w:id="1">
    <w:p w14:paraId="2242207D" w14:textId="77777777" w:rsidR="00516623" w:rsidRPr="00C07AE5" w:rsidRDefault="00516623" w:rsidP="00516623">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5DE51E52" w14:textId="77777777" w:rsidR="00516623" w:rsidRDefault="00516623" w:rsidP="00516623">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39C9117F" w14:textId="77777777" w:rsidR="00516623" w:rsidRPr="00C07AE5" w:rsidRDefault="00516623" w:rsidP="00516623">
      <w:pPr>
        <w:pStyle w:val="Textonotapie"/>
        <w:ind w:left="142" w:hanging="142"/>
        <w:rPr>
          <w:sz w:val="16"/>
          <w:szCs w:val="16"/>
        </w:rPr>
      </w:pPr>
    </w:p>
  </w:footnote>
  <w:footnote w:id="3">
    <w:p w14:paraId="71B10994" w14:textId="77777777" w:rsidR="00516623" w:rsidRDefault="00516623" w:rsidP="00516623">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2FC967CE" w14:textId="77777777" w:rsidR="00516623" w:rsidRPr="00C07AE5" w:rsidRDefault="00516623" w:rsidP="00516623">
      <w:pPr>
        <w:pStyle w:val="Textonotapie"/>
        <w:ind w:left="142" w:hanging="142"/>
        <w:rPr>
          <w:sz w:val="16"/>
          <w:szCs w:val="16"/>
        </w:rPr>
      </w:pPr>
    </w:p>
  </w:footnote>
  <w:footnote w:id="4">
    <w:p w14:paraId="5CA0192F"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1A6A" w14:textId="77777777" w:rsidR="00EE4120" w:rsidRDefault="00EE41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B16C" w14:textId="3552CC07" w:rsidR="00516623" w:rsidRPr="00265B8C" w:rsidRDefault="00516623" w:rsidP="00EE4120">
    <w:pPr>
      <w:pStyle w:val="Encabezado"/>
      <w:framePr w:w="5592" w:hSpace="141" w:wrap="auto" w:vAnchor="text" w:hAnchor="page" w:x="5508" w:y="39"/>
      <w:ind w:left="567" w:hanging="11"/>
      <w:jc w:val="right"/>
      <w:rPr>
        <w:b/>
        <w:color w:val="002060"/>
      </w:rPr>
    </w:pPr>
    <w:bookmarkStart w:id="0" w:name="_GoBack"/>
    <w:r w:rsidRPr="00265B8C">
      <w:rPr>
        <w:b/>
        <w:color w:val="002060"/>
      </w:rPr>
      <w:t xml:space="preserve">COMUNICADO DE PRENSA NÚM. </w:t>
    </w:r>
    <w:r w:rsidR="00EE4120">
      <w:rPr>
        <w:b/>
        <w:color w:val="002060"/>
      </w:rPr>
      <w:t>19</w:t>
    </w:r>
    <w:r w:rsidRPr="00265B8C">
      <w:rPr>
        <w:b/>
        <w:color w:val="002060"/>
      </w:rPr>
      <w:t>/</w:t>
    </w:r>
    <w:r>
      <w:rPr>
        <w:b/>
        <w:color w:val="002060"/>
      </w:rPr>
      <w:t>20</w:t>
    </w:r>
  </w:p>
  <w:p w14:paraId="3DF239E7" w14:textId="77777777" w:rsidR="00516623" w:rsidRPr="00265B8C" w:rsidRDefault="00516623" w:rsidP="00EE4120">
    <w:pPr>
      <w:pStyle w:val="Encabezado"/>
      <w:framePr w:w="5592" w:hSpace="141" w:wrap="auto" w:vAnchor="text" w:hAnchor="page" w:x="5508" w:y="39"/>
      <w:ind w:left="567" w:hanging="11"/>
      <w:jc w:val="right"/>
      <w:rPr>
        <w:b/>
        <w:color w:val="002060"/>
        <w:lang w:val="pt-BR"/>
      </w:rPr>
    </w:pPr>
    <w:r>
      <w:rPr>
        <w:b/>
        <w:color w:val="002060"/>
        <w:lang w:val="pt-BR"/>
      </w:rPr>
      <w:t xml:space="preserve">24 DE ENERO </w:t>
    </w:r>
    <w:r w:rsidRPr="00265B8C">
      <w:rPr>
        <w:b/>
        <w:color w:val="002060"/>
        <w:lang w:val="pt-BR"/>
      </w:rPr>
      <w:t>DE 20</w:t>
    </w:r>
    <w:r>
      <w:rPr>
        <w:b/>
        <w:color w:val="002060"/>
        <w:lang w:val="pt-BR"/>
      </w:rPr>
      <w:t>20</w:t>
    </w:r>
  </w:p>
  <w:p w14:paraId="10A41934" w14:textId="77777777" w:rsidR="00516623" w:rsidRPr="00265B8C" w:rsidRDefault="00516623" w:rsidP="00EE4120">
    <w:pPr>
      <w:pStyle w:val="Encabezado"/>
      <w:framePr w:w="5592" w:hSpace="141" w:wrap="auto" w:vAnchor="text" w:hAnchor="page" w:x="5508"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0267A1E8" w14:textId="77777777" w:rsidR="00516623" w:rsidRDefault="00516623" w:rsidP="004C150C">
    <w:pPr>
      <w:pStyle w:val="Encabezado"/>
      <w:ind w:left="-993"/>
    </w:pPr>
    <w:r>
      <w:rPr>
        <w:noProof/>
      </w:rPr>
      <w:drawing>
        <wp:inline distT="0" distB="0" distL="0" distR="0" wp14:anchorId="1486C8FA" wp14:editId="11D8ED6C">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A8B8" w14:textId="77777777" w:rsidR="00EE4120" w:rsidRDefault="00EE412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1E53" w14:textId="77777777" w:rsidR="003B5757" w:rsidRDefault="00E463F2" w:rsidP="00516623">
    <w:pPr>
      <w:pStyle w:val="Encabezado"/>
      <w:jc w:val="center"/>
      <w:rPr>
        <w:noProof/>
        <w:lang w:val="es-MX" w:eastAsia="es-MX"/>
      </w:rPr>
    </w:pPr>
    <w:r>
      <w:rPr>
        <w:noProof/>
        <w:lang w:val="es-MX" w:eastAsia="es-MX"/>
      </w:rPr>
      <w:drawing>
        <wp:inline distT="0" distB="0" distL="0" distR="0" wp14:anchorId="4A191077" wp14:editId="3E9982F7">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4B4C1B50"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2D0F"/>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228A"/>
    <w:rsid w:val="00063614"/>
    <w:rsid w:val="00063838"/>
    <w:rsid w:val="00063D4B"/>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087"/>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9A7"/>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7EEA"/>
    <w:rsid w:val="003F01E7"/>
    <w:rsid w:val="003F040D"/>
    <w:rsid w:val="003F18CF"/>
    <w:rsid w:val="003F2BFE"/>
    <w:rsid w:val="003F2C80"/>
    <w:rsid w:val="003F3A44"/>
    <w:rsid w:val="003F520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6B4B"/>
    <w:rsid w:val="004C7B72"/>
    <w:rsid w:val="004C7EE1"/>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23"/>
    <w:rsid w:val="005166C3"/>
    <w:rsid w:val="00516EA5"/>
    <w:rsid w:val="005179DA"/>
    <w:rsid w:val="00517E2A"/>
    <w:rsid w:val="00520C1C"/>
    <w:rsid w:val="0052117B"/>
    <w:rsid w:val="00521439"/>
    <w:rsid w:val="00522133"/>
    <w:rsid w:val="0052292E"/>
    <w:rsid w:val="005232E0"/>
    <w:rsid w:val="0052373B"/>
    <w:rsid w:val="00523900"/>
    <w:rsid w:val="00523E00"/>
    <w:rsid w:val="0052439F"/>
    <w:rsid w:val="005243EB"/>
    <w:rsid w:val="00524FC0"/>
    <w:rsid w:val="00525789"/>
    <w:rsid w:val="00525890"/>
    <w:rsid w:val="00525C4D"/>
    <w:rsid w:val="005260BC"/>
    <w:rsid w:val="00526452"/>
    <w:rsid w:val="00526816"/>
    <w:rsid w:val="00526AE3"/>
    <w:rsid w:val="00526F09"/>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7A0"/>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34DC"/>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81A"/>
    <w:rsid w:val="007F1160"/>
    <w:rsid w:val="007F1F3B"/>
    <w:rsid w:val="007F21B0"/>
    <w:rsid w:val="007F2DE9"/>
    <w:rsid w:val="007F3223"/>
    <w:rsid w:val="007F341B"/>
    <w:rsid w:val="007F3682"/>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E43"/>
    <w:rsid w:val="00807F69"/>
    <w:rsid w:val="00810368"/>
    <w:rsid w:val="008108B5"/>
    <w:rsid w:val="00810BE7"/>
    <w:rsid w:val="008111E3"/>
    <w:rsid w:val="00811336"/>
    <w:rsid w:val="0081165D"/>
    <w:rsid w:val="00811B28"/>
    <w:rsid w:val="00811E2C"/>
    <w:rsid w:val="00812862"/>
    <w:rsid w:val="00812A7A"/>
    <w:rsid w:val="0081362B"/>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EE1"/>
    <w:rsid w:val="008515AC"/>
    <w:rsid w:val="0085165B"/>
    <w:rsid w:val="0085179C"/>
    <w:rsid w:val="008518FA"/>
    <w:rsid w:val="00851903"/>
    <w:rsid w:val="00851B3F"/>
    <w:rsid w:val="00851DCB"/>
    <w:rsid w:val="00851E0C"/>
    <w:rsid w:val="00851F5F"/>
    <w:rsid w:val="00852142"/>
    <w:rsid w:val="008528C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883"/>
    <w:rsid w:val="00904B0A"/>
    <w:rsid w:val="00904F84"/>
    <w:rsid w:val="009055DD"/>
    <w:rsid w:val="0090616A"/>
    <w:rsid w:val="00906527"/>
    <w:rsid w:val="00906BD9"/>
    <w:rsid w:val="00906EA0"/>
    <w:rsid w:val="009071AF"/>
    <w:rsid w:val="009077FB"/>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3C2"/>
    <w:rsid w:val="00922482"/>
    <w:rsid w:val="00922A2B"/>
    <w:rsid w:val="00924A6C"/>
    <w:rsid w:val="00924ED4"/>
    <w:rsid w:val="00924F63"/>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6B2"/>
    <w:rsid w:val="0097282B"/>
    <w:rsid w:val="00972DAC"/>
    <w:rsid w:val="00973A35"/>
    <w:rsid w:val="009741F3"/>
    <w:rsid w:val="00974630"/>
    <w:rsid w:val="00974A1E"/>
    <w:rsid w:val="00975110"/>
    <w:rsid w:val="0097559A"/>
    <w:rsid w:val="00975D4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3CA"/>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26"/>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033"/>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F80"/>
    <w:rsid w:val="00C01250"/>
    <w:rsid w:val="00C01619"/>
    <w:rsid w:val="00C03041"/>
    <w:rsid w:val="00C03815"/>
    <w:rsid w:val="00C041F4"/>
    <w:rsid w:val="00C04248"/>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395"/>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705"/>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496"/>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347"/>
    <w:rsid w:val="00E61812"/>
    <w:rsid w:val="00E61A51"/>
    <w:rsid w:val="00E62CC5"/>
    <w:rsid w:val="00E62CF0"/>
    <w:rsid w:val="00E62E5D"/>
    <w:rsid w:val="00E64F58"/>
    <w:rsid w:val="00E65073"/>
    <w:rsid w:val="00E65E8C"/>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120"/>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00E"/>
    <w:rsid w:val="00F17125"/>
    <w:rsid w:val="00F1785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CCD6D8"/>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PiedepginaCar">
    <w:name w:val="Pie de página Car"/>
    <w:basedOn w:val="Fuentedeprrafopredeter"/>
    <w:link w:val="Piedepgina"/>
    <w:uiPriority w:val="99"/>
    <w:rsid w:val="0051662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rabajos%20Monica\Documents\ACTIVIDAD%20ECONOMICA%20IGAE\Notas\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Datos!$C$67:$C$137</c:f>
              <c:numCache>
                <c:formatCode>0.0</c:formatCode>
                <c:ptCount val="71"/>
                <c:pt idx="0">
                  <c:v>100.21694243518</c:v>
                </c:pt>
                <c:pt idx="1">
                  <c:v>101.509325512226</c:v>
                </c:pt>
                <c:pt idx="2">
                  <c:v>101.359150035902</c:v>
                </c:pt>
                <c:pt idx="3">
                  <c:v>102.30592377750099</c:v>
                </c:pt>
                <c:pt idx="4">
                  <c:v>102.86637799249699</c:v>
                </c:pt>
                <c:pt idx="5">
                  <c:v>102.484558778102</c:v>
                </c:pt>
                <c:pt idx="6">
                  <c:v>102.899263956139</c:v>
                </c:pt>
                <c:pt idx="7">
                  <c:v>102.725684359469</c:v>
                </c:pt>
                <c:pt idx="8">
                  <c:v>102.77606391852601</c:v>
                </c:pt>
                <c:pt idx="9">
                  <c:v>103.897662283733</c:v>
                </c:pt>
                <c:pt idx="10">
                  <c:v>103.917960315351</c:v>
                </c:pt>
                <c:pt idx="11">
                  <c:v>104.00275968481201</c:v>
                </c:pt>
                <c:pt idx="12">
                  <c:v>104.130672138615</c:v>
                </c:pt>
                <c:pt idx="13">
                  <c:v>104.460233641619</c:v>
                </c:pt>
                <c:pt idx="14">
                  <c:v>104.410242075269</c:v>
                </c:pt>
                <c:pt idx="15">
                  <c:v>106.060599920759</c:v>
                </c:pt>
                <c:pt idx="16">
                  <c:v>105.09788533107</c:v>
                </c:pt>
                <c:pt idx="17">
                  <c:v>105.359099590238</c:v>
                </c:pt>
                <c:pt idx="18">
                  <c:v>106.37346453505999</c:v>
                </c:pt>
                <c:pt idx="19">
                  <c:v>106.582660708963</c:v>
                </c:pt>
                <c:pt idx="20">
                  <c:v>107.66716412598601</c:v>
                </c:pt>
                <c:pt idx="21">
                  <c:v>106.82636038086601</c:v>
                </c:pt>
                <c:pt idx="22">
                  <c:v>106.05969216937601</c:v>
                </c:pt>
                <c:pt idx="23">
                  <c:v>106.62032708196401</c:v>
                </c:pt>
                <c:pt idx="24">
                  <c:v>107.190719567781</c:v>
                </c:pt>
                <c:pt idx="25">
                  <c:v>108.005756353777</c:v>
                </c:pt>
                <c:pt idx="26">
                  <c:v>107.501229925507</c:v>
                </c:pt>
                <c:pt idx="27">
                  <c:v>107.47865074713501</c:v>
                </c:pt>
                <c:pt idx="28">
                  <c:v>107.66397120150801</c:v>
                </c:pt>
                <c:pt idx="29">
                  <c:v>108.509097650535</c:v>
                </c:pt>
                <c:pt idx="30">
                  <c:v>108.553234595337</c:v>
                </c:pt>
                <c:pt idx="31">
                  <c:v>108.59922025341599</c:v>
                </c:pt>
                <c:pt idx="32">
                  <c:v>109.28968848022301</c:v>
                </c:pt>
                <c:pt idx="33">
                  <c:v>109.878086016233</c:v>
                </c:pt>
                <c:pt idx="34">
                  <c:v>109.737437381945</c:v>
                </c:pt>
                <c:pt idx="35">
                  <c:v>110.62017410524101</c:v>
                </c:pt>
                <c:pt idx="36">
                  <c:v>110.66371206294799</c:v>
                </c:pt>
                <c:pt idx="37">
                  <c:v>110.06233886826899</c:v>
                </c:pt>
                <c:pt idx="38">
                  <c:v>110.55651463990399</c:v>
                </c:pt>
                <c:pt idx="39">
                  <c:v>110.852806827744</c:v>
                </c:pt>
                <c:pt idx="40">
                  <c:v>110.26662654467501</c:v>
                </c:pt>
                <c:pt idx="41">
                  <c:v>110.99357296398399</c:v>
                </c:pt>
                <c:pt idx="42">
                  <c:v>110.21166202513</c:v>
                </c:pt>
                <c:pt idx="43">
                  <c:v>111.303838760543</c:v>
                </c:pt>
                <c:pt idx="44">
                  <c:v>110.061838654382</c:v>
                </c:pt>
                <c:pt idx="45">
                  <c:v>111.173198938723</c:v>
                </c:pt>
                <c:pt idx="46">
                  <c:v>111.82659249899299</c:v>
                </c:pt>
                <c:pt idx="47">
                  <c:v>112.988250817542</c:v>
                </c:pt>
                <c:pt idx="48">
                  <c:v>112.166722266037</c:v>
                </c:pt>
                <c:pt idx="49">
                  <c:v>112.62315293272</c:v>
                </c:pt>
                <c:pt idx="50">
                  <c:v>113.782206178602</c:v>
                </c:pt>
                <c:pt idx="51">
                  <c:v>112.838419363005</c:v>
                </c:pt>
                <c:pt idx="52">
                  <c:v>113.534732037415</c:v>
                </c:pt>
                <c:pt idx="53">
                  <c:v>113.00906841679701</c:v>
                </c:pt>
                <c:pt idx="54">
                  <c:v>113.358102464871</c:v>
                </c:pt>
                <c:pt idx="55">
                  <c:v>113.38556321934701</c:v>
                </c:pt>
                <c:pt idx="56">
                  <c:v>113.342344274154</c:v>
                </c:pt>
                <c:pt idx="57">
                  <c:v>113.223884542617</c:v>
                </c:pt>
                <c:pt idx="58">
                  <c:v>113.470116703665</c:v>
                </c:pt>
                <c:pt idx="59">
                  <c:v>112.893785401817</c:v>
                </c:pt>
                <c:pt idx="60">
                  <c:v>113.307515335557</c:v>
                </c:pt>
                <c:pt idx="61">
                  <c:v>113.493721421572</c:v>
                </c:pt>
                <c:pt idx="62">
                  <c:v>112.96912215139901</c:v>
                </c:pt>
                <c:pt idx="63">
                  <c:v>113.001422898223</c:v>
                </c:pt>
                <c:pt idx="64">
                  <c:v>112.997775106416</c:v>
                </c:pt>
                <c:pt idx="65">
                  <c:v>112.992640150131</c:v>
                </c:pt>
                <c:pt idx="66">
                  <c:v>112.92644304274501</c:v>
                </c:pt>
                <c:pt idx="67">
                  <c:v>112.73248855750499</c:v>
                </c:pt>
                <c:pt idx="68">
                  <c:v>112.924544304373</c:v>
                </c:pt>
                <c:pt idx="69">
                  <c:v>112.42689422463999</c:v>
                </c:pt>
                <c:pt idx="70">
                  <c:v>112.561735692265</c:v>
                </c:pt>
              </c:numCache>
            </c:numRef>
          </c:val>
          <c:extLst>
            <c:ext xmlns:c16="http://schemas.microsoft.com/office/drawing/2014/chart" uri="{C3380CC4-5D6E-409C-BE32-E72D297353CC}">
              <c16:uniqueId val="{00000000-C60D-4E4C-A8E7-843BA608B822}"/>
            </c:ext>
          </c:extLst>
        </c:ser>
        <c:dLbls>
          <c:showLegendKey val="0"/>
          <c:showVal val="1"/>
          <c:showCatName val="0"/>
          <c:showSerName val="0"/>
          <c:showPercent val="0"/>
          <c:showBubbleSize val="0"/>
        </c:dLbls>
        <c:gapWidth val="50"/>
        <c:axId val="106288032"/>
        <c:axId val="1062872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Datos!$D$67:$D$137</c:f>
              <c:numCache>
                <c:formatCode>0.0</c:formatCode>
                <c:ptCount val="71"/>
                <c:pt idx="0">
                  <c:v>101.129156378479</c:v>
                </c:pt>
                <c:pt idx="1">
                  <c:v>101.42207527928301</c:v>
                </c:pt>
                <c:pt idx="2">
                  <c:v>101.772683970147</c:v>
                </c:pt>
                <c:pt idx="3">
                  <c:v>102.10476956310499</c:v>
                </c:pt>
                <c:pt idx="4">
                  <c:v>102.379727283026</c:v>
                </c:pt>
                <c:pt idx="5">
                  <c:v>102.599410016852</c:v>
                </c:pt>
                <c:pt idx="6">
                  <c:v>102.79388851936901</c:v>
                </c:pt>
                <c:pt idx="7">
                  <c:v>102.991509957745</c:v>
                </c:pt>
                <c:pt idx="8">
                  <c:v>103.225194369156</c:v>
                </c:pt>
                <c:pt idx="9">
                  <c:v>103.489108891813</c:v>
                </c:pt>
                <c:pt idx="10">
                  <c:v>103.767246953061</c:v>
                </c:pt>
                <c:pt idx="11">
                  <c:v>104.016234345174</c:v>
                </c:pt>
                <c:pt idx="12">
                  <c:v>104.209842688658</c:v>
                </c:pt>
                <c:pt idx="13">
                  <c:v>104.38027866369001</c:v>
                </c:pt>
                <c:pt idx="14">
                  <c:v>104.57879659835299</c:v>
                </c:pt>
                <c:pt idx="15">
                  <c:v>104.864264457606</c:v>
                </c:pt>
                <c:pt idx="16">
                  <c:v>105.245368564259</c:v>
                </c:pt>
                <c:pt idx="17">
                  <c:v>105.67448569103099</c:v>
                </c:pt>
                <c:pt idx="18">
                  <c:v>106.086530256483</c:v>
                </c:pt>
                <c:pt idx="19">
                  <c:v>106.416504593993</c:v>
                </c:pt>
                <c:pt idx="20">
                  <c:v>106.641633919193</c:v>
                </c:pt>
                <c:pt idx="21">
                  <c:v>106.782365172583</c:v>
                </c:pt>
                <c:pt idx="22">
                  <c:v>106.885053318158</c:v>
                </c:pt>
                <c:pt idx="23">
                  <c:v>106.975382130754</c:v>
                </c:pt>
                <c:pt idx="24">
                  <c:v>107.095344062721</c:v>
                </c:pt>
                <c:pt idx="25">
                  <c:v>107.266407231089</c:v>
                </c:pt>
                <c:pt idx="26">
                  <c:v>107.464659537581</c:v>
                </c:pt>
                <c:pt idx="27">
                  <c:v>107.675639768528</c:v>
                </c:pt>
                <c:pt idx="28">
                  <c:v>107.91227860916101</c:v>
                </c:pt>
                <c:pt idx="29">
                  <c:v>108.18217571028499</c:v>
                </c:pt>
                <c:pt idx="30">
                  <c:v>108.502894868517</c:v>
                </c:pt>
                <c:pt idx="31">
                  <c:v>108.890533829162</c:v>
                </c:pt>
                <c:pt idx="32">
                  <c:v>109.30030891131</c:v>
                </c:pt>
                <c:pt idx="33">
                  <c:v>109.677770135594</c:v>
                </c:pt>
                <c:pt idx="34">
                  <c:v>110.00706416862199</c:v>
                </c:pt>
                <c:pt idx="35">
                  <c:v>110.25851345868</c:v>
                </c:pt>
                <c:pt idx="36">
                  <c:v>110.430776192742</c:v>
                </c:pt>
                <c:pt idx="37">
                  <c:v>110.50776671273201</c:v>
                </c:pt>
                <c:pt idx="38">
                  <c:v>110.53138065778801</c:v>
                </c:pt>
                <c:pt idx="39">
                  <c:v>110.553731419966</c:v>
                </c:pt>
                <c:pt idx="40">
                  <c:v>110.591850772703</c:v>
                </c:pt>
                <c:pt idx="41">
                  <c:v>110.65826875163199</c:v>
                </c:pt>
                <c:pt idx="42">
                  <c:v>110.778308053063</c:v>
                </c:pt>
                <c:pt idx="43">
                  <c:v>110.944135469443</c:v>
                </c:pt>
                <c:pt idx="44">
                  <c:v>111.160329394878</c:v>
                </c:pt>
                <c:pt idx="45">
                  <c:v>111.439215060736</c:v>
                </c:pt>
                <c:pt idx="46">
                  <c:v>111.740381027268</c:v>
                </c:pt>
                <c:pt idx="47">
                  <c:v>112.05209913225301</c:v>
                </c:pt>
                <c:pt idx="48">
                  <c:v>112.36212904499899</c:v>
                </c:pt>
                <c:pt idx="49">
                  <c:v>112.63886026975101</c:v>
                </c:pt>
                <c:pt idx="50">
                  <c:v>112.87818422317601</c:v>
                </c:pt>
                <c:pt idx="51">
                  <c:v>113.05807069421699</c:v>
                </c:pt>
                <c:pt idx="52">
                  <c:v>113.185858946517</c:v>
                </c:pt>
                <c:pt idx="53">
                  <c:v>113.27930987069399</c:v>
                </c:pt>
                <c:pt idx="54">
                  <c:v>113.327505765344</c:v>
                </c:pt>
                <c:pt idx="55">
                  <c:v>113.330254617839</c:v>
                </c:pt>
                <c:pt idx="56">
                  <c:v>113.318624559875</c:v>
                </c:pt>
                <c:pt idx="57">
                  <c:v>113.30170141215601</c:v>
                </c:pt>
                <c:pt idx="58">
                  <c:v>113.280826579603</c:v>
                </c:pt>
                <c:pt idx="59">
                  <c:v>113.257370797999</c:v>
                </c:pt>
                <c:pt idx="60">
                  <c:v>113.220314615473</c:v>
                </c:pt>
                <c:pt idx="61">
                  <c:v>113.183242555771</c:v>
                </c:pt>
                <c:pt idx="62">
                  <c:v>113.13231487365201</c:v>
                </c:pt>
                <c:pt idx="63">
                  <c:v>113.075997970275</c:v>
                </c:pt>
                <c:pt idx="64">
                  <c:v>113.01593123016001</c:v>
                </c:pt>
                <c:pt idx="65">
                  <c:v>112.945150384855</c:v>
                </c:pt>
                <c:pt idx="66">
                  <c:v>112.863713409312</c:v>
                </c:pt>
                <c:pt idx="67">
                  <c:v>112.79048416769299</c:v>
                </c:pt>
                <c:pt idx="68">
                  <c:v>112.71882487054</c:v>
                </c:pt>
                <c:pt idx="69">
                  <c:v>112.663945209979</c:v>
                </c:pt>
                <c:pt idx="70">
                  <c:v>112.652698624257</c:v>
                </c:pt>
              </c:numCache>
            </c:numRef>
          </c:val>
          <c:smooth val="0"/>
          <c:extLst>
            <c:ext xmlns:c16="http://schemas.microsoft.com/office/drawing/2014/chart" uri="{C3380CC4-5D6E-409C-BE32-E72D297353CC}">
              <c16:uniqueId val="{00000001-C60D-4E4C-A8E7-843BA608B822}"/>
            </c:ext>
          </c:extLst>
        </c:ser>
        <c:dLbls>
          <c:showLegendKey val="0"/>
          <c:showVal val="1"/>
          <c:showCatName val="0"/>
          <c:showSerName val="0"/>
          <c:showPercent val="0"/>
          <c:showBubbleSize val="0"/>
        </c:dLbls>
        <c:marker val="1"/>
        <c:smooth val="0"/>
        <c:axId val="106288032"/>
        <c:axId val="106287248"/>
      </c:lineChart>
      <c:catAx>
        <c:axId val="106288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7248"/>
        <c:crosses val="autoZero"/>
        <c:auto val="1"/>
        <c:lblAlgn val="ctr"/>
        <c:lblOffset val="0"/>
        <c:tickLblSkip val="1"/>
        <c:tickMarkSkip val="12"/>
        <c:noMultiLvlLbl val="1"/>
      </c:catAx>
      <c:valAx>
        <c:axId val="106287248"/>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8032"/>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Datos!$C$67:$C$137</c:f>
              <c:numCache>
                <c:formatCode>0.0</c:formatCode>
                <c:ptCount val="71"/>
                <c:pt idx="0">
                  <c:v>100.21694243518</c:v>
                </c:pt>
                <c:pt idx="1">
                  <c:v>101.509325512226</c:v>
                </c:pt>
                <c:pt idx="2">
                  <c:v>101.359150035902</c:v>
                </c:pt>
                <c:pt idx="3">
                  <c:v>102.30592377750099</c:v>
                </c:pt>
                <c:pt idx="4">
                  <c:v>102.86637799249699</c:v>
                </c:pt>
                <c:pt idx="5">
                  <c:v>102.484558778102</c:v>
                </c:pt>
                <c:pt idx="6">
                  <c:v>102.899263956139</c:v>
                </c:pt>
                <c:pt idx="7">
                  <c:v>102.725684359469</c:v>
                </c:pt>
                <c:pt idx="8">
                  <c:v>102.77606391852601</c:v>
                </c:pt>
                <c:pt idx="9">
                  <c:v>103.897662283733</c:v>
                </c:pt>
                <c:pt idx="10">
                  <c:v>103.917960315351</c:v>
                </c:pt>
                <c:pt idx="11">
                  <c:v>104.00275968481201</c:v>
                </c:pt>
                <c:pt idx="12">
                  <c:v>104.130672138615</c:v>
                </c:pt>
                <c:pt idx="13">
                  <c:v>104.460233641619</c:v>
                </c:pt>
                <c:pt idx="14">
                  <c:v>104.410242075269</c:v>
                </c:pt>
                <c:pt idx="15">
                  <c:v>106.060599920759</c:v>
                </c:pt>
                <c:pt idx="16">
                  <c:v>105.09788533107</c:v>
                </c:pt>
                <c:pt idx="17">
                  <c:v>105.359099590238</c:v>
                </c:pt>
                <c:pt idx="18">
                  <c:v>106.37346453505999</c:v>
                </c:pt>
                <c:pt idx="19">
                  <c:v>106.582660708963</c:v>
                </c:pt>
                <c:pt idx="20">
                  <c:v>107.66716412598601</c:v>
                </c:pt>
                <c:pt idx="21">
                  <c:v>106.82636038086601</c:v>
                </c:pt>
                <c:pt idx="22">
                  <c:v>106.05969216937601</c:v>
                </c:pt>
                <c:pt idx="23">
                  <c:v>106.62032708196401</c:v>
                </c:pt>
                <c:pt idx="24">
                  <c:v>107.190719567781</c:v>
                </c:pt>
                <c:pt idx="25">
                  <c:v>108.005756353777</c:v>
                </c:pt>
                <c:pt idx="26">
                  <c:v>107.501229925507</c:v>
                </c:pt>
                <c:pt idx="27">
                  <c:v>107.47865074713501</c:v>
                </c:pt>
                <c:pt idx="28">
                  <c:v>107.66397120150801</c:v>
                </c:pt>
                <c:pt idx="29">
                  <c:v>108.509097650535</c:v>
                </c:pt>
                <c:pt idx="30">
                  <c:v>108.553234595337</c:v>
                </c:pt>
                <c:pt idx="31">
                  <c:v>108.59922025341599</c:v>
                </c:pt>
                <c:pt idx="32">
                  <c:v>109.28968848022301</c:v>
                </c:pt>
                <c:pt idx="33">
                  <c:v>109.878086016233</c:v>
                </c:pt>
                <c:pt idx="34">
                  <c:v>109.737437381945</c:v>
                </c:pt>
                <c:pt idx="35">
                  <c:v>110.62017410524101</c:v>
                </c:pt>
                <c:pt idx="36">
                  <c:v>110.66371206294799</c:v>
                </c:pt>
                <c:pt idx="37">
                  <c:v>110.06233886826899</c:v>
                </c:pt>
                <c:pt idx="38">
                  <c:v>110.55651463990399</c:v>
                </c:pt>
                <c:pt idx="39">
                  <c:v>110.852806827744</c:v>
                </c:pt>
                <c:pt idx="40">
                  <c:v>110.26662654467501</c:v>
                </c:pt>
                <c:pt idx="41">
                  <c:v>110.99357296398399</c:v>
                </c:pt>
                <c:pt idx="42">
                  <c:v>110.21166202513</c:v>
                </c:pt>
                <c:pt idx="43">
                  <c:v>111.303838760543</c:v>
                </c:pt>
                <c:pt idx="44">
                  <c:v>110.061838654382</c:v>
                </c:pt>
                <c:pt idx="45">
                  <c:v>111.173198938723</c:v>
                </c:pt>
                <c:pt idx="46">
                  <c:v>111.82659249899299</c:v>
                </c:pt>
                <c:pt idx="47">
                  <c:v>112.988250817542</c:v>
                </c:pt>
                <c:pt idx="48">
                  <c:v>112.166722266037</c:v>
                </c:pt>
                <c:pt idx="49">
                  <c:v>112.62315293272</c:v>
                </c:pt>
                <c:pt idx="50">
                  <c:v>113.782206178602</c:v>
                </c:pt>
                <c:pt idx="51">
                  <c:v>112.838419363005</c:v>
                </c:pt>
                <c:pt idx="52">
                  <c:v>113.534732037415</c:v>
                </c:pt>
                <c:pt idx="53">
                  <c:v>113.00906841679701</c:v>
                </c:pt>
                <c:pt idx="54">
                  <c:v>113.358102464871</c:v>
                </c:pt>
                <c:pt idx="55">
                  <c:v>113.38556321934701</c:v>
                </c:pt>
                <c:pt idx="56">
                  <c:v>113.342344274154</c:v>
                </c:pt>
                <c:pt idx="57">
                  <c:v>113.223884542617</c:v>
                </c:pt>
                <c:pt idx="58">
                  <c:v>113.470116703665</c:v>
                </c:pt>
                <c:pt idx="59">
                  <c:v>112.893785401817</c:v>
                </c:pt>
                <c:pt idx="60">
                  <c:v>113.307515335557</c:v>
                </c:pt>
                <c:pt idx="61">
                  <c:v>113.493721421572</c:v>
                </c:pt>
                <c:pt idx="62">
                  <c:v>112.96912215139901</c:v>
                </c:pt>
                <c:pt idx="63">
                  <c:v>113.001422898223</c:v>
                </c:pt>
                <c:pt idx="64">
                  <c:v>112.997775106416</c:v>
                </c:pt>
                <c:pt idx="65">
                  <c:v>112.992640150131</c:v>
                </c:pt>
                <c:pt idx="66">
                  <c:v>112.92644304274501</c:v>
                </c:pt>
                <c:pt idx="67">
                  <c:v>112.73248855750499</c:v>
                </c:pt>
                <c:pt idx="68">
                  <c:v>112.924544304373</c:v>
                </c:pt>
                <c:pt idx="69">
                  <c:v>112.42689422463999</c:v>
                </c:pt>
                <c:pt idx="70">
                  <c:v>112.561735692265</c:v>
                </c:pt>
              </c:numCache>
            </c:numRef>
          </c:val>
          <c:extLst>
            <c:ext xmlns:c16="http://schemas.microsoft.com/office/drawing/2014/chart" uri="{C3380CC4-5D6E-409C-BE32-E72D297353CC}">
              <c16:uniqueId val="{00000000-3F65-4EB0-A2DA-E801FE588D86}"/>
            </c:ext>
          </c:extLst>
        </c:ser>
        <c:dLbls>
          <c:showLegendKey val="0"/>
          <c:showVal val="1"/>
          <c:showCatName val="0"/>
          <c:showSerName val="0"/>
          <c:showPercent val="0"/>
          <c:showBubbleSize val="0"/>
        </c:dLbls>
        <c:gapWidth val="50"/>
        <c:axId val="106288032"/>
        <c:axId val="1062872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Datos!$D$67:$D$137</c:f>
              <c:numCache>
                <c:formatCode>0.0</c:formatCode>
                <c:ptCount val="71"/>
                <c:pt idx="0">
                  <c:v>101.129156378479</c:v>
                </c:pt>
                <c:pt idx="1">
                  <c:v>101.42207527928301</c:v>
                </c:pt>
                <c:pt idx="2">
                  <c:v>101.772683970147</c:v>
                </c:pt>
                <c:pt idx="3">
                  <c:v>102.10476956310499</c:v>
                </c:pt>
                <c:pt idx="4">
                  <c:v>102.379727283026</c:v>
                </c:pt>
                <c:pt idx="5">
                  <c:v>102.599410016852</c:v>
                </c:pt>
                <c:pt idx="6">
                  <c:v>102.79388851936901</c:v>
                </c:pt>
                <c:pt idx="7">
                  <c:v>102.991509957745</c:v>
                </c:pt>
                <c:pt idx="8">
                  <c:v>103.225194369156</c:v>
                </c:pt>
                <c:pt idx="9">
                  <c:v>103.489108891813</c:v>
                </c:pt>
                <c:pt idx="10">
                  <c:v>103.767246953061</c:v>
                </c:pt>
                <c:pt idx="11">
                  <c:v>104.016234345174</c:v>
                </c:pt>
                <c:pt idx="12">
                  <c:v>104.209842688658</c:v>
                </c:pt>
                <c:pt idx="13">
                  <c:v>104.38027866369001</c:v>
                </c:pt>
                <c:pt idx="14">
                  <c:v>104.57879659835299</c:v>
                </c:pt>
                <c:pt idx="15">
                  <c:v>104.864264457606</c:v>
                </c:pt>
                <c:pt idx="16">
                  <c:v>105.245368564259</c:v>
                </c:pt>
                <c:pt idx="17">
                  <c:v>105.67448569103099</c:v>
                </c:pt>
                <c:pt idx="18">
                  <c:v>106.086530256483</c:v>
                </c:pt>
                <c:pt idx="19">
                  <c:v>106.416504593993</c:v>
                </c:pt>
                <c:pt idx="20">
                  <c:v>106.641633919193</c:v>
                </c:pt>
                <c:pt idx="21">
                  <c:v>106.782365172583</c:v>
                </c:pt>
                <c:pt idx="22">
                  <c:v>106.885053318158</c:v>
                </c:pt>
                <c:pt idx="23">
                  <c:v>106.975382130754</c:v>
                </c:pt>
                <c:pt idx="24">
                  <c:v>107.095344062721</c:v>
                </c:pt>
                <c:pt idx="25">
                  <c:v>107.266407231089</c:v>
                </c:pt>
                <c:pt idx="26">
                  <c:v>107.464659537581</c:v>
                </c:pt>
                <c:pt idx="27">
                  <c:v>107.675639768528</c:v>
                </c:pt>
                <c:pt idx="28">
                  <c:v>107.91227860916101</c:v>
                </c:pt>
                <c:pt idx="29">
                  <c:v>108.18217571028499</c:v>
                </c:pt>
                <c:pt idx="30">
                  <c:v>108.502894868517</c:v>
                </c:pt>
                <c:pt idx="31">
                  <c:v>108.890533829162</c:v>
                </c:pt>
                <c:pt idx="32">
                  <c:v>109.30030891131</c:v>
                </c:pt>
                <c:pt idx="33">
                  <c:v>109.677770135594</c:v>
                </c:pt>
                <c:pt idx="34">
                  <c:v>110.00706416862199</c:v>
                </c:pt>
                <c:pt idx="35">
                  <c:v>110.25851345868</c:v>
                </c:pt>
                <c:pt idx="36">
                  <c:v>110.430776192742</c:v>
                </c:pt>
                <c:pt idx="37">
                  <c:v>110.50776671273201</c:v>
                </c:pt>
                <c:pt idx="38">
                  <c:v>110.53138065778801</c:v>
                </c:pt>
                <c:pt idx="39">
                  <c:v>110.553731419966</c:v>
                </c:pt>
                <c:pt idx="40">
                  <c:v>110.591850772703</c:v>
                </c:pt>
                <c:pt idx="41">
                  <c:v>110.65826875163199</c:v>
                </c:pt>
                <c:pt idx="42">
                  <c:v>110.778308053063</c:v>
                </c:pt>
                <c:pt idx="43">
                  <c:v>110.944135469443</c:v>
                </c:pt>
                <c:pt idx="44">
                  <c:v>111.160329394878</c:v>
                </c:pt>
                <c:pt idx="45">
                  <c:v>111.439215060736</c:v>
                </c:pt>
                <c:pt idx="46">
                  <c:v>111.740381027268</c:v>
                </c:pt>
                <c:pt idx="47">
                  <c:v>112.05209913225301</c:v>
                </c:pt>
                <c:pt idx="48">
                  <c:v>112.36212904499899</c:v>
                </c:pt>
                <c:pt idx="49">
                  <c:v>112.63886026975101</c:v>
                </c:pt>
                <c:pt idx="50">
                  <c:v>112.87818422317601</c:v>
                </c:pt>
                <c:pt idx="51">
                  <c:v>113.05807069421699</c:v>
                </c:pt>
                <c:pt idx="52">
                  <c:v>113.185858946517</c:v>
                </c:pt>
                <c:pt idx="53">
                  <c:v>113.27930987069399</c:v>
                </c:pt>
                <c:pt idx="54">
                  <c:v>113.327505765344</c:v>
                </c:pt>
                <c:pt idx="55">
                  <c:v>113.330254617839</c:v>
                </c:pt>
                <c:pt idx="56">
                  <c:v>113.318624559875</c:v>
                </c:pt>
                <c:pt idx="57">
                  <c:v>113.30170141215601</c:v>
                </c:pt>
                <c:pt idx="58">
                  <c:v>113.280826579603</c:v>
                </c:pt>
                <c:pt idx="59">
                  <c:v>113.257370797999</c:v>
                </c:pt>
                <c:pt idx="60">
                  <c:v>113.220314615473</c:v>
                </c:pt>
                <c:pt idx="61">
                  <c:v>113.183242555771</c:v>
                </c:pt>
                <c:pt idx="62">
                  <c:v>113.13231487365201</c:v>
                </c:pt>
                <c:pt idx="63">
                  <c:v>113.075997970275</c:v>
                </c:pt>
                <c:pt idx="64">
                  <c:v>113.01593123016001</c:v>
                </c:pt>
                <c:pt idx="65">
                  <c:v>112.945150384855</c:v>
                </c:pt>
                <c:pt idx="66">
                  <c:v>112.863713409312</c:v>
                </c:pt>
                <c:pt idx="67">
                  <c:v>112.79048416769299</c:v>
                </c:pt>
                <c:pt idx="68">
                  <c:v>112.71882487054</c:v>
                </c:pt>
                <c:pt idx="69">
                  <c:v>112.663945209979</c:v>
                </c:pt>
                <c:pt idx="70">
                  <c:v>112.652698624257</c:v>
                </c:pt>
              </c:numCache>
            </c:numRef>
          </c:val>
          <c:smooth val="0"/>
          <c:extLst>
            <c:ext xmlns:c16="http://schemas.microsoft.com/office/drawing/2014/chart" uri="{C3380CC4-5D6E-409C-BE32-E72D297353CC}">
              <c16:uniqueId val="{00000001-3F65-4EB0-A2DA-E801FE588D86}"/>
            </c:ext>
          </c:extLst>
        </c:ser>
        <c:dLbls>
          <c:showLegendKey val="0"/>
          <c:showVal val="1"/>
          <c:showCatName val="0"/>
          <c:showSerName val="0"/>
          <c:showPercent val="0"/>
          <c:showBubbleSize val="0"/>
        </c:dLbls>
        <c:marker val="1"/>
        <c:smooth val="0"/>
        <c:axId val="106288032"/>
        <c:axId val="106287248"/>
      </c:lineChart>
      <c:catAx>
        <c:axId val="106288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7248"/>
        <c:crosses val="autoZero"/>
        <c:auto val="1"/>
        <c:lblAlgn val="ctr"/>
        <c:lblOffset val="0"/>
        <c:tickLblSkip val="1"/>
        <c:tickMarkSkip val="12"/>
        <c:noMultiLvlLbl val="1"/>
      </c:catAx>
      <c:valAx>
        <c:axId val="106287248"/>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8032"/>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Datos!$E$67:$E$137</c:f>
              <c:numCache>
                <c:formatCode>0.0</c:formatCode>
                <c:ptCount val="71"/>
                <c:pt idx="0">
                  <c:v>95.057742512507005</c:v>
                </c:pt>
                <c:pt idx="1">
                  <c:v>104.963741667742</c:v>
                </c:pt>
                <c:pt idx="2">
                  <c:v>104.49482737777601</c:v>
                </c:pt>
                <c:pt idx="3">
                  <c:v>100.714665873632</c:v>
                </c:pt>
                <c:pt idx="4">
                  <c:v>105.496796429337</c:v>
                </c:pt>
                <c:pt idx="5">
                  <c:v>100.54156867779101</c:v>
                </c:pt>
                <c:pt idx="6">
                  <c:v>107.613658866957</c:v>
                </c:pt>
                <c:pt idx="7">
                  <c:v>103.346021017268</c:v>
                </c:pt>
                <c:pt idx="8">
                  <c:v>104.040728386493</c:v>
                </c:pt>
                <c:pt idx="9">
                  <c:v>104.215411209878</c:v>
                </c:pt>
                <c:pt idx="10">
                  <c:v>104.254277086182</c:v>
                </c:pt>
                <c:pt idx="11">
                  <c:v>105.616395745712</c:v>
                </c:pt>
                <c:pt idx="12">
                  <c:v>105.625533055481</c:v>
                </c:pt>
                <c:pt idx="13">
                  <c:v>104.26308736944701</c:v>
                </c:pt>
                <c:pt idx="14">
                  <c:v>104.581873159042</c:v>
                </c:pt>
                <c:pt idx="15">
                  <c:v>105.87822969917001</c:v>
                </c:pt>
                <c:pt idx="16">
                  <c:v>111.017628333593</c:v>
                </c:pt>
                <c:pt idx="17">
                  <c:v>97.315496615180507</c:v>
                </c:pt>
                <c:pt idx="18">
                  <c:v>102.164604414002</c:v>
                </c:pt>
                <c:pt idx="19">
                  <c:v>105.838052333082</c:v>
                </c:pt>
                <c:pt idx="20">
                  <c:v>107.134189460442</c:v>
                </c:pt>
                <c:pt idx="21">
                  <c:v>106.314889544335</c:v>
                </c:pt>
                <c:pt idx="22">
                  <c:v>101.444114403553</c:v>
                </c:pt>
                <c:pt idx="23">
                  <c:v>107.473654648899</c:v>
                </c:pt>
                <c:pt idx="24">
                  <c:v>105.41644858940199</c:v>
                </c:pt>
                <c:pt idx="25">
                  <c:v>107.46790590356299</c:v>
                </c:pt>
                <c:pt idx="26">
                  <c:v>103.87962562223299</c:v>
                </c:pt>
                <c:pt idx="27">
                  <c:v>107.13526994269</c:v>
                </c:pt>
                <c:pt idx="28">
                  <c:v>105.343048184735</c:v>
                </c:pt>
                <c:pt idx="29">
                  <c:v>111.47145999252</c:v>
                </c:pt>
                <c:pt idx="30">
                  <c:v>106.940457556304</c:v>
                </c:pt>
                <c:pt idx="31">
                  <c:v>113.752552765511</c:v>
                </c:pt>
                <c:pt idx="32">
                  <c:v>110.15611395673</c:v>
                </c:pt>
                <c:pt idx="33">
                  <c:v>109.885856759136</c:v>
                </c:pt>
                <c:pt idx="34">
                  <c:v>109.53219151045499</c:v>
                </c:pt>
                <c:pt idx="35">
                  <c:v>111.22656991135101</c:v>
                </c:pt>
                <c:pt idx="36">
                  <c:v>116.290530229173</c:v>
                </c:pt>
                <c:pt idx="37">
                  <c:v>103.07465280078</c:v>
                </c:pt>
                <c:pt idx="38">
                  <c:v>109.683683768796</c:v>
                </c:pt>
                <c:pt idx="39">
                  <c:v>110.74161864444601</c:v>
                </c:pt>
                <c:pt idx="40">
                  <c:v>107.340455400645</c:v>
                </c:pt>
                <c:pt idx="41">
                  <c:v>116.807316692321</c:v>
                </c:pt>
                <c:pt idx="42">
                  <c:v>111.25136612433801</c:v>
                </c:pt>
                <c:pt idx="43">
                  <c:v>110.904600056772</c:v>
                </c:pt>
                <c:pt idx="44">
                  <c:v>112.591897881682</c:v>
                </c:pt>
                <c:pt idx="45">
                  <c:v>114.37381335307199</c:v>
                </c:pt>
                <c:pt idx="46">
                  <c:v>117.68205652523601</c:v>
                </c:pt>
                <c:pt idx="47">
                  <c:v>112.939496456714</c:v>
                </c:pt>
                <c:pt idx="48">
                  <c:v>116.58807960500199</c:v>
                </c:pt>
                <c:pt idx="49">
                  <c:v>112.733981466139</c:v>
                </c:pt>
                <c:pt idx="50">
                  <c:v>116.456324494938</c:v>
                </c:pt>
                <c:pt idx="51">
                  <c:v>115.888032313869</c:v>
                </c:pt>
                <c:pt idx="52">
                  <c:v>117.56443247465801</c:v>
                </c:pt>
                <c:pt idx="53">
                  <c:v>112.15722898248001</c:v>
                </c:pt>
                <c:pt idx="54">
                  <c:v>112.820641214342</c:v>
                </c:pt>
                <c:pt idx="55">
                  <c:v>113.260625380351</c:v>
                </c:pt>
                <c:pt idx="56">
                  <c:v>112.156797812592</c:v>
                </c:pt>
                <c:pt idx="57">
                  <c:v>109.12578510521899</c:v>
                </c:pt>
                <c:pt idx="58">
                  <c:v>120.947129235937</c:v>
                </c:pt>
                <c:pt idx="59">
                  <c:v>116.640274653166</c:v>
                </c:pt>
                <c:pt idx="60">
                  <c:v>114.416388771477</c:v>
                </c:pt>
                <c:pt idx="61">
                  <c:v>118.652161570979</c:v>
                </c:pt>
                <c:pt idx="62">
                  <c:v>118.036192902515</c:v>
                </c:pt>
                <c:pt idx="63">
                  <c:v>115.544353688687</c:v>
                </c:pt>
                <c:pt idx="64">
                  <c:v>116.561124702455</c:v>
                </c:pt>
                <c:pt idx="65">
                  <c:v>114.969696519168</c:v>
                </c:pt>
                <c:pt idx="66">
                  <c:v>119.423042320439</c:v>
                </c:pt>
                <c:pt idx="67">
                  <c:v>117.00130852127199</c:v>
                </c:pt>
                <c:pt idx="68">
                  <c:v>121.761549940628</c:v>
                </c:pt>
                <c:pt idx="69">
                  <c:v>120.37655836419501</c:v>
                </c:pt>
                <c:pt idx="70">
                  <c:v>117.998657766619</c:v>
                </c:pt>
              </c:numCache>
            </c:numRef>
          </c:val>
          <c:extLst>
            <c:ext xmlns:c16="http://schemas.microsoft.com/office/drawing/2014/chart" uri="{C3380CC4-5D6E-409C-BE32-E72D297353CC}">
              <c16:uniqueId val="{00000000-27CA-4D07-85D2-AA05BA098952}"/>
            </c:ext>
          </c:extLst>
        </c:ser>
        <c:dLbls>
          <c:showLegendKey val="0"/>
          <c:showVal val="1"/>
          <c:showCatName val="0"/>
          <c:showSerName val="0"/>
          <c:showPercent val="0"/>
          <c:showBubbleSize val="0"/>
        </c:dLbls>
        <c:gapWidth val="50"/>
        <c:axId val="106288424"/>
        <c:axId val="106287640"/>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Datos!$F$67:$F$137</c:f>
              <c:numCache>
                <c:formatCode>0.0</c:formatCode>
                <c:ptCount val="71"/>
                <c:pt idx="0">
                  <c:v>102.96104800875899</c:v>
                </c:pt>
                <c:pt idx="1">
                  <c:v>103.241632751198</c:v>
                </c:pt>
                <c:pt idx="2">
                  <c:v>103.464488204445</c:v>
                </c:pt>
                <c:pt idx="3">
                  <c:v>103.64253258284501</c:v>
                </c:pt>
                <c:pt idx="4">
                  <c:v>103.77919838878999</c:v>
                </c:pt>
                <c:pt idx="5">
                  <c:v>103.891413254041</c:v>
                </c:pt>
                <c:pt idx="6">
                  <c:v>104.007102628642</c:v>
                </c:pt>
                <c:pt idx="7">
                  <c:v>104.16365627153</c:v>
                </c:pt>
                <c:pt idx="8">
                  <c:v>104.359887832244</c:v>
                </c:pt>
                <c:pt idx="9">
                  <c:v>104.550989940931</c:v>
                </c:pt>
                <c:pt idx="10">
                  <c:v>104.71060449720299</c:v>
                </c:pt>
                <c:pt idx="11">
                  <c:v>104.86003993077399</c:v>
                </c:pt>
                <c:pt idx="12">
                  <c:v>104.98275521070801</c:v>
                </c:pt>
                <c:pt idx="13">
                  <c:v>105.070878200384</c:v>
                </c:pt>
                <c:pt idx="14">
                  <c:v>105.113480007064</c:v>
                </c:pt>
                <c:pt idx="15">
                  <c:v>105.140153727227</c:v>
                </c:pt>
                <c:pt idx="16">
                  <c:v>105.163336694677</c:v>
                </c:pt>
                <c:pt idx="17">
                  <c:v>105.18281925332801</c:v>
                </c:pt>
                <c:pt idx="18">
                  <c:v>105.189584679885</c:v>
                </c:pt>
                <c:pt idx="19">
                  <c:v>105.1823043581</c:v>
                </c:pt>
                <c:pt idx="20">
                  <c:v>105.17574060536499</c:v>
                </c:pt>
                <c:pt idx="21">
                  <c:v>105.190190879536</c:v>
                </c:pt>
                <c:pt idx="22">
                  <c:v>105.260760434437</c:v>
                </c:pt>
                <c:pt idx="23">
                  <c:v>105.422653875812</c:v>
                </c:pt>
                <c:pt idx="24">
                  <c:v>105.69302594544099</c:v>
                </c:pt>
                <c:pt idx="25">
                  <c:v>106.085305785724</c:v>
                </c:pt>
                <c:pt idx="26">
                  <c:v>106.59697946979399</c:v>
                </c:pt>
                <c:pt idx="27">
                  <c:v>107.199080929171</c:v>
                </c:pt>
                <c:pt idx="28">
                  <c:v>107.845864135602</c:v>
                </c:pt>
                <c:pt idx="29">
                  <c:v>108.50836613865999</c:v>
                </c:pt>
                <c:pt idx="30">
                  <c:v>109.13519254219101</c:v>
                </c:pt>
                <c:pt idx="31">
                  <c:v>109.66491571939</c:v>
                </c:pt>
                <c:pt idx="32">
                  <c:v>110.043493567607</c:v>
                </c:pt>
                <c:pt idx="33">
                  <c:v>110.256927527676</c:v>
                </c:pt>
                <c:pt idx="34">
                  <c:v>110.31999151846399</c:v>
                </c:pt>
                <c:pt idx="35">
                  <c:v>110.25361662289301</c:v>
                </c:pt>
                <c:pt idx="36">
                  <c:v>110.111088294369</c:v>
                </c:pt>
                <c:pt idx="37">
                  <c:v>109.978268348664</c:v>
                </c:pt>
                <c:pt idx="38">
                  <c:v>109.949233821353</c:v>
                </c:pt>
                <c:pt idx="39">
                  <c:v>110.086862932226</c:v>
                </c:pt>
                <c:pt idx="40">
                  <c:v>110.40168034582901</c:v>
                </c:pt>
                <c:pt idx="41">
                  <c:v>110.875108152861</c:v>
                </c:pt>
                <c:pt idx="42">
                  <c:v>111.480617965909</c:v>
                </c:pt>
                <c:pt idx="43">
                  <c:v>112.19317985285799</c:v>
                </c:pt>
                <c:pt idx="44">
                  <c:v>112.944868411876</c:v>
                </c:pt>
                <c:pt idx="45">
                  <c:v>113.690829718849</c:v>
                </c:pt>
                <c:pt idx="46">
                  <c:v>114.365636622385</c:v>
                </c:pt>
                <c:pt idx="47">
                  <c:v>114.887122526901</c:v>
                </c:pt>
                <c:pt idx="48">
                  <c:v>115.188251995171</c:v>
                </c:pt>
                <c:pt idx="49">
                  <c:v>115.261140737151</c:v>
                </c:pt>
                <c:pt idx="50">
                  <c:v>115.117139765049</c:v>
                </c:pt>
                <c:pt idx="51">
                  <c:v>114.806235567272</c:v>
                </c:pt>
                <c:pt idx="52">
                  <c:v>114.422258986594</c:v>
                </c:pt>
                <c:pt idx="53">
                  <c:v>114.06583070417901</c:v>
                </c:pt>
                <c:pt idx="54">
                  <c:v>113.81605654419999</c:v>
                </c:pt>
                <c:pt idx="55">
                  <c:v>113.725406829972</c:v>
                </c:pt>
                <c:pt idx="56">
                  <c:v>113.815264544841</c:v>
                </c:pt>
                <c:pt idx="57">
                  <c:v>114.052974944197</c:v>
                </c:pt>
                <c:pt idx="58">
                  <c:v>114.402009047053</c:v>
                </c:pt>
                <c:pt idx="59">
                  <c:v>114.84483407702299</c:v>
                </c:pt>
                <c:pt idx="60">
                  <c:v>115.370490830135</c:v>
                </c:pt>
                <c:pt idx="61">
                  <c:v>115.924499593739</c:v>
                </c:pt>
                <c:pt idx="62">
                  <c:v>116.467587028728</c:v>
                </c:pt>
                <c:pt idx="63">
                  <c:v>116.965791409426</c:v>
                </c:pt>
                <c:pt idx="64">
                  <c:v>117.416743815609</c:v>
                </c:pt>
                <c:pt idx="65">
                  <c:v>117.821457285278</c:v>
                </c:pt>
                <c:pt idx="66">
                  <c:v>118.190538250638</c:v>
                </c:pt>
                <c:pt idx="67">
                  <c:v>118.50457030723901</c:v>
                </c:pt>
                <c:pt idx="68">
                  <c:v>118.749204812042</c:v>
                </c:pt>
                <c:pt idx="69">
                  <c:v>118.92752388715201</c:v>
                </c:pt>
                <c:pt idx="70">
                  <c:v>119.040151290943</c:v>
                </c:pt>
              </c:numCache>
            </c:numRef>
          </c:val>
          <c:smooth val="0"/>
          <c:extLst>
            <c:ext xmlns:c16="http://schemas.microsoft.com/office/drawing/2014/chart" uri="{C3380CC4-5D6E-409C-BE32-E72D297353CC}">
              <c16:uniqueId val="{00000001-27CA-4D07-85D2-AA05BA098952}"/>
            </c:ext>
          </c:extLst>
        </c:ser>
        <c:dLbls>
          <c:showLegendKey val="0"/>
          <c:showVal val="1"/>
          <c:showCatName val="0"/>
          <c:showSerName val="0"/>
          <c:showPercent val="0"/>
          <c:showBubbleSize val="0"/>
        </c:dLbls>
        <c:marker val="1"/>
        <c:smooth val="0"/>
        <c:axId val="106288424"/>
        <c:axId val="106287640"/>
      </c:lineChart>
      <c:catAx>
        <c:axId val="1062884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7640"/>
        <c:crosses val="autoZero"/>
        <c:auto val="1"/>
        <c:lblAlgn val="ctr"/>
        <c:lblOffset val="0"/>
        <c:tickLblSkip val="1"/>
        <c:tickMarkSkip val="12"/>
        <c:noMultiLvlLbl val="1"/>
      </c:catAx>
      <c:valAx>
        <c:axId val="106287640"/>
        <c:scaling>
          <c:orientation val="minMax"/>
          <c:max val="13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842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Datos!$G$67:$G$137</c:f>
              <c:numCache>
                <c:formatCode>0.0</c:formatCode>
                <c:ptCount val="71"/>
                <c:pt idx="0">
                  <c:v>101.03359666677601</c:v>
                </c:pt>
                <c:pt idx="1">
                  <c:v>101.529473639993</c:v>
                </c:pt>
                <c:pt idx="2">
                  <c:v>101.851114326147</c:v>
                </c:pt>
                <c:pt idx="3">
                  <c:v>102.615515870908</c:v>
                </c:pt>
                <c:pt idx="4">
                  <c:v>102.89520741201299</c:v>
                </c:pt>
                <c:pt idx="5">
                  <c:v>102.779525508944</c:v>
                </c:pt>
                <c:pt idx="6">
                  <c:v>102.242724671136</c:v>
                </c:pt>
                <c:pt idx="7">
                  <c:v>102.672547335807</c:v>
                </c:pt>
                <c:pt idx="8">
                  <c:v>102.75318578308099</c:v>
                </c:pt>
                <c:pt idx="9">
                  <c:v>104.082762748791</c:v>
                </c:pt>
                <c:pt idx="10">
                  <c:v>103.327828342871</c:v>
                </c:pt>
                <c:pt idx="11">
                  <c:v>103.552578525633</c:v>
                </c:pt>
                <c:pt idx="12">
                  <c:v>102.92270926086501</c:v>
                </c:pt>
                <c:pt idx="13">
                  <c:v>103.207016718397</c:v>
                </c:pt>
                <c:pt idx="14">
                  <c:v>102.961949511358</c:v>
                </c:pt>
                <c:pt idx="15">
                  <c:v>104.29996321609801</c:v>
                </c:pt>
                <c:pt idx="16">
                  <c:v>102.852365610129</c:v>
                </c:pt>
                <c:pt idx="17">
                  <c:v>102.94207132916</c:v>
                </c:pt>
                <c:pt idx="18">
                  <c:v>104.854431508476</c:v>
                </c:pt>
                <c:pt idx="19">
                  <c:v>104.864268166359</c:v>
                </c:pt>
                <c:pt idx="20">
                  <c:v>105.922854578433</c:v>
                </c:pt>
                <c:pt idx="21">
                  <c:v>104.386008706518</c:v>
                </c:pt>
                <c:pt idx="22">
                  <c:v>103.63639795690899</c:v>
                </c:pt>
                <c:pt idx="23">
                  <c:v>104.058268450488</c:v>
                </c:pt>
                <c:pt idx="24">
                  <c:v>104.33505106950101</c:v>
                </c:pt>
                <c:pt idx="25">
                  <c:v>104.342607271766</c:v>
                </c:pt>
                <c:pt idx="26">
                  <c:v>103.88565527938999</c:v>
                </c:pt>
                <c:pt idx="27">
                  <c:v>103.843086884709</c:v>
                </c:pt>
                <c:pt idx="28">
                  <c:v>103.80372431513599</c:v>
                </c:pt>
                <c:pt idx="29">
                  <c:v>103.76596819172499</c:v>
                </c:pt>
                <c:pt idx="30">
                  <c:v>103.89351919507401</c:v>
                </c:pt>
                <c:pt idx="31">
                  <c:v>103.84514889955599</c:v>
                </c:pt>
                <c:pt idx="32">
                  <c:v>103.938418088633</c:v>
                </c:pt>
                <c:pt idx="33">
                  <c:v>104.593503818861</c:v>
                </c:pt>
                <c:pt idx="34">
                  <c:v>105.44004274850001</c:v>
                </c:pt>
                <c:pt idx="35">
                  <c:v>104.425496529149</c:v>
                </c:pt>
                <c:pt idx="36">
                  <c:v>104.701952638393</c:v>
                </c:pt>
                <c:pt idx="37">
                  <c:v>104.15960012140501</c:v>
                </c:pt>
                <c:pt idx="38">
                  <c:v>104.720923055532</c:v>
                </c:pt>
                <c:pt idx="39">
                  <c:v>103.849172850419</c:v>
                </c:pt>
                <c:pt idx="40">
                  <c:v>104.032150551744</c:v>
                </c:pt>
                <c:pt idx="41">
                  <c:v>104.070173918799</c:v>
                </c:pt>
                <c:pt idx="42">
                  <c:v>103.600037647954</c:v>
                </c:pt>
                <c:pt idx="43">
                  <c:v>103.98221394996401</c:v>
                </c:pt>
                <c:pt idx="44">
                  <c:v>102.587989343662</c:v>
                </c:pt>
                <c:pt idx="45">
                  <c:v>104.208658676702</c:v>
                </c:pt>
                <c:pt idx="46">
                  <c:v>104.51523134029399</c:v>
                </c:pt>
                <c:pt idx="47">
                  <c:v>105.29380671471399</c:v>
                </c:pt>
                <c:pt idx="48">
                  <c:v>105.054074593555</c:v>
                </c:pt>
                <c:pt idx="49">
                  <c:v>105.037708683804</c:v>
                </c:pt>
                <c:pt idx="50">
                  <c:v>105.59504098150801</c:v>
                </c:pt>
                <c:pt idx="51">
                  <c:v>104.43756707477399</c:v>
                </c:pt>
                <c:pt idx="52">
                  <c:v>106.221563786373</c:v>
                </c:pt>
                <c:pt idx="53">
                  <c:v>104.92342330712501</c:v>
                </c:pt>
                <c:pt idx="54">
                  <c:v>104.949681423063</c:v>
                </c:pt>
                <c:pt idx="55">
                  <c:v>104.131716586698</c:v>
                </c:pt>
                <c:pt idx="56">
                  <c:v>104.630858259557</c:v>
                </c:pt>
                <c:pt idx="57">
                  <c:v>103.913783460776</c:v>
                </c:pt>
                <c:pt idx="58">
                  <c:v>103.446484696738</c:v>
                </c:pt>
                <c:pt idx="59">
                  <c:v>102.327693961658</c:v>
                </c:pt>
                <c:pt idx="60">
                  <c:v>103.890999232151</c:v>
                </c:pt>
                <c:pt idx="61">
                  <c:v>104.31106103219</c:v>
                </c:pt>
                <c:pt idx="62">
                  <c:v>102.963177709712</c:v>
                </c:pt>
                <c:pt idx="63">
                  <c:v>103.94269493368699</c:v>
                </c:pt>
                <c:pt idx="64">
                  <c:v>102.770009276533</c:v>
                </c:pt>
                <c:pt idx="65">
                  <c:v>102.747300077544</c:v>
                </c:pt>
                <c:pt idx="66">
                  <c:v>102.519081472887</c:v>
                </c:pt>
                <c:pt idx="67">
                  <c:v>103.029062633743</c:v>
                </c:pt>
                <c:pt idx="68">
                  <c:v>102.41339243106</c:v>
                </c:pt>
                <c:pt idx="69">
                  <c:v>100.87125306011301</c:v>
                </c:pt>
                <c:pt idx="70">
                  <c:v>101.715750930101</c:v>
                </c:pt>
              </c:numCache>
            </c:numRef>
          </c:val>
          <c:extLst>
            <c:ext xmlns:c16="http://schemas.microsoft.com/office/drawing/2014/chart" uri="{C3380CC4-5D6E-409C-BE32-E72D297353CC}">
              <c16:uniqueId val="{00000000-AC69-4EDB-85D3-FE41E2EDA656}"/>
            </c:ext>
          </c:extLst>
        </c:ser>
        <c:dLbls>
          <c:showLegendKey val="0"/>
          <c:showVal val="1"/>
          <c:showCatName val="0"/>
          <c:showSerName val="0"/>
          <c:showPercent val="0"/>
          <c:showBubbleSize val="0"/>
        </c:dLbls>
        <c:gapWidth val="50"/>
        <c:axId val="106285288"/>
        <c:axId val="106285680"/>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Datos!$H$67:$H$137</c:f>
              <c:numCache>
                <c:formatCode>0.0</c:formatCode>
                <c:ptCount val="71"/>
                <c:pt idx="0">
                  <c:v>101.164516552382</c:v>
                </c:pt>
                <c:pt idx="1">
                  <c:v>101.575299383762</c:v>
                </c:pt>
                <c:pt idx="2">
                  <c:v>101.989839260221</c:v>
                </c:pt>
                <c:pt idx="3">
                  <c:v>102.326739959747</c:v>
                </c:pt>
                <c:pt idx="4">
                  <c:v>102.548033123712</c:v>
                </c:pt>
                <c:pt idx="5">
                  <c:v>102.646554521634</c:v>
                </c:pt>
                <c:pt idx="6">
                  <c:v>102.70288530173001</c:v>
                </c:pt>
                <c:pt idx="7">
                  <c:v>102.778378964392</c:v>
                </c:pt>
                <c:pt idx="8">
                  <c:v>102.902714763864</c:v>
                </c:pt>
                <c:pt idx="9">
                  <c:v>103.043187655422</c:v>
                </c:pt>
                <c:pt idx="10">
                  <c:v>103.163236128889</c:v>
                </c:pt>
                <c:pt idx="11">
                  <c:v>103.21922442269501</c:v>
                </c:pt>
                <c:pt idx="12">
                  <c:v>103.21015629764</c:v>
                </c:pt>
                <c:pt idx="13">
                  <c:v>103.20444927124601</c:v>
                </c:pt>
                <c:pt idx="14">
                  <c:v>103.296133099483</c:v>
                </c:pt>
                <c:pt idx="15">
                  <c:v>103.520217444759</c:v>
                </c:pt>
                <c:pt idx="16">
                  <c:v>103.85930176463</c:v>
                </c:pt>
                <c:pt idx="17">
                  <c:v>104.213231862309</c:v>
                </c:pt>
                <c:pt idx="18">
                  <c:v>104.46807241697501</c:v>
                </c:pt>
                <c:pt idx="19">
                  <c:v>104.56075315187501</c:v>
                </c:pt>
                <c:pt idx="20">
                  <c:v>104.519553086903</c:v>
                </c:pt>
                <c:pt idx="21">
                  <c:v>104.39757955306401</c:v>
                </c:pt>
                <c:pt idx="22">
                  <c:v>104.26356556635101</c:v>
                </c:pt>
                <c:pt idx="23">
                  <c:v>104.156655794546</c:v>
                </c:pt>
                <c:pt idx="24">
                  <c:v>104.098959205643</c:v>
                </c:pt>
                <c:pt idx="25">
                  <c:v>104.061393549946</c:v>
                </c:pt>
                <c:pt idx="26">
                  <c:v>104.005547189211</c:v>
                </c:pt>
                <c:pt idx="27">
                  <c:v>103.91582326608901</c:v>
                </c:pt>
                <c:pt idx="28">
                  <c:v>103.813636415082</c:v>
                </c:pt>
                <c:pt idx="29">
                  <c:v>103.771881872611</c:v>
                </c:pt>
                <c:pt idx="30">
                  <c:v>103.840214596482</c:v>
                </c:pt>
                <c:pt idx="31">
                  <c:v>104.013426766956</c:v>
                </c:pt>
                <c:pt idx="32">
                  <c:v>104.227614803092</c:v>
                </c:pt>
                <c:pt idx="33">
                  <c:v>104.437079777047</c:v>
                </c:pt>
                <c:pt idx="34">
                  <c:v>104.593081306073</c:v>
                </c:pt>
                <c:pt idx="35">
                  <c:v>104.649583932849</c:v>
                </c:pt>
                <c:pt idx="36">
                  <c:v>104.604641808506</c:v>
                </c:pt>
                <c:pt idx="37">
                  <c:v>104.474664898014</c:v>
                </c:pt>
                <c:pt idx="38">
                  <c:v>104.30008725159099</c:v>
                </c:pt>
                <c:pt idx="39">
                  <c:v>104.131506659914</c:v>
                </c:pt>
                <c:pt idx="40">
                  <c:v>103.997925779881</c:v>
                </c:pt>
                <c:pt idx="41">
                  <c:v>103.895371212992</c:v>
                </c:pt>
                <c:pt idx="42">
                  <c:v>103.85416044836001</c:v>
                </c:pt>
                <c:pt idx="43">
                  <c:v>103.92143726283</c:v>
                </c:pt>
                <c:pt idx="44">
                  <c:v>104.08567810276</c:v>
                </c:pt>
                <c:pt idx="45">
                  <c:v>104.342425535025</c:v>
                </c:pt>
                <c:pt idx="46">
                  <c:v>104.627897721377</c:v>
                </c:pt>
                <c:pt idx="47">
                  <c:v>104.896649833501</c:v>
                </c:pt>
                <c:pt idx="48">
                  <c:v>105.08778423821499</c:v>
                </c:pt>
                <c:pt idx="49">
                  <c:v>105.192224024919</c:v>
                </c:pt>
                <c:pt idx="50">
                  <c:v>105.206872509593</c:v>
                </c:pt>
                <c:pt idx="51">
                  <c:v>105.147467490642</c:v>
                </c:pt>
                <c:pt idx="52">
                  <c:v>105.048111682742</c:v>
                </c:pt>
                <c:pt idx="53">
                  <c:v>104.913096653628</c:v>
                </c:pt>
                <c:pt idx="54">
                  <c:v>104.723210084152</c:v>
                </c:pt>
                <c:pt idx="55">
                  <c:v>104.47705496891599</c:v>
                </c:pt>
                <c:pt idx="56">
                  <c:v>104.230941862896</c:v>
                </c:pt>
                <c:pt idx="57">
                  <c:v>103.999838064307</c:v>
                </c:pt>
                <c:pt idx="58">
                  <c:v>103.816590114568</c:v>
                </c:pt>
                <c:pt idx="59">
                  <c:v>103.70514935272401</c:v>
                </c:pt>
                <c:pt idx="60">
                  <c:v>103.62927781282301</c:v>
                </c:pt>
                <c:pt idx="61">
                  <c:v>103.53579313823001</c:v>
                </c:pt>
                <c:pt idx="62">
                  <c:v>103.4031093247</c:v>
                </c:pt>
                <c:pt idx="63">
                  <c:v>103.24618126203001</c:v>
                </c:pt>
                <c:pt idx="64">
                  <c:v>103.06855029873201</c:v>
                </c:pt>
                <c:pt idx="65">
                  <c:v>102.90727025640901</c:v>
                </c:pt>
                <c:pt idx="66">
                  <c:v>102.75527514306501</c:v>
                </c:pt>
                <c:pt idx="67">
                  <c:v>102.56326558835001</c:v>
                </c:pt>
                <c:pt idx="68">
                  <c:v>102.30056086500799</c:v>
                </c:pt>
                <c:pt idx="69">
                  <c:v>101.98934688420501</c:v>
                </c:pt>
                <c:pt idx="70">
                  <c:v>101.66791892487601</c:v>
                </c:pt>
              </c:numCache>
            </c:numRef>
          </c:val>
          <c:smooth val="0"/>
          <c:extLst>
            <c:ext xmlns:c16="http://schemas.microsoft.com/office/drawing/2014/chart" uri="{C3380CC4-5D6E-409C-BE32-E72D297353CC}">
              <c16:uniqueId val="{00000001-AC69-4EDB-85D3-FE41E2EDA656}"/>
            </c:ext>
          </c:extLst>
        </c:ser>
        <c:dLbls>
          <c:showLegendKey val="0"/>
          <c:showVal val="1"/>
          <c:showCatName val="0"/>
          <c:showSerName val="0"/>
          <c:showPercent val="0"/>
          <c:showBubbleSize val="0"/>
        </c:dLbls>
        <c:marker val="1"/>
        <c:smooth val="0"/>
        <c:axId val="106285288"/>
        <c:axId val="106285680"/>
      </c:lineChart>
      <c:catAx>
        <c:axId val="1062852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5680"/>
        <c:crosses val="autoZero"/>
        <c:auto val="1"/>
        <c:lblAlgn val="ctr"/>
        <c:lblOffset val="0"/>
        <c:tickLblSkip val="1"/>
        <c:tickMarkSkip val="12"/>
        <c:noMultiLvlLbl val="1"/>
      </c:catAx>
      <c:valAx>
        <c:axId val="106285680"/>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285288"/>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Datos!$A$67:$B$137</c:f>
              <c:multiLvlStrCache>
                <c:ptCount val="71"/>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Datos!$I$67:$I$137</c:f>
              <c:numCache>
                <c:formatCode>0.0</c:formatCode>
                <c:ptCount val="71"/>
                <c:pt idx="0">
                  <c:v>100.220215441969</c:v>
                </c:pt>
                <c:pt idx="1">
                  <c:v>101.441459237586</c:v>
                </c:pt>
                <c:pt idx="2">
                  <c:v>101.215080779749</c:v>
                </c:pt>
                <c:pt idx="3">
                  <c:v>101.94112175692401</c:v>
                </c:pt>
                <c:pt idx="4">
                  <c:v>102.858405356083</c:v>
                </c:pt>
                <c:pt idx="5">
                  <c:v>102.184258761994</c:v>
                </c:pt>
                <c:pt idx="6">
                  <c:v>103.028987315132</c:v>
                </c:pt>
                <c:pt idx="7">
                  <c:v>102.85687542111199</c:v>
                </c:pt>
                <c:pt idx="8">
                  <c:v>102.47578392103</c:v>
                </c:pt>
                <c:pt idx="9">
                  <c:v>103.76583178040001</c:v>
                </c:pt>
                <c:pt idx="10">
                  <c:v>104.277010561898</c:v>
                </c:pt>
                <c:pt idx="11">
                  <c:v>104.018670225093</c:v>
                </c:pt>
                <c:pt idx="12">
                  <c:v>104.940601544988</c:v>
                </c:pt>
                <c:pt idx="13">
                  <c:v>105.214356774462</c:v>
                </c:pt>
                <c:pt idx="14">
                  <c:v>105.501765012795</c:v>
                </c:pt>
                <c:pt idx="15">
                  <c:v>106.57140975735901</c:v>
                </c:pt>
                <c:pt idx="16">
                  <c:v>106.23093574853</c:v>
                </c:pt>
                <c:pt idx="17">
                  <c:v>106.99985583834101</c:v>
                </c:pt>
                <c:pt idx="18">
                  <c:v>107.3955327796</c:v>
                </c:pt>
                <c:pt idx="19">
                  <c:v>107.63622223063901</c:v>
                </c:pt>
                <c:pt idx="20">
                  <c:v>108.385845011442</c:v>
                </c:pt>
                <c:pt idx="21">
                  <c:v>108.253736126532</c:v>
                </c:pt>
                <c:pt idx="22">
                  <c:v>107.923446606665</c:v>
                </c:pt>
                <c:pt idx="23">
                  <c:v>107.650095249778</c:v>
                </c:pt>
                <c:pt idx="24">
                  <c:v>108.928595097064</c:v>
                </c:pt>
                <c:pt idx="25">
                  <c:v>109.940116928479</c:v>
                </c:pt>
                <c:pt idx="26">
                  <c:v>109.651282607445</c:v>
                </c:pt>
                <c:pt idx="27">
                  <c:v>109.36252776494599</c:v>
                </c:pt>
                <c:pt idx="28">
                  <c:v>110.10509769401899</c:v>
                </c:pt>
                <c:pt idx="29">
                  <c:v>110.696899966307</c:v>
                </c:pt>
                <c:pt idx="30">
                  <c:v>111.23534413526799</c:v>
                </c:pt>
                <c:pt idx="31">
                  <c:v>111.285771509356</c:v>
                </c:pt>
                <c:pt idx="32">
                  <c:v>112.161895478593</c:v>
                </c:pt>
                <c:pt idx="33">
                  <c:v>112.644771728088</c:v>
                </c:pt>
                <c:pt idx="34">
                  <c:v>112.44784849992899</c:v>
                </c:pt>
                <c:pt idx="35">
                  <c:v>113.70118848771099</c:v>
                </c:pt>
                <c:pt idx="36">
                  <c:v>113.507325825135</c:v>
                </c:pt>
                <c:pt idx="37">
                  <c:v>113.529206263405</c:v>
                </c:pt>
                <c:pt idx="38">
                  <c:v>113.659663698158</c:v>
                </c:pt>
                <c:pt idx="39">
                  <c:v>114.406549565102</c:v>
                </c:pt>
                <c:pt idx="40">
                  <c:v>114.020576119265</c:v>
                </c:pt>
                <c:pt idx="41">
                  <c:v>114.44636043834301</c:v>
                </c:pt>
                <c:pt idx="42">
                  <c:v>113.869343767083</c:v>
                </c:pt>
                <c:pt idx="43">
                  <c:v>115.46214459696</c:v>
                </c:pt>
                <c:pt idx="44">
                  <c:v>114.276732152612</c:v>
                </c:pt>
                <c:pt idx="45">
                  <c:v>114.813769508761</c:v>
                </c:pt>
                <c:pt idx="46">
                  <c:v>115.639451553263</c:v>
                </c:pt>
                <c:pt idx="47">
                  <c:v>116.858036727002</c:v>
                </c:pt>
                <c:pt idx="48">
                  <c:v>115.62541171376699</c:v>
                </c:pt>
                <c:pt idx="49">
                  <c:v>116.706135297084</c:v>
                </c:pt>
                <c:pt idx="50">
                  <c:v>117.972507380103</c:v>
                </c:pt>
                <c:pt idx="51">
                  <c:v>117.131478761189</c:v>
                </c:pt>
                <c:pt idx="52">
                  <c:v>117.40596363248</c:v>
                </c:pt>
                <c:pt idx="53">
                  <c:v>117.581865148893</c:v>
                </c:pt>
                <c:pt idx="54">
                  <c:v>118.07059833389501</c:v>
                </c:pt>
                <c:pt idx="55">
                  <c:v>118.594580518475</c:v>
                </c:pt>
                <c:pt idx="56">
                  <c:v>118.28992609450199</c:v>
                </c:pt>
                <c:pt idx="57">
                  <c:v>118.395087781816</c:v>
                </c:pt>
                <c:pt idx="58">
                  <c:v>118.70616672980501</c:v>
                </c:pt>
                <c:pt idx="59">
                  <c:v>117.978635628292</c:v>
                </c:pt>
                <c:pt idx="60">
                  <c:v>118.257566021526</c:v>
                </c:pt>
                <c:pt idx="61">
                  <c:v>118.273143194524</c:v>
                </c:pt>
                <c:pt idx="62">
                  <c:v>118.122389867493</c:v>
                </c:pt>
                <c:pt idx="63">
                  <c:v>117.742827920379</c:v>
                </c:pt>
                <c:pt idx="64">
                  <c:v>118.513901404148</c:v>
                </c:pt>
                <c:pt idx="65">
                  <c:v>118.381139919223</c:v>
                </c:pt>
                <c:pt idx="66">
                  <c:v>118.31905014456601</c:v>
                </c:pt>
                <c:pt idx="67">
                  <c:v>118.05045930421301</c:v>
                </c:pt>
                <c:pt idx="68">
                  <c:v>118.43410889319399</c:v>
                </c:pt>
                <c:pt idx="69">
                  <c:v>118.322116093085</c:v>
                </c:pt>
                <c:pt idx="70">
                  <c:v>118.36031637732501</c:v>
                </c:pt>
              </c:numCache>
            </c:numRef>
          </c:val>
          <c:extLst>
            <c:ext xmlns:c16="http://schemas.microsoft.com/office/drawing/2014/chart" uri="{C3380CC4-5D6E-409C-BE32-E72D297353CC}">
              <c16:uniqueId val="{00000000-A8BF-4DA2-8CE5-0A374ADEA9FF}"/>
            </c:ext>
          </c:extLst>
        </c:ser>
        <c:dLbls>
          <c:showLegendKey val="0"/>
          <c:showVal val="1"/>
          <c:showCatName val="0"/>
          <c:showSerName val="0"/>
          <c:showPercent val="0"/>
          <c:showBubbleSize val="0"/>
        </c:dLbls>
        <c:gapWidth val="50"/>
        <c:axId val="106584248"/>
        <c:axId val="106584640"/>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Datos!$A$55:$B$137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2013</c:v>
                  </c:pt>
                  <c:pt idx="12">
                    <c:v>2014</c:v>
                  </c:pt>
                  <c:pt idx="24">
                    <c:v>2015</c:v>
                  </c:pt>
                  <c:pt idx="36">
                    <c:v>2016</c:v>
                  </c:pt>
                  <c:pt idx="48">
                    <c:v>2017</c:v>
                  </c:pt>
                  <c:pt idx="60">
                    <c:v>2018</c:v>
                  </c:pt>
                  <c:pt idx="72">
                    <c:v>2019</c:v>
                  </c:pt>
                </c:lvl>
              </c:multiLvlStrCache>
            </c:multiLvlStrRef>
          </c:cat>
          <c:val>
            <c:numRef>
              <c:f>Datos!$J$67:$J$137</c:f>
              <c:numCache>
                <c:formatCode>0.0</c:formatCode>
                <c:ptCount val="71"/>
                <c:pt idx="0">
                  <c:v>100.966045382505</c:v>
                </c:pt>
                <c:pt idx="1">
                  <c:v>101.211251259487</c:v>
                </c:pt>
                <c:pt idx="2">
                  <c:v>101.507987364264</c:v>
                </c:pt>
                <c:pt idx="3">
                  <c:v>101.86185294382</c:v>
                </c:pt>
                <c:pt idx="4">
                  <c:v>102.227958297192</c:v>
                </c:pt>
                <c:pt idx="5">
                  <c:v>102.50495948578801</c:v>
                </c:pt>
                <c:pt idx="6">
                  <c:v>102.708468947649</c:v>
                </c:pt>
                <c:pt idx="7">
                  <c:v>102.93384753423901</c:v>
                </c:pt>
                <c:pt idx="8">
                  <c:v>103.242768390395</c:v>
                </c:pt>
                <c:pt idx="9">
                  <c:v>103.606503585258</c:v>
                </c:pt>
                <c:pt idx="10">
                  <c:v>103.99834840694101</c:v>
                </c:pt>
                <c:pt idx="11">
                  <c:v>104.384297671186</c:v>
                </c:pt>
                <c:pt idx="12">
                  <c:v>104.77993352255</c:v>
                </c:pt>
                <c:pt idx="13">
                  <c:v>105.222607972902</c:v>
                </c:pt>
                <c:pt idx="14">
                  <c:v>105.702786455007</c:v>
                </c:pt>
                <c:pt idx="15">
                  <c:v>106.154079228133</c:v>
                </c:pt>
                <c:pt idx="16">
                  <c:v>106.539190885471</c:v>
                </c:pt>
                <c:pt idx="17">
                  <c:v>106.947753899982</c:v>
                </c:pt>
                <c:pt idx="18">
                  <c:v>107.388858857922</c:v>
                </c:pt>
                <c:pt idx="19">
                  <c:v>107.789061637711</c:v>
                </c:pt>
                <c:pt idx="20">
                  <c:v>108.056966311137</c:v>
                </c:pt>
                <c:pt idx="21">
                  <c:v>108.162107025363</c:v>
                </c:pt>
                <c:pt idx="22">
                  <c:v>108.277080095556</c:v>
                </c:pt>
                <c:pt idx="23">
                  <c:v>108.527646416934</c:v>
                </c:pt>
                <c:pt idx="24">
                  <c:v>108.884931883474</c:v>
                </c:pt>
                <c:pt idx="25">
                  <c:v>109.234986716245</c:v>
                </c:pt>
                <c:pt idx="26">
                  <c:v>109.48547300189</c:v>
                </c:pt>
                <c:pt idx="27">
                  <c:v>109.74409867687</c:v>
                </c:pt>
                <c:pt idx="28">
                  <c:v>110.10438896381</c:v>
                </c:pt>
                <c:pt idx="29">
                  <c:v>110.56324118332201</c:v>
                </c:pt>
                <c:pt idx="30">
                  <c:v>111.100834229276</c:v>
                </c:pt>
                <c:pt idx="31">
                  <c:v>111.577244000465</c:v>
                </c:pt>
                <c:pt idx="32">
                  <c:v>112.009417238081</c:v>
                </c:pt>
                <c:pt idx="33">
                  <c:v>112.47642584226899</c:v>
                </c:pt>
                <c:pt idx="34">
                  <c:v>112.926890479514</c:v>
                </c:pt>
                <c:pt idx="35">
                  <c:v>113.25514526951299</c:v>
                </c:pt>
                <c:pt idx="36">
                  <c:v>113.490892719778</c:v>
                </c:pt>
                <c:pt idx="37">
                  <c:v>113.686953737971</c:v>
                </c:pt>
                <c:pt idx="38">
                  <c:v>113.881321104573</c:v>
                </c:pt>
                <c:pt idx="39">
                  <c:v>114.04649006938899</c:v>
                </c:pt>
                <c:pt idx="40">
                  <c:v>114.18736301207301</c:v>
                </c:pt>
                <c:pt idx="41">
                  <c:v>114.20660783268301</c:v>
                </c:pt>
                <c:pt idx="42">
                  <c:v>114.165950957121</c:v>
                </c:pt>
                <c:pt idx="43">
                  <c:v>114.218913962125</c:v>
                </c:pt>
                <c:pt idx="44">
                  <c:v>114.481429485622</c:v>
                </c:pt>
                <c:pt idx="45">
                  <c:v>114.930686065827</c:v>
                </c:pt>
                <c:pt idx="46">
                  <c:v>115.491658691887</c:v>
                </c:pt>
                <c:pt idx="47">
                  <c:v>116.023428086973</c:v>
                </c:pt>
                <c:pt idx="48">
                  <c:v>116.460461148677</c:v>
                </c:pt>
                <c:pt idx="49">
                  <c:v>116.75641525303701</c:v>
                </c:pt>
                <c:pt idx="50">
                  <c:v>116.975110391634</c:v>
                </c:pt>
                <c:pt idx="51">
                  <c:v>117.168753903583</c:v>
                </c:pt>
                <c:pt idx="52">
                  <c:v>117.415528532271</c:v>
                </c:pt>
                <c:pt idx="53">
                  <c:v>117.73257067163399</c:v>
                </c:pt>
                <c:pt idx="54">
                  <c:v>118.04854539322901</c:v>
                </c:pt>
                <c:pt idx="55">
                  <c:v>118.32539166506101</c:v>
                </c:pt>
                <c:pt idx="56">
                  <c:v>118.46987348770401</c:v>
                </c:pt>
                <c:pt idx="57">
                  <c:v>118.466918261725</c:v>
                </c:pt>
                <c:pt idx="58">
                  <c:v>118.38189367157899</c:v>
                </c:pt>
                <c:pt idx="59">
                  <c:v>118.311169068815</c:v>
                </c:pt>
                <c:pt idx="60">
                  <c:v>118.216465950356</c:v>
                </c:pt>
                <c:pt idx="61">
                  <c:v>118.115074048571</c:v>
                </c:pt>
                <c:pt idx="62">
                  <c:v>118.09087809982699</c:v>
                </c:pt>
                <c:pt idx="63">
                  <c:v>118.155083328006</c:v>
                </c:pt>
                <c:pt idx="64">
                  <c:v>118.22415229837399</c:v>
                </c:pt>
                <c:pt idx="65">
                  <c:v>118.294014940146</c:v>
                </c:pt>
                <c:pt idx="66">
                  <c:v>118.31270755007699</c:v>
                </c:pt>
                <c:pt idx="67">
                  <c:v>118.278981618014</c:v>
                </c:pt>
                <c:pt idx="68">
                  <c:v>118.27255247694499</c:v>
                </c:pt>
                <c:pt idx="69">
                  <c:v>118.336035588545</c:v>
                </c:pt>
                <c:pt idx="70">
                  <c:v>118.401122793919</c:v>
                </c:pt>
              </c:numCache>
            </c:numRef>
          </c:val>
          <c:smooth val="0"/>
          <c:extLst>
            <c:ext xmlns:c16="http://schemas.microsoft.com/office/drawing/2014/chart" uri="{C3380CC4-5D6E-409C-BE32-E72D297353CC}">
              <c16:uniqueId val="{00000001-A8BF-4DA2-8CE5-0A374ADEA9FF}"/>
            </c:ext>
          </c:extLst>
        </c:ser>
        <c:dLbls>
          <c:showLegendKey val="0"/>
          <c:showVal val="1"/>
          <c:showCatName val="0"/>
          <c:showSerName val="0"/>
          <c:showPercent val="0"/>
          <c:showBubbleSize val="0"/>
        </c:dLbls>
        <c:marker val="1"/>
        <c:smooth val="0"/>
        <c:axId val="106584248"/>
        <c:axId val="106584640"/>
      </c:lineChart>
      <c:catAx>
        <c:axId val="106584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584640"/>
        <c:crosses val="autoZero"/>
        <c:auto val="1"/>
        <c:lblAlgn val="ctr"/>
        <c:lblOffset val="0"/>
        <c:tickLblSkip val="1"/>
        <c:tickMarkSkip val="12"/>
        <c:noMultiLvlLbl val="1"/>
      </c:catAx>
      <c:valAx>
        <c:axId val="106584640"/>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06584248"/>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96B5-4E1A-A2A5-03BD3A347245}"/>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96B5-4E1A-A2A5-03BD3A347245}"/>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96B5-4E1A-A2A5-03BD3A347245}"/>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96B5-4E1A-A2A5-03BD3A347245}"/>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B5-4E1A-A2A5-03BD3A347245}"/>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B5-4E1A-A2A5-03BD3A347245}"/>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D9-40D0-877F-69B203F94571}"/>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B5-4E1A-A2A5-03BD3A347245}"/>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Terciarias</c:v>
                </c:pt>
                <c:pt idx="1">
                  <c:v>   Actividades  Primarias</c:v>
                </c:pt>
                <c:pt idx="2">
                  <c:v>   Actividades Secundarias</c:v>
                </c:pt>
                <c:pt idx="3">
                  <c:v>  IGAE</c:v>
                </c:pt>
              </c:strCache>
            </c:strRef>
          </c:cat>
          <c:val>
            <c:numRef>
              <c:f>Datos!$J$52:$J$55</c:f>
              <c:numCache>
                <c:formatCode>#,##0.0</c:formatCode>
                <c:ptCount val="4"/>
                <c:pt idx="0">
                  <c:v>-0.73374784581800001</c:v>
                </c:pt>
                <c:pt idx="1">
                  <c:v>-2.1303237936560002</c:v>
                </c:pt>
                <c:pt idx="2">
                  <c:v>-2.1345600603150001</c:v>
                </c:pt>
                <c:pt idx="3">
                  <c:v>-1.212522075426</c:v>
                </c:pt>
              </c:numCache>
            </c:numRef>
          </c:val>
          <c:extLst>
            <c:ext xmlns:c16="http://schemas.microsoft.com/office/drawing/2014/chart" uri="{C3380CC4-5D6E-409C-BE32-E72D297353CC}">
              <c16:uniqueId val="{0000000B-96B5-4E1A-A2A5-03BD3A347245}"/>
            </c:ext>
          </c:extLst>
        </c:ser>
        <c:dLbls>
          <c:showLegendKey val="0"/>
          <c:showVal val="0"/>
          <c:showCatName val="0"/>
          <c:showSerName val="0"/>
          <c:showPercent val="0"/>
          <c:showBubbleSize val="0"/>
        </c:dLbls>
        <c:gapWidth val="30"/>
        <c:axId val="106580328"/>
        <c:axId val="106586992"/>
      </c:barChart>
      <c:catAx>
        <c:axId val="106580328"/>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106586992"/>
        <c:crosses val="autoZero"/>
        <c:auto val="1"/>
        <c:lblAlgn val="ctr"/>
        <c:lblOffset val="100"/>
        <c:tickLblSkip val="1"/>
        <c:tickMarkSkip val="12"/>
        <c:noMultiLvlLbl val="1"/>
      </c:catAx>
      <c:valAx>
        <c:axId val="106586992"/>
        <c:scaling>
          <c:orientation val="minMax"/>
          <c:max val="0"/>
          <c:min val="-2.5"/>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106580328"/>
        <c:crosses val="autoZero"/>
        <c:crossBetween val="between"/>
        <c:majorUnit val="0.5"/>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232A-DE29-4586-BCED-FBE12EFA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1251</Words>
  <Characters>7421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48</cp:revision>
  <cp:lastPrinted>2020-01-22T15:24:00Z</cp:lastPrinted>
  <dcterms:created xsi:type="dcterms:W3CDTF">2020-01-21T19:02:00Z</dcterms:created>
  <dcterms:modified xsi:type="dcterms:W3CDTF">2020-01-23T22:25:00Z</dcterms:modified>
  <cp:category>Encuesta Nacional de Ocupación y Empleo</cp:category>
  <cp:version>1</cp:version>
</cp:coreProperties>
</file>