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2D974" w14:textId="77777777" w:rsidR="00E463F2" w:rsidRPr="00061839" w:rsidRDefault="00E463F2" w:rsidP="0082401B">
      <w:pPr>
        <w:pStyle w:val="Profesin"/>
        <w:outlineLvl w:val="0"/>
        <w:rPr>
          <w:lang w:val="es-MX"/>
        </w:rPr>
      </w:pPr>
    </w:p>
    <w:p w14:paraId="261942F3" w14:textId="77777777" w:rsidR="002557A9" w:rsidRDefault="002557A9" w:rsidP="002557A9">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54DB8D90" wp14:editId="05D2A4E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66C56BC" w14:textId="77777777" w:rsidR="002557A9" w:rsidRPr="00265B8C" w:rsidRDefault="002557A9" w:rsidP="002557A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B8D90"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66C56BC" w14:textId="77777777" w:rsidR="002557A9" w:rsidRPr="00265B8C" w:rsidRDefault="002557A9" w:rsidP="002557A9">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mayo</w:t>
                      </w:r>
                    </w:p>
                  </w:txbxContent>
                </v:textbox>
                <w10:wrap type="square"/>
              </v:shape>
            </w:pict>
          </mc:Fallback>
        </mc:AlternateContent>
      </w:r>
    </w:p>
    <w:p w14:paraId="322A3008" w14:textId="77777777" w:rsidR="002557A9" w:rsidRDefault="002557A9" w:rsidP="002557A9">
      <w:pPr>
        <w:tabs>
          <w:tab w:val="left" w:pos="8789"/>
        </w:tabs>
        <w:ind w:right="51"/>
        <w:jc w:val="center"/>
        <w:rPr>
          <w:b/>
          <w:sz w:val="28"/>
        </w:rPr>
      </w:pPr>
    </w:p>
    <w:p w14:paraId="17816EE3" w14:textId="77777777" w:rsidR="002557A9" w:rsidRDefault="002557A9" w:rsidP="002557A9">
      <w:pPr>
        <w:pStyle w:val="Profesin"/>
        <w:outlineLvl w:val="0"/>
        <w:rPr>
          <w:lang w:val="es-MX"/>
        </w:rPr>
      </w:pPr>
    </w:p>
    <w:p w14:paraId="5B87B4FC" w14:textId="77777777" w:rsidR="002557A9" w:rsidRPr="00BD3DFF" w:rsidRDefault="002557A9" w:rsidP="002557A9">
      <w:pPr>
        <w:pStyle w:val="Profesin"/>
        <w:outlineLvl w:val="0"/>
        <w:rPr>
          <w:lang w:val="es-MX"/>
        </w:rPr>
      </w:pPr>
      <w:r w:rsidRPr="00BD3DFF">
        <w:rPr>
          <w:lang w:val="es-MX"/>
        </w:rPr>
        <w:t>INDICADOR GLOBAL DE LA ACTIVIDAD ECONÓMICA</w:t>
      </w:r>
      <w:r w:rsidRPr="00BD3DFF">
        <w:rPr>
          <w:vertAlign w:val="superscript"/>
        </w:rPr>
        <w:footnoteReference w:id="1"/>
      </w:r>
    </w:p>
    <w:p w14:paraId="0036FC12" w14:textId="77777777" w:rsidR="002557A9" w:rsidRDefault="002557A9" w:rsidP="002557A9">
      <w:pPr>
        <w:jc w:val="center"/>
        <w:rPr>
          <w:b/>
          <w:spacing w:val="25"/>
          <w:sz w:val="26"/>
          <w:lang w:val="es-MX"/>
        </w:rPr>
      </w:pPr>
      <w:r>
        <w:rPr>
          <w:b/>
          <w:spacing w:val="25"/>
          <w:sz w:val="26"/>
          <w:lang w:val="es-MX"/>
        </w:rPr>
        <w:t>DURANTE FEBRERO DE 2020</w:t>
      </w:r>
    </w:p>
    <w:p w14:paraId="5870EDD1" w14:textId="77777777" w:rsidR="002557A9" w:rsidRPr="00BD3DFF" w:rsidRDefault="002557A9" w:rsidP="002557A9">
      <w:pPr>
        <w:jc w:val="center"/>
        <w:rPr>
          <w:b/>
          <w:spacing w:val="25"/>
          <w:lang w:val="es-MX"/>
        </w:rPr>
      </w:pPr>
      <w:r w:rsidRPr="00BD3DFF">
        <w:rPr>
          <w:b/>
          <w:spacing w:val="25"/>
          <w:lang w:val="es-MX"/>
        </w:rPr>
        <w:t>(</w:t>
      </w:r>
      <w:r w:rsidRPr="00BD3DFF">
        <w:rPr>
          <w:b/>
          <w:i/>
          <w:spacing w:val="25"/>
          <w:lang w:val="es-MX"/>
        </w:rPr>
        <w:t>Cifras desestacionalizadas</w:t>
      </w:r>
      <w:r w:rsidRPr="00BD3DFF">
        <w:rPr>
          <w:b/>
          <w:spacing w:val="25"/>
          <w:lang w:val="es-MX"/>
        </w:rPr>
        <w:t>)</w:t>
      </w:r>
    </w:p>
    <w:p w14:paraId="7F605C5D" w14:textId="77777777" w:rsidR="002557A9" w:rsidRPr="00BD3DFF" w:rsidRDefault="002557A9" w:rsidP="002557A9">
      <w:pPr>
        <w:pStyle w:val="bullet"/>
        <w:keepLines w:val="0"/>
        <w:spacing w:before="360" w:after="0"/>
        <w:ind w:left="-284" w:right="-405" w:firstLine="0"/>
        <w:rPr>
          <w:b w:val="0"/>
          <w:bCs/>
          <w:color w:val="auto"/>
          <w:szCs w:val="24"/>
        </w:rPr>
      </w:pPr>
      <w:r w:rsidRPr="00BD3DFF">
        <w:rPr>
          <w:b w:val="0"/>
          <w:bCs/>
          <w:color w:val="auto"/>
          <w:szCs w:val="24"/>
        </w:rPr>
        <w:t>El INEGI informa que el Indicador Global de la Actividad Económica (IGAE) presentó una disminución de (-)0.2% en términos reales en el segundo mes de este año respecto al mes previo, con cifras desestacionalizadas</w:t>
      </w:r>
      <w:r w:rsidRPr="00BD3DFF">
        <w:rPr>
          <w:b w:val="0"/>
          <w:bCs/>
          <w:color w:val="auto"/>
          <w:szCs w:val="24"/>
          <w:vertAlign w:val="superscript"/>
        </w:rPr>
        <w:footnoteReference w:id="2"/>
      </w:r>
      <w:r w:rsidRPr="00BD3DFF">
        <w:rPr>
          <w:b w:val="0"/>
          <w:bCs/>
          <w:color w:val="auto"/>
          <w:szCs w:val="24"/>
        </w:rPr>
        <w:t>.</w:t>
      </w:r>
    </w:p>
    <w:p w14:paraId="2EC46A86" w14:textId="77777777" w:rsidR="002557A9" w:rsidRPr="000861D2" w:rsidRDefault="002557A9" w:rsidP="002557A9">
      <w:pPr>
        <w:pStyle w:val="p02"/>
        <w:keepNext/>
        <w:widowControl w:val="0"/>
        <w:ind w:right="23"/>
        <w:jc w:val="center"/>
        <w:rPr>
          <w:rFonts w:ascii="Arial" w:hAnsi="Arial" w:cs="Arial"/>
          <w:bCs/>
          <w:smallCaps/>
          <w:color w:val="auto"/>
          <w:szCs w:val="24"/>
        </w:rPr>
      </w:pPr>
    </w:p>
    <w:p w14:paraId="40377191" w14:textId="77777777" w:rsidR="002557A9" w:rsidRDefault="002557A9" w:rsidP="002557A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a febrero </w:t>
      </w:r>
      <w:r>
        <w:rPr>
          <w:rFonts w:ascii="Arial" w:hAnsi="Arial" w:cs="Arial"/>
          <w:b/>
          <w:smallCaps/>
          <w:color w:val="000000"/>
          <w:sz w:val="22"/>
          <w:szCs w:val="22"/>
          <w:lang w:val="es-MX"/>
        </w:rPr>
        <w:t>de 2020</w:t>
      </w:r>
    </w:p>
    <w:p w14:paraId="2A0CAE2E" w14:textId="77777777" w:rsidR="002557A9" w:rsidRPr="00961776" w:rsidRDefault="002557A9" w:rsidP="002557A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4382E0C5" w14:textId="77777777" w:rsidR="002557A9" w:rsidRPr="009B388F" w:rsidRDefault="002557A9" w:rsidP="002557A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0EF5B90A" w14:textId="77777777" w:rsidR="002557A9" w:rsidRPr="000B1975" w:rsidRDefault="002557A9" w:rsidP="002557A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7D0D18B7" wp14:editId="7A7A2CC6">
            <wp:extent cx="4644000" cy="2472800"/>
            <wp:effectExtent l="0" t="0" r="23495" b="22860"/>
            <wp:docPr id="13" name="Gráfico 1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C87573" w14:textId="77777777" w:rsidR="002557A9" w:rsidRPr="00AA768F" w:rsidRDefault="002557A9" w:rsidP="002557A9">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Pr>
          <w:color w:val="auto"/>
          <w:sz w:val="16"/>
          <w:szCs w:val="16"/>
        </w:rPr>
        <w:tab/>
      </w:r>
    </w:p>
    <w:p w14:paraId="3C4E74D3" w14:textId="77777777" w:rsidR="002557A9" w:rsidRDefault="002557A9" w:rsidP="002557A9">
      <w:pPr>
        <w:rPr>
          <w:szCs w:val="16"/>
          <w:lang w:val="es-MX"/>
        </w:rPr>
      </w:pPr>
    </w:p>
    <w:p w14:paraId="28E49766" w14:textId="77777777" w:rsidR="002557A9" w:rsidRDefault="002557A9" w:rsidP="002557A9">
      <w:pPr>
        <w:rPr>
          <w:szCs w:val="16"/>
          <w:lang w:val="es-MX"/>
        </w:rPr>
      </w:pPr>
    </w:p>
    <w:p w14:paraId="6490E83D" w14:textId="77777777" w:rsidR="002557A9" w:rsidRPr="00BD3DFF" w:rsidRDefault="002557A9" w:rsidP="002557A9">
      <w:pPr>
        <w:pStyle w:val="bullet"/>
        <w:keepLines w:val="0"/>
        <w:spacing w:after="0"/>
        <w:ind w:left="-284" w:right="-405" w:firstLine="0"/>
        <w:rPr>
          <w:b w:val="0"/>
          <w:bCs/>
          <w:color w:val="auto"/>
          <w:szCs w:val="24"/>
        </w:rPr>
      </w:pPr>
      <w:r w:rsidRPr="00BD3DFF">
        <w:rPr>
          <w:b w:val="0"/>
          <w:bCs/>
          <w:color w:val="auto"/>
          <w:szCs w:val="24"/>
        </w:rPr>
        <w:t>Por grandes grupos de actividades, las Primarias descendieron (</w:t>
      </w:r>
      <w:r w:rsidRPr="00BD3DFF">
        <w:rPr>
          <w:b w:val="0"/>
          <w:bCs/>
          <w:color w:val="auto"/>
          <w:szCs w:val="24"/>
        </w:rPr>
        <w:noBreakHyphen/>
        <w:t>)5.7% y las Secundarias cayeron (-)0.6%; en cambio, las Terciarias crecieron 0.1% durante febrero de 2020 frente al mes precedente.</w:t>
      </w:r>
    </w:p>
    <w:p w14:paraId="262A513E" w14:textId="77777777" w:rsidR="002557A9" w:rsidRPr="00BD3DFF" w:rsidRDefault="002557A9" w:rsidP="002557A9">
      <w:pPr>
        <w:pStyle w:val="bullet"/>
        <w:keepLines w:val="0"/>
        <w:spacing w:after="0"/>
        <w:ind w:left="-284" w:right="-405" w:firstLine="0"/>
        <w:rPr>
          <w:b w:val="0"/>
          <w:bCs/>
          <w:color w:val="auto"/>
          <w:szCs w:val="24"/>
        </w:rPr>
      </w:pPr>
    </w:p>
    <w:p w14:paraId="407B6C46" w14:textId="77777777" w:rsidR="002557A9" w:rsidRDefault="002557A9" w:rsidP="002557A9">
      <w:pPr>
        <w:pStyle w:val="bullet"/>
        <w:keepLines w:val="0"/>
        <w:spacing w:after="0"/>
        <w:ind w:left="-284" w:right="-405" w:firstLine="0"/>
        <w:rPr>
          <w:b w:val="0"/>
          <w:bCs/>
          <w:color w:val="auto"/>
          <w:szCs w:val="24"/>
        </w:rPr>
      </w:pPr>
    </w:p>
    <w:p w14:paraId="59F58E79" w14:textId="77777777" w:rsidR="002557A9" w:rsidRDefault="002557A9" w:rsidP="002557A9">
      <w:pPr>
        <w:pStyle w:val="bullet"/>
        <w:keepLines w:val="0"/>
        <w:spacing w:after="0"/>
        <w:ind w:left="-567" w:right="-405" w:firstLine="0"/>
        <w:rPr>
          <w:b w:val="0"/>
          <w:color w:val="auto"/>
          <w:szCs w:val="24"/>
        </w:rPr>
      </w:pPr>
    </w:p>
    <w:p w14:paraId="3C679804" w14:textId="77777777" w:rsidR="002557A9" w:rsidRDefault="002557A9" w:rsidP="002557A9">
      <w:pPr>
        <w:pStyle w:val="bullet"/>
        <w:keepLines w:val="0"/>
        <w:spacing w:before="360" w:after="0"/>
        <w:ind w:left="-567" w:right="-405" w:firstLine="0"/>
        <w:rPr>
          <w:b w:val="0"/>
          <w:bCs/>
          <w:color w:val="auto"/>
          <w:szCs w:val="24"/>
        </w:rPr>
      </w:pPr>
    </w:p>
    <w:p w14:paraId="6D3FA60B" w14:textId="77777777" w:rsidR="002557A9" w:rsidRPr="00BD3DFF" w:rsidRDefault="002557A9" w:rsidP="002557A9">
      <w:pPr>
        <w:pStyle w:val="bullet"/>
        <w:keepLines w:val="0"/>
        <w:spacing w:before="360" w:after="0"/>
        <w:ind w:left="-426" w:right="-405" w:firstLine="0"/>
        <w:rPr>
          <w:rFonts w:cs="Arial"/>
          <w:b w:val="0"/>
          <w:bCs/>
          <w:smallCaps/>
          <w:color w:val="auto"/>
          <w:szCs w:val="24"/>
        </w:rPr>
      </w:pPr>
      <w:r w:rsidRPr="00BD3DFF">
        <w:rPr>
          <w:b w:val="0"/>
          <w:bCs/>
          <w:color w:val="auto"/>
          <w:szCs w:val="24"/>
        </w:rPr>
        <w:t>En términos anuales</w:t>
      </w:r>
      <w:r w:rsidRPr="00BD3DFF">
        <w:rPr>
          <w:b w:val="0"/>
          <w:bCs/>
          <w:color w:val="auto"/>
          <w:szCs w:val="24"/>
          <w:vertAlign w:val="superscript"/>
        </w:rPr>
        <w:footnoteReference w:id="3"/>
      </w:r>
      <w:r w:rsidRPr="00BD3DFF">
        <w:rPr>
          <w:b w:val="0"/>
          <w:bCs/>
          <w:color w:val="auto"/>
          <w:szCs w:val="24"/>
        </w:rPr>
        <w:t>, el IGAE registró una reducción real de (</w:t>
      </w:r>
      <w:r w:rsidRPr="00BD3DFF">
        <w:rPr>
          <w:b w:val="0"/>
          <w:bCs/>
          <w:color w:val="auto"/>
          <w:szCs w:val="24"/>
        </w:rPr>
        <w:noBreakHyphen/>
        <w:t xml:space="preserve">)1.6% en el mes de referencia. Por grandes grupos de actividades, las Primarias retrocedieron (-)8.3%, las Secundarias (-)3.5% y las Terciarias lo hicieron en (-)0.3% con relación a febrero de 2019. </w:t>
      </w:r>
    </w:p>
    <w:p w14:paraId="3DD1F6F9" w14:textId="77777777" w:rsidR="002557A9" w:rsidRDefault="002557A9" w:rsidP="002557A9">
      <w:pPr>
        <w:pStyle w:val="bullet"/>
        <w:keepLines w:val="0"/>
        <w:spacing w:after="0"/>
        <w:ind w:left="0" w:right="0" w:firstLine="0"/>
        <w:jc w:val="center"/>
        <w:rPr>
          <w:rFonts w:cs="Arial"/>
          <w:smallCaps/>
          <w:color w:val="auto"/>
          <w:spacing w:val="0"/>
          <w:sz w:val="22"/>
        </w:rPr>
      </w:pPr>
    </w:p>
    <w:p w14:paraId="3AFC756A" w14:textId="77777777" w:rsidR="002557A9" w:rsidRDefault="002557A9" w:rsidP="002557A9">
      <w:pPr>
        <w:pStyle w:val="bullet"/>
        <w:keepLines w:val="0"/>
        <w:spacing w:after="0"/>
        <w:ind w:left="0" w:right="0" w:firstLine="0"/>
        <w:jc w:val="center"/>
        <w:rPr>
          <w:rFonts w:cs="Arial"/>
          <w:smallCaps/>
          <w:color w:val="auto"/>
          <w:spacing w:val="0"/>
          <w:sz w:val="22"/>
        </w:rPr>
      </w:pPr>
      <w:r w:rsidRPr="0082401B">
        <w:rPr>
          <w:rFonts w:cs="Arial"/>
          <w:smallCaps/>
          <w:color w:val="auto"/>
          <w:spacing w:val="0"/>
          <w:sz w:val="22"/>
        </w:rPr>
        <w:t xml:space="preserve">Indicador global de la actividad económica durante </w:t>
      </w:r>
      <w:r>
        <w:rPr>
          <w:rFonts w:cs="Arial"/>
          <w:smallCaps/>
          <w:color w:val="auto"/>
          <w:spacing w:val="0"/>
          <w:sz w:val="22"/>
        </w:rPr>
        <w:t>febrero de 2020</w:t>
      </w:r>
    </w:p>
    <w:p w14:paraId="02313DE0" w14:textId="77777777" w:rsidR="002557A9" w:rsidRPr="0082401B" w:rsidRDefault="002557A9" w:rsidP="002557A9">
      <w:pPr>
        <w:pStyle w:val="bullet"/>
        <w:keepLines w:val="0"/>
        <w:spacing w:before="0" w:after="0"/>
        <w:ind w:left="0" w:right="0" w:firstLine="0"/>
        <w:jc w:val="center"/>
        <w:rPr>
          <w:rFonts w:cs="Arial"/>
          <w:smallCaps/>
          <w:color w:val="auto"/>
          <w:spacing w:val="0"/>
          <w:sz w:val="22"/>
        </w:rPr>
      </w:pPr>
      <w:r w:rsidRPr="0082401B">
        <w:rPr>
          <w:rFonts w:cs="Arial"/>
          <w:smallCaps/>
          <w:color w:val="auto"/>
          <w:spacing w:val="0"/>
          <w:sz w:val="22"/>
        </w:rPr>
        <w:t xml:space="preserve">Cifras desestacionalizadas por grandes grupos de actividades económicas </w:t>
      </w:r>
    </w:p>
    <w:tbl>
      <w:tblPr>
        <w:tblStyle w:val="Tablaconcuadrcula"/>
        <w:tblW w:w="0" w:type="auto"/>
        <w:jc w:val="center"/>
        <w:tblBorders>
          <w:top w:val="double" w:sz="4" w:space="0" w:color="auto"/>
          <w:left w:val="double" w:sz="4" w:space="0" w:color="auto"/>
          <w:bottom w:val="double" w:sz="4" w:space="0" w:color="auto"/>
          <w:right w:val="double" w:sz="4" w:space="0" w:color="auto"/>
          <w:insideH w:val="none" w:sz="0" w:space="0" w:color="auto"/>
          <w:insideV w:val="single" w:sz="4" w:space="0" w:color="000000"/>
        </w:tblBorders>
        <w:tblLook w:val="04A0" w:firstRow="1" w:lastRow="0" w:firstColumn="1" w:lastColumn="0" w:noHBand="0" w:noVBand="1"/>
      </w:tblPr>
      <w:tblGrid>
        <w:gridCol w:w="2977"/>
        <w:gridCol w:w="2268"/>
        <w:gridCol w:w="2410"/>
      </w:tblGrid>
      <w:tr w:rsidR="002557A9" w14:paraId="1BAE8F64" w14:textId="77777777" w:rsidTr="005D380B">
        <w:trPr>
          <w:jc w:val="center"/>
        </w:trPr>
        <w:tc>
          <w:tcPr>
            <w:tcW w:w="2977" w:type="dxa"/>
            <w:tcBorders>
              <w:top w:val="double" w:sz="4" w:space="0" w:color="auto"/>
              <w:left w:val="double" w:sz="4" w:space="0" w:color="auto"/>
              <w:bottom w:val="single" w:sz="4" w:space="0" w:color="auto"/>
              <w:right w:val="single" w:sz="4" w:space="0" w:color="000000"/>
            </w:tcBorders>
            <w:shd w:val="clear" w:color="auto" w:fill="D6E3BC" w:themeFill="accent3" w:themeFillTint="66"/>
            <w:vAlign w:val="center"/>
            <w:hideMark/>
          </w:tcPr>
          <w:p w14:paraId="361F7019" w14:textId="77777777" w:rsidR="002557A9" w:rsidRPr="008F66F2" w:rsidRDefault="002557A9" w:rsidP="005D380B">
            <w:pPr>
              <w:pStyle w:val="p0"/>
              <w:spacing w:before="60" w:after="60"/>
              <w:jc w:val="center"/>
              <w:rPr>
                <w:rFonts w:ascii="Arial" w:hAnsi="Arial"/>
                <w:b/>
                <w:color w:val="000000" w:themeColor="text1"/>
                <w:sz w:val="16"/>
              </w:rPr>
            </w:pPr>
            <w:r w:rsidRPr="008F66F2">
              <w:rPr>
                <w:rFonts w:ascii="Arial" w:hAnsi="Arial"/>
                <w:b/>
                <w:color w:val="000000" w:themeColor="text1"/>
                <w:sz w:val="16"/>
              </w:rPr>
              <w:t>Actividades</w:t>
            </w:r>
          </w:p>
        </w:tc>
        <w:tc>
          <w:tcPr>
            <w:tcW w:w="2268" w:type="dxa"/>
            <w:tcBorders>
              <w:top w:val="double" w:sz="4" w:space="0" w:color="auto"/>
              <w:left w:val="single" w:sz="4" w:space="0" w:color="000000"/>
              <w:bottom w:val="single" w:sz="4" w:space="0" w:color="auto"/>
              <w:right w:val="single" w:sz="4" w:space="0" w:color="000000"/>
            </w:tcBorders>
            <w:shd w:val="clear" w:color="auto" w:fill="D6E3BC" w:themeFill="accent3" w:themeFillTint="66"/>
            <w:vAlign w:val="center"/>
            <w:hideMark/>
          </w:tcPr>
          <w:p w14:paraId="6F1C51FD" w14:textId="77777777" w:rsidR="002557A9" w:rsidRPr="008F66F2" w:rsidRDefault="002557A9" w:rsidP="005D380B">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al mes previo</w:t>
            </w:r>
          </w:p>
        </w:tc>
        <w:tc>
          <w:tcPr>
            <w:tcW w:w="2410" w:type="dxa"/>
            <w:tcBorders>
              <w:top w:val="double" w:sz="4" w:space="0" w:color="auto"/>
              <w:left w:val="single" w:sz="4" w:space="0" w:color="000000"/>
              <w:bottom w:val="single" w:sz="4" w:space="0" w:color="auto"/>
              <w:right w:val="double" w:sz="4" w:space="0" w:color="auto"/>
            </w:tcBorders>
            <w:shd w:val="clear" w:color="auto" w:fill="D6E3BC" w:themeFill="accent3" w:themeFillTint="66"/>
            <w:vAlign w:val="center"/>
            <w:hideMark/>
          </w:tcPr>
          <w:p w14:paraId="2C823EC3" w14:textId="77777777" w:rsidR="002557A9" w:rsidRPr="008F66F2" w:rsidRDefault="002557A9" w:rsidP="005D380B">
            <w:pPr>
              <w:pStyle w:val="p0"/>
              <w:spacing w:before="60" w:after="60"/>
              <w:jc w:val="center"/>
              <w:rPr>
                <w:rFonts w:ascii="Arial" w:hAnsi="Arial"/>
                <w:b/>
                <w:color w:val="000000" w:themeColor="text1"/>
                <w:sz w:val="16"/>
              </w:rPr>
            </w:pPr>
            <w:r w:rsidRPr="008F66F2">
              <w:rPr>
                <w:rFonts w:ascii="Arial" w:hAnsi="Arial"/>
                <w:b/>
                <w:color w:val="000000" w:themeColor="text1"/>
                <w:sz w:val="16"/>
              </w:rPr>
              <w:t>Variación % real respecto a igual mes de 201</w:t>
            </w:r>
            <w:r>
              <w:rPr>
                <w:rFonts w:ascii="Arial" w:hAnsi="Arial"/>
                <w:b/>
                <w:color w:val="000000" w:themeColor="text1"/>
                <w:sz w:val="16"/>
              </w:rPr>
              <w:t>9</w:t>
            </w:r>
          </w:p>
        </w:tc>
      </w:tr>
      <w:tr w:rsidR="002557A9" w:rsidRPr="00901570" w14:paraId="0024A500" w14:textId="77777777" w:rsidTr="005D380B">
        <w:trPr>
          <w:jc w:val="center"/>
        </w:trPr>
        <w:tc>
          <w:tcPr>
            <w:tcW w:w="2977" w:type="dxa"/>
            <w:tcBorders>
              <w:top w:val="single" w:sz="4" w:space="0" w:color="auto"/>
              <w:left w:val="double" w:sz="4" w:space="0" w:color="auto"/>
              <w:bottom w:val="nil"/>
              <w:right w:val="single" w:sz="4" w:space="0" w:color="000000"/>
            </w:tcBorders>
            <w:vAlign w:val="center"/>
            <w:hideMark/>
          </w:tcPr>
          <w:p w14:paraId="12BFACEC" w14:textId="77777777" w:rsidR="002557A9" w:rsidRPr="00901570" w:rsidRDefault="002557A9" w:rsidP="005D380B">
            <w:pPr>
              <w:pStyle w:val="p0"/>
              <w:spacing w:before="120"/>
              <w:ind w:left="161"/>
              <w:rPr>
                <w:rFonts w:ascii="Arial" w:hAnsi="Arial"/>
                <w:b/>
                <w:color w:val="auto"/>
                <w:sz w:val="18"/>
              </w:rPr>
            </w:pPr>
            <w:r w:rsidRPr="00901570">
              <w:rPr>
                <w:rFonts w:ascii="Arial" w:hAnsi="Arial"/>
                <w:b/>
                <w:color w:val="auto"/>
                <w:sz w:val="18"/>
                <w:szCs w:val="18"/>
              </w:rPr>
              <w:t xml:space="preserve"> IGAE</w:t>
            </w:r>
          </w:p>
        </w:tc>
        <w:tc>
          <w:tcPr>
            <w:tcW w:w="2268" w:type="dxa"/>
            <w:tcBorders>
              <w:top w:val="single" w:sz="4" w:space="0" w:color="auto"/>
              <w:left w:val="single" w:sz="4" w:space="0" w:color="000000"/>
              <w:bottom w:val="nil"/>
              <w:right w:val="single" w:sz="4" w:space="0" w:color="000000"/>
            </w:tcBorders>
            <w:vAlign w:val="center"/>
            <w:hideMark/>
          </w:tcPr>
          <w:p w14:paraId="5E59990C" w14:textId="77777777" w:rsidR="002557A9" w:rsidRPr="008136E0" w:rsidRDefault="002557A9" w:rsidP="005D380B">
            <w:pPr>
              <w:pStyle w:val="p0"/>
              <w:spacing w:before="120"/>
              <w:ind w:right="818"/>
              <w:jc w:val="right"/>
              <w:rPr>
                <w:rFonts w:ascii="Arial" w:hAnsi="Arial"/>
                <w:b/>
                <w:color w:val="auto"/>
                <w:sz w:val="18"/>
              </w:rPr>
            </w:pPr>
            <w:r>
              <w:rPr>
                <w:rFonts w:ascii="Arial" w:hAnsi="Arial"/>
                <w:b/>
                <w:color w:val="auto"/>
                <w:sz w:val="18"/>
              </w:rPr>
              <w:t>(-</w:t>
            </w:r>
            <w:proofErr w:type="gramStart"/>
            <w:r>
              <w:rPr>
                <w:rFonts w:ascii="Arial" w:hAnsi="Arial"/>
                <w:b/>
                <w:color w:val="auto"/>
                <w:sz w:val="18"/>
              </w:rPr>
              <w:t>)</w:t>
            </w:r>
            <w:r w:rsidRPr="008136E0">
              <w:rPr>
                <w:rFonts w:ascii="Arial" w:hAnsi="Arial"/>
                <w:b/>
                <w:color w:val="auto"/>
                <w:sz w:val="18"/>
              </w:rPr>
              <w:t xml:space="preserve">  0</w:t>
            </w:r>
            <w:proofErr w:type="gramEnd"/>
            <w:r w:rsidRPr="008136E0">
              <w:rPr>
                <w:rFonts w:ascii="Arial" w:hAnsi="Arial"/>
                <w:b/>
                <w:color w:val="auto"/>
                <w:sz w:val="18"/>
              </w:rPr>
              <w:t>.</w:t>
            </w:r>
            <w:r>
              <w:rPr>
                <w:rFonts w:ascii="Arial" w:hAnsi="Arial"/>
                <w:b/>
                <w:color w:val="auto"/>
                <w:sz w:val="18"/>
              </w:rPr>
              <w:t>2</w:t>
            </w:r>
          </w:p>
        </w:tc>
        <w:tc>
          <w:tcPr>
            <w:tcW w:w="2410" w:type="dxa"/>
            <w:tcBorders>
              <w:top w:val="single" w:sz="4" w:space="0" w:color="auto"/>
              <w:left w:val="single" w:sz="4" w:space="0" w:color="000000"/>
              <w:bottom w:val="nil"/>
              <w:right w:val="double" w:sz="4" w:space="0" w:color="auto"/>
            </w:tcBorders>
            <w:vAlign w:val="center"/>
            <w:hideMark/>
          </w:tcPr>
          <w:p w14:paraId="2E514DDB" w14:textId="77777777" w:rsidR="002557A9" w:rsidRPr="008136E0" w:rsidRDefault="002557A9" w:rsidP="005D380B">
            <w:pPr>
              <w:pStyle w:val="p0"/>
              <w:spacing w:before="120"/>
              <w:ind w:right="1021"/>
              <w:jc w:val="right"/>
              <w:rPr>
                <w:rFonts w:ascii="Arial" w:hAnsi="Arial"/>
                <w:b/>
                <w:color w:val="auto"/>
                <w:sz w:val="18"/>
              </w:rPr>
            </w:pPr>
            <w:r w:rsidRPr="008136E0">
              <w:rPr>
                <w:rFonts w:ascii="Arial" w:hAnsi="Arial"/>
                <w:b/>
                <w:color w:val="auto"/>
                <w:sz w:val="18"/>
              </w:rPr>
              <w:t>(-</w:t>
            </w:r>
            <w:proofErr w:type="gramStart"/>
            <w:r w:rsidRPr="008136E0">
              <w:rPr>
                <w:rFonts w:ascii="Arial" w:hAnsi="Arial"/>
                <w:b/>
                <w:color w:val="auto"/>
                <w:sz w:val="18"/>
              </w:rPr>
              <w:t xml:space="preserve">)  </w:t>
            </w:r>
            <w:r>
              <w:rPr>
                <w:rFonts w:ascii="Arial" w:hAnsi="Arial"/>
                <w:b/>
                <w:color w:val="auto"/>
                <w:sz w:val="18"/>
              </w:rPr>
              <w:t>1</w:t>
            </w:r>
            <w:proofErr w:type="gramEnd"/>
            <w:r w:rsidRPr="008136E0">
              <w:rPr>
                <w:rFonts w:ascii="Arial" w:hAnsi="Arial"/>
                <w:b/>
                <w:color w:val="auto"/>
                <w:sz w:val="18"/>
              </w:rPr>
              <w:t>.</w:t>
            </w:r>
            <w:r>
              <w:rPr>
                <w:rFonts w:ascii="Arial" w:hAnsi="Arial"/>
                <w:b/>
                <w:color w:val="auto"/>
                <w:sz w:val="18"/>
              </w:rPr>
              <w:t>6</w:t>
            </w:r>
          </w:p>
        </w:tc>
      </w:tr>
      <w:tr w:rsidR="002557A9" w:rsidRPr="00901570" w14:paraId="03517A21" w14:textId="77777777" w:rsidTr="005D380B">
        <w:trPr>
          <w:jc w:val="center"/>
        </w:trPr>
        <w:tc>
          <w:tcPr>
            <w:tcW w:w="2977" w:type="dxa"/>
            <w:tcBorders>
              <w:top w:val="nil"/>
              <w:left w:val="double" w:sz="4" w:space="0" w:color="auto"/>
              <w:bottom w:val="nil"/>
              <w:right w:val="single" w:sz="4" w:space="0" w:color="000000"/>
            </w:tcBorders>
            <w:vAlign w:val="center"/>
            <w:hideMark/>
          </w:tcPr>
          <w:p w14:paraId="18DAADB2" w14:textId="77777777" w:rsidR="002557A9" w:rsidRPr="00901570" w:rsidRDefault="002557A9" w:rsidP="005D380B">
            <w:pPr>
              <w:pStyle w:val="p0"/>
              <w:spacing w:before="120"/>
              <w:ind w:left="171"/>
              <w:jc w:val="left"/>
              <w:rPr>
                <w:rFonts w:ascii="Arial" w:hAnsi="Arial"/>
                <w:color w:val="auto"/>
                <w:sz w:val="18"/>
              </w:rPr>
            </w:pPr>
            <w:r w:rsidRPr="00901570">
              <w:rPr>
                <w:rFonts w:ascii="Arial" w:hAnsi="Arial"/>
                <w:color w:val="auto"/>
                <w:sz w:val="18"/>
              </w:rPr>
              <w:t>Actividades Primarias</w:t>
            </w:r>
          </w:p>
        </w:tc>
        <w:tc>
          <w:tcPr>
            <w:tcW w:w="2268" w:type="dxa"/>
            <w:tcBorders>
              <w:top w:val="nil"/>
              <w:left w:val="single" w:sz="4" w:space="0" w:color="000000"/>
              <w:bottom w:val="nil"/>
              <w:right w:val="single" w:sz="4" w:space="0" w:color="000000"/>
            </w:tcBorders>
            <w:vAlign w:val="center"/>
            <w:hideMark/>
          </w:tcPr>
          <w:p w14:paraId="18463E17" w14:textId="77777777" w:rsidR="002557A9" w:rsidRPr="008136E0" w:rsidRDefault="002557A9" w:rsidP="005D380B">
            <w:pPr>
              <w:pStyle w:val="p0"/>
              <w:spacing w:before="120"/>
              <w:ind w:right="818"/>
              <w:jc w:val="right"/>
              <w:rPr>
                <w:rFonts w:ascii="Arial" w:hAnsi="Arial"/>
                <w:color w:val="auto"/>
                <w:sz w:val="18"/>
              </w:rPr>
            </w:pPr>
            <w:r w:rsidRPr="008136E0">
              <w:rPr>
                <w:rFonts w:ascii="Arial" w:hAnsi="Arial"/>
                <w:color w:val="auto"/>
                <w:sz w:val="18"/>
              </w:rPr>
              <w:t>(-</w:t>
            </w:r>
            <w:proofErr w:type="gramStart"/>
            <w:r w:rsidRPr="008136E0">
              <w:rPr>
                <w:rFonts w:ascii="Arial" w:hAnsi="Arial"/>
                <w:color w:val="auto"/>
                <w:sz w:val="18"/>
              </w:rPr>
              <w:t xml:space="preserve">)  </w:t>
            </w:r>
            <w:r>
              <w:rPr>
                <w:rFonts w:ascii="Arial" w:hAnsi="Arial"/>
                <w:color w:val="auto"/>
                <w:sz w:val="18"/>
              </w:rPr>
              <w:t>5</w:t>
            </w:r>
            <w:proofErr w:type="gramEnd"/>
            <w:r w:rsidRPr="008136E0">
              <w:rPr>
                <w:rFonts w:ascii="Arial" w:hAnsi="Arial"/>
                <w:color w:val="auto"/>
                <w:sz w:val="18"/>
              </w:rPr>
              <w:t>.</w:t>
            </w:r>
            <w:r>
              <w:rPr>
                <w:rFonts w:ascii="Arial" w:hAnsi="Arial"/>
                <w:color w:val="auto"/>
                <w:sz w:val="18"/>
              </w:rPr>
              <w:t>7</w:t>
            </w:r>
          </w:p>
        </w:tc>
        <w:tc>
          <w:tcPr>
            <w:tcW w:w="2410" w:type="dxa"/>
            <w:tcBorders>
              <w:top w:val="nil"/>
              <w:left w:val="single" w:sz="4" w:space="0" w:color="000000"/>
              <w:bottom w:val="nil"/>
              <w:right w:val="double" w:sz="4" w:space="0" w:color="auto"/>
            </w:tcBorders>
            <w:vAlign w:val="center"/>
            <w:hideMark/>
          </w:tcPr>
          <w:p w14:paraId="59C8B195" w14:textId="77777777" w:rsidR="002557A9" w:rsidRPr="008136E0" w:rsidRDefault="002557A9" w:rsidP="005D380B">
            <w:pPr>
              <w:pStyle w:val="p0"/>
              <w:spacing w:before="120"/>
              <w:ind w:right="1021"/>
              <w:jc w:val="right"/>
              <w:rPr>
                <w:rFonts w:ascii="Arial" w:hAnsi="Arial"/>
                <w:color w:val="auto"/>
                <w:sz w:val="18"/>
              </w:rPr>
            </w:pPr>
            <w:r>
              <w:rPr>
                <w:rFonts w:ascii="Arial" w:hAnsi="Arial"/>
                <w:color w:val="auto"/>
                <w:sz w:val="18"/>
              </w:rPr>
              <w:t>(-</w:t>
            </w:r>
            <w:proofErr w:type="gramStart"/>
            <w:r>
              <w:rPr>
                <w:rFonts w:ascii="Arial" w:hAnsi="Arial"/>
                <w:color w:val="auto"/>
                <w:sz w:val="18"/>
              </w:rPr>
              <w:t>)</w:t>
            </w:r>
            <w:r w:rsidRPr="008136E0">
              <w:rPr>
                <w:rFonts w:ascii="Arial" w:hAnsi="Arial"/>
                <w:color w:val="auto"/>
                <w:sz w:val="18"/>
              </w:rPr>
              <w:t xml:space="preserve">  </w:t>
            </w:r>
            <w:r>
              <w:rPr>
                <w:rFonts w:ascii="Arial" w:hAnsi="Arial"/>
                <w:color w:val="auto"/>
                <w:sz w:val="18"/>
              </w:rPr>
              <w:t>8</w:t>
            </w:r>
            <w:proofErr w:type="gramEnd"/>
            <w:r w:rsidRPr="008136E0">
              <w:rPr>
                <w:rFonts w:ascii="Arial" w:hAnsi="Arial"/>
                <w:color w:val="auto"/>
                <w:sz w:val="18"/>
              </w:rPr>
              <w:t>.3</w:t>
            </w:r>
          </w:p>
        </w:tc>
      </w:tr>
      <w:tr w:rsidR="002557A9" w:rsidRPr="00901570" w14:paraId="5307909D" w14:textId="77777777" w:rsidTr="005D380B">
        <w:trPr>
          <w:jc w:val="center"/>
        </w:trPr>
        <w:tc>
          <w:tcPr>
            <w:tcW w:w="2977" w:type="dxa"/>
            <w:tcBorders>
              <w:top w:val="nil"/>
              <w:left w:val="double" w:sz="4" w:space="0" w:color="auto"/>
              <w:bottom w:val="nil"/>
              <w:right w:val="single" w:sz="4" w:space="0" w:color="000000"/>
            </w:tcBorders>
            <w:vAlign w:val="center"/>
            <w:hideMark/>
          </w:tcPr>
          <w:p w14:paraId="67C6F73D" w14:textId="77777777" w:rsidR="002557A9" w:rsidRPr="00901570" w:rsidRDefault="002557A9" w:rsidP="005D380B">
            <w:pPr>
              <w:pStyle w:val="p0"/>
              <w:spacing w:before="120"/>
              <w:ind w:left="171"/>
              <w:jc w:val="left"/>
              <w:rPr>
                <w:rFonts w:ascii="Arial" w:hAnsi="Arial"/>
                <w:color w:val="auto"/>
                <w:sz w:val="18"/>
              </w:rPr>
            </w:pPr>
            <w:r w:rsidRPr="00901570">
              <w:rPr>
                <w:rFonts w:ascii="Arial" w:hAnsi="Arial"/>
                <w:color w:val="auto"/>
                <w:sz w:val="18"/>
              </w:rPr>
              <w:t>Actividades Secundarias</w:t>
            </w:r>
          </w:p>
        </w:tc>
        <w:tc>
          <w:tcPr>
            <w:tcW w:w="2268" w:type="dxa"/>
            <w:tcBorders>
              <w:top w:val="nil"/>
              <w:left w:val="single" w:sz="4" w:space="0" w:color="000000"/>
              <w:bottom w:val="nil"/>
              <w:right w:val="single" w:sz="4" w:space="0" w:color="000000"/>
            </w:tcBorders>
            <w:vAlign w:val="center"/>
            <w:hideMark/>
          </w:tcPr>
          <w:p w14:paraId="5707C24B" w14:textId="77777777" w:rsidR="002557A9" w:rsidRPr="008136E0" w:rsidRDefault="002557A9" w:rsidP="005D380B">
            <w:pPr>
              <w:pStyle w:val="p0"/>
              <w:spacing w:before="120"/>
              <w:ind w:right="818"/>
              <w:jc w:val="right"/>
              <w:rPr>
                <w:rFonts w:ascii="Arial" w:hAnsi="Arial"/>
                <w:color w:val="auto"/>
                <w:sz w:val="18"/>
              </w:rPr>
            </w:pPr>
            <w:r w:rsidRPr="008136E0">
              <w:rPr>
                <w:rFonts w:ascii="Arial" w:hAnsi="Arial"/>
                <w:color w:val="auto"/>
                <w:sz w:val="18"/>
              </w:rPr>
              <w:t xml:space="preserve"> </w:t>
            </w:r>
            <w:r>
              <w:rPr>
                <w:rFonts w:ascii="Arial" w:hAnsi="Arial"/>
                <w:color w:val="auto"/>
                <w:sz w:val="18"/>
              </w:rPr>
              <w:t>(-</w:t>
            </w:r>
            <w:proofErr w:type="gramStart"/>
            <w:r>
              <w:rPr>
                <w:rFonts w:ascii="Arial" w:hAnsi="Arial"/>
                <w:color w:val="auto"/>
                <w:sz w:val="18"/>
              </w:rPr>
              <w:t xml:space="preserve">) </w:t>
            </w:r>
            <w:r w:rsidRPr="008136E0">
              <w:rPr>
                <w:rFonts w:ascii="Arial" w:hAnsi="Arial"/>
                <w:color w:val="auto"/>
                <w:sz w:val="18"/>
              </w:rPr>
              <w:t xml:space="preserve"> 0</w:t>
            </w:r>
            <w:proofErr w:type="gramEnd"/>
            <w:r w:rsidRPr="008136E0">
              <w:rPr>
                <w:rFonts w:ascii="Arial" w:hAnsi="Arial"/>
                <w:color w:val="auto"/>
                <w:sz w:val="18"/>
              </w:rPr>
              <w:t>.</w:t>
            </w:r>
            <w:r>
              <w:rPr>
                <w:rFonts w:ascii="Arial" w:hAnsi="Arial"/>
                <w:color w:val="auto"/>
                <w:sz w:val="18"/>
              </w:rPr>
              <w:t>6</w:t>
            </w:r>
          </w:p>
        </w:tc>
        <w:tc>
          <w:tcPr>
            <w:tcW w:w="2410" w:type="dxa"/>
            <w:tcBorders>
              <w:top w:val="nil"/>
              <w:left w:val="single" w:sz="4" w:space="0" w:color="000000"/>
              <w:bottom w:val="nil"/>
              <w:right w:val="double" w:sz="4" w:space="0" w:color="auto"/>
            </w:tcBorders>
            <w:vAlign w:val="center"/>
            <w:hideMark/>
          </w:tcPr>
          <w:p w14:paraId="5FB58DA3" w14:textId="77777777" w:rsidR="002557A9" w:rsidRPr="008136E0" w:rsidRDefault="002557A9" w:rsidP="005D380B">
            <w:pPr>
              <w:pStyle w:val="p0"/>
              <w:spacing w:before="120"/>
              <w:ind w:right="1021"/>
              <w:jc w:val="right"/>
              <w:rPr>
                <w:rFonts w:ascii="Arial" w:hAnsi="Arial"/>
                <w:color w:val="auto"/>
                <w:sz w:val="18"/>
              </w:rPr>
            </w:pPr>
            <w:r w:rsidRPr="008136E0">
              <w:rPr>
                <w:rFonts w:ascii="Arial" w:hAnsi="Arial"/>
                <w:color w:val="auto"/>
                <w:sz w:val="18"/>
              </w:rPr>
              <w:t>(-</w:t>
            </w:r>
            <w:proofErr w:type="gramStart"/>
            <w:r w:rsidRPr="008136E0">
              <w:rPr>
                <w:rFonts w:ascii="Arial" w:hAnsi="Arial"/>
                <w:color w:val="auto"/>
                <w:sz w:val="18"/>
              </w:rPr>
              <w:t xml:space="preserve">)  </w:t>
            </w:r>
            <w:r>
              <w:rPr>
                <w:rFonts w:ascii="Arial" w:hAnsi="Arial"/>
                <w:color w:val="auto"/>
                <w:sz w:val="18"/>
              </w:rPr>
              <w:t>3</w:t>
            </w:r>
            <w:proofErr w:type="gramEnd"/>
            <w:r w:rsidRPr="008136E0">
              <w:rPr>
                <w:rFonts w:ascii="Arial" w:hAnsi="Arial"/>
                <w:color w:val="auto"/>
                <w:sz w:val="18"/>
              </w:rPr>
              <w:t>.</w:t>
            </w:r>
            <w:r>
              <w:rPr>
                <w:rFonts w:ascii="Arial" w:hAnsi="Arial"/>
                <w:color w:val="auto"/>
                <w:sz w:val="18"/>
              </w:rPr>
              <w:t>5</w:t>
            </w:r>
          </w:p>
        </w:tc>
      </w:tr>
      <w:tr w:rsidR="002557A9" w:rsidRPr="00901570" w14:paraId="7F9368AC" w14:textId="77777777" w:rsidTr="005D380B">
        <w:trPr>
          <w:jc w:val="center"/>
        </w:trPr>
        <w:tc>
          <w:tcPr>
            <w:tcW w:w="2977" w:type="dxa"/>
            <w:tcBorders>
              <w:top w:val="nil"/>
              <w:left w:val="double" w:sz="4" w:space="0" w:color="auto"/>
              <w:bottom w:val="double" w:sz="4" w:space="0" w:color="auto"/>
              <w:right w:val="single" w:sz="4" w:space="0" w:color="000000"/>
            </w:tcBorders>
            <w:vAlign w:val="center"/>
            <w:hideMark/>
          </w:tcPr>
          <w:p w14:paraId="6443AE2D" w14:textId="77777777" w:rsidR="002557A9" w:rsidRPr="00901570" w:rsidRDefault="002557A9" w:rsidP="005D380B">
            <w:pPr>
              <w:pStyle w:val="p0"/>
              <w:spacing w:before="120" w:after="120"/>
              <w:ind w:left="171"/>
              <w:jc w:val="left"/>
              <w:rPr>
                <w:rFonts w:ascii="Arial" w:hAnsi="Arial"/>
                <w:color w:val="auto"/>
                <w:sz w:val="18"/>
              </w:rPr>
            </w:pPr>
            <w:r w:rsidRPr="00901570">
              <w:rPr>
                <w:rFonts w:ascii="Arial" w:hAnsi="Arial"/>
                <w:color w:val="auto"/>
                <w:sz w:val="18"/>
              </w:rPr>
              <w:t>Actividades Terciarias</w:t>
            </w:r>
          </w:p>
        </w:tc>
        <w:tc>
          <w:tcPr>
            <w:tcW w:w="2268" w:type="dxa"/>
            <w:tcBorders>
              <w:top w:val="nil"/>
              <w:left w:val="single" w:sz="4" w:space="0" w:color="000000"/>
              <w:bottom w:val="double" w:sz="4" w:space="0" w:color="auto"/>
              <w:right w:val="single" w:sz="4" w:space="0" w:color="000000"/>
            </w:tcBorders>
            <w:vAlign w:val="center"/>
            <w:hideMark/>
          </w:tcPr>
          <w:p w14:paraId="137DD7B5" w14:textId="77777777" w:rsidR="002557A9" w:rsidRPr="008136E0" w:rsidRDefault="002557A9" w:rsidP="005D380B">
            <w:pPr>
              <w:pStyle w:val="p0"/>
              <w:spacing w:before="120" w:after="120"/>
              <w:ind w:right="818"/>
              <w:jc w:val="right"/>
              <w:rPr>
                <w:rFonts w:ascii="Arial" w:hAnsi="Arial"/>
                <w:color w:val="auto"/>
                <w:sz w:val="18"/>
              </w:rPr>
            </w:pPr>
            <w:r w:rsidRPr="008136E0">
              <w:rPr>
                <w:rFonts w:ascii="Arial" w:hAnsi="Arial"/>
                <w:color w:val="auto"/>
                <w:sz w:val="18"/>
              </w:rPr>
              <w:t xml:space="preserve">    0.</w:t>
            </w:r>
            <w:r>
              <w:rPr>
                <w:rFonts w:ascii="Arial" w:hAnsi="Arial"/>
                <w:color w:val="auto"/>
                <w:sz w:val="18"/>
              </w:rPr>
              <w:t>1</w:t>
            </w:r>
          </w:p>
        </w:tc>
        <w:tc>
          <w:tcPr>
            <w:tcW w:w="2410" w:type="dxa"/>
            <w:tcBorders>
              <w:top w:val="nil"/>
              <w:left w:val="single" w:sz="4" w:space="0" w:color="000000"/>
              <w:bottom w:val="double" w:sz="4" w:space="0" w:color="auto"/>
              <w:right w:val="double" w:sz="4" w:space="0" w:color="auto"/>
            </w:tcBorders>
            <w:vAlign w:val="center"/>
            <w:hideMark/>
          </w:tcPr>
          <w:p w14:paraId="5DC8E8AF" w14:textId="77777777" w:rsidR="002557A9" w:rsidRPr="008136E0" w:rsidRDefault="002557A9" w:rsidP="005D380B">
            <w:pPr>
              <w:pStyle w:val="p0"/>
              <w:spacing w:before="120" w:after="120"/>
              <w:ind w:right="1021"/>
              <w:jc w:val="right"/>
              <w:rPr>
                <w:rFonts w:ascii="Arial" w:hAnsi="Arial"/>
                <w:color w:val="auto"/>
                <w:sz w:val="18"/>
              </w:rPr>
            </w:pPr>
            <w:r w:rsidRPr="008136E0">
              <w:rPr>
                <w:rFonts w:ascii="Arial" w:hAnsi="Arial"/>
                <w:color w:val="auto"/>
                <w:sz w:val="18"/>
              </w:rPr>
              <w:t>(-</w:t>
            </w:r>
            <w:proofErr w:type="gramStart"/>
            <w:r w:rsidRPr="008136E0">
              <w:rPr>
                <w:rFonts w:ascii="Arial" w:hAnsi="Arial"/>
                <w:color w:val="auto"/>
                <w:sz w:val="18"/>
              </w:rPr>
              <w:t>)  0</w:t>
            </w:r>
            <w:proofErr w:type="gramEnd"/>
            <w:r w:rsidRPr="008136E0">
              <w:rPr>
                <w:rFonts w:ascii="Arial" w:hAnsi="Arial"/>
                <w:color w:val="auto"/>
                <w:sz w:val="18"/>
              </w:rPr>
              <w:t>.</w:t>
            </w:r>
            <w:r>
              <w:rPr>
                <w:rFonts w:ascii="Arial" w:hAnsi="Arial"/>
                <w:color w:val="auto"/>
                <w:sz w:val="18"/>
              </w:rPr>
              <w:t>3</w:t>
            </w:r>
          </w:p>
        </w:tc>
      </w:tr>
    </w:tbl>
    <w:p w14:paraId="55238C4A" w14:textId="77777777" w:rsidR="002557A9" w:rsidRPr="0082401B" w:rsidRDefault="002557A9" w:rsidP="002557A9">
      <w:pPr>
        <w:ind w:left="709" w:right="446"/>
        <w:rPr>
          <w:sz w:val="16"/>
          <w:szCs w:val="16"/>
        </w:rPr>
      </w:pPr>
      <w:r w:rsidRPr="00901570">
        <w:rPr>
          <w:sz w:val="16"/>
          <w:szCs w:val="16"/>
        </w:rPr>
        <w:t>Nota: La serie desestacionalizada del IGAE</w:t>
      </w:r>
      <w:r w:rsidRPr="00901570">
        <w:rPr>
          <w:sz w:val="16"/>
        </w:rPr>
        <w:t xml:space="preserve"> se calcula de manera independiente a la de </w:t>
      </w:r>
      <w:r w:rsidRPr="0082401B">
        <w:rPr>
          <w:color w:val="000000" w:themeColor="text1"/>
          <w:sz w:val="16"/>
        </w:rPr>
        <w:t>sus</w:t>
      </w:r>
      <w:r>
        <w:rPr>
          <w:color w:val="000000" w:themeColor="text1"/>
          <w:sz w:val="16"/>
        </w:rPr>
        <w:t xml:space="preserve"> </w:t>
      </w:r>
      <w:r w:rsidRPr="0082401B">
        <w:rPr>
          <w:color w:val="000000" w:themeColor="text1"/>
          <w:sz w:val="16"/>
        </w:rPr>
        <w:t>componentes.</w:t>
      </w:r>
    </w:p>
    <w:p w14:paraId="4FC9CBD2" w14:textId="77777777" w:rsidR="002557A9" w:rsidRPr="0082401B" w:rsidRDefault="002557A9" w:rsidP="002557A9">
      <w:pPr>
        <w:tabs>
          <w:tab w:val="num" w:pos="1843"/>
          <w:tab w:val="left" w:pos="7939"/>
        </w:tabs>
        <w:spacing w:after="240"/>
        <w:ind w:left="709"/>
        <w:rPr>
          <w:lang w:val="es-MX"/>
        </w:rPr>
      </w:pPr>
      <w:r w:rsidRPr="0082401B">
        <w:rPr>
          <w:sz w:val="16"/>
          <w:szCs w:val="16"/>
        </w:rPr>
        <w:t>Fuente: INEGI.</w:t>
      </w:r>
    </w:p>
    <w:p w14:paraId="0B9D286F" w14:textId="77777777" w:rsidR="002557A9" w:rsidRDefault="002557A9" w:rsidP="002557A9">
      <w:pPr>
        <w:jc w:val="center"/>
        <w:rPr>
          <w:b/>
          <w:color w:val="000000"/>
        </w:rPr>
      </w:pPr>
    </w:p>
    <w:p w14:paraId="2724E871" w14:textId="77777777" w:rsidR="002557A9" w:rsidRDefault="002557A9" w:rsidP="002557A9">
      <w:pPr>
        <w:jc w:val="center"/>
        <w:rPr>
          <w:b/>
          <w:color w:val="000000"/>
        </w:rPr>
      </w:pPr>
    </w:p>
    <w:p w14:paraId="4DF600C8" w14:textId="77777777" w:rsidR="002557A9" w:rsidRDefault="002557A9" w:rsidP="002557A9">
      <w:pPr>
        <w:jc w:val="center"/>
        <w:rPr>
          <w:b/>
          <w:color w:val="000000"/>
        </w:rPr>
      </w:pPr>
    </w:p>
    <w:p w14:paraId="7188C84D" w14:textId="77777777" w:rsidR="002557A9" w:rsidRDefault="002557A9" w:rsidP="002557A9">
      <w:pPr>
        <w:jc w:val="center"/>
        <w:rPr>
          <w:b/>
          <w:color w:val="000000"/>
        </w:rPr>
      </w:pPr>
      <w:r w:rsidRPr="003B1ACA">
        <w:rPr>
          <w:b/>
          <w:color w:val="000000"/>
        </w:rPr>
        <w:t>Se anexa Nota Técnica</w:t>
      </w:r>
    </w:p>
    <w:p w14:paraId="27793566" w14:textId="77777777" w:rsidR="002557A9" w:rsidRDefault="002557A9" w:rsidP="002557A9">
      <w:pPr>
        <w:pStyle w:val="p0"/>
        <w:jc w:val="center"/>
      </w:pPr>
    </w:p>
    <w:p w14:paraId="7002549B"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2474B43F"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2C33AB21"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5538ED73"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03FA342A"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30AFEB80"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67EA68D6"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26C4C3B1" w14:textId="77777777" w:rsidR="002557A9"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659430FE" w14:textId="77777777" w:rsidR="002557A9" w:rsidRPr="00745B1D" w:rsidRDefault="002557A9" w:rsidP="002557A9">
      <w:pPr>
        <w:pStyle w:val="NormalWeb"/>
        <w:spacing w:before="0" w:beforeAutospacing="0" w:after="0" w:afterAutospacing="0"/>
        <w:ind w:left="-426" w:right="-518"/>
        <w:contextualSpacing/>
        <w:jc w:val="center"/>
        <w:rPr>
          <w:rFonts w:ascii="Arial" w:hAnsi="Arial" w:cs="Arial"/>
          <w:sz w:val="22"/>
          <w:szCs w:val="22"/>
        </w:rPr>
      </w:pPr>
    </w:p>
    <w:p w14:paraId="01287C5C" w14:textId="77777777" w:rsidR="002557A9" w:rsidRPr="00AE4A42" w:rsidRDefault="002557A9" w:rsidP="002557A9">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Para consultas de medios y periodistas, contactar a: </w:t>
      </w:r>
      <w:hyperlink r:id="rId9" w:history="1">
        <w:r w:rsidRPr="00AE4A42">
          <w:rPr>
            <w:rStyle w:val="Hipervnculo"/>
            <w:rFonts w:ascii="Arial" w:hAnsi="Arial" w:cs="Arial"/>
            <w:sz w:val="22"/>
            <w:szCs w:val="22"/>
          </w:rPr>
          <w:t>comunicacionsocial@inegi.org.mx</w:t>
        </w:r>
      </w:hyperlink>
      <w:r w:rsidRPr="00AE4A42">
        <w:rPr>
          <w:rFonts w:ascii="Arial" w:hAnsi="Arial" w:cs="Arial"/>
          <w:sz w:val="22"/>
          <w:szCs w:val="22"/>
        </w:rPr>
        <w:t xml:space="preserve"> </w:t>
      </w:r>
    </w:p>
    <w:p w14:paraId="0937811C" w14:textId="77777777" w:rsidR="002557A9" w:rsidRPr="00AE4A42" w:rsidRDefault="002557A9" w:rsidP="002557A9">
      <w:pPr>
        <w:pStyle w:val="NormalWeb"/>
        <w:spacing w:before="0" w:beforeAutospacing="0" w:after="0" w:afterAutospacing="0"/>
        <w:ind w:left="-426" w:right="-518"/>
        <w:contextualSpacing/>
        <w:jc w:val="center"/>
        <w:rPr>
          <w:rFonts w:ascii="Arial" w:hAnsi="Arial" w:cs="Arial"/>
          <w:sz w:val="22"/>
          <w:szCs w:val="22"/>
        </w:rPr>
      </w:pPr>
      <w:r w:rsidRPr="00AE4A42">
        <w:rPr>
          <w:rFonts w:ascii="Arial" w:hAnsi="Arial" w:cs="Arial"/>
          <w:sz w:val="22"/>
          <w:szCs w:val="22"/>
        </w:rPr>
        <w:t xml:space="preserve">o llamar al teléfono (55) 52-78-10-00, </w:t>
      </w:r>
      <w:proofErr w:type="spellStart"/>
      <w:r w:rsidRPr="00AE4A42">
        <w:rPr>
          <w:rFonts w:ascii="Arial" w:hAnsi="Arial" w:cs="Arial"/>
          <w:sz w:val="22"/>
          <w:szCs w:val="22"/>
        </w:rPr>
        <w:t>exts</w:t>
      </w:r>
      <w:proofErr w:type="spellEnd"/>
      <w:r w:rsidRPr="00AE4A42">
        <w:rPr>
          <w:rFonts w:ascii="Arial" w:hAnsi="Arial" w:cs="Arial"/>
          <w:sz w:val="22"/>
          <w:szCs w:val="22"/>
        </w:rPr>
        <w:t>. 1134, 1260 y 1241.</w:t>
      </w:r>
    </w:p>
    <w:p w14:paraId="3160BEAE" w14:textId="77777777" w:rsidR="002557A9" w:rsidRPr="00AE4A42" w:rsidRDefault="002557A9" w:rsidP="002557A9">
      <w:pPr>
        <w:ind w:left="-426" w:right="-518"/>
        <w:contextualSpacing/>
        <w:jc w:val="center"/>
        <w:rPr>
          <w:sz w:val="22"/>
          <w:szCs w:val="22"/>
        </w:rPr>
      </w:pPr>
    </w:p>
    <w:p w14:paraId="677FDE55" w14:textId="77777777" w:rsidR="002557A9" w:rsidRPr="00AE4A42" w:rsidRDefault="002557A9" w:rsidP="002557A9">
      <w:pPr>
        <w:ind w:left="-426" w:right="-518"/>
        <w:contextualSpacing/>
        <w:jc w:val="center"/>
        <w:rPr>
          <w:sz w:val="22"/>
          <w:szCs w:val="22"/>
        </w:rPr>
      </w:pPr>
      <w:r w:rsidRPr="00AE4A42">
        <w:rPr>
          <w:sz w:val="22"/>
          <w:szCs w:val="22"/>
        </w:rPr>
        <w:t xml:space="preserve">Dirección de Atención a Medios / Dirección General Adjunta de Comunicación </w:t>
      </w:r>
    </w:p>
    <w:p w14:paraId="2F813F28" w14:textId="77777777" w:rsidR="002557A9" w:rsidRPr="006F4700" w:rsidRDefault="002557A9" w:rsidP="002557A9">
      <w:pPr>
        <w:ind w:left="-426" w:right="-518"/>
        <w:contextualSpacing/>
        <w:jc w:val="center"/>
        <w:rPr>
          <w:sz w:val="22"/>
          <w:szCs w:val="22"/>
        </w:rPr>
      </w:pPr>
    </w:p>
    <w:p w14:paraId="0C609C47" w14:textId="77777777" w:rsidR="002557A9" w:rsidRPr="003C537A" w:rsidRDefault="002557A9" w:rsidP="002557A9">
      <w:pPr>
        <w:ind w:left="-425" w:right="-516"/>
        <w:contextualSpacing/>
        <w:jc w:val="center"/>
        <w:rPr>
          <w:strike/>
          <w:sz w:val="8"/>
          <w:szCs w:val="8"/>
        </w:rPr>
      </w:pPr>
      <w:r w:rsidRPr="00FF1218">
        <w:rPr>
          <w:noProof/>
          <w:lang w:val="es-MX" w:eastAsia="es-MX"/>
        </w:rPr>
        <w:drawing>
          <wp:inline distT="0" distB="0" distL="0" distR="0" wp14:anchorId="3C14915B" wp14:editId="7C191969">
            <wp:extent cx="274320" cy="365760"/>
            <wp:effectExtent l="0" t="0" r="0" b="0"/>
            <wp:docPr id="1" name="Imagen 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9F0CAAD" wp14:editId="559C40AA">
            <wp:extent cx="365760" cy="365760"/>
            <wp:effectExtent l="0" t="0" r="0" b="0"/>
            <wp:docPr id="7" name="Imagen 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6699039" wp14:editId="7ACECC12">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77C7EC" wp14:editId="103D8C78">
            <wp:extent cx="365760" cy="365760"/>
            <wp:effectExtent l="0" t="0" r="0" b="0"/>
            <wp:docPr id="9" name="Imagen 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4428201" wp14:editId="268232DC">
            <wp:extent cx="2286000" cy="274320"/>
            <wp:effectExtent l="0" t="0" r="0" b="0"/>
            <wp:docPr id="10" name="Imagen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15812DA" w14:textId="77777777" w:rsidR="002557A9" w:rsidRDefault="002557A9" w:rsidP="002557A9">
      <w:pPr>
        <w:pStyle w:val="NormalWeb"/>
        <w:spacing w:before="0" w:beforeAutospacing="0" w:after="0" w:afterAutospacing="0"/>
        <w:ind w:left="-426" w:right="-518"/>
        <w:contextualSpacing/>
        <w:jc w:val="center"/>
        <w:rPr>
          <w:rFonts w:ascii="Arial" w:hAnsi="Arial" w:cs="Arial"/>
          <w:sz w:val="18"/>
          <w:szCs w:val="18"/>
        </w:rPr>
      </w:pPr>
    </w:p>
    <w:p w14:paraId="5AD824D6" w14:textId="77777777" w:rsidR="002557A9" w:rsidRPr="00157C43" w:rsidRDefault="002557A9" w:rsidP="002557A9">
      <w:pPr>
        <w:pStyle w:val="bullet"/>
        <w:tabs>
          <w:tab w:val="left" w:pos="8789"/>
        </w:tabs>
        <w:spacing w:before="0"/>
        <w:ind w:left="0" w:right="51" w:firstLine="0"/>
        <w:jc w:val="center"/>
        <w:rPr>
          <w:rFonts w:cs="Arial"/>
          <w:szCs w:val="24"/>
        </w:rPr>
        <w:sectPr w:rsidR="002557A9"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310A1875" w14:textId="77777777" w:rsidR="002557A9" w:rsidRDefault="002557A9" w:rsidP="002557A9">
      <w:pPr>
        <w:tabs>
          <w:tab w:val="left" w:pos="8789"/>
        </w:tabs>
        <w:ind w:right="51"/>
        <w:jc w:val="center"/>
      </w:pPr>
      <w:r w:rsidRPr="001F1169">
        <w:lastRenderedPageBreak/>
        <w:t xml:space="preserve"> </w:t>
      </w:r>
      <w:r>
        <w:t xml:space="preserve"> </w:t>
      </w:r>
    </w:p>
    <w:p w14:paraId="6B591DDD" w14:textId="3990281F" w:rsidR="002557A9" w:rsidRDefault="002557A9" w:rsidP="002557A9">
      <w:pPr>
        <w:tabs>
          <w:tab w:val="left" w:pos="8789"/>
        </w:tabs>
        <w:ind w:right="51"/>
        <w:jc w:val="center"/>
        <w:rPr>
          <w:b/>
          <w:sz w:val="28"/>
          <w:szCs w:val="28"/>
        </w:rPr>
      </w:pPr>
      <w:r>
        <w:t xml:space="preserve"> </w:t>
      </w:r>
      <w:r w:rsidRPr="00BF3D60">
        <w:rPr>
          <w:b/>
          <w:sz w:val="28"/>
          <w:szCs w:val="28"/>
        </w:rPr>
        <w:t>NOTA TÉCNICA</w:t>
      </w:r>
    </w:p>
    <w:p w14:paraId="63B078B4" w14:textId="77777777" w:rsidR="002557A9" w:rsidRPr="002557A9" w:rsidRDefault="002557A9" w:rsidP="0082401B">
      <w:pPr>
        <w:pStyle w:val="Profesin"/>
        <w:outlineLvl w:val="0"/>
        <w:rPr>
          <w:sz w:val="20"/>
          <w:szCs w:val="20"/>
          <w:lang w:val="es-MX"/>
        </w:rPr>
      </w:pPr>
    </w:p>
    <w:p w14:paraId="236D08E4" w14:textId="001FEC14" w:rsidR="0082401B" w:rsidRDefault="0082401B" w:rsidP="0082401B">
      <w:pPr>
        <w:pStyle w:val="Profesin"/>
        <w:outlineLvl w:val="0"/>
        <w:rPr>
          <w:lang w:val="es-MX"/>
        </w:rPr>
      </w:pPr>
      <w:r>
        <w:rPr>
          <w:lang w:val="es-MX"/>
        </w:rPr>
        <w:t>INDICADOR GLOBAL DE LA ACTIVIDAD ECONÓMICA</w:t>
      </w:r>
      <w:r w:rsidR="00524FC0" w:rsidRPr="00757C3A">
        <w:rPr>
          <w:szCs w:val="22"/>
          <w:vertAlign w:val="superscript"/>
        </w:rPr>
        <w:footnoteReference w:id="4"/>
      </w:r>
    </w:p>
    <w:p w14:paraId="28FACCD3" w14:textId="1323786A" w:rsidR="0082401B" w:rsidRDefault="0082401B" w:rsidP="0082401B">
      <w:pPr>
        <w:jc w:val="center"/>
        <w:rPr>
          <w:b/>
          <w:spacing w:val="25"/>
          <w:sz w:val="26"/>
          <w:lang w:val="es-MX"/>
        </w:rPr>
      </w:pPr>
      <w:r>
        <w:rPr>
          <w:b/>
          <w:spacing w:val="25"/>
          <w:sz w:val="26"/>
          <w:lang w:val="es-MX"/>
        </w:rPr>
        <w:t xml:space="preserve">DURANTE </w:t>
      </w:r>
      <w:r w:rsidR="00F06671">
        <w:rPr>
          <w:b/>
          <w:spacing w:val="25"/>
          <w:sz w:val="26"/>
          <w:lang w:val="es-MX"/>
        </w:rPr>
        <w:t>F</w:t>
      </w:r>
      <w:r w:rsidR="009E155E">
        <w:rPr>
          <w:b/>
          <w:spacing w:val="25"/>
          <w:sz w:val="26"/>
          <w:lang w:val="es-MX"/>
        </w:rPr>
        <w:t>E</w:t>
      </w:r>
      <w:r w:rsidR="00F06671">
        <w:rPr>
          <w:b/>
          <w:spacing w:val="25"/>
          <w:sz w:val="26"/>
          <w:lang w:val="es-MX"/>
        </w:rPr>
        <w:t>BR</w:t>
      </w:r>
      <w:r w:rsidR="00235F56">
        <w:rPr>
          <w:b/>
          <w:spacing w:val="25"/>
          <w:sz w:val="26"/>
          <w:lang w:val="es-MX"/>
        </w:rPr>
        <w:t>ERO</w:t>
      </w:r>
      <w:r w:rsidR="00662155">
        <w:rPr>
          <w:b/>
          <w:spacing w:val="25"/>
          <w:sz w:val="26"/>
          <w:lang w:val="es-MX"/>
        </w:rPr>
        <w:t xml:space="preserve"> DE 20</w:t>
      </w:r>
      <w:r w:rsidR="00235F56">
        <w:rPr>
          <w:b/>
          <w:spacing w:val="25"/>
          <w:sz w:val="26"/>
          <w:lang w:val="es-MX"/>
        </w:rPr>
        <w:t>20</w:t>
      </w:r>
    </w:p>
    <w:p w14:paraId="389084C2" w14:textId="77777777" w:rsidR="0082401B" w:rsidRPr="002557A9" w:rsidRDefault="0082401B" w:rsidP="0082401B">
      <w:pPr>
        <w:jc w:val="center"/>
        <w:rPr>
          <w:b/>
          <w:spacing w:val="25"/>
          <w:lang w:val="es-MX"/>
        </w:rPr>
      </w:pPr>
      <w:r w:rsidRPr="002557A9">
        <w:rPr>
          <w:b/>
          <w:spacing w:val="25"/>
          <w:lang w:val="es-MX"/>
        </w:rPr>
        <w:t>(</w:t>
      </w:r>
      <w:r w:rsidRPr="002557A9">
        <w:rPr>
          <w:b/>
          <w:i/>
          <w:spacing w:val="25"/>
          <w:lang w:val="es-MX"/>
        </w:rPr>
        <w:t>Cifras desestacionalizadas</w:t>
      </w:r>
      <w:r w:rsidRPr="002557A9">
        <w:rPr>
          <w:b/>
          <w:spacing w:val="25"/>
          <w:lang w:val="es-MX"/>
        </w:rPr>
        <w:t>)</w:t>
      </w:r>
    </w:p>
    <w:p w14:paraId="43D2AF0C" w14:textId="77777777" w:rsidR="000A06B1" w:rsidRDefault="000A06B1" w:rsidP="00525C4D">
      <w:pPr>
        <w:spacing w:before="120"/>
        <w:rPr>
          <w:sz w:val="28"/>
          <w:szCs w:val="28"/>
          <w:lang w:val="es-MX"/>
        </w:rPr>
      </w:pPr>
    </w:p>
    <w:p w14:paraId="04923DFF" w14:textId="10187D0B" w:rsidR="00525C4D" w:rsidRDefault="001F1169" w:rsidP="000A06B1">
      <w:pPr>
        <w:rPr>
          <w:lang w:val="es-MX"/>
        </w:rPr>
      </w:pPr>
      <w:r w:rsidRPr="0018374E">
        <w:rPr>
          <w:lang w:val="es-MX"/>
        </w:rPr>
        <w:t xml:space="preserve">El Instituto Nacional de Estadística y Geografía </w:t>
      </w:r>
      <w:r>
        <w:rPr>
          <w:lang w:val="es-MX"/>
        </w:rPr>
        <w:t xml:space="preserve">(INEGI) </w:t>
      </w:r>
      <w:r w:rsidRPr="0018374E">
        <w:rPr>
          <w:lang w:val="es-MX"/>
        </w:rPr>
        <w:t>informa</w:t>
      </w:r>
      <w:r w:rsidR="00A10D11">
        <w:rPr>
          <w:lang w:val="es-MX"/>
        </w:rPr>
        <w:t xml:space="preserve"> que</w:t>
      </w:r>
      <w:r>
        <w:rPr>
          <w:lang w:val="es-MX"/>
        </w:rPr>
        <w:t>,</w:t>
      </w:r>
      <w:r w:rsidRPr="0018374E">
        <w:rPr>
          <w:lang w:val="es-MX"/>
        </w:rPr>
        <w:t xml:space="preserve"> con base en </w:t>
      </w:r>
      <w:r>
        <w:rPr>
          <w:lang w:val="es-MX"/>
        </w:rPr>
        <w:t>datos desestacionalizado</w:t>
      </w:r>
      <w:r w:rsidRPr="0018374E">
        <w:rPr>
          <w:lang w:val="es-MX"/>
        </w:rPr>
        <w:t>s</w:t>
      </w:r>
      <w:r>
        <w:rPr>
          <w:lang w:val="es-MX"/>
        </w:rPr>
        <w:t xml:space="preserve">, </w:t>
      </w:r>
      <w:r w:rsidRPr="0018374E">
        <w:rPr>
          <w:lang w:val="es-MX"/>
        </w:rPr>
        <w:t xml:space="preserve">el Indicador Global de la Actividad Económica (IGAE) </w:t>
      </w:r>
      <w:r w:rsidR="00F63358">
        <w:rPr>
          <w:lang w:val="es-MX"/>
        </w:rPr>
        <w:t xml:space="preserve">presentó </w:t>
      </w:r>
      <w:r w:rsidR="003B13AB">
        <w:rPr>
          <w:lang w:val="es-MX"/>
        </w:rPr>
        <w:t xml:space="preserve">una disminución de (-)0.2% </w:t>
      </w:r>
      <w:r w:rsidR="00F63358">
        <w:rPr>
          <w:lang w:val="es-MX"/>
        </w:rPr>
        <w:t>e</w:t>
      </w:r>
      <w:r w:rsidR="004461DF">
        <w:rPr>
          <w:lang w:val="es-MX"/>
        </w:rPr>
        <w:t>n</w:t>
      </w:r>
      <w:r w:rsidR="00ED49E2">
        <w:rPr>
          <w:lang w:val="es-MX"/>
        </w:rPr>
        <w:t xml:space="preserve"> </w:t>
      </w:r>
      <w:r w:rsidR="008E15B0">
        <w:rPr>
          <w:lang w:val="es-MX"/>
        </w:rPr>
        <w:t xml:space="preserve">términos </w:t>
      </w:r>
      <w:r w:rsidR="00ED49E2">
        <w:rPr>
          <w:lang w:val="es-MX"/>
        </w:rPr>
        <w:t>real</w:t>
      </w:r>
      <w:r w:rsidR="008E15B0">
        <w:rPr>
          <w:lang w:val="es-MX"/>
        </w:rPr>
        <w:t>es</w:t>
      </w:r>
      <w:r w:rsidR="004461DF">
        <w:rPr>
          <w:lang w:val="es-MX"/>
        </w:rPr>
        <w:t xml:space="preserve"> </w:t>
      </w:r>
      <w:r w:rsidRPr="005D7C37">
        <w:rPr>
          <w:lang w:val="es-MX"/>
        </w:rPr>
        <w:t>e</w:t>
      </w:r>
      <w:r w:rsidR="009A0A3A">
        <w:rPr>
          <w:lang w:val="es-MX"/>
        </w:rPr>
        <w:t>n</w:t>
      </w:r>
      <w:r w:rsidRPr="005D7C37">
        <w:rPr>
          <w:lang w:val="es-MX"/>
        </w:rPr>
        <w:t xml:space="preserve"> </w:t>
      </w:r>
      <w:r w:rsidR="000D0825">
        <w:rPr>
          <w:lang w:val="es-MX"/>
        </w:rPr>
        <w:t xml:space="preserve">el </w:t>
      </w:r>
      <w:r w:rsidR="00F06671">
        <w:rPr>
          <w:lang w:val="es-MX"/>
        </w:rPr>
        <w:t>segundo</w:t>
      </w:r>
      <w:r w:rsidR="00C66A49">
        <w:rPr>
          <w:lang w:val="es-MX"/>
        </w:rPr>
        <w:t xml:space="preserve"> </w:t>
      </w:r>
      <w:r w:rsidR="000D0825">
        <w:rPr>
          <w:lang w:val="es-MX"/>
        </w:rPr>
        <w:t xml:space="preserve">mes </w:t>
      </w:r>
      <w:r w:rsidR="00365D38">
        <w:rPr>
          <w:lang w:val="es-MX"/>
        </w:rPr>
        <w:t>de 20</w:t>
      </w:r>
      <w:r w:rsidR="00C66A49">
        <w:rPr>
          <w:lang w:val="es-MX"/>
        </w:rPr>
        <w:t>20</w:t>
      </w:r>
      <w:r>
        <w:t xml:space="preserve"> </w:t>
      </w:r>
      <w:r>
        <w:rPr>
          <w:lang w:val="es-MX"/>
        </w:rPr>
        <w:t xml:space="preserve">con relación al mes inmediato </w:t>
      </w:r>
      <w:r w:rsidR="00DA405C">
        <w:rPr>
          <w:lang w:val="es-MX"/>
        </w:rPr>
        <w:t>a</w:t>
      </w:r>
      <w:r>
        <w:rPr>
          <w:lang w:val="es-MX"/>
        </w:rPr>
        <w:t>nterior</w:t>
      </w:r>
      <w:r w:rsidR="00CE01E2">
        <w:rPr>
          <w:lang w:val="es-MX"/>
        </w:rPr>
        <w:t>.</w:t>
      </w:r>
    </w:p>
    <w:p w14:paraId="796122EB" w14:textId="77777777" w:rsidR="001F1169" w:rsidRPr="003B6473" w:rsidRDefault="001F1169" w:rsidP="000A06B1">
      <w:pPr>
        <w:keepNext/>
        <w:keepLines/>
        <w:widowControl w:val="0"/>
        <w:spacing w:before="600"/>
        <w:jc w:val="center"/>
      </w:pPr>
      <w:r w:rsidRPr="00B90B81">
        <w:rPr>
          <w:color w:val="000000"/>
          <w:sz w:val="20"/>
          <w:lang w:val="es-MX"/>
        </w:rPr>
        <w:t>Gráfica 1</w:t>
      </w:r>
    </w:p>
    <w:p w14:paraId="1E8595EC" w14:textId="2DF22C2E" w:rsidR="001F1169" w:rsidRDefault="001F1169" w:rsidP="001F1169">
      <w:pPr>
        <w:pStyle w:val="p02"/>
        <w:keepNext/>
        <w:widowControl w:val="0"/>
        <w:spacing w:before="0"/>
        <w:ind w:right="23"/>
        <w:jc w:val="center"/>
        <w:rPr>
          <w:rFonts w:ascii="Arial" w:hAnsi="Arial" w:cs="Arial"/>
          <w:b/>
          <w:smallCaps/>
          <w:color w:val="000000"/>
          <w:sz w:val="22"/>
          <w:szCs w:val="22"/>
          <w:lang w:val="es-MX"/>
        </w:rPr>
      </w:pPr>
      <w:r w:rsidRPr="00156EF2">
        <w:rPr>
          <w:rFonts w:ascii="Arial" w:hAnsi="Arial" w:cs="Arial"/>
          <w:b/>
          <w:smallCaps/>
          <w:color w:val="auto"/>
          <w:sz w:val="22"/>
        </w:rPr>
        <w:t xml:space="preserve">Indicador </w:t>
      </w:r>
      <w:r w:rsidR="00A81251">
        <w:rPr>
          <w:rFonts w:ascii="Arial" w:hAnsi="Arial" w:cs="Arial"/>
          <w:b/>
          <w:smallCaps/>
          <w:color w:val="auto"/>
          <w:sz w:val="22"/>
        </w:rPr>
        <w:t>G</w:t>
      </w:r>
      <w:r w:rsidRPr="00156EF2">
        <w:rPr>
          <w:rFonts w:ascii="Arial" w:hAnsi="Arial" w:cs="Arial"/>
          <w:b/>
          <w:smallCaps/>
          <w:color w:val="auto"/>
          <w:sz w:val="22"/>
        </w:rPr>
        <w:t xml:space="preserve">lobal de la </w:t>
      </w:r>
      <w:r w:rsidR="00A81251">
        <w:rPr>
          <w:rFonts w:ascii="Arial" w:hAnsi="Arial" w:cs="Arial"/>
          <w:b/>
          <w:smallCaps/>
          <w:color w:val="auto"/>
          <w:sz w:val="22"/>
        </w:rPr>
        <w:t>A</w:t>
      </w:r>
      <w:r w:rsidRPr="00156EF2">
        <w:rPr>
          <w:rFonts w:ascii="Arial" w:hAnsi="Arial" w:cs="Arial"/>
          <w:b/>
          <w:smallCaps/>
          <w:color w:val="auto"/>
          <w:sz w:val="22"/>
        </w:rPr>
        <w:t xml:space="preserve">ctividad </w:t>
      </w:r>
      <w:r w:rsidR="00A81251">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a</w:t>
      </w:r>
      <w:r>
        <w:rPr>
          <w:rFonts w:ascii="Arial" w:hAnsi="Arial" w:cs="Arial"/>
          <w:b/>
          <w:smallCaps/>
          <w:color w:val="auto"/>
          <w:sz w:val="22"/>
        </w:rPr>
        <w:t xml:space="preserve"> </w:t>
      </w:r>
      <w:r w:rsidR="002029DF">
        <w:rPr>
          <w:rFonts w:ascii="Arial" w:hAnsi="Arial" w:cs="Arial"/>
          <w:b/>
          <w:smallCaps/>
          <w:color w:val="auto"/>
          <w:sz w:val="22"/>
        </w:rPr>
        <w:t>a</w:t>
      </w:r>
      <w:r w:rsidR="007E0FD3">
        <w:rPr>
          <w:rFonts w:ascii="Arial" w:hAnsi="Arial" w:cs="Arial"/>
          <w:b/>
          <w:smallCaps/>
          <w:color w:val="auto"/>
          <w:sz w:val="22"/>
        </w:rPr>
        <w:t xml:space="preserve"> </w:t>
      </w:r>
      <w:r w:rsidR="00F06671">
        <w:rPr>
          <w:rFonts w:ascii="Arial" w:hAnsi="Arial" w:cs="Arial"/>
          <w:b/>
          <w:smallCaps/>
          <w:color w:val="auto"/>
          <w:sz w:val="22"/>
        </w:rPr>
        <w:t>febre</w:t>
      </w:r>
      <w:r w:rsidR="00C66A49">
        <w:rPr>
          <w:rFonts w:ascii="Arial" w:hAnsi="Arial" w:cs="Arial"/>
          <w:b/>
          <w:smallCaps/>
          <w:color w:val="auto"/>
          <w:sz w:val="22"/>
        </w:rPr>
        <w:t>ro</w:t>
      </w:r>
      <w:r w:rsidR="00414080">
        <w:rPr>
          <w:rFonts w:ascii="Arial" w:hAnsi="Arial" w:cs="Arial"/>
          <w:b/>
          <w:smallCaps/>
          <w:color w:val="auto"/>
          <w:sz w:val="22"/>
        </w:rPr>
        <w:t xml:space="preserve"> </w:t>
      </w:r>
      <w:r w:rsidR="00365D38">
        <w:rPr>
          <w:rFonts w:ascii="Arial" w:hAnsi="Arial" w:cs="Arial"/>
          <w:b/>
          <w:smallCaps/>
          <w:color w:val="000000"/>
          <w:sz w:val="22"/>
          <w:szCs w:val="22"/>
          <w:lang w:val="es-MX"/>
        </w:rPr>
        <w:t>de 20</w:t>
      </w:r>
      <w:r w:rsidR="00C66A49">
        <w:rPr>
          <w:rFonts w:ascii="Arial" w:hAnsi="Arial" w:cs="Arial"/>
          <w:b/>
          <w:smallCaps/>
          <w:color w:val="000000"/>
          <w:sz w:val="22"/>
          <w:szCs w:val="22"/>
          <w:lang w:val="es-MX"/>
        </w:rPr>
        <w:t>20</w:t>
      </w:r>
    </w:p>
    <w:p w14:paraId="05D53EA7" w14:textId="77777777" w:rsidR="001F1169" w:rsidRPr="00961776" w:rsidRDefault="001F1169" w:rsidP="001F1169">
      <w:pPr>
        <w:pStyle w:val="p02"/>
        <w:keepNext/>
        <w:widowControl w:val="0"/>
        <w:spacing w:before="0"/>
        <w:ind w:right="23"/>
        <w:jc w:val="center"/>
        <w:rPr>
          <w:rFonts w:ascii="Arial" w:hAnsi="Arial" w:cs="Arial"/>
          <w:b/>
          <w:smallCaps/>
          <w:color w:val="000000"/>
          <w:sz w:val="22"/>
          <w:lang w:val="es-MX"/>
        </w:rPr>
      </w:pPr>
      <w:r>
        <w:rPr>
          <w:rFonts w:ascii="Arial" w:hAnsi="Arial" w:cs="Arial"/>
          <w:b/>
          <w:smallCaps/>
          <w:color w:val="000000"/>
          <w:sz w:val="22"/>
          <w:lang w:val="es-MX"/>
        </w:rPr>
        <w:t>Series desestacionalizada</w:t>
      </w:r>
      <w:r w:rsidRPr="00961776">
        <w:rPr>
          <w:rFonts w:ascii="Arial" w:hAnsi="Arial" w:cs="Arial"/>
          <w:b/>
          <w:smallCaps/>
          <w:color w:val="000000"/>
          <w:sz w:val="22"/>
          <w:lang w:val="es-MX"/>
        </w:rPr>
        <w:t xml:space="preserve"> y </w:t>
      </w:r>
      <w:r>
        <w:rPr>
          <w:rFonts w:ascii="Arial" w:hAnsi="Arial" w:cs="Arial"/>
          <w:b/>
          <w:smallCaps/>
          <w:color w:val="000000"/>
          <w:sz w:val="22"/>
          <w:lang w:val="es-MX"/>
        </w:rPr>
        <w:t xml:space="preserve">de </w:t>
      </w:r>
      <w:r w:rsidRPr="00961776">
        <w:rPr>
          <w:rFonts w:ascii="Arial" w:hAnsi="Arial" w:cs="Arial"/>
          <w:b/>
          <w:smallCaps/>
          <w:color w:val="000000"/>
          <w:sz w:val="22"/>
          <w:lang w:val="es-MX"/>
        </w:rPr>
        <w:t>tendencia</w:t>
      </w:r>
      <w:r>
        <w:rPr>
          <w:rFonts w:ascii="Arial" w:hAnsi="Arial" w:cs="Arial"/>
          <w:b/>
          <w:smallCaps/>
          <w:color w:val="000000"/>
          <w:sz w:val="22"/>
          <w:lang w:val="es-MX"/>
        </w:rPr>
        <w:t>-ciclo</w:t>
      </w:r>
    </w:p>
    <w:p w14:paraId="60D13DD2" w14:textId="77777777" w:rsidR="001F1169" w:rsidRPr="009B388F" w:rsidRDefault="001F1169" w:rsidP="001F1169">
      <w:pPr>
        <w:pStyle w:val="p02"/>
        <w:keepNext/>
        <w:widowControl w:val="0"/>
        <w:spacing w:before="0"/>
        <w:ind w:right="21"/>
        <w:jc w:val="center"/>
        <w:rPr>
          <w:rFonts w:ascii="Arial" w:hAnsi="Arial" w:cs="Arial"/>
          <w:color w:val="auto"/>
          <w:sz w:val="18"/>
          <w:szCs w:val="18"/>
        </w:rPr>
      </w:pPr>
      <w:r w:rsidRPr="00961776">
        <w:rPr>
          <w:rFonts w:ascii="Arial" w:hAnsi="Arial" w:cs="Arial"/>
          <w:color w:val="000000"/>
          <w:sz w:val="18"/>
          <w:lang w:val="es-MX"/>
        </w:rPr>
        <w:t xml:space="preserve">(Índice </w:t>
      </w:r>
      <w:r>
        <w:rPr>
          <w:rFonts w:ascii="Arial" w:hAnsi="Arial" w:cs="Arial"/>
          <w:color w:val="000000"/>
          <w:sz w:val="18"/>
          <w:lang w:val="es-MX"/>
        </w:rPr>
        <w:t>20</w:t>
      </w:r>
      <w:r w:rsidR="0067385F">
        <w:rPr>
          <w:rFonts w:ascii="Arial" w:hAnsi="Arial" w:cs="Arial"/>
          <w:color w:val="000000"/>
          <w:sz w:val="18"/>
          <w:lang w:val="es-MX"/>
        </w:rPr>
        <w:t>13</w:t>
      </w:r>
      <w:r w:rsidRPr="00961776">
        <w:rPr>
          <w:rFonts w:ascii="Arial" w:hAnsi="Arial" w:cs="Arial"/>
          <w:color w:val="000000"/>
          <w:sz w:val="18"/>
          <w:lang w:val="es-MX"/>
        </w:rPr>
        <w:t>=</w:t>
      </w:r>
      <w:r w:rsidRPr="009B388F">
        <w:rPr>
          <w:rFonts w:ascii="Arial" w:hAnsi="Arial" w:cs="Arial"/>
          <w:color w:val="000000"/>
          <w:sz w:val="18"/>
          <w:szCs w:val="18"/>
          <w:lang w:val="es-MX"/>
        </w:rPr>
        <w:t>100)</w:t>
      </w:r>
      <w:r w:rsidRPr="00EA03CA">
        <w:t xml:space="preserve"> </w:t>
      </w:r>
    </w:p>
    <w:p w14:paraId="563D811F" w14:textId="4D8EB622" w:rsidR="001F1169" w:rsidRPr="000B1975" w:rsidRDefault="008136E0" w:rsidP="001F1169">
      <w:pPr>
        <w:pStyle w:val="p02"/>
        <w:keepLines w:val="0"/>
        <w:widowControl w:val="0"/>
        <w:spacing w:before="0"/>
        <w:ind w:right="21"/>
        <w:jc w:val="center"/>
        <w:rPr>
          <w:rFonts w:ascii="Arial" w:hAnsi="Arial" w:cs="Arial"/>
          <w:color w:val="000000"/>
          <w:sz w:val="18"/>
        </w:rPr>
      </w:pPr>
      <w:r>
        <w:rPr>
          <w:noProof/>
          <w:lang w:val="es-MX" w:eastAsia="es-MX"/>
        </w:rPr>
        <w:drawing>
          <wp:inline distT="0" distB="0" distL="0" distR="0" wp14:anchorId="76EE23D2" wp14:editId="45E7781B">
            <wp:extent cx="4644000" cy="2472800"/>
            <wp:effectExtent l="0" t="0" r="23495" b="22860"/>
            <wp:docPr id="2" name="Gráfico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08F6851" w14:textId="77777777" w:rsidR="001F1169" w:rsidRPr="00AA768F" w:rsidRDefault="001F1169" w:rsidP="00FF7692">
      <w:pPr>
        <w:pStyle w:val="Textoindependiente"/>
        <w:tabs>
          <w:tab w:val="center" w:pos="1985"/>
          <w:tab w:val="left" w:pos="7949"/>
        </w:tabs>
        <w:spacing w:before="0"/>
        <w:ind w:left="1134" w:right="51"/>
        <w:jc w:val="left"/>
        <w:rPr>
          <w:b/>
          <w:smallCaps/>
          <w:color w:val="auto"/>
          <w:sz w:val="16"/>
          <w:szCs w:val="16"/>
        </w:rPr>
      </w:pPr>
      <w:r w:rsidRPr="00AA768F">
        <w:rPr>
          <w:color w:val="auto"/>
          <w:sz w:val="16"/>
          <w:szCs w:val="16"/>
        </w:rPr>
        <w:t>Fuente: INEGI.</w:t>
      </w:r>
      <w:r w:rsidR="00FF7692">
        <w:rPr>
          <w:color w:val="auto"/>
          <w:sz w:val="16"/>
          <w:szCs w:val="16"/>
        </w:rPr>
        <w:tab/>
      </w:r>
    </w:p>
    <w:p w14:paraId="68A1AE09" w14:textId="77777777" w:rsidR="003C2C17" w:rsidRPr="00AA768F" w:rsidRDefault="003C2C17" w:rsidP="003C2C17">
      <w:pPr>
        <w:rPr>
          <w:szCs w:val="16"/>
          <w:lang w:val="es-MX"/>
        </w:rPr>
      </w:pPr>
    </w:p>
    <w:p w14:paraId="0931431A" w14:textId="12C57287" w:rsidR="003B13AB" w:rsidRPr="005B2607" w:rsidRDefault="003B13AB" w:rsidP="005B2607">
      <w:pPr>
        <w:rPr>
          <w:lang w:val="es-MX"/>
        </w:rPr>
      </w:pPr>
      <w:r w:rsidRPr="005B2607">
        <w:rPr>
          <w:lang w:val="es-MX"/>
        </w:rPr>
        <w:t>Por grandes grupos de actividades, las Primarias descendieron (</w:t>
      </w:r>
      <w:r w:rsidRPr="005B2607">
        <w:rPr>
          <w:lang w:val="es-MX"/>
        </w:rPr>
        <w:noBreakHyphen/>
        <w:t xml:space="preserve">)5.7% y las Secundarias cayeron (-)0.6%; en cambio, las Terciarias crecieron 0.1% durante febrero </w:t>
      </w:r>
      <w:r w:rsidR="00FD5EB1">
        <w:rPr>
          <w:lang w:val="es-MX"/>
        </w:rPr>
        <w:t>del año actual</w:t>
      </w:r>
      <w:r w:rsidRPr="005B2607">
        <w:rPr>
          <w:lang w:val="es-MX"/>
        </w:rPr>
        <w:t xml:space="preserve"> frente al mes precedente.</w:t>
      </w:r>
    </w:p>
    <w:p w14:paraId="66AF8FCD" w14:textId="77777777" w:rsidR="005B2607" w:rsidRPr="005B2607" w:rsidRDefault="005B2607" w:rsidP="005B2607">
      <w:pPr>
        <w:rPr>
          <w:lang w:val="es-MX"/>
        </w:rPr>
      </w:pPr>
      <w:r w:rsidRPr="005B2607">
        <w:rPr>
          <w:lang w:val="es-MX"/>
        </w:rPr>
        <w:br w:type="page"/>
      </w:r>
    </w:p>
    <w:p w14:paraId="0C161713" w14:textId="6AE823BA" w:rsidR="001F1169" w:rsidRPr="00022D8E" w:rsidRDefault="001F1169" w:rsidP="00022D8E">
      <w:pPr>
        <w:spacing w:before="120"/>
        <w:ind w:left="3540" w:firstLine="708"/>
        <w:rPr>
          <w:szCs w:val="22"/>
        </w:rPr>
      </w:pPr>
      <w:r>
        <w:rPr>
          <w:color w:val="000000"/>
          <w:sz w:val="20"/>
          <w:lang w:val="es-MX"/>
        </w:rPr>
        <w:lastRenderedPageBreak/>
        <w:t>Grá</w:t>
      </w:r>
      <w:r w:rsidRPr="00E07EB7">
        <w:rPr>
          <w:color w:val="000000"/>
          <w:sz w:val="20"/>
          <w:lang w:val="es-MX"/>
        </w:rPr>
        <w:t>fica</w:t>
      </w:r>
      <w:r>
        <w:rPr>
          <w:color w:val="000000"/>
          <w:sz w:val="20"/>
          <w:lang w:val="es-MX"/>
        </w:rPr>
        <w:t xml:space="preserve"> 2</w:t>
      </w:r>
    </w:p>
    <w:p w14:paraId="467FEAD3" w14:textId="6C23CA36"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 xml:space="preserve">Actividades Primarias </w:t>
      </w:r>
      <w:r w:rsidR="002029DF">
        <w:rPr>
          <w:b/>
          <w:smallCaps/>
          <w:color w:val="auto"/>
          <w:sz w:val="22"/>
          <w:szCs w:val="22"/>
        </w:rPr>
        <w:t>a</w:t>
      </w:r>
      <w:r w:rsidR="007E0FD3">
        <w:rPr>
          <w:b/>
          <w:smallCaps/>
          <w:color w:val="auto"/>
          <w:sz w:val="22"/>
          <w:szCs w:val="22"/>
        </w:rPr>
        <w:t xml:space="preserve"> </w:t>
      </w:r>
      <w:r w:rsidR="00F06671">
        <w:rPr>
          <w:b/>
          <w:smallCaps/>
          <w:color w:val="auto"/>
          <w:sz w:val="22"/>
          <w:szCs w:val="22"/>
        </w:rPr>
        <w:t>f</w:t>
      </w:r>
      <w:r w:rsidR="009E155E">
        <w:rPr>
          <w:b/>
          <w:smallCaps/>
          <w:color w:val="auto"/>
          <w:sz w:val="22"/>
          <w:szCs w:val="22"/>
        </w:rPr>
        <w:t>e</w:t>
      </w:r>
      <w:r w:rsidR="00F06671">
        <w:rPr>
          <w:b/>
          <w:smallCaps/>
          <w:color w:val="auto"/>
          <w:sz w:val="22"/>
          <w:szCs w:val="22"/>
        </w:rPr>
        <w:t>br</w:t>
      </w:r>
      <w:r w:rsidR="00C66A49">
        <w:rPr>
          <w:b/>
          <w:smallCaps/>
          <w:color w:val="auto"/>
          <w:sz w:val="22"/>
          <w:szCs w:val="22"/>
        </w:rPr>
        <w:t>ero</w:t>
      </w:r>
      <w:r w:rsidR="00090F4A">
        <w:rPr>
          <w:b/>
          <w:smallCaps/>
          <w:color w:val="auto"/>
          <w:sz w:val="22"/>
          <w:szCs w:val="22"/>
        </w:rPr>
        <w:t xml:space="preserve"> </w:t>
      </w:r>
      <w:r w:rsidRPr="001F1169">
        <w:rPr>
          <w:b/>
          <w:smallCaps/>
          <w:color w:val="auto"/>
          <w:sz w:val="22"/>
          <w:szCs w:val="22"/>
        </w:rPr>
        <w:t xml:space="preserve">de </w:t>
      </w:r>
      <w:r w:rsidR="00365D38">
        <w:rPr>
          <w:b/>
          <w:smallCaps/>
          <w:color w:val="auto"/>
          <w:sz w:val="22"/>
          <w:szCs w:val="22"/>
        </w:rPr>
        <w:t>20</w:t>
      </w:r>
      <w:r w:rsidR="00C66A49">
        <w:rPr>
          <w:b/>
          <w:smallCaps/>
          <w:color w:val="auto"/>
          <w:sz w:val="22"/>
          <w:szCs w:val="22"/>
        </w:rPr>
        <w:t>20</w:t>
      </w:r>
    </w:p>
    <w:p w14:paraId="34607FF6" w14:textId="77777777" w:rsidR="001F1169" w:rsidRPr="001F1169" w:rsidRDefault="001F1169" w:rsidP="00B90B81">
      <w:pPr>
        <w:pStyle w:val="Textoindependiente"/>
        <w:keepNext/>
        <w:keepLines/>
        <w:spacing w:before="0"/>
        <w:jc w:val="center"/>
        <w:rPr>
          <w:b/>
          <w:smallCaps/>
          <w:color w:val="auto"/>
          <w:sz w:val="22"/>
          <w:szCs w:val="22"/>
        </w:rPr>
      </w:pPr>
      <w:r w:rsidRPr="001F1169">
        <w:rPr>
          <w:b/>
          <w:smallCaps/>
          <w:color w:val="auto"/>
          <w:sz w:val="22"/>
          <w:szCs w:val="22"/>
        </w:rPr>
        <w:t>Series desestacionalizada y de tendencia-ciclo</w:t>
      </w:r>
    </w:p>
    <w:p w14:paraId="7519DC00" w14:textId="77777777" w:rsidR="001F1169" w:rsidRDefault="001F1169" w:rsidP="00B90B81">
      <w:pPr>
        <w:pStyle w:val="p0"/>
        <w:keepNext/>
        <w:spacing w:before="0"/>
        <w:jc w:val="center"/>
        <w:rPr>
          <w:color w:val="000000"/>
          <w:sz w:val="18"/>
          <w:szCs w:val="18"/>
          <w:lang w:val="es-MX"/>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p>
    <w:p w14:paraId="7C19F1D2" w14:textId="7DB772F3" w:rsidR="001F1169" w:rsidRPr="00061839" w:rsidRDefault="008136E0" w:rsidP="001F1169">
      <w:pPr>
        <w:pStyle w:val="p0"/>
        <w:spacing w:before="0"/>
        <w:ind w:left="992" w:right="1021"/>
        <w:jc w:val="center"/>
        <w:rPr>
          <w:color w:val="auto"/>
        </w:rPr>
      </w:pPr>
      <w:r>
        <w:rPr>
          <w:noProof/>
          <w:lang w:val="es-MX" w:eastAsia="es-MX"/>
        </w:rPr>
        <w:drawing>
          <wp:inline distT="0" distB="0" distL="0" distR="0" wp14:anchorId="01C1C832" wp14:editId="5BF77481">
            <wp:extent cx="4644000" cy="2472375"/>
            <wp:effectExtent l="0" t="0" r="23495" b="23495"/>
            <wp:docPr id="6" name="Gráfico 6">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5EEF04" w14:textId="77777777" w:rsidR="001F1169" w:rsidRPr="00AA768F" w:rsidRDefault="001F1169" w:rsidP="001F1169">
      <w:pPr>
        <w:pStyle w:val="p0"/>
        <w:spacing w:before="0"/>
        <w:ind w:left="1276" w:right="1021"/>
        <w:jc w:val="left"/>
        <w:rPr>
          <w:rFonts w:ascii="Arial" w:hAnsi="Arial"/>
          <w:color w:val="auto"/>
          <w:sz w:val="16"/>
          <w:szCs w:val="16"/>
        </w:rPr>
      </w:pPr>
      <w:r w:rsidRPr="00AA768F">
        <w:rPr>
          <w:rFonts w:ascii="Arial" w:hAnsi="Arial"/>
          <w:color w:val="auto"/>
          <w:sz w:val="16"/>
          <w:szCs w:val="16"/>
        </w:rPr>
        <w:t>Fuente: INEGI.</w:t>
      </w:r>
    </w:p>
    <w:p w14:paraId="77042B51" w14:textId="77777777" w:rsidR="00525C4D" w:rsidRDefault="00525C4D" w:rsidP="00525C4D">
      <w:pPr>
        <w:ind w:left="2127"/>
        <w:jc w:val="left"/>
        <w:rPr>
          <w:sz w:val="16"/>
        </w:rPr>
      </w:pPr>
    </w:p>
    <w:p w14:paraId="75FEAB79" w14:textId="77777777" w:rsidR="001F1169" w:rsidRDefault="001F1169" w:rsidP="00525C4D">
      <w:pPr>
        <w:ind w:left="2127"/>
        <w:jc w:val="left"/>
        <w:rPr>
          <w:sz w:val="16"/>
        </w:rPr>
      </w:pPr>
    </w:p>
    <w:p w14:paraId="46053446" w14:textId="77777777" w:rsidR="001F1169" w:rsidRPr="00061839" w:rsidRDefault="001F1169" w:rsidP="00B90B81">
      <w:pPr>
        <w:pStyle w:val="Textoindependiente"/>
        <w:spacing w:before="360"/>
        <w:ind w:right="51"/>
        <w:jc w:val="center"/>
        <w:rPr>
          <w:b/>
          <w:smallCaps/>
          <w:color w:val="auto"/>
          <w:sz w:val="22"/>
          <w:szCs w:val="22"/>
        </w:rPr>
      </w:pPr>
      <w:r>
        <w:rPr>
          <w:color w:val="000000"/>
          <w:sz w:val="20"/>
          <w:lang w:val="es-MX"/>
        </w:rPr>
        <w:t>Grá</w:t>
      </w:r>
      <w:r w:rsidRPr="00E07EB7">
        <w:rPr>
          <w:color w:val="000000"/>
          <w:sz w:val="20"/>
          <w:lang w:val="es-MX"/>
        </w:rPr>
        <w:t>fica</w:t>
      </w:r>
      <w:r>
        <w:rPr>
          <w:color w:val="000000"/>
          <w:sz w:val="20"/>
          <w:lang w:val="es-MX"/>
        </w:rPr>
        <w:t xml:space="preserve"> 3</w:t>
      </w:r>
    </w:p>
    <w:p w14:paraId="50B329E2" w14:textId="36D55A62" w:rsidR="001F1169" w:rsidRPr="001F1169" w:rsidRDefault="001F1169" w:rsidP="00B90B81">
      <w:pPr>
        <w:pStyle w:val="Textoindependiente"/>
        <w:spacing w:before="0"/>
        <w:jc w:val="center"/>
        <w:rPr>
          <w:b/>
          <w:smallCaps/>
          <w:color w:val="auto"/>
          <w:sz w:val="22"/>
          <w:szCs w:val="22"/>
        </w:rPr>
      </w:pPr>
      <w:r w:rsidRPr="001F1169">
        <w:rPr>
          <w:b/>
          <w:smallCaps/>
          <w:color w:val="auto"/>
          <w:sz w:val="22"/>
          <w:szCs w:val="22"/>
        </w:rPr>
        <w:t xml:space="preserve">Actividades Secundarias </w:t>
      </w:r>
      <w:r w:rsidR="002029DF">
        <w:rPr>
          <w:b/>
          <w:smallCaps/>
          <w:color w:val="auto"/>
          <w:sz w:val="22"/>
          <w:szCs w:val="22"/>
        </w:rPr>
        <w:t>a</w:t>
      </w:r>
      <w:r w:rsidR="007E0FD3">
        <w:rPr>
          <w:b/>
          <w:smallCaps/>
          <w:color w:val="auto"/>
          <w:sz w:val="22"/>
          <w:szCs w:val="22"/>
        </w:rPr>
        <w:t xml:space="preserve"> </w:t>
      </w:r>
      <w:r w:rsidR="00F06671">
        <w:rPr>
          <w:b/>
          <w:smallCaps/>
          <w:color w:val="auto"/>
          <w:sz w:val="22"/>
          <w:szCs w:val="22"/>
        </w:rPr>
        <w:t>f</w:t>
      </w:r>
      <w:r w:rsidR="009E155E">
        <w:rPr>
          <w:b/>
          <w:smallCaps/>
          <w:color w:val="auto"/>
          <w:sz w:val="22"/>
          <w:szCs w:val="22"/>
        </w:rPr>
        <w:t>e</w:t>
      </w:r>
      <w:r w:rsidR="00F06671">
        <w:rPr>
          <w:b/>
          <w:smallCaps/>
          <w:color w:val="auto"/>
          <w:sz w:val="22"/>
          <w:szCs w:val="22"/>
        </w:rPr>
        <w:t>br</w:t>
      </w:r>
      <w:r w:rsidR="00C66A49">
        <w:rPr>
          <w:b/>
          <w:smallCaps/>
          <w:color w:val="auto"/>
          <w:sz w:val="22"/>
          <w:szCs w:val="22"/>
        </w:rPr>
        <w:t>ero</w:t>
      </w:r>
      <w:r w:rsidR="00936782">
        <w:rPr>
          <w:b/>
          <w:smallCaps/>
          <w:color w:val="auto"/>
          <w:sz w:val="22"/>
          <w:szCs w:val="22"/>
        </w:rPr>
        <w:t xml:space="preserve"> </w:t>
      </w:r>
      <w:r w:rsidR="00365D38">
        <w:rPr>
          <w:b/>
          <w:smallCaps/>
          <w:color w:val="auto"/>
          <w:sz w:val="22"/>
          <w:szCs w:val="22"/>
        </w:rPr>
        <w:t>de 20</w:t>
      </w:r>
      <w:r w:rsidR="00C66A49">
        <w:rPr>
          <w:b/>
          <w:smallCaps/>
          <w:color w:val="auto"/>
          <w:sz w:val="22"/>
          <w:szCs w:val="22"/>
        </w:rPr>
        <w:t>20</w:t>
      </w:r>
    </w:p>
    <w:p w14:paraId="045AB5BF"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26FB106B" w14:textId="0A3954EC" w:rsidR="001F1169" w:rsidRPr="00061839" w:rsidRDefault="001F1169" w:rsidP="001F1169">
      <w:pPr>
        <w:pStyle w:val="p0"/>
        <w:spacing w:before="0"/>
        <w:ind w:left="992" w:right="1021"/>
        <w:jc w:val="center"/>
        <w:rPr>
          <w:color w:val="auto"/>
        </w:rPr>
      </w:pPr>
      <w:r w:rsidRPr="00961776">
        <w:rPr>
          <w:color w:val="000000"/>
          <w:sz w:val="18"/>
          <w:lang w:val="es-MX"/>
        </w:rPr>
        <w:t xml:space="preserve">(Índice </w:t>
      </w:r>
      <w:r>
        <w:rPr>
          <w:color w:val="000000"/>
          <w:sz w:val="18"/>
          <w:lang w:val="es-MX"/>
        </w:rPr>
        <w:t>20</w:t>
      </w:r>
      <w:r w:rsidR="0067385F">
        <w:rPr>
          <w:color w:val="000000"/>
          <w:sz w:val="18"/>
          <w:lang w:val="es-MX"/>
        </w:rPr>
        <w:t>13</w:t>
      </w:r>
      <w:r w:rsidRPr="00961776">
        <w:rPr>
          <w:color w:val="000000"/>
          <w:sz w:val="18"/>
          <w:lang w:val="es-MX"/>
        </w:rPr>
        <w:t>=</w:t>
      </w:r>
      <w:r w:rsidRPr="009B388F">
        <w:rPr>
          <w:color w:val="000000"/>
          <w:sz w:val="18"/>
          <w:szCs w:val="18"/>
          <w:lang w:val="es-MX"/>
        </w:rPr>
        <w:t>100)</w:t>
      </w:r>
      <w:r w:rsidR="00D67363" w:rsidRPr="00D67363">
        <w:rPr>
          <w:noProof/>
          <w:lang w:val="es-MX" w:eastAsia="es-MX"/>
        </w:rPr>
        <w:t xml:space="preserve"> </w:t>
      </w:r>
      <w:r w:rsidR="008136E0">
        <w:rPr>
          <w:noProof/>
          <w:lang w:val="es-MX" w:eastAsia="es-MX"/>
        </w:rPr>
        <w:drawing>
          <wp:inline distT="0" distB="0" distL="0" distR="0" wp14:anchorId="547BAA44" wp14:editId="7BF565EB">
            <wp:extent cx="4644000" cy="2472375"/>
            <wp:effectExtent l="0" t="0" r="23495" b="23495"/>
            <wp:docPr id="11" name="Gráfico 1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8B19CE9" w14:textId="77777777" w:rsidR="001F1169" w:rsidRPr="00AA768F" w:rsidRDefault="001F1169" w:rsidP="001F1169">
      <w:pPr>
        <w:pStyle w:val="p0"/>
        <w:spacing w:before="0"/>
        <w:ind w:left="1276" w:right="1021"/>
        <w:rPr>
          <w:rFonts w:ascii="Arial" w:hAnsi="Arial"/>
          <w:color w:val="auto"/>
          <w:sz w:val="16"/>
          <w:szCs w:val="16"/>
        </w:rPr>
      </w:pPr>
      <w:r w:rsidRPr="00A613B7">
        <w:rPr>
          <w:rFonts w:ascii="Arial" w:hAnsi="Arial"/>
          <w:color w:val="auto"/>
          <w:sz w:val="16"/>
          <w:szCs w:val="16"/>
        </w:rPr>
        <w:t>Fuente</w:t>
      </w:r>
      <w:r w:rsidRPr="00AA768F">
        <w:rPr>
          <w:rFonts w:ascii="Arial" w:hAnsi="Arial"/>
          <w:color w:val="auto"/>
          <w:sz w:val="16"/>
          <w:szCs w:val="16"/>
        </w:rPr>
        <w:t>: INEGI.</w:t>
      </w:r>
    </w:p>
    <w:p w14:paraId="20DD476D" w14:textId="77777777" w:rsidR="001F1169" w:rsidRDefault="001F1169" w:rsidP="00525C4D">
      <w:pPr>
        <w:pStyle w:val="p0"/>
        <w:spacing w:before="0"/>
        <w:ind w:left="567"/>
        <w:jc w:val="center"/>
        <w:rPr>
          <w:rFonts w:ascii="Arial" w:hAnsi="Arial"/>
          <w:b/>
          <w:smallCaps/>
          <w:color w:val="auto"/>
          <w:sz w:val="22"/>
        </w:rPr>
      </w:pPr>
    </w:p>
    <w:p w14:paraId="6409DD96" w14:textId="77777777" w:rsidR="002E5922" w:rsidRDefault="002E5922">
      <w:pPr>
        <w:jc w:val="left"/>
        <w:rPr>
          <w:b/>
          <w:smallCaps/>
          <w:snapToGrid w:val="0"/>
          <w:sz w:val="28"/>
          <w:szCs w:val="28"/>
        </w:rPr>
      </w:pPr>
      <w:r>
        <w:rPr>
          <w:b/>
          <w:smallCaps/>
          <w:sz w:val="28"/>
          <w:szCs w:val="28"/>
        </w:rPr>
        <w:br w:type="page"/>
      </w:r>
    </w:p>
    <w:p w14:paraId="6986BE26" w14:textId="77777777" w:rsidR="001F1169" w:rsidRPr="00061839" w:rsidRDefault="001F1169" w:rsidP="00B90B81">
      <w:pPr>
        <w:pStyle w:val="Textoindependiente"/>
        <w:keepNext/>
        <w:keepLines/>
        <w:spacing w:before="0"/>
        <w:ind w:right="51"/>
        <w:jc w:val="center"/>
        <w:rPr>
          <w:b/>
          <w:smallCaps/>
          <w:color w:val="auto"/>
          <w:sz w:val="22"/>
          <w:szCs w:val="22"/>
        </w:rPr>
      </w:pPr>
      <w:r>
        <w:rPr>
          <w:color w:val="000000"/>
          <w:sz w:val="20"/>
          <w:lang w:val="es-MX"/>
        </w:rPr>
        <w:lastRenderedPageBreak/>
        <w:t>Grá</w:t>
      </w:r>
      <w:r w:rsidRPr="00E07EB7">
        <w:rPr>
          <w:color w:val="000000"/>
          <w:sz w:val="20"/>
          <w:lang w:val="es-MX"/>
        </w:rPr>
        <w:t>fica</w:t>
      </w:r>
      <w:r>
        <w:rPr>
          <w:color w:val="000000"/>
          <w:sz w:val="20"/>
          <w:lang w:val="es-MX"/>
        </w:rPr>
        <w:t xml:space="preserve"> 4</w:t>
      </w:r>
    </w:p>
    <w:p w14:paraId="71399EE7" w14:textId="0F73D954"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 xml:space="preserve">Actividades Terciarias </w:t>
      </w:r>
      <w:r w:rsidR="002029DF">
        <w:rPr>
          <w:b/>
          <w:smallCaps/>
          <w:color w:val="auto"/>
          <w:sz w:val="22"/>
          <w:szCs w:val="22"/>
        </w:rPr>
        <w:t xml:space="preserve">a </w:t>
      </w:r>
      <w:r w:rsidR="00F06671">
        <w:rPr>
          <w:b/>
          <w:smallCaps/>
          <w:color w:val="auto"/>
          <w:sz w:val="22"/>
          <w:szCs w:val="22"/>
        </w:rPr>
        <w:t>f</w:t>
      </w:r>
      <w:r w:rsidR="009E155E">
        <w:rPr>
          <w:b/>
          <w:smallCaps/>
          <w:color w:val="auto"/>
          <w:sz w:val="22"/>
          <w:szCs w:val="22"/>
        </w:rPr>
        <w:t>e</w:t>
      </w:r>
      <w:r w:rsidR="00F06671">
        <w:rPr>
          <w:b/>
          <w:smallCaps/>
          <w:color w:val="auto"/>
          <w:sz w:val="22"/>
          <w:szCs w:val="22"/>
        </w:rPr>
        <w:t>br</w:t>
      </w:r>
      <w:r w:rsidR="00C66A49">
        <w:rPr>
          <w:b/>
          <w:smallCaps/>
          <w:color w:val="auto"/>
          <w:sz w:val="22"/>
          <w:szCs w:val="22"/>
        </w:rPr>
        <w:t>ero</w:t>
      </w:r>
      <w:r w:rsidR="00365D38">
        <w:rPr>
          <w:b/>
          <w:smallCaps/>
          <w:color w:val="auto"/>
          <w:sz w:val="22"/>
          <w:szCs w:val="22"/>
        </w:rPr>
        <w:t xml:space="preserve"> de 20</w:t>
      </w:r>
      <w:r w:rsidR="00C66A49">
        <w:rPr>
          <w:b/>
          <w:smallCaps/>
          <w:color w:val="auto"/>
          <w:sz w:val="22"/>
          <w:szCs w:val="22"/>
        </w:rPr>
        <w:t>20</w:t>
      </w:r>
    </w:p>
    <w:p w14:paraId="4A9201B9" w14:textId="77777777" w:rsidR="001F1169" w:rsidRPr="001F1169" w:rsidRDefault="001F1169" w:rsidP="00B90B81">
      <w:pPr>
        <w:pStyle w:val="Textoindependiente"/>
        <w:spacing w:before="0"/>
        <w:ind w:right="51"/>
        <w:jc w:val="center"/>
        <w:rPr>
          <w:b/>
          <w:smallCaps/>
          <w:color w:val="auto"/>
          <w:sz w:val="22"/>
          <w:szCs w:val="22"/>
        </w:rPr>
      </w:pPr>
      <w:r w:rsidRPr="001F1169">
        <w:rPr>
          <w:b/>
          <w:smallCaps/>
          <w:color w:val="auto"/>
          <w:sz w:val="22"/>
          <w:szCs w:val="22"/>
        </w:rPr>
        <w:t>Series desestacionalizada y de tendencia-ciclo</w:t>
      </w:r>
    </w:p>
    <w:p w14:paraId="5E58EF25" w14:textId="77777777" w:rsidR="001F1169" w:rsidRPr="00191064" w:rsidRDefault="00E66152" w:rsidP="00B90B81">
      <w:pPr>
        <w:pStyle w:val="n0"/>
        <w:keepLines w:val="0"/>
        <w:spacing w:before="0"/>
        <w:ind w:left="0" w:right="0" w:firstLine="0"/>
        <w:jc w:val="center"/>
        <w:rPr>
          <w:b/>
          <w:smallCaps/>
          <w:color w:val="auto"/>
          <w:sz w:val="22"/>
        </w:rPr>
      </w:pPr>
      <w:r>
        <w:rPr>
          <w:color w:val="000000"/>
          <w:sz w:val="18"/>
          <w:lang w:val="es-MX"/>
        </w:rPr>
        <w:t>(</w:t>
      </w:r>
      <w:r w:rsidR="001F1169" w:rsidRPr="00961776">
        <w:rPr>
          <w:color w:val="000000"/>
          <w:sz w:val="18"/>
          <w:lang w:val="es-MX"/>
        </w:rPr>
        <w:t xml:space="preserve">Índice </w:t>
      </w:r>
      <w:r w:rsidR="001F1169">
        <w:rPr>
          <w:color w:val="000000"/>
          <w:sz w:val="18"/>
          <w:lang w:val="es-MX"/>
        </w:rPr>
        <w:t>20</w:t>
      </w:r>
      <w:r w:rsidR="0067385F">
        <w:rPr>
          <w:color w:val="000000"/>
          <w:sz w:val="18"/>
          <w:lang w:val="es-MX"/>
        </w:rPr>
        <w:t>13</w:t>
      </w:r>
      <w:r w:rsidR="001F1169" w:rsidRPr="00961776">
        <w:rPr>
          <w:color w:val="000000"/>
          <w:sz w:val="18"/>
          <w:lang w:val="es-MX"/>
        </w:rPr>
        <w:t>=</w:t>
      </w:r>
      <w:r w:rsidR="001F1169" w:rsidRPr="009B388F">
        <w:rPr>
          <w:color w:val="000000"/>
          <w:sz w:val="18"/>
          <w:szCs w:val="18"/>
          <w:lang w:val="es-MX"/>
        </w:rPr>
        <w:t>100)</w:t>
      </w:r>
    </w:p>
    <w:p w14:paraId="14DB4F96" w14:textId="62D8518D" w:rsidR="00EC70AF" w:rsidRDefault="008136E0" w:rsidP="00EC70AF">
      <w:pPr>
        <w:pStyle w:val="p02"/>
        <w:keepLines w:val="0"/>
        <w:widowControl w:val="0"/>
        <w:spacing w:before="0"/>
        <w:jc w:val="center"/>
        <w:rPr>
          <w:sz w:val="16"/>
          <w:szCs w:val="16"/>
        </w:rPr>
      </w:pPr>
      <w:r>
        <w:rPr>
          <w:noProof/>
          <w:lang w:val="es-MX" w:eastAsia="es-MX"/>
        </w:rPr>
        <w:drawing>
          <wp:inline distT="0" distB="0" distL="0" distR="0" wp14:anchorId="1FBD770D" wp14:editId="758C1B1F">
            <wp:extent cx="4644000" cy="2475975"/>
            <wp:effectExtent l="0" t="0" r="23495" b="19685"/>
            <wp:docPr id="12" name="Gráfico 1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C88EB9C" w14:textId="77777777" w:rsidR="001F1169" w:rsidRPr="00061839" w:rsidRDefault="00EC70AF" w:rsidP="00EC70AF">
      <w:pPr>
        <w:pStyle w:val="p02"/>
        <w:keepLines w:val="0"/>
        <w:widowControl w:val="0"/>
        <w:spacing w:before="0"/>
        <w:ind w:left="708"/>
        <w:rPr>
          <w:rFonts w:ascii="Arial" w:hAnsi="Arial" w:cs="Arial"/>
          <w:color w:val="auto"/>
          <w:lang w:val="es-MX"/>
        </w:rPr>
      </w:pPr>
      <w:r w:rsidRPr="00E42AC9">
        <w:rPr>
          <w:rFonts w:ascii="Arial" w:hAnsi="Arial" w:cs="Arial"/>
          <w:sz w:val="16"/>
          <w:szCs w:val="16"/>
        </w:rPr>
        <w:t xml:space="preserve">         </w:t>
      </w:r>
      <w:r w:rsidR="001F1169" w:rsidRPr="00E42AC9">
        <w:rPr>
          <w:rFonts w:ascii="Arial" w:hAnsi="Arial" w:cs="Arial"/>
          <w:color w:val="000000" w:themeColor="text1"/>
          <w:sz w:val="16"/>
          <w:szCs w:val="16"/>
        </w:rPr>
        <w:t>Fuente: INEGI.</w:t>
      </w:r>
    </w:p>
    <w:p w14:paraId="6BC38966" w14:textId="77777777" w:rsidR="001F1169" w:rsidRPr="001A449E" w:rsidRDefault="001F1169" w:rsidP="00127CE3">
      <w:pPr>
        <w:spacing w:before="120"/>
        <w:rPr>
          <w:b/>
          <w:i/>
          <w:lang w:val="es-MX"/>
        </w:rPr>
      </w:pPr>
      <w:r>
        <w:rPr>
          <w:b/>
          <w:i/>
          <w:lang w:val="es-MX"/>
        </w:rPr>
        <w:t>Cifras</w:t>
      </w:r>
      <w:r w:rsidRPr="001A449E">
        <w:rPr>
          <w:b/>
          <w:i/>
          <w:lang w:val="es-MX"/>
        </w:rPr>
        <w:t xml:space="preserve"> Originales</w:t>
      </w:r>
    </w:p>
    <w:p w14:paraId="477B0411" w14:textId="77777777" w:rsidR="00833FE9" w:rsidRDefault="001F1169" w:rsidP="00833FE9">
      <w:pPr>
        <w:tabs>
          <w:tab w:val="num" w:pos="1843"/>
          <w:tab w:val="left" w:pos="7939"/>
        </w:tabs>
        <w:spacing w:before="120"/>
        <w:ind w:right="51"/>
        <w:rPr>
          <w:lang w:val="es-MX"/>
        </w:rPr>
      </w:pPr>
      <w:r>
        <w:rPr>
          <w:lang w:val="es-MX"/>
        </w:rPr>
        <w:t xml:space="preserve">En la siguiente gráfica </w:t>
      </w:r>
      <w:r w:rsidRPr="00743B39">
        <w:rPr>
          <w:lang w:val="es-MX"/>
        </w:rPr>
        <w:t xml:space="preserve">se </w:t>
      </w:r>
      <w:r w:rsidR="00AA768F" w:rsidRPr="00743B39">
        <w:rPr>
          <w:lang w:val="es-MX"/>
        </w:rPr>
        <w:t>muestr</w:t>
      </w:r>
      <w:r w:rsidR="00A83A61">
        <w:rPr>
          <w:lang w:val="es-MX"/>
        </w:rPr>
        <w:t>a la variación</w:t>
      </w:r>
      <w:r>
        <w:rPr>
          <w:lang w:val="es-MX"/>
        </w:rPr>
        <w:t xml:space="preserve"> de los datos originales del IGAE y de los tres grandes grupos de actividades que lo conforman.</w:t>
      </w:r>
    </w:p>
    <w:p w14:paraId="5557DD50" w14:textId="77777777" w:rsidR="001F1169" w:rsidRDefault="001F1169" w:rsidP="00833FE9">
      <w:pPr>
        <w:tabs>
          <w:tab w:val="num" w:pos="1843"/>
          <w:tab w:val="left" w:pos="7939"/>
        </w:tabs>
        <w:spacing w:before="120"/>
        <w:ind w:right="51"/>
        <w:jc w:val="center"/>
        <w:rPr>
          <w:b/>
          <w:smallCaps/>
          <w:sz w:val="22"/>
          <w:szCs w:val="22"/>
        </w:rPr>
      </w:pPr>
      <w:r>
        <w:rPr>
          <w:color w:val="000000"/>
          <w:sz w:val="20"/>
          <w:lang w:val="es-MX"/>
        </w:rPr>
        <w:t>Grá</w:t>
      </w:r>
      <w:r w:rsidRPr="00E07EB7">
        <w:rPr>
          <w:color w:val="000000"/>
          <w:sz w:val="20"/>
          <w:lang w:val="es-MX"/>
        </w:rPr>
        <w:t>fica</w:t>
      </w:r>
      <w:r>
        <w:rPr>
          <w:color w:val="000000"/>
          <w:sz w:val="20"/>
          <w:lang w:val="es-MX"/>
        </w:rPr>
        <w:t xml:space="preserve"> 5</w:t>
      </w:r>
    </w:p>
    <w:p w14:paraId="26D21770" w14:textId="5E82B721" w:rsidR="001F1169" w:rsidRPr="006F056B" w:rsidRDefault="001F1169" w:rsidP="001F1169">
      <w:pPr>
        <w:pStyle w:val="p02"/>
        <w:keepLines w:val="0"/>
        <w:widowControl w:val="0"/>
        <w:spacing w:before="0"/>
        <w:jc w:val="center"/>
        <w:rPr>
          <w:rFonts w:ascii="Arial" w:hAnsi="Arial" w:cs="Arial"/>
          <w:b/>
          <w:smallCaps/>
          <w:color w:val="auto"/>
          <w:sz w:val="22"/>
          <w:szCs w:val="22"/>
        </w:rPr>
      </w:pPr>
      <w:r w:rsidRPr="00156EF2">
        <w:rPr>
          <w:rFonts w:ascii="Arial" w:hAnsi="Arial" w:cs="Arial"/>
          <w:b/>
          <w:smallCaps/>
          <w:color w:val="auto"/>
          <w:sz w:val="22"/>
        </w:rPr>
        <w:t xml:space="preserve">Indicador </w:t>
      </w:r>
      <w:r>
        <w:rPr>
          <w:rFonts w:ascii="Arial" w:hAnsi="Arial" w:cs="Arial"/>
          <w:b/>
          <w:smallCaps/>
          <w:color w:val="auto"/>
          <w:sz w:val="22"/>
        </w:rPr>
        <w:t>g</w:t>
      </w:r>
      <w:r w:rsidRPr="00156EF2">
        <w:rPr>
          <w:rFonts w:ascii="Arial" w:hAnsi="Arial" w:cs="Arial"/>
          <w:b/>
          <w:smallCaps/>
          <w:color w:val="auto"/>
          <w:sz w:val="22"/>
        </w:rPr>
        <w:t xml:space="preserve">lobal de la </w:t>
      </w:r>
      <w:r>
        <w:rPr>
          <w:rFonts w:ascii="Arial" w:hAnsi="Arial" w:cs="Arial"/>
          <w:b/>
          <w:smallCaps/>
          <w:color w:val="auto"/>
          <w:sz w:val="22"/>
        </w:rPr>
        <w:t>a</w:t>
      </w:r>
      <w:r w:rsidRPr="00156EF2">
        <w:rPr>
          <w:rFonts w:ascii="Arial" w:hAnsi="Arial" w:cs="Arial"/>
          <w:b/>
          <w:smallCaps/>
          <w:color w:val="auto"/>
          <w:sz w:val="22"/>
        </w:rPr>
        <w:t xml:space="preserve">ctividad </w:t>
      </w:r>
      <w:r>
        <w:rPr>
          <w:rFonts w:ascii="Arial" w:hAnsi="Arial" w:cs="Arial"/>
          <w:b/>
          <w:smallCaps/>
          <w:color w:val="auto"/>
          <w:sz w:val="22"/>
        </w:rPr>
        <w:t>e</w:t>
      </w:r>
      <w:r w:rsidRPr="00156EF2">
        <w:rPr>
          <w:rFonts w:ascii="Arial" w:hAnsi="Arial" w:cs="Arial"/>
          <w:b/>
          <w:smallCaps/>
          <w:color w:val="auto"/>
          <w:sz w:val="22"/>
        </w:rPr>
        <w:t>conómic</w:t>
      </w:r>
      <w:r w:rsidRPr="006F056B">
        <w:rPr>
          <w:rFonts w:ascii="Arial" w:hAnsi="Arial" w:cs="Arial"/>
          <w:b/>
          <w:smallCaps/>
          <w:color w:val="auto"/>
          <w:sz w:val="22"/>
        </w:rPr>
        <w:t xml:space="preserve">a </w:t>
      </w:r>
      <w:r>
        <w:rPr>
          <w:rFonts w:ascii="Arial" w:hAnsi="Arial" w:cs="Arial"/>
          <w:b/>
          <w:smallCaps/>
          <w:color w:val="auto"/>
          <w:sz w:val="22"/>
          <w:szCs w:val="22"/>
        </w:rPr>
        <w:t xml:space="preserve">durante </w:t>
      </w:r>
      <w:proofErr w:type="spellStart"/>
      <w:r w:rsidR="00F06671">
        <w:rPr>
          <w:rFonts w:ascii="Arial" w:hAnsi="Arial" w:cs="Arial"/>
          <w:b/>
          <w:smallCaps/>
          <w:color w:val="auto"/>
          <w:sz w:val="22"/>
          <w:szCs w:val="22"/>
        </w:rPr>
        <w:t>f</w:t>
      </w:r>
      <w:r w:rsidR="009E155E">
        <w:rPr>
          <w:rFonts w:ascii="Arial" w:hAnsi="Arial" w:cs="Arial"/>
          <w:b/>
          <w:smallCaps/>
          <w:color w:val="auto"/>
          <w:sz w:val="22"/>
          <w:szCs w:val="22"/>
        </w:rPr>
        <w:t>e</w:t>
      </w:r>
      <w:r w:rsidR="00F06671">
        <w:rPr>
          <w:rFonts w:ascii="Arial" w:hAnsi="Arial" w:cs="Arial"/>
          <w:b/>
          <w:smallCaps/>
          <w:color w:val="auto"/>
          <w:sz w:val="22"/>
          <w:szCs w:val="22"/>
        </w:rPr>
        <w:t>br</w:t>
      </w:r>
      <w:r w:rsidR="00C66A49">
        <w:rPr>
          <w:rFonts w:ascii="Arial" w:hAnsi="Arial" w:cs="Arial"/>
          <w:b/>
          <w:smallCaps/>
          <w:color w:val="auto"/>
          <w:sz w:val="22"/>
          <w:szCs w:val="22"/>
        </w:rPr>
        <w:t>ero</w:t>
      </w:r>
      <w:r w:rsidR="00C10633" w:rsidRPr="00C10633">
        <w:rPr>
          <w:rFonts w:ascii="Arial" w:hAnsi="Arial" w:cs="Arial"/>
          <w:b/>
          <w:smallCaps/>
          <w:color w:val="auto"/>
          <w:sz w:val="22"/>
          <w:szCs w:val="22"/>
          <w:vertAlign w:val="superscript"/>
        </w:rPr>
        <w:t>p</w:t>
      </w:r>
      <w:proofErr w:type="spellEnd"/>
      <w:r w:rsidRPr="00D15BA9">
        <w:rPr>
          <w:rFonts w:ascii="Arial" w:hAnsi="Arial" w:cs="Arial"/>
          <w:color w:val="000000"/>
          <w:sz w:val="22"/>
          <w:szCs w:val="22"/>
          <w:vertAlign w:val="superscript"/>
        </w:rPr>
        <w:t>/</w:t>
      </w:r>
      <w:r>
        <w:rPr>
          <w:rFonts w:ascii="Arial" w:hAnsi="Arial" w:cs="Arial"/>
          <w:b/>
          <w:smallCaps/>
          <w:color w:val="auto"/>
          <w:sz w:val="22"/>
          <w:szCs w:val="22"/>
        </w:rPr>
        <w:t xml:space="preserve"> de</w:t>
      </w:r>
      <w:r w:rsidRPr="006F056B">
        <w:rPr>
          <w:rFonts w:ascii="Arial" w:hAnsi="Arial" w:cs="Arial"/>
          <w:b/>
          <w:smallCaps/>
          <w:color w:val="auto"/>
          <w:sz w:val="22"/>
          <w:szCs w:val="22"/>
        </w:rPr>
        <w:t xml:space="preserve"> </w:t>
      </w:r>
      <w:r w:rsidR="00365D38">
        <w:rPr>
          <w:rFonts w:ascii="Arial" w:hAnsi="Arial" w:cs="Arial"/>
          <w:b/>
          <w:smallCaps/>
          <w:color w:val="auto"/>
          <w:sz w:val="22"/>
          <w:szCs w:val="22"/>
        </w:rPr>
        <w:t>20</w:t>
      </w:r>
      <w:r w:rsidR="00C66A49">
        <w:rPr>
          <w:rFonts w:ascii="Arial" w:hAnsi="Arial" w:cs="Arial"/>
          <w:b/>
          <w:smallCaps/>
          <w:color w:val="auto"/>
          <w:sz w:val="22"/>
          <w:szCs w:val="22"/>
        </w:rPr>
        <w:t>20</w:t>
      </w:r>
    </w:p>
    <w:p w14:paraId="64D9E134" w14:textId="77777777" w:rsidR="001F1169" w:rsidRDefault="001F1169" w:rsidP="001F1169">
      <w:pPr>
        <w:pStyle w:val="p02"/>
        <w:keepLines w:val="0"/>
        <w:widowControl w:val="0"/>
        <w:spacing w:before="0"/>
        <w:jc w:val="center"/>
        <w:rPr>
          <w:rFonts w:ascii="Arial" w:hAnsi="Arial" w:cs="Arial"/>
          <w:color w:val="auto"/>
          <w:sz w:val="18"/>
        </w:rPr>
      </w:pPr>
      <w:r w:rsidRPr="00156EF2">
        <w:rPr>
          <w:rFonts w:ascii="Arial" w:hAnsi="Arial" w:cs="Arial"/>
          <w:color w:val="auto"/>
          <w:sz w:val="18"/>
        </w:rPr>
        <w:t>(Variación % real respecto al mismo mes del año anterior)</w:t>
      </w:r>
    </w:p>
    <w:p w14:paraId="15A1669A" w14:textId="7C389A5B" w:rsidR="001F1169" w:rsidRPr="00061839" w:rsidRDefault="0085311F" w:rsidP="001F1169">
      <w:pPr>
        <w:pStyle w:val="p0"/>
        <w:spacing w:before="0"/>
        <w:jc w:val="center"/>
        <w:rPr>
          <w:color w:val="auto"/>
        </w:rPr>
      </w:pPr>
      <w:r>
        <w:rPr>
          <w:noProof/>
          <w:lang w:val="es-MX" w:eastAsia="es-MX"/>
        </w:rPr>
        <w:drawing>
          <wp:inline distT="0" distB="0" distL="0" distR="0" wp14:anchorId="22867D83" wp14:editId="1C89C629">
            <wp:extent cx="4644000" cy="2376000"/>
            <wp:effectExtent l="0" t="0" r="23495" b="2476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BE9EC32" w14:textId="77777777" w:rsidR="001F1169" w:rsidRDefault="00A81951" w:rsidP="00AA768F">
      <w:pPr>
        <w:pStyle w:val="p02"/>
        <w:keepLines w:val="0"/>
        <w:widowControl w:val="0"/>
        <w:spacing w:before="0"/>
        <w:ind w:left="1778" w:right="1077" w:hanging="630"/>
        <w:rPr>
          <w:rFonts w:ascii="Arial" w:hAnsi="Arial" w:cs="Arial"/>
          <w:color w:val="000000"/>
          <w:sz w:val="16"/>
          <w:szCs w:val="16"/>
          <w:lang w:val="es-MX"/>
        </w:rPr>
      </w:pPr>
      <w:r>
        <w:rPr>
          <w:rFonts w:ascii="Arial" w:hAnsi="Arial" w:cs="Arial"/>
          <w:color w:val="000000"/>
          <w:sz w:val="16"/>
          <w:szCs w:val="16"/>
          <w:lang w:val="es-MX"/>
        </w:rPr>
        <w:t>Nota:</w:t>
      </w:r>
      <w:r w:rsidR="00AA768F">
        <w:rPr>
          <w:rFonts w:ascii="Arial" w:hAnsi="Arial" w:cs="Arial"/>
          <w:color w:val="000000"/>
          <w:sz w:val="16"/>
          <w:szCs w:val="16"/>
          <w:lang w:val="es-MX"/>
        </w:rPr>
        <w:tab/>
      </w:r>
      <w:r w:rsidR="001F1169" w:rsidRPr="00C102E2">
        <w:rPr>
          <w:rFonts w:ascii="Arial" w:hAnsi="Arial" w:cs="Arial"/>
          <w:color w:val="000000"/>
          <w:sz w:val="16"/>
          <w:szCs w:val="16"/>
          <w:lang w:val="es-MX"/>
        </w:rPr>
        <w:t>El IGAE no incluye los subsectores d</w:t>
      </w:r>
      <w:r w:rsidR="001F1169">
        <w:rPr>
          <w:rFonts w:ascii="Arial" w:hAnsi="Arial" w:cs="Arial"/>
          <w:color w:val="000000"/>
          <w:sz w:val="16"/>
          <w:szCs w:val="16"/>
          <w:lang w:val="es-MX"/>
        </w:rPr>
        <w:t>e Aprovechamiento forestal, de p</w:t>
      </w:r>
      <w:r w:rsidR="001F1169" w:rsidRPr="00C102E2">
        <w:rPr>
          <w:rFonts w:ascii="Arial" w:hAnsi="Arial" w:cs="Arial"/>
          <w:color w:val="000000"/>
          <w:sz w:val="16"/>
          <w:szCs w:val="16"/>
          <w:lang w:val="es-MX"/>
        </w:rPr>
        <w:t>esca, caza y captura, ni la totalidad de las Actividades Terciarias, por lo que su tasa de crecimiento puede diferir de la que registre el PIB.</w:t>
      </w:r>
      <w:r w:rsidR="001F1169">
        <w:rPr>
          <w:rFonts w:ascii="Arial" w:hAnsi="Arial" w:cs="Arial"/>
          <w:color w:val="000000"/>
          <w:sz w:val="16"/>
          <w:szCs w:val="16"/>
          <w:lang w:val="es-MX"/>
        </w:rPr>
        <w:t xml:space="preserve"> </w:t>
      </w:r>
    </w:p>
    <w:p w14:paraId="08173A98" w14:textId="77777777" w:rsidR="001F1169" w:rsidRDefault="00795051" w:rsidP="00AA768F">
      <w:pPr>
        <w:pStyle w:val="p02"/>
        <w:keepLines w:val="0"/>
        <w:widowControl w:val="0"/>
        <w:spacing w:before="0"/>
        <w:ind w:left="1778" w:right="1077" w:hanging="630"/>
        <w:rPr>
          <w:rFonts w:ascii="Arial" w:hAnsi="Arial" w:cs="Arial"/>
          <w:color w:val="auto"/>
          <w:sz w:val="16"/>
          <w:lang w:val="es-MX"/>
        </w:rPr>
      </w:pPr>
      <w:r>
        <w:rPr>
          <w:rFonts w:ascii="Arial" w:hAnsi="Arial" w:cs="Arial"/>
          <w:color w:val="auto"/>
          <w:sz w:val="16"/>
          <w:lang w:val="es-MX"/>
        </w:rPr>
        <w:t>p/</w:t>
      </w:r>
      <w:r w:rsidR="00AA768F">
        <w:rPr>
          <w:rFonts w:ascii="Arial" w:hAnsi="Arial" w:cs="Arial"/>
          <w:color w:val="auto"/>
          <w:sz w:val="16"/>
          <w:lang w:val="es-MX"/>
        </w:rPr>
        <w:tab/>
      </w:r>
      <w:r w:rsidR="001F1169" w:rsidRPr="00FE5FE0">
        <w:rPr>
          <w:rFonts w:ascii="Arial" w:hAnsi="Arial" w:cs="Arial"/>
          <w:color w:val="auto"/>
          <w:sz w:val="16"/>
          <w:lang w:val="es-MX"/>
        </w:rPr>
        <w:t>Cifras preliminares.</w:t>
      </w:r>
      <w:r w:rsidR="001F1169">
        <w:rPr>
          <w:rFonts w:ascii="Arial" w:hAnsi="Arial" w:cs="Arial"/>
          <w:color w:val="auto"/>
          <w:sz w:val="16"/>
          <w:lang w:val="es-MX"/>
        </w:rPr>
        <w:t xml:space="preserve"> </w:t>
      </w:r>
    </w:p>
    <w:p w14:paraId="7E2F9994" w14:textId="77777777" w:rsidR="001245E3" w:rsidRDefault="00AA768F" w:rsidP="00833FE9">
      <w:pPr>
        <w:widowControl w:val="0"/>
        <w:tabs>
          <w:tab w:val="num" w:pos="1843"/>
          <w:tab w:val="left" w:pos="7939"/>
        </w:tabs>
        <w:ind w:left="1778" w:right="1077" w:hanging="630"/>
        <w:rPr>
          <w:b/>
          <w:smallCaps/>
        </w:rPr>
      </w:pPr>
      <w:r>
        <w:rPr>
          <w:color w:val="000000"/>
          <w:sz w:val="16"/>
          <w:szCs w:val="16"/>
          <w:lang w:val="es-MX"/>
        </w:rPr>
        <w:t>Fuente:</w:t>
      </w:r>
      <w:r>
        <w:rPr>
          <w:color w:val="000000"/>
          <w:sz w:val="16"/>
          <w:szCs w:val="16"/>
          <w:lang w:val="es-MX"/>
        </w:rPr>
        <w:tab/>
      </w:r>
      <w:r w:rsidR="001F1169" w:rsidRPr="00FE2019">
        <w:rPr>
          <w:color w:val="000000"/>
          <w:sz w:val="16"/>
          <w:szCs w:val="16"/>
          <w:lang w:val="es-MX"/>
        </w:rPr>
        <w:t>INEGI.</w:t>
      </w:r>
    </w:p>
    <w:p w14:paraId="0323C419" w14:textId="77777777" w:rsidR="009B3248" w:rsidRDefault="009B3248" w:rsidP="00760518">
      <w:pPr>
        <w:tabs>
          <w:tab w:val="num" w:pos="1843"/>
          <w:tab w:val="left" w:pos="7939"/>
        </w:tabs>
        <w:spacing w:before="120"/>
        <w:ind w:right="51"/>
        <w:rPr>
          <w:b/>
          <w:bCs/>
          <w:iCs/>
          <w:smallCaps/>
        </w:rPr>
      </w:pPr>
      <w:bookmarkStart w:id="0" w:name="_Hlk24107995"/>
    </w:p>
    <w:bookmarkEnd w:id="0"/>
    <w:p w14:paraId="0E2693FB" w14:textId="77777777" w:rsidR="002573A3" w:rsidRDefault="002573A3" w:rsidP="00E71D9F">
      <w:pPr>
        <w:tabs>
          <w:tab w:val="num" w:pos="1843"/>
          <w:tab w:val="left" w:pos="7939"/>
        </w:tabs>
        <w:spacing w:before="120"/>
        <w:ind w:right="51"/>
        <w:rPr>
          <w:b/>
          <w:bCs/>
          <w:iCs/>
          <w:smallCaps/>
        </w:rPr>
      </w:pPr>
    </w:p>
    <w:p w14:paraId="7907ADB1" w14:textId="77777777" w:rsidR="001F1169" w:rsidRPr="00D128F7" w:rsidRDefault="00F91052" w:rsidP="00E71D9F">
      <w:pPr>
        <w:tabs>
          <w:tab w:val="num" w:pos="1843"/>
          <w:tab w:val="left" w:pos="7939"/>
        </w:tabs>
        <w:spacing w:before="120"/>
        <w:ind w:right="51"/>
        <w:rPr>
          <w:b/>
          <w:bCs/>
          <w:iCs/>
          <w:smallCaps/>
        </w:rPr>
      </w:pPr>
      <w:r w:rsidRPr="00D128F7">
        <w:rPr>
          <w:b/>
          <w:bCs/>
          <w:iCs/>
          <w:smallCaps/>
        </w:rPr>
        <w:t>Nota metodológica</w:t>
      </w:r>
    </w:p>
    <w:p w14:paraId="369F6845" w14:textId="77777777" w:rsidR="001F1169" w:rsidRPr="00DE1840" w:rsidRDefault="001F1169" w:rsidP="001F1169">
      <w:pPr>
        <w:pStyle w:val="Textoindependiente"/>
        <w:ind w:right="51"/>
        <w:rPr>
          <w:color w:val="auto"/>
          <w:lang w:val="es-MX"/>
        </w:rPr>
      </w:pPr>
      <w:r w:rsidRPr="00DE1840">
        <w:rPr>
          <w:color w:val="auto"/>
          <w:lang w:val="es-MX"/>
        </w:rPr>
        <w:t>El Indicador Global de la Actividad Económica (IGAE) permite conocer y dar seguimiento a la evolución del sector real de la economía, en el corto plazo, proporcionando valiosa información para la toma de decisiones.</w:t>
      </w:r>
    </w:p>
    <w:p w14:paraId="1C6FFA68" w14:textId="77777777" w:rsidR="00042909" w:rsidRPr="00DE1840" w:rsidRDefault="00042909" w:rsidP="00B61960">
      <w:pPr>
        <w:pStyle w:val="p0"/>
        <w:rPr>
          <w:rFonts w:ascii="Arial" w:hAnsi="Arial"/>
          <w:color w:val="auto"/>
        </w:rPr>
      </w:pPr>
      <w:r w:rsidRPr="00DE1840">
        <w:rPr>
          <w:rFonts w:ascii="Arial" w:hAnsi="Arial"/>
          <w:color w:val="auto"/>
        </w:rPr>
        <w:t xml:space="preserve">Su cobertura geográfica es nacional y alcanza una representatividad del 94.7% del valor agregado bruto del año 2013, año base de los productos del </w:t>
      </w:r>
      <w:r w:rsidR="005D7E90" w:rsidRPr="00DE1840">
        <w:rPr>
          <w:rFonts w:ascii="Arial" w:hAnsi="Arial"/>
          <w:color w:val="auto"/>
        </w:rPr>
        <w:t>Sistema de Cuentas Nacionales de México (</w:t>
      </w:r>
      <w:r w:rsidRPr="00DE1840">
        <w:rPr>
          <w:rFonts w:ascii="Arial" w:hAnsi="Arial"/>
          <w:color w:val="auto"/>
        </w:rPr>
        <w:t>SCNM</w:t>
      </w:r>
      <w:r w:rsidR="005D7E90" w:rsidRPr="00DE1840">
        <w:rPr>
          <w:rFonts w:ascii="Arial" w:hAnsi="Arial"/>
          <w:color w:val="auto"/>
        </w:rPr>
        <w:t>)</w:t>
      </w:r>
      <w:r w:rsidRPr="00DE1840">
        <w:rPr>
          <w:rFonts w:ascii="Arial" w:hAnsi="Arial"/>
          <w:color w:val="auto"/>
        </w:rPr>
        <w:t>.</w:t>
      </w:r>
    </w:p>
    <w:p w14:paraId="0EE62B5F" w14:textId="77777777" w:rsidR="00042909" w:rsidRPr="00DE1840" w:rsidRDefault="00042909" w:rsidP="00B61960">
      <w:pPr>
        <w:pStyle w:val="Textoindependiente"/>
        <w:ind w:right="51"/>
        <w:rPr>
          <w:color w:val="auto"/>
          <w:highlight w:val="yellow"/>
          <w:lang w:val="es-MX"/>
        </w:rPr>
      </w:pPr>
      <w:r w:rsidRPr="00DE1840">
        <w:rPr>
          <w:color w:val="auto"/>
          <w:lang w:val="es-MX"/>
        </w:rPr>
        <w:t>Las cifras mensuales del IGAE están disponibles desde el mes de enero de 1993 y se expresan en índices de volumen físico con base fija en el año 2013=100, los cuales son de tipo Laspeyres.</w:t>
      </w:r>
    </w:p>
    <w:p w14:paraId="2F1A88D8" w14:textId="77777777" w:rsidR="001F1169" w:rsidRPr="00DE1840" w:rsidRDefault="005C13A3" w:rsidP="00B61960">
      <w:pPr>
        <w:pStyle w:val="p0"/>
        <w:keepLines w:val="0"/>
        <w:rPr>
          <w:rFonts w:ascii="Arial" w:hAnsi="Arial"/>
          <w:color w:val="auto"/>
        </w:rPr>
      </w:pPr>
      <w:r w:rsidRPr="00DE1840">
        <w:rPr>
          <w:rFonts w:ascii="Arial" w:hAnsi="Arial"/>
          <w:color w:val="auto"/>
        </w:rPr>
        <w:t xml:space="preserve">El </w:t>
      </w:r>
      <w:r w:rsidR="001F1169" w:rsidRPr="00DE1840">
        <w:rPr>
          <w:rFonts w:ascii="Arial" w:hAnsi="Arial"/>
          <w:color w:val="auto"/>
        </w:rPr>
        <w:t xml:space="preserve">presente </w:t>
      </w:r>
      <w:r w:rsidRPr="00DE1840">
        <w:rPr>
          <w:rFonts w:ascii="Arial" w:hAnsi="Arial"/>
          <w:color w:val="auto"/>
        </w:rPr>
        <w:t>documento</w:t>
      </w:r>
      <w:r w:rsidR="001F1169" w:rsidRPr="00DE1840">
        <w:rPr>
          <w:rFonts w:ascii="Arial" w:hAnsi="Arial"/>
          <w:color w:val="auto"/>
        </w:rPr>
        <w:t xml:space="preserve"> destaca las variaciones porcentuales de las series desestacionalizadas o ajustadas estacionalmente, tanto respecto al mes anterior como </w:t>
      </w:r>
      <w:r w:rsidR="002B7DCC">
        <w:rPr>
          <w:rFonts w:ascii="Arial" w:hAnsi="Arial"/>
          <w:color w:val="auto"/>
        </w:rPr>
        <w:t xml:space="preserve">frente </w:t>
      </w:r>
      <w:r w:rsidR="001F1169" w:rsidRPr="00DE1840">
        <w:rPr>
          <w:rFonts w:ascii="Arial" w:hAnsi="Arial"/>
          <w:color w:val="auto"/>
        </w:rPr>
        <w:t>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28009C30" w14:textId="77777777" w:rsidR="001F1169" w:rsidRPr="00DE1840" w:rsidRDefault="001F1169" w:rsidP="00B61960">
      <w:pPr>
        <w:pStyle w:val="p0"/>
        <w:keepLines w:val="0"/>
        <w:rPr>
          <w:rFonts w:ascii="Arial" w:hAnsi="Arial"/>
          <w:color w:val="auto"/>
        </w:rPr>
      </w:pPr>
      <w:r w:rsidRPr="00DE1840">
        <w:rPr>
          <w:rFonts w:ascii="Arial" w:hAnsi="Arial"/>
          <w:color w:val="auto"/>
        </w:rPr>
        <w:t xml:space="preserve">En este sentido, la desestacionalización o ajuste estacional de series económicas consiste en remover estas influencias </w:t>
      </w:r>
      <w:proofErr w:type="spellStart"/>
      <w:r w:rsidRPr="00DE1840">
        <w:rPr>
          <w:rFonts w:ascii="Arial" w:hAnsi="Arial"/>
          <w:color w:val="auto"/>
        </w:rPr>
        <w:t>intra-anuales</w:t>
      </w:r>
      <w:proofErr w:type="spellEnd"/>
      <w:r w:rsidRPr="00DE1840">
        <w:rPr>
          <w:rFonts w:ascii="Arial" w:hAnsi="Arial"/>
          <w:color w:val="auto"/>
        </w:rPr>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DE1840">
        <w:rPr>
          <w:rFonts w:ascii="Arial" w:hAnsi="Arial"/>
          <w:color w:val="auto"/>
        </w:rPr>
        <w:t>la misma</w:t>
      </w:r>
      <w:proofErr w:type="gramEnd"/>
      <w:r w:rsidRPr="00DE1840">
        <w:rPr>
          <w:rFonts w:ascii="Arial" w:hAnsi="Arial"/>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Indicador Global de la Actividad Económica se calcula de manera independiente a la de sus componentes.</w:t>
      </w:r>
    </w:p>
    <w:p w14:paraId="3A74AF7C" w14:textId="77777777" w:rsidR="00406A35" w:rsidRPr="00DE1840" w:rsidRDefault="00406A35" w:rsidP="00406A35">
      <w:pPr>
        <w:widowControl w:val="0"/>
        <w:spacing w:before="240"/>
        <w:rPr>
          <w:szCs w:val="20"/>
          <w:lang w:val="es-MX"/>
        </w:rPr>
      </w:pPr>
      <w:r w:rsidRPr="00DE1840">
        <w:rPr>
          <w:szCs w:val="20"/>
          <w:lang w:val="es-MX"/>
        </w:rPr>
        <w:t>Las series originales se ajustan estacionalmente mediante el paquete estadístico X</w:t>
      </w:r>
      <w:r w:rsidRPr="00DE1840">
        <w:rPr>
          <w:szCs w:val="20"/>
          <w:lang w:val="es-MX"/>
        </w:rPr>
        <w:noBreakHyphen/>
        <w:t>13ARIMA-SEATS. Para conocer la metodología se sugiere consultar la siguiente liga:</w:t>
      </w:r>
    </w:p>
    <w:p w14:paraId="297CFDEB" w14:textId="77777777" w:rsidR="00406A35" w:rsidRPr="00061839" w:rsidRDefault="00FD57C9" w:rsidP="00CD47B8">
      <w:pPr>
        <w:widowControl w:val="0"/>
        <w:spacing w:before="120"/>
        <w:rPr>
          <w:sz w:val="22"/>
          <w:szCs w:val="20"/>
          <w:lang w:val="es-MX" w:eastAsia="en-US"/>
        </w:rPr>
      </w:pPr>
      <w:hyperlink r:id="rId31" w:history="1">
        <w:r w:rsidR="00350636" w:rsidRPr="007E551F">
          <w:rPr>
            <w:rStyle w:val="Hipervnculo"/>
            <w:szCs w:val="20"/>
            <w:lang w:val="es-MX" w:eastAsia="en-US"/>
          </w:rPr>
          <w:t>https://www.inegi.org.mx/app/biblioteca/ficha.html?upc=702825099060</w:t>
        </w:r>
      </w:hyperlink>
    </w:p>
    <w:p w14:paraId="3B25D9FE" w14:textId="77777777" w:rsidR="008111E3" w:rsidRDefault="008111E3">
      <w:pPr>
        <w:jc w:val="left"/>
      </w:pPr>
      <w:r>
        <w:br w:type="page"/>
      </w:r>
    </w:p>
    <w:p w14:paraId="3628B2E6" w14:textId="77777777" w:rsidR="008111E3" w:rsidRDefault="008111E3" w:rsidP="00B61960">
      <w:pPr>
        <w:spacing w:before="240"/>
      </w:pPr>
    </w:p>
    <w:p w14:paraId="52640249" w14:textId="77777777" w:rsidR="001F1169" w:rsidRPr="00DE1840" w:rsidRDefault="001F1169" w:rsidP="00B61960">
      <w:pPr>
        <w:spacing w:before="240"/>
      </w:pPr>
      <w:r w:rsidRPr="00DE1840">
        <w:t xml:space="preserve">Asimismo, las especificaciones de los modelos utilizados para realizar el ajuste estacional están disponibles en el Banco de Información Económica, seleccionando el icono de información </w:t>
      </w:r>
      <w:r w:rsidRPr="00DE1840">
        <w:rPr>
          <w:noProof/>
          <w:sz w:val="18"/>
          <w:szCs w:val="18"/>
          <w:lang w:val="es-MX" w:eastAsia="es-MX"/>
        </w:rPr>
        <w:drawing>
          <wp:inline distT="0" distB="0" distL="0" distR="0" wp14:anchorId="4510FAC4" wp14:editId="377119A7">
            <wp:extent cx="152400" cy="152400"/>
            <wp:effectExtent l="0" t="0" r="0" b="0"/>
            <wp:docPr id="4" name="Imagen 4" descr="http://www.inegi.org.mx/sistemas/bie/img/MetadatoC.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1840">
        <w:t xml:space="preserve"> correspondiente a las “series desestacionalizadas y de tendencia-ciclo” del IGAE.</w:t>
      </w:r>
    </w:p>
    <w:p w14:paraId="61B89777" w14:textId="03EA8EBE" w:rsidR="0067385F" w:rsidRPr="00DE1840" w:rsidRDefault="0067385F" w:rsidP="00D50C90">
      <w:pPr>
        <w:pStyle w:val="Textoindependiente"/>
        <w:ind w:right="51"/>
        <w:rPr>
          <w:color w:val="auto"/>
          <w:lang w:val="es-MX"/>
        </w:rPr>
      </w:pPr>
      <w:r w:rsidRPr="00DE1840">
        <w:rPr>
          <w:color w:val="auto"/>
        </w:rPr>
        <w:t xml:space="preserve">Las cifras </w:t>
      </w:r>
      <w:r w:rsidRPr="00DE1840">
        <w:rPr>
          <w:color w:val="auto"/>
          <w:lang w:val="es-MX"/>
        </w:rPr>
        <w:t xml:space="preserve">del IGAE </w:t>
      </w:r>
      <w:r w:rsidRPr="00DE1840">
        <w:rPr>
          <w:color w:val="auto"/>
        </w:rPr>
        <w:t xml:space="preserve">se elaboran utilizando el mismo marco conceptual y metodológico empleado en el cálculo de las Cuentas de Bienes y Servicios del </w:t>
      </w:r>
      <w:r w:rsidR="005D7E90" w:rsidRPr="00DE1840">
        <w:rPr>
          <w:color w:val="auto"/>
        </w:rPr>
        <w:t>SCNM</w:t>
      </w:r>
      <w:r w:rsidRPr="00DE1840">
        <w:rPr>
          <w:color w:val="auto"/>
        </w:rPr>
        <w:t xml:space="preserve">, </w:t>
      </w:r>
      <w:r w:rsidRPr="00DE1840">
        <w:rPr>
          <w:color w:val="auto"/>
          <w:lang w:val="es-MX"/>
        </w:rPr>
        <w:t xml:space="preserve">mismo que sigue el cálculo del Producto Interno Bruto Trimestral (PIBT) y del Indicador Mensual de la Actividad Industrial (IMAI). </w:t>
      </w:r>
      <w:r w:rsidR="008073AA">
        <w:rPr>
          <w:color w:val="auto"/>
          <w:lang w:val="es-MX"/>
        </w:rPr>
        <w:t>Igualmente</w:t>
      </w:r>
      <w:r w:rsidRPr="00DE1840">
        <w:rPr>
          <w:color w:val="auto"/>
        </w:rPr>
        <w:t xml:space="preserve">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14:paraId="01978E1F" w14:textId="77777777" w:rsidR="0067385F" w:rsidRPr="00DE1840" w:rsidRDefault="0067385F" w:rsidP="00B61960">
      <w:pPr>
        <w:pStyle w:val="Textoindependiente"/>
        <w:ind w:right="51"/>
        <w:rPr>
          <w:color w:val="auto"/>
          <w:lang w:val="es-MX"/>
        </w:rPr>
      </w:pPr>
      <w:r w:rsidRPr="00DE1840">
        <w:rPr>
          <w:color w:val="auto"/>
        </w:rPr>
        <w:t xml:space="preserve">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 Los resultados de </w:t>
      </w:r>
      <w:r w:rsidRPr="00DE1840">
        <w:rPr>
          <w:color w:val="auto"/>
          <w:lang w:val="es-MX"/>
        </w:rPr>
        <w:t>las Actividades Secundarias y Terciarias se desagregan en 13 actividades económicas.</w:t>
      </w:r>
    </w:p>
    <w:p w14:paraId="2E33DF3B" w14:textId="77777777" w:rsidR="0067385F" w:rsidRPr="00DE1840" w:rsidRDefault="0067385F" w:rsidP="00CD47B8">
      <w:pPr>
        <w:pStyle w:val="Textoindependiente"/>
        <w:spacing w:before="120"/>
        <w:ind w:right="51"/>
        <w:rPr>
          <w:color w:val="auto"/>
          <w:lang w:val="es-MX"/>
        </w:rPr>
      </w:pPr>
      <w:r w:rsidRPr="00DE1840">
        <w:rPr>
          <w:color w:val="auto"/>
          <w:lang w:val="es-MX"/>
        </w:rPr>
        <w:t xml:space="preserve">Las principales fuentes de información para este indicador son: la Estadística de la Industria Minero-Metalúrgica (EMIMM); la Encuesta Mensual de la Industria Manufacturera (EMIM); la Encuesta Nacional de Empresas Constructoras (ENEC) y la Encuesta Nacional de Ocupación y Empleo (ENOE), elaboradas por el INEGI. También se obtienen datos proporcionados por cámaras y asociaciones de productores e instituciones públicas y privadas. </w:t>
      </w:r>
    </w:p>
    <w:p w14:paraId="1707951B" w14:textId="77777777" w:rsidR="00E60138" w:rsidRPr="00DE1840" w:rsidRDefault="00E60138" w:rsidP="00B61960">
      <w:pPr>
        <w:pStyle w:val="Textoindependiente"/>
        <w:ind w:right="51"/>
        <w:rPr>
          <w:color w:val="auto"/>
          <w:lang w:val="es-MX"/>
        </w:rPr>
      </w:pPr>
      <w:r w:rsidRPr="00DE1840">
        <w:rPr>
          <w:color w:val="auto"/>
          <w:lang w:val="es-MX"/>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18EFF468" w14:textId="77777777" w:rsidR="00593F5A" w:rsidRDefault="00E60138" w:rsidP="007300E1">
      <w:pPr>
        <w:pStyle w:val="texto0"/>
        <w:rPr>
          <w:rFonts w:cs="Arial"/>
          <w:color w:val="auto"/>
        </w:rPr>
      </w:pPr>
      <w:r w:rsidRPr="00DE1840">
        <w:rPr>
          <w:rFonts w:cs="Arial"/>
          <w:color w:val="auto"/>
        </w:rPr>
        <w:t xml:space="preserve">Las series del IGAE, podrán ser consultadas en la sección PIB y Cuentas Nacionales de México y en el Banco de Información Económica (BIE), de la página del Instituto </w:t>
      </w:r>
      <w:r w:rsidR="00EC5D93" w:rsidRPr="00DE1840">
        <w:rPr>
          <w:rFonts w:cs="Arial"/>
          <w:color w:val="auto"/>
        </w:rPr>
        <w:t>en Internet</w:t>
      </w:r>
      <w:r w:rsidR="008F6B6E" w:rsidRPr="00DE1840">
        <w:rPr>
          <w:rFonts w:cs="Arial"/>
          <w:color w:val="auto"/>
        </w:rPr>
        <w:t xml:space="preserve">: </w:t>
      </w:r>
    </w:p>
    <w:p w14:paraId="487FEF78" w14:textId="77777777" w:rsidR="00593F5A" w:rsidRPr="001F1169" w:rsidRDefault="00350636" w:rsidP="007300E1">
      <w:pPr>
        <w:pStyle w:val="texto0"/>
        <w:rPr>
          <w:color w:val="auto"/>
        </w:rPr>
      </w:pPr>
      <w:r w:rsidRPr="00350636">
        <w:rPr>
          <w:rFonts w:cs="Arial"/>
          <w:color w:val="0000FF"/>
          <w:u w:val="single"/>
          <w:lang w:eastAsia="en-US"/>
        </w:rPr>
        <w:t>https://</w:t>
      </w:r>
      <w:hyperlink r:id="rId34" w:history="1">
        <w:r w:rsidRPr="007E551F">
          <w:rPr>
            <w:rStyle w:val="Hipervnculo"/>
            <w:rFonts w:cs="Arial"/>
            <w:lang w:eastAsia="en-US"/>
          </w:rPr>
          <w:t>www.inegi.org.mx</w:t>
        </w:r>
      </w:hyperlink>
      <w:r w:rsidR="00E60138" w:rsidRPr="00DE1840">
        <w:rPr>
          <w:rFonts w:cs="Arial"/>
          <w:color w:val="0000FF"/>
          <w:lang w:eastAsia="en-US"/>
        </w:rPr>
        <w:t>.</w:t>
      </w:r>
    </w:p>
    <w:sectPr w:rsidR="00593F5A" w:rsidRPr="001F1169" w:rsidSect="004750E3">
      <w:headerReference w:type="default" r:id="rId35"/>
      <w:footerReference w:type="default" r:id="rId36"/>
      <w:pgSz w:w="12242" w:h="15842" w:code="1"/>
      <w:pgMar w:top="1134" w:right="1418" w:bottom="1134" w:left="1418" w:header="567" w:footer="567" w:gutter="0"/>
      <w:paperSrc w:first="3"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2159" w14:textId="77777777" w:rsidR="00FD57C9" w:rsidRDefault="00FD57C9">
      <w:r>
        <w:separator/>
      </w:r>
    </w:p>
  </w:endnote>
  <w:endnote w:type="continuationSeparator" w:id="0">
    <w:p w14:paraId="13AA252C" w14:textId="77777777" w:rsidR="00FD57C9" w:rsidRDefault="00FD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E422" w14:textId="77777777" w:rsidR="00FC4131" w:rsidRDefault="00FC41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238D" w14:textId="77777777" w:rsidR="002557A9" w:rsidRPr="00B824C9" w:rsidRDefault="002557A9" w:rsidP="004C150C">
    <w:pPr>
      <w:pStyle w:val="Piedepgina"/>
      <w:contextualSpacing/>
      <w:jc w:val="center"/>
      <w:rPr>
        <w:color w:val="002060"/>
        <w:sz w:val="18"/>
        <w:szCs w:val="18"/>
      </w:rPr>
    </w:pPr>
    <w:r w:rsidRPr="00B824C9">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E76C" w14:textId="77777777" w:rsidR="00FC4131" w:rsidRDefault="00FC413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B4A25"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10173" w14:textId="77777777" w:rsidR="00FD57C9" w:rsidRDefault="00FD57C9">
      <w:r>
        <w:separator/>
      </w:r>
    </w:p>
  </w:footnote>
  <w:footnote w:type="continuationSeparator" w:id="0">
    <w:p w14:paraId="1749422A" w14:textId="77777777" w:rsidR="00FD57C9" w:rsidRDefault="00FD57C9">
      <w:r>
        <w:continuationSeparator/>
      </w:r>
    </w:p>
  </w:footnote>
  <w:footnote w:id="1">
    <w:p w14:paraId="6BE5FB3C" w14:textId="77777777" w:rsidR="002557A9" w:rsidRPr="00C07AE5" w:rsidRDefault="002557A9" w:rsidP="002557A9">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 w:id="2">
    <w:p w14:paraId="70E41A6A" w14:textId="77777777" w:rsidR="002557A9" w:rsidRPr="00C07AE5" w:rsidRDefault="002557A9" w:rsidP="002557A9">
      <w:pPr>
        <w:pStyle w:val="Textonotapie"/>
        <w:ind w:left="142" w:right="-405"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3">
    <w:p w14:paraId="79D64AD1" w14:textId="77777777" w:rsidR="002557A9" w:rsidRDefault="002557A9" w:rsidP="002557A9">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Variación anual de las cifras desestacionalizadas.</w:t>
      </w:r>
    </w:p>
    <w:p w14:paraId="2D012CF0" w14:textId="77777777" w:rsidR="002557A9" w:rsidRPr="00C07AE5" w:rsidRDefault="002557A9" w:rsidP="002557A9">
      <w:pPr>
        <w:pStyle w:val="Textonotapie"/>
        <w:ind w:left="142" w:hanging="142"/>
        <w:rPr>
          <w:sz w:val="16"/>
          <w:szCs w:val="16"/>
        </w:rPr>
      </w:pPr>
    </w:p>
  </w:footnote>
  <w:footnote w:id="4">
    <w:p w14:paraId="5AB093CB" w14:textId="77777777" w:rsidR="00524FC0" w:rsidRPr="00C07AE5" w:rsidRDefault="00524FC0" w:rsidP="00524FC0">
      <w:pPr>
        <w:pStyle w:val="Textonotapie"/>
        <w:ind w:left="142" w:hanging="142"/>
        <w:rPr>
          <w:sz w:val="16"/>
          <w:szCs w:val="16"/>
        </w:rPr>
      </w:pPr>
      <w:r w:rsidRPr="00205929">
        <w:rPr>
          <w:rStyle w:val="Refdenotaalpie"/>
          <w:sz w:val="18"/>
        </w:rPr>
        <w:footnoteRef/>
      </w:r>
      <w:r w:rsidRPr="00205929">
        <w:rPr>
          <w:rStyle w:val="Refdenotaalpie"/>
          <w:sz w:val="18"/>
        </w:rPr>
        <w:t xml:space="preserve"> </w:t>
      </w:r>
      <w:r>
        <w:rPr>
          <w:sz w:val="18"/>
        </w:rPr>
        <w:tab/>
      </w:r>
      <w:r>
        <w:rPr>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61EC" w14:textId="77777777" w:rsidR="00FC4131" w:rsidRDefault="00FC41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B427" w14:textId="3A1FB7F0" w:rsidR="002557A9" w:rsidRPr="00265B8C" w:rsidRDefault="002557A9" w:rsidP="00FC4131">
    <w:pPr>
      <w:pStyle w:val="Encabezado"/>
      <w:framePr w:w="5433" w:hSpace="141" w:wrap="auto" w:vAnchor="text" w:hAnchor="page" w:x="5666" w:y="32"/>
      <w:ind w:left="567" w:hanging="11"/>
      <w:jc w:val="right"/>
      <w:rPr>
        <w:b/>
        <w:color w:val="002060"/>
      </w:rPr>
    </w:pPr>
    <w:r w:rsidRPr="00265B8C">
      <w:rPr>
        <w:b/>
        <w:color w:val="002060"/>
      </w:rPr>
      <w:t xml:space="preserve">COMUNICADO DE PRENSA NÚM. </w:t>
    </w:r>
    <w:r w:rsidR="00FC4131">
      <w:rPr>
        <w:b/>
        <w:color w:val="002060"/>
      </w:rPr>
      <w:t>160</w:t>
    </w:r>
    <w:r w:rsidRPr="00265B8C">
      <w:rPr>
        <w:b/>
        <w:color w:val="002060"/>
      </w:rPr>
      <w:t>/</w:t>
    </w:r>
    <w:r>
      <w:rPr>
        <w:b/>
        <w:color w:val="002060"/>
      </w:rPr>
      <w:t>20</w:t>
    </w:r>
  </w:p>
  <w:p w14:paraId="3E7D0227" w14:textId="77777777" w:rsidR="002557A9" w:rsidRPr="00265B8C" w:rsidRDefault="002557A9" w:rsidP="00FC4131">
    <w:pPr>
      <w:pStyle w:val="Encabezado"/>
      <w:framePr w:w="5433" w:hSpace="141" w:wrap="auto" w:vAnchor="text" w:hAnchor="page" w:x="5666" w:y="32"/>
      <w:ind w:left="567" w:hanging="11"/>
      <w:jc w:val="right"/>
      <w:rPr>
        <w:b/>
        <w:color w:val="002060"/>
        <w:lang w:val="pt-BR"/>
      </w:rPr>
    </w:pPr>
    <w:r>
      <w:rPr>
        <w:b/>
        <w:color w:val="002060"/>
        <w:lang w:val="pt-BR"/>
      </w:rPr>
      <w:t xml:space="preserve">24 DE ABRIL </w:t>
    </w:r>
    <w:r w:rsidRPr="00265B8C">
      <w:rPr>
        <w:b/>
        <w:color w:val="002060"/>
        <w:lang w:val="pt-BR"/>
      </w:rPr>
      <w:t>DE 20</w:t>
    </w:r>
    <w:r>
      <w:rPr>
        <w:b/>
        <w:color w:val="002060"/>
        <w:lang w:val="pt-BR"/>
      </w:rPr>
      <w:t>20</w:t>
    </w:r>
  </w:p>
  <w:p w14:paraId="5CC85EAB" w14:textId="77777777" w:rsidR="002557A9" w:rsidRPr="00265B8C" w:rsidRDefault="002557A9" w:rsidP="00FC4131">
    <w:pPr>
      <w:pStyle w:val="Encabezado"/>
      <w:framePr w:w="5433" w:hSpace="141" w:wrap="auto" w:vAnchor="text" w:hAnchor="page" w:x="5666"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0DE4B16C" w14:textId="77777777" w:rsidR="002557A9" w:rsidRDefault="002557A9" w:rsidP="004C150C">
    <w:pPr>
      <w:pStyle w:val="Encabezado"/>
      <w:ind w:left="-993"/>
    </w:pPr>
    <w:r>
      <w:rPr>
        <w:noProof/>
      </w:rPr>
      <w:drawing>
        <wp:inline distT="0" distB="0" distL="0" distR="0" wp14:anchorId="067AE583" wp14:editId="33C398F3">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BD3B" w14:textId="77777777" w:rsidR="00FC4131" w:rsidRDefault="00FC413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65DA" w14:textId="18C430C8" w:rsidR="003B5757" w:rsidRDefault="00E463F2" w:rsidP="002557A9">
    <w:pPr>
      <w:pStyle w:val="Encabezado"/>
      <w:jc w:val="center"/>
      <w:rPr>
        <w:noProof/>
        <w:lang w:val="es-MX" w:eastAsia="es-MX"/>
      </w:rPr>
    </w:pPr>
    <w:r>
      <w:rPr>
        <w:noProof/>
        <w:lang w:val="es-MX" w:eastAsia="es-MX"/>
      </w:rPr>
      <w:drawing>
        <wp:inline distT="0" distB="0" distL="0" distR="0" wp14:anchorId="2FF607B2" wp14:editId="0C92115B">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3381F54" w14:textId="77777777" w:rsidR="00C52D66" w:rsidRDefault="00C52D66"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8"/>
  </w:num>
  <w:num w:numId="16">
    <w:abstractNumId w:val="14"/>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278"/>
    <w:rsid w:val="00012A27"/>
    <w:rsid w:val="00012E16"/>
    <w:rsid w:val="0001302A"/>
    <w:rsid w:val="000132A4"/>
    <w:rsid w:val="00013319"/>
    <w:rsid w:val="00013E55"/>
    <w:rsid w:val="000141A8"/>
    <w:rsid w:val="0001447E"/>
    <w:rsid w:val="000144ED"/>
    <w:rsid w:val="00014FBD"/>
    <w:rsid w:val="00015302"/>
    <w:rsid w:val="00015CDC"/>
    <w:rsid w:val="00016590"/>
    <w:rsid w:val="00016B4E"/>
    <w:rsid w:val="00016D3A"/>
    <w:rsid w:val="0001718D"/>
    <w:rsid w:val="000176AC"/>
    <w:rsid w:val="00021432"/>
    <w:rsid w:val="00021492"/>
    <w:rsid w:val="000216A3"/>
    <w:rsid w:val="00022469"/>
    <w:rsid w:val="000228C4"/>
    <w:rsid w:val="00022CA3"/>
    <w:rsid w:val="00022D8E"/>
    <w:rsid w:val="00024AC7"/>
    <w:rsid w:val="000260EE"/>
    <w:rsid w:val="00026B3C"/>
    <w:rsid w:val="00026B52"/>
    <w:rsid w:val="0002754B"/>
    <w:rsid w:val="000300AA"/>
    <w:rsid w:val="00030480"/>
    <w:rsid w:val="0003065F"/>
    <w:rsid w:val="00030D10"/>
    <w:rsid w:val="00031231"/>
    <w:rsid w:val="000314D3"/>
    <w:rsid w:val="00031BCF"/>
    <w:rsid w:val="00032B16"/>
    <w:rsid w:val="00033603"/>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FB5"/>
    <w:rsid w:val="000516A0"/>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1839"/>
    <w:rsid w:val="0006228A"/>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98D"/>
    <w:rsid w:val="00087DB7"/>
    <w:rsid w:val="00090191"/>
    <w:rsid w:val="0009025D"/>
    <w:rsid w:val="00090997"/>
    <w:rsid w:val="00090B9C"/>
    <w:rsid w:val="00090D7B"/>
    <w:rsid w:val="00090F4A"/>
    <w:rsid w:val="00091474"/>
    <w:rsid w:val="000915F7"/>
    <w:rsid w:val="00092764"/>
    <w:rsid w:val="0009292F"/>
    <w:rsid w:val="00092F4C"/>
    <w:rsid w:val="00094496"/>
    <w:rsid w:val="000950E7"/>
    <w:rsid w:val="00095360"/>
    <w:rsid w:val="000955AA"/>
    <w:rsid w:val="000957BC"/>
    <w:rsid w:val="00096737"/>
    <w:rsid w:val="00097B5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C0FEE"/>
    <w:rsid w:val="000C1051"/>
    <w:rsid w:val="000C1F04"/>
    <w:rsid w:val="000C2892"/>
    <w:rsid w:val="000C2B3C"/>
    <w:rsid w:val="000C30D7"/>
    <w:rsid w:val="000C3105"/>
    <w:rsid w:val="000C34DD"/>
    <w:rsid w:val="000C37BC"/>
    <w:rsid w:val="000C3B87"/>
    <w:rsid w:val="000C482F"/>
    <w:rsid w:val="000C4992"/>
    <w:rsid w:val="000C5299"/>
    <w:rsid w:val="000C5468"/>
    <w:rsid w:val="000C55CC"/>
    <w:rsid w:val="000C5852"/>
    <w:rsid w:val="000C5D0E"/>
    <w:rsid w:val="000C6A4A"/>
    <w:rsid w:val="000C6AFD"/>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5D5"/>
    <w:rsid w:val="000F1DEB"/>
    <w:rsid w:val="000F30E6"/>
    <w:rsid w:val="000F3491"/>
    <w:rsid w:val="000F3DE6"/>
    <w:rsid w:val="000F44E7"/>
    <w:rsid w:val="000F49F1"/>
    <w:rsid w:val="000F4C41"/>
    <w:rsid w:val="000F4E66"/>
    <w:rsid w:val="000F4FA7"/>
    <w:rsid w:val="000F536A"/>
    <w:rsid w:val="000F541D"/>
    <w:rsid w:val="000F5AD1"/>
    <w:rsid w:val="000F649E"/>
    <w:rsid w:val="000F69FA"/>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D0D"/>
    <w:rsid w:val="00125D9D"/>
    <w:rsid w:val="001263E8"/>
    <w:rsid w:val="00127810"/>
    <w:rsid w:val="00127CE3"/>
    <w:rsid w:val="001301E6"/>
    <w:rsid w:val="001304F2"/>
    <w:rsid w:val="00130C4C"/>
    <w:rsid w:val="001313EB"/>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4012A"/>
    <w:rsid w:val="00140AD8"/>
    <w:rsid w:val="00140BE4"/>
    <w:rsid w:val="001411DE"/>
    <w:rsid w:val="00141399"/>
    <w:rsid w:val="001418EF"/>
    <w:rsid w:val="00141A0B"/>
    <w:rsid w:val="00141AF4"/>
    <w:rsid w:val="001427B3"/>
    <w:rsid w:val="00142E09"/>
    <w:rsid w:val="0014377B"/>
    <w:rsid w:val="00143D3A"/>
    <w:rsid w:val="001440AA"/>
    <w:rsid w:val="0014594B"/>
    <w:rsid w:val="00145F65"/>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40E5"/>
    <w:rsid w:val="00174587"/>
    <w:rsid w:val="0017474C"/>
    <w:rsid w:val="00174783"/>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90180"/>
    <w:rsid w:val="00190A43"/>
    <w:rsid w:val="00190D0B"/>
    <w:rsid w:val="001912FB"/>
    <w:rsid w:val="00191608"/>
    <w:rsid w:val="00191664"/>
    <w:rsid w:val="00192065"/>
    <w:rsid w:val="001941AA"/>
    <w:rsid w:val="00194F73"/>
    <w:rsid w:val="00195EC2"/>
    <w:rsid w:val="00195F99"/>
    <w:rsid w:val="001A016C"/>
    <w:rsid w:val="001A0422"/>
    <w:rsid w:val="001A102F"/>
    <w:rsid w:val="001A1A27"/>
    <w:rsid w:val="001A1ED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E075F"/>
    <w:rsid w:val="001E0933"/>
    <w:rsid w:val="001E0A09"/>
    <w:rsid w:val="001E0B64"/>
    <w:rsid w:val="001E14B0"/>
    <w:rsid w:val="001E14E8"/>
    <w:rsid w:val="001E1627"/>
    <w:rsid w:val="001E18BD"/>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9DF"/>
    <w:rsid w:val="00203367"/>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2018A"/>
    <w:rsid w:val="00220ADA"/>
    <w:rsid w:val="00220B7B"/>
    <w:rsid w:val="00221406"/>
    <w:rsid w:val="0022180E"/>
    <w:rsid w:val="002220BA"/>
    <w:rsid w:val="00222220"/>
    <w:rsid w:val="002227B3"/>
    <w:rsid w:val="00222CE3"/>
    <w:rsid w:val="002234AC"/>
    <w:rsid w:val="002235D7"/>
    <w:rsid w:val="002239C4"/>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482B"/>
    <w:rsid w:val="0023482C"/>
    <w:rsid w:val="00234AA4"/>
    <w:rsid w:val="00234C7F"/>
    <w:rsid w:val="00234E62"/>
    <w:rsid w:val="00234F8F"/>
    <w:rsid w:val="00235F56"/>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94F"/>
    <w:rsid w:val="00253B97"/>
    <w:rsid w:val="002544CB"/>
    <w:rsid w:val="00254724"/>
    <w:rsid w:val="0025504A"/>
    <w:rsid w:val="002557A9"/>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1DF4"/>
    <w:rsid w:val="002E1FFC"/>
    <w:rsid w:val="002E2C3B"/>
    <w:rsid w:val="002E3C37"/>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7CE"/>
    <w:rsid w:val="00310E3F"/>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0A2"/>
    <w:rsid w:val="003C0125"/>
    <w:rsid w:val="003C03F7"/>
    <w:rsid w:val="003C05CD"/>
    <w:rsid w:val="003C0FE5"/>
    <w:rsid w:val="003C12F6"/>
    <w:rsid w:val="003C1CAF"/>
    <w:rsid w:val="003C22D4"/>
    <w:rsid w:val="003C29AF"/>
    <w:rsid w:val="003C2C17"/>
    <w:rsid w:val="003C3209"/>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A44"/>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BA6"/>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9F2"/>
    <w:rsid w:val="00470535"/>
    <w:rsid w:val="00471183"/>
    <w:rsid w:val="0047123C"/>
    <w:rsid w:val="004714F6"/>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C8C"/>
    <w:rsid w:val="00497FA5"/>
    <w:rsid w:val="004A03B3"/>
    <w:rsid w:val="004A04D5"/>
    <w:rsid w:val="004A17BD"/>
    <w:rsid w:val="004A1B07"/>
    <w:rsid w:val="004A1C7F"/>
    <w:rsid w:val="004A2E04"/>
    <w:rsid w:val="004A3226"/>
    <w:rsid w:val="004A399F"/>
    <w:rsid w:val="004A405B"/>
    <w:rsid w:val="004A4096"/>
    <w:rsid w:val="004A4516"/>
    <w:rsid w:val="004A4692"/>
    <w:rsid w:val="004A5912"/>
    <w:rsid w:val="004A669F"/>
    <w:rsid w:val="004A6842"/>
    <w:rsid w:val="004A718C"/>
    <w:rsid w:val="004A71C1"/>
    <w:rsid w:val="004A722D"/>
    <w:rsid w:val="004A7DBE"/>
    <w:rsid w:val="004A7E0C"/>
    <w:rsid w:val="004A7F94"/>
    <w:rsid w:val="004B08AC"/>
    <w:rsid w:val="004B0D88"/>
    <w:rsid w:val="004B1C0D"/>
    <w:rsid w:val="004B206E"/>
    <w:rsid w:val="004B229E"/>
    <w:rsid w:val="004B29C2"/>
    <w:rsid w:val="004B29E1"/>
    <w:rsid w:val="004B2C52"/>
    <w:rsid w:val="004B2F46"/>
    <w:rsid w:val="004B395D"/>
    <w:rsid w:val="004B4194"/>
    <w:rsid w:val="004B457E"/>
    <w:rsid w:val="004B55F0"/>
    <w:rsid w:val="004B56C3"/>
    <w:rsid w:val="004B6928"/>
    <w:rsid w:val="004B6DD8"/>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2133"/>
    <w:rsid w:val="0052292E"/>
    <w:rsid w:val="005232E0"/>
    <w:rsid w:val="0052373B"/>
    <w:rsid w:val="0052390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FDA"/>
    <w:rsid w:val="00533EE8"/>
    <w:rsid w:val="0053417D"/>
    <w:rsid w:val="00534689"/>
    <w:rsid w:val="00534821"/>
    <w:rsid w:val="0053490C"/>
    <w:rsid w:val="00535585"/>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B42"/>
    <w:rsid w:val="0054612B"/>
    <w:rsid w:val="00547753"/>
    <w:rsid w:val="005479F5"/>
    <w:rsid w:val="00547D90"/>
    <w:rsid w:val="005508EF"/>
    <w:rsid w:val="005510E3"/>
    <w:rsid w:val="0055173F"/>
    <w:rsid w:val="00551AE8"/>
    <w:rsid w:val="00551D57"/>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80C"/>
    <w:rsid w:val="00580A72"/>
    <w:rsid w:val="0058107B"/>
    <w:rsid w:val="0058149F"/>
    <w:rsid w:val="0058161B"/>
    <w:rsid w:val="005817A5"/>
    <w:rsid w:val="00581DF3"/>
    <w:rsid w:val="00581E5D"/>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A01E7"/>
    <w:rsid w:val="005A02C8"/>
    <w:rsid w:val="005A09E5"/>
    <w:rsid w:val="005A1473"/>
    <w:rsid w:val="005A1923"/>
    <w:rsid w:val="005A19FF"/>
    <w:rsid w:val="005A2074"/>
    <w:rsid w:val="005A24AE"/>
    <w:rsid w:val="005A3394"/>
    <w:rsid w:val="005A403A"/>
    <w:rsid w:val="005A41EB"/>
    <w:rsid w:val="005A43BE"/>
    <w:rsid w:val="005A4624"/>
    <w:rsid w:val="005A5011"/>
    <w:rsid w:val="005A508D"/>
    <w:rsid w:val="005A60BA"/>
    <w:rsid w:val="005A761B"/>
    <w:rsid w:val="005B096F"/>
    <w:rsid w:val="005B0987"/>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6F9A"/>
    <w:rsid w:val="005B7331"/>
    <w:rsid w:val="005B75A5"/>
    <w:rsid w:val="005B75B6"/>
    <w:rsid w:val="005B7909"/>
    <w:rsid w:val="005B7F6E"/>
    <w:rsid w:val="005C05F1"/>
    <w:rsid w:val="005C12AC"/>
    <w:rsid w:val="005C13A3"/>
    <w:rsid w:val="005C18A6"/>
    <w:rsid w:val="005C1C90"/>
    <w:rsid w:val="005C1CEF"/>
    <w:rsid w:val="005C1F6E"/>
    <w:rsid w:val="005C241D"/>
    <w:rsid w:val="005C3964"/>
    <w:rsid w:val="005C3D1F"/>
    <w:rsid w:val="005C417A"/>
    <w:rsid w:val="005C428A"/>
    <w:rsid w:val="005C4330"/>
    <w:rsid w:val="005C4787"/>
    <w:rsid w:val="005C5113"/>
    <w:rsid w:val="005C54B8"/>
    <w:rsid w:val="005C557C"/>
    <w:rsid w:val="005C56B7"/>
    <w:rsid w:val="005C5CDF"/>
    <w:rsid w:val="005C677E"/>
    <w:rsid w:val="005C6B0C"/>
    <w:rsid w:val="005C6BD2"/>
    <w:rsid w:val="005C6CD0"/>
    <w:rsid w:val="005C7072"/>
    <w:rsid w:val="005C785E"/>
    <w:rsid w:val="005C78D5"/>
    <w:rsid w:val="005D00B6"/>
    <w:rsid w:val="005D101F"/>
    <w:rsid w:val="005D1247"/>
    <w:rsid w:val="005D19D4"/>
    <w:rsid w:val="005D1D60"/>
    <w:rsid w:val="005D205D"/>
    <w:rsid w:val="005D2F54"/>
    <w:rsid w:val="005D33D2"/>
    <w:rsid w:val="005D353D"/>
    <w:rsid w:val="005D3FD5"/>
    <w:rsid w:val="005D463B"/>
    <w:rsid w:val="005D593D"/>
    <w:rsid w:val="005D6377"/>
    <w:rsid w:val="005D63A5"/>
    <w:rsid w:val="005D69A4"/>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11A0"/>
    <w:rsid w:val="00602475"/>
    <w:rsid w:val="00602A78"/>
    <w:rsid w:val="00602BCA"/>
    <w:rsid w:val="0060305F"/>
    <w:rsid w:val="006034C7"/>
    <w:rsid w:val="00604617"/>
    <w:rsid w:val="00604710"/>
    <w:rsid w:val="00604730"/>
    <w:rsid w:val="006049CE"/>
    <w:rsid w:val="00604AE3"/>
    <w:rsid w:val="00604D1B"/>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C7D"/>
    <w:rsid w:val="0061735F"/>
    <w:rsid w:val="00617A80"/>
    <w:rsid w:val="006205E1"/>
    <w:rsid w:val="006208EE"/>
    <w:rsid w:val="0062091D"/>
    <w:rsid w:val="00620C44"/>
    <w:rsid w:val="0062100E"/>
    <w:rsid w:val="006211A5"/>
    <w:rsid w:val="006219BC"/>
    <w:rsid w:val="00622789"/>
    <w:rsid w:val="00622F8E"/>
    <w:rsid w:val="006233C1"/>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969"/>
    <w:rsid w:val="006C5AB5"/>
    <w:rsid w:val="006C6E36"/>
    <w:rsid w:val="006C705E"/>
    <w:rsid w:val="006C7216"/>
    <w:rsid w:val="006C7266"/>
    <w:rsid w:val="006D021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3D2"/>
    <w:rsid w:val="006E374B"/>
    <w:rsid w:val="006E3B50"/>
    <w:rsid w:val="006E3FE7"/>
    <w:rsid w:val="006E44D3"/>
    <w:rsid w:val="006E4705"/>
    <w:rsid w:val="006E470D"/>
    <w:rsid w:val="006E49DF"/>
    <w:rsid w:val="006E4E81"/>
    <w:rsid w:val="006E510A"/>
    <w:rsid w:val="006E58CF"/>
    <w:rsid w:val="006E6241"/>
    <w:rsid w:val="006E645F"/>
    <w:rsid w:val="006E6F3D"/>
    <w:rsid w:val="006F117D"/>
    <w:rsid w:val="006F1195"/>
    <w:rsid w:val="006F13F3"/>
    <w:rsid w:val="006F1DBD"/>
    <w:rsid w:val="006F1E00"/>
    <w:rsid w:val="006F1F53"/>
    <w:rsid w:val="006F301F"/>
    <w:rsid w:val="006F5847"/>
    <w:rsid w:val="006F5B1A"/>
    <w:rsid w:val="006F5F76"/>
    <w:rsid w:val="006F679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D4E"/>
    <w:rsid w:val="0071717E"/>
    <w:rsid w:val="00717F58"/>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451"/>
    <w:rsid w:val="00726AD6"/>
    <w:rsid w:val="00726B7D"/>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EBF"/>
    <w:rsid w:val="007365ED"/>
    <w:rsid w:val="00736927"/>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D42"/>
    <w:rsid w:val="00761EE2"/>
    <w:rsid w:val="00762390"/>
    <w:rsid w:val="007623B0"/>
    <w:rsid w:val="0076299D"/>
    <w:rsid w:val="00762A7D"/>
    <w:rsid w:val="007636CB"/>
    <w:rsid w:val="00763B9E"/>
    <w:rsid w:val="00764588"/>
    <w:rsid w:val="007648FE"/>
    <w:rsid w:val="00764B39"/>
    <w:rsid w:val="00764CA2"/>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B7E"/>
    <w:rsid w:val="007A03CF"/>
    <w:rsid w:val="007A05A2"/>
    <w:rsid w:val="007A10D6"/>
    <w:rsid w:val="007A12EE"/>
    <w:rsid w:val="007A138C"/>
    <w:rsid w:val="007A1834"/>
    <w:rsid w:val="007A1856"/>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B0F"/>
    <w:rsid w:val="007D40D9"/>
    <w:rsid w:val="007D421B"/>
    <w:rsid w:val="007D4490"/>
    <w:rsid w:val="007D4579"/>
    <w:rsid w:val="007D51EB"/>
    <w:rsid w:val="007D58BB"/>
    <w:rsid w:val="007D6835"/>
    <w:rsid w:val="007D6A93"/>
    <w:rsid w:val="007D6EED"/>
    <w:rsid w:val="007D7CDE"/>
    <w:rsid w:val="007D7DC7"/>
    <w:rsid w:val="007E01AF"/>
    <w:rsid w:val="007E0772"/>
    <w:rsid w:val="007E0A12"/>
    <w:rsid w:val="007E0D31"/>
    <w:rsid w:val="007E0E04"/>
    <w:rsid w:val="007E0EF9"/>
    <w:rsid w:val="007E0FD3"/>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FB3"/>
    <w:rsid w:val="0080026A"/>
    <w:rsid w:val="00800340"/>
    <w:rsid w:val="00800821"/>
    <w:rsid w:val="00800953"/>
    <w:rsid w:val="00801002"/>
    <w:rsid w:val="00801255"/>
    <w:rsid w:val="0080197B"/>
    <w:rsid w:val="00801C1F"/>
    <w:rsid w:val="008021D3"/>
    <w:rsid w:val="00802849"/>
    <w:rsid w:val="00802971"/>
    <w:rsid w:val="008038E3"/>
    <w:rsid w:val="008038F6"/>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B28"/>
    <w:rsid w:val="00811E2C"/>
    <w:rsid w:val="00812862"/>
    <w:rsid w:val="00812A7A"/>
    <w:rsid w:val="0081362B"/>
    <w:rsid w:val="008136E0"/>
    <w:rsid w:val="0081450B"/>
    <w:rsid w:val="0081467F"/>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1B"/>
    <w:rsid w:val="0082488C"/>
    <w:rsid w:val="008251E7"/>
    <w:rsid w:val="00825243"/>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C1F"/>
    <w:rsid w:val="00874C66"/>
    <w:rsid w:val="00874F67"/>
    <w:rsid w:val="00875356"/>
    <w:rsid w:val="00875F4F"/>
    <w:rsid w:val="008760D6"/>
    <w:rsid w:val="008762D8"/>
    <w:rsid w:val="008772D9"/>
    <w:rsid w:val="00877B29"/>
    <w:rsid w:val="008808B9"/>
    <w:rsid w:val="00880B30"/>
    <w:rsid w:val="00880F1D"/>
    <w:rsid w:val="0088172A"/>
    <w:rsid w:val="00881F90"/>
    <w:rsid w:val="00882798"/>
    <w:rsid w:val="00882988"/>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14C4"/>
    <w:rsid w:val="008D1964"/>
    <w:rsid w:val="008D221A"/>
    <w:rsid w:val="008D24D6"/>
    <w:rsid w:val="008D24E1"/>
    <w:rsid w:val="008D3E6A"/>
    <w:rsid w:val="008D53E2"/>
    <w:rsid w:val="008D5908"/>
    <w:rsid w:val="008D5AF1"/>
    <w:rsid w:val="008D61E4"/>
    <w:rsid w:val="008D6A6E"/>
    <w:rsid w:val="008D781F"/>
    <w:rsid w:val="008D7DBE"/>
    <w:rsid w:val="008E02B7"/>
    <w:rsid w:val="008E15B0"/>
    <w:rsid w:val="008E20BE"/>
    <w:rsid w:val="008E22F8"/>
    <w:rsid w:val="008E2317"/>
    <w:rsid w:val="008E241B"/>
    <w:rsid w:val="008E3096"/>
    <w:rsid w:val="008E330C"/>
    <w:rsid w:val="008E332F"/>
    <w:rsid w:val="008E4114"/>
    <w:rsid w:val="008E45EA"/>
    <w:rsid w:val="008E4A1A"/>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EC7"/>
    <w:rsid w:val="00900FFC"/>
    <w:rsid w:val="009011F9"/>
    <w:rsid w:val="00901244"/>
    <w:rsid w:val="00901570"/>
    <w:rsid w:val="00901979"/>
    <w:rsid w:val="00902357"/>
    <w:rsid w:val="0090242A"/>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206F"/>
    <w:rsid w:val="00922482"/>
    <w:rsid w:val="00922A2B"/>
    <w:rsid w:val="00924A6C"/>
    <w:rsid w:val="00924ED4"/>
    <w:rsid w:val="00924F63"/>
    <w:rsid w:val="0092524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52A"/>
    <w:rsid w:val="009577C1"/>
    <w:rsid w:val="009602BA"/>
    <w:rsid w:val="009609CA"/>
    <w:rsid w:val="009615D7"/>
    <w:rsid w:val="00961B0E"/>
    <w:rsid w:val="00962D17"/>
    <w:rsid w:val="00963D17"/>
    <w:rsid w:val="00963D45"/>
    <w:rsid w:val="009640B5"/>
    <w:rsid w:val="00964459"/>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6546"/>
    <w:rsid w:val="00976FCF"/>
    <w:rsid w:val="0097768A"/>
    <w:rsid w:val="00980BAC"/>
    <w:rsid w:val="00980DF0"/>
    <w:rsid w:val="00980F3F"/>
    <w:rsid w:val="00981424"/>
    <w:rsid w:val="00981D1C"/>
    <w:rsid w:val="00982214"/>
    <w:rsid w:val="009823D4"/>
    <w:rsid w:val="00982474"/>
    <w:rsid w:val="00983285"/>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AE0"/>
    <w:rsid w:val="009A6621"/>
    <w:rsid w:val="009A6AEA"/>
    <w:rsid w:val="009A6CC5"/>
    <w:rsid w:val="009B1F3A"/>
    <w:rsid w:val="009B21F9"/>
    <w:rsid w:val="009B2766"/>
    <w:rsid w:val="009B3248"/>
    <w:rsid w:val="009B32F0"/>
    <w:rsid w:val="009B368F"/>
    <w:rsid w:val="009B3EB4"/>
    <w:rsid w:val="009B3F21"/>
    <w:rsid w:val="009B42BE"/>
    <w:rsid w:val="009B5973"/>
    <w:rsid w:val="009B5B48"/>
    <w:rsid w:val="009B62E6"/>
    <w:rsid w:val="009B67C4"/>
    <w:rsid w:val="009B68B1"/>
    <w:rsid w:val="009B6A3F"/>
    <w:rsid w:val="009B6C5A"/>
    <w:rsid w:val="009B71E1"/>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3E6B"/>
    <w:rsid w:val="00A142FE"/>
    <w:rsid w:val="00A15479"/>
    <w:rsid w:val="00A15566"/>
    <w:rsid w:val="00A15B2D"/>
    <w:rsid w:val="00A163CD"/>
    <w:rsid w:val="00A16778"/>
    <w:rsid w:val="00A16B57"/>
    <w:rsid w:val="00A20224"/>
    <w:rsid w:val="00A207CF"/>
    <w:rsid w:val="00A21424"/>
    <w:rsid w:val="00A21997"/>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CF6"/>
    <w:rsid w:val="00A36EC5"/>
    <w:rsid w:val="00A37EDA"/>
    <w:rsid w:val="00A4035D"/>
    <w:rsid w:val="00A413A3"/>
    <w:rsid w:val="00A41DB1"/>
    <w:rsid w:val="00A43270"/>
    <w:rsid w:val="00A436CD"/>
    <w:rsid w:val="00A44299"/>
    <w:rsid w:val="00A4539E"/>
    <w:rsid w:val="00A46080"/>
    <w:rsid w:val="00A461CB"/>
    <w:rsid w:val="00A46C6C"/>
    <w:rsid w:val="00A46EB1"/>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3AE"/>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1D3B"/>
    <w:rsid w:val="00AC2035"/>
    <w:rsid w:val="00AC226A"/>
    <w:rsid w:val="00AC246C"/>
    <w:rsid w:val="00AC2FB2"/>
    <w:rsid w:val="00AC32FB"/>
    <w:rsid w:val="00AC3ADE"/>
    <w:rsid w:val="00AC3F58"/>
    <w:rsid w:val="00AC4C92"/>
    <w:rsid w:val="00AC4E28"/>
    <w:rsid w:val="00AC4E71"/>
    <w:rsid w:val="00AC4F7E"/>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23D9"/>
    <w:rsid w:val="00AF290E"/>
    <w:rsid w:val="00AF29FA"/>
    <w:rsid w:val="00AF37D5"/>
    <w:rsid w:val="00AF381B"/>
    <w:rsid w:val="00AF3F63"/>
    <w:rsid w:val="00AF4326"/>
    <w:rsid w:val="00AF4345"/>
    <w:rsid w:val="00AF463B"/>
    <w:rsid w:val="00AF4CC5"/>
    <w:rsid w:val="00AF5319"/>
    <w:rsid w:val="00AF608B"/>
    <w:rsid w:val="00AF6A59"/>
    <w:rsid w:val="00AF7A12"/>
    <w:rsid w:val="00AF7BDD"/>
    <w:rsid w:val="00B00F8C"/>
    <w:rsid w:val="00B00FEC"/>
    <w:rsid w:val="00B02145"/>
    <w:rsid w:val="00B02F0C"/>
    <w:rsid w:val="00B03776"/>
    <w:rsid w:val="00B03ED8"/>
    <w:rsid w:val="00B0401D"/>
    <w:rsid w:val="00B042D2"/>
    <w:rsid w:val="00B0477D"/>
    <w:rsid w:val="00B04E8D"/>
    <w:rsid w:val="00B04F50"/>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A4"/>
    <w:rsid w:val="00B4106F"/>
    <w:rsid w:val="00B414F1"/>
    <w:rsid w:val="00B41BE7"/>
    <w:rsid w:val="00B424F7"/>
    <w:rsid w:val="00B42568"/>
    <w:rsid w:val="00B4316E"/>
    <w:rsid w:val="00B4339F"/>
    <w:rsid w:val="00B4381B"/>
    <w:rsid w:val="00B4383C"/>
    <w:rsid w:val="00B4403D"/>
    <w:rsid w:val="00B45847"/>
    <w:rsid w:val="00B460A1"/>
    <w:rsid w:val="00B46275"/>
    <w:rsid w:val="00B464C7"/>
    <w:rsid w:val="00B4658A"/>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7043"/>
    <w:rsid w:val="00B677D7"/>
    <w:rsid w:val="00B7095E"/>
    <w:rsid w:val="00B70C27"/>
    <w:rsid w:val="00B70ED8"/>
    <w:rsid w:val="00B710E0"/>
    <w:rsid w:val="00B7162D"/>
    <w:rsid w:val="00B71D76"/>
    <w:rsid w:val="00B71E56"/>
    <w:rsid w:val="00B727DF"/>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392"/>
    <w:rsid w:val="00B955F5"/>
    <w:rsid w:val="00B95663"/>
    <w:rsid w:val="00B95A36"/>
    <w:rsid w:val="00B95CCC"/>
    <w:rsid w:val="00B95F44"/>
    <w:rsid w:val="00B96D3C"/>
    <w:rsid w:val="00B97577"/>
    <w:rsid w:val="00B97F5F"/>
    <w:rsid w:val="00BA00EA"/>
    <w:rsid w:val="00BA041F"/>
    <w:rsid w:val="00BA0FE9"/>
    <w:rsid w:val="00BA139F"/>
    <w:rsid w:val="00BA1A0B"/>
    <w:rsid w:val="00BA1E85"/>
    <w:rsid w:val="00BA359B"/>
    <w:rsid w:val="00BA3611"/>
    <w:rsid w:val="00BA3A93"/>
    <w:rsid w:val="00BA4D05"/>
    <w:rsid w:val="00BA5165"/>
    <w:rsid w:val="00BA5599"/>
    <w:rsid w:val="00BA5A40"/>
    <w:rsid w:val="00BA5FD5"/>
    <w:rsid w:val="00BA62AB"/>
    <w:rsid w:val="00BA7E0B"/>
    <w:rsid w:val="00BB0DE3"/>
    <w:rsid w:val="00BB0EA0"/>
    <w:rsid w:val="00BB10CD"/>
    <w:rsid w:val="00BB10F0"/>
    <w:rsid w:val="00BB122E"/>
    <w:rsid w:val="00BB1CE7"/>
    <w:rsid w:val="00BB25BB"/>
    <w:rsid w:val="00BB4A6F"/>
    <w:rsid w:val="00BB56B1"/>
    <w:rsid w:val="00BB5759"/>
    <w:rsid w:val="00BB5A30"/>
    <w:rsid w:val="00BB5B98"/>
    <w:rsid w:val="00BB7BAC"/>
    <w:rsid w:val="00BB7BCF"/>
    <w:rsid w:val="00BC08D8"/>
    <w:rsid w:val="00BC08FC"/>
    <w:rsid w:val="00BC202D"/>
    <w:rsid w:val="00BC213B"/>
    <w:rsid w:val="00BC2651"/>
    <w:rsid w:val="00BC2964"/>
    <w:rsid w:val="00BC3112"/>
    <w:rsid w:val="00BC3776"/>
    <w:rsid w:val="00BC3B17"/>
    <w:rsid w:val="00BC3D8E"/>
    <w:rsid w:val="00BC3E7F"/>
    <w:rsid w:val="00BC41B5"/>
    <w:rsid w:val="00BC42AB"/>
    <w:rsid w:val="00BC4C63"/>
    <w:rsid w:val="00BC54D1"/>
    <w:rsid w:val="00BC6308"/>
    <w:rsid w:val="00BC63FE"/>
    <w:rsid w:val="00BC666D"/>
    <w:rsid w:val="00BC67A4"/>
    <w:rsid w:val="00BC6B4D"/>
    <w:rsid w:val="00BC6C4F"/>
    <w:rsid w:val="00BC76AA"/>
    <w:rsid w:val="00BC7987"/>
    <w:rsid w:val="00BD1290"/>
    <w:rsid w:val="00BD17E7"/>
    <w:rsid w:val="00BD1881"/>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F80"/>
    <w:rsid w:val="00C01250"/>
    <w:rsid w:val="00C01619"/>
    <w:rsid w:val="00C03041"/>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E26"/>
    <w:rsid w:val="00C56A84"/>
    <w:rsid w:val="00C575E8"/>
    <w:rsid w:val="00C5777E"/>
    <w:rsid w:val="00C57EB0"/>
    <w:rsid w:val="00C60984"/>
    <w:rsid w:val="00C60E33"/>
    <w:rsid w:val="00C610C7"/>
    <w:rsid w:val="00C6111A"/>
    <w:rsid w:val="00C61801"/>
    <w:rsid w:val="00C618DF"/>
    <w:rsid w:val="00C6318D"/>
    <w:rsid w:val="00C65030"/>
    <w:rsid w:val="00C6527B"/>
    <w:rsid w:val="00C652A1"/>
    <w:rsid w:val="00C655E4"/>
    <w:rsid w:val="00C65613"/>
    <w:rsid w:val="00C65738"/>
    <w:rsid w:val="00C6590A"/>
    <w:rsid w:val="00C65FFB"/>
    <w:rsid w:val="00C66663"/>
    <w:rsid w:val="00C667A9"/>
    <w:rsid w:val="00C668D8"/>
    <w:rsid w:val="00C66A49"/>
    <w:rsid w:val="00C66BCD"/>
    <w:rsid w:val="00C66E74"/>
    <w:rsid w:val="00C67029"/>
    <w:rsid w:val="00C67A4B"/>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AE"/>
    <w:rsid w:val="00CD1017"/>
    <w:rsid w:val="00CD129C"/>
    <w:rsid w:val="00CD12BA"/>
    <w:rsid w:val="00CD181E"/>
    <w:rsid w:val="00CD22AB"/>
    <w:rsid w:val="00CD2C45"/>
    <w:rsid w:val="00CD387C"/>
    <w:rsid w:val="00CD4727"/>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F1F"/>
    <w:rsid w:val="00D13207"/>
    <w:rsid w:val="00D13358"/>
    <w:rsid w:val="00D1342C"/>
    <w:rsid w:val="00D142FA"/>
    <w:rsid w:val="00D14873"/>
    <w:rsid w:val="00D14C06"/>
    <w:rsid w:val="00D14CF2"/>
    <w:rsid w:val="00D14DAF"/>
    <w:rsid w:val="00D1564A"/>
    <w:rsid w:val="00D156E5"/>
    <w:rsid w:val="00D15AF0"/>
    <w:rsid w:val="00D16747"/>
    <w:rsid w:val="00D175C7"/>
    <w:rsid w:val="00D17E09"/>
    <w:rsid w:val="00D20150"/>
    <w:rsid w:val="00D20886"/>
    <w:rsid w:val="00D2276B"/>
    <w:rsid w:val="00D22E00"/>
    <w:rsid w:val="00D23172"/>
    <w:rsid w:val="00D23E97"/>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E06"/>
    <w:rsid w:val="00D53650"/>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705"/>
    <w:rsid w:val="00D7173A"/>
    <w:rsid w:val="00D71888"/>
    <w:rsid w:val="00D71B45"/>
    <w:rsid w:val="00D722C1"/>
    <w:rsid w:val="00D72437"/>
    <w:rsid w:val="00D726A5"/>
    <w:rsid w:val="00D727AC"/>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A33"/>
    <w:rsid w:val="00DC3214"/>
    <w:rsid w:val="00DC3579"/>
    <w:rsid w:val="00DC3E0F"/>
    <w:rsid w:val="00DC43AE"/>
    <w:rsid w:val="00DC466F"/>
    <w:rsid w:val="00DC4841"/>
    <w:rsid w:val="00DC4912"/>
    <w:rsid w:val="00DC51EE"/>
    <w:rsid w:val="00DC5533"/>
    <w:rsid w:val="00DC5770"/>
    <w:rsid w:val="00DC59D7"/>
    <w:rsid w:val="00DC5EDB"/>
    <w:rsid w:val="00DC6BB0"/>
    <w:rsid w:val="00DC6E13"/>
    <w:rsid w:val="00DC6E1B"/>
    <w:rsid w:val="00DC7EBE"/>
    <w:rsid w:val="00DD12EF"/>
    <w:rsid w:val="00DD158F"/>
    <w:rsid w:val="00DD16FB"/>
    <w:rsid w:val="00DD235A"/>
    <w:rsid w:val="00DD2381"/>
    <w:rsid w:val="00DD2B1D"/>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201E"/>
    <w:rsid w:val="00DE292D"/>
    <w:rsid w:val="00DE2AA3"/>
    <w:rsid w:val="00DE30D1"/>
    <w:rsid w:val="00DE3B74"/>
    <w:rsid w:val="00DE40F7"/>
    <w:rsid w:val="00DE47DF"/>
    <w:rsid w:val="00DE4D21"/>
    <w:rsid w:val="00DE53D4"/>
    <w:rsid w:val="00DE5EA6"/>
    <w:rsid w:val="00DE5F41"/>
    <w:rsid w:val="00DE61FB"/>
    <w:rsid w:val="00DE66BE"/>
    <w:rsid w:val="00DE6B6A"/>
    <w:rsid w:val="00DE7185"/>
    <w:rsid w:val="00DE730F"/>
    <w:rsid w:val="00DE731D"/>
    <w:rsid w:val="00DE7A1D"/>
    <w:rsid w:val="00DF0A8D"/>
    <w:rsid w:val="00DF0E97"/>
    <w:rsid w:val="00DF11F0"/>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8CD"/>
    <w:rsid w:val="00E14E22"/>
    <w:rsid w:val="00E14FF5"/>
    <w:rsid w:val="00E15713"/>
    <w:rsid w:val="00E16682"/>
    <w:rsid w:val="00E1678A"/>
    <w:rsid w:val="00E174AB"/>
    <w:rsid w:val="00E17549"/>
    <w:rsid w:val="00E17BAE"/>
    <w:rsid w:val="00E17E85"/>
    <w:rsid w:val="00E17E99"/>
    <w:rsid w:val="00E2002A"/>
    <w:rsid w:val="00E2055A"/>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7E87"/>
    <w:rsid w:val="00E60138"/>
    <w:rsid w:val="00E60DE1"/>
    <w:rsid w:val="00E61076"/>
    <w:rsid w:val="00E61347"/>
    <w:rsid w:val="00E6137B"/>
    <w:rsid w:val="00E61812"/>
    <w:rsid w:val="00E61A51"/>
    <w:rsid w:val="00E62CC5"/>
    <w:rsid w:val="00E62CF0"/>
    <w:rsid w:val="00E62E5D"/>
    <w:rsid w:val="00E64F58"/>
    <w:rsid w:val="00E65073"/>
    <w:rsid w:val="00E65E8C"/>
    <w:rsid w:val="00E66152"/>
    <w:rsid w:val="00E66800"/>
    <w:rsid w:val="00E66D78"/>
    <w:rsid w:val="00E673C1"/>
    <w:rsid w:val="00E67C5C"/>
    <w:rsid w:val="00E67E55"/>
    <w:rsid w:val="00E70504"/>
    <w:rsid w:val="00E71198"/>
    <w:rsid w:val="00E71D9F"/>
    <w:rsid w:val="00E71E4F"/>
    <w:rsid w:val="00E72486"/>
    <w:rsid w:val="00E724EF"/>
    <w:rsid w:val="00E7264E"/>
    <w:rsid w:val="00E72651"/>
    <w:rsid w:val="00E734F5"/>
    <w:rsid w:val="00E73957"/>
    <w:rsid w:val="00E73C90"/>
    <w:rsid w:val="00E73D3A"/>
    <w:rsid w:val="00E7412C"/>
    <w:rsid w:val="00E743A1"/>
    <w:rsid w:val="00E74AA1"/>
    <w:rsid w:val="00E74BC5"/>
    <w:rsid w:val="00E74F05"/>
    <w:rsid w:val="00E7518B"/>
    <w:rsid w:val="00E7593F"/>
    <w:rsid w:val="00E76497"/>
    <w:rsid w:val="00E76C33"/>
    <w:rsid w:val="00E8011B"/>
    <w:rsid w:val="00E801FE"/>
    <w:rsid w:val="00E80768"/>
    <w:rsid w:val="00E80E1E"/>
    <w:rsid w:val="00E82135"/>
    <w:rsid w:val="00E82258"/>
    <w:rsid w:val="00E82862"/>
    <w:rsid w:val="00E82CA0"/>
    <w:rsid w:val="00E82E17"/>
    <w:rsid w:val="00E84AD4"/>
    <w:rsid w:val="00E8534F"/>
    <w:rsid w:val="00E854EA"/>
    <w:rsid w:val="00E85EC9"/>
    <w:rsid w:val="00E86B37"/>
    <w:rsid w:val="00E86BAE"/>
    <w:rsid w:val="00E876A3"/>
    <w:rsid w:val="00E87DC5"/>
    <w:rsid w:val="00E903A5"/>
    <w:rsid w:val="00E90A19"/>
    <w:rsid w:val="00E9106B"/>
    <w:rsid w:val="00E91460"/>
    <w:rsid w:val="00E915F1"/>
    <w:rsid w:val="00E91C42"/>
    <w:rsid w:val="00E92341"/>
    <w:rsid w:val="00E92A08"/>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5D"/>
    <w:rsid w:val="00EA301E"/>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F00922"/>
    <w:rsid w:val="00F00AB8"/>
    <w:rsid w:val="00F0102C"/>
    <w:rsid w:val="00F0106B"/>
    <w:rsid w:val="00F0137B"/>
    <w:rsid w:val="00F0139C"/>
    <w:rsid w:val="00F01591"/>
    <w:rsid w:val="00F020E1"/>
    <w:rsid w:val="00F0221D"/>
    <w:rsid w:val="00F02DE5"/>
    <w:rsid w:val="00F0324F"/>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19F9"/>
    <w:rsid w:val="00F32AF9"/>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E7"/>
    <w:rsid w:val="00F44725"/>
    <w:rsid w:val="00F447EA"/>
    <w:rsid w:val="00F44943"/>
    <w:rsid w:val="00F453DF"/>
    <w:rsid w:val="00F4737E"/>
    <w:rsid w:val="00F47D5F"/>
    <w:rsid w:val="00F47E5F"/>
    <w:rsid w:val="00F50623"/>
    <w:rsid w:val="00F50CE9"/>
    <w:rsid w:val="00F511EE"/>
    <w:rsid w:val="00F515B1"/>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557B"/>
    <w:rsid w:val="00F65F2E"/>
    <w:rsid w:val="00F666B5"/>
    <w:rsid w:val="00F67275"/>
    <w:rsid w:val="00F672C3"/>
    <w:rsid w:val="00F67EF9"/>
    <w:rsid w:val="00F713E2"/>
    <w:rsid w:val="00F7187B"/>
    <w:rsid w:val="00F718A4"/>
    <w:rsid w:val="00F72698"/>
    <w:rsid w:val="00F728AA"/>
    <w:rsid w:val="00F72AD3"/>
    <w:rsid w:val="00F72C8A"/>
    <w:rsid w:val="00F72CA8"/>
    <w:rsid w:val="00F72D90"/>
    <w:rsid w:val="00F74153"/>
    <w:rsid w:val="00F741FA"/>
    <w:rsid w:val="00F7420B"/>
    <w:rsid w:val="00F7430B"/>
    <w:rsid w:val="00F745D9"/>
    <w:rsid w:val="00F7523E"/>
    <w:rsid w:val="00F759D7"/>
    <w:rsid w:val="00F7609A"/>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41"/>
    <w:rsid w:val="00FA1662"/>
    <w:rsid w:val="00FA203F"/>
    <w:rsid w:val="00FA38A1"/>
    <w:rsid w:val="00FA3C01"/>
    <w:rsid w:val="00FA3F41"/>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C0690"/>
    <w:rsid w:val="00FC06BF"/>
    <w:rsid w:val="00FC0AE4"/>
    <w:rsid w:val="00FC0E21"/>
    <w:rsid w:val="00FC1694"/>
    <w:rsid w:val="00FC1CF2"/>
    <w:rsid w:val="00FC2124"/>
    <w:rsid w:val="00FC2576"/>
    <w:rsid w:val="00FC2A8A"/>
    <w:rsid w:val="00FC2E45"/>
    <w:rsid w:val="00FC351E"/>
    <w:rsid w:val="00FC35DE"/>
    <w:rsid w:val="00FC4131"/>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5D0"/>
    <w:rsid w:val="00FD1946"/>
    <w:rsid w:val="00FD2965"/>
    <w:rsid w:val="00FD2A64"/>
    <w:rsid w:val="00FD2CC3"/>
    <w:rsid w:val="00FD3D61"/>
    <w:rsid w:val="00FD436D"/>
    <w:rsid w:val="00FD491D"/>
    <w:rsid w:val="00FD49DB"/>
    <w:rsid w:val="00FD5062"/>
    <w:rsid w:val="00FD57C9"/>
    <w:rsid w:val="00FD5EB1"/>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DD2"/>
    <w:rsid w:val="00FE66DF"/>
    <w:rsid w:val="00FE6845"/>
    <w:rsid w:val="00FE6AD1"/>
    <w:rsid w:val="00FE78FD"/>
    <w:rsid w:val="00FE7BA2"/>
    <w:rsid w:val="00FF0586"/>
    <w:rsid w:val="00FF09BD"/>
    <w:rsid w:val="00FF13EB"/>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95B6"/>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character" w:customStyle="1" w:styleId="PiedepginaCar">
    <w:name w:val="Pie de página Car"/>
    <w:basedOn w:val="Fuentedeprrafopredeter"/>
    <w:link w:val="Piedepgina"/>
    <w:uiPriority w:val="99"/>
    <w:rsid w:val="002557A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21" Type="http://schemas.openxmlformats.org/officeDocument/2006/relationships/header" Target="header2.xml"/><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image" Target="media/image7.gi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javascript:AddMetaDato('2951','Sistema%20de%20indicadores%20c&#237;clic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IGAE\Febrero\Gr&#225;ficas%20IGAE%20(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IGAE\Febrero\Gr&#225;ficas%20IGAE%20(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IGAE\Febrero\Gr&#225;ficas%20IGAE%20(cifras%20desestacionalizada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IGAE\Febrero\Gr&#225;ficas%20IGAE%20(cifras%20desestacionalizadas).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LUGOS\Documents\Monica\INEGI\IGAE\Febrero\Gr&#225;ficas%20IGAE%20(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LUGOS\Documents\Monica\INEGI\IGAE\Gr&#225;ficas%20IGAE%20(cifr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Datos!$C$67:$C$140</c:f>
              <c:numCache>
                <c:formatCode>0.0</c:formatCode>
                <c:ptCount val="74"/>
                <c:pt idx="0">
                  <c:v>100.206655368775</c:v>
                </c:pt>
                <c:pt idx="1">
                  <c:v>101.526109699448</c:v>
                </c:pt>
                <c:pt idx="2">
                  <c:v>101.36304479837401</c:v>
                </c:pt>
                <c:pt idx="3">
                  <c:v>102.307736525275</c:v>
                </c:pt>
                <c:pt idx="4">
                  <c:v>102.878634080474</c:v>
                </c:pt>
                <c:pt idx="5">
                  <c:v>102.479744102628</c:v>
                </c:pt>
                <c:pt idx="6">
                  <c:v>102.910198950761</c:v>
                </c:pt>
                <c:pt idx="7">
                  <c:v>102.72322389365</c:v>
                </c:pt>
                <c:pt idx="8">
                  <c:v>102.786822097868</c:v>
                </c:pt>
                <c:pt idx="9">
                  <c:v>103.882922661891</c:v>
                </c:pt>
                <c:pt idx="10">
                  <c:v>103.871343934126</c:v>
                </c:pt>
                <c:pt idx="11">
                  <c:v>103.99021241494501</c:v>
                </c:pt>
                <c:pt idx="12">
                  <c:v>104.12426272443101</c:v>
                </c:pt>
                <c:pt idx="13">
                  <c:v>104.50815626914201</c:v>
                </c:pt>
                <c:pt idx="14">
                  <c:v>104.408445113152</c:v>
                </c:pt>
                <c:pt idx="15">
                  <c:v>106.060520833122</c:v>
                </c:pt>
                <c:pt idx="16">
                  <c:v>105.102770395354</c:v>
                </c:pt>
                <c:pt idx="17">
                  <c:v>105.367555295355</c:v>
                </c:pt>
                <c:pt idx="18">
                  <c:v>106.38501687016</c:v>
                </c:pt>
                <c:pt idx="19">
                  <c:v>106.59241685924501</c:v>
                </c:pt>
                <c:pt idx="20">
                  <c:v>107.683757483821</c:v>
                </c:pt>
                <c:pt idx="21">
                  <c:v>106.82548987381701</c:v>
                </c:pt>
                <c:pt idx="22">
                  <c:v>105.98628388034101</c:v>
                </c:pt>
                <c:pt idx="23">
                  <c:v>106.532958532547</c:v>
                </c:pt>
                <c:pt idx="24">
                  <c:v>107.180422709051</c:v>
                </c:pt>
                <c:pt idx="25">
                  <c:v>108.162585740325</c:v>
                </c:pt>
                <c:pt idx="26">
                  <c:v>107.523522659992</c:v>
                </c:pt>
                <c:pt idx="27">
                  <c:v>107.491877525126</c:v>
                </c:pt>
                <c:pt idx="28">
                  <c:v>107.66914821743499</c:v>
                </c:pt>
                <c:pt idx="29">
                  <c:v>108.523880098124</c:v>
                </c:pt>
                <c:pt idx="30">
                  <c:v>108.58187431507901</c:v>
                </c:pt>
                <c:pt idx="31">
                  <c:v>108.60980814469301</c:v>
                </c:pt>
                <c:pt idx="32">
                  <c:v>109.295475839068</c:v>
                </c:pt>
                <c:pt idx="33">
                  <c:v>109.87437063031</c:v>
                </c:pt>
                <c:pt idx="34">
                  <c:v>109.692520426069</c:v>
                </c:pt>
                <c:pt idx="35">
                  <c:v>110.384624432397</c:v>
                </c:pt>
                <c:pt idx="36">
                  <c:v>110.65611754739101</c:v>
                </c:pt>
                <c:pt idx="37">
                  <c:v>110.217525208154</c:v>
                </c:pt>
                <c:pt idx="38">
                  <c:v>110.59576890264999</c:v>
                </c:pt>
                <c:pt idx="39">
                  <c:v>110.87935585182601</c:v>
                </c:pt>
                <c:pt idx="40">
                  <c:v>110.291661419503</c:v>
                </c:pt>
                <c:pt idx="41">
                  <c:v>111.010506685465</c:v>
                </c:pt>
                <c:pt idx="42">
                  <c:v>110.271900956876</c:v>
                </c:pt>
                <c:pt idx="43">
                  <c:v>111.321366516111</c:v>
                </c:pt>
                <c:pt idx="44">
                  <c:v>110.082044095989</c:v>
                </c:pt>
                <c:pt idx="45">
                  <c:v>111.137943798409</c:v>
                </c:pt>
                <c:pt idx="46">
                  <c:v>111.79389313730999</c:v>
                </c:pt>
                <c:pt idx="47">
                  <c:v>112.53705295825</c:v>
                </c:pt>
                <c:pt idx="48">
                  <c:v>112.170776915781</c:v>
                </c:pt>
                <c:pt idx="49">
                  <c:v>112.91155354202</c:v>
                </c:pt>
                <c:pt idx="50">
                  <c:v>113.86404025600601</c:v>
                </c:pt>
                <c:pt idx="51">
                  <c:v>112.865179859798</c:v>
                </c:pt>
                <c:pt idx="52">
                  <c:v>113.56840293494299</c:v>
                </c:pt>
                <c:pt idx="53">
                  <c:v>113.063730734346</c:v>
                </c:pt>
                <c:pt idx="54">
                  <c:v>113.417797553867</c:v>
                </c:pt>
                <c:pt idx="55">
                  <c:v>113.399092199687</c:v>
                </c:pt>
                <c:pt idx="56">
                  <c:v>113.3271639764</c:v>
                </c:pt>
                <c:pt idx="57">
                  <c:v>113.181893577807</c:v>
                </c:pt>
                <c:pt idx="58">
                  <c:v>113.41078000592501</c:v>
                </c:pt>
                <c:pt idx="59">
                  <c:v>112.3496330759</c:v>
                </c:pt>
                <c:pt idx="60">
                  <c:v>113.275048981708</c:v>
                </c:pt>
                <c:pt idx="61">
                  <c:v>113.933204976954</c:v>
                </c:pt>
                <c:pt idx="62">
                  <c:v>113.06652738189101</c:v>
                </c:pt>
                <c:pt idx="63">
                  <c:v>113.039329026974</c:v>
                </c:pt>
                <c:pt idx="64">
                  <c:v>113.027282140284</c:v>
                </c:pt>
                <c:pt idx="65">
                  <c:v>113.064222319165</c:v>
                </c:pt>
                <c:pt idx="66">
                  <c:v>113.008175225011</c:v>
                </c:pt>
                <c:pt idx="67">
                  <c:v>112.760596263548</c:v>
                </c:pt>
                <c:pt idx="68">
                  <c:v>112.87817466716</c:v>
                </c:pt>
                <c:pt idx="69">
                  <c:v>112.36097040868</c:v>
                </c:pt>
                <c:pt idx="70">
                  <c:v>112.44902851505699</c:v>
                </c:pt>
                <c:pt idx="71">
                  <c:v>112.43578031391201</c:v>
                </c:pt>
                <c:pt idx="72">
                  <c:v>112.424769967621</c:v>
                </c:pt>
                <c:pt idx="73">
                  <c:v>112.150754715689</c:v>
                </c:pt>
              </c:numCache>
            </c:numRef>
          </c:val>
          <c:extLst>
            <c:ext xmlns:c16="http://schemas.microsoft.com/office/drawing/2014/chart" uri="{C3380CC4-5D6E-409C-BE32-E72D297353CC}">
              <c16:uniqueId val="{00000000-8971-4D43-B301-FF903B57CD09}"/>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Datos!$D$67:$D$140</c:f>
              <c:numCache>
                <c:formatCode>0.0</c:formatCode>
                <c:ptCount val="74"/>
                <c:pt idx="0">
                  <c:v>101.123832469338</c:v>
                </c:pt>
                <c:pt idx="1">
                  <c:v>101.420918827021</c:v>
                </c:pt>
                <c:pt idx="2">
                  <c:v>101.775157421088</c:v>
                </c:pt>
                <c:pt idx="3">
                  <c:v>102.109013315873</c:v>
                </c:pt>
                <c:pt idx="4">
                  <c:v>102.384032293898</c:v>
                </c:pt>
                <c:pt idx="5">
                  <c:v>102.60148884974301</c:v>
                </c:pt>
                <c:pt idx="6">
                  <c:v>102.791608790336</c:v>
                </c:pt>
                <c:pt idx="7">
                  <c:v>102.98240643277001</c:v>
                </c:pt>
                <c:pt idx="8">
                  <c:v>103.20963150517299</c:v>
                </c:pt>
                <c:pt idx="9">
                  <c:v>103.470474126299</c:v>
                </c:pt>
                <c:pt idx="10">
                  <c:v>103.750382940847</c:v>
                </c:pt>
                <c:pt idx="11">
                  <c:v>104.005114895674</c:v>
                </c:pt>
                <c:pt idx="12">
                  <c:v>104.206144361547</c:v>
                </c:pt>
                <c:pt idx="13">
                  <c:v>104.382966026503</c:v>
                </c:pt>
                <c:pt idx="14">
                  <c:v>104.58479320609</c:v>
                </c:pt>
                <c:pt idx="15">
                  <c:v>104.870840430383</c:v>
                </c:pt>
                <c:pt idx="16">
                  <c:v>105.24935891183701</c:v>
                </c:pt>
                <c:pt idx="17">
                  <c:v>105.678828712192</c:v>
                </c:pt>
                <c:pt idx="18">
                  <c:v>106.095317217193</c:v>
                </c:pt>
                <c:pt idx="19">
                  <c:v>106.43367554284499</c:v>
                </c:pt>
                <c:pt idx="20">
                  <c:v>106.661207711225</c:v>
                </c:pt>
                <c:pt idx="21">
                  <c:v>106.792062450415</c:v>
                </c:pt>
                <c:pt idx="22">
                  <c:v>106.87597815469</c:v>
                </c:pt>
                <c:pt idx="23">
                  <c:v>106.94563408566199</c:v>
                </c:pt>
                <c:pt idx="24">
                  <c:v>107.050324526867</c:v>
                </c:pt>
                <c:pt idx="25">
                  <c:v>107.217935448259</c:v>
                </c:pt>
                <c:pt idx="26">
                  <c:v>107.42640616713599</c:v>
                </c:pt>
                <c:pt idx="27">
                  <c:v>107.65759866751699</c:v>
                </c:pt>
                <c:pt idx="28">
                  <c:v>107.916955253154</c:v>
                </c:pt>
                <c:pt idx="29">
                  <c:v>108.2061076568</c:v>
                </c:pt>
                <c:pt idx="30">
                  <c:v>108.529607790706</c:v>
                </c:pt>
                <c:pt idx="31">
                  <c:v>108.899717431083</c:v>
                </c:pt>
                <c:pt idx="32">
                  <c:v>109.28043069207</c:v>
                </c:pt>
                <c:pt idx="33">
                  <c:v>109.634712345392</c:v>
                </c:pt>
                <c:pt idx="34">
                  <c:v>109.953852545052</c:v>
                </c:pt>
                <c:pt idx="35">
                  <c:v>110.213873743958</c:v>
                </c:pt>
                <c:pt idx="36">
                  <c:v>110.41117144392101</c:v>
                </c:pt>
                <c:pt idx="37">
                  <c:v>110.51914979684101</c:v>
                </c:pt>
                <c:pt idx="38">
                  <c:v>110.56801153943501</c:v>
                </c:pt>
                <c:pt idx="39">
                  <c:v>110.601125358953</c:v>
                </c:pt>
                <c:pt idx="40">
                  <c:v>110.63253759446199</c:v>
                </c:pt>
                <c:pt idx="41">
                  <c:v>110.674495504421</c:v>
                </c:pt>
                <c:pt idx="42">
                  <c:v>110.77210534416901</c:v>
                </c:pt>
                <c:pt idx="43">
                  <c:v>110.928674917527</c:v>
                </c:pt>
                <c:pt idx="44">
                  <c:v>111.15423826080701</c:v>
                </c:pt>
                <c:pt idx="45">
                  <c:v>111.45883533991</c:v>
                </c:pt>
                <c:pt idx="46">
                  <c:v>111.79612604170499</c:v>
                </c:pt>
                <c:pt idx="47">
                  <c:v>112.140778655361</c:v>
                </c:pt>
                <c:pt idx="48">
                  <c:v>112.468442319516</c:v>
                </c:pt>
                <c:pt idx="49">
                  <c:v>112.743534317469</c:v>
                </c:pt>
                <c:pt idx="50">
                  <c:v>112.96591362741</c:v>
                </c:pt>
                <c:pt idx="51">
                  <c:v>113.122414289372</c:v>
                </c:pt>
                <c:pt idx="52">
                  <c:v>113.23083529098599</c:v>
                </c:pt>
                <c:pt idx="53">
                  <c:v>113.308580493741</c:v>
                </c:pt>
                <c:pt idx="54">
                  <c:v>113.346177728925</c:v>
                </c:pt>
                <c:pt idx="55">
                  <c:v>113.34615766432501</c:v>
                </c:pt>
                <c:pt idx="56">
                  <c:v>113.330780119857</c:v>
                </c:pt>
                <c:pt idx="57">
                  <c:v>113.298401411847</c:v>
                </c:pt>
                <c:pt idx="58">
                  <c:v>113.259657996244</c:v>
                </c:pt>
                <c:pt idx="59">
                  <c:v>113.219743645344</c:v>
                </c:pt>
                <c:pt idx="60">
                  <c:v>113.17313106957801</c:v>
                </c:pt>
                <c:pt idx="61">
                  <c:v>113.13873291897799</c:v>
                </c:pt>
                <c:pt idx="62">
                  <c:v>113.105908504826</c:v>
                </c:pt>
                <c:pt idx="63">
                  <c:v>113.079987657481</c:v>
                </c:pt>
                <c:pt idx="64">
                  <c:v>113.05265051198499</c:v>
                </c:pt>
                <c:pt idx="65">
                  <c:v>113.007438428415</c:v>
                </c:pt>
                <c:pt idx="66">
                  <c:v>112.928646829019</c:v>
                </c:pt>
                <c:pt idx="67">
                  <c:v>112.826937520725</c:v>
                </c:pt>
                <c:pt idx="68">
                  <c:v>112.70543105302799</c:v>
                </c:pt>
                <c:pt idx="69">
                  <c:v>112.581109504531</c:v>
                </c:pt>
                <c:pt idx="70">
                  <c:v>112.468570595217</c:v>
                </c:pt>
                <c:pt idx="71">
                  <c:v>112.379646037618</c:v>
                </c:pt>
                <c:pt idx="72">
                  <c:v>112.316942083206</c:v>
                </c:pt>
                <c:pt idx="73">
                  <c:v>112.27637494271301</c:v>
                </c:pt>
              </c:numCache>
            </c:numRef>
          </c:val>
          <c:smooth val="0"/>
          <c:extLst>
            <c:ext xmlns:c16="http://schemas.microsoft.com/office/drawing/2014/chart" uri="{C3380CC4-5D6E-409C-BE32-E72D297353CC}">
              <c16:uniqueId val="{00000001-8971-4D43-B301-FF903B57CD09}"/>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63E-2"/>
          <c:y val="2.4582025286054951E-2"/>
          <c:w val="0.90581803245737869"/>
          <c:h val="0.84008107266092058"/>
        </c:manualLayout>
      </c:layout>
      <c:barChart>
        <c:barDir val="col"/>
        <c:grouping val="clustered"/>
        <c:varyColors val="0"/>
        <c:ser>
          <c:idx val="0"/>
          <c:order val="0"/>
          <c:tx>
            <c:strRef>
              <c:f>Datos!$C$5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Datos!$C$67:$C$140</c:f>
              <c:numCache>
                <c:formatCode>0.0</c:formatCode>
                <c:ptCount val="74"/>
                <c:pt idx="0">
                  <c:v>100.206655368775</c:v>
                </c:pt>
                <c:pt idx="1">
                  <c:v>101.526109699448</c:v>
                </c:pt>
                <c:pt idx="2">
                  <c:v>101.36304479837401</c:v>
                </c:pt>
                <c:pt idx="3">
                  <c:v>102.307736525275</c:v>
                </c:pt>
                <c:pt idx="4">
                  <c:v>102.878634080474</c:v>
                </c:pt>
                <c:pt idx="5">
                  <c:v>102.479744102628</c:v>
                </c:pt>
                <c:pt idx="6">
                  <c:v>102.910198950761</c:v>
                </c:pt>
                <c:pt idx="7">
                  <c:v>102.72322389365</c:v>
                </c:pt>
                <c:pt idx="8">
                  <c:v>102.786822097868</c:v>
                </c:pt>
                <c:pt idx="9">
                  <c:v>103.882922661891</c:v>
                </c:pt>
                <c:pt idx="10">
                  <c:v>103.871343934126</c:v>
                </c:pt>
                <c:pt idx="11">
                  <c:v>103.99021241494501</c:v>
                </c:pt>
                <c:pt idx="12">
                  <c:v>104.12426272443101</c:v>
                </c:pt>
                <c:pt idx="13">
                  <c:v>104.50815626914201</c:v>
                </c:pt>
                <c:pt idx="14">
                  <c:v>104.408445113152</c:v>
                </c:pt>
                <c:pt idx="15">
                  <c:v>106.060520833122</c:v>
                </c:pt>
                <c:pt idx="16">
                  <c:v>105.102770395354</c:v>
                </c:pt>
                <c:pt idx="17">
                  <c:v>105.367555295355</c:v>
                </c:pt>
                <c:pt idx="18">
                  <c:v>106.38501687016</c:v>
                </c:pt>
                <c:pt idx="19">
                  <c:v>106.59241685924501</c:v>
                </c:pt>
                <c:pt idx="20">
                  <c:v>107.683757483821</c:v>
                </c:pt>
                <c:pt idx="21">
                  <c:v>106.82548987381701</c:v>
                </c:pt>
                <c:pt idx="22">
                  <c:v>105.98628388034101</c:v>
                </c:pt>
                <c:pt idx="23">
                  <c:v>106.532958532547</c:v>
                </c:pt>
                <c:pt idx="24">
                  <c:v>107.180422709051</c:v>
                </c:pt>
                <c:pt idx="25">
                  <c:v>108.162585740325</c:v>
                </c:pt>
                <c:pt idx="26">
                  <c:v>107.523522659992</c:v>
                </c:pt>
                <c:pt idx="27">
                  <c:v>107.491877525126</c:v>
                </c:pt>
                <c:pt idx="28">
                  <c:v>107.66914821743499</c:v>
                </c:pt>
                <c:pt idx="29">
                  <c:v>108.523880098124</c:v>
                </c:pt>
                <c:pt idx="30">
                  <c:v>108.58187431507901</c:v>
                </c:pt>
                <c:pt idx="31">
                  <c:v>108.60980814469301</c:v>
                </c:pt>
                <c:pt idx="32">
                  <c:v>109.295475839068</c:v>
                </c:pt>
                <c:pt idx="33">
                  <c:v>109.87437063031</c:v>
                </c:pt>
                <c:pt idx="34">
                  <c:v>109.692520426069</c:v>
                </c:pt>
                <c:pt idx="35">
                  <c:v>110.384624432397</c:v>
                </c:pt>
                <c:pt idx="36">
                  <c:v>110.65611754739101</c:v>
                </c:pt>
                <c:pt idx="37">
                  <c:v>110.217525208154</c:v>
                </c:pt>
                <c:pt idx="38">
                  <c:v>110.59576890264999</c:v>
                </c:pt>
                <c:pt idx="39">
                  <c:v>110.87935585182601</c:v>
                </c:pt>
                <c:pt idx="40">
                  <c:v>110.291661419503</c:v>
                </c:pt>
                <c:pt idx="41">
                  <c:v>111.010506685465</c:v>
                </c:pt>
                <c:pt idx="42">
                  <c:v>110.271900956876</c:v>
                </c:pt>
                <c:pt idx="43">
                  <c:v>111.321366516111</c:v>
                </c:pt>
                <c:pt idx="44">
                  <c:v>110.082044095989</c:v>
                </c:pt>
                <c:pt idx="45">
                  <c:v>111.137943798409</c:v>
                </c:pt>
                <c:pt idx="46">
                  <c:v>111.79389313730999</c:v>
                </c:pt>
                <c:pt idx="47">
                  <c:v>112.53705295825</c:v>
                </c:pt>
                <c:pt idx="48">
                  <c:v>112.170776915781</c:v>
                </c:pt>
                <c:pt idx="49">
                  <c:v>112.91155354202</c:v>
                </c:pt>
                <c:pt idx="50">
                  <c:v>113.86404025600601</c:v>
                </c:pt>
                <c:pt idx="51">
                  <c:v>112.865179859798</c:v>
                </c:pt>
                <c:pt idx="52">
                  <c:v>113.56840293494299</c:v>
                </c:pt>
                <c:pt idx="53">
                  <c:v>113.063730734346</c:v>
                </c:pt>
                <c:pt idx="54">
                  <c:v>113.417797553867</c:v>
                </c:pt>
                <c:pt idx="55">
                  <c:v>113.399092199687</c:v>
                </c:pt>
                <c:pt idx="56">
                  <c:v>113.3271639764</c:v>
                </c:pt>
                <c:pt idx="57">
                  <c:v>113.181893577807</c:v>
                </c:pt>
                <c:pt idx="58">
                  <c:v>113.41078000592501</c:v>
                </c:pt>
                <c:pt idx="59">
                  <c:v>112.3496330759</c:v>
                </c:pt>
                <c:pt idx="60">
                  <c:v>113.275048981708</c:v>
                </c:pt>
                <c:pt idx="61">
                  <c:v>113.933204976954</c:v>
                </c:pt>
                <c:pt idx="62">
                  <c:v>113.06652738189101</c:v>
                </c:pt>
                <c:pt idx="63">
                  <c:v>113.039329026974</c:v>
                </c:pt>
                <c:pt idx="64">
                  <c:v>113.027282140284</c:v>
                </c:pt>
                <c:pt idx="65">
                  <c:v>113.064222319165</c:v>
                </c:pt>
                <c:pt idx="66">
                  <c:v>113.008175225011</c:v>
                </c:pt>
                <c:pt idx="67">
                  <c:v>112.760596263548</c:v>
                </c:pt>
                <c:pt idx="68">
                  <c:v>112.87817466716</c:v>
                </c:pt>
                <c:pt idx="69">
                  <c:v>112.36097040868</c:v>
                </c:pt>
                <c:pt idx="70">
                  <c:v>112.44902851505699</c:v>
                </c:pt>
                <c:pt idx="71">
                  <c:v>112.43578031391201</c:v>
                </c:pt>
                <c:pt idx="72">
                  <c:v>112.424769967621</c:v>
                </c:pt>
                <c:pt idx="73">
                  <c:v>112.150754715689</c:v>
                </c:pt>
              </c:numCache>
            </c:numRef>
          </c:val>
          <c:extLst>
            <c:ext xmlns:c16="http://schemas.microsoft.com/office/drawing/2014/chart" uri="{C3380CC4-5D6E-409C-BE32-E72D297353CC}">
              <c16:uniqueId val="{00000000-8410-43B9-910F-4F43BBCCC5A4}"/>
            </c:ext>
          </c:extLst>
        </c:ser>
        <c:dLbls>
          <c:showLegendKey val="0"/>
          <c:showVal val="1"/>
          <c:showCatName val="0"/>
          <c:showSerName val="0"/>
          <c:showPercent val="0"/>
          <c:showBubbleSize val="0"/>
        </c:dLbls>
        <c:gapWidth val="50"/>
        <c:axId val="653891216"/>
        <c:axId val="653889648"/>
      </c:barChart>
      <c:lineChart>
        <c:grouping val="standard"/>
        <c:varyColors val="0"/>
        <c:ser>
          <c:idx val="1"/>
          <c:order val="1"/>
          <c:tx>
            <c:strRef>
              <c:f>Datos!$D$5</c:f>
              <c:strCache>
                <c:ptCount val="1"/>
                <c:pt idx="0">
                  <c:v>Tendencia-Ciclo</c:v>
                </c:pt>
              </c:strCache>
            </c:strRef>
          </c:tx>
          <c:spPr>
            <a:ln w="15875">
              <a:solidFill>
                <a:srgbClr val="C00000"/>
              </a:solidFill>
              <a:prstDash val="solid"/>
            </a:ln>
          </c:spPr>
          <c:marker>
            <c:symbol val="none"/>
          </c:marker>
          <c:dLbls>
            <c:delete val="1"/>
          </c:dLbls>
          <c:cat>
            <c:multiLvlStrRef>
              <c:f>Datos!$A$67:$B$139</c:f>
              <c:multiLvlStrCache>
                <c:ptCount val="73"/>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lvl>
                <c:lvl>
                  <c:pt idx="0">
                    <c:v>2014</c:v>
                  </c:pt>
                  <c:pt idx="12">
                    <c:v>2015</c:v>
                  </c:pt>
                  <c:pt idx="24">
                    <c:v>2016</c:v>
                  </c:pt>
                  <c:pt idx="36">
                    <c:v>2017</c:v>
                  </c:pt>
                  <c:pt idx="48">
                    <c:v>2018</c:v>
                  </c:pt>
                  <c:pt idx="60">
                    <c:v>2019</c:v>
                  </c:pt>
                  <c:pt idx="72">
                    <c:v>2020</c:v>
                  </c:pt>
                </c:lvl>
              </c:multiLvlStrCache>
            </c:multiLvlStrRef>
          </c:cat>
          <c:val>
            <c:numRef>
              <c:f>Datos!$D$67:$D$140</c:f>
              <c:numCache>
                <c:formatCode>0.0</c:formatCode>
                <c:ptCount val="74"/>
                <c:pt idx="0">
                  <c:v>101.123832469338</c:v>
                </c:pt>
                <c:pt idx="1">
                  <c:v>101.420918827021</c:v>
                </c:pt>
                <c:pt idx="2">
                  <c:v>101.775157421088</c:v>
                </c:pt>
                <c:pt idx="3">
                  <c:v>102.109013315873</c:v>
                </c:pt>
                <c:pt idx="4">
                  <c:v>102.384032293898</c:v>
                </c:pt>
                <c:pt idx="5">
                  <c:v>102.60148884974301</c:v>
                </c:pt>
                <c:pt idx="6">
                  <c:v>102.791608790336</c:v>
                </c:pt>
                <c:pt idx="7">
                  <c:v>102.98240643277001</c:v>
                </c:pt>
                <c:pt idx="8">
                  <c:v>103.20963150517299</c:v>
                </c:pt>
                <c:pt idx="9">
                  <c:v>103.470474126299</c:v>
                </c:pt>
                <c:pt idx="10">
                  <c:v>103.750382940847</c:v>
                </c:pt>
                <c:pt idx="11">
                  <c:v>104.005114895674</c:v>
                </c:pt>
                <c:pt idx="12">
                  <c:v>104.206144361547</c:v>
                </c:pt>
                <c:pt idx="13">
                  <c:v>104.382966026503</c:v>
                </c:pt>
                <c:pt idx="14">
                  <c:v>104.58479320609</c:v>
                </c:pt>
                <c:pt idx="15">
                  <c:v>104.870840430383</c:v>
                </c:pt>
                <c:pt idx="16">
                  <c:v>105.24935891183701</c:v>
                </c:pt>
                <c:pt idx="17">
                  <c:v>105.678828712192</c:v>
                </c:pt>
                <c:pt idx="18">
                  <c:v>106.095317217193</c:v>
                </c:pt>
                <c:pt idx="19">
                  <c:v>106.43367554284499</c:v>
                </c:pt>
                <c:pt idx="20">
                  <c:v>106.661207711225</c:v>
                </c:pt>
                <c:pt idx="21">
                  <c:v>106.792062450415</c:v>
                </c:pt>
                <c:pt idx="22">
                  <c:v>106.87597815469</c:v>
                </c:pt>
                <c:pt idx="23">
                  <c:v>106.94563408566199</c:v>
                </c:pt>
                <c:pt idx="24">
                  <c:v>107.050324526867</c:v>
                </c:pt>
                <c:pt idx="25">
                  <c:v>107.217935448259</c:v>
                </c:pt>
                <c:pt idx="26">
                  <c:v>107.42640616713599</c:v>
                </c:pt>
                <c:pt idx="27">
                  <c:v>107.65759866751699</c:v>
                </c:pt>
                <c:pt idx="28">
                  <c:v>107.916955253154</c:v>
                </c:pt>
                <c:pt idx="29">
                  <c:v>108.2061076568</c:v>
                </c:pt>
                <c:pt idx="30">
                  <c:v>108.529607790706</c:v>
                </c:pt>
                <c:pt idx="31">
                  <c:v>108.899717431083</c:v>
                </c:pt>
                <c:pt idx="32">
                  <c:v>109.28043069207</c:v>
                </c:pt>
                <c:pt idx="33">
                  <c:v>109.634712345392</c:v>
                </c:pt>
                <c:pt idx="34">
                  <c:v>109.953852545052</c:v>
                </c:pt>
                <c:pt idx="35">
                  <c:v>110.213873743958</c:v>
                </c:pt>
                <c:pt idx="36">
                  <c:v>110.41117144392101</c:v>
                </c:pt>
                <c:pt idx="37">
                  <c:v>110.51914979684101</c:v>
                </c:pt>
                <c:pt idx="38">
                  <c:v>110.56801153943501</c:v>
                </c:pt>
                <c:pt idx="39">
                  <c:v>110.601125358953</c:v>
                </c:pt>
                <c:pt idx="40">
                  <c:v>110.63253759446199</c:v>
                </c:pt>
                <c:pt idx="41">
                  <c:v>110.674495504421</c:v>
                </c:pt>
                <c:pt idx="42">
                  <c:v>110.77210534416901</c:v>
                </c:pt>
                <c:pt idx="43">
                  <c:v>110.928674917527</c:v>
                </c:pt>
                <c:pt idx="44">
                  <c:v>111.15423826080701</c:v>
                </c:pt>
                <c:pt idx="45">
                  <c:v>111.45883533991</c:v>
                </c:pt>
                <c:pt idx="46">
                  <c:v>111.79612604170499</c:v>
                </c:pt>
                <c:pt idx="47">
                  <c:v>112.140778655361</c:v>
                </c:pt>
                <c:pt idx="48">
                  <c:v>112.468442319516</c:v>
                </c:pt>
                <c:pt idx="49">
                  <c:v>112.743534317469</c:v>
                </c:pt>
                <c:pt idx="50">
                  <c:v>112.96591362741</c:v>
                </c:pt>
                <c:pt idx="51">
                  <c:v>113.122414289372</c:v>
                </c:pt>
                <c:pt idx="52">
                  <c:v>113.23083529098599</c:v>
                </c:pt>
                <c:pt idx="53">
                  <c:v>113.308580493741</c:v>
                </c:pt>
                <c:pt idx="54">
                  <c:v>113.346177728925</c:v>
                </c:pt>
                <c:pt idx="55">
                  <c:v>113.34615766432501</c:v>
                </c:pt>
                <c:pt idx="56">
                  <c:v>113.330780119857</c:v>
                </c:pt>
                <c:pt idx="57">
                  <c:v>113.298401411847</c:v>
                </c:pt>
                <c:pt idx="58">
                  <c:v>113.259657996244</c:v>
                </c:pt>
                <c:pt idx="59">
                  <c:v>113.219743645344</c:v>
                </c:pt>
                <c:pt idx="60">
                  <c:v>113.17313106957801</c:v>
                </c:pt>
                <c:pt idx="61">
                  <c:v>113.13873291897799</c:v>
                </c:pt>
                <c:pt idx="62">
                  <c:v>113.105908504826</c:v>
                </c:pt>
                <c:pt idx="63">
                  <c:v>113.079987657481</c:v>
                </c:pt>
                <c:pt idx="64">
                  <c:v>113.05265051198499</c:v>
                </c:pt>
                <c:pt idx="65">
                  <c:v>113.007438428415</c:v>
                </c:pt>
                <c:pt idx="66">
                  <c:v>112.928646829019</c:v>
                </c:pt>
                <c:pt idx="67">
                  <c:v>112.826937520725</c:v>
                </c:pt>
                <c:pt idx="68">
                  <c:v>112.70543105302799</c:v>
                </c:pt>
                <c:pt idx="69">
                  <c:v>112.581109504531</c:v>
                </c:pt>
                <c:pt idx="70">
                  <c:v>112.468570595217</c:v>
                </c:pt>
                <c:pt idx="71">
                  <c:v>112.379646037618</c:v>
                </c:pt>
                <c:pt idx="72">
                  <c:v>112.316942083206</c:v>
                </c:pt>
                <c:pt idx="73">
                  <c:v>112.27637494271301</c:v>
                </c:pt>
              </c:numCache>
            </c:numRef>
          </c:val>
          <c:smooth val="0"/>
          <c:extLst>
            <c:ext xmlns:c16="http://schemas.microsoft.com/office/drawing/2014/chart" uri="{C3380CC4-5D6E-409C-BE32-E72D297353CC}">
              <c16:uniqueId val="{00000001-8410-43B9-910F-4F43BBCCC5A4}"/>
            </c:ext>
          </c:extLst>
        </c:ser>
        <c:dLbls>
          <c:showLegendKey val="0"/>
          <c:showVal val="1"/>
          <c:showCatName val="0"/>
          <c:showSerName val="0"/>
          <c:showPercent val="0"/>
          <c:showBubbleSize val="0"/>
        </c:dLbls>
        <c:marker val="1"/>
        <c:smooth val="0"/>
        <c:axId val="653891216"/>
        <c:axId val="653889648"/>
      </c:lineChart>
      <c:catAx>
        <c:axId val="65389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648"/>
        <c:crosses val="autoZero"/>
        <c:auto val="1"/>
        <c:lblAlgn val="ctr"/>
        <c:lblOffset val="0"/>
        <c:tickLblSkip val="1"/>
        <c:tickMarkSkip val="12"/>
        <c:noMultiLvlLbl val="1"/>
      </c:catAx>
      <c:valAx>
        <c:axId val="653889648"/>
        <c:scaling>
          <c:orientation val="minMax"/>
          <c:max val="120"/>
          <c:min val="9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121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55061499665447"/>
          <c:w val="0.8962053571428571"/>
          <c:h val="4.1204432779235876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77E-2"/>
          <c:y val="2.4582025286054951E-2"/>
          <c:w val="0.9058180324573788"/>
          <c:h val="0.84287936085932547"/>
        </c:manualLayout>
      </c:layout>
      <c:barChart>
        <c:barDir val="col"/>
        <c:grouping val="clustered"/>
        <c:varyColors val="0"/>
        <c:ser>
          <c:idx val="0"/>
          <c:order val="0"/>
          <c:tx>
            <c:strRef>
              <c:f>Datos!$E$5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Datos!$E$67:$E$140</c:f>
              <c:numCache>
                <c:formatCode>0.0</c:formatCode>
                <c:ptCount val="74"/>
                <c:pt idx="0">
                  <c:v>95.053611942308393</c:v>
                </c:pt>
                <c:pt idx="1">
                  <c:v>105.11076382594899</c:v>
                </c:pt>
                <c:pt idx="2">
                  <c:v>104.499887000374</c:v>
                </c:pt>
                <c:pt idx="3">
                  <c:v>100.68595408533599</c:v>
                </c:pt>
                <c:pt idx="4">
                  <c:v>105.491192231957</c:v>
                </c:pt>
                <c:pt idx="5">
                  <c:v>100.71913480279601</c:v>
                </c:pt>
                <c:pt idx="6">
                  <c:v>107.576337693185</c:v>
                </c:pt>
                <c:pt idx="7">
                  <c:v>103.292446052204</c:v>
                </c:pt>
                <c:pt idx="8">
                  <c:v>103.994658253712</c:v>
                </c:pt>
                <c:pt idx="9">
                  <c:v>104.140864590025</c:v>
                </c:pt>
                <c:pt idx="10">
                  <c:v>104.136655208451</c:v>
                </c:pt>
                <c:pt idx="11">
                  <c:v>105.549686865213</c:v>
                </c:pt>
                <c:pt idx="12">
                  <c:v>105.629383750001</c:v>
                </c:pt>
                <c:pt idx="13">
                  <c:v>104.564034304671</c:v>
                </c:pt>
                <c:pt idx="14">
                  <c:v>104.539997375741</c:v>
                </c:pt>
                <c:pt idx="15">
                  <c:v>105.83955914649501</c:v>
                </c:pt>
                <c:pt idx="16">
                  <c:v>111.015810409381</c:v>
                </c:pt>
                <c:pt idx="17">
                  <c:v>97.575623074521104</c:v>
                </c:pt>
                <c:pt idx="18">
                  <c:v>102.135474508212</c:v>
                </c:pt>
                <c:pt idx="19">
                  <c:v>105.789311624446</c:v>
                </c:pt>
                <c:pt idx="20">
                  <c:v>107.039621836306</c:v>
                </c:pt>
                <c:pt idx="21">
                  <c:v>106.07430767290801</c:v>
                </c:pt>
                <c:pt idx="22">
                  <c:v>101.175128386479</c:v>
                </c:pt>
                <c:pt idx="23">
                  <c:v>107.426941369551</c:v>
                </c:pt>
                <c:pt idx="24">
                  <c:v>105.441021014512</c:v>
                </c:pt>
                <c:pt idx="25">
                  <c:v>108.061321158881</c:v>
                </c:pt>
                <c:pt idx="26">
                  <c:v>103.814309401887</c:v>
                </c:pt>
                <c:pt idx="27">
                  <c:v>107.09708073150701</c:v>
                </c:pt>
                <c:pt idx="28">
                  <c:v>105.340686171187</c:v>
                </c:pt>
                <c:pt idx="29">
                  <c:v>111.889760123046</c:v>
                </c:pt>
                <c:pt idx="30">
                  <c:v>106.89306767535901</c:v>
                </c:pt>
                <c:pt idx="31">
                  <c:v>113.66686460219</c:v>
                </c:pt>
                <c:pt idx="32">
                  <c:v>110.062174322579</c:v>
                </c:pt>
                <c:pt idx="33">
                  <c:v>109.404406370968</c:v>
                </c:pt>
                <c:pt idx="34">
                  <c:v>108.99731640074</c:v>
                </c:pt>
                <c:pt idx="35">
                  <c:v>111.175799480045</c:v>
                </c:pt>
                <c:pt idx="36">
                  <c:v>116.389684006072</c:v>
                </c:pt>
                <c:pt idx="37">
                  <c:v>104.079966811715</c:v>
                </c:pt>
                <c:pt idx="38">
                  <c:v>109.612085124929</c:v>
                </c:pt>
                <c:pt idx="39">
                  <c:v>110.639824698616</c:v>
                </c:pt>
                <c:pt idx="40">
                  <c:v>107.34680013678501</c:v>
                </c:pt>
                <c:pt idx="41">
                  <c:v>117.404824196787</c:v>
                </c:pt>
                <c:pt idx="42">
                  <c:v>111.212682996737</c:v>
                </c:pt>
                <c:pt idx="43">
                  <c:v>110.657771459598</c:v>
                </c:pt>
                <c:pt idx="44">
                  <c:v>112.409003101537</c:v>
                </c:pt>
                <c:pt idx="45">
                  <c:v>113.504074939823</c:v>
                </c:pt>
                <c:pt idx="46">
                  <c:v>116.733359301663</c:v>
                </c:pt>
                <c:pt idx="47">
                  <c:v>112.950246334117</c:v>
                </c:pt>
                <c:pt idx="48">
                  <c:v>117.071682082659</c:v>
                </c:pt>
                <c:pt idx="49">
                  <c:v>114.490525694838</c:v>
                </c:pt>
                <c:pt idx="50">
                  <c:v>116.282723476764</c:v>
                </c:pt>
                <c:pt idx="51">
                  <c:v>115.65259191463601</c:v>
                </c:pt>
                <c:pt idx="52">
                  <c:v>117.51835420682799</c:v>
                </c:pt>
                <c:pt idx="53">
                  <c:v>112.80669315206799</c:v>
                </c:pt>
                <c:pt idx="54">
                  <c:v>112.734594754444</c:v>
                </c:pt>
                <c:pt idx="55">
                  <c:v>112.75706646090801</c:v>
                </c:pt>
                <c:pt idx="56">
                  <c:v>111.728107852028</c:v>
                </c:pt>
                <c:pt idx="57">
                  <c:v>108.014058052588</c:v>
                </c:pt>
                <c:pt idx="58">
                  <c:v>119.66537780418599</c:v>
                </c:pt>
                <c:pt idx="59">
                  <c:v>116.719218810651</c:v>
                </c:pt>
                <c:pt idx="60">
                  <c:v>115.57937001155599</c:v>
                </c:pt>
                <c:pt idx="61">
                  <c:v>121.032376487763</c:v>
                </c:pt>
                <c:pt idx="62">
                  <c:v>117.64854657753099</c:v>
                </c:pt>
                <c:pt idx="63">
                  <c:v>115.144502543716</c:v>
                </c:pt>
                <c:pt idx="64">
                  <c:v>116.463735868005</c:v>
                </c:pt>
                <c:pt idx="65">
                  <c:v>115.70192396836001</c:v>
                </c:pt>
                <c:pt idx="66">
                  <c:v>119.34639403537101</c:v>
                </c:pt>
                <c:pt idx="67">
                  <c:v>116.284299032139</c:v>
                </c:pt>
                <c:pt idx="68">
                  <c:v>120.868409564643</c:v>
                </c:pt>
                <c:pt idx="69">
                  <c:v>118.87892602141</c:v>
                </c:pt>
                <c:pt idx="70">
                  <c:v>116.64237916230201</c:v>
                </c:pt>
                <c:pt idx="71">
                  <c:v>117.478952593066</c:v>
                </c:pt>
                <c:pt idx="72">
                  <c:v>117.675340238429</c:v>
                </c:pt>
                <c:pt idx="73">
                  <c:v>111.01287361902899</c:v>
                </c:pt>
              </c:numCache>
            </c:numRef>
          </c:val>
          <c:extLst>
            <c:ext xmlns:c16="http://schemas.microsoft.com/office/drawing/2014/chart" uri="{C3380CC4-5D6E-409C-BE32-E72D297353CC}">
              <c16:uniqueId val="{00000000-B934-41D0-ADBB-80BA62BAC896}"/>
            </c:ext>
          </c:extLst>
        </c:ser>
        <c:dLbls>
          <c:showLegendKey val="0"/>
          <c:showVal val="1"/>
          <c:showCatName val="0"/>
          <c:showSerName val="0"/>
          <c:showPercent val="0"/>
          <c:showBubbleSize val="0"/>
        </c:dLbls>
        <c:gapWidth val="50"/>
        <c:axId val="653893568"/>
        <c:axId val="653884944"/>
      </c:barChart>
      <c:lineChart>
        <c:grouping val="standard"/>
        <c:varyColors val="0"/>
        <c:ser>
          <c:idx val="1"/>
          <c:order val="1"/>
          <c:tx>
            <c:strRef>
              <c:f>Datos!$F$5</c:f>
              <c:strCache>
                <c:ptCount val="1"/>
                <c:pt idx="0">
                  <c:v>Tendencia-Ciclo</c:v>
                </c:pt>
              </c:strCache>
            </c:strRef>
          </c:tx>
          <c:spPr>
            <a:ln w="15875">
              <a:solidFill>
                <a:srgbClr val="C00000"/>
              </a:solidFill>
              <a:prstDash val="solid"/>
            </a:ln>
          </c:spPr>
          <c:marker>
            <c:symbol val="none"/>
          </c:marker>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Datos!$F$67:$F$140</c:f>
              <c:numCache>
                <c:formatCode>0.0</c:formatCode>
                <c:ptCount val="74"/>
                <c:pt idx="0">
                  <c:v>102.967680658552</c:v>
                </c:pt>
                <c:pt idx="1">
                  <c:v>103.254920244915</c:v>
                </c:pt>
                <c:pt idx="2">
                  <c:v>103.480924551599</c:v>
                </c:pt>
                <c:pt idx="3">
                  <c:v>103.657684419045</c:v>
                </c:pt>
                <c:pt idx="4">
                  <c:v>103.789052024141</c:v>
                </c:pt>
                <c:pt idx="5">
                  <c:v>103.893478219605</c:v>
                </c:pt>
                <c:pt idx="6">
                  <c:v>103.99984606949501</c:v>
                </c:pt>
                <c:pt idx="7">
                  <c:v>104.147957677894</c:v>
                </c:pt>
                <c:pt idx="8">
                  <c:v>104.338578713432</c:v>
                </c:pt>
                <c:pt idx="9">
                  <c:v>104.528417477978</c:v>
                </c:pt>
                <c:pt idx="10">
                  <c:v>104.69221726680399</c:v>
                </c:pt>
                <c:pt idx="11">
                  <c:v>104.849898399609</c:v>
                </c:pt>
                <c:pt idx="12">
                  <c:v>104.981916794988</c:v>
                </c:pt>
                <c:pt idx="13">
                  <c:v>105.076917143383</c:v>
                </c:pt>
                <c:pt idx="14">
                  <c:v>105.118929411555</c:v>
                </c:pt>
                <c:pt idx="15">
                  <c:v>105.13840049668499</c:v>
                </c:pt>
                <c:pt idx="16">
                  <c:v>105.150234443252</c:v>
                </c:pt>
                <c:pt idx="17">
                  <c:v>105.157256185945</c:v>
                </c:pt>
                <c:pt idx="18">
                  <c:v>105.152112768972</c:v>
                </c:pt>
                <c:pt idx="19">
                  <c:v>105.13827481985599</c:v>
                </c:pt>
                <c:pt idx="20">
                  <c:v>105.13413514700601</c:v>
                </c:pt>
                <c:pt idx="21">
                  <c:v>105.161701736257</c:v>
                </c:pt>
                <c:pt idx="22">
                  <c:v>105.25683119475801</c:v>
                </c:pt>
                <c:pt idx="23">
                  <c:v>105.45216420470901</c:v>
                </c:pt>
                <c:pt idx="24">
                  <c:v>105.756449886241</c:v>
                </c:pt>
                <c:pt idx="25">
                  <c:v>106.17523071066699</c:v>
                </c:pt>
                <c:pt idx="26">
                  <c:v>106.705424330791</c:v>
                </c:pt>
                <c:pt idx="27">
                  <c:v>107.311189944394</c:v>
                </c:pt>
                <c:pt idx="28">
                  <c:v>107.938163324225</c:v>
                </c:pt>
                <c:pt idx="29">
                  <c:v>108.55238618349399</c:v>
                </c:pt>
                <c:pt idx="30">
                  <c:v>109.10982422935901</c:v>
                </c:pt>
                <c:pt idx="31">
                  <c:v>109.555200353107</c:v>
                </c:pt>
                <c:pt idx="32">
                  <c:v>109.841772798522</c:v>
                </c:pt>
                <c:pt idx="33">
                  <c:v>109.963767109096</c:v>
                </c:pt>
                <c:pt idx="34">
                  <c:v>109.946811311088</c:v>
                </c:pt>
                <c:pt idx="35">
                  <c:v>109.819944426837</c:v>
                </c:pt>
                <c:pt idx="36">
                  <c:v>109.636371222427</c:v>
                </c:pt>
                <c:pt idx="37">
                  <c:v>109.476048803838</c:v>
                </c:pt>
                <c:pt idx="38">
                  <c:v>109.422951733392</c:v>
                </c:pt>
                <c:pt idx="39">
                  <c:v>109.545608558463</c:v>
                </c:pt>
                <c:pt idx="40">
                  <c:v>109.861233805675</c:v>
                </c:pt>
                <c:pt idx="41">
                  <c:v>110.356015902124</c:v>
                </c:pt>
                <c:pt idx="42">
                  <c:v>111.00273290901301</c:v>
                </c:pt>
                <c:pt idx="43">
                  <c:v>111.77878510876199</c:v>
                </c:pt>
                <c:pt idx="44">
                  <c:v>112.616617623455</c:v>
                </c:pt>
                <c:pt idx="45">
                  <c:v>113.467823795961</c:v>
                </c:pt>
                <c:pt idx="46">
                  <c:v>114.249387289365</c:v>
                </c:pt>
                <c:pt idx="47">
                  <c:v>114.861438964985</c:v>
                </c:pt>
                <c:pt idx="48">
                  <c:v>115.23477440761999</c:v>
                </c:pt>
                <c:pt idx="49">
                  <c:v>115.363485242634</c:v>
                </c:pt>
                <c:pt idx="50">
                  <c:v>115.261109794443</c:v>
                </c:pt>
                <c:pt idx="51">
                  <c:v>114.983087941183</c:v>
                </c:pt>
                <c:pt idx="52">
                  <c:v>114.637602287574</c:v>
                </c:pt>
                <c:pt idx="53">
                  <c:v>114.334159004906</c:v>
                </c:pt>
                <c:pt idx="54">
                  <c:v>114.149920699484</c:v>
                </c:pt>
                <c:pt idx="55">
                  <c:v>114.12844926560901</c:v>
                </c:pt>
                <c:pt idx="56">
                  <c:v>114.29070150081201</c:v>
                </c:pt>
                <c:pt idx="57">
                  <c:v>114.60032861304001</c:v>
                </c:pt>
                <c:pt idx="58">
                  <c:v>115.013402602016</c:v>
                </c:pt>
                <c:pt idx="59">
                  <c:v>115.493846605698</c:v>
                </c:pt>
                <c:pt idx="60">
                  <c:v>116.006549746855</c:v>
                </c:pt>
                <c:pt idx="61">
                  <c:v>116.492494338611</c:v>
                </c:pt>
                <c:pt idx="62">
                  <c:v>116.926545491634</c:v>
                </c:pt>
                <c:pt idx="63">
                  <c:v>117.274810689327</c:v>
                </c:pt>
                <c:pt idx="64">
                  <c:v>117.524634255934</c:v>
                </c:pt>
                <c:pt idx="65">
                  <c:v>117.67930545650501</c:v>
                </c:pt>
                <c:pt idx="66">
                  <c:v>117.77022052463499</c:v>
                </c:pt>
                <c:pt idx="67">
                  <c:v>117.800378538386</c:v>
                </c:pt>
                <c:pt idx="68">
                  <c:v>117.762259104789</c:v>
                </c:pt>
                <c:pt idx="69">
                  <c:v>117.662978224258</c:v>
                </c:pt>
                <c:pt idx="70">
                  <c:v>117.515721387723</c:v>
                </c:pt>
                <c:pt idx="71">
                  <c:v>117.339561177646</c:v>
                </c:pt>
                <c:pt idx="72">
                  <c:v>117.170055067672</c:v>
                </c:pt>
                <c:pt idx="73">
                  <c:v>117.031173834266</c:v>
                </c:pt>
              </c:numCache>
            </c:numRef>
          </c:val>
          <c:smooth val="0"/>
          <c:extLst>
            <c:ext xmlns:c16="http://schemas.microsoft.com/office/drawing/2014/chart" uri="{C3380CC4-5D6E-409C-BE32-E72D297353CC}">
              <c16:uniqueId val="{00000001-B934-41D0-ADBB-80BA62BAC896}"/>
            </c:ext>
          </c:extLst>
        </c:ser>
        <c:dLbls>
          <c:showLegendKey val="0"/>
          <c:showVal val="1"/>
          <c:showCatName val="0"/>
          <c:showSerName val="0"/>
          <c:showPercent val="0"/>
          <c:showBubbleSize val="0"/>
        </c:dLbls>
        <c:marker val="1"/>
        <c:smooth val="0"/>
        <c:axId val="653893568"/>
        <c:axId val="653884944"/>
      </c:lineChart>
      <c:catAx>
        <c:axId val="653893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944"/>
        <c:crosses val="autoZero"/>
        <c:auto val="1"/>
        <c:lblAlgn val="ctr"/>
        <c:lblOffset val="0"/>
        <c:tickLblSkip val="1"/>
        <c:tickMarkSkip val="12"/>
        <c:noMultiLvlLbl val="1"/>
      </c:catAx>
      <c:valAx>
        <c:axId val="653884944"/>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9356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2.4582025286054951E-2"/>
          <c:w val="0.90581803245737891"/>
          <c:h val="0.83788049960439459"/>
        </c:manualLayout>
      </c:layout>
      <c:barChart>
        <c:barDir val="col"/>
        <c:grouping val="clustered"/>
        <c:varyColors val="0"/>
        <c:ser>
          <c:idx val="0"/>
          <c:order val="0"/>
          <c:tx>
            <c:strRef>
              <c:f>Datos!$G$5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Datos!$G$67:$G$140</c:f>
              <c:numCache>
                <c:formatCode>0.0</c:formatCode>
                <c:ptCount val="74"/>
                <c:pt idx="0">
                  <c:v>101.01798370833799</c:v>
                </c:pt>
                <c:pt idx="1">
                  <c:v>101.50281826582101</c:v>
                </c:pt>
                <c:pt idx="2">
                  <c:v>101.856614585606</c:v>
                </c:pt>
                <c:pt idx="3">
                  <c:v>102.60066192102801</c:v>
                </c:pt>
                <c:pt idx="4">
                  <c:v>102.899649644232</c:v>
                </c:pt>
                <c:pt idx="5">
                  <c:v>102.76996841424101</c:v>
                </c:pt>
                <c:pt idx="6">
                  <c:v>102.256161419873</c:v>
                </c:pt>
                <c:pt idx="7">
                  <c:v>102.67299862663199</c:v>
                </c:pt>
                <c:pt idx="8">
                  <c:v>102.79119143199</c:v>
                </c:pt>
                <c:pt idx="9">
                  <c:v>104.06400514726499</c:v>
                </c:pt>
                <c:pt idx="10">
                  <c:v>103.317979263715</c:v>
                </c:pt>
                <c:pt idx="11">
                  <c:v>103.551167559286</c:v>
                </c:pt>
                <c:pt idx="12">
                  <c:v>102.937696588097</c:v>
                </c:pt>
                <c:pt idx="13">
                  <c:v>103.180070446367</c:v>
                </c:pt>
                <c:pt idx="14">
                  <c:v>102.957540323507</c:v>
                </c:pt>
                <c:pt idx="15">
                  <c:v>104.270903019174</c:v>
                </c:pt>
                <c:pt idx="16">
                  <c:v>102.836088351896</c:v>
                </c:pt>
                <c:pt idx="17">
                  <c:v>102.956535209986</c:v>
                </c:pt>
                <c:pt idx="18">
                  <c:v>104.835979988025</c:v>
                </c:pt>
                <c:pt idx="19">
                  <c:v>104.871273124159</c:v>
                </c:pt>
                <c:pt idx="20">
                  <c:v>105.975329371833</c:v>
                </c:pt>
                <c:pt idx="21">
                  <c:v>104.39565961427</c:v>
                </c:pt>
                <c:pt idx="22">
                  <c:v>103.58801311458301</c:v>
                </c:pt>
                <c:pt idx="23">
                  <c:v>104.07718234457001</c:v>
                </c:pt>
                <c:pt idx="24">
                  <c:v>104.351213970263</c:v>
                </c:pt>
                <c:pt idx="25">
                  <c:v>104.44613988616</c:v>
                </c:pt>
                <c:pt idx="26">
                  <c:v>103.90862638034299</c:v>
                </c:pt>
                <c:pt idx="27">
                  <c:v>103.777838386453</c:v>
                </c:pt>
                <c:pt idx="28">
                  <c:v>103.766310673378</c:v>
                </c:pt>
                <c:pt idx="29">
                  <c:v>103.77707635919499</c:v>
                </c:pt>
                <c:pt idx="30">
                  <c:v>103.906674760698</c:v>
                </c:pt>
                <c:pt idx="31">
                  <c:v>103.859512474159</c:v>
                </c:pt>
                <c:pt idx="32">
                  <c:v>103.976991653895</c:v>
                </c:pt>
                <c:pt idx="33">
                  <c:v>104.59748257424501</c:v>
                </c:pt>
                <c:pt idx="34">
                  <c:v>105.409958892381</c:v>
                </c:pt>
                <c:pt idx="35">
                  <c:v>104.43216830546299</c:v>
                </c:pt>
                <c:pt idx="36">
                  <c:v>104.699338148712</c:v>
                </c:pt>
                <c:pt idx="37">
                  <c:v>104.218282469128</c:v>
                </c:pt>
                <c:pt idx="38">
                  <c:v>104.708739583595</c:v>
                </c:pt>
                <c:pt idx="39">
                  <c:v>103.732304863704</c:v>
                </c:pt>
                <c:pt idx="40">
                  <c:v>103.968535792634</c:v>
                </c:pt>
                <c:pt idx="41">
                  <c:v>104.068347948089</c:v>
                </c:pt>
                <c:pt idx="42">
                  <c:v>103.62161414440099</c:v>
                </c:pt>
                <c:pt idx="43">
                  <c:v>104.09524466059101</c:v>
                </c:pt>
                <c:pt idx="44">
                  <c:v>102.65578279697699</c:v>
                </c:pt>
                <c:pt idx="45">
                  <c:v>104.169390433448</c:v>
                </c:pt>
                <c:pt idx="46">
                  <c:v>104.48672616562099</c:v>
                </c:pt>
                <c:pt idx="47">
                  <c:v>105.252615490396</c:v>
                </c:pt>
                <c:pt idx="48">
                  <c:v>104.914987250618</c:v>
                </c:pt>
                <c:pt idx="49">
                  <c:v>105.254507110452</c:v>
                </c:pt>
                <c:pt idx="50">
                  <c:v>105.634670762703</c:v>
                </c:pt>
                <c:pt idx="51">
                  <c:v>104.256586838906</c:v>
                </c:pt>
                <c:pt idx="52">
                  <c:v>106.14260336107</c:v>
                </c:pt>
                <c:pt idx="53">
                  <c:v>104.94932005008</c:v>
                </c:pt>
                <c:pt idx="54">
                  <c:v>104.946112538482</c:v>
                </c:pt>
                <c:pt idx="55">
                  <c:v>104.320977849412</c:v>
                </c:pt>
                <c:pt idx="56">
                  <c:v>104.673314439173</c:v>
                </c:pt>
                <c:pt idx="57">
                  <c:v>103.84905870029201</c:v>
                </c:pt>
                <c:pt idx="58">
                  <c:v>103.422455960739</c:v>
                </c:pt>
                <c:pt idx="59">
                  <c:v>102.294819729887</c:v>
                </c:pt>
                <c:pt idx="60">
                  <c:v>103.563189601102</c:v>
                </c:pt>
                <c:pt idx="61">
                  <c:v>104.684296611994</c:v>
                </c:pt>
                <c:pt idx="62">
                  <c:v>102.981284712554</c:v>
                </c:pt>
                <c:pt idx="63">
                  <c:v>103.851680227128</c:v>
                </c:pt>
                <c:pt idx="64">
                  <c:v>102.671356244188</c:v>
                </c:pt>
                <c:pt idx="65">
                  <c:v>102.738491994269</c:v>
                </c:pt>
                <c:pt idx="66">
                  <c:v>102.46928117057899</c:v>
                </c:pt>
                <c:pt idx="67">
                  <c:v>103.355513833345</c:v>
                </c:pt>
                <c:pt idx="68">
                  <c:v>102.394240318857</c:v>
                </c:pt>
                <c:pt idx="69">
                  <c:v>100.774904990922</c:v>
                </c:pt>
                <c:pt idx="70">
                  <c:v>101.620098970283</c:v>
                </c:pt>
                <c:pt idx="71">
                  <c:v>101.313209261122</c:v>
                </c:pt>
                <c:pt idx="72">
                  <c:v>101.613713293535</c:v>
                </c:pt>
                <c:pt idx="73">
                  <c:v>100.997993451531</c:v>
                </c:pt>
              </c:numCache>
            </c:numRef>
          </c:val>
          <c:extLst>
            <c:ext xmlns:c16="http://schemas.microsoft.com/office/drawing/2014/chart" uri="{C3380CC4-5D6E-409C-BE32-E72D297353CC}">
              <c16:uniqueId val="{00000000-11C2-4F3C-8452-6867FDB1DA86}"/>
            </c:ext>
          </c:extLst>
        </c:ser>
        <c:dLbls>
          <c:showLegendKey val="0"/>
          <c:showVal val="1"/>
          <c:showCatName val="0"/>
          <c:showSerName val="0"/>
          <c:showPercent val="0"/>
          <c:showBubbleSize val="0"/>
        </c:dLbls>
        <c:gapWidth val="50"/>
        <c:axId val="653883768"/>
        <c:axId val="653889256"/>
      </c:barChart>
      <c:lineChart>
        <c:grouping val="standard"/>
        <c:varyColors val="0"/>
        <c:ser>
          <c:idx val="1"/>
          <c:order val="1"/>
          <c:tx>
            <c:strRef>
              <c:f>Datos!$H$5</c:f>
              <c:strCache>
                <c:ptCount val="1"/>
                <c:pt idx="0">
                  <c:v>Tendencia-Ciclo</c:v>
                </c:pt>
              </c:strCache>
            </c:strRef>
          </c:tx>
          <c:spPr>
            <a:ln w="15875">
              <a:solidFill>
                <a:srgbClr val="C00000"/>
              </a:solidFill>
              <a:prstDash val="solid"/>
            </a:ln>
          </c:spPr>
          <c:marker>
            <c:symbol val="none"/>
          </c:marker>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Datos!$H$67:$H$140</c:f>
              <c:numCache>
                <c:formatCode>0.0</c:formatCode>
                <c:ptCount val="74"/>
                <c:pt idx="0">
                  <c:v>101.150309720094</c:v>
                </c:pt>
                <c:pt idx="1">
                  <c:v>101.560910587473</c:v>
                </c:pt>
                <c:pt idx="2">
                  <c:v>101.977575976892</c:v>
                </c:pt>
                <c:pt idx="3">
                  <c:v>102.318751829208</c:v>
                </c:pt>
                <c:pt idx="4">
                  <c:v>102.545748629298</c:v>
                </c:pt>
                <c:pt idx="5">
                  <c:v>102.649925067308</c:v>
                </c:pt>
                <c:pt idx="6">
                  <c:v>102.710140468559</c:v>
                </c:pt>
                <c:pt idx="7">
                  <c:v>102.788003435372</c:v>
                </c:pt>
                <c:pt idx="8">
                  <c:v>102.912578018019</c:v>
                </c:pt>
                <c:pt idx="9">
                  <c:v>103.05148349846699</c:v>
                </c:pt>
                <c:pt idx="10">
                  <c:v>103.167238684409</c:v>
                </c:pt>
                <c:pt idx="11">
                  <c:v>103.217627086212</c:v>
                </c:pt>
                <c:pt idx="12">
                  <c:v>103.20355010770101</c:v>
                </c:pt>
                <c:pt idx="13">
                  <c:v>103.19459592603</c:v>
                </c:pt>
                <c:pt idx="14">
                  <c:v>103.28484441377699</c:v>
                </c:pt>
                <c:pt idx="15">
                  <c:v>103.50911461073601</c:v>
                </c:pt>
                <c:pt idx="16">
                  <c:v>103.848270534636</c:v>
                </c:pt>
                <c:pt idx="17">
                  <c:v>104.20437433674699</c:v>
                </c:pt>
                <c:pt idx="18">
                  <c:v>104.464431900067</c:v>
                </c:pt>
                <c:pt idx="19">
                  <c:v>104.562796087086</c:v>
                </c:pt>
                <c:pt idx="20">
                  <c:v>104.528700651737</c:v>
                </c:pt>
                <c:pt idx="21">
                  <c:v>104.418222388673</c:v>
                </c:pt>
                <c:pt idx="22">
                  <c:v>104.296887588543</c:v>
                </c:pt>
                <c:pt idx="23">
                  <c:v>104.19764728381</c:v>
                </c:pt>
                <c:pt idx="24">
                  <c:v>104.137611591085</c:v>
                </c:pt>
                <c:pt idx="25">
                  <c:v>104.088624231944</c:v>
                </c:pt>
                <c:pt idx="26">
                  <c:v>104.01666179311501</c:v>
                </c:pt>
                <c:pt idx="27">
                  <c:v>103.912801979355</c:v>
                </c:pt>
                <c:pt idx="28">
                  <c:v>103.80399729869301</c:v>
                </c:pt>
                <c:pt idx="29">
                  <c:v>103.76457024743399</c:v>
                </c:pt>
                <c:pt idx="30">
                  <c:v>103.841657601788</c:v>
                </c:pt>
                <c:pt idx="31">
                  <c:v>104.024888979934</c:v>
                </c:pt>
                <c:pt idx="32">
                  <c:v>104.245817993809</c:v>
                </c:pt>
                <c:pt idx="33">
                  <c:v>104.45781265340101</c:v>
                </c:pt>
                <c:pt idx="34">
                  <c:v>104.61350033589</c:v>
                </c:pt>
                <c:pt idx="35">
                  <c:v>104.66562746651201</c:v>
                </c:pt>
                <c:pt idx="36">
                  <c:v>104.609746613456</c:v>
                </c:pt>
                <c:pt idx="37">
                  <c:v>104.46189468431299</c:v>
                </c:pt>
                <c:pt idx="38">
                  <c:v>104.27361061828501</c:v>
                </c:pt>
                <c:pt idx="39">
                  <c:v>104.10055238997801</c:v>
                </c:pt>
                <c:pt idx="40">
                  <c:v>103.971049825648</c:v>
                </c:pt>
                <c:pt idx="41">
                  <c:v>103.87807916389001</c:v>
                </c:pt>
                <c:pt idx="42">
                  <c:v>103.84779626897399</c:v>
                </c:pt>
                <c:pt idx="43">
                  <c:v>103.913760492338</c:v>
                </c:pt>
                <c:pt idx="44">
                  <c:v>104.064955492881</c:v>
                </c:pt>
                <c:pt idx="45">
                  <c:v>104.295657263946</c:v>
                </c:pt>
                <c:pt idx="46">
                  <c:v>104.566988400135</c:v>
                </c:pt>
                <c:pt idx="47">
                  <c:v>104.862459994611</c:v>
                </c:pt>
                <c:pt idx="48">
                  <c:v>105.12350584399</c:v>
                </c:pt>
                <c:pt idx="49">
                  <c:v>105.31400709562401</c:v>
                </c:pt>
                <c:pt idx="50">
                  <c:v>105.401175446159</c:v>
                </c:pt>
                <c:pt idx="51">
                  <c:v>105.380200120917</c:v>
                </c:pt>
                <c:pt idx="52">
                  <c:v>105.278783956998</c:v>
                </c:pt>
                <c:pt idx="53">
                  <c:v>105.10379726124999</c:v>
                </c:pt>
                <c:pt idx="54">
                  <c:v>104.855988264456</c:v>
                </c:pt>
                <c:pt idx="55">
                  <c:v>104.55377804637401</c:v>
                </c:pt>
                <c:pt idx="56">
                  <c:v>104.251799242031</c:v>
                </c:pt>
                <c:pt idx="57">
                  <c:v>103.963531554472</c:v>
                </c:pt>
                <c:pt idx="58">
                  <c:v>103.720706241461</c:v>
                </c:pt>
                <c:pt idx="59">
                  <c:v>103.541328947925</c:v>
                </c:pt>
                <c:pt idx="60">
                  <c:v>103.413350793323</c:v>
                </c:pt>
                <c:pt idx="61">
                  <c:v>103.313751982431</c:v>
                </c:pt>
                <c:pt idx="62">
                  <c:v>103.205270506701</c:v>
                </c:pt>
                <c:pt idx="63">
                  <c:v>103.073872853916</c:v>
                </c:pt>
                <c:pt idx="64">
                  <c:v>102.91445648525701</c:v>
                </c:pt>
                <c:pt idx="65">
                  <c:v>102.754330129118</c:v>
                </c:pt>
                <c:pt idx="66">
                  <c:v>102.586880692669</c:v>
                </c:pt>
                <c:pt idx="67">
                  <c:v>102.40571743951099</c:v>
                </c:pt>
                <c:pt idx="68">
                  <c:v>102.208261345453</c:v>
                </c:pt>
                <c:pt idx="69">
                  <c:v>102.001098578163</c:v>
                </c:pt>
                <c:pt idx="70">
                  <c:v>101.77523769878501</c:v>
                </c:pt>
                <c:pt idx="71">
                  <c:v>101.521368551625</c:v>
                </c:pt>
                <c:pt idx="72">
                  <c:v>101.263931986475</c:v>
                </c:pt>
                <c:pt idx="73">
                  <c:v>101.012282788628</c:v>
                </c:pt>
              </c:numCache>
            </c:numRef>
          </c:val>
          <c:smooth val="0"/>
          <c:extLst>
            <c:ext xmlns:c16="http://schemas.microsoft.com/office/drawing/2014/chart" uri="{C3380CC4-5D6E-409C-BE32-E72D297353CC}">
              <c16:uniqueId val="{00000001-11C2-4F3C-8452-6867FDB1DA86}"/>
            </c:ext>
          </c:extLst>
        </c:ser>
        <c:dLbls>
          <c:showLegendKey val="0"/>
          <c:showVal val="1"/>
          <c:showCatName val="0"/>
          <c:showSerName val="0"/>
          <c:showPercent val="0"/>
          <c:showBubbleSize val="0"/>
        </c:dLbls>
        <c:marker val="1"/>
        <c:smooth val="0"/>
        <c:axId val="653883768"/>
        <c:axId val="653889256"/>
      </c:lineChart>
      <c:catAx>
        <c:axId val="653883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9256"/>
        <c:crosses val="autoZero"/>
        <c:auto val="1"/>
        <c:lblAlgn val="ctr"/>
        <c:lblOffset val="0"/>
        <c:tickLblSkip val="1"/>
        <c:tickMarkSkip val="12"/>
        <c:noMultiLvlLbl val="1"/>
      </c:catAx>
      <c:valAx>
        <c:axId val="653889256"/>
        <c:scaling>
          <c:orientation val="minMax"/>
          <c:max val="108"/>
          <c:min val="96"/>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3768"/>
        <c:crosses val="autoZero"/>
        <c:crossBetween val="between"/>
        <c:majorUnit val="3"/>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15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4004E-2"/>
          <c:y val="2.4582025286054951E-2"/>
          <c:w val="0.90581803245737902"/>
          <c:h val="0.83570386908856487"/>
        </c:manualLayout>
      </c:layout>
      <c:barChart>
        <c:barDir val="col"/>
        <c:grouping val="clustered"/>
        <c:varyColors val="0"/>
        <c:ser>
          <c:idx val="0"/>
          <c:order val="0"/>
          <c:tx>
            <c:strRef>
              <c:f>Datos!$I$5</c:f>
              <c:strCache>
                <c:ptCount val="1"/>
                <c:pt idx="0">
                  <c:v>Serie Desestacionalizada</c:v>
                </c:pt>
              </c:strCache>
            </c:strRef>
          </c:tx>
          <c:spPr>
            <a:solidFill>
              <a:srgbClr val="68C050"/>
            </a:solidFill>
            <a:ln w="9525">
              <a:solidFill>
                <a:srgbClr val="008000"/>
              </a:solidFill>
              <a:prstDash val="solid"/>
            </a:ln>
          </c:spPr>
          <c:invertIfNegative val="0"/>
          <c:dLbls>
            <c:delete val="1"/>
          </c:dLbls>
          <c:cat>
            <c:multiLvlStrRef>
              <c:f>Datos!$A$67:$B$140</c:f>
              <c:multiLvlStrCache>
                <c:ptCount val="74"/>
                <c:lvl>
                  <c:pt idx="0">
                    <c:v>E</c:v>
                  </c:pt>
                  <c:pt idx="1">
                    <c:v> 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2014</c:v>
                  </c:pt>
                  <c:pt idx="12">
                    <c:v>2015</c:v>
                  </c:pt>
                  <c:pt idx="24">
                    <c:v>2016</c:v>
                  </c:pt>
                  <c:pt idx="36">
                    <c:v>2017</c:v>
                  </c:pt>
                  <c:pt idx="48">
                    <c:v>2018</c:v>
                  </c:pt>
                  <c:pt idx="60">
                    <c:v>2019</c:v>
                  </c:pt>
                  <c:pt idx="72">
                    <c:v>2020</c:v>
                  </c:pt>
                </c:lvl>
              </c:multiLvlStrCache>
            </c:multiLvlStrRef>
          </c:cat>
          <c:val>
            <c:numRef>
              <c:f>Datos!$I$67:$I$140</c:f>
              <c:numCache>
                <c:formatCode>0.0</c:formatCode>
                <c:ptCount val="74"/>
                <c:pt idx="0">
                  <c:v>100.199215730023</c:v>
                </c:pt>
                <c:pt idx="1">
                  <c:v>101.45781754800799</c:v>
                </c:pt>
                <c:pt idx="2">
                  <c:v>101.219303351075</c:v>
                </c:pt>
                <c:pt idx="3">
                  <c:v>101.964782310776</c:v>
                </c:pt>
                <c:pt idx="4">
                  <c:v>102.86826997765699</c:v>
                </c:pt>
                <c:pt idx="5">
                  <c:v>102.183488416648</c:v>
                </c:pt>
                <c:pt idx="6">
                  <c:v>103.036301858988</c:v>
                </c:pt>
                <c:pt idx="7">
                  <c:v>102.865019794999</c:v>
                </c:pt>
                <c:pt idx="8">
                  <c:v>102.446698808249</c:v>
                </c:pt>
                <c:pt idx="9">
                  <c:v>103.766382701097</c:v>
                </c:pt>
                <c:pt idx="10">
                  <c:v>104.27092414398</c:v>
                </c:pt>
                <c:pt idx="11">
                  <c:v>103.984461868968</c:v>
                </c:pt>
                <c:pt idx="12">
                  <c:v>104.92174264148299</c:v>
                </c:pt>
                <c:pt idx="13">
                  <c:v>105.249624972072</c:v>
                </c:pt>
                <c:pt idx="14">
                  <c:v>105.49064110900299</c:v>
                </c:pt>
                <c:pt idx="15">
                  <c:v>106.60655478352</c:v>
                </c:pt>
                <c:pt idx="16">
                  <c:v>106.233130414019</c:v>
                </c:pt>
                <c:pt idx="17">
                  <c:v>107.00260677236</c:v>
                </c:pt>
                <c:pt idx="18">
                  <c:v>107.406580579093</c:v>
                </c:pt>
                <c:pt idx="19">
                  <c:v>107.655815280735</c:v>
                </c:pt>
                <c:pt idx="20">
                  <c:v>108.369960401036</c:v>
                </c:pt>
                <c:pt idx="21">
                  <c:v>108.26085393165199</c:v>
                </c:pt>
                <c:pt idx="22">
                  <c:v>107.917296353841</c:v>
                </c:pt>
                <c:pt idx="23">
                  <c:v>107.539398845441</c:v>
                </c:pt>
                <c:pt idx="24">
                  <c:v>108.91475725087901</c:v>
                </c:pt>
                <c:pt idx="25">
                  <c:v>110.036588305837</c:v>
                </c:pt>
                <c:pt idx="26">
                  <c:v>109.655060173251</c:v>
                </c:pt>
                <c:pt idx="27">
                  <c:v>109.393769852592</c:v>
                </c:pt>
                <c:pt idx="28">
                  <c:v>110.106030124402</c:v>
                </c:pt>
                <c:pt idx="29">
                  <c:v>110.714155782943</c:v>
                </c:pt>
                <c:pt idx="30">
                  <c:v>111.254754010162</c:v>
                </c:pt>
                <c:pt idx="31">
                  <c:v>111.31076235314499</c:v>
                </c:pt>
                <c:pt idx="32">
                  <c:v>112.15570790167</c:v>
                </c:pt>
                <c:pt idx="33">
                  <c:v>112.65395462149201</c:v>
                </c:pt>
                <c:pt idx="34">
                  <c:v>112.451733060902</c:v>
                </c:pt>
                <c:pt idx="35">
                  <c:v>113.482087653493</c:v>
                </c:pt>
                <c:pt idx="36">
                  <c:v>113.51189688428001</c:v>
                </c:pt>
                <c:pt idx="37">
                  <c:v>113.59444014711799</c:v>
                </c:pt>
                <c:pt idx="38">
                  <c:v>113.69550640288401</c:v>
                </c:pt>
                <c:pt idx="39">
                  <c:v>114.430323741211</c:v>
                </c:pt>
                <c:pt idx="40">
                  <c:v>114.047560224451</c:v>
                </c:pt>
                <c:pt idx="41">
                  <c:v>114.472305892994</c:v>
                </c:pt>
                <c:pt idx="42">
                  <c:v>113.906653357385</c:v>
                </c:pt>
                <c:pt idx="43">
                  <c:v>115.494292992277</c:v>
                </c:pt>
                <c:pt idx="44">
                  <c:v>114.28646911668601</c:v>
                </c:pt>
                <c:pt idx="45">
                  <c:v>114.80980788124199</c:v>
                </c:pt>
                <c:pt idx="46">
                  <c:v>115.643374475724</c:v>
                </c:pt>
                <c:pt idx="47">
                  <c:v>116.480390613393</c:v>
                </c:pt>
                <c:pt idx="48">
                  <c:v>115.677858106987</c:v>
                </c:pt>
                <c:pt idx="49">
                  <c:v>116.80808570646199</c:v>
                </c:pt>
                <c:pt idx="50">
                  <c:v>118.05328431862</c:v>
                </c:pt>
                <c:pt idx="51">
                  <c:v>117.143923619367</c:v>
                </c:pt>
                <c:pt idx="52">
                  <c:v>117.457262756726</c:v>
                </c:pt>
                <c:pt idx="53">
                  <c:v>117.635548846796</c:v>
                </c:pt>
                <c:pt idx="54">
                  <c:v>118.108793683928</c:v>
                </c:pt>
                <c:pt idx="55">
                  <c:v>118.622598144373</c:v>
                </c:pt>
                <c:pt idx="56">
                  <c:v>118.28486366463299</c:v>
                </c:pt>
                <c:pt idx="57">
                  <c:v>118.386884673438</c:v>
                </c:pt>
                <c:pt idx="58">
                  <c:v>118.67159675600701</c:v>
                </c:pt>
                <c:pt idx="59">
                  <c:v>117.52699769899</c:v>
                </c:pt>
                <c:pt idx="60">
                  <c:v>118.349905969698</c:v>
                </c:pt>
                <c:pt idx="61">
                  <c:v>118.40984594187501</c:v>
                </c:pt>
                <c:pt idx="62">
                  <c:v>118.227099630618</c:v>
                </c:pt>
                <c:pt idx="63">
                  <c:v>117.754874520006</c:v>
                </c:pt>
                <c:pt idx="64">
                  <c:v>118.585396790448</c:v>
                </c:pt>
                <c:pt idx="65">
                  <c:v>118.449037878365</c:v>
                </c:pt>
                <c:pt idx="66">
                  <c:v>118.37803637419</c:v>
                </c:pt>
                <c:pt idx="67">
                  <c:v>118.07233771253</c:v>
                </c:pt>
                <c:pt idx="68">
                  <c:v>118.43506662233099</c:v>
                </c:pt>
                <c:pt idx="69">
                  <c:v>118.287803990356</c:v>
                </c:pt>
                <c:pt idx="70">
                  <c:v>118.29525734401</c:v>
                </c:pt>
                <c:pt idx="71">
                  <c:v>118.224007337568</c:v>
                </c:pt>
                <c:pt idx="72">
                  <c:v>118.038792908327</c:v>
                </c:pt>
                <c:pt idx="73">
                  <c:v>118.112555032248</c:v>
                </c:pt>
              </c:numCache>
            </c:numRef>
          </c:val>
          <c:extLst>
            <c:ext xmlns:c16="http://schemas.microsoft.com/office/drawing/2014/chart" uri="{C3380CC4-5D6E-409C-BE32-E72D297353CC}">
              <c16:uniqueId val="{00000000-5658-44EE-A7E0-69ED1FEF238C}"/>
            </c:ext>
          </c:extLst>
        </c:ser>
        <c:dLbls>
          <c:showLegendKey val="0"/>
          <c:showVal val="1"/>
          <c:showCatName val="0"/>
          <c:showSerName val="0"/>
          <c:showPercent val="0"/>
          <c:showBubbleSize val="0"/>
        </c:dLbls>
        <c:gapWidth val="50"/>
        <c:axId val="653884552"/>
        <c:axId val="653885336"/>
      </c:barChart>
      <c:lineChart>
        <c:grouping val="standard"/>
        <c:varyColors val="0"/>
        <c:ser>
          <c:idx val="1"/>
          <c:order val="1"/>
          <c:tx>
            <c:strRef>
              <c:f>Datos!$J$5</c:f>
              <c:strCache>
                <c:ptCount val="1"/>
                <c:pt idx="0">
                  <c:v>Tendencia-Ciclo</c:v>
                </c:pt>
              </c:strCache>
            </c:strRef>
          </c:tx>
          <c:spPr>
            <a:ln w="15875">
              <a:solidFill>
                <a:srgbClr val="C00000"/>
              </a:solidFill>
              <a:prstDash val="solid"/>
            </a:ln>
          </c:spPr>
          <c:marker>
            <c:symbol val="none"/>
          </c:marker>
          <c:dLbls>
            <c:delete val="1"/>
          </c:dLbls>
          <c:cat>
            <c:multiLvlStrRef>
              <c:f>Datos!$A$55:$B$140</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 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2013</c:v>
                  </c:pt>
                  <c:pt idx="12">
                    <c:v>2014</c:v>
                  </c:pt>
                  <c:pt idx="24">
                    <c:v>2015</c:v>
                  </c:pt>
                  <c:pt idx="36">
                    <c:v>2016</c:v>
                  </c:pt>
                  <c:pt idx="48">
                    <c:v>2017</c:v>
                  </c:pt>
                  <c:pt idx="60">
                    <c:v>2018</c:v>
                  </c:pt>
                  <c:pt idx="72">
                    <c:v>2019</c:v>
                  </c:pt>
                  <c:pt idx="84">
                    <c:v>2020</c:v>
                  </c:pt>
                </c:lvl>
              </c:multiLvlStrCache>
            </c:multiLvlStrRef>
          </c:cat>
          <c:val>
            <c:numRef>
              <c:f>Datos!$J$67:$J$140</c:f>
              <c:numCache>
                <c:formatCode>0.0</c:formatCode>
                <c:ptCount val="74"/>
                <c:pt idx="0">
                  <c:v>100.979754893731</c:v>
                </c:pt>
                <c:pt idx="1">
                  <c:v>101.229417578251</c:v>
                </c:pt>
                <c:pt idx="2">
                  <c:v>101.523851519876</c:v>
                </c:pt>
                <c:pt idx="3">
                  <c:v>101.87002364947401</c:v>
                </c:pt>
                <c:pt idx="4">
                  <c:v>102.226859208845</c:v>
                </c:pt>
                <c:pt idx="5">
                  <c:v>102.50622588089701</c:v>
                </c:pt>
                <c:pt idx="6">
                  <c:v>102.72122990477</c:v>
                </c:pt>
                <c:pt idx="7">
                  <c:v>102.960919143032</c:v>
                </c:pt>
                <c:pt idx="8">
                  <c:v>103.27391077487</c:v>
                </c:pt>
                <c:pt idx="9">
                  <c:v>103.622547853055</c:v>
                </c:pt>
                <c:pt idx="10">
                  <c:v>103.99457051829501</c:v>
                </c:pt>
                <c:pt idx="11">
                  <c:v>104.372910971393</c:v>
                </c:pt>
                <c:pt idx="12">
                  <c:v>104.76931624569301</c:v>
                </c:pt>
                <c:pt idx="13">
                  <c:v>105.21231749835</c:v>
                </c:pt>
                <c:pt idx="14">
                  <c:v>105.684524416964</c:v>
                </c:pt>
                <c:pt idx="15">
                  <c:v>106.129403927038</c:v>
                </c:pt>
                <c:pt idx="16">
                  <c:v>106.51940140216</c:v>
                </c:pt>
                <c:pt idx="17">
                  <c:v>106.943228072023</c:v>
                </c:pt>
                <c:pt idx="18">
                  <c:v>107.39830355076499</c:v>
                </c:pt>
                <c:pt idx="19">
                  <c:v>107.798339575984</c:v>
                </c:pt>
                <c:pt idx="20">
                  <c:v>108.059730434095</c:v>
                </c:pt>
                <c:pt idx="21">
                  <c:v>108.167709547981</c:v>
                </c:pt>
                <c:pt idx="22">
                  <c:v>108.277254772288</c:v>
                </c:pt>
                <c:pt idx="23">
                  <c:v>108.50961102649499</c:v>
                </c:pt>
                <c:pt idx="24">
                  <c:v>108.848235665263</c:v>
                </c:pt>
                <c:pt idx="25">
                  <c:v>109.192583529709</c:v>
                </c:pt>
                <c:pt idx="26">
                  <c:v>109.457304541976</c:v>
                </c:pt>
                <c:pt idx="27">
                  <c:v>109.740437089623</c:v>
                </c:pt>
                <c:pt idx="28">
                  <c:v>110.12225153807999</c:v>
                </c:pt>
                <c:pt idx="29">
                  <c:v>110.586095403098</c:v>
                </c:pt>
                <c:pt idx="30">
                  <c:v>111.117189043322</c:v>
                </c:pt>
                <c:pt idx="31">
                  <c:v>111.59977893874</c:v>
                </c:pt>
                <c:pt idx="32">
                  <c:v>112.021005808532</c:v>
                </c:pt>
                <c:pt idx="33">
                  <c:v>112.452260550151</c:v>
                </c:pt>
                <c:pt idx="34">
                  <c:v>112.86888936473601</c:v>
                </c:pt>
                <c:pt idx="35">
                  <c:v>113.191383707219</c:v>
                </c:pt>
                <c:pt idx="36">
                  <c:v>113.454926263686</c:v>
                </c:pt>
                <c:pt idx="37">
                  <c:v>113.69445220090699</c:v>
                </c:pt>
                <c:pt idx="38">
                  <c:v>113.92088342276701</c:v>
                </c:pt>
                <c:pt idx="39">
                  <c:v>114.09070151367401</c:v>
                </c:pt>
                <c:pt idx="40">
                  <c:v>114.21705932762799</c:v>
                </c:pt>
                <c:pt idx="41">
                  <c:v>114.23139184420999</c:v>
                </c:pt>
                <c:pt idx="42">
                  <c:v>114.18591916356</c:v>
                </c:pt>
                <c:pt idx="43">
                  <c:v>114.22090497549</c:v>
                </c:pt>
                <c:pt idx="44">
                  <c:v>114.48019169566599</c:v>
                </c:pt>
                <c:pt idx="45">
                  <c:v>114.95387052940799</c:v>
                </c:pt>
                <c:pt idx="46">
                  <c:v>115.56046298552</c:v>
                </c:pt>
                <c:pt idx="47">
                  <c:v>116.13169543167</c:v>
                </c:pt>
                <c:pt idx="48">
                  <c:v>116.57384978959</c:v>
                </c:pt>
                <c:pt idx="49">
                  <c:v>116.841802936796</c:v>
                </c:pt>
                <c:pt idx="50">
                  <c:v>117.02344828869001</c:v>
                </c:pt>
                <c:pt idx="51">
                  <c:v>117.199862341729</c:v>
                </c:pt>
                <c:pt idx="52">
                  <c:v>117.453780712511</c:v>
                </c:pt>
                <c:pt idx="53">
                  <c:v>117.774981856464</c:v>
                </c:pt>
                <c:pt idx="54">
                  <c:v>118.08879708034399</c:v>
                </c:pt>
                <c:pt idx="55">
                  <c:v>118.340884192765</c:v>
                </c:pt>
                <c:pt idx="56">
                  <c:v>118.465751036372</c:v>
                </c:pt>
                <c:pt idx="57">
                  <c:v>118.46924759714901</c:v>
                </c:pt>
                <c:pt idx="58">
                  <c:v>118.41915219038199</c:v>
                </c:pt>
                <c:pt idx="59">
                  <c:v>118.392566643154</c:v>
                </c:pt>
                <c:pt idx="60">
                  <c:v>118.33553511522</c:v>
                </c:pt>
                <c:pt idx="61">
                  <c:v>118.25097630059599</c:v>
                </c:pt>
                <c:pt idx="62">
                  <c:v>118.221995761077</c:v>
                </c:pt>
                <c:pt idx="63">
                  <c:v>118.271280538916</c:v>
                </c:pt>
                <c:pt idx="64">
                  <c:v>118.323991801652</c:v>
                </c:pt>
                <c:pt idx="65">
                  <c:v>118.36823079339</c:v>
                </c:pt>
                <c:pt idx="66">
                  <c:v>118.361847214481</c:v>
                </c:pt>
                <c:pt idx="67">
                  <c:v>118.313913973453</c:v>
                </c:pt>
                <c:pt idx="68">
                  <c:v>118.287766836663</c:v>
                </c:pt>
                <c:pt idx="69">
                  <c:v>118.29809869021901</c:v>
                </c:pt>
                <c:pt idx="70">
                  <c:v>118.252201340757</c:v>
                </c:pt>
                <c:pt idx="71">
                  <c:v>118.171062335299</c:v>
                </c:pt>
                <c:pt idx="72">
                  <c:v>118.14620302577499</c:v>
                </c:pt>
                <c:pt idx="73">
                  <c:v>118.238411061053</c:v>
                </c:pt>
              </c:numCache>
            </c:numRef>
          </c:val>
          <c:smooth val="0"/>
          <c:extLst>
            <c:ext xmlns:c16="http://schemas.microsoft.com/office/drawing/2014/chart" uri="{C3380CC4-5D6E-409C-BE32-E72D297353CC}">
              <c16:uniqueId val="{00000001-5658-44EE-A7E0-69ED1FEF238C}"/>
            </c:ext>
          </c:extLst>
        </c:ser>
        <c:dLbls>
          <c:showLegendKey val="0"/>
          <c:showVal val="1"/>
          <c:showCatName val="0"/>
          <c:showSerName val="0"/>
          <c:showPercent val="0"/>
          <c:showBubbleSize val="0"/>
        </c:dLbls>
        <c:marker val="1"/>
        <c:smooth val="0"/>
        <c:axId val="653884552"/>
        <c:axId val="653885336"/>
      </c:lineChart>
      <c:catAx>
        <c:axId val="6538845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5336"/>
        <c:crosses val="autoZero"/>
        <c:auto val="1"/>
        <c:lblAlgn val="ctr"/>
        <c:lblOffset val="0"/>
        <c:tickLblSkip val="1"/>
        <c:tickMarkSkip val="12"/>
        <c:noMultiLvlLbl val="1"/>
      </c:catAx>
      <c:valAx>
        <c:axId val="653885336"/>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653884552"/>
        <c:crosses val="autoZero"/>
        <c:crossBetween val="between"/>
        <c:majorUnit val="5"/>
      </c:valAx>
      <c:spPr>
        <a:noFill/>
        <a:ln w="3175">
          <a:solidFill>
            <a:schemeClr val="tx1">
              <a:lumMod val="50000"/>
              <a:lumOff val="50000"/>
            </a:schemeClr>
          </a:solidFill>
        </a:ln>
      </c:spPr>
    </c:plotArea>
    <c:legend>
      <c:legendPos val="r"/>
      <c:layout>
        <c:manualLayout>
          <c:xMode val="edge"/>
          <c:yMode val="edge"/>
          <c:x val="5.9151785714285712E-2"/>
          <c:y val="0.95114885149160511"/>
          <c:w val="0.8962053571428571"/>
          <c:h val="4.5561731254181809E-2"/>
        </c:manualLayout>
      </c:layout>
      <c:overlay val="0"/>
      <c:spPr>
        <a:noFill/>
        <a:ln w="25400">
          <a:noFill/>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9302740453652"/>
          <c:y val="2.3231944444444659E-2"/>
          <c:w val="0.76272635621427776"/>
          <c:h val="0.90149907407407781"/>
        </c:manualLayout>
      </c:layout>
      <c:barChart>
        <c:barDir val="bar"/>
        <c:grouping val="clustered"/>
        <c:varyColors val="0"/>
        <c:ser>
          <c:idx val="0"/>
          <c:order val="0"/>
          <c:tx>
            <c:strRef>
              <c:f>Datos!$I$51</c:f>
              <c:strCache>
                <c:ptCount val="1"/>
                <c:pt idx="0">
                  <c:v>Por Componentes</c:v>
                </c:pt>
              </c:strCache>
            </c:strRef>
          </c:tx>
          <c:spPr>
            <a:solidFill>
              <a:srgbClr val="68C050"/>
            </a:solidFill>
            <a:scene3d>
              <a:camera prst="orthographicFront"/>
              <a:lightRig rig="threePt" dir="t"/>
            </a:scene3d>
            <a:sp3d>
              <a:bevelT w="50800" h="6350"/>
              <a:bevelB w="50800" h="6350"/>
            </a:sp3d>
          </c:spPr>
          <c:invertIfNegative val="0"/>
          <c:dPt>
            <c:idx val="3"/>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1-68E3-4D43-9208-5DAE32E802EF}"/>
              </c:ext>
            </c:extLst>
          </c:dPt>
          <c:dPt>
            <c:idx val="12"/>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3-68E3-4D43-9208-5DAE32E802EF}"/>
              </c:ext>
            </c:extLst>
          </c:dPt>
          <c:dPt>
            <c:idx val="24"/>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5-68E3-4D43-9208-5DAE32E802EF}"/>
              </c:ext>
            </c:extLst>
          </c:dPt>
          <c:dPt>
            <c:idx val="36"/>
            <c:invertIfNegative val="0"/>
            <c:bubble3D val="0"/>
            <c:spPr>
              <a:solidFill>
                <a:srgbClr val="953735"/>
              </a:solidFill>
              <a:scene3d>
                <a:camera prst="orthographicFront"/>
                <a:lightRig rig="threePt" dir="t"/>
              </a:scene3d>
              <a:sp3d>
                <a:bevelT w="50800" h="6350"/>
                <a:bevelB w="50800" h="6350"/>
              </a:sp3d>
            </c:spPr>
            <c:extLst>
              <c:ext xmlns:c16="http://schemas.microsoft.com/office/drawing/2014/chart" uri="{C3380CC4-5D6E-409C-BE32-E72D297353CC}">
                <c16:uniqueId val="{00000007-68E3-4D43-9208-5DAE32E802EF}"/>
              </c:ext>
            </c:extLst>
          </c:dPt>
          <c:dLbls>
            <c:dLbl>
              <c:idx val="0"/>
              <c:layout>
                <c:manualLayout>
                  <c:x val="-5.5549095607235139E-3"/>
                  <c:y val="5.8501683501681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E3-4D43-9208-5DAE32E802EF}"/>
                </c:ext>
              </c:extLst>
            </c:dLbl>
            <c:dLbl>
              <c:idx val="1"/>
              <c:layout>
                <c:manualLayout>
                  <c:x val="-5.4694229112833767E-3"/>
                  <c:y val="-9.79926951405175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E3-4D43-9208-5DAE32E802EF}"/>
                </c:ext>
              </c:extLst>
            </c:dLbl>
            <c:dLbl>
              <c:idx val="2"/>
              <c:layout>
                <c:manualLayout>
                  <c:x val="-1.0938415159345342E-2"/>
                  <c:y val="5.3451178451178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E3-4D43-9208-5DAE32E802EF}"/>
                </c:ext>
              </c:extLst>
            </c:dLbl>
            <c:dLbl>
              <c:idx val="3"/>
              <c:layout>
                <c:manualLayout>
                  <c:x val="-5.469422911283376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E3-4D43-9208-5DAE32E802EF}"/>
                </c:ext>
              </c:extLst>
            </c:dLbl>
            <c:spPr>
              <a:noFill/>
              <a:ln>
                <a:noFill/>
              </a:ln>
              <a:effectLst/>
            </c:spPr>
            <c:txPr>
              <a:bodyPr wrap="square" lIns="38100" tIns="19050" rIns="38100" bIns="19050" anchor="ctr">
                <a:spAutoFit/>
              </a:bodyPr>
              <a:lstStyle/>
              <a:p>
                <a:pPr>
                  <a:defRPr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Datos!$I$52:$I$55</c:f>
              <c:strCache>
                <c:ptCount val="4"/>
                <c:pt idx="0">
                  <c:v>   Actividades Terciarias</c:v>
                </c:pt>
                <c:pt idx="1">
                  <c:v>   Actividades Secundarias</c:v>
                </c:pt>
                <c:pt idx="2">
                  <c:v>   Actividades  Primarias</c:v>
                </c:pt>
                <c:pt idx="3">
                  <c:v>  IGAE</c:v>
                </c:pt>
              </c:strCache>
            </c:strRef>
          </c:cat>
          <c:val>
            <c:numRef>
              <c:f>Datos!$J$52:$J$55</c:f>
              <c:numCache>
                <c:formatCode>#,##0.0</c:formatCode>
                <c:ptCount val="4"/>
                <c:pt idx="0">
                  <c:v>0.39550343462699999</c:v>
                </c:pt>
                <c:pt idx="1">
                  <c:v>-1.8984374766259999</c:v>
                </c:pt>
                <c:pt idx="2">
                  <c:v>-8.4170714396439994</c:v>
                </c:pt>
                <c:pt idx="3">
                  <c:v>-0.62163961417699998</c:v>
                </c:pt>
              </c:numCache>
            </c:numRef>
          </c:val>
          <c:extLst>
            <c:ext xmlns:c16="http://schemas.microsoft.com/office/drawing/2014/chart" uri="{C3380CC4-5D6E-409C-BE32-E72D297353CC}">
              <c16:uniqueId val="{0000000B-68E3-4D43-9208-5DAE32E802EF}"/>
            </c:ext>
          </c:extLst>
        </c:ser>
        <c:dLbls>
          <c:showLegendKey val="0"/>
          <c:showVal val="0"/>
          <c:showCatName val="0"/>
          <c:showSerName val="0"/>
          <c:showPercent val="0"/>
          <c:showBubbleSize val="0"/>
        </c:dLbls>
        <c:gapWidth val="30"/>
        <c:axId val="665998144"/>
        <c:axId val="665995792"/>
      </c:barChart>
      <c:catAx>
        <c:axId val="665998144"/>
        <c:scaling>
          <c:orientation val="minMax"/>
        </c:scaling>
        <c:delete val="0"/>
        <c:axPos val="l"/>
        <c:numFmt formatCode="General" sourceLinked="0"/>
        <c:majorTickMark val="cross"/>
        <c:minorTickMark val="none"/>
        <c:tickLblPos val="low"/>
        <c:spPr>
          <a:ln w="3175">
            <a:solidFill>
              <a:sysClr val="windowText" lastClr="000000"/>
            </a:solidFill>
          </a:ln>
        </c:spPr>
        <c:txPr>
          <a:bodyPr rot="0"/>
          <a:lstStyle/>
          <a:p>
            <a:pPr>
              <a:defRPr sz="700" kern="0" cap="none" spc="0" normalizeH="0" baseline="0"/>
            </a:pPr>
            <a:endParaRPr lang="es-MX"/>
          </a:p>
        </c:txPr>
        <c:crossAx val="665995792"/>
        <c:crosses val="autoZero"/>
        <c:auto val="1"/>
        <c:lblAlgn val="ctr"/>
        <c:lblOffset val="100"/>
        <c:tickLblSkip val="1"/>
        <c:tickMarkSkip val="12"/>
        <c:noMultiLvlLbl val="1"/>
      </c:catAx>
      <c:valAx>
        <c:axId val="665995792"/>
        <c:scaling>
          <c:orientation val="minMax"/>
          <c:max val="2"/>
          <c:min val="-10"/>
        </c:scaling>
        <c:delete val="0"/>
        <c:axPos val="b"/>
        <c:numFmt formatCode="#,##0.0" sourceLinked="1"/>
        <c:majorTickMark val="out"/>
        <c:minorTickMark val="none"/>
        <c:tickLblPos val="low"/>
        <c:spPr>
          <a:ln w="3175">
            <a:solidFill>
              <a:schemeClr val="tx1"/>
            </a:solidFill>
          </a:ln>
        </c:spPr>
        <c:txPr>
          <a:bodyPr/>
          <a:lstStyle/>
          <a:p>
            <a:pPr>
              <a:defRPr sz="600"/>
            </a:pPr>
            <a:endParaRPr lang="es-MX"/>
          </a:p>
        </c:txPr>
        <c:crossAx val="665998144"/>
        <c:crosses val="autoZero"/>
        <c:crossBetween val="between"/>
        <c:majorUnit val="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2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4426F-92E8-430F-8E1B-A0567F1F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1330</Words>
  <Characters>7316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Global de la Actividad Económica</dc:title>
  <dc:creator>INEGI</dc:creator>
  <cp:keywords>PEA Ocupación Desocupación Subocupación</cp:keywords>
  <cp:lastModifiedBy>SALA DE PRENSA</cp:lastModifiedBy>
  <cp:revision>8</cp:revision>
  <cp:lastPrinted>2020-02-21T18:49:00Z</cp:lastPrinted>
  <dcterms:created xsi:type="dcterms:W3CDTF">2020-04-22T13:57:00Z</dcterms:created>
  <dcterms:modified xsi:type="dcterms:W3CDTF">2020-04-23T20:57:00Z</dcterms:modified>
  <cp:category>Encuesta Nacional de Ocupación y Empleo</cp:category>
  <cp:version>1</cp:version>
</cp:coreProperties>
</file>