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2EC5" w14:textId="771A1305" w:rsidR="006A5C88" w:rsidRPr="006A5C88" w:rsidRDefault="00F47EF4" w:rsidP="006A5C88">
      <w:pPr>
        <w:spacing w:after="0" w:line="240" w:lineRule="auto"/>
        <w:ind w:right="333"/>
        <w:jc w:val="center"/>
        <w:rPr>
          <w:rFonts w:ascii="Arial" w:hAnsi="Arial" w:cs="Arial"/>
          <w:b/>
          <w:spacing w:val="4"/>
          <w:sz w:val="24"/>
          <w:szCs w:val="24"/>
        </w:rPr>
      </w:pPr>
      <w:r w:rsidRPr="006A5C88">
        <w:rPr>
          <w:rFonts w:ascii="Arial" w:hAnsi="Arial" w:cs="Arial"/>
          <w:b/>
          <w:spacing w:val="4"/>
          <w:sz w:val="24"/>
          <w:szCs w:val="24"/>
        </w:rPr>
        <w:t>ÍNDICE</w:t>
      </w:r>
      <w:r w:rsidR="00434C12" w:rsidRPr="006A5C88">
        <w:rPr>
          <w:rFonts w:ascii="Arial" w:hAnsi="Arial" w:cs="Arial"/>
          <w:b/>
          <w:spacing w:val="4"/>
          <w:sz w:val="24"/>
          <w:szCs w:val="24"/>
        </w:rPr>
        <w:t>S</w:t>
      </w:r>
      <w:r w:rsidRPr="006A5C88">
        <w:rPr>
          <w:rFonts w:ascii="Arial" w:hAnsi="Arial" w:cs="Arial"/>
          <w:b/>
          <w:spacing w:val="4"/>
          <w:sz w:val="24"/>
          <w:szCs w:val="24"/>
        </w:rPr>
        <w:t xml:space="preserve"> GLOBAL</w:t>
      </w:r>
      <w:r w:rsidR="00434C12" w:rsidRPr="006A5C88">
        <w:rPr>
          <w:rFonts w:ascii="Arial" w:hAnsi="Arial" w:cs="Arial"/>
          <w:b/>
          <w:spacing w:val="4"/>
          <w:sz w:val="24"/>
          <w:szCs w:val="24"/>
        </w:rPr>
        <w:t>ES</w:t>
      </w:r>
      <w:r w:rsidRPr="006A5C88">
        <w:rPr>
          <w:rFonts w:ascii="Arial" w:hAnsi="Arial" w:cs="Arial"/>
          <w:b/>
          <w:spacing w:val="4"/>
          <w:sz w:val="24"/>
          <w:szCs w:val="24"/>
        </w:rPr>
        <w:t xml:space="preserve"> DE PERSONAL </w:t>
      </w:r>
      <w:r w:rsidR="00434C12" w:rsidRPr="006A5C88">
        <w:rPr>
          <w:rFonts w:ascii="Arial" w:hAnsi="Arial" w:cs="Arial"/>
          <w:b/>
          <w:spacing w:val="4"/>
          <w:sz w:val="24"/>
          <w:szCs w:val="24"/>
        </w:rPr>
        <w:t>Y REMUNERACIONES</w:t>
      </w:r>
      <w:r w:rsidR="006A4442" w:rsidRPr="006A5C88">
        <w:rPr>
          <w:rFonts w:ascii="Arial" w:hAnsi="Arial" w:cs="Arial"/>
          <w:b/>
          <w:spacing w:val="4"/>
          <w:sz w:val="24"/>
          <w:szCs w:val="24"/>
        </w:rPr>
        <w:t xml:space="preserve"> </w:t>
      </w:r>
      <w:r w:rsidR="004F6ABE">
        <w:rPr>
          <w:rFonts w:ascii="Arial" w:hAnsi="Arial" w:cs="Arial"/>
          <w:b/>
          <w:spacing w:val="4"/>
          <w:sz w:val="24"/>
          <w:szCs w:val="24"/>
        </w:rPr>
        <w:br/>
      </w:r>
      <w:r w:rsidR="006A4442" w:rsidRPr="006A5C88">
        <w:rPr>
          <w:rFonts w:ascii="Arial" w:hAnsi="Arial" w:cs="Arial"/>
          <w:b/>
          <w:spacing w:val="4"/>
          <w:sz w:val="24"/>
          <w:szCs w:val="24"/>
        </w:rPr>
        <w:t xml:space="preserve">DE LOS SECTORES </w:t>
      </w:r>
      <w:r w:rsidRPr="006A5C88">
        <w:rPr>
          <w:rFonts w:ascii="Arial" w:hAnsi="Arial" w:cs="Arial"/>
          <w:b/>
          <w:spacing w:val="4"/>
          <w:sz w:val="24"/>
          <w:szCs w:val="24"/>
        </w:rPr>
        <w:t>ECONÓMICOS</w:t>
      </w:r>
    </w:p>
    <w:p w14:paraId="1BCD2F22" w14:textId="77777777" w:rsidR="006A5C88" w:rsidRDefault="00F47EF4" w:rsidP="006A5C88">
      <w:pPr>
        <w:spacing w:after="0" w:line="240" w:lineRule="auto"/>
        <w:ind w:right="333"/>
        <w:jc w:val="center"/>
        <w:rPr>
          <w:rFonts w:ascii="Arial" w:hAnsi="Arial" w:cs="Arial"/>
          <w:b/>
          <w:sz w:val="24"/>
          <w:szCs w:val="24"/>
        </w:rPr>
      </w:pPr>
      <w:r>
        <w:rPr>
          <w:rFonts w:ascii="Arial" w:hAnsi="Arial" w:cs="Arial"/>
          <w:b/>
          <w:sz w:val="24"/>
          <w:szCs w:val="24"/>
        </w:rPr>
        <w:t xml:space="preserve">CIFRAS DE </w:t>
      </w:r>
      <w:r w:rsidR="00434C12">
        <w:rPr>
          <w:rFonts w:ascii="Arial" w:hAnsi="Arial" w:cs="Arial"/>
          <w:b/>
          <w:sz w:val="24"/>
          <w:szCs w:val="24"/>
        </w:rPr>
        <w:t>MAYO</w:t>
      </w:r>
      <w:r w:rsidR="00646BAB">
        <w:rPr>
          <w:rFonts w:ascii="Arial" w:hAnsi="Arial" w:cs="Arial"/>
          <w:b/>
          <w:sz w:val="24"/>
          <w:szCs w:val="24"/>
        </w:rPr>
        <w:t xml:space="preserve"> </w:t>
      </w:r>
      <w:r w:rsidR="00C064E0">
        <w:rPr>
          <w:rFonts w:ascii="Arial" w:hAnsi="Arial" w:cs="Arial"/>
          <w:b/>
          <w:sz w:val="24"/>
          <w:szCs w:val="24"/>
        </w:rPr>
        <w:t>DE 20</w:t>
      </w:r>
      <w:r w:rsidR="00D22C48">
        <w:rPr>
          <w:rFonts w:ascii="Arial" w:hAnsi="Arial" w:cs="Arial"/>
          <w:b/>
          <w:sz w:val="24"/>
          <w:szCs w:val="24"/>
        </w:rPr>
        <w:t>20</w:t>
      </w:r>
    </w:p>
    <w:p w14:paraId="24614902" w14:textId="1970E9FC" w:rsidR="00F47EF4" w:rsidRDefault="00F47EF4" w:rsidP="006A5C88">
      <w:pPr>
        <w:spacing w:after="0" w:line="240" w:lineRule="auto"/>
        <w:ind w:right="333"/>
        <w:jc w:val="center"/>
        <w:rPr>
          <w:rFonts w:ascii="Arial" w:hAnsi="Arial" w:cs="Arial"/>
          <w:b/>
          <w:sz w:val="24"/>
          <w:szCs w:val="24"/>
        </w:rPr>
      </w:pPr>
      <w:bookmarkStart w:id="0" w:name="_GoBack"/>
      <w:r w:rsidRPr="003D4858">
        <w:rPr>
          <w:rFonts w:ascii="Arial" w:hAnsi="Arial" w:cs="Arial"/>
          <w:b/>
          <w:sz w:val="24"/>
          <w:szCs w:val="24"/>
        </w:rPr>
        <w:t>(Cifras desestacionalizadas)</w:t>
      </w:r>
    </w:p>
    <w:bookmarkEnd w:id="0"/>
    <w:p w14:paraId="433AA725" w14:textId="77777777" w:rsidR="00FC35FC" w:rsidRDefault="00FC35FC" w:rsidP="003E6257">
      <w:pPr>
        <w:spacing w:after="0" w:line="240" w:lineRule="auto"/>
        <w:ind w:left="-567"/>
        <w:jc w:val="center"/>
        <w:rPr>
          <w:rFonts w:ascii="Arial" w:hAnsi="Arial" w:cs="Arial"/>
          <w:b/>
          <w:sz w:val="24"/>
          <w:szCs w:val="24"/>
        </w:rPr>
      </w:pPr>
    </w:p>
    <w:p w14:paraId="28FBD138" w14:textId="76DEE94A" w:rsidR="00573600" w:rsidRPr="005F6572" w:rsidRDefault="00590A2C" w:rsidP="00217220">
      <w:pPr>
        <w:pStyle w:val="Prrafodelista"/>
        <w:numPr>
          <w:ilvl w:val="0"/>
          <w:numId w:val="1"/>
        </w:numPr>
        <w:tabs>
          <w:tab w:val="left" w:pos="7797"/>
        </w:tabs>
        <w:spacing w:after="0" w:line="240" w:lineRule="auto"/>
        <w:ind w:left="426" w:right="333" w:hanging="284"/>
        <w:jc w:val="both"/>
        <w:rPr>
          <w:rFonts w:ascii="Arial" w:hAnsi="Arial" w:cs="Arial"/>
          <w:bCs/>
        </w:rPr>
      </w:pPr>
      <w:r w:rsidRPr="005F6572">
        <w:rPr>
          <w:rFonts w:ascii="Arial" w:hAnsi="Arial" w:cs="Arial"/>
          <w:bCs/>
        </w:rPr>
        <w:t>E</w:t>
      </w:r>
      <w:r w:rsidR="00737750" w:rsidRPr="005F6572">
        <w:rPr>
          <w:rFonts w:ascii="Arial" w:hAnsi="Arial" w:cs="Arial"/>
          <w:bCs/>
        </w:rPr>
        <w:t xml:space="preserve">l </w:t>
      </w:r>
      <w:r w:rsidR="0066629A" w:rsidRPr="005F6572">
        <w:rPr>
          <w:rFonts w:ascii="Arial" w:hAnsi="Arial" w:cs="Arial"/>
        </w:rPr>
        <w:t>Instituto Nacional de Estadística y Geografía (INEGI)</w:t>
      </w:r>
      <w:r w:rsidR="00737750" w:rsidRPr="005F6572">
        <w:rPr>
          <w:rFonts w:ascii="Arial" w:hAnsi="Arial" w:cs="Arial"/>
          <w:bCs/>
        </w:rPr>
        <w:t xml:space="preserve"> </w:t>
      </w:r>
      <w:r w:rsidRPr="005F6572">
        <w:rPr>
          <w:rFonts w:ascii="Arial" w:hAnsi="Arial" w:cs="Arial"/>
          <w:bCs/>
        </w:rPr>
        <w:t>difunde por primera vez</w:t>
      </w:r>
      <w:r w:rsidR="00737750" w:rsidRPr="005F6572">
        <w:rPr>
          <w:rFonts w:ascii="Arial" w:hAnsi="Arial" w:cs="Arial"/>
          <w:bCs/>
        </w:rPr>
        <w:t xml:space="preserve"> los Índices Globales de Personal y Remuneraciones de los Sectores Económicos (IGPERSE), integrados por </w:t>
      </w:r>
      <w:r w:rsidR="00573600" w:rsidRPr="005F6572">
        <w:rPr>
          <w:rFonts w:ascii="Arial" w:hAnsi="Arial" w:cs="Arial"/>
          <w:bCs/>
        </w:rPr>
        <w:t>dos nuevos indicadores</w:t>
      </w:r>
      <w:r w:rsidR="00BE628B" w:rsidRPr="005F6572">
        <w:rPr>
          <w:rFonts w:ascii="Arial" w:hAnsi="Arial" w:cs="Arial"/>
          <w:bCs/>
        </w:rPr>
        <w:t>:</w:t>
      </w:r>
      <w:r w:rsidR="00573600" w:rsidRPr="005F6572">
        <w:rPr>
          <w:rFonts w:ascii="Arial" w:hAnsi="Arial" w:cs="Arial"/>
          <w:bCs/>
        </w:rPr>
        <w:t xml:space="preserve"> el Índice Global de Remuneraciones de los Sectores Económicos (IGRESE) y el Índice Global de Remuneraciones Medias Reales de los Sectores Económicos (IGREMSE), además del Índice Global de Personal Ocupado de los Sectores Económicos (IGPOSE) que ya se </w:t>
      </w:r>
      <w:r w:rsidR="00BE628B" w:rsidRPr="005F6572">
        <w:rPr>
          <w:rFonts w:ascii="Arial" w:hAnsi="Arial" w:cs="Arial"/>
          <w:bCs/>
        </w:rPr>
        <w:t>venía</w:t>
      </w:r>
      <w:r w:rsidR="00573600" w:rsidRPr="005F6572">
        <w:rPr>
          <w:rFonts w:ascii="Arial" w:hAnsi="Arial" w:cs="Arial"/>
          <w:bCs/>
        </w:rPr>
        <w:t xml:space="preserve"> difundiendo.</w:t>
      </w:r>
    </w:p>
    <w:p w14:paraId="5CFE9D3F" w14:textId="7F37ABE5" w:rsidR="00D23BCF" w:rsidRPr="005F6572" w:rsidRDefault="000872E3" w:rsidP="00217220">
      <w:pPr>
        <w:pStyle w:val="Prrafodelista"/>
        <w:numPr>
          <w:ilvl w:val="0"/>
          <w:numId w:val="1"/>
        </w:numPr>
        <w:tabs>
          <w:tab w:val="left" w:pos="7797"/>
        </w:tabs>
        <w:spacing w:after="0" w:line="240" w:lineRule="auto"/>
        <w:ind w:left="426" w:right="333" w:hanging="284"/>
        <w:jc w:val="both"/>
        <w:rPr>
          <w:rFonts w:ascii="Arial" w:hAnsi="Arial" w:cs="Arial"/>
          <w:bCs/>
        </w:rPr>
      </w:pPr>
      <w:r w:rsidRPr="005F6572">
        <w:rPr>
          <w:rFonts w:ascii="Arial" w:hAnsi="Arial" w:cs="Arial"/>
          <w:bCs/>
        </w:rPr>
        <w:t>Con cifras desestacionalizadas, e</w:t>
      </w:r>
      <w:r w:rsidR="00F26340" w:rsidRPr="005F6572">
        <w:rPr>
          <w:rFonts w:ascii="Arial" w:hAnsi="Arial" w:cs="Arial"/>
          <w:bCs/>
        </w:rPr>
        <w:t xml:space="preserve">n </w:t>
      </w:r>
      <w:r w:rsidR="00434C12" w:rsidRPr="005F6572">
        <w:rPr>
          <w:rFonts w:ascii="Arial" w:hAnsi="Arial" w:cs="Arial"/>
          <w:bCs/>
        </w:rPr>
        <w:t>mayo</w:t>
      </w:r>
      <w:r w:rsidR="00D22C48" w:rsidRPr="005F6572">
        <w:rPr>
          <w:rFonts w:ascii="Arial" w:hAnsi="Arial" w:cs="Arial"/>
          <w:bCs/>
        </w:rPr>
        <w:t xml:space="preserve"> de 2020 </w:t>
      </w:r>
      <w:r w:rsidR="00723C6C" w:rsidRPr="005F6572">
        <w:rPr>
          <w:rFonts w:ascii="Arial" w:hAnsi="Arial" w:cs="Arial"/>
          <w:bCs/>
        </w:rPr>
        <w:t>e</w:t>
      </w:r>
      <w:r w:rsidR="00706727" w:rsidRPr="005F6572">
        <w:rPr>
          <w:rFonts w:ascii="Arial" w:hAnsi="Arial" w:cs="Arial"/>
          <w:bCs/>
        </w:rPr>
        <w:t xml:space="preserve">l </w:t>
      </w:r>
      <w:r w:rsidR="00FA3650" w:rsidRPr="005F6572">
        <w:rPr>
          <w:rFonts w:ascii="Arial" w:hAnsi="Arial" w:cs="Arial"/>
          <w:bCs/>
        </w:rPr>
        <w:t>IGPOSE</w:t>
      </w:r>
      <w:r w:rsidR="001A5436" w:rsidRPr="005F6572">
        <w:rPr>
          <w:rFonts w:ascii="Arial" w:hAnsi="Arial" w:cs="Arial"/>
          <w:bCs/>
        </w:rPr>
        <w:t xml:space="preserve"> registró</w:t>
      </w:r>
      <w:r w:rsidR="00205D19" w:rsidRPr="005F6572">
        <w:rPr>
          <w:rFonts w:ascii="Arial" w:hAnsi="Arial" w:cs="Arial"/>
          <w:bCs/>
        </w:rPr>
        <w:t xml:space="preserve"> un nivel </w:t>
      </w:r>
      <w:r w:rsidR="0062753C" w:rsidRPr="005F6572">
        <w:rPr>
          <w:rFonts w:ascii="Arial" w:hAnsi="Arial" w:cs="Arial"/>
          <w:bCs/>
        </w:rPr>
        <w:t xml:space="preserve">de </w:t>
      </w:r>
      <w:r w:rsidR="000E5366" w:rsidRPr="005F6572">
        <w:rPr>
          <w:rFonts w:ascii="Arial" w:hAnsi="Arial" w:cs="Arial"/>
          <w:bCs/>
        </w:rPr>
        <w:t>10</w:t>
      </w:r>
      <w:r w:rsidR="00F6099C" w:rsidRPr="005F6572">
        <w:rPr>
          <w:rFonts w:ascii="Arial" w:hAnsi="Arial" w:cs="Arial"/>
          <w:bCs/>
        </w:rPr>
        <w:t>3</w:t>
      </w:r>
      <w:r w:rsidR="000E5366" w:rsidRPr="005F6572">
        <w:rPr>
          <w:rFonts w:ascii="Arial" w:hAnsi="Arial" w:cs="Arial"/>
          <w:bCs/>
        </w:rPr>
        <w:t xml:space="preserve">.1 </w:t>
      </w:r>
      <w:r w:rsidR="006B1C4F" w:rsidRPr="005F6572">
        <w:rPr>
          <w:rFonts w:ascii="Arial" w:hAnsi="Arial" w:cs="Arial"/>
          <w:bCs/>
        </w:rPr>
        <w:t>puntos</w:t>
      </w:r>
      <w:r w:rsidR="0031277A" w:rsidRPr="005F6572">
        <w:rPr>
          <w:rFonts w:ascii="Arial" w:hAnsi="Arial" w:cs="Arial"/>
          <w:bCs/>
        </w:rPr>
        <w:t xml:space="preserve"> y</w:t>
      </w:r>
      <w:r w:rsidR="00FA3650" w:rsidRPr="005F6572">
        <w:rPr>
          <w:rFonts w:ascii="Arial" w:hAnsi="Arial" w:cs="Arial"/>
          <w:bCs/>
        </w:rPr>
        <w:t xml:space="preserve"> </w:t>
      </w:r>
      <w:r w:rsidR="00DA51D9" w:rsidRPr="005F6572">
        <w:rPr>
          <w:rFonts w:ascii="Arial" w:hAnsi="Arial" w:cs="Arial"/>
          <w:bCs/>
        </w:rPr>
        <w:t>present</w:t>
      </w:r>
      <w:r w:rsidR="0031277A" w:rsidRPr="005F6572">
        <w:rPr>
          <w:rFonts w:ascii="Arial" w:hAnsi="Arial" w:cs="Arial"/>
          <w:bCs/>
        </w:rPr>
        <w:t>ó</w:t>
      </w:r>
      <w:r w:rsidR="00885048" w:rsidRPr="005F6572">
        <w:rPr>
          <w:rFonts w:ascii="Arial" w:hAnsi="Arial" w:cs="Arial"/>
          <w:bCs/>
        </w:rPr>
        <w:t xml:space="preserve"> </w:t>
      </w:r>
      <w:r w:rsidR="00DA51D9" w:rsidRPr="005F6572">
        <w:rPr>
          <w:rFonts w:ascii="Arial" w:hAnsi="Arial" w:cs="Arial"/>
          <w:bCs/>
        </w:rPr>
        <w:t xml:space="preserve">una disminución de </w:t>
      </w:r>
      <w:r w:rsidR="00C66BB5" w:rsidRPr="005F6572">
        <w:rPr>
          <w:rFonts w:ascii="Arial" w:hAnsi="Arial" w:cs="Arial"/>
          <w:bCs/>
        </w:rPr>
        <w:t>(-)</w:t>
      </w:r>
      <w:r w:rsidR="00F6099C" w:rsidRPr="005F6572">
        <w:rPr>
          <w:rFonts w:ascii="Arial" w:hAnsi="Arial" w:cs="Arial"/>
          <w:bCs/>
        </w:rPr>
        <w:t>1.9</w:t>
      </w:r>
      <w:r w:rsidR="00DA51D9" w:rsidRPr="005F6572">
        <w:rPr>
          <w:rFonts w:ascii="Arial" w:hAnsi="Arial" w:cs="Arial"/>
          <w:bCs/>
        </w:rPr>
        <w:t>% r</w:t>
      </w:r>
      <w:r w:rsidR="00737750" w:rsidRPr="005F6572">
        <w:rPr>
          <w:rFonts w:ascii="Arial" w:hAnsi="Arial" w:cs="Arial"/>
          <w:bCs/>
        </w:rPr>
        <w:t>especto</w:t>
      </w:r>
      <w:r w:rsidR="00723C6C" w:rsidRPr="005F6572">
        <w:rPr>
          <w:rFonts w:ascii="Arial" w:hAnsi="Arial" w:cs="Arial"/>
          <w:bCs/>
        </w:rPr>
        <w:t xml:space="preserve"> </w:t>
      </w:r>
      <w:r w:rsidR="00434C12" w:rsidRPr="005F6572">
        <w:rPr>
          <w:rFonts w:ascii="Arial" w:hAnsi="Arial" w:cs="Arial"/>
          <w:bCs/>
        </w:rPr>
        <w:t>a abril</w:t>
      </w:r>
      <w:r w:rsidR="00750ABF" w:rsidRPr="005F6572">
        <w:rPr>
          <w:rFonts w:ascii="Arial" w:hAnsi="Arial" w:cs="Arial"/>
          <w:bCs/>
        </w:rPr>
        <w:t xml:space="preserve"> de 20</w:t>
      </w:r>
      <w:r w:rsidR="00DA51D9" w:rsidRPr="005F6572">
        <w:rPr>
          <w:rFonts w:ascii="Arial" w:hAnsi="Arial" w:cs="Arial"/>
          <w:bCs/>
        </w:rPr>
        <w:t>20</w:t>
      </w:r>
      <w:r w:rsidR="00FA3650" w:rsidRPr="005F6572">
        <w:rPr>
          <w:rFonts w:ascii="Arial" w:hAnsi="Arial" w:cs="Arial"/>
          <w:bCs/>
        </w:rPr>
        <w:t>.</w:t>
      </w:r>
      <w:r w:rsidR="00CD5ECF" w:rsidRPr="005F6572">
        <w:rPr>
          <w:rFonts w:ascii="Arial" w:hAnsi="Arial" w:cs="Arial"/>
          <w:bCs/>
        </w:rPr>
        <w:t xml:space="preserve"> </w:t>
      </w:r>
    </w:p>
    <w:p w14:paraId="4B5FA631" w14:textId="4F825539" w:rsidR="00E8036B" w:rsidRPr="005F6572" w:rsidRDefault="00C567C7" w:rsidP="00E8036B">
      <w:pPr>
        <w:pStyle w:val="Prrafodelista"/>
        <w:numPr>
          <w:ilvl w:val="0"/>
          <w:numId w:val="1"/>
        </w:numPr>
        <w:tabs>
          <w:tab w:val="left" w:pos="7797"/>
        </w:tabs>
        <w:spacing w:after="0" w:line="240" w:lineRule="auto"/>
        <w:ind w:left="426" w:right="333" w:hanging="284"/>
        <w:jc w:val="both"/>
        <w:rPr>
          <w:rFonts w:ascii="Arial" w:hAnsi="Arial" w:cs="Arial"/>
        </w:rPr>
      </w:pPr>
      <w:r w:rsidRPr="005F6572">
        <w:rPr>
          <w:rFonts w:ascii="Arial" w:hAnsi="Arial" w:cs="Arial"/>
          <w:bCs/>
        </w:rPr>
        <w:t>Por otra parte, e</w:t>
      </w:r>
      <w:r w:rsidR="00434C12" w:rsidRPr="005F6572">
        <w:rPr>
          <w:rFonts w:ascii="Arial" w:hAnsi="Arial" w:cs="Arial"/>
          <w:bCs/>
        </w:rPr>
        <w:t>l IGRE</w:t>
      </w:r>
      <w:r w:rsidR="00737750" w:rsidRPr="005F6572">
        <w:rPr>
          <w:rFonts w:ascii="Arial" w:hAnsi="Arial" w:cs="Arial"/>
          <w:bCs/>
        </w:rPr>
        <w:t>SE</w:t>
      </w:r>
      <w:r w:rsidR="00434C12" w:rsidRPr="005F6572">
        <w:rPr>
          <w:rFonts w:ascii="Arial" w:hAnsi="Arial" w:cs="Arial"/>
          <w:bCs/>
        </w:rPr>
        <w:t xml:space="preserve"> registró un nivel de 10</w:t>
      </w:r>
      <w:r w:rsidR="00F6099C" w:rsidRPr="005F6572">
        <w:rPr>
          <w:rFonts w:ascii="Arial" w:hAnsi="Arial" w:cs="Arial"/>
          <w:bCs/>
        </w:rPr>
        <w:t>6.2</w:t>
      </w:r>
      <w:r w:rsidR="006D7BF6" w:rsidRPr="005F6572">
        <w:rPr>
          <w:rFonts w:ascii="Arial" w:hAnsi="Arial" w:cs="Arial"/>
          <w:bCs/>
        </w:rPr>
        <w:t xml:space="preserve"> puntos</w:t>
      </w:r>
      <w:r w:rsidR="00434C12" w:rsidRPr="005F6572">
        <w:rPr>
          <w:rFonts w:ascii="Arial" w:hAnsi="Arial" w:cs="Arial"/>
          <w:bCs/>
        </w:rPr>
        <w:t xml:space="preserve"> y presentó una </w:t>
      </w:r>
      <w:r w:rsidR="0035757A">
        <w:rPr>
          <w:rFonts w:ascii="Arial" w:hAnsi="Arial" w:cs="Arial"/>
          <w:bCs/>
        </w:rPr>
        <w:t>baja</w:t>
      </w:r>
      <w:r w:rsidR="00434C12" w:rsidRPr="005F6572">
        <w:rPr>
          <w:rFonts w:ascii="Arial" w:hAnsi="Arial" w:cs="Arial"/>
          <w:bCs/>
        </w:rPr>
        <w:t xml:space="preserve"> de </w:t>
      </w:r>
      <w:r w:rsidR="00C66BB5" w:rsidRPr="005F6572">
        <w:rPr>
          <w:rFonts w:ascii="Arial" w:hAnsi="Arial" w:cs="Arial"/>
          <w:bCs/>
        </w:rPr>
        <w:t>(-)</w:t>
      </w:r>
      <w:r w:rsidR="00F6099C" w:rsidRPr="005F6572">
        <w:rPr>
          <w:rFonts w:ascii="Arial" w:hAnsi="Arial" w:cs="Arial"/>
          <w:bCs/>
        </w:rPr>
        <w:t>4.9</w:t>
      </w:r>
      <w:r w:rsidR="00434C12" w:rsidRPr="005F6572">
        <w:rPr>
          <w:rFonts w:ascii="Arial" w:hAnsi="Arial" w:cs="Arial"/>
          <w:bCs/>
        </w:rPr>
        <w:t>% respecto a</w:t>
      </w:r>
      <w:r w:rsidR="005F6572" w:rsidRPr="005F6572">
        <w:rPr>
          <w:rFonts w:ascii="Arial" w:hAnsi="Arial" w:cs="Arial"/>
          <w:bCs/>
        </w:rPr>
        <w:t xml:space="preserve"> </w:t>
      </w:r>
      <w:r w:rsidR="00434C12" w:rsidRPr="005F6572">
        <w:rPr>
          <w:rFonts w:ascii="Arial" w:hAnsi="Arial" w:cs="Arial"/>
          <w:bCs/>
        </w:rPr>
        <w:t>abril de 2020</w:t>
      </w:r>
      <w:r w:rsidR="0055365B" w:rsidRPr="005F6572">
        <w:rPr>
          <w:rFonts w:ascii="Arial" w:hAnsi="Arial" w:cs="Arial"/>
          <w:bCs/>
        </w:rPr>
        <w:t>, con cifras desestacionalizadas</w:t>
      </w:r>
      <w:r w:rsidR="00E8036B" w:rsidRPr="005F6572">
        <w:rPr>
          <w:rFonts w:ascii="Arial" w:hAnsi="Arial" w:cs="Arial"/>
          <w:bCs/>
        </w:rPr>
        <w:t>.</w:t>
      </w:r>
    </w:p>
    <w:p w14:paraId="1D390103" w14:textId="77777777" w:rsidR="00E8036B" w:rsidRPr="005F6572" w:rsidRDefault="00E8036B" w:rsidP="00E8036B">
      <w:pPr>
        <w:tabs>
          <w:tab w:val="left" w:pos="7797"/>
        </w:tabs>
        <w:spacing w:after="0" w:line="240" w:lineRule="auto"/>
        <w:ind w:left="142" w:right="333"/>
        <w:jc w:val="both"/>
        <w:rPr>
          <w:rFonts w:ascii="Arial" w:hAnsi="Arial" w:cs="Arial"/>
        </w:rPr>
      </w:pPr>
    </w:p>
    <w:p w14:paraId="6EC7449F" w14:textId="5468AE3A" w:rsidR="001C2F07" w:rsidRPr="005F6572" w:rsidRDefault="00283D84" w:rsidP="009A7101">
      <w:pPr>
        <w:spacing w:after="0" w:line="240" w:lineRule="auto"/>
        <w:ind w:left="-567" w:right="-518"/>
        <w:jc w:val="both"/>
        <w:rPr>
          <w:rFonts w:ascii="Arial" w:hAnsi="Arial" w:cs="Arial"/>
        </w:rPr>
      </w:pPr>
      <w:r w:rsidRPr="005F6572">
        <w:rPr>
          <w:rFonts w:ascii="Arial" w:hAnsi="Arial" w:cs="Arial"/>
        </w:rPr>
        <w:t xml:space="preserve">El </w:t>
      </w:r>
      <w:r w:rsidR="0066629A" w:rsidRPr="005F6572">
        <w:rPr>
          <w:rFonts w:ascii="Arial" w:hAnsi="Arial" w:cs="Arial"/>
        </w:rPr>
        <w:t>INEGI</w:t>
      </w:r>
      <w:r w:rsidRPr="005F6572">
        <w:rPr>
          <w:rFonts w:ascii="Arial" w:hAnsi="Arial" w:cs="Arial"/>
        </w:rPr>
        <w:t xml:space="preserve"> </w:t>
      </w:r>
      <w:r w:rsidR="00DC5507" w:rsidRPr="005F6572">
        <w:rPr>
          <w:rFonts w:ascii="Arial" w:hAnsi="Arial" w:cs="Arial"/>
        </w:rPr>
        <w:t>difunde por primera vez</w:t>
      </w:r>
      <w:r w:rsidRPr="005F6572">
        <w:rPr>
          <w:rFonts w:ascii="Arial" w:hAnsi="Arial" w:cs="Arial"/>
        </w:rPr>
        <w:t xml:space="preserve"> los </w:t>
      </w:r>
      <w:r w:rsidR="009B029C" w:rsidRPr="005F6572">
        <w:rPr>
          <w:rFonts w:ascii="Arial" w:hAnsi="Arial" w:cs="Arial"/>
        </w:rPr>
        <w:t>Índice</w:t>
      </w:r>
      <w:r w:rsidR="00E02538" w:rsidRPr="005F6572">
        <w:rPr>
          <w:rFonts w:ascii="Arial" w:hAnsi="Arial" w:cs="Arial"/>
        </w:rPr>
        <w:t>s</w:t>
      </w:r>
      <w:r w:rsidR="009B029C" w:rsidRPr="005F6572">
        <w:rPr>
          <w:rFonts w:ascii="Arial" w:hAnsi="Arial" w:cs="Arial"/>
        </w:rPr>
        <w:t xml:space="preserve"> Global</w:t>
      </w:r>
      <w:r w:rsidR="00E02538" w:rsidRPr="005F6572">
        <w:rPr>
          <w:rFonts w:ascii="Arial" w:hAnsi="Arial" w:cs="Arial"/>
        </w:rPr>
        <w:t>es</w:t>
      </w:r>
      <w:r w:rsidR="009B029C" w:rsidRPr="005F6572">
        <w:rPr>
          <w:rFonts w:ascii="Arial" w:hAnsi="Arial" w:cs="Arial"/>
        </w:rPr>
        <w:t xml:space="preserve"> de Personal </w:t>
      </w:r>
      <w:r w:rsidR="00E02538" w:rsidRPr="005F6572">
        <w:rPr>
          <w:rFonts w:ascii="Arial" w:hAnsi="Arial" w:cs="Arial"/>
        </w:rPr>
        <w:t xml:space="preserve">y Remuneraciones </w:t>
      </w:r>
      <w:r w:rsidR="009B029C" w:rsidRPr="005F6572">
        <w:rPr>
          <w:rFonts w:ascii="Arial" w:hAnsi="Arial" w:cs="Arial"/>
        </w:rPr>
        <w:t>de los Sectores Económicos</w:t>
      </w:r>
      <w:r w:rsidR="009A7101" w:rsidRPr="005F6572">
        <w:rPr>
          <w:rFonts w:ascii="Arial" w:hAnsi="Arial" w:cs="Arial"/>
        </w:rPr>
        <w:t>, integrados por dos nuevos indicadores</w:t>
      </w:r>
      <w:r w:rsidR="00BE628B" w:rsidRPr="005F6572">
        <w:rPr>
          <w:rFonts w:ascii="Arial" w:hAnsi="Arial" w:cs="Arial"/>
        </w:rPr>
        <w:t>:</w:t>
      </w:r>
      <w:r w:rsidR="009A7101" w:rsidRPr="005F6572">
        <w:rPr>
          <w:rFonts w:ascii="Arial" w:hAnsi="Arial" w:cs="Arial"/>
        </w:rPr>
        <w:t xml:space="preserve"> el IGRESE y el IGREMSE, además del IGPOSE que ya se </w:t>
      </w:r>
      <w:r w:rsidR="00BE628B" w:rsidRPr="005F6572">
        <w:rPr>
          <w:rFonts w:ascii="Arial" w:hAnsi="Arial" w:cs="Arial"/>
        </w:rPr>
        <w:t>venía</w:t>
      </w:r>
      <w:r w:rsidR="009A7101" w:rsidRPr="005F6572">
        <w:rPr>
          <w:rFonts w:ascii="Arial" w:hAnsi="Arial" w:cs="Arial"/>
        </w:rPr>
        <w:t xml:space="preserve"> difundiendo.</w:t>
      </w:r>
    </w:p>
    <w:p w14:paraId="6D091276" w14:textId="77777777" w:rsidR="009A7101" w:rsidRPr="005F6572" w:rsidRDefault="009A7101" w:rsidP="009A7101">
      <w:pPr>
        <w:spacing w:after="0" w:line="240" w:lineRule="auto"/>
        <w:ind w:left="-567" w:right="-518"/>
        <w:jc w:val="both"/>
        <w:rPr>
          <w:rFonts w:ascii="Arial" w:hAnsi="Arial" w:cs="Arial"/>
        </w:rPr>
      </w:pPr>
    </w:p>
    <w:p w14:paraId="3DB0388D" w14:textId="2EFF773B" w:rsidR="001C2F07" w:rsidRDefault="009F6A02" w:rsidP="009A7101">
      <w:pPr>
        <w:spacing w:after="0" w:line="240" w:lineRule="auto"/>
        <w:ind w:left="-567" w:right="-518"/>
        <w:jc w:val="both"/>
        <w:rPr>
          <w:rFonts w:ascii="Arial" w:hAnsi="Arial" w:cs="Arial"/>
        </w:rPr>
      </w:pPr>
      <w:r w:rsidRPr="005F6572">
        <w:rPr>
          <w:rFonts w:ascii="Arial" w:hAnsi="Arial" w:cs="Arial"/>
        </w:rPr>
        <w:t xml:space="preserve">Los </w:t>
      </w:r>
      <w:r w:rsidR="00940237" w:rsidRPr="005F6572">
        <w:rPr>
          <w:rFonts w:ascii="Arial" w:hAnsi="Arial" w:cs="Arial"/>
        </w:rPr>
        <w:t>índices g</w:t>
      </w:r>
      <w:r w:rsidR="0066629A" w:rsidRPr="005F6572">
        <w:rPr>
          <w:rFonts w:ascii="Arial" w:hAnsi="Arial" w:cs="Arial"/>
        </w:rPr>
        <w:t>lobales</w:t>
      </w:r>
      <w:r w:rsidRPr="005F6572">
        <w:rPr>
          <w:rFonts w:ascii="Arial" w:hAnsi="Arial" w:cs="Arial"/>
        </w:rPr>
        <w:t xml:space="preserve">, tienen como objetivo primordial representar una aproximación al personal ocupado y a las remuneraciones </w:t>
      </w:r>
      <w:r w:rsidR="001C2F07" w:rsidRPr="005F6572">
        <w:rPr>
          <w:rFonts w:ascii="Arial" w:hAnsi="Arial" w:cs="Arial"/>
        </w:rPr>
        <w:t xml:space="preserve">que reportan las encuestas económicas para los sectores construcción, industrias manufactureras, comercio y servicios privados no financieros, fortaleciendo la infraestructura estadística sobre </w:t>
      </w:r>
      <w:r w:rsidR="007F2AE1" w:rsidRPr="005F6572">
        <w:rPr>
          <w:rFonts w:ascii="Arial" w:hAnsi="Arial" w:cs="Arial"/>
        </w:rPr>
        <w:t>la economía en su conjunto</w:t>
      </w:r>
      <w:r w:rsidR="001C2F07" w:rsidRPr="005F6572">
        <w:rPr>
          <w:rFonts w:ascii="Arial" w:hAnsi="Arial" w:cs="Arial"/>
        </w:rPr>
        <w:t>, lo que coadyuva en el diseño, instrumentación y evaluación de políticas públicas enfocadas al mercado laboral de México.</w:t>
      </w:r>
    </w:p>
    <w:p w14:paraId="198DD6FF" w14:textId="682A85F0" w:rsidR="005F6572" w:rsidRDefault="005F6572" w:rsidP="009A7101">
      <w:pPr>
        <w:spacing w:after="0" w:line="240" w:lineRule="auto"/>
        <w:ind w:left="-567" w:right="-518"/>
        <w:jc w:val="both"/>
        <w:rPr>
          <w:rFonts w:ascii="Arial" w:hAnsi="Arial" w:cs="Arial"/>
        </w:rPr>
      </w:pPr>
    </w:p>
    <w:p w14:paraId="08F1C92D" w14:textId="73D722A6" w:rsidR="005F6572" w:rsidRPr="005F6572" w:rsidRDefault="005F6572" w:rsidP="005F6572">
      <w:pPr>
        <w:spacing w:after="0" w:line="240" w:lineRule="auto"/>
        <w:ind w:left="-567" w:right="-518"/>
        <w:jc w:val="both"/>
        <w:rPr>
          <w:rFonts w:ascii="Arial" w:hAnsi="Arial" w:cs="Arial"/>
        </w:rPr>
      </w:pPr>
      <w:r w:rsidRPr="005F6572">
        <w:rPr>
          <w:rFonts w:ascii="Arial" w:hAnsi="Arial" w:cs="Arial"/>
        </w:rPr>
        <w:t xml:space="preserve">Con cifras desestacionalizadas, en mayo de 2020, el IGPOSE alcanzó un nivel de 103.1 puntos y presentó una disminución de (-)1.9% respecto al mes previo. Además, </w:t>
      </w:r>
      <w:r w:rsidR="00A474C2">
        <w:rPr>
          <w:rFonts w:ascii="Arial" w:hAnsi="Arial" w:cs="Arial"/>
        </w:rPr>
        <w:t>retrocedió</w:t>
      </w:r>
      <w:r w:rsidRPr="005F6572">
        <w:rPr>
          <w:rFonts w:ascii="Arial" w:hAnsi="Arial" w:cs="Arial"/>
        </w:rPr>
        <w:t xml:space="preserve"> (-)6.9%, respecto al mismo mes del año anterior.</w:t>
      </w:r>
    </w:p>
    <w:p w14:paraId="3EBF7793" w14:textId="77777777" w:rsidR="005F6572" w:rsidRPr="005F6572" w:rsidRDefault="005F6572" w:rsidP="005F6572">
      <w:pPr>
        <w:spacing w:after="0" w:line="240" w:lineRule="auto"/>
        <w:ind w:left="-567" w:right="-518"/>
        <w:jc w:val="both"/>
        <w:rPr>
          <w:rFonts w:ascii="Arial" w:hAnsi="Arial" w:cs="Arial"/>
        </w:rPr>
      </w:pPr>
    </w:p>
    <w:p w14:paraId="525B0D08" w14:textId="5FDB16B3" w:rsidR="005F6572" w:rsidRPr="005F6572" w:rsidRDefault="005F6572" w:rsidP="005F6572">
      <w:pPr>
        <w:spacing w:after="0" w:line="240" w:lineRule="auto"/>
        <w:ind w:left="-567" w:right="-518"/>
        <w:jc w:val="both"/>
        <w:rPr>
          <w:rFonts w:ascii="Arial" w:hAnsi="Arial" w:cs="Arial"/>
          <w:spacing w:val="2"/>
        </w:rPr>
      </w:pPr>
      <w:r w:rsidRPr="005F6572">
        <w:rPr>
          <w:rFonts w:ascii="Arial" w:hAnsi="Arial" w:cs="Arial"/>
          <w:spacing w:val="2"/>
        </w:rPr>
        <w:t xml:space="preserve">Por su parte, el IGRESE registró un nivel de 106.2 puntos con una </w:t>
      </w:r>
      <w:r w:rsidR="00A474C2">
        <w:rPr>
          <w:rFonts w:ascii="Arial" w:hAnsi="Arial" w:cs="Arial"/>
          <w:spacing w:val="2"/>
        </w:rPr>
        <w:t>baja de</w:t>
      </w:r>
      <w:r w:rsidRPr="005F6572">
        <w:rPr>
          <w:rFonts w:ascii="Arial" w:hAnsi="Arial" w:cs="Arial"/>
          <w:spacing w:val="2"/>
        </w:rPr>
        <w:t xml:space="preserve"> (-)4.9% respecto al mes previo. Al compararse con mayo de 2019 tuvo un</w:t>
      </w:r>
      <w:r w:rsidR="00A474C2">
        <w:rPr>
          <w:rFonts w:ascii="Arial" w:hAnsi="Arial" w:cs="Arial"/>
          <w:spacing w:val="2"/>
        </w:rPr>
        <w:t xml:space="preserve"> </w:t>
      </w:r>
      <w:r w:rsidRPr="005F6572">
        <w:rPr>
          <w:rFonts w:ascii="Arial" w:hAnsi="Arial" w:cs="Arial"/>
          <w:spacing w:val="2"/>
        </w:rPr>
        <w:t>de</w:t>
      </w:r>
      <w:r w:rsidR="00A474C2">
        <w:rPr>
          <w:rFonts w:ascii="Arial" w:hAnsi="Arial" w:cs="Arial"/>
          <w:spacing w:val="2"/>
        </w:rPr>
        <w:t>scenso de</w:t>
      </w:r>
      <w:r w:rsidRPr="005F6572">
        <w:rPr>
          <w:rFonts w:ascii="Arial" w:hAnsi="Arial" w:cs="Arial"/>
          <w:spacing w:val="2"/>
        </w:rPr>
        <w:t xml:space="preserve"> (-)9.7 por ciento.</w:t>
      </w:r>
    </w:p>
    <w:p w14:paraId="0A0FC274" w14:textId="77777777" w:rsidR="005F6572" w:rsidRPr="005F6572" w:rsidRDefault="005F6572" w:rsidP="005F6572">
      <w:pPr>
        <w:spacing w:after="0" w:line="240" w:lineRule="auto"/>
        <w:ind w:left="-567" w:right="-518"/>
        <w:jc w:val="both"/>
        <w:rPr>
          <w:rFonts w:ascii="Arial" w:hAnsi="Arial" w:cs="Arial"/>
        </w:rPr>
      </w:pPr>
    </w:p>
    <w:p w14:paraId="19A387C0" w14:textId="77777777" w:rsidR="005F6572" w:rsidRPr="005F6572" w:rsidRDefault="005F6572" w:rsidP="005F6572">
      <w:pPr>
        <w:spacing w:after="0" w:line="240" w:lineRule="auto"/>
        <w:ind w:left="-567" w:right="-518"/>
        <w:jc w:val="both"/>
        <w:rPr>
          <w:rFonts w:ascii="Arial" w:hAnsi="Arial" w:cs="Arial"/>
        </w:rPr>
      </w:pPr>
      <w:r w:rsidRPr="005F6572">
        <w:rPr>
          <w:rFonts w:ascii="Arial" w:hAnsi="Arial" w:cs="Arial"/>
        </w:rPr>
        <w:t xml:space="preserve">El IGREMSE alcanzó un nivel de 103.0 puntos y tuvo una disminución de (-)3.8% respecto al mes previo. En su comparativo anual disminuyó (-)3.1 por ciento. </w:t>
      </w:r>
    </w:p>
    <w:p w14:paraId="65CB607B" w14:textId="77777777" w:rsidR="009A7101" w:rsidRDefault="009A7101" w:rsidP="009A7101">
      <w:pPr>
        <w:spacing w:after="0" w:line="240" w:lineRule="auto"/>
        <w:ind w:left="-567" w:right="-518"/>
        <w:jc w:val="both"/>
        <w:rPr>
          <w:rFonts w:ascii="Arial" w:hAnsi="Arial" w:cs="Arial"/>
          <w:sz w:val="24"/>
          <w:szCs w:val="24"/>
        </w:rPr>
      </w:pPr>
    </w:p>
    <w:p w14:paraId="140E979B" w14:textId="77777777" w:rsidR="000A7799" w:rsidRDefault="000A7799"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w:t>
      </w:r>
      <w:r>
        <w:rPr>
          <w:rFonts w:ascii="Arial" w:hAnsi="Arial" w:cs="Arial"/>
          <w:b/>
          <w:sz w:val="20"/>
          <w:szCs w:val="20"/>
        </w:rPr>
        <w:t>S</w:t>
      </w:r>
      <w:r w:rsidRPr="00567D86">
        <w:rPr>
          <w:rFonts w:ascii="Arial" w:hAnsi="Arial" w:cs="Arial"/>
          <w:b/>
          <w:sz w:val="20"/>
          <w:szCs w:val="20"/>
        </w:rPr>
        <w:t xml:space="preserve"> GLOBA</w:t>
      </w:r>
      <w:r>
        <w:rPr>
          <w:rFonts w:ascii="Arial" w:hAnsi="Arial" w:cs="Arial"/>
          <w:b/>
          <w:sz w:val="20"/>
          <w:szCs w:val="20"/>
        </w:rPr>
        <w:t>LES</w:t>
      </w:r>
      <w:r w:rsidRPr="00567D86">
        <w:rPr>
          <w:rFonts w:ascii="Arial" w:hAnsi="Arial" w:cs="Arial"/>
          <w:b/>
          <w:sz w:val="20"/>
          <w:szCs w:val="20"/>
        </w:rPr>
        <w:t xml:space="preserve"> DE PERSONAL </w:t>
      </w:r>
      <w:r>
        <w:rPr>
          <w:rFonts w:ascii="Arial" w:hAnsi="Arial" w:cs="Arial"/>
          <w:b/>
          <w:sz w:val="20"/>
          <w:szCs w:val="20"/>
        </w:rPr>
        <w:t>Y REMUNERACIONES</w:t>
      </w:r>
      <w:r w:rsidRPr="00567D86">
        <w:rPr>
          <w:rFonts w:ascii="Arial" w:hAnsi="Arial" w:cs="Arial"/>
          <w:b/>
          <w:sz w:val="20"/>
          <w:szCs w:val="20"/>
        </w:rPr>
        <w:t xml:space="preserve"> DE LOS</w:t>
      </w:r>
      <w:r>
        <w:rPr>
          <w:rFonts w:ascii="Arial" w:hAnsi="Arial" w:cs="Arial"/>
          <w:b/>
          <w:sz w:val="20"/>
          <w:szCs w:val="20"/>
        </w:rPr>
        <w:t xml:space="preserve"> </w:t>
      </w:r>
      <w:r w:rsidRPr="00567D86">
        <w:rPr>
          <w:rFonts w:ascii="Arial" w:hAnsi="Arial" w:cs="Arial"/>
          <w:b/>
          <w:sz w:val="20"/>
          <w:szCs w:val="20"/>
        </w:rPr>
        <w:t>SECTORES ECONÓMICOS</w:t>
      </w:r>
    </w:p>
    <w:p w14:paraId="0EDACF3B" w14:textId="2C07386C" w:rsidR="000A7799" w:rsidRDefault="000A7799" w:rsidP="009A7101">
      <w:pPr>
        <w:spacing w:after="0" w:line="240" w:lineRule="auto"/>
        <w:ind w:left="-567" w:right="-518"/>
        <w:jc w:val="center"/>
        <w:rPr>
          <w:rFonts w:ascii="Arial" w:hAnsi="Arial" w:cs="Arial"/>
          <w:b/>
          <w:sz w:val="20"/>
          <w:szCs w:val="20"/>
        </w:rPr>
      </w:pPr>
      <w:r>
        <w:rPr>
          <w:rFonts w:ascii="Arial" w:hAnsi="Arial" w:cs="Arial"/>
          <w:b/>
          <w:sz w:val="20"/>
          <w:szCs w:val="20"/>
        </w:rPr>
        <w:t>DURANTE MAYO</w:t>
      </w:r>
      <w:r w:rsidR="003D2FB5">
        <w:rPr>
          <w:rFonts w:ascii="Arial" w:hAnsi="Arial" w:cs="Arial"/>
          <w:b/>
          <w:sz w:val="20"/>
          <w:szCs w:val="20"/>
        </w:rPr>
        <w:t xml:space="preserve"> DE 2020</w:t>
      </w:r>
    </w:p>
    <w:p w14:paraId="7B4CCD91" w14:textId="77777777" w:rsidR="000A7799" w:rsidRDefault="000A7799"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CIFRAS DESESTACIONALIZADAS</w:t>
      </w:r>
    </w:p>
    <w:p w14:paraId="4C772A49" w14:textId="35EB0435" w:rsidR="000A7799" w:rsidRDefault="000A7799"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Style w:val="Tablaconcuadrcula"/>
        <w:tblW w:w="5443" w:type="dxa"/>
        <w:jc w:val="center"/>
        <w:tblLayout w:type="fixed"/>
        <w:tblLook w:val="04A0" w:firstRow="1" w:lastRow="0" w:firstColumn="1" w:lastColumn="0" w:noHBand="0" w:noVBand="1"/>
      </w:tblPr>
      <w:tblGrid>
        <w:gridCol w:w="1644"/>
        <w:gridCol w:w="964"/>
        <w:gridCol w:w="1361"/>
        <w:gridCol w:w="1474"/>
      </w:tblGrid>
      <w:tr w:rsidR="003D2FB5" w14:paraId="45B41431" w14:textId="77777777" w:rsidTr="000114F6">
        <w:trPr>
          <w:jc w:val="center"/>
        </w:trPr>
        <w:tc>
          <w:tcPr>
            <w:tcW w:w="1644" w:type="dxa"/>
            <w:vMerge w:val="restart"/>
            <w:shd w:val="clear" w:color="auto" w:fill="C4D79B"/>
            <w:vAlign w:val="center"/>
          </w:tcPr>
          <w:p w14:paraId="79FC1504" w14:textId="163B6AF2" w:rsidR="003D2FB5" w:rsidRDefault="003D2FB5" w:rsidP="009A7101">
            <w:pPr>
              <w:jc w:val="center"/>
              <w:rPr>
                <w:rFonts w:ascii="Arial" w:hAnsi="Arial" w:cs="Arial"/>
                <w:b/>
                <w:sz w:val="20"/>
                <w:szCs w:val="20"/>
              </w:rPr>
            </w:pPr>
            <w:r>
              <w:rPr>
                <w:rFonts w:ascii="Arial" w:hAnsi="Arial" w:cs="Arial"/>
                <w:b/>
                <w:sz w:val="20"/>
                <w:szCs w:val="20"/>
              </w:rPr>
              <w:t>Denominación</w:t>
            </w:r>
          </w:p>
        </w:tc>
        <w:tc>
          <w:tcPr>
            <w:tcW w:w="964" w:type="dxa"/>
            <w:vMerge w:val="restart"/>
            <w:shd w:val="clear" w:color="auto" w:fill="C4D79B"/>
            <w:vAlign w:val="center"/>
          </w:tcPr>
          <w:p w14:paraId="494478BD" w14:textId="17449E31" w:rsidR="003D2FB5" w:rsidRDefault="003D2FB5" w:rsidP="009A7101">
            <w:pPr>
              <w:jc w:val="center"/>
              <w:rPr>
                <w:rFonts w:ascii="Arial" w:hAnsi="Arial" w:cs="Arial"/>
                <w:b/>
                <w:sz w:val="20"/>
                <w:szCs w:val="20"/>
              </w:rPr>
            </w:pPr>
            <w:r>
              <w:rPr>
                <w:rFonts w:ascii="Arial" w:hAnsi="Arial" w:cs="Arial"/>
                <w:b/>
                <w:sz w:val="20"/>
                <w:szCs w:val="20"/>
              </w:rPr>
              <w:t>Índice</w:t>
            </w:r>
          </w:p>
        </w:tc>
        <w:tc>
          <w:tcPr>
            <w:tcW w:w="2835" w:type="dxa"/>
            <w:gridSpan w:val="2"/>
            <w:shd w:val="clear" w:color="auto" w:fill="C4D79B"/>
            <w:vAlign w:val="center"/>
          </w:tcPr>
          <w:p w14:paraId="31E8A94F" w14:textId="7B316151" w:rsidR="003D2FB5" w:rsidRDefault="003D2FB5" w:rsidP="009A7101">
            <w:pPr>
              <w:jc w:val="center"/>
              <w:rPr>
                <w:rFonts w:ascii="Arial" w:hAnsi="Arial" w:cs="Arial"/>
                <w:b/>
                <w:sz w:val="20"/>
                <w:szCs w:val="20"/>
              </w:rPr>
            </w:pPr>
            <w:r>
              <w:rPr>
                <w:rFonts w:ascii="Arial" w:hAnsi="Arial" w:cs="Arial"/>
                <w:b/>
                <w:sz w:val="20"/>
                <w:szCs w:val="20"/>
              </w:rPr>
              <w:t>Variación porcentual respecto al:</w:t>
            </w:r>
          </w:p>
        </w:tc>
      </w:tr>
      <w:tr w:rsidR="003D2FB5" w14:paraId="32EA97DB" w14:textId="77777777" w:rsidTr="000114F6">
        <w:trPr>
          <w:jc w:val="center"/>
        </w:trPr>
        <w:tc>
          <w:tcPr>
            <w:tcW w:w="1644" w:type="dxa"/>
            <w:vMerge/>
            <w:tcBorders>
              <w:bottom w:val="single" w:sz="4" w:space="0" w:color="auto"/>
            </w:tcBorders>
            <w:shd w:val="clear" w:color="auto" w:fill="C4D79B"/>
            <w:vAlign w:val="center"/>
          </w:tcPr>
          <w:p w14:paraId="28776322" w14:textId="77777777" w:rsidR="003D2FB5" w:rsidRDefault="003D2FB5" w:rsidP="009A7101">
            <w:pPr>
              <w:jc w:val="center"/>
              <w:rPr>
                <w:rFonts w:ascii="Arial" w:hAnsi="Arial" w:cs="Arial"/>
                <w:b/>
                <w:sz w:val="20"/>
                <w:szCs w:val="20"/>
              </w:rPr>
            </w:pPr>
          </w:p>
        </w:tc>
        <w:tc>
          <w:tcPr>
            <w:tcW w:w="964" w:type="dxa"/>
            <w:vMerge/>
            <w:tcBorders>
              <w:bottom w:val="single" w:sz="4" w:space="0" w:color="auto"/>
            </w:tcBorders>
            <w:shd w:val="clear" w:color="auto" w:fill="C4D79B"/>
            <w:vAlign w:val="center"/>
          </w:tcPr>
          <w:p w14:paraId="3B808972" w14:textId="77777777" w:rsidR="003D2FB5" w:rsidRDefault="003D2FB5" w:rsidP="009A7101">
            <w:pPr>
              <w:jc w:val="center"/>
              <w:rPr>
                <w:rFonts w:ascii="Arial" w:hAnsi="Arial" w:cs="Arial"/>
                <w:b/>
                <w:sz w:val="20"/>
                <w:szCs w:val="20"/>
              </w:rPr>
            </w:pPr>
          </w:p>
        </w:tc>
        <w:tc>
          <w:tcPr>
            <w:tcW w:w="1361" w:type="dxa"/>
            <w:tcBorders>
              <w:bottom w:val="single" w:sz="4" w:space="0" w:color="auto"/>
            </w:tcBorders>
            <w:shd w:val="clear" w:color="auto" w:fill="C4D79B"/>
            <w:vAlign w:val="center"/>
          </w:tcPr>
          <w:p w14:paraId="4D25BFF1" w14:textId="6B2A392A" w:rsidR="003D2FB5" w:rsidRDefault="003D2FB5" w:rsidP="009A7101">
            <w:pPr>
              <w:jc w:val="center"/>
              <w:rPr>
                <w:rFonts w:ascii="Arial" w:hAnsi="Arial" w:cs="Arial"/>
                <w:b/>
                <w:sz w:val="20"/>
                <w:szCs w:val="20"/>
              </w:rPr>
            </w:pPr>
            <w:r>
              <w:rPr>
                <w:rFonts w:ascii="Arial" w:hAnsi="Arial" w:cs="Arial"/>
                <w:b/>
                <w:sz w:val="20"/>
                <w:szCs w:val="20"/>
              </w:rPr>
              <w:t>Mes previo</w:t>
            </w:r>
          </w:p>
        </w:tc>
        <w:tc>
          <w:tcPr>
            <w:tcW w:w="1474" w:type="dxa"/>
            <w:tcBorders>
              <w:bottom w:val="single" w:sz="4" w:space="0" w:color="auto"/>
            </w:tcBorders>
            <w:shd w:val="clear" w:color="auto" w:fill="C4D79B"/>
            <w:vAlign w:val="center"/>
          </w:tcPr>
          <w:p w14:paraId="3C415F1C" w14:textId="7EBEB200" w:rsidR="003D2FB5" w:rsidRDefault="003D2FB5" w:rsidP="009A7101">
            <w:pPr>
              <w:jc w:val="center"/>
              <w:rPr>
                <w:rFonts w:ascii="Arial" w:hAnsi="Arial" w:cs="Arial"/>
                <w:b/>
                <w:sz w:val="20"/>
                <w:szCs w:val="20"/>
              </w:rPr>
            </w:pPr>
            <w:r>
              <w:rPr>
                <w:rFonts w:ascii="Arial" w:hAnsi="Arial" w:cs="Arial"/>
                <w:b/>
                <w:sz w:val="20"/>
                <w:szCs w:val="20"/>
              </w:rPr>
              <w:t>Mismo mes del año anterior</w:t>
            </w:r>
          </w:p>
        </w:tc>
      </w:tr>
      <w:tr w:rsidR="003D2FB5" w14:paraId="747C6C5C" w14:textId="77777777" w:rsidTr="005E152C">
        <w:trPr>
          <w:trHeight w:val="340"/>
          <w:jc w:val="center"/>
        </w:trPr>
        <w:tc>
          <w:tcPr>
            <w:tcW w:w="1644" w:type="dxa"/>
            <w:tcBorders>
              <w:bottom w:val="nil"/>
              <w:right w:val="single" w:sz="4" w:space="0" w:color="auto"/>
            </w:tcBorders>
            <w:vAlign w:val="center"/>
          </w:tcPr>
          <w:p w14:paraId="6CD06880" w14:textId="23A4FF42" w:rsidR="003D2FB5" w:rsidRDefault="003D2FB5" w:rsidP="005E152C">
            <w:pPr>
              <w:rPr>
                <w:rFonts w:ascii="Arial" w:hAnsi="Arial" w:cs="Arial"/>
                <w:b/>
                <w:sz w:val="20"/>
                <w:szCs w:val="20"/>
              </w:rPr>
            </w:pPr>
            <w:r>
              <w:rPr>
                <w:rFonts w:ascii="Arial" w:hAnsi="Arial" w:cs="Arial"/>
                <w:b/>
                <w:sz w:val="20"/>
                <w:szCs w:val="20"/>
              </w:rPr>
              <w:t>IGPOSE</w:t>
            </w:r>
          </w:p>
        </w:tc>
        <w:tc>
          <w:tcPr>
            <w:tcW w:w="964" w:type="dxa"/>
            <w:tcBorders>
              <w:left w:val="single" w:sz="4" w:space="0" w:color="auto"/>
              <w:bottom w:val="nil"/>
              <w:right w:val="single" w:sz="4" w:space="0" w:color="auto"/>
            </w:tcBorders>
            <w:vAlign w:val="center"/>
          </w:tcPr>
          <w:p w14:paraId="05FBCFA3" w14:textId="10559843" w:rsidR="003D2FB5" w:rsidRPr="006D7CAF" w:rsidRDefault="006542EA" w:rsidP="005E152C">
            <w:pPr>
              <w:jc w:val="center"/>
              <w:rPr>
                <w:rFonts w:ascii="Arial" w:hAnsi="Arial" w:cs="Arial"/>
                <w:sz w:val="20"/>
                <w:szCs w:val="20"/>
              </w:rPr>
            </w:pPr>
            <w:r w:rsidRPr="006D7CAF">
              <w:rPr>
                <w:rFonts w:ascii="Arial" w:hAnsi="Arial" w:cs="Arial"/>
                <w:sz w:val="20"/>
                <w:szCs w:val="20"/>
              </w:rPr>
              <w:t>103.1</w:t>
            </w:r>
          </w:p>
        </w:tc>
        <w:tc>
          <w:tcPr>
            <w:tcW w:w="1361" w:type="dxa"/>
            <w:tcBorders>
              <w:left w:val="single" w:sz="4" w:space="0" w:color="auto"/>
              <w:bottom w:val="nil"/>
              <w:right w:val="single" w:sz="4" w:space="0" w:color="auto"/>
            </w:tcBorders>
            <w:vAlign w:val="center"/>
          </w:tcPr>
          <w:p w14:paraId="285951F8" w14:textId="17BD4635" w:rsidR="003D2FB5" w:rsidRPr="006D7CAF" w:rsidRDefault="00C66BB5" w:rsidP="005E152C">
            <w:pPr>
              <w:jc w:val="center"/>
              <w:rPr>
                <w:rFonts w:ascii="Arial" w:hAnsi="Arial" w:cs="Arial"/>
                <w:sz w:val="20"/>
                <w:szCs w:val="20"/>
              </w:rPr>
            </w:pPr>
            <w:r>
              <w:rPr>
                <w:rFonts w:ascii="Arial" w:hAnsi="Arial" w:cs="Arial"/>
                <w:sz w:val="20"/>
                <w:szCs w:val="20"/>
              </w:rPr>
              <w:t>(</w:t>
            </w:r>
            <w:r w:rsidR="006542EA" w:rsidRPr="006D7CAF">
              <w:rPr>
                <w:rFonts w:ascii="Arial" w:hAnsi="Arial" w:cs="Arial"/>
                <w:sz w:val="20"/>
                <w:szCs w:val="20"/>
              </w:rPr>
              <w:t>-</w:t>
            </w:r>
            <w:r>
              <w:rPr>
                <w:rFonts w:ascii="Arial" w:hAnsi="Arial" w:cs="Arial"/>
                <w:sz w:val="20"/>
                <w:szCs w:val="20"/>
              </w:rPr>
              <w:t xml:space="preserve">) </w:t>
            </w:r>
            <w:r w:rsidR="006542EA" w:rsidRPr="006D7CAF">
              <w:rPr>
                <w:rFonts w:ascii="Arial" w:hAnsi="Arial" w:cs="Arial"/>
                <w:sz w:val="20"/>
                <w:szCs w:val="20"/>
              </w:rPr>
              <w:t>1.9</w:t>
            </w:r>
          </w:p>
        </w:tc>
        <w:tc>
          <w:tcPr>
            <w:tcW w:w="1474" w:type="dxa"/>
            <w:tcBorders>
              <w:left w:val="single" w:sz="4" w:space="0" w:color="auto"/>
              <w:bottom w:val="nil"/>
            </w:tcBorders>
            <w:vAlign w:val="center"/>
          </w:tcPr>
          <w:p w14:paraId="05AA61F3" w14:textId="4344F12D"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6542EA" w:rsidRPr="006D7CAF">
              <w:rPr>
                <w:rFonts w:ascii="Arial" w:hAnsi="Arial" w:cs="Arial"/>
                <w:sz w:val="20"/>
                <w:szCs w:val="20"/>
              </w:rPr>
              <w:t>6.9</w:t>
            </w:r>
          </w:p>
        </w:tc>
      </w:tr>
      <w:tr w:rsidR="003D2FB5" w14:paraId="61476272" w14:textId="77777777" w:rsidTr="005E152C">
        <w:trPr>
          <w:trHeight w:val="340"/>
          <w:jc w:val="center"/>
        </w:trPr>
        <w:tc>
          <w:tcPr>
            <w:tcW w:w="1644" w:type="dxa"/>
            <w:tcBorders>
              <w:top w:val="nil"/>
              <w:bottom w:val="nil"/>
              <w:right w:val="single" w:sz="4" w:space="0" w:color="auto"/>
            </w:tcBorders>
            <w:vAlign w:val="center"/>
          </w:tcPr>
          <w:p w14:paraId="6455F164" w14:textId="465B54F2" w:rsidR="003D2FB5" w:rsidRDefault="003D2FB5" w:rsidP="005E152C">
            <w:pPr>
              <w:rPr>
                <w:rFonts w:ascii="Arial" w:hAnsi="Arial" w:cs="Arial"/>
                <w:b/>
                <w:sz w:val="20"/>
                <w:szCs w:val="20"/>
              </w:rPr>
            </w:pPr>
            <w:r>
              <w:rPr>
                <w:rFonts w:ascii="Arial" w:hAnsi="Arial" w:cs="Arial"/>
                <w:b/>
                <w:sz w:val="20"/>
                <w:szCs w:val="20"/>
              </w:rPr>
              <w:t>IGRESE</w:t>
            </w:r>
          </w:p>
        </w:tc>
        <w:tc>
          <w:tcPr>
            <w:tcW w:w="964" w:type="dxa"/>
            <w:tcBorders>
              <w:top w:val="nil"/>
              <w:left w:val="single" w:sz="4" w:space="0" w:color="auto"/>
              <w:bottom w:val="nil"/>
              <w:right w:val="single" w:sz="4" w:space="0" w:color="auto"/>
            </w:tcBorders>
            <w:vAlign w:val="center"/>
          </w:tcPr>
          <w:p w14:paraId="307B70E6" w14:textId="04BD4EBF" w:rsidR="003D2FB5" w:rsidRPr="006D7CAF" w:rsidRDefault="006542EA" w:rsidP="005E152C">
            <w:pPr>
              <w:jc w:val="center"/>
              <w:rPr>
                <w:rFonts w:ascii="Arial" w:hAnsi="Arial" w:cs="Arial"/>
                <w:sz w:val="20"/>
                <w:szCs w:val="20"/>
              </w:rPr>
            </w:pPr>
            <w:r w:rsidRPr="006D7CAF">
              <w:rPr>
                <w:rFonts w:ascii="Arial" w:hAnsi="Arial" w:cs="Arial"/>
                <w:sz w:val="20"/>
                <w:szCs w:val="20"/>
              </w:rPr>
              <w:t>106.2</w:t>
            </w:r>
          </w:p>
        </w:tc>
        <w:tc>
          <w:tcPr>
            <w:tcW w:w="1361" w:type="dxa"/>
            <w:tcBorders>
              <w:top w:val="nil"/>
              <w:left w:val="single" w:sz="4" w:space="0" w:color="auto"/>
              <w:bottom w:val="nil"/>
              <w:right w:val="single" w:sz="4" w:space="0" w:color="auto"/>
            </w:tcBorders>
            <w:vAlign w:val="center"/>
          </w:tcPr>
          <w:p w14:paraId="0AA6F0C3" w14:textId="0EF5D614"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6542EA" w:rsidRPr="006D7CAF">
              <w:rPr>
                <w:rFonts w:ascii="Arial" w:hAnsi="Arial" w:cs="Arial"/>
                <w:sz w:val="20"/>
                <w:szCs w:val="20"/>
              </w:rPr>
              <w:t>4.9</w:t>
            </w:r>
          </w:p>
        </w:tc>
        <w:tc>
          <w:tcPr>
            <w:tcW w:w="1474" w:type="dxa"/>
            <w:tcBorders>
              <w:top w:val="nil"/>
              <w:left w:val="single" w:sz="4" w:space="0" w:color="auto"/>
              <w:bottom w:val="nil"/>
            </w:tcBorders>
            <w:vAlign w:val="center"/>
          </w:tcPr>
          <w:p w14:paraId="416F2E13" w14:textId="05DDD537"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6542EA" w:rsidRPr="006D7CAF">
              <w:rPr>
                <w:rFonts w:ascii="Arial" w:hAnsi="Arial" w:cs="Arial"/>
                <w:sz w:val="20"/>
                <w:szCs w:val="20"/>
              </w:rPr>
              <w:t>9.7</w:t>
            </w:r>
          </w:p>
        </w:tc>
      </w:tr>
      <w:tr w:rsidR="003D2FB5" w14:paraId="49E68CE6" w14:textId="77777777" w:rsidTr="005E152C">
        <w:trPr>
          <w:trHeight w:val="340"/>
          <w:jc w:val="center"/>
        </w:trPr>
        <w:tc>
          <w:tcPr>
            <w:tcW w:w="1644" w:type="dxa"/>
            <w:tcBorders>
              <w:top w:val="nil"/>
              <w:bottom w:val="single" w:sz="4" w:space="0" w:color="auto"/>
              <w:right w:val="single" w:sz="4" w:space="0" w:color="auto"/>
            </w:tcBorders>
            <w:vAlign w:val="center"/>
          </w:tcPr>
          <w:p w14:paraId="0A989D90" w14:textId="39D5F755" w:rsidR="003D2FB5" w:rsidRDefault="003D2FB5" w:rsidP="005E152C">
            <w:pPr>
              <w:rPr>
                <w:rFonts w:ascii="Arial" w:hAnsi="Arial" w:cs="Arial"/>
                <w:b/>
                <w:sz w:val="20"/>
                <w:szCs w:val="20"/>
              </w:rPr>
            </w:pPr>
            <w:r>
              <w:rPr>
                <w:rFonts w:ascii="Arial" w:hAnsi="Arial" w:cs="Arial"/>
                <w:b/>
                <w:sz w:val="20"/>
                <w:szCs w:val="20"/>
              </w:rPr>
              <w:t>IGREMSE</w:t>
            </w:r>
          </w:p>
        </w:tc>
        <w:tc>
          <w:tcPr>
            <w:tcW w:w="964" w:type="dxa"/>
            <w:tcBorders>
              <w:top w:val="nil"/>
              <w:left w:val="single" w:sz="4" w:space="0" w:color="auto"/>
              <w:bottom w:val="single" w:sz="4" w:space="0" w:color="auto"/>
              <w:right w:val="single" w:sz="4" w:space="0" w:color="auto"/>
            </w:tcBorders>
            <w:vAlign w:val="center"/>
          </w:tcPr>
          <w:p w14:paraId="0AF980C4" w14:textId="50B66372" w:rsidR="003D2FB5" w:rsidRPr="006D7CAF" w:rsidRDefault="006542EA" w:rsidP="005E152C">
            <w:pPr>
              <w:jc w:val="center"/>
              <w:rPr>
                <w:rFonts w:ascii="Arial" w:hAnsi="Arial" w:cs="Arial"/>
                <w:sz w:val="20"/>
                <w:szCs w:val="20"/>
              </w:rPr>
            </w:pPr>
            <w:r w:rsidRPr="006D7CAF">
              <w:rPr>
                <w:rFonts w:ascii="Arial" w:hAnsi="Arial" w:cs="Arial"/>
                <w:sz w:val="20"/>
                <w:szCs w:val="20"/>
              </w:rPr>
              <w:t>103.0</w:t>
            </w:r>
          </w:p>
        </w:tc>
        <w:tc>
          <w:tcPr>
            <w:tcW w:w="1361" w:type="dxa"/>
            <w:tcBorders>
              <w:top w:val="nil"/>
              <w:left w:val="single" w:sz="4" w:space="0" w:color="auto"/>
              <w:bottom w:val="single" w:sz="4" w:space="0" w:color="auto"/>
              <w:right w:val="single" w:sz="4" w:space="0" w:color="auto"/>
            </w:tcBorders>
            <w:vAlign w:val="center"/>
          </w:tcPr>
          <w:p w14:paraId="20CD95D4" w14:textId="5EE00D1F"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5E152C" w:rsidRPr="006D7CAF">
              <w:rPr>
                <w:rFonts w:ascii="Arial" w:hAnsi="Arial" w:cs="Arial"/>
                <w:sz w:val="20"/>
                <w:szCs w:val="20"/>
              </w:rPr>
              <w:t>3.8</w:t>
            </w:r>
          </w:p>
        </w:tc>
        <w:tc>
          <w:tcPr>
            <w:tcW w:w="1474" w:type="dxa"/>
            <w:tcBorders>
              <w:top w:val="nil"/>
              <w:left w:val="single" w:sz="4" w:space="0" w:color="auto"/>
              <w:bottom w:val="single" w:sz="4" w:space="0" w:color="auto"/>
            </w:tcBorders>
            <w:vAlign w:val="center"/>
          </w:tcPr>
          <w:p w14:paraId="09F9A974" w14:textId="7FFFE784"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5E152C" w:rsidRPr="006D7CAF">
              <w:rPr>
                <w:rFonts w:ascii="Arial" w:hAnsi="Arial" w:cs="Arial"/>
                <w:sz w:val="20"/>
                <w:szCs w:val="20"/>
              </w:rPr>
              <w:t>3.1</w:t>
            </w:r>
          </w:p>
        </w:tc>
      </w:tr>
    </w:tbl>
    <w:p w14:paraId="14C3369A" w14:textId="34DD6710" w:rsidR="000A7799" w:rsidRDefault="000A7799" w:rsidP="009A7101">
      <w:pPr>
        <w:spacing w:after="0" w:line="240" w:lineRule="auto"/>
        <w:ind w:left="1701" w:right="992"/>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1889DC5" w14:textId="16FD8E74" w:rsidR="00761940" w:rsidRDefault="005F6572" w:rsidP="005F6572">
      <w:pPr>
        <w:spacing w:after="0" w:line="240" w:lineRule="auto"/>
        <w:ind w:left="-567" w:right="-518"/>
        <w:jc w:val="both"/>
        <w:rPr>
          <w:rFonts w:ascii="Arial" w:hAnsi="Arial" w:cs="Arial"/>
        </w:rPr>
      </w:pPr>
      <w:r w:rsidRPr="005F6572">
        <w:rPr>
          <w:rFonts w:ascii="Arial" w:hAnsi="Arial" w:cs="Arial"/>
        </w:rPr>
        <w:lastRenderedPageBreak/>
        <w:t>El nivel más elevado para IGPOSE es el registrado en mayo de 2019, con 110.8 puntos, el IGRESE presenta su nivel más alto en febrero de 2020, con 120.2 puntos y el IGREMSE en febrero de 2020, con 108.9 puntos.</w:t>
      </w:r>
    </w:p>
    <w:p w14:paraId="184EB7D5" w14:textId="77777777" w:rsidR="005F6572" w:rsidRPr="005F6572" w:rsidRDefault="005F6572" w:rsidP="005F6572">
      <w:pPr>
        <w:spacing w:after="0" w:line="240" w:lineRule="auto"/>
        <w:ind w:left="-567" w:right="-518"/>
        <w:jc w:val="both"/>
        <w:rPr>
          <w:rFonts w:ascii="Arial" w:hAnsi="Arial" w:cs="Arial"/>
        </w:rPr>
      </w:pPr>
    </w:p>
    <w:p w14:paraId="78718F5F" w14:textId="11163FE5" w:rsidR="00761940" w:rsidRPr="00D0286C" w:rsidRDefault="00761940" w:rsidP="009A7101">
      <w:pPr>
        <w:spacing w:after="0" w:line="240" w:lineRule="auto"/>
        <w:ind w:left="-567" w:right="-518"/>
        <w:jc w:val="center"/>
        <w:rPr>
          <w:rFonts w:ascii="Arial" w:hAnsi="Arial" w:cs="Arial"/>
          <w:b/>
          <w:sz w:val="20"/>
          <w:szCs w:val="20"/>
        </w:rPr>
      </w:pPr>
      <w:r w:rsidRPr="00D0286C">
        <w:rPr>
          <w:rFonts w:ascii="Arial" w:hAnsi="Arial" w:cs="Arial"/>
          <w:b/>
          <w:sz w:val="20"/>
          <w:szCs w:val="20"/>
        </w:rPr>
        <w:t>ÍNDICE</w:t>
      </w:r>
      <w:r w:rsidR="007B6043">
        <w:rPr>
          <w:rFonts w:ascii="Arial" w:hAnsi="Arial" w:cs="Arial"/>
          <w:b/>
          <w:sz w:val="20"/>
          <w:szCs w:val="20"/>
        </w:rPr>
        <w:t>S</w:t>
      </w:r>
      <w:r w:rsidRPr="00D0286C">
        <w:rPr>
          <w:rFonts w:ascii="Arial" w:hAnsi="Arial" w:cs="Arial"/>
          <w:b/>
          <w:sz w:val="20"/>
          <w:szCs w:val="20"/>
        </w:rPr>
        <w:t xml:space="preserve"> GLOBAL</w:t>
      </w:r>
      <w:r w:rsidR="007B6043">
        <w:rPr>
          <w:rFonts w:ascii="Arial" w:hAnsi="Arial" w:cs="Arial"/>
          <w:b/>
          <w:sz w:val="20"/>
          <w:szCs w:val="20"/>
        </w:rPr>
        <w:t>ES</w:t>
      </w:r>
      <w:r w:rsidRPr="00D0286C">
        <w:rPr>
          <w:rFonts w:ascii="Arial" w:hAnsi="Arial" w:cs="Arial"/>
          <w:b/>
          <w:sz w:val="20"/>
          <w:szCs w:val="20"/>
        </w:rPr>
        <w:t xml:space="preserve"> DE PERSONAL </w:t>
      </w:r>
      <w:r w:rsidR="007B6043">
        <w:rPr>
          <w:rFonts w:ascii="Arial" w:hAnsi="Arial" w:cs="Arial"/>
          <w:b/>
          <w:sz w:val="20"/>
          <w:szCs w:val="20"/>
        </w:rPr>
        <w:t>Y REMUNERACIONES</w:t>
      </w:r>
      <w:r w:rsidRPr="00D0286C">
        <w:rPr>
          <w:rFonts w:ascii="Arial" w:hAnsi="Arial" w:cs="Arial"/>
          <w:b/>
          <w:sz w:val="20"/>
          <w:szCs w:val="20"/>
        </w:rPr>
        <w:t xml:space="preserve"> DE LOS SECTORES ECONÓMICOS</w:t>
      </w:r>
    </w:p>
    <w:p w14:paraId="379637F5" w14:textId="77777777" w:rsidR="00761940" w:rsidRPr="00D0286C" w:rsidRDefault="00761940" w:rsidP="009A7101">
      <w:pPr>
        <w:spacing w:after="0" w:line="240" w:lineRule="auto"/>
        <w:jc w:val="center"/>
        <w:rPr>
          <w:rFonts w:ascii="Arial" w:hAnsi="Arial" w:cs="Arial"/>
          <w:b/>
          <w:sz w:val="20"/>
          <w:szCs w:val="20"/>
        </w:rPr>
      </w:pPr>
      <w:r>
        <w:rPr>
          <w:rFonts w:ascii="Arial" w:hAnsi="Arial" w:cs="Arial"/>
          <w:b/>
          <w:sz w:val="20"/>
          <w:szCs w:val="20"/>
        </w:rPr>
        <w:t>ENERO DE 2008 – MAYO DE 2020</w:t>
      </w:r>
    </w:p>
    <w:p w14:paraId="18ED8301" w14:textId="1FADA8EF" w:rsidR="00761940" w:rsidRPr="00D0286C" w:rsidRDefault="00761940" w:rsidP="009A7101">
      <w:pPr>
        <w:spacing w:after="0" w:line="240" w:lineRule="auto"/>
        <w:jc w:val="center"/>
        <w:rPr>
          <w:rFonts w:ascii="Arial" w:hAnsi="Arial" w:cs="Arial"/>
          <w:b/>
          <w:sz w:val="20"/>
          <w:szCs w:val="20"/>
        </w:rPr>
      </w:pPr>
      <w:r w:rsidRPr="00D0286C">
        <w:rPr>
          <w:rFonts w:ascii="Arial" w:hAnsi="Arial" w:cs="Arial"/>
          <w:b/>
          <w:sz w:val="20"/>
          <w:szCs w:val="20"/>
        </w:rPr>
        <w:t>TENDENCIA-CICLO</w:t>
      </w:r>
    </w:p>
    <w:p w14:paraId="6AC77E66" w14:textId="65E97D23" w:rsidR="00761940" w:rsidRDefault="00761940"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49728E84" w14:textId="2F518A82" w:rsidR="00F0217A" w:rsidRDefault="00F0217A" w:rsidP="009A7101">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663B7950" wp14:editId="54BA9A1C">
            <wp:extent cx="5760000" cy="2700000"/>
            <wp:effectExtent l="0" t="0" r="12700" b="57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229647" w14:textId="77777777" w:rsidR="007B6043" w:rsidRDefault="007B6043" w:rsidP="00195891">
      <w:pPr>
        <w:spacing w:after="0" w:line="240" w:lineRule="auto"/>
        <w:ind w:right="992"/>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3ED98392" w14:textId="77777777" w:rsidR="00E8036B" w:rsidRDefault="00E8036B" w:rsidP="009A7101">
      <w:pPr>
        <w:spacing w:after="0" w:line="240" w:lineRule="auto"/>
        <w:ind w:left="-567" w:right="-518"/>
        <w:jc w:val="both"/>
        <w:rPr>
          <w:rFonts w:ascii="Arial" w:hAnsi="Arial" w:cs="Arial"/>
          <w:sz w:val="24"/>
          <w:szCs w:val="24"/>
        </w:rPr>
      </w:pPr>
    </w:p>
    <w:p w14:paraId="1C77F29E" w14:textId="77777777" w:rsidR="005F6572" w:rsidRPr="005F6572" w:rsidRDefault="005F6572" w:rsidP="005F6572">
      <w:pPr>
        <w:spacing w:after="0" w:line="240" w:lineRule="auto"/>
        <w:ind w:left="-567" w:right="-518"/>
        <w:jc w:val="both"/>
        <w:rPr>
          <w:rStyle w:val="Hipervnculo"/>
          <w:rFonts w:ascii="Arial" w:hAnsi="Arial" w:cs="Arial"/>
        </w:rPr>
      </w:pPr>
      <w:r w:rsidRPr="005F6572">
        <w:rPr>
          <w:rFonts w:ascii="Arial" w:hAnsi="Arial" w:cs="Arial"/>
        </w:rPr>
        <w:t>La difusión de los Índices Globales de Personal y Remuneraciones de los Sectores Económicos se realiza a través de la página del INEGI (</w:t>
      </w:r>
      <w:hyperlink r:id="rId9" w:history="1">
        <w:r w:rsidRPr="005F6572">
          <w:rPr>
            <w:rStyle w:val="Hipervnculo"/>
            <w:rFonts w:ascii="Arial" w:hAnsi="Arial" w:cs="Arial"/>
          </w:rPr>
          <w:t>www.inegi.org.mx</w:t>
        </w:r>
      </w:hyperlink>
      <w:r w:rsidRPr="005F6572">
        <w:rPr>
          <w:rStyle w:val="Hipervnculo"/>
          <w:rFonts w:ascii="Arial" w:hAnsi="Arial" w:cs="Arial"/>
        </w:rPr>
        <w:t>)</w:t>
      </w:r>
      <w:r w:rsidRPr="005F6572">
        <w:rPr>
          <w:rFonts w:ascii="Arial" w:hAnsi="Arial" w:cs="Arial"/>
        </w:rPr>
        <w:t>.</w:t>
      </w:r>
    </w:p>
    <w:p w14:paraId="03E8E40F" w14:textId="77777777" w:rsidR="006E348F" w:rsidRDefault="006E348F" w:rsidP="005F6572">
      <w:pPr>
        <w:spacing w:after="0" w:line="240" w:lineRule="auto"/>
        <w:ind w:right="160"/>
        <w:rPr>
          <w:rFonts w:ascii="Arial" w:hAnsi="Arial" w:cs="Arial"/>
          <w:b/>
          <w:i/>
          <w:sz w:val="24"/>
          <w:szCs w:val="24"/>
        </w:rPr>
      </w:pPr>
    </w:p>
    <w:p w14:paraId="03D4FD36" w14:textId="4FBC3FD0" w:rsidR="00C86485" w:rsidRPr="005F6572" w:rsidRDefault="00C86485" w:rsidP="009A7101">
      <w:pPr>
        <w:spacing w:after="0" w:line="240" w:lineRule="auto"/>
        <w:ind w:left="-567" w:right="160"/>
        <w:rPr>
          <w:rFonts w:ascii="Arial" w:hAnsi="Arial" w:cs="Arial"/>
          <w:b/>
          <w:i/>
        </w:rPr>
      </w:pPr>
      <w:r w:rsidRPr="005F6572">
        <w:rPr>
          <w:rFonts w:ascii="Arial" w:hAnsi="Arial" w:cs="Arial"/>
          <w:b/>
          <w:i/>
        </w:rPr>
        <w:t>Nota al usuario</w:t>
      </w:r>
      <w:r w:rsidR="00D23BCF" w:rsidRPr="005F6572">
        <w:rPr>
          <w:rFonts w:ascii="Arial" w:hAnsi="Arial" w:cs="Arial"/>
          <w:b/>
          <w:i/>
        </w:rPr>
        <w:t>.</w:t>
      </w:r>
    </w:p>
    <w:p w14:paraId="55E524BC" w14:textId="7866E65F" w:rsidR="00706DDC" w:rsidRPr="005F6572" w:rsidRDefault="00706DDC" w:rsidP="009A7101">
      <w:pPr>
        <w:spacing w:after="0" w:line="240" w:lineRule="auto"/>
        <w:ind w:left="-567" w:right="160"/>
        <w:rPr>
          <w:rFonts w:ascii="Arial" w:hAnsi="Arial" w:cs="Arial"/>
        </w:rPr>
      </w:pPr>
    </w:p>
    <w:p w14:paraId="6B103C5F" w14:textId="3A7F1F97" w:rsidR="00C86485" w:rsidRPr="005F6572" w:rsidRDefault="000B1661" w:rsidP="009A7101">
      <w:pPr>
        <w:spacing w:after="0" w:line="240" w:lineRule="auto"/>
        <w:ind w:left="-567" w:right="-518"/>
        <w:jc w:val="both"/>
        <w:rPr>
          <w:rFonts w:ascii="Arial" w:hAnsi="Arial" w:cs="Arial"/>
        </w:rPr>
      </w:pPr>
      <w:r w:rsidRPr="005F6572">
        <w:rPr>
          <w:rFonts w:ascii="Arial" w:hAnsi="Arial" w:cs="Arial"/>
        </w:rPr>
        <w:t>Por otra parte, d</w:t>
      </w:r>
      <w:r w:rsidR="00C86485" w:rsidRPr="005F6572">
        <w:rPr>
          <w:rFonts w:ascii="Arial" w:hAnsi="Arial" w:cs="Arial"/>
        </w:rPr>
        <w:t>e acuerdo con lo publicado por el INEGI en su Comunicado de Prensa del 31 de marzo de 2020, en el cual se dieron a conocer las medidas extraordinarias que tomó el Instituto por el estado de emergencia sanitaria originada por el COVID-19, la captación de las Encuestas Económicas Nacionales que se consideran para la integración de</w:t>
      </w:r>
      <w:r w:rsidR="00975852" w:rsidRPr="005F6572">
        <w:rPr>
          <w:rFonts w:ascii="Arial" w:hAnsi="Arial" w:cs="Arial"/>
        </w:rPr>
        <w:t xml:space="preserve"> </w:t>
      </w:r>
      <w:r w:rsidR="00C86485" w:rsidRPr="005F6572">
        <w:rPr>
          <w:rFonts w:ascii="Arial" w:hAnsi="Arial" w:cs="Arial"/>
        </w:rPr>
        <w:t>l</w:t>
      </w:r>
      <w:r w:rsidR="00975852" w:rsidRPr="005F6572">
        <w:rPr>
          <w:rFonts w:ascii="Arial" w:hAnsi="Arial" w:cs="Arial"/>
        </w:rPr>
        <w:t>os</w:t>
      </w:r>
      <w:r w:rsidR="00C86485" w:rsidRPr="005F6572">
        <w:rPr>
          <w:rFonts w:ascii="Arial" w:hAnsi="Arial" w:cs="Arial"/>
        </w:rPr>
        <w:t xml:space="preserve"> </w:t>
      </w:r>
      <w:r w:rsidR="00706DDC" w:rsidRPr="005F6572">
        <w:rPr>
          <w:rFonts w:ascii="Arial" w:hAnsi="Arial" w:cs="Arial"/>
        </w:rPr>
        <w:t>Índice</w:t>
      </w:r>
      <w:r w:rsidR="00975852" w:rsidRPr="005F6572">
        <w:rPr>
          <w:rFonts w:ascii="Arial" w:hAnsi="Arial" w:cs="Arial"/>
        </w:rPr>
        <w:t>s</w:t>
      </w:r>
      <w:r w:rsidR="00706DDC" w:rsidRPr="005F6572">
        <w:rPr>
          <w:rFonts w:ascii="Arial" w:hAnsi="Arial" w:cs="Arial"/>
        </w:rPr>
        <w:t xml:space="preserve"> Global</w:t>
      </w:r>
      <w:r w:rsidR="00975852" w:rsidRPr="005F6572">
        <w:rPr>
          <w:rFonts w:ascii="Arial" w:hAnsi="Arial" w:cs="Arial"/>
        </w:rPr>
        <w:t>es</w:t>
      </w:r>
      <w:r w:rsidR="00706DDC" w:rsidRPr="005F6572">
        <w:rPr>
          <w:rFonts w:ascii="Arial" w:hAnsi="Arial" w:cs="Arial"/>
        </w:rPr>
        <w:t xml:space="preserve"> de Personal</w:t>
      </w:r>
      <w:r w:rsidR="00975852" w:rsidRPr="005F6572">
        <w:rPr>
          <w:rFonts w:ascii="Arial" w:hAnsi="Arial" w:cs="Arial"/>
        </w:rPr>
        <w:t xml:space="preserve"> y Remuneraciones</w:t>
      </w:r>
      <w:r w:rsidR="00706DDC" w:rsidRPr="005F6572">
        <w:rPr>
          <w:rFonts w:ascii="Arial" w:hAnsi="Arial" w:cs="Arial"/>
        </w:rPr>
        <w:t xml:space="preserve"> de los Sectores Económicos </w:t>
      </w:r>
      <w:r w:rsidR="00C86485" w:rsidRPr="005F6572">
        <w:rPr>
          <w:rFonts w:ascii="Arial" w:hAnsi="Arial" w:cs="Arial"/>
        </w:rPr>
        <w:t xml:space="preserve">correspondiente al </w:t>
      </w:r>
      <w:r w:rsidR="00975852" w:rsidRPr="005F6572">
        <w:rPr>
          <w:rFonts w:ascii="Arial" w:hAnsi="Arial" w:cs="Arial"/>
        </w:rPr>
        <w:t>mes de mayo</w:t>
      </w:r>
      <w:r w:rsidR="00C86485" w:rsidRPr="005F6572">
        <w:rPr>
          <w:rFonts w:ascii="Arial" w:hAnsi="Arial" w:cs="Arial"/>
        </w:rPr>
        <w:t xml:space="preserve"> de 2020 se real</w:t>
      </w:r>
      <w:r w:rsidR="009A7101" w:rsidRPr="005F6572">
        <w:rPr>
          <w:rFonts w:ascii="Arial" w:hAnsi="Arial" w:cs="Arial"/>
        </w:rPr>
        <w:t>izó en los tiempos establecidos</w:t>
      </w:r>
      <w:r w:rsidR="003E6257" w:rsidRPr="005F6572">
        <w:rPr>
          <w:rFonts w:ascii="Arial" w:hAnsi="Arial" w:cs="Arial"/>
        </w:rPr>
        <w:t>,</w:t>
      </w:r>
      <w:r w:rsidR="00C86485" w:rsidRPr="005F6572">
        <w:rPr>
          <w:rFonts w:ascii="Arial" w:hAnsi="Arial" w:cs="Arial"/>
        </w:rPr>
        <w:t xml:space="preserve"> mediante Internet y asistencia telefónica con el fin de evitar el contacto presencial.</w:t>
      </w:r>
    </w:p>
    <w:p w14:paraId="2E6E0CD5" w14:textId="77777777" w:rsidR="00706DDC" w:rsidRPr="005F6572" w:rsidRDefault="00706DDC" w:rsidP="009A7101">
      <w:pPr>
        <w:spacing w:after="0" w:line="240" w:lineRule="auto"/>
        <w:ind w:left="-567" w:right="-518"/>
        <w:jc w:val="both"/>
        <w:rPr>
          <w:rFonts w:ascii="Arial" w:hAnsi="Arial" w:cs="Arial"/>
        </w:rPr>
      </w:pPr>
    </w:p>
    <w:p w14:paraId="68E8FCE0" w14:textId="5DE275E5" w:rsidR="00C86485" w:rsidRPr="005F6572" w:rsidRDefault="00C86485" w:rsidP="009A7101">
      <w:pPr>
        <w:spacing w:after="0" w:line="240" w:lineRule="auto"/>
        <w:ind w:left="-567" w:right="-518"/>
        <w:jc w:val="both"/>
        <w:rPr>
          <w:rFonts w:ascii="Arial" w:hAnsi="Arial" w:cs="Arial"/>
        </w:rPr>
      </w:pPr>
      <w:r w:rsidRPr="005F6572">
        <w:rPr>
          <w:rFonts w:ascii="Arial" w:hAnsi="Arial" w:cs="Arial"/>
        </w:rPr>
        <w:t xml:space="preserve">En este contexto, la Tasa de No Respuesta </w:t>
      </w:r>
      <w:r w:rsidR="00D23BCF" w:rsidRPr="005F6572">
        <w:rPr>
          <w:rFonts w:ascii="Arial" w:hAnsi="Arial" w:cs="Arial"/>
        </w:rPr>
        <w:t>de la captación</w:t>
      </w:r>
      <w:r w:rsidRPr="005F6572">
        <w:rPr>
          <w:rFonts w:ascii="Arial" w:hAnsi="Arial" w:cs="Arial"/>
        </w:rPr>
        <w:t xml:space="preserve"> de la información correspondiente </w:t>
      </w:r>
      <w:r w:rsidR="00706DDC" w:rsidRPr="005F6572">
        <w:rPr>
          <w:rFonts w:ascii="Arial" w:hAnsi="Arial" w:cs="Arial"/>
        </w:rPr>
        <w:t xml:space="preserve">al mes de </w:t>
      </w:r>
      <w:r w:rsidR="00076274" w:rsidRPr="005F6572">
        <w:rPr>
          <w:rFonts w:ascii="Arial" w:hAnsi="Arial" w:cs="Arial"/>
        </w:rPr>
        <w:t>mayo</w:t>
      </w:r>
      <w:r w:rsidR="00706DDC" w:rsidRPr="005F6572">
        <w:rPr>
          <w:rFonts w:ascii="Arial" w:hAnsi="Arial" w:cs="Arial"/>
        </w:rPr>
        <w:t xml:space="preserve"> </w:t>
      </w:r>
      <w:r w:rsidRPr="005F6572">
        <w:rPr>
          <w:rFonts w:ascii="Arial" w:hAnsi="Arial" w:cs="Arial"/>
        </w:rPr>
        <w:t>de 2020</w:t>
      </w:r>
      <w:r w:rsidR="00D23BCF" w:rsidRPr="005F6572">
        <w:rPr>
          <w:rFonts w:ascii="Arial" w:hAnsi="Arial" w:cs="Arial"/>
        </w:rPr>
        <w:t>,</w:t>
      </w:r>
      <w:r w:rsidRPr="005F6572">
        <w:rPr>
          <w:rFonts w:ascii="Arial" w:hAnsi="Arial" w:cs="Arial"/>
        </w:rPr>
        <w:t xml:space="preserve"> registró porcentajes apropiados conforme al diseño estadístico de cada una de las encuestas, lo que permitió la generación de estadísticas con niveles altos de cobertura y precisión estadística para su integración en </w:t>
      </w:r>
      <w:r w:rsidR="00076274" w:rsidRPr="005F6572">
        <w:rPr>
          <w:rFonts w:ascii="Arial" w:hAnsi="Arial" w:cs="Arial"/>
        </w:rPr>
        <w:t>los Índices Globales de Personal y Remuneraciones de los Sectores Económicos</w:t>
      </w:r>
      <w:r w:rsidRPr="005F6572">
        <w:rPr>
          <w:rFonts w:ascii="Arial" w:hAnsi="Arial" w:cs="Arial"/>
        </w:rPr>
        <w:t xml:space="preserve"> del </w:t>
      </w:r>
      <w:r w:rsidR="00706DDC" w:rsidRPr="005F6572">
        <w:rPr>
          <w:rFonts w:ascii="Arial" w:hAnsi="Arial" w:cs="Arial"/>
        </w:rPr>
        <w:t>mes</w:t>
      </w:r>
      <w:r w:rsidRPr="005F6572">
        <w:rPr>
          <w:rFonts w:ascii="Arial" w:hAnsi="Arial" w:cs="Arial"/>
        </w:rPr>
        <w:t xml:space="preserve"> de referencia.</w:t>
      </w:r>
    </w:p>
    <w:p w14:paraId="5D1075C9" w14:textId="528A8913" w:rsidR="00F47EF4" w:rsidRDefault="00F47EF4" w:rsidP="009A7101">
      <w:pPr>
        <w:spacing w:after="0" w:line="240" w:lineRule="auto"/>
        <w:ind w:right="160"/>
        <w:jc w:val="center"/>
        <w:rPr>
          <w:rFonts w:ascii="Arial" w:eastAsia="Arial" w:hAnsi="Arial" w:cs="Arial"/>
          <w:b/>
          <w:bCs/>
          <w:sz w:val="24"/>
        </w:rPr>
      </w:pPr>
      <w:r w:rsidRPr="00C86485">
        <w:rPr>
          <w:rFonts w:ascii="Arial" w:eastAsia="Arial" w:hAnsi="Arial" w:cs="Arial"/>
          <w:b/>
          <w:bCs/>
          <w:sz w:val="24"/>
        </w:rPr>
        <w:t>S</w:t>
      </w:r>
      <w:r w:rsidR="006F761C" w:rsidRPr="00C86485">
        <w:rPr>
          <w:rFonts w:ascii="Arial" w:eastAsia="Arial" w:hAnsi="Arial" w:cs="Arial"/>
          <w:b/>
          <w:bCs/>
          <w:sz w:val="24"/>
        </w:rPr>
        <w:t>e anexa Nota Técnica</w:t>
      </w:r>
      <w:bookmarkStart w:id="1" w:name="FinComunicado"/>
      <w:bookmarkEnd w:id="1"/>
    </w:p>
    <w:p w14:paraId="27B976C5" w14:textId="77777777" w:rsidR="005F6572" w:rsidRPr="00C86485" w:rsidRDefault="005F6572" w:rsidP="009A7101">
      <w:pPr>
        <w:spacing w:after="0" w:line="240" w:lineRule="auto"/>
        <w:ind w:right="160"/>
        <w:jc w:val="center"/>
        <w:rPr>
          <w:rFonts w:ascii="Arial" w:eastAsia="Arial" w:hAnsi="Arial" w:cs="Arial"/>
          <w:b/>
          <w:bCs/>
          <w:sz w:val="24"/>
        </w:rPr>
      </w:pPr>
    </w:p>
    <w:p w14:paraId="5DF7FDD1" w14:textId="4C68A188" w:rsidR="00F47EF4" w:rsidRDefault="00F47EF4" w:rsidP="009A7101">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0"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0DD121F5" w14:textId="77777777" w:rsidR="00F47EF4" w:rsidRPr="00245F14" w:rsidRDefault="00F47EF4" w:rsidP="009A7101">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057EE71E" w14:textId="0E3E0484" w:rsidR="00317C6E" w:rsidRDefault="00F47EF4" w:rsidP="009A7101">
      <w:pPr>
        <w:spacing w:line="240" w:lineRule="auto"/>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70752FA7" w14:textId="77777777" w:rsidR="00F47EF4" w:rsidRDefault="00F47EF4" w:rsidP="009A7101">
      <w:pPr>
        <w:spacing w:line="240" w:lineRule="auto"/>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7D683A94">
            <wp:extent cx="239714" cy="242684"/>
            <wp:effectExtent l="0" t="0" r="8255" b="5080"/>
            <wp:docPr id="16" name="Imagen 16"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613" cy="25878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32F52C09">
            <wp:extent cx="252964" cy="251237"/>
            <wp:effectExtent l="0" t="0" r="0" b="0"/>
            <wp:docPr id="17" name="Imagen 1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3130" cy="350719"/>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23A8E5CA">
            <wp:extent cx="245497" cy="247650"/>
            <wp:effectExtent l="0" t="0" r="2540" b="0"/>
            <wp:docPr id="4" name="Imagen 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001" cy="260263"/>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7D858145">
            <wp:extent cx="243632" cy="247650"/>
            <wp:effectExtent l="0" t="0" r="4445" b="0"/>
            <wp:docPr id="18" name="Imagen 18"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827" cy="291557"/>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6345613D">
            <wp:extent cx="2019300" cy="277901"/>
            <wp:effectExtent l="0" t="0" r="0" b="8255"/>
            <wp:docPr id="19" name="Imagen 1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29237" cy="320555"/>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9A7101">
      <w:pPr>
        <w:spacing w:line="240" w:lineRule="auto"/>
        <w:rPr>
          <w:noProof/>
          <w:sz w:val="20"/>
          <w:lang w:eastAsia="es-MX"/>
        </w:rPr>
        <w:sectPr w:rsidR="00F47EF4" w:rsidSect="005F6572">
          <w:headerReference w:type="default" r:id="rId21"/>
          <w:footerReference w:type="default" r:id="rId22"/>
          <w:pgSz w:w="12240" w:h="15840"/>
          <w:pgMar w:top="1843" w:right="1701" w:bottom="993" w:left="1701" w:header="568" w:footer="708" w:gutter="0"/>
          <w:cols w:space="708"/>
          <w:docGrid w:linePitch="360"/>
        </w:sectPr>
      </w:pPr>
    </w:p>
    <w:p w14:paraId="7E356AB8" w14:textId="77777777" w:rsidR="00F47EF4" w:rsidRDefault="00F47EF4" w:rsidP="009A7101">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3EAF30" w:rsidR="00F47EF4" w:rsidRDefault="00F47EF4" w:rsidP="009A7101">
      <w:pPr>
        <w:spacing w:after="0" w:line="240" w:lineRule="auto"/>
        <w:jc w:val="center"/>
        <w:rPr>
          <w:rFonts w:ascii="Arial" w:hAnsi="Arial" w:cs="Arial"/>
          <w:b/>
          <w:sz w:val="24"/>
          <w:szCs w:val="24"/>
        </w:rPr>
      </w:pPr>
      <w:r w:rsidRPr="00A4209B">
        <w:rPr>
          <w:rFonts w:ascii="Arial" w:hAnsi="Arial" w:cs="Arial"/>
          <w:b/>
          <w:sz w:val="24"/>
          <w:szCs w:val="24"/>
        </w:rPr>
        <w:t>ÍNDICE</w:t>
      </w:r>
      <w:r w:rsidR="007D639B">
        <w:rPr>
          <w:rFonts w:ascii="Arial" w:hAnsi="Arial" w:cs="Arial"/>
          <w:b/>
          <w:sz w:val="24"/>
          <w:szCs w:val="24"/>
        </w:rPr>
        <w:t>S</w:t>
      </w:r>
      <w:r w:rsidRPr="00A4209B">
        <w:rPr>
          <w:rFonts w:ascii="Arial" w:hAnsi="Arial" w:cs="Arial"/>
          <w:b/>
          <w:sz w:val="24"/>
          <w:szCs w:val="24"/>
        </w:rPr>
        <w:t xml:space="preserve"> GLOBAL</w:t>
      </w:r>
      <w:r w:rsidR="007D639B">
        <w:rPr>
          <w:rFonts w:ascii="Arial" w:hAnsi="Arial" w:cs="Arial"/>
          <w:b/>
          <w:sz w:val="24"/>
          <w:szCs w:val="24"/>
        </w:rPr>
        <w:t>ES</w:t>
      </w:r>
      <w:r w:rsidRPr="00A4209B">
        <w:rPr>
          <w:rFonts w:ascii="Arial" w:hAnsi="Arial" w:cs="Arial"/>
          <w:b/>
          <w:sz w:val="24"/>
          <w:szCs w:val="24"/>
        </w:rPr>
        <w:t xml:space="preserve"> DE PERSONAL </w:t>
      </w:r>
      <w:r w:rsidR="007D639B">
        <w:rPr>
          <w:rFonts w:ascii="Arial" w:hAnsi="Arial" w:cs="Arial"/>
          <w:b/>
          <w:sz w:val="24"/>
          <w:szCs w:val="24"/>
        </w:rPr>
        <w:t>Y REMUNERACIONES</w:t>
      </w:r>
      <w:r w:rsidRPr="00A4209B">
        <w:rPr>
          <w:rFonts w:ascii="Arial" w:hAnsi="Arial" w:cs="Arial"/>
          <w:b/>
          <w:sz w:val="24"/>
          <w:szCs w:val="24"/>
        </w:rPr>
        <w:t xml:space="preserve"> DE LOS SECTORES ECONÓMICOS</w:t>
      </w:r>
    </w:p>
    <w:p w14:paraId="189D040B" w14:textId="702429C2" w:rsidR="00F47EF4" w:rsidRPr="00A4209B" w:rsidRDefault="00F47EF4" w:rsidP="009A7101">
      <w:pPr>
        <w:spacing w:after="0" w:line="240" w:lineRule="auto"/>
        <w:jc w:val="center"/>
        <w:rPr>
          <w:rFonts w:ascii="Arial" w:hAnsi="Arial" w:cs="Arial"/>
          <w:b/>
          <w:sz w:val="24"/>
          <w:szCs w:val="24"/>
        </w:rPr>
      </w:pPr>
      <w:r>
        <w:rPr>
          <w:rFonts w:ascii="Arial" w:hAnsi="Arial" w:cs="Arial"/>
          <w:b/>
          <w:sz w:val="24"/>
          <w:szCs w:val="24"/>
        </w:rPr>
        <w:t xml:space="preserve">CIFRAS DE </w:t>
      </w:r>
      <w:r w:rsidR="007D639B">
        <w:rPr>
          <w:rFonts w:ascii="Arial" w:hAnsi="Arial" w:cs="Arial"/>
          <w:b/>
          <w:sz w:val="24"/>
          <w:szCs w:val="24"/>
        </w:rPr>
        <w:t>MAYO</w:t>
      </w:r>
      <w:r w:rsidR="00A738F7">
        <w:rPr>
          <w:rFonts w:ascii="Arial" w:hAnsi="Arial" w:cs="Arial"/>
          <w:b/>
          <w:sz w:val="24"/>
          <w:szCs w:val="24"/>
        </w:rPr>
        <w:t xml:space="preserve"> DE 20</w:t>
      </w:r>
      <w:r w:rsidR="006502D0">
        <w:rPr>
          <w:rFonts w:ascii="Arial" w:hAnsi="Arial" w:cs="Arial"/>
          <w:b/>
          <w:sz w:val="24"/>
          <w:szCs w:val="24"/>
        </w:rPr>
        <w:t>20</w:t>
      </w:r>
    </w:p>
    <w:p w14:paraId="5AB0CC32" w14:textId="77777777" w:rsidR="00F47EF4" w:rsidRDefault="00F47EF4" w:rsidP="009A7101">
      <w:pPr>
        <w:spacing w:after="0" w:line="240" w:lineRule="auto"/>
        <w:jc w:val="both"/>
        <w:rPr>
          <w:rFonts w:ascii="Arial" w:hAnsi="Arial" w:cs="Arial"/>
          <w:sz w:val="24"/>
          <w:szCs w:val="24"/>
        </w:rPr>
      </w:pPr>
    </w:p>
    <w:p w14:paraId="69F22DBC" w14:textId="3C936189" w:rsidR="00F47EF4" w:rsidRDefault="003E6257" w:rsidP="009A7101">
      <w:pPr>
        <w:spacing w:after="0" w:line="240" w:lineRule="auto"/>
        <w:jc w:val="both"/>
        <w:rPr>
          <w:rFonts w:ascii="Arial" w:hAnsi="Arial" w:cs="Arial"/>
          <w:sz w:val="24"/>
          <w:szCs w:val="24"/>
        </w:rPr>
      </w:pPr>
      <w:r w:rsidRPr="003E6257">
        <w:rPr>
          <w:rFonts w:ascii="Arial" w:hAnsi="Arial" w:cs="Arial"/>
          <w:sz w:val="24"/>
          <w:szCs w:val="24"/>
        </w:rPr>
        <w:t>El Instituto Nacional de Estadística y Geografía (INEGI) difunde por primera vez los Índices Globales de Personal y Remuneraciones de los Sectores Económicos (IGPERSE), integrados por dos nuevos indicadores, el Índice Global de Remuneraciones de los Sectores Económicos (IGRESE) y el Índice Global de Remuneraciones Medias Reales de los Sectores Económicos (IGREMSE), además del Índice Global de Personal Ocupado de los Sectores Económicos (IGPOSE) que ya se estaba difundiendo.</w:t>
      </w:r>
    </w:p>
    <w:p w14:paraId="5C1793C2" w14:textId="77777777" w:rsidR="003E6257" w:rsidRDefault="003E6257" w:rsidP="009A7101">
      <w:pPr>
        <w:spacing w:after="0" w:line="240" w:lineRule="auto"/>
        <w:jc w:val="both"/>
        <w:rPr>
          <w:rFonts w:ascii="Arial" w:hAnsi="Arial" w:cs="Arial"/>
          <w:sz w:val="24"/>
          <w:szCs w:val="24"/>
        </w:rPr>
      </w:pPr>
    </w:p>
    <w:p w14:paraId="75B4A3A5" w14:textId="7DF4F95E" w:rsidR="007D639B" w:rsidRDefault="00CA56A0" w:rsidP="009A7101">
      <w:pPr>
        <w:spacing w:after="0" w:line="240" w:lineRule="auto"/>
        <w:jc w:val="both"/>
        <w:rPr>
          <w:rFonts w:ascii="Arial" w:hAnsi="Arial" w:cs="Arial"/>
          <w:sz w:val="24"/>
          <w:szCs w:val="24"/>
        </w:rPr>
      </w:pPr>
      <w:r>
        <w:rPr>
          <w:rFonts w:ascii="Arial" w:hAnsi="Arial" w:cs="Arial"/>
          <w:sz w:val="24"/>
          <w:szCs w:val="24"/>
        </w:rPr>
        <w:t xml:space="preserve">Los </w:t>
      </w:r>
      <w:r w:rsidR="00881319">
        <w:rPr>
          <w:rFonts w:ascii="Arial" w:hAnsi="Arial" w:cs="Arial"/>
          <w:sz w:val="24"/>
          <w:szCs w:val="24"/>
        </w:rPr>
        <w:t>índices g</w:t>
      </w:r>
      <w:r w:rsidR="00A745D3">
        <w:rPr>
          <w:rFonts w:ascii="Arial" w:hAnsi="Arial" w:cs="Arial"/>
          <w:sz w:val="24"/>
          <w:szCs w:val="24"/>
        </w:rPr>
        <w:t>lobales</w:t>
      </w:r>
      <w:r w:rsidR="007D639B" w:rsidRPr="007D639B">
        <w:rPr>
          <w:rFonts w:ascii="Arial" w:hAnsi="Arial" w:cs="Arial"/>
          <w:sz w:val="24"/>
          <w:szCs w:val="24"/>
        </w:rPr>
        <w:t>, tienen como objetivo primordial representar una aproximación al personal ocupado y a las remuneraciones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w:t>
      </w:r>
    </w:p>
    <w:p w14:paraId="20497036" w14:textId="77777777" w:rsidR="00F47EF4" w:rsidRDefault="00F47EF4" w:rsidP="009A7101">
      <w:pPr>
        <w:spacing w:after="0" w:line="240" w:lineRule="auto"/>
        <w:jc w:val="both"/>
        <w:rPr>
          <w:rFonts w:ascii="Arial" w:hAnsi="Arial" w:cs="Arial"/>
          <w:sz w:val="24"/>
          <w:szCs w:val="24"/>
        </w:rPr>
      </w:pPr>
    </w:p>
    <w:p w14:paraId="3C62989D" w14:textId="2675519E" w:rsidR="00F47EF4" w:rsidRDefault="00F47EF4" w:rsidP="009A7101">
      <w:pPr>
        <w:spacing w:after="0" w:line="240" w:lineRule="auto"/>
        <w:jc w:val="both"/>
        <w:rPr>
          <w:rFonts w:ascii="Arial" w:hAnsi="Arial" w:cs="Arial"/>
          <w:sz w:val="24"/>
          <w:szCs w:val="24"/>
        </w:rPr>
      </w:pPr>
      <w:r>
        <w:rPr>
          <w:rFonts w:ascii="Arial" w:hAnsi="Arial" w:cs="Arial"/>
          <w:sz w:val="24"/>
          <w:szCs w:val="24"/>
        </w:rPr>
        <w:t xml:space="preserve">En este contexto, es relevante disponer de </w:t>
      </w:r>
      <w:r w:rsidR="00CA56A0">
        <w:rPr>
          <w:rFonts w:ascii="Arial" w:hAnsi="Arial" w:cs="Arial"/>
          <w:sz w:val="24"/>
          <w:szCs w:val="24"/>
        </w:rPr>
        <w:t>indicadores</w:t>
      </w:r>
      <w:r>
        <w:rPr>
          <w:rFonts w:ascii="Arial" w:hAnsi="Arial" w:cs="Arial"/>
          <w:sz w:val="24"/>
          <w:szCs w:val="24"/>
        </w:rPr>
        <w:t xml:space="preserve"> a partir del enfoque de la demanda, es decir, que muestre</w:t>
      </w:r>
      <w:r w:rsidR="009F7FF0">
        <w:rPr>
          <w:rFonts w:ascii="Arial" w:hAnsi="Arial" w:cs="Arial"/>
          <w:sz w:val="24"/>
          <w:szCs w:val="24"/>
        </w:rPr>
        <w:t>n</w:t>
      </w:r>
      <w:r>
        <w:rPr>
          <w:rFonts w:ascii="Arial" w:hAnsi="Arial" w:cs="Arial"/>
          <w:sz w:val="24"/>
          <w:szCs w:val="24"/>
        </w:rPr>
        <w:t xml:space="preserve"> la evolución del personal ocupado</w:t>
      </w:r>
      <w:r w:rsidR="00CA56A0">
        <w:rPr>
          <w:rFonts w:ascii="Arial" w:hAnsi="Arial" w:cs="Arial"/>
          <w:sz w:val="24"/>
          <w:szCs w:val="24"/>
        </w:rPr>
        <w:t xml:space="preserve"> y las remuneraciones</w:t>
      </w:r>
      <w:r>
        <w:rPr>
          <w:rFonts w:ascii="Arial" w:hAnsi="Arial" w:cs="Arial"/>
          <w:sz w:val="24"/>
          <w:szCs w:val="24"/>
        </w:rPr>
        <w:t xml:space="preserve"> que requieren las unidades económicas para efectuar sus procesos productivos.</w:t>
      </w:r>
    </w:p>
    <w:p w14:paraId="2D85A670" w14:textId="77777777" w:rsidR="00F47EF4" w:rsidRDefault="00F47EF4" w:rsidP="009A7101">
      <w:pPr>
        <w:spacing w:after="0" w:line="240" w:lineRule="auto"/>
        <w:jc w:val="both"/>
        <w:rPr>
          <w:rFonts w:ascii="Arial" w:hAnsi="Arial" w:cs="Arial"/>
          <w:sz w:val="24"/>
          <w:szCs w:val="24"/>
        </w:rPr>
      </w:pPr>
    </w:p>
    <w:p w14:paraId="7B4EE3A3" w14:textId="165DAEC6" w:rsidR="00F47EF4" w:rsidRDefault="00F47EF4" w:rsidP="009A7101">
      <w:pPr>
        <w:spacing w:after="0" w:line="240" w:lineRule="auto"/>
        <w:jc w:val="both"/>
        <w:rPr>
          <w:rFonts w:ascii="Arial" w:hAnsi="Arial" w:cs="Arial"/>
          <w:sz w:val="24"/>
          <w:szCs w:val="24"/>
        </w:rPr>
      </w:pPr>
      <w:r>
        <w:rPr>
          <w:rFonts w:ascii="Arial" w:hAnsi="Arial" w:cs="Arial"/>
          <w:sz w:val="24"/>
          <w:szCs w:val="24"/>
        </w:rPr>
        <w:t>Se dispone de serie</w:t>
      </w:r>
      <w:r w:rsidR="00CA56A0">
        <w:rPr>
          <w:rFonts w:ascii="Arial" w:hAnsi="Arial" w:cs="Arial"/>
          <w:sz w:val="24"/>
          <w:szCs w:val="24"/>
        </w:rPr>
        <w:t>s</w:t>
      </w:r>
      <w:r>
        <w:rPr>
          <w:rFonts w:ascii="Arial" w:hAnsi="Arial" w:cs="Arial"/>
          <w:sz w:val="24"/>
          <w:szCs w:val="24"/>
        </w:rPr>
        <w:t xml:space="preserve"> mensual</w:t>
      </w:r>
      <w:r w:rsidR="00CA56A0">
        <w:rPr>
          <w:rFonts w:ascii="Arial" w:hAnsi="Arial" w:cs="Arial"/>
          <w:sz w:val="24"/>
          <w:szCs w:val="24"/>
        </w:rPr>
        <w:t>es</w:t>
      </w:r>
      <w:r>
        <w:rPr>
          <w:rFonts w:ascii="Arial" w:hAnsi="Arial" w:cs="Arial"/>
          <w:sz w:val="24"/>
          <w:szCs w:val="24"/>
        </w:rPr>
        <w:t xml:space="preserve"> que inicia</w:t>
      </w:r>
      <w:r w:rsidR="00CA56A0">
        <w:rPr>
          <w:rFonts w:ascii="Arial" w:hAnsi="Arial" w:cs="Arial"/>
          <w:sz w:val="24"/>
          <w:szCs w:val="24"/>
        </w:rPr>
        <w:t>n</w:t>
      </w:r>
      <w:r>
        <w:rPr>
          <w:rFonts w:ascii="Arial" w:hAnsi="Arial" w:cs="Arial"/>
          <w:sz w:val="24"/>
          <w:szCs w:val="24"/>
        </w:rPr>
        <w:t xml:space="preserve">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9A7101">
      <w:pPr>
        <w:spacing w:after="0" w:line="240" w:lineRule="auto"/>
        <w:jc w:val="both"/>
        <w:rPr>
          <w:rFonts w:ascii="Arial" w:hAnsi="Arial" w:cs="Arial"/>
          <w:sz w:val="24"/>
          <w:szCs w:val="24"/>
        </w:rPr>
      </w:pPr>
    </w:p>
    <w:p w14:paraId="6ECCECD3" w14:textId="77777777" w:rsidR="00F47EF4" w:rsidRPr="00530DBE" w:rsidRDefault="00F47EF4" w:rsidP="009A7101">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29A8E430" w14:textId="309BD756" w:rsidR="00256D5D" w:rsidRDefault="00256D5D" w:rsidP="009A7101">
      <w:pPr>
        <w:spacing w:after="0" w:line="240" w:lineRule="auto"/>
        <w:ind w:right="49"/>
        <w:jc w:val="both"/>
        <w:rPr>
          <w:rFonts w:ascii="Arial" w:hAnsi="Arial" w:cs="Arial"/>
          <w:sz w:val="24"/>
          <w:szCs w:val="24"/>
        </w:rPr>
      </w:pPr>
    </w:p>
    <w:p w14:paraId="034FF476" w14:textId="77777777" w:rsidR="00256D5D" w:rsidRDefault="00256D5D" w:rsidP="009A7101">
      <w:pPr>
        <w:spacing w:after="0" w:line="240" w:lineRule="auto"/>
        <w:ind w:right="49"/>
        <w:jc w:val="both"/>
        <w:rPr>
          <w:rFonts w:ascii="Arial" w:hAnsi="Arial" w:cs="Arial"/>
          <w:sz w:val="24"/>
          <w:szCs w:val="24"/>
        </w:rPr>
      </w:pPr>
    </w:p>
    <w:p w14:paraId="70394DA8" w14:textId="77777777" w:rsidR="00256D5D" w:rsidRPr="00D0286C" w:rsidRDefault="00256D5D" w:rsidP="00256D5D">
      <w:pPr>
        <w:spacing w:after="0" w:line="240" w:lineRule="auto"/>
        <w:ind w:right="49"/>
        <w:jc w:val="center"/>
        <w:rPr>
          <w:rFonts w:ascii="Arial" w:hAnsi="Arial" w:cs="Arial"/>
          <w:b/>
          <w:sz w:val="20"/>
          <w:szCs w:val="20"/>
        </w:rPr>
      </w:pPr>
      <w:r>
        <w:rPr>
          <w:rFonts w:ascii="Arial" w:hAnsi="Arial" w:cs="Arial"/>
          <w:b/>
          <w:sz w:val="20"/>
          <w:szCs w:val="20"/>
        </w:rPr>
        <w:t>Cuadro 1</w:t>
      </w:r>
    </w:p>
    <w:p w14:paraId="61650A0F" w14:textId="77777777" w:rsidR="00256D5D" w:rsidRDefault="00256D5D" w:rsidP="00256D5D">
      <w:pPr>
        <w:spacing w:after="0" w:line="240" w:lineRule="auto"/>
        <w:ind w:left="-567" w:right="-518"/>
        <w:jc w:val="center"/>
        <w:rPr>
          <w:rFonts w:ascii="Arial" w:hAnsi="Arial" w:cs="Arial"/>
          <w:b/>
          <w:sz w:val="20"/>
          <w:szCs w:val="20"/>
        </w:rPr>
      </w:pPr>
      <w:r w:rsidRPr="00567D86">
        <w:rPr>
          <w:rFonts w:ascii="Arial" w:hAnsi="Arial" w:cs="Arial"/>
          <w:b/>
          <w:sz w:val="20"/>
          <w:szCs w:val="20"/>
        </w:rPr>
        <w:t>ÍNDICE</w:t>
      </w:r>
      <w:r>
        <w:rPr>
          <w:rFonts w:ascii="Arial" w:hAnsi="Arial" w:cs="Arial"/>
          <w:b/>
          <w:sz w:val="20"/>
          <w:szCs w:val="20"/>
        </w:rPr>
        <w:t>S</w:t>
      </w:r>
      <w:r w:rsidRPr="00567D86">
        <w:rPr>
          <w:rFonts w:ascii="Arial" w:hAnsi="Arial" w:cs="Arial"/>
          <w:b/>
          <w:sz w:val="20"/>
          <w:szCs w:val="20"/>
        </w:rPr>
        <w:t xml:space="preserve"> GLOBA</w:t>
      </w:r>
      <w:r>
        <w:rPr>
          <w:rFonts w:ascii="Arial" w:hAnsi="Arial" w:cs="Arial"/>
          <w:b/>
          <w:sz w:val="20"/>
          <w:szCs w:val="20"/>
        </w:rPr>
        <w:t>LES</w:t>
      </w:r>
      <w:r w:rsidRPr="00567D86">
        <w:rPr>
          <w:rFonts w:ascii="Arial" w:hAnsi="Arial" w:cs="Arial"/>
          <w:b/>
          <w:sz w:val="20"/>
          <w:szCs w:val="20"/>
        </w:rPr>
        <w:t xml:space="preserve"> DE PERSONAL </w:t>
      </w:r>
      <w:r>
        <w:rPr>
          <w:rFonts w:ascii="Arial" w:hAnsi="Arial" w:cs="Arial"/>
          <w:b/>
          <w:sz w:val="20"/>
          <w:szCs w:val="20"/>
        </w:rPr>
        <w:t>Y REMUNERACIONES</w:t>
      </w:r>
      <w:r w:rsidRPr="00567D86">
        <w:rPr>
          <w:rFonts w:ascii="Arial" w:hAnsi="Arial" w:cs="Arial"/>
          <w:b/>
          <w:sz w:val="20"/>
          <w:szCs w:val="20"/>
        </w:rPr>
        <w:t xml:space="preserve"> DE LOS</w:t>
      </w:r>
      <w:r>
        <w:rPr>
          <w:rFonts w:ascii="Arial" w:hAnsi="Arial" w:cs="Arial"/>
          <w:b/>
          <w:sz w:val="20"/>
          <w:szCs w:val="20"/>
        </w:rPr>
        <w:t xml:space="preserve"> </w:t>
      </w:r>
      <w:r w:rsidRPr="00567D86">
        <w:rPr>
          <w:rFonts w:ascii="Arial" w:hAnsi="Arial" w:cs="Arial"/>
          <w:b/>
          <w:sz w:val="20"/>
          <w:szCs w:val="20"/>
        </w:rPr>
        <w:t>SECTORES ECONÓMICOS</w:t>
      </w:r>
    </w:p>
    <w:p w14:paraId="7C3FCE2B" w14:textId="77777777" w:rsidR="00256D5D" w:rsidRDefault="00256D5D" w:rsidP="00256D5D">
      <w:pPr>
        <w:spacing w:after="0" w:line="240" w:lineRule="auto"/>
        <w:ind w:left="-567" w:right="-518"/>
        <w:jc w:val="center"/>
        <w:rPr>
          <w:rFonts w:ascii="Arial" w:hAnsi="Arial" w:cs="Arial"/>
          <w:b/>
          <w:sz w:val="20"/>
          <w:szCs w:val="20"/>
        </w:rPr>
      </w:pPr>
      <w:r>
        <w:rPr>
          <w:rFonts w:ascii="Arial" w:hAnsi="Arial" w:cs="Arial"/>
          <w:b/>
          <w:sz w:val="20"/>
          <w:szCs w:val="20"/>
        </w:rPr>
        <w:t>DURANTE EL MES DE MAYO DE 2020</w:t>
      </w:r>
    </w:p>
    <w:p w14:paraId="36D536F7" w14:textId="77777777" w:rsidR="00256D5D" w:rsidRDefault="00256D5D" w:rsidP="00256D5D">
      <w:pPr>
        <w:spacing w:after="0" w:line="240" w:lineRule="auto"/>
        <w:ind w:left="-567" w:right="-518"/>
        <w:jc w:val="center"/>
        <w:rPr>
          <w:rFonts w:ascii="Arial" w:hAnsi="Arial" w:cs="Arial"/>
          <w:b/>
          <w:sz w:val="20"/>
          <w:szCs w:val="20"/>
        </w:rPr>
      </w:pPr>
      <w:r w:rsidRPr="00567D86">
        <w:rPr>
          <w:rFonts w:ascii="Arial" w:hAnsi="Arial" w:cs="Arial"/>
          <w:b/>
          <w:sz w:val="20"/>
          <w:szCs w:val="20"/>
        </w:rPr>
        <w:t>CIFRAS DESESTACIONALIZADAS</w:t>
      </w:r>
    </w:p>
    <w:p w14:paraId="2CAA7893" w14:textId="77777777" w:rsidR="00256D5D" w:rsidRDefault="00256D5D" w:rsidP="00256D5D">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Style w:val="Tablaconcuadrcula"/>
        <w:tblW w:w="5443" w:type="dxa"/>
        <w:jc w:val="center"/>
        <w:tblLayout w:type="fixed"/>
        <w:tblLook w:val="04A0" w:firstRow="1" w:lastRow="0" w:firstColumn="1" w:lastColumn="0" w:noHBand="0" w:noVBand="1"/>
      </w:tblPr>
      <w:tblGrid>
        <w:gridCol w:w="1644"/>
        <w:gridCol w:w="964"/>
        <w:gridCol w:w="1361"/>
        <w:gridCol w:w="1474"/>
      </w:tblGrid>
      <w:tr w:rsidR="00256D5D" w14:paraId="11594823" w14:textId="77777777" w:rsidTr="00256D5D">
        <w:trPr>
          <w:jc w:val="center"/>
        </w:trPr>
        <w:tc>
          <w:tcPr>
            <w:tcW w:w="1644" w:type="dxa"/>
            <w:vMerge w:val="restart"/>
            <w:shd w:val="clear" w:color="auto" w:fill="C4D79B"/>
            <w:vAlign w:val="center"/>
          </w:tcPr>
          <w:p w14:paraId="22E066E3" w14:textId="77777777" w:rsidR="00256D5D" w:rsidRDefault="00256D5D" w:rsidP="00256D5D">
            <w:pPr>
              <w:jc w:val="center"/>
              <w:rPr>
                <w:rFonts w:ascii="Arial" w:hAnsi="Arial" w:cs="Arial"/>
                <w:b/>
                <w:sz w:val="20"/>
                <w:szCs w:val="20"/>
              </w:rPr>
            </w:pPr>
            <w:r>
              <w:rPr>
                <w:rFonts w:ascii="Arial" w:hAnsi="Arial" w:cs="Arial"/>
                <w:b/>
                <w:sz w:val="20"/>
                <w:szCs w:val="20"/>
              </w:rPr>
              <w:t>Denominación</w:t>
            </w:r>
          </w:p>
        </w:tc>
        <w:tc>
          <w:tcPr>
            <w:tcW w:w="964" w:type="dxa"/>
            <w:vMerge w:val="restart"/>
            <w:shd w:val="clear" w:color="auto" w:fill="C4D79B"/>
            <w:vAlign w:val="center"/>
          </w:tcPr>
          <w:p w14:paraId="15D7D0E2" w14:textId="77777777" w:rsidR="00256D5D" w:rsidRDefault="00256D5D" w:rsidP="00256D5D">
            <w:pPr>
              <w:jc w:val="center"/>
              <w:rPr>
                <w:rFonts w:ascii="Arial" w:hAnsi="Arial" w:cs="Arial"/>
                <w:b/>
                <w:sz w:val="20"/>
                <w:szCs w:val="20"/>
              </w:rPr>
            </w:pPr>
            <w:r>
              <w:rPr>
                <w:rFonts w:ascii="Arial" w:hAnsi="Arial" w:cs="Arial"/>
                <w:b/>
                <w:sz w:val="20"/>
                <w:szCs w:val="20"/>
              </w:rPr>
              <w:t>Índice</w:t>
            </w:r>
          </w:p>
        </w:tc>
        <w:tc>
          <w:tcPr>
            <w:tcW w:w="2835" w:type="dxa"/>
            <w:gridSpan w:val="2"/>
            <w:shd w:val="clear" w:color="auto" w:fill="C4D79B"/>
            <w:vAlign w:val="center"/>
          </w:tcPr>
          <w:p w14:paraId="13752D58" w14:textId="77777777" w:rsidR="00256D5D" w:rsidRDefault="00256D5D" w:rsidP="00256D5D">
            <w:pPr>
              <w:jc w:val="center"/>
              <w:rPr>
                <w:rFonts w:ascii="Arial" w:hAnsi="Arial" w:cs="Arial"/>
                <w:b/>
                <w:sz w:val="20"/>
                <w:szCs w:val="20"/>
              </w:rPr>
            </w:pPr>
            <w:r>
              <w:rPr>
                <w:rFonts w:ascii="Arial" w:hAnsi="Arial" w:cs="Arial"/>
                <w:b/>
                <w:sz w:val="20"/>
                <w:szCs w:val="20"/>
              </w:rPr>
              <w:t>Variación porcentual respecto al:</w:t>
            </w:r>
          </w:p>
        </w:tc>
      </w:tr>
      <w:tr w:rsidR="00256D5D" w14:paraId="1B2967F3" w14:textId="77777777" w:rsidTr="00256D5D">
        <w:trPr>
          <w:jc w:val="center"/>
        </w:trPr>
        <w:tc>
          <w:tcPr>
            <w:tcW w:w="1644" w:type="dxa"/>
            <w:vMerge/>
            <w:tcBorders>
              <w:bottom w:val="single" w:sz="4" w:space="0" w:color="auto"/>
            </w:tcBorders>
            <w:shd w:val="clear" w:color="auto" w:fill="C4D79B"/>
            <w:vAlign w:val="center"/>
          </w:tcPr>
          <w:p w14:paraId="29311EEA" w14:textId="77777777" w:rsidR="00256D5D" w:rsidRDefault="00256D5D" w:rsidP="00256D5D">
            <w:pPr>
              <w:jc w:val="center"/>
              <w:rPr>
                <w:rFonts w:ascii="Arial" w:hAnsi="Arial" w:cs="Arial"/>
                <w:b/>
                <w:sz w:val="20"/>
                <w:szCs w:val="20"/>
              </w:rPr>
            </w:pPr>
          </w:p>
        </w:tc>
        <w:tc>
          <w:tcPr>
            <w:tcW w:w="964" w:type="dxa"/>
            <w:vMerge/>
            <w:tcBorders>
              <w:bottom w:val="single" w:sz="4" w:space="0" w:color="auto"/>
            </w:tcBorders>
            <w:shd w:val="clear" w:color="auto" w:fill="C4D79B"/>
            <w:vAlign w:val="center"/>
          </w:tcPr>
          <w:p w14:paraId="5C7BB353" w14:textId="77777777" w:rsidR="00256D5D" w:rsidRDefault="00256D5D" w:rsidP="00256D5D">
            <w:pPr>
              <w:jc w:val="center"/>
              <w:rPr>
                <w:rFonts w:ascii="Arial" w:hAnsi="Arial" w:cs="Arial"/>
                <w:b/>
                <w:sz w:val="20"/>
                <w:szCs w:val="20"/>
              </w:rPr>
            </w:pPr>
          </w:p>
        </w:tc>
        <w:tc>
          <w:tcPr>
            <w:tcW w:w="1361" w:type="dxa"/>
            <w:tcBorders>
              <w:bottom w:val="single" w:sz="4" w:space="0" w:color="auto"/>
            </w:tcBorders>
            <w:shd w:val="clear" w:color="auto" w:fill="C4D79B"/>
            <w:vAlign w:val="center"/>
          </w:tcPr>
          <w:p w14:paraId="109B5976" w14:textId="77777777" w:rsidR="00256D5D" w:rsidRDefault="00256D5D" w:rsidP="00256D5D">
            <w:pPr>
              <w:jc w:val="center"/>
              <w:rPr>
                <w:rFonts w:ascii="Arial" w:hAnsi="Arial" w:cs="Arial"/>
                <w:b/>
                <w:sz w:val="20"/>
                <w:szCs w:val="20"/>
              </w:rPr>
            </w:pPr>
            <w:r>
              <w:rPr>
                <w:rFonts w:ascii="Arial" w:hAnsi="Arial" w:cs="Arial"/>
                <w:b/>
                <w:sz w:val="20"/>
                <w:szCs w:val="20"/>
              </w:rPr>
              <w:t>Mes previo</w:t>
            </w:r>
          </w:p>
        </w:tc>
        <w:tc>
          <w:tcPr>
            <w:tcW w:w="1474" w:type="dxa"/>
            <w:tcBorders>
              <w:bottom w:val="single" w:sz="4" w:space="0" w:color="auto"/>
            </w:tcBorders>
            <w:shd w:val="clear" w:color="auto" w:fill="C4D79B"/>
            <w:vAlign w:val="center"/>
          </w:tcPr>
          <w:p w14:paraId="32C3C355" w14:textId="77777777" w:rsidR="00256D5D" w:rsidRDefault="00256D5D" w:rsidP="00256D5D">
            <w:pPr>
              <w:jc w:val="center"/>
              <w:rPr>
                <w:rFonts w:ascii="Arial" w:hAnsi="Arial" w:cs="Arial"/>
                <w:b/>
                <w:sz w:val="20"/>
                <w:szCs w:val="20"/>
              </w:rPr>
            </w:pPr>
            <w:r>
              <w:rPr>
                <w:rFonts w:ascii="Arial" w:hAnsi="Arial" w:cs="Arial"/>
                <w:b/>
                <w:sz w:val="20"/>
                <w:szCs w:val="20"/>
              </w:rPr>
              <w:t>Mismo mes del año anterior</w:t>
            </w:r>
          </w:p>
        </w:tc>
      </w:tr>
      <w:tr w:rsidR="00256D5D" w14:paraId="7397888D" w14:textId="77777777" w:rsidTr="00256D5D">
        <w:trPr>
          <w:trHeight w:val="340"/>
          <w:jc w:val="center"/>
        </w:trPr>
        <w:tc>
          <w:tcPr>
            <w:tcW w:w="1644" w:type="dxa"/>
            <w:tcBorders>
              <w:bottom w:val="nil"/>
              <w:right w:val="single" w:sz="4" w:space="0" w:color="auto"/>
            </w:tcBorders>
            <w:vAlign w:val="center"/>
          </w:tcPr>
          <w:p w14:paraId="1E85A77A" w14:textId="77777777" w:rsidR="00256D5D" w:rsidRDefault="00256D5D" w:rsidP="00256D5D">
            <w:pPr>
              <w:rPr>
                <w:rFonts w:ascii="Arial" w:hAnsi="Arial" w:cs="Arial"/>
                <w:b/>
                <w:sz w:val="20"/>
                <w:szCs w:val="20"/>
              </w:rPr>
            </w:pPr>
            <w:r>
              <w:rPr>
                <w:rFonts w:ascii="Arial" w:hAnsi="Arial" w:cs="Arial"/>
                <w:b/>
                <w:sz w:val="20"/>
                <w:szCs w:val="20"/>
              </w:rPr>
              <w:t>IGPOSE</w:t>
            </w:r>
          </w:p>
        </w:tc>
        <w:tc>
          <w:tcPr>
            <w:tcW w:w="964" w:type="dxa"/>
            <w:tcBorders>
              <w:left w:val="single" w:sz="4" w:space="0" w:color="auto"/>
              <w:bottom w:val="nil"/>
              <w:right w:val="single" w:sz="4" w:space="0" w:color="auto"/>
            </w:tcBorders>
            <w:vAlign w:val="center"/>
          </w:tcPr>
          <w:p w14:paraId="0876B0C4" w14:textId="77777777" w:rsidR="00256D5D" w:rsidRPr="006D7CAF" w:rsidRDefault="00256D5D" w:rsidP="00256D5D">
            <w:pPr>
              <w:jc w:val="center"/>
              <w:rPr>
                <w:rFonts w:ascii="Arial" w:hAnsi="Arial" w:cs="Arial"/>
                <w:sz w:val="20"/>
                <w:szCs w:val="20"/>
              </w:rPr>
            </w:pPr>
            <w:r w:rsidRPr="006D7CAF">
              <w:rPr>
                <w:rFonts w:ascii="Arial" w:hAnsi="Arial" w:cs="Arial"/>
                <w:sz w:val="20"/>
                <w:szCs w:val="20"/>
              </w:rPr>
              <w:t>103.1</w:t>
            </w:r>
          </w:p>
        </w:tc>
        <w:tc>
          <w:tcPr>
            <w:tcW w:w="1361" w:type="dxa"/>
            <w:tcBorders>
              <w:left w:val="single" w:sz="4" w:space="0" w:color="auto"/>
              <w:bottom w:val="nil"/>
              <w:right w:val="single" w:sz="4" w:space="0" w:color="auto"/>
            </w:tcBorders>
            <w:vAlign w:val="center"/>
          </w:tcPr>
          <w:p w14:paraId="4C680095" w14:textId="77777777"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Pr="006D7CAF">
              <w:rPr>
                <w:rFonts w:ascii="Arial" w:hAnsi="Arial" w:cs="Arial"/>
                <w:sz w:val="20"/>
                <w:szCs w:val="20"/>
              </w:rPr>
              <w:t>1.9</w:t>
            </w:r>
          </w:p>
        </w:tc>
        <w:tc>
          <w:tcPr>
            <w:tcW w:w="1474" w:type="dxa"/>
            <w:tcBorders>
              <w:left w:val="single" w:sz="4" w:space="0" w:color="auto"/>
              <w:bottom w:val="nil"/>
            </w:tcBorders>
            <w:vAlign w:val="center"/>
          </w:tcPr>
          <w:p w14:paraId="4CEB2281" w14:textId="77777777"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Pr="006D7CAF">
              <w:rPr>
                <w:rFonts w:ascii="Arial" w:hAnsi="Arial" w:cs="Arial"/>
                <w:sz w:val="20"/>
                <w:szCs w:val="20"/>
              </w:rPr>
              <w:t>6.9</w:t>
            </w:r>
          </w:p>
        </w:tc>
      </w:tr>
      <w:tr w:rsidR="00256D5D" w14:paraId="36952DD5" w14:textId="77777777" w:rsidTr="00256D5D">
        <w:trPr>
          <w:trHeight w:val="340"/>
          <w:jc w:val="center"/>
        </w:trPr>
        <w:tc>
          <w:tcPr>
            <w:tcW w:w="1644" w:type="dxa"/>
            <w:tcBorders>
              <w:top w:val="nil"/>
              <w:bottom w:val="nil"/>
              <w:right w:val="single" w:sz="4" w:space="0" w:color="auto"/>
            </w:tcBorders>
            <w:vAlign w:val="center"/>
          </w:tcPr>
          <w:p w14:paraId="175E7353" w14:textId="77777777" w:rsidR="00256D5D" w:rsidRDefault="00256D5D" w:rsidP="00256D5D">
            <w:pPr>
              <w:rPr>
                <w:rFonts w:ascii="Arial" w:hAnsi="Arial" w:cs="Arial"/>
                <w:b/>
                <w:sz w:val="20"/>
                <w:szCs w:val="20"/>
              </w:rPr>
            </w:pPr>
            <w:r>
              <w:rPr>
                <w:rFonts w:ascii="Arial" w:hAnsi="Arial" w:cs="Arial"/>
                <w:b/>
                <w:sz w:val="20"/>
                <w:szCs w:val="20"/>
              </w:rPr>
              <w:t>IGRESE</w:t>
            </w:r>
          </w:p>
        </w:tc>
        <w:tc>
          <w:tcPr>
            <w:tcW w:w="964" w:type="dxa"/>
            <w:tcBorders>
              <w:top w:val="nil"/>
              <w:left w:val="single" w:sz="4" w:space="0" w:color="auto"/>
              <w:bottom w:val="nil"/>
              <w:right w:val="single" w:sz="4" w:space="0" w:color="auto"/>
            </w:tcBorders>
            <w:vAlign w:val="center"/>
          </w:tcPr>
          <w:p w14:paraId="1D7AF26C" w14:textId="77777777" w:rsidR="00256D5D" w:rsidRPr="006D7CAF" w:rsidRDefault="00256D5D" w:rsidP="00256D5D">
            <w:pPr>
              <w:jc w:val="center"/>
              <w:rPr>
                <w:rFonts w:ascii="Arial" w:hAnsi="Arial" w:cs="Arial"/>
                <w:sz w:val="20"/>
                <w:szCs w:val="20"/>
              </w:rPr>
            </w:pPr>
            <w:r w:rsidRPr="006D7CAF">
              <w:rPr>
                <w:rFonts w:ascii="Arial" w:hAnsi="Arial" w:cs="Arial"/>
                <w:sz w:val="20"/>
                <w:szCs w:val="20"/>
              </w:rPr>
              <w:t>106.2</w:t>
            </w:r>
          </w:p>
        </w:tc>
        <w:tc>
          <w:tcPr>
            <w:tcW w:w="1361" w:type="dxa"/>
            <w:tcBorders>
              <w:top w:val="nil"/>
              <w:left w:val="single" w:sz="4" w:space="0" w:color="auto"/>
              <w:bottom w:val="nil"/>
              <w:right w:val="single" w:sz="4" w:space="0" w:color="auto"/>
            </w:tcBorders>
            <w:vAlign w:val="center"/>
          </w:tcPr>
          <w:p w14:paraId="10B2E6B7" w14:textId="77777777"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Pr="006D7CAF">
              <w:rPr>
                <w:rFonts w:ascii="Arial" w:hAnsi="Arial" w:cs="Arial"/>
                <w:sz w:val="20"/>
                <w:szCs w:val="20"/>
              </w:rPr>
              <w:t>4.9</w:t>
            </w:r>
          </w:p>
        </w:tc>
        <w:tc>
          <w:tcPr>
            <w:tcW w:w="1474" w:type="dxa"/>
            <w:tcBorders>
              <w:top w:val="nil"/>
              <w:left w:val="single" w:sz="4" w:space="0" w:color="auto"/>
              <w:bottom w:val="nil"/>
            </w:tcBorders>
            <w:vAlign w:val="center"/>
          </w:tcPr>
          <w:p w14:paraId="3A49A6EA" w14:textId="77777777"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Pr="006D7CAF">
              <w:rPr>
                <w:rFonts w:ascii="Arial" w:hAnsi="Arial" w:cs="Arial"/>
                <w:sz w:val="20"/>
                <w:szCs w:val="20"/>
              </w:rPr>
              <w:t>9.7</w:t>
            </w:r>
          </w:p>
        </w:tc>
      </w:tr>
      <w:tr w:rsidR="00256D5D" w14:paraId="250686A8" w14:textId="77777777" w:rsidTr="00256D5D">
        <w:trPr>
          <w:trHeight w:val="340"/>
          <w:jc w:val="center"/>
        </w:trPr>
        <w:tc>
          <w:tcPr>
            <w:tcW w:w="1644" w:type="dxa"/>
            <w:tcBorders>
              <w:top w:val="nil"/>
              <w:bottom w:val="single" w:sz="4" w:space="0" w:color="auto"/>
              <w:right w:val="single" w:sz="4" w:space="0" w:color="auto"/>
            </w:tcBorders>
            <w:vAlign w:val="center"/>
          </w:tcPr>
          <w:p w14:paraId="140C2185" w14:textId="77777777" w:rsidR="00256D5D" w:rsidRDefault="00256D5D" w:rsidP="00256D5D">
            <w:pPr>
              <w:rPr>
                <w:rFonts w:ascii="Arial" w:hAnsi="Arial" w:cs="Arial"/>
                <w:b/>
                <w:sz w:val="20"/>
                <w:szCs w:val="20"/>
              </w:rPr>
            </w:pPr>
            <w:r>
              <w:rPr>
                <w:rFonts w:ascii="Arial" w:hAnsi="Arial" w:cs="Arial"/>
                <w:b/>
                <w:sz w:val="20"/>
                <w:szCs w:val="20"/>
              </w:rPr>
              <w:t>IGREMSE</w:t>
            </w:r>
          </w:p>
        </w:tc>
        <w:tc>
          <w:tcPr>
            <w:tcW w:w="964" w:type="dxa"/>
            <w:tcBorders>
              <w:top w:val="nil"/>
              <w:left w:val="single" w:sz="4" w:space="0" w:color="auto"/>
              <w:bottom w:val="single" w:sz="4" w:space="0" w:color="auto"/>
              <w:right w:val="single" w:sz="4" w:space="0" w:color="auto"/>
            </w:tcBorders>
            <w:vAlign w:val="center"/>
          </w:tcPr>
          <w:p w14:paraId="306E9654" w14:textId="77777777" w:rsidR="00256D5D" w:rsidRPr="006D7CAF" w:rsidRDefault="00256D5D" w:rsidP="00256D5D">
            <w:pPr>
              <w:jc w:val="center"/>
              <w:rPr>
                <w:rFonts w:ascii="Arial" w:hAnsi="Arial" w:cs="Arial"/>
                <w:sz w:val="20"/>
                <w:szCs w:val="20"/>
              </w:rPr>
            </w:pPr>
            <w:r w:rsidRPr="006D7CAF">
              <w:rPr>
                <w:rFonts w:ascii="Arial" w:hAnsi="Arial" w:cs="Arial"/>
                <w:sz w:val="20"/>
                <w:szCs w:val="20"/>
              </w:rPr>
              <w:t>103.0</w:t>
            </w:r>
          </w:p>
        </w:tc>
        <w:tc>
          <w:tcPr>
            <w:tcW w:w="1361" w:type="dxa"/>
            <w:tcBorders>
              <w:top w:val="nil"/>
              <w:left w:val="single" w:sz="4" w:space="0" w:color="auto"/>
              <w:bottom w:val="single" w:sz="4" w:space="0" w:color="auto"/>
              <w:right w:val="single" w:sz="4" w:space="0" w:color="auto"/>
            </w:tcBorders>
            <w:vAlign w:val="center"/>
          </w:tcPr>
          <w:p w14:paraId="1D89D209" w14:textId="77777777"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Pr="006D7CAF">
              <w:rPr>
                <w:rFonts w:ascii="Arial" w:hAnsi="Arial" w:cs="Arial"/>
                <w:sz w:val="20"/>
                <w:szCs w:val="20"/>
              </w:rPr>
              <w:t>3.8</w:t>
            </w:r>
          </w:p>
        </w:tc>
        <w:tc>
          <w:tcPr>
            <w:tcW w:w="1474" w:type="dxa"/>
            <w:tcBorders>
              <w:top w:val="nil"/>
              <w:left w:val="single" w:sz="4" w:space="0" w:color="auto"/>
              <w:bottom w:val="single" w:sz="4" w:space="0" w:color="auto"/>
            </w:tcBorders>
            <w:vAlign w:val="center"/>
          </w:tcPr>
          <w:p w14:paraId="4B4B5B9E" w14:textId="77777777"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Pr="006D7CAF">
              <w:rPr>
                <w:rFonts w:ascii="Arial" w:hAnsi="Arial" w:cs="Arial"/>
                <w:sz w:val="20"/>
                <w:szCs w:val="20"/>
              </w:rPr>
              <w:t>3.1</w:t>
            </w:r>
          </w:p>
        </w:tc>
      </w:tr>
    </w:tbl>
    <w:p w14:paraId="06688EBC" w14:textId="77777777" w:rsidR="00256D5D" w:rsidRDefault="00256D5D" w:rsidP="00256D5D">
      <w:pPr>
        <w:spacing w:after="0" w:line="240" w:lineRule="auto"/>
        <w:ind w:left="1701" w:right="992"/>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1549BA47" w14:textId="065BB522" w:rsidR="00256D5D" w:rsidRDefault="00256D5D" w:rsidP="009A7101">
      <w:pPr>
        <w:spacing w:after="0" w:line="240" w:lineRule="auto"/>
        <w:ind w:right="49"/>
        <w:jc w:val="both"/>
        <w:rPr>
          <w:rFonts w:ascii="Arial" w:hAnsi="Arial" w:cs="Arial"/>
          <w:sz w:val="24"/>
          <w:szCs w:val="24"/>
        </w:rPr>
      </w:pPr>
    </w:p>
    <w:p w14:paraId="0D5A90CA" w14:textId="77777777" w:rsidR="00CD1E62" w:rsidRPr="00256D5D" w:rsidRDefault="00CD1E62" w:rsidP="00CD1E62">
      <w:pPr>
        <w:spacing w:after="0" w:line="240" w:lineRule="auto"/>
        <w:ind w:right="49"/>
        <w:jc w:val="both"/>
        <w:rPr>
          <w:rFonts w:ascii="Arial" w:hAnsi="Arial" w:cs="Arial"/>
          <w:sz w:val="24"/>
          <w:szCs w:val="24"/>
        </w:rPr>
      </w:pPr>
      <w:r w:rsidRPr="00256D5D">
        <w:rPr>
          <w:rFonts w:ascii="Arial" w:hAnsi="Arial" w:cs="Arial"/>
          <w:sz w:val="24"/>
          <w:szCs w:val="24"/>
        </w:rPr>
        <w:lastRenderedPageBreak/>
        <w:t>Con cifras desestacionalizadas, en mayo de 2020, el IGPOSE alcanzó un nivel de 103.1 puntos y presentó una disminución de (-)1.9% respecto al mes previo. Además, retrocedió (-)6.9%, respecto al mismo mes del año anterior.</w:t>
      </w:r>
    </w:p>
    <w:p w14:paraId="667146C2" w14:textId="77777777" w:rsidR="00CD1E62" w:rsidRPr="00256D5D" w:rsidRDefault="00CD1E62" w:rsidP="00CD1E62">
      <w:pPr>
        <w:spacing w:after="0" w:line="240" w:lineRule="auto"/>
        <w:ind w:right="49"/>
        <w:jc w:val="both"/>
        <w:rPr>
          <w:rFonts w:ascii="Arial" w:hAnsi="Arial" w:cs="Arial"/>
          <w:sz w:val="24"/>
          <w:szCs w:val="24"/>
        </w:rPr>
      </w:pPr>
    </w:p>
    <w:p w14:paraId="22B47538" w14:textId="77777777" w:rsidR="00CD1E62" w:rsidRPr="00256D5D" w:rsidRDefault="00CD1E62" w:rsidP="00CD1E62">
      <w:pPr>
        <w:spacing w:after="0" w:line="240" w:lineRule="auto"/>
        <w:ind w:right="49"/>
        <w:jc w:val="both"/>
        <w:rPr>
          <w:rFonts w:ascii="Arial" w:hAnsi="Arial" w:cs="Arial"/>
          <w:spacing w:val="-2"/>
          <w:sz w:val="24"/>
          <w:szCs w:val="24"/>
        </w:rPr>
      </w:pPr>
      <w:r w:rsidRPr="00256D5D">
        <w:rPr>
          <w:rFonts w:ascii="Arial" w:hAnsi="Arial" w:cs="Arial"/>
          <w:spacing w:val="-2"/>
          <w:sz w:val="24"/>
          <w:szCs w:val="24"/>
        </w:rPr>
        <w:t>Por su parte, el IGRESE registró un nivel de 106.2 puntos con una baja de (-)4.9% respecto al mes previo. Al compararse con mayo de 2019 tuvo un descenso de (-)9.7 por ciento.</w:t>
      </w:r>
    </w:p>
    <w:p w14:paraId="000198AD" w14:textId="77777777" w:rsidR="00CD1E62" w:rsidRPr="00256D5D" w:rsidRDefault="00CD1E62" w:rsidP="00CD1E62">
      <w:pPr>
        <w:spacing w:after="0" w:line="240" w:lineRule="auto"/>
        <w:ind w:right="49"/>
        <w:jc w:val="both"/>
        <w:rPr>
          <w:rFonts w:ascii="Arial" w:hAnsi="Arial" w:cs="Arial"/>
          <w:sz w:val="24"/>
          <w:szCs w:val="24"/>
        </w:rPr>
      </w:pPr>
    </w:p>
    <w:p w14:paraId="584AC238" w14:textId="77777777" w:rsidR="00CD1E62" w:rsidRDefault="00CD1E62" w:rsidP="00CD1E62">
      <w:pPr>
        <w:spacing w:after="0" w:line="240" w:lineRule="auto"/>
        <w:ind w:right="49"/>
        <w:jc w:val="both"/>
        <w:rPr>
          <w:rFonts w:ascii="Arial" w:hAnsi="Arial" w:cs="Arial"/>
          <w:sz w:val="24"/>
          <w:szCs w:val="24"/>
        </w:rPr>
      </w:pPr>
      <w:r w:rsidRPr="00256D5D">
        <w:rPr>
          <w:rFonts w:ascii="Arial" w:hAnsi="Arial" w:cs="Arial"/>
          <w:sz w:val="24"/>
          <w:szCs w:val="24"/>
        </w:rPr>
        <w:t>El IGREMSE alcanzó un nivel de 103.0 puntos y tuvo una disminución de (-)3.8% respecto al mes previo. En su comparativo anual disminuyó (-)3.1 por ciento.</w:t>
      </w:r>
    </w:p>
    <w:p w14:paraId="07408018" w14:textId="507EC8AC" w:rsidR="00CD1E62" w:rsidRDefault="00CD1E62" w:rsidP="009A7101">
      <w:pPr>
        <w:spacing w:after="0" w:line="240" w:lineRule="auto"/>
        <w:ind w:right="49"/>
        <w:jc w:val="both"/>
        <w:rPr>
          <w:rFonts w:ascii="Arial" w:hAnsi="Arial" w:cs="Arial"/>
          <w:sz w:val="24"/>
          <w:szCs w:val="24"/>
        </w:rPr>
      </w:pPr>
    </w:p>
    <w:p w14:paraId="7C8C0B71" w14:textId="709D76F0" w:rsidR="002077F8" w:rsidRPr="00D0286C" w:rsidRDefault="002077F8" w:rsidP="009A7101">
      <w:pPr>
        <w:spacing w:after="0" w:line="240" w:lineRule="auto"/>
        <w:ind w:right="49"/>
        <w:jc w:val="center"/>
        <w:rPr>
          <w:rFonts w:ascii="Arial" w:hAnsi="Arial" w:cs="Arial"/>
          <w:b/>
          <w:sz w:val="20"/>
          <w:szCs w:val="20"/>
        </w:rPr>
      </w:pPr>
      <w:r>
        <w:rPr>
          <w:rFonts w:ascii="Arial" w:hAnsi="Arial" w:cs="Arial"/>
          <w:b/>
          <w:sz w:val="20"/>
          <w:szCs w:val="20"/>
        </w:rPr>
        <w:t>Gráfica 1</w:t>
      </w:r>
    </w:p>
    <w:p w14:paraId="2EE0DC16" w14:textId="77777777" w:rsidR="002077F8" w:rsidRPr="00D0286C" w:rsidRDefault="002077F8" w:rsidP="009A7101">
      <w:pPr>
        <w:spacing w:after="0" w:line="240" w:lineRule="auto"/>
        <w:ind w:left="-567" w:right="-518"/>
        <w:jc w:val="center"/>
        <w:rPr>
          <w:rFonts w:ascii="Arial" w:hAnsi="Arial" w:cs="Arial"/>
          <w:b/>
          <w:sz w:val="20"/>
          <w:szCs w:val="20"/>
        </w:rPr>
      </w:pPr>
      <w:r w:rsidRPr="00D0286C">
        <w:rPr>
          <w:rFonts w:ascii="Arial" w:hAnsi="Arial" w:cs="Arial"/>
          <w:b/>
          <w:sz w:val="20"/>
          <w:szCs w:val="20"/>
        </w:rPr>
        <w:t>ÍNDICE</w:t>
      </w:r>
      <w:r>
        <w:rPr>
          <w:rFonts w:ascii="Arial" w:hAnsi="Arial" w:cs="Arial"/>
          <w:b/>
          <w:sz w:val="20"/>
          <w:szCs w:val="20"/>
        </w:rPr>
        <w:t>S</w:t>
      </w:r>
      <w:r w:rsidRPr="00D0286C">
        <w:rPr>
          <w:rFonts w:ascii="Arial" w:hAnsi="Arial" w:cs="Arial"/>
          <w:b/>
          <w:sz w:val="20"/>
          <w:szCs w:val="20"/>
        </w:rPr>
        <w:t xml:space="preserve"> GLOBAL</w:t>
      </w:r>
      <w:r>
        <w:rPr>
          <w:rFonts w:ascii="Arial" w:hAnsi="Arial" w:cs="Arial"/>
          <w:b/>
          <w:sz w:val="20"/>
          <w:szCs w:val="20"/>
        </w:rPr>
        <w:t>ES</w:t>
      </w:r>
      <w:r w:rsidRPr="00D0286C">
        <w:rPr>
          <w:rFonts w:ascii="Arial" w:hAnsi="Arial" w:cs="Arial"/>
          <w:b/>
          <w:sz w:val="20"/>
          <w:szCs w:val="20"/>
        </w:rPr>
        <w:t xml:space="preserve"> DE PERSONAL </w:t>
      </w:r>
      <w:r>
        <w:rPr>
          <w:rFonts w:ascii="Arial" w:hAnsi="Arial" w:cs="Arial"/>
          <w:b/>
          <w:sz w:val="20"/>
          <w:szCs w:val="20"/>
        </w:rPr>
        <w:t>Y REMUNERACIONES</w:t>
      </w:r>
      <w:r w:rsidRPr="00D0286C">
        <w:rPr>
          <w:rFonts w:ascii="Arial" w:hAnsi="Arial" w:cs="Arial"/>
          <w:b/>
          <w:sz w:val="20"/>
          <w:szCs w:val="20"/>
        </w:rPr>
        <w:t xml:space="preserve"> DE LOS SECTORES ECONÓMICOS</w:t>
      </w:r>
    </w:p>
    <w:p w14:paraId="0367F25E" w14:textId="77777777" w:rsidR="002077F8" w:rsidRPr="00D0286C" w:rsidRDefault="002077F8" w:rsidP="009A7101">
      <w:pPr>
        <w:spacing w:after="0" w:line="240" w:lineRule="auto"/>
        <w:jc w:val="center"/>
        <w:rPr>
          <w:rFonts w:ascii="Arial" w:hAnsi="Arial" w:cs="Arial"/>
          <w:b/>
          <w:sz w:val="20"/>
          <w:szCs w:val="20"/>
        </w:rPr>
      </w:pPr>
      <w:r>
        <w:rPr>
          <w:rFonts w:ascii="Arial" w:hAnsi="Arial" w:cs="Arial"/>
          <w:b/>
          <w:sz w:val="20"/>
          <w:szCs w:val="20"/>
        </w:rPr>
        <w:t>ENERO DE 2008 – MAYO DE 2020</w:t>
      </w:r>
    </w:p>
    <w:p w14:paraId="45C9A05E" w14:textId="77777777" w:rsidR="002077F8" w:rsidRPr="00D0286C" w:rsidRDefault="002077F8" w:rsidP="009A7101">
      <w:pPr>
        <w:spacing w:after="0" w:line="240" w:lineRule="auto"/>
        <w:jc w:val="center"/>
        <w:rPr>
          <w:rFonts w:ascii="Arial" w:hAnsi="Arial" w:cs="Arial"/>
          <w:b/>
          <w:sz w:val="20"/>
          <w:szCs w:val="20"/>
        </w:rPr>
      </w:pPr>
      <w:r w:rsidRPr="00D0286C">
        <w:rPr>
          <w:rFonts w:ascii="Arial" w:hAnsi="Arial" w:cs="Arial"/>
          <w:b/>
          <w:sz w:val="20"/>
          <w:szCs w:val="20"/>
        </w:rPr>
        <w:t>TENDENCIA-CICLO</w:t>
      </w:r>
    </w:p>
    <w:p w14:paraId="631A1408" w14:textId="7711349F" w:rsidR="002077F8" w:rsidRDefault="002077F8"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7A7F6798" w14:textId="0251B2FC" w:rsidR="002077F8" w:rsidRPr="00C57876" w:rsidRDefault="00C57876" w:rsidP="00C57876">
      <w:pPr>
        <w:spacing w:after="0" w:line="240" w:lineRule="auto"/>
        <w:ind w:left="-142"/>
        <w:jc w:val="center"/>
        <w:rPr>
          <w:rFonts w:ascii="Arial" w:eastAsia="Times New Roman" w:hAnsi="Arial" w:cs="Arial"/>
          <w:b/>
          <w:bCs/>
          <w:color w:val="000000"/>
          <w:sz w:val="20"/>
          <w:szCs w:val="20"/>
          <w:lang w:eastAsia="es-MX"/>
        </w:rPr>
      </w:pPr>
      <w:r>
        <w:rPr>
          <w:noProof/>
          <w:lang w:eastAsia="es-MX"/>
        </w:rPr>
        <w:drawing>
          <wp:inline distT="0" distB="0" distL="0" distR="0" wp14:anchorId="351A66FB" wp14:editId="3DDB3C45">
            <wp:extent cx="5760000" cy="2700000"/>
            <wp:effectExtent l="0" t="0" r="12700" b="571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641111" w14:textId="77777777" w:rsidR="002077F8" w:rsidRDefault="002077F8" w:rsidP="009A7101">
      <w:pPr>
        <w:spacing w:after="0" w:line="240" w:lineRule="auto"/>
        <w:ind w:left="-142"/>
        <w:jc w:val="both"/>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E32E008" w14:textId="1F4356BA" w:rsidR="00D67751" w:rsidRDefault="00D67751" w:rsidP="009A7101">
      <w:pPr>
        <w:spacing w:after="0" w:line="240" w:lineRule="auto"/>
        <w:jc w:val="both"/>
        <w:rPr>
          <w:rFonts w:ascii="Arial" w:hAnsi="Arial" w:cs="Arial"/>
          <w:b/>
          <w:sz w:val="24"/>
          <w:szCs w:val="24"/>
        </w:rPr>
      </w:pPr>
    </w:p>
    <w:p w14:paraId="64C34F8E" w14:textId="77777777" w:rsidR="00CD1E62" w:rsidRDefault="00CD1E62" w:rsidP="00CD1E62">
      <w:pPr>
        <w:spacing w:after="0" w:line="240" w:lineRule="auto"/>
        <w:ind w:right="49"/>
        <w:jc w:val="both"/>
        <w:rPr>
          <w:rFonts w:ascii="Arial" w:hAnsi="Arial" w:cs="Arial"/>
          <w:sz w:val="24"/>
          <w:szCs w:val="24"/>
        </w:rPr>
      </w:pPr>
      <w:r w:rsidRPr="00051BCE">
        <w:rPr>
          <w:rFonts w:ascii="Arial" w:hAnsi="Arial" w:cs="Arial"/>
          <w:sz w:val="24"/>
          <w:szCs w:val="24"/>
        </w:rPr>
        <w:t>El nivel más elevado para IGPOSE e</w:t>
      </w:r>
      <w:r>
        <w:rPr>
          <w:rFonts w:ascii="Arial" w:hAnsi="Arial" w:cs="Arial"/>
          <w:sz w:val="24"/>
          <w:szCs w:val="24"/>
        </w:rPr>
        <w:t>s el registrado en mayo de 2019,</w:t>
      </w:r>
      <w:r w:rsidRPr="00051BCE">
        <w:rPr>
          <w:rFonts w:ascii="Arial" w:hAnsi="Arial" w:cs="Arial"/>
          <w:sz w:val="24"/>
          <w:szCs w:val="24"/>
        </w:rPr>
        <w:t xml:space="preserve"> con 110.8 punto</w:t>
      </w:r>
      <w:r>
        <w:rPr>
          <w:rFonts w:ascii="Arial" w:hAnsi="Arial" w:cs="Arial"/>
          <w:sz w:val="24"/>
          <w:szCs w:val="24"/>
        </w:rPr>
        <w:t>s</w:t>
      </w:r>
      <w:r w:rsidRPr="00051BCE">
        <w:rPr>
          <w:rFonts w:ascii="Arial" w:hAnsi="Arial" w:cs="Arial"/>
          <w:sz w:val="24"/>
          <w:szCs w:val="24"/>
        </w:rPr>
        <w:t>, el IGRESE presenta su ni</w:t>
      </w:r>
      <w:r>
        <w:rPr>
          <w:rFonts w:ascii="Arial" w:hAnsi="Arial" w:cs="Arial"/>
          <w:sz w:val="24"/>
          <w:szCs w:val="24"/>
        </w:rPr>
        <w:t>vel más alto en febrero de 2020,</w:t>
      </w:r>
      <w:r w:rsidRPr="00051BCE">
        <w:rPr>
          <w:rFonts w:ascii="Arial" w:hAnsi="Arial" w:cs="Arial"/>
          <w:sz w:val="24"/>
          <w:szCs w:val="24"/>
        </w:rPr>
        <w:t xml:space="preserve"> con 120.2 puntos, y el IGREMSE en febrero de</w:t>
      </w:r>
      <w:r>
        <w:rPr>
          <w:rFonts w:ascii="Arial" w:hAnsi="Arial" w:cs="Arial"/>
          <w:sz w:val="24"/>
          <w:szCs w:val="24"/>
        </w:rPr>
        <w:t xml:space="preserve"> 2020,</w:t>
      </w:r>
      <w:r w:rsidRPr="00051BCE">
        <w:rPr>
          <w:rFonts w:ascii="Arial" w:hAnsi="Arial" w:cs="Arial"/>
          <w:sz w:val="24"/>
          <w:szCs w:val="24"/>
        </w:rPr>
        <w:t xml:space="preserve"> con 108.9 puntos.</w:t>
      </w:r>
    </w:p>
    <w:p w14:paraId="7562E25A" w14:textId="77777777" w:rsidR="00CD1E62" w:rsidRPr="00B633B6" w:rsidRDefault="00CD1E62" w:rsidP="009A7101">
      <w:pPr>
        <w:spacing w:after="0" w:line="240" w:lineRule="auto"/>
        <w:jc w:val="both"/>
        <w:rPr>
          <w:rFonts w:ascii="Arial" w:hAnsi="Arial" w:cs="Arial"/>
          <w:b/>
          <w:sz w:val="24"/>
          <w:szCs w:val="24"/>
        </w:rPr>
      </w:pPr>
    </w:p>
    <w:p w14:paraId="0C488609" w14:textId="0900CDF3" w:rsidR="002077F8" w:rsidRPr="00CD1E62" w:rsidRDefault="000114F6" w:rsidP="009A7101">
      <w:pPr>
        <w:spacing w:after="0" w:line="240" w:lineRule="auto"/>
        <w:jc w:val="both"/>
        <w:rPr>
          <w:rFonts w:ascii="Arial" w:hAnsi="Arial" w:cs="Arial"/>
          <w:spacing w:val="4"/>
          <w:sz w:val="24"/>
          <w:szCs w:val="24"/>
        </w:rPr>
      </w:pPr>
      <w:r w:rsidRPr="00CD1E62">
        <w:rPr>
          <w:rFonts w:ascii="Arial" w:hAnsi="Arial" w:cs="Arial"/>
          <w:spacing w:val="4"/>
          <w:sz w:val="24"/>
          <w:szCs w:val="24"/>
        </w:rPr>
        <w:t>E</w:t>
      </w:r>
      <w:r w:rsidR="002077F8" w:rsidRPr="00CD1E62">
        <w:rPr>
          <w:rFonts w:ascii="Arial" w:hAnsi="Arial" w:cs="Arial"/>
          <w:spacing w:val="4"/>
          <w:sz w:val="24"/>
          <w:szCs w:val="24"/>
        </w:rPr>
        <w:t xml:space="preserve">l </w:t>
      </w:r>
      <w:r w:rsidRPr="00CD1E62">
        <w:rPr>
          <w:rFonts w:ascii="Arial" w:hAnsi="Arial" w:cs="Arial"/>
          <w:spacing w:val="4"/>
          <w:sz w:val="24"/>
          <w:szCs w:val="24"/>
        </w:rPr>
        <w:t>IGPOSE ha</w:t>
      </w:r>
      <w:r w:rsidR="002077F8" w:rsidRPr="00CD1E62">
        <w:rPr>
          <w:rFonts w:ascii="Arial" w:hAnsi="Arial" w:cs="Arial"/>
          <w:spacing w:val="4"/>
          <w:sz w:val="24"/>
          <w:szCs w:val="24"/>
        </w:rPr>
        <w:t xml:space="preserve"> registrado variaciones </w:t>
      </w:r>
      <w:r w:rsidRPr="00CD1E62">
        <w:rPr>
          <w:rFonts w:ascii="Arial" w:hAnsi="Arial" w:cs="Arial"/>
          <w:spacing w:val="4"/>
          <w:sz w:val="24"/>
          <w:szCs w:val="24"/>
        </w:rPr>
        <w:t xml:space="preserve">mensuales </w:t>
      </w:r>
      <w:r w:rsidR="002077F8" w:rsidRPr="00CD1E62">
        <w:rPr>
          <w:rFonts w:ascii="Arial" w:hAnsi="Arial" w:cs="Arial"/>
          <w:spacing w:val="4"/>
          <w:sz w:val="24"/>
          <w:szCs w:val="24"/>
        </w:rPr>
        <w:t>positivas en los años 2010, 201</w:t>
      </w:r>
      <w:r w:rsidR="00C733BF" w:rsidRPr="00CD1E62">
        <w:rPr>
          <w:rFonts w:ascii="Arial" w:hAnsi="Arial" w:cs="Arial"/>
          <w:spacing w:val="4"/>
          <w:sz w:val="24"/>
          <w:szCs w:val="24"/>
        </w:rPr>
        <w:t>2-2014</w:t>
      </w:r>
      <w:r w:rsidR="002077F8" w:rsidRPr="00CD1E62">
        <w:rPr>
          <w:rFonts w:ascii="Arial" w:hAnsi="Arial" w:cs="Arial"/>
          <w:spacing w:val="4"/>
          <w:sz w:val="24"/>
          <w:szCs w:val="24"/>
        </w:rPr>
        <w:t>, 201</w:t>
      </w:r>
      <w:r w:rsidR="00C733BF" w:rsidRPr="00CD1E62">
        <w:rPr>
          <w:rFonts w:ascii="Arial" w:hAnsi="Arial" w:cs="Arial"/>
          <w:spacing w:val="4"/>
          <w:sz w:val="24"/>
          <w:szCs w:val="24"/>
        </w:rPr>
        <w:t xml:space="preserve">6, </w:t>
      </w:r>
      <w:r w:rsidR="002077F8" w:rsidRPr="00CD1E62">
        <w:rPr>
          <w:rFonts w:ascii="Arial" w:hAnsi="Arial" w:cs="Arial"/>
          <w:spacing w:val="4"/>
          <w:sz w:val="24"/>
          <w:szCs w:val="24"/>
        </w:rPr>
        <w:t>201</w:t>
      </w:r>
      <w:r w:rsidR="00C733BF" w:rsidRPr="00CD1E62">
        <w:rPr>
          <w:rFonts w:ascii="Arial" w:hAnsi="Arial" w:cs="Arial"/>
          <w:spacing w:val="4"/>
          <w:sz w:val="24"/>
          <w:szCs w:val="24"/>
        </w:rPr>
        <w:t>7</w:t>
      </w:r>
      <w:r w:rsidR="002077F8" w:rsidRPr="00CD1E62">
        <w:rPr>
          <w:rFonts w:ascii="Arial" w:hAnsi="Arial" w:cs="Arial"/>
          <w:spacing w:val="4"/>
          <w:sz w:val="24"/>
          <w:szCs w:val="24"/>
        </w:rPr>
        <w:t xml:space="preserve"> y 201</w:t>
      </w:r>
      <w:r w:rsidR="00C733BF" w:rsidRPr="00CD1E62">
        <w:rPr>
          <w:rFonts w:ascii="Arial" w:hAnsi="Arial" w:cs="Arial"/>
          <w:spacing w:val="4"/>
          <w:sz w:val="24"/>
          <w:szCs w:val="24"/>
        </w:rPr>
        <w:t>9</w:t>
      </w:r>
      <w:r w:rsidRPr="00CD1E62">
        <w:rPr>
          <w:rFonts w:ascii="Arial" w:hAnsi="Arial" w:cs="Arial"/>
          <w:spacing w:val="4"/>
          <w:sz w:val="24"/>
          <w:szCs w:val="24"/>
        </w:rPr>
        <w:t xml:space="preserve"> en los meses de mayo.</w:t>
      </w:r>
      <w:r w:rsidR="002077F8" w:rsidRPr="00CD1E62">
        <w:rPr>
          <w:rFonts w:ascii="Arial" w:hAnsi="Arial" w:cs="Arial"/>
          <w:spacing w:val="4"/>
          <w:sz w:val="24"/>
          <w:szCs w:val="24"/>
        </w:rPr>
        <w:t xml:space="preserve"> Los años 2008, 2009, 201</w:t>
      </w:r>
      <w:r w:rsidR="00C733BF" w:rsidRPr="00CD1E62">
        <w:rPr>
          <w:rFonts w:ascii="Arial" w:hAnsi="Arial" w:cs="Arial"/>
          <w:spacing w:val="4"/>
          <w:sz w:val="24"/>
          <w:szCs w:val="24"/>
        </w:rPr>
        <w:t>1, 2015</w:t>
      </w:r>
      <w:r w:rsidR="002077F8" w:rsidRPr="00CD1E62">
        <w:rPr>
          <w:rFonts w:ascii="Arial" w:hAnsi="Arial" w:cs="Arial"/>
          <w:spacing w:val="4"/>
          <w:sz w:val="24"/>
          <w:szCs w:val="24"/>
        </w:rPr>
        <w:t xml:space="preserve"> y 2020 presentan una variación mensual negativa. En </w:t>
      </w:r>
      <w:r w:rsidR="00C733BF" w:rsidRPr="00CD1E62">
        <w:rPr>
          <w:rFonts w:ascii="Arial" w:hAnsi="Arial" w:cs="Arial"/>
          <w:spacing w:val="4"/>
          <w:sz w:val="24"/>
          <w:szCs w:val="24"/>
        </w:rPr>
        <w:t>el</w:t>
      </w:r>
      <w:r w:rsidR="002077F8" w:rsidRPr="00CD1E62">
        <w:rPr>
          <w:rFonts w:ascii="Arial" w:hAnsi="Arial" w:cs="Arial"/>
          <w:spacing w:val="4"/>
          <w:sz w:val="24"/>
          <w:szCs w:val="24"/>
        </w:rPr>
        <w:t xml:space="preserve"> año 201</w:t>
      </w:r>
      <w:r w:rsidR="00C733BF" w:rsidRPr="00CD1E62">
        <w:rPr>
          <w:rFonts w:ascii="Arial" w:hAnsi="Arial" w:cs="Arial"/>
          <w:spacing w:val="4"/>
          <w:sz w:val="24"/>
          <w:szCs w:val="24"/>
        </w:rPr>
        <w:t>8</w:t>
      </w:r>
      <w:r w:rsidR="002077F8" w:rsidRPr="00CD1E62">
        <w:rPr>
          <w:rFonts w:ascii="Arial" w:hAnsi="Arial" w:cs="Arial"/>
          <w:spacing w:val="4"/>
          <w:sz w:val="24"/>
          <w:szCs w:val="24"/>
        </w:rPr>
        <w:t xml:space="preserve"> no se presenta variación para dicho mes.</w:t>
      </w:r>
    </w:p>
    <w:p w14:paraId="059FDFE6" w14:textId="720E8E5C" w:rsidR="00AF21E8" w:rsidRDefault="00AF21E8" w:rsidP="009A7101">
      <w:pPr>
        <w:spacing w:after="0" w:line="240" w:lineRule="auto"/>
        <w:jc w:val="both"/>
        <w:rPr>
          <w:rFonts w:ascii="Arial" w:hAnsi="Arial" w:cs="Arial"/>
          <w:sz w:val="24"/>
          <w:szCs w:val="24"/>
        </w:rPr>
      </w:pPr>
    </w:p>
    <w:p w14:paraId="2E180D4C" w14:textId="50C6166E" w:rsidR="00326641" w:rsidRDefault="00AF21E8" w:rsidP="009A7101">
      <w:pPr>
        <w:spacing w:after="0" w:line="240" w:lineRule="auto"/>
        <w:jc w:val="both"/>
        <w:rPr>
          <w:rFonts w:ascii="Arial" w:hAnsi="Arial" w:cs="Arial"/>
          <w:sz w:val="24"/>
          <w:szCs w:val="24"/>
        </w:rPr>
      </w:pPr>
      <w:r w:rsidRPr="00FE3EB5">
        <w:rPr>
          <w:rFonts w:ascii="Arial" w:hAnsi="Arial" w:cs="Arial"/>
          <w:sz w:val="24"/>
          <w:szCs w:val="24"/>
        </w:rPr>
        <w:t>Para los meses de mayo del periodo 2010-2019, este indicador ha registrado variaciones anuales positivas y en los años 2009 y 2020 negativas.</w:t>
      </w:r>
    </w:p>
    <w:p w14:paraId="5A575DC4" w14:textId="2E9D1F47" w:rsidR="00CD1E62" w:rsidRDefault="00CD1E62" w:rsidP="009A7101">
      <w:pPr>
        <w:spacing w:after="0" w:line="240" w:lineRule="auto"/>
        <w:jc w:val="both"/>
        <w:rPr>
          <w:rFonts w:ascii="Arial" w:hAnsi="Arial" w:cs="Arial"/>
          <w:sz w:val="24"/>
          <w:szCs w:val="24"/>
        </w:rPr>
      </w:pPr>
    </w:p>
    <w:p w14:paraId="5CC5B9F6" w14:textId="77777777" w:rsidR="00CD1E62" w:rsidRDefault="00CD1E62" w:rsidP="009A7101">
      <w:pPr>
        <w:spacing w:after="0" w:line="240" w:lineRule="auto"/>
        <w:jc w:val="both"/>
        <w:rPr>
          <w:rFonts w:ascii="Arial" w:hAnsi="Arial" w:cs="Arial"/>
          <w:sz w:val="24"/>
          <w:szCs w:val="24"/>
        </w:rPr>
      </w:pPr>
    </w:p>
    <w:p w14:paraId="7A92F484" w14:textId="77777777" w:rsidR="004F0CF0" w:rsidRPr="00D0286C" w:rsidRDefault="004F0CF0" w:rsidP="009A7101">
      <w:pPr>
        <w:spacing w:after="0" w:line="240" w:lineRule="auto"/>
        <w:ind w:right="49"/>
        <w:jc w:val="center"/>
        <w:rPr>
          <w:rFonts w:ascii="Arial" w:hAnsi="Arial" w:cs="Arial"/>
          <w:b/>
          <w:sz w:val="20"/>
          <w:szCs w:val="20"/>
        </w:rPr>
      </w:pPr>
      <w:r>
        <w:rPr>
          <w:rFonts w:ascii="Arial" w:hAnsi="Arial" w:cs="Arial"/>
          <w:b/>
          <w:sz w:val="20"/>
          <w:szCs w:val="20"/>
        </w:rPr>
        <w:lastRenderedPageBreak/>
        <w:t>Cuadro 2</w:t>
      </w:r>
    </w:p>
    <w:p w14:paraId="72BB5EE4" w14:textId="77777777" w:rsidR="004F0CF0" w:rsidRPr="00D0286C" w:rsidRDefault="004F0CF0" w:rsidP="009A7101">
      <w:pPr>
        <w:spacing w:after="0" w:line="240" w:lineRule="auto"/>
        <w:ind w:right="49"/>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1934433F" w14:textId="77777777" w:rsidR="004F0CF0" w:rsidRPr="00D0286C" w:rsidRDefault="004F0CF0" w:rsidP="009A7101">
      <w:pPr>
        <w:spacing w:after="0" w:line="240" w:lineRule="auto"/>
        <w:ind w:right="49"/>
        <w:jc w:val="center"/>
        <w:rPr>
          <w:rFonts w:ascii="Arial" w:hAnsi="Arial" w:cs="Arial"/>
          <w:b/>
          <w:sz w:val="20"/>
          <w:szCs w:val="20"/>
        </w:rPr>
      </w:pPr>
      <w:r>
        <w:rPr>
          <w:rFonts w:ascii="Arial" w:hAnsi="Arial" w:cs="Arial"/>
          <w:b/>
          <w:sz w:val="20"/>
          <w:szCs w:val="20"/>
        </w:rPr>
        <w:t>ENERO DE 2008 – MAYO DE 2020</w:t>
      </w:r>
    </w:p>
    <w:p w14:paraId="05048974" w14:textId="77777777" w:rsidR="004F0CF0" w:rsidRPr="00D0286C" w:rsidRDefault="004F0CF0" w:rsidP="009A7101">
      <w:pPr>
        <w:spacing w:after="0" w:line="240" w:lineRule="auto"/>
        <w:ind w:right="49"/>
        <w:jc w:val="center"/>
        <w:rPr>
          <w:rFonts w:ascii="Arial" w:hAnsi="Arial" w:cs="Arial"/>
          <w:b/>
          <w:sz w:val="20"/>
          <w:szCs w:val="20"/>
        </w:rPr>
      </w:pPr>
      <w:r>
        <w:rPr>
          <w:rFonts w:ascii="Arial" w:hAnsi="Arial" w:cs="Arial"/>
          <w:b/>
          <w:sz w:val="20"/>
          <w:szCs w:val="20"/>
        </w:rPr>
        <w:t>SERIE DESESTACIONALIZADA</w:t>
      </w:r>
    </w:p>
    <w:p w14:paraId="1A19D825" w14:textId="2558A16F" w:rsidR="004F0CF0" w:rsidRDefault="004F0CF0" w:rsidP="009A7101">
      <w:pPr>
        <w:spacing w:after="0" w:line="240" w:lineRule="auto"/>
        <w:ind w:right="49"/>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92" w:type="dxa"/>
        <w:tblInd w:w="-10" w:type="dxa"/>
        <w:tblCellMar>
          <w:left w:w="70" w:type="dxa"/>
          <w:right w:w="70" w:type="dxa"/>
        </w:tblCellMar>
        <w:tblLook w:val="04A0" w:firstRow="1" w:lastRow="0" w:firstColumn="1" w:lastColumn="0" w:noHBand="0" w:noVBand="1"/>
      </w:tblPr>
      <w:tblGrid>
        <w:gridCol w:w="660"/>
        <w:gridCol w:w="808"/>
        <w:gridCol w:w="667"/>
        <w:gridCol w:w="659"/>
        <w:gridCol w:w="659"/>
        <w:gridCol w:w="659"/>
        <w:gridCol w:w="659"/>
        <w:gridCol w:w="659"/>
        <w:gridCol w:w="659"/>
        <w:gridCol w:w="659"/>
        <w:gridCol w:w="659"/>
        <w:gridCol w:w="659"/>
        <w:gridCol w:w="659"/>
        <w:gridCol w:w="667"/>
      </w:tblGrid>
      <w:tr w:rsidR="00C733BF" w:rsidRPr="00C733BF" w14:paraId="16F8DF3B" w14:textId="77777777" w:rsidTr="000114F6">
        <w:trPr>
          <w:trHeight w:val="480"/>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4AAAD90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Año</w:t>
            </w:r>
          </w:p>
        </w:tc>
        <w:tc>
          <w:tcPr>
            <w:tcW w:w="808"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1754C35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 Variación Anual y Mensual</w:t>
            </w:r>
          </w:p>
        </w:tc>
        <w:tc>
          <w:tcPr>
            <w:tcW w:w="7924" w:type="dxa"/>
            <w:gridSpan w:val="12"/>
            <w:tcBorders>
              <w:top w:val="single" w:sz="8" w:space="0" w:color="auto"/>
              <w:left w:val="nil"/>
              <w:bottom w:val="single" w:sz="4" w:space="0" w:color="auto"/>
              <w:right w:val="single" w:sz="8" w:space="0" w:color="000000"/>
            </w:tcBorders>
            <w:shd w:val="clear" w:color="auto" w:fill="C4D79B"/>
            <w:noWrap/>
            <w:vAlign w:val="center"/>
            <w:hideMark/>
          </w:tcPr>
          <w:p w14:paraId="29D6229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Mes</w:t>
            </w:r>
          </w:p>
        </w:tc>
      </w:tr>
      <w:tr w:rsidR="00C733BF" w:rsidRPr="00C733BF" w14:paraId="5C52BC9D" w14:textId="77777777" w:rsidTr="00C733BF">
        <w:trPr>
          <w:trHeight w:val="480"/>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6498AA01"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vMerge/>
            <w:tcBorders>
              <w:top w:val="single" w:sz="8" w:space="0" w:color="auto"/>
              <w:left w:val="nil"/>
              <w:bottom w:val="single" w:sz="4" w:space="0" w:color="000000"/>
              <w:right w:val="single" w:sz="4" w:space="0" w:color="auto"/>
            </w:tcBorders>
            <w:vAlign w:val="center"/>
            <w:hideMark/>
          </w:tcPr>
          <w:p w14:paraId="4FBEE4D2"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667" w:type="dxa"/>
            <w:tcBorders>
              <w:top w:val="nil"/>
              <w:left w:val="nil"/>
              <w:bottom w:val="single" w:sz="4" w:space="0" w:color="auto"/>
              <w:right w:val="single" w:sz="4" w:space="0" w:color="auto"/>
            </w:tcBorders>
            <w:shd w:val="clear" w:color="000000" w:fill="C4D79B"/>
            <w:noWrap/>
            <w:vAlign w:val="center"/>
            <w:hideMark/>
          </w:tcPr>
          <w:p w14:paraId="695D1AD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Ene</w:t>
            </w:r>
          </w:p>
        </w:tc>
        <w:tc>
          <w:tcPr>
            <w:tcW w:w="659" w:type="dxa"/>
            <w:tcBorders>
              <w:top w:val="nil"/>
              <w:left w:val="nil"/>
              <w:bottom w:val="single" w:sz="4" w:space="0" w:color="auto"/>
              <w:right w:val="single" w:sz="4" w:space="0" w:color="auto"/>
            </w:tcBorders>
            <w:shd w:val="clear" w:color="000000" w:fill="C4D79B"/>
            <w:noWrap/>
            <w:vAlign w:val="center"/>
            <w:hideMark/>
          </w:tcPr>
          <w:p w14:paraId="33DA853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6134644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31F873A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2378ADE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67B506A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26CE3A2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50997DB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proofErr w:type="spellStart"/>
            <w:r w:rsidRPr="00C733BF">
              <w:rPr>
                <w:rFonts w:ascii="Arial" w:eastAsia="Times New Roman" w:hAnsi="Arial" w:cs="Arial"/>
                <w:color w:val="000000"/>
                <w:sz w:val="16"/>
                <w:szCs w:val="16"/>
                <w:lang w:eastAsia="es-MX"/>
              </w:rPr>
              <w:t>Ago</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2B790BB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proofErr w:type="spellStart"/>
            <w:r w:rsidRPr="00C733BF">
              <w:rPr>
                <w:rFonts w:ascii="Arial" w:eastAsia="Times New Roman" w:hAnsi="Arial" w:cs="Arial"/>
                <w:color w:val="000000"/>
                <w:sz w:val="16"/>
                <w:szCs w:val="16"/>
                <w:lang w:eastAsia="es-MX"/>
              </w:rPr>
              <w:t>Sep</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5DC2EF0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1A57C17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Nov</w:t>
            </w:r>
          </w:p>
        </w:tc>
        <w:tc>
          <w:tcPr>
            <w:tcW w:w="667" w:type="dxa"/>
            <w:tcBorders>
              <w:top w:val="nil"/>
              <w:left w:val="nil"/>
              <w:bottom w:val="single" w:sz="4" w:space="0" w:color="auto"/>
              <w:right w:val="single" w:sz="8" w:space="0" w:color="auto"/>
            </w:tcBorders>
            <w:shd w:val="clear" w:color="000000" w:fill="C4D79B"/>
            <w:noWrap/>
            <w:vAlign w:val="center"/>
            <w:hideMark/>
          </w:tcPr>
          <w:p w14:paraId="33A5023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Dic</w:t>
            </w:r>
          </w:p>
        </w:tc>
      </w:tr>
      <w:tr w:rsidR="00C733BF" w:rsidRPr="00C733BF" w14:paraId="452163E4" w14:textId="77777777" w:rsidTr="00C733BF">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6D1ABB8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2008</w:t>
            </w:r>
          </w:p>
        </w:tc>
        <w:tc>
          <w:tcPr>
            <w:tcW w:w="808" w:type="dxa"/>
            <w:tcBorders>
              <w:top w:val="nil"/>
              <w:left w:val="nil"/>
              <w:bottom w:val="nil"/>
              <w:right w:val="single" w:sz="4" w:space="0" w:color="auto"/>
            </w:tcBorders>
            <w:shd w:val="clear" w:color="auto" w:fill="auto"/>
            <w:noWrap/>
            <w:vAlign w:val="center"/>
            <w:hideMark/>
          </w:tcPr>
          <w:p w14:paraId="359A45B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7A70BB7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100.7</w:t>
            </w:r>
          </w:p>
        </w:tc>
        <w:tc>
          <w:tcPr>
            <w:tcW w:w="659" w:type="dxa"/>
            <w:tcBorders>
              <w:top w:val="nil"/>
              <w:left w:val="nil"/>
              <w:bottom w:val="nil"/>
              <w:right w:val="nil"/>
            </w:tcBorders>
            <w:shd w:val="clear" w:color="auto" w:fill="auto"/>
            <w:noWrap/>
            <w:vAlign w:val="center"/>
            <w:hideMark/>
          </w:tcPr>
          <w:p w14:paraId="51D4C37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100.9</w:t>
            </w:r>
          </w:p>
        </w:tc>
        <w:tc>
          <w:tcPr>
            <w:tcW w:w="659" w:type="dxa"/>
            <w:tcBorders>
              <w:top w:val="nil"/>
              <w:left w:val="nil"/>
              <w:bottom w:val="nil"/>
              <w:right w:val="nil"/>
            </w:tcBorders>
            <w:shd w:val="clear" w:color="auto" w:fill="auto"/>
            <w:noWrap/>
            <w:vAlign w:val="center"/>
            <w:hideMark/>
          </w:tcPr>
          <w:p w14:paraId="6A5B49D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100.8</w:t>
            </w:r>
          </w:p>
        </w:tc>
        <w:tc>
          <w:tcPr>
            <w:tcW w:w="659" w:type="dxa"/>
            <w:tcBorders>
              <w:top w:val="nil"/>
              <w:left w:val="nil"/>
              <w:bottom w:val="nil"/>
              <w:right w:val="nil"/>
            </w:tcBorders>
            <w:shd w:val="clear" w:color="auto" w:fill="auto"/>
            <w:noWrap/>
            <w:vAlign w:val="center"/>
            <w:hideMark/>
          </w:tcPr>
          <w:p w14:paraId="4B2C1A3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100.6</w:t>
            </w:r>
          </w:p>
        </w:tc>
        <w:tc>
          <w:tcPr>
            <w:tcW w:w="659" w:type="dxa"/>
            <w:tcBorders>
              <w:top w:val="nil"/>
              <w:left w:val="nil"/>
              <w:bottom w:val="nil"/>
              <w:right w:val="nil"/>
            </w:tcBorders>
            <w:shd w:val="clear" w:color="000000" w:fill="C4D79B"/>
            <w:noWrap/>
            <w:vAlign w:val="center"/>
            <w:hideMark/>
          </w:tcPr>
          <w:p w14:paraId="75F58AE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100.3</w:t>
            </w:r>
          </w:p>
        </w:tc>
        <w:tc>
          <w:tcPr>
            <w:tcW w:w="659" w:type="dxa"/>
            <w:tcBorders>
              <w:top w:val="nil"/>
              <w:left w:val="nil"/>
              <w:bottom w:val="nil"/>
              <w:right w:val="nil"/>
            </w:tcBorders>
            <w:shd w:val="clear" w:color="auto" w:fill="auto"/>
            <w:noWrap/>
            <w:vAlign w:val="center"/>
            <w:hideMark/>
          </w:tcPr>
          <w:p w14:paraId="67DF06E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72199CB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5B9E2AE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99.2</w:t>
            </w:r>
          </w:p>
        </w:tc>
        <w:tc>
          <w:tcPr>
            <w:tcW w:w="659" w:type="dxa"/>
            <w:tcBorders>
              <w:top w:val="nil"/>
              <w:left w:val="nil"/>
              <w:bottom w:val="nil"/>
              <w:right w:val="nil"/>
            </w:tcBorders>
            <w:shd w:val="clear" w:color="auto" w:fill="auto"/>
            <w:noWrap/>
            <w:vAlign w:val="center"/>
            <w:hideMark/>
          </w:tcPr>
          <w:p w14:paraId="5DE043F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98.5</w:t>
            </w:r>
          </w:p>
        </w:tc>
        <w:tc>
          <w:tcPr>
            <w:tcW w:w="659" w:type="dxa"/>
            <w:tcBorders>
              <w:top w:val="nil"/>
              <w:left w:val="nil"/>
              <w:bottom w:val="nil"/>
              <w:right w:val="nil"/>
            </w:tcBorders>
            <w:shd w:val="clear" w:color="auto" w:fill="auto"/>
            <w:noWrap/>
            <w:vAlign w:val="center"/>
            <w:hideMark/>
          </w:tcPr>
          <w:p w14:paraId="7F9C647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98.1</w:t>
            </w:r>
          </w:p>
        </w:tc>
        <w:tc>
          <w:tcPr>
            <w:tcW w:w="659" w:type="dxa"/>
            <w:tcBorders>
              <w:top w:val="nil"/>
              <w:left w:val="nil"/>
              <w:bottom w:val="nil"/>
              <w:right w:val="nil"/>
            </w:tcBorders>
            <w:shd w:val="clear" w:color="auto" w:fill="auto"/>
            <w:noWrap/>
            <w:vAlign w:val="center"/>
            <w:hideMark/>
          </w:tcPr>
          <w:p w14:paraId="2DC6641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97.4</w:t>
            </w:r>
          </w:p>
        </w:tc>
        <w:tc>
          <w:tcPr>
            <w:tcW w:w="667" w:type="dxa"/>
            <w:tcBorders>
              <w:top w:val="nil"/>
              <w:left w:val="nil"/>
              <w:bottom w:val="nil"/>
              <w:right w:val="single" w:sz="4" w:space="0" w:color="auto"/>
            </w:tcBorders>
            <w:shd w:val="clear" w:color="auto" w:fill="auto"/>
            <w:noWrap/>
            <w:vAlign w:val="center"/>
            <w:hideMark/>
          </w:tcPr>
          <w:p w14:paraId="2EF9EDB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97.5</w:t>
            </w:r>
          </w:p>
        </w:tc>
      </w:tr>
      <w:tr w:rsidR="00C733BF" w:rsidRPr="00C733BF" w14:paraId="02C57078" w14:textId="77777777" w:rsidTr="00C733BF">
        <w:trPr>
          <w:trHeight w:val="222"/>
        </w:trPr>
        <w:tc>
          <w:tcPr>
            <w:tcW w:w="660" w:type="dxa"/>
            <w:vMerge/>
            <w:tcBorders>
              <w:top w:val="nil"/>
              <w:left w:val="single" w:sz="4" w:space="0" w:color="auto"/>
              <w:bottom w:val="single" w:sz="4" w:space="0" w:color="000000"/>
              <w:right w:val="nil"/>
            </w:tcBorders>
            <w:vAlign w:val="center"/>
            <w:hideMark/>
          </w:tcPr>
          <w:p w14:paraId="2D01F693"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3F5D299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7411449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nil"/>
              <w:right w:val="nil"/>
            </w:tcBorders>
            <w:shd w:val="clear" w:color="auto" w:fill="auto"/>
            <w:noWrap/>
            <w:vAlign w:val="center"/>
            <w:hideMark/>
          </w:tcPr>
          <w:p w14:paraId="5580702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B5B5D3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B13C0A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7FD3817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019A8A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236848B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2BA6EE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53E106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6909048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19FFB4A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-0.7</w:t>
            </w:r>
          </w:p>
        </w:tc>
        <w:tc>
          <w:tcPr>
            <w:tcW w:w="667" w:type="dxa"/>
            <w:tcBorders>
              <w:top w:val="nil"/>
              <w:left w:val="nil"/>
              <w:bottom w:val="nil"/>
              <w:right w:val="single" w:sz="4" w:space="0" w:color="auto"/>
            </w:tcBorders>
            <w:shd w:val="clear" w:color="auto" w:fill="auto"/>
            <w:noWrap/>
            <w:vAlign w:val="center"/>
            <w:hideMark/>
          </w:tcPr>
          <w:p w14:paraId="01C1CC4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r>
      <w:tr w:rsidR="00C733BF" w:rsidRPr="00C733BF" w14:paraId="6A986EB4" w14:textId="77777777" w:rsidTr="00C733BF">
        <w:trPr>
          <w:trHeight w:val="222"/>
        </w:trPr>
        <w:tc>
          <w:tcPr>
            <w:tcW w:w="660" w:type="dxa"/>
            <w:vMerge/>
            <w:tcBorders>
              <w:top w:val="nil"/>
              <w:left w:val="single" w:sz="4" w:space="0" w:color="auto"/>
              <w:bottom w:val="single" w:sz="4" w:space="0" w:color="000000"/>
              <w:right w:val="nil"/>
            </w:tcBorders>
            <w:vAlign w:val="center"/>
            <w:hideMark/>
          </w:tcPr>
          <w:p w14:paraId="6B786E6E"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063163B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2FCA920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09512C1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0A15AA3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C2F4EA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3DEA2F1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C1E7DD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8CFA40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0D4C6C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DDBCF5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4AEE67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4CB7E1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c>
          <w:tcPr>
            <w:tcW w:w="667" w:type="dxa"/>
            <w:tcBorders>
              <w:top w:val="nil"/>
              <w:left w:val="nil"/>
              <w:bottom w:val="single" w:sz="4" w:space="0" w:color="auto"/>
              <w:right w:val="single" w:sz="4" w:space="0" w:color="auto"/>
            </w:tcBorders>
            <w:shd w:val="clear" w:color="auto" w:fill="auto"/>
            <w:noWrap/>
            <w:vAlign w:val="center"/>
            <w:hideMark/>
          </w:tcPr>
          <w:p w14:paraId="2DB096D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w:t>
            </w:r>
          </w:p>
        </w:tc>
      </w:tr>
      <w:tr w:rsidR="00C733BF" w:rsidRPr="00C733BF" w14:paraId="5D083F0E"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4DBE81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2009</w:t>
            </w:r>
          </w:p>
        </w:tc>
        <w:tc>
          <w:tcPr>
            <w:tcW w:w="808" w:type="dxa"/>
            <w:tcBorders>
              <w:top w:val="nil"/>
              <w:left w:val="nil"/>
              <w:bottom w:val="nil"/>
              <w:right w:val="single" w:sz="4" w:space="0" w:color="auto"/>
            </w:tcBorders>
            <w:shd w:val="clear" w:color="auto" w:fill="auto"/>
            <w:noWrap/>
            <w:vAlign w:val="center"/>
            <w:hideMark/>
          </w:tcPr>
          <w:p w14:paraId="3363F8D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1D4D864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96.6</w:t>
            </w:r>
          </w:p>
        </w:tc>
        <w:tc>
          <w:tcPr>
            <w:tcW w:w="659" w:type="dxa"/>
            <w:tcBorders>
              <w:top w:val="nil"/>
              <w:left w:val="nil"/>
              <w:bottom w:val="nil"/>
              <w:right w:val="nil"/>
            </w:tcBorders>
            <w:shd w:val="clear" w:color="auto" w:fill="auto"/>
            <w:noWrap/>
            <w:vAlign w:val="center"/>
            <w:hideMark/>
          </w:tcPr>
          <w:p w14:paraId="4226150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95.9</w:t>
            </w:r>
          </w:p>
        </w:tc>
        <w:tc>
          <w:tcPr>
            <w:tcW w:w="659" w:type="dxa"/>
            <w:tcBorders>
              <w:top w:val="nil"/>
              <w:left w:val="nil"/>
              <w:bottom w:val="nil"/>
              <w:right w:val="nil"/>
            </w:tcBorders>
            <w:shd w:val="clear" w:color="auto" w:fill="auto"/>
            <w:noWrap/>
            <w:vAlign w:val="center"/>
            <w:hideMark/>
          </w:tcPr>
          <w:p w14:paraId="4A01C4A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95.3</w:t>
            </w:r>
          </w:p>
        </w:tc>
        <w:tc>
          <w:tcPr>
            <w:tcW w:w="659" w:type="dxa"/>
            <w:tcBorders>
              <w:top w:val="nil"/>
              <w:left w:val="nil"/>
              <w:bottom w:val="nil"/>
              <w:right w:val="nil"/>
            </w:tcBorders>
            <w:shd w:val="clear" w:color="auto" w:fill="auto"/>
            <w:noWrap/>
            <w:vAlign w:val="center"/>
            <w:hideMark/>
          </w:tcPr>
          <w:p w14:paraId="40E2E27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000000" w:fill="C4D79B"/>
            <w:noWrap/>
            <w:vAlign w:val="center"/>
            <w:hideMark/>
          </w:tcPr>
          <w:p w14:paraId="5B178D6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94.0</w:t>
            </w:r>
          </w:p>
        </w:tc>
        <w:tc>
          <w:tcPr>
            <w:tcW w:w="659" w:type="dxa"/>
            <w:tcBorders>
              <w:top w:val="nil"/>
              <w:left w:val="nil"/>
              <w:bottom w:val="nil"/>
              <w:right w:val="nil"/>
            </w:tcBorders>
            <w:shd w:val="clear" w:color="auto" w:fill="auto"/>
            <w:noWrap/>
            <w:vAlign w:val="center"/>
            <w:hideMark/>
          </w:tcPr>
          <w:p w14:paraId="3197B66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243C6F8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3D900C3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5A30DF2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94.1</w:t>
            </w:r>
          </w:p>
        </w:tc>
        <w:tc>
          <w:tcPr>
            <w:tcW w:w="659" w:type="dxa"/>
            <w:tcBorders>
              <w:top w:val="nil"/>
              <w:left w:val="nil"/>
              <w:bottom w:val="nil"/>
              <w:right w:val="nil"/>
            </w:tcBorders>
            <w:shd w:val="clear" w:color="auto" w:fill="auto"/>
            <w:noWrap/>
            <w:vAlign w:val="center"/>
            <w:hideMark/>
          </w:tcPr>
          <w:p w14:paraId="1FEE118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94.3</w:t>
            </w:r>
          </w:p>
        </w:tc>
        <w:tc>
          <w:tcPr>
            <w:tcW w:w="659" w:type="dxa"/>
            <w:tcBorders>
              <w:top w:val="nil"/>
              <w:left w:val="nil"/>
              <w:bottom w:val="nil"/>
              <w:right w:val="nil"/>
            </w:tcBorders>
            <w:shd w:val="clear" w:color="auto" w:fill="auto"/>
            <w:noWrap/>
            <w:vAlign w:val="center"/>
            <w:hideMark/>
          </w:tcPr>
          <w:p w14:paraId="0B23DFA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94.5</w:t>
            </w:r>
          </w:p>
        </w:tc>
        <w:tc>
          <w:tcPr>
            <w:tcW w:w="667" w:type="dxa"/>
            <w:tcBorders>
              <w:top w:val="nil"/>
              <w:left w:val="nil"/>
              <w:bottom w:val="nil"/>
              <w:right w:val="single" w:sz="4" w:space="0" w:color="auto"/>
            </w:tcBorders>
            <w:shd w:val="clear" w:color="auto" w:fill="auto"/>
            <w:noWrap/>
            <w:vAlign w:val="center"/>
            <w:hideMark/>
          </w:tcPr>
          <w:p w14:paraId="7A48FC6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95.1</w:t>
            </w:r>
          </w:p>
        </w:tc>
      </w:tr>
      <w:tr w:rsidR="00C733BF" w:rsidRPr="00C733BF" w14:paraId="44208BC8"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067E01E"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4C0DA52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4286BE1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46372CC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4DBEBA5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290098B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000000" w:fill="C4D79B"/>
            <w:noWrap/>
            <w:vAlign w:val="center"/>
            <w:hideMark/>
          </w:tcPr>
          <w:p w14:paraId="16EE916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594CBA6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F975AF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C8A220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A49490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883787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6B269C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67" w:type="dxa"/>
            <w:tcBorders>
              <w:top w:val="nil"/>
              <w:left w:val="nil"/>
              <w:bottom w:val="nil"/>
              <w:right w:val="single" w:sz="4" w:space="0" w:color="auto"/>
            </w:tcBorders>
            <w:shd w:val="clear" w:color="auto" w:fill="auto"/>
            <w:noWrap/>
            <w:vAlign w:val="center"/>
            <w:hideMark/>
          </w:tcPr>
          <w:p w14:paraId="5591596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r>
      <w:tr w:rsidR="00C733BF" w:rsidRPr="00C733BF" w14:paraId="2E2D0F1B"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F9F41B0"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0BA7C21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DCE05A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-4.2</w:t>
            </w:r>
          </w:p>
        </w:tc>
        <w:tc>
          <w:tcPr>
            <w:tcW w:w="659" w:type="dxa"/>
            <w:tcBorders>
              <w:top w:val="nil"/>
              <w:left w:val="nil"/>
              <w:bottom w:val="nil"/>
              <w:right w:val="nil"/>
            </w:tcBorders>
            <w:shd w:val="clear" w:color="auto" w:fill="auto"/>
            <w:noWrap/>
            <w:vAlign w:val="center"/>
            <w:hideMark/>
          </w:tcPr>
          <w:p w14:paraId="23BBF04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7BFE6D8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-5.5</w:t>
            </w:r>
          </w:p>
        </w:tc>
        <w:tc>
          <w:tcPr>
            <w:tcW w:w="659" w:type="dxa"/>
            <w:tcBorders>
              <w:top w:val="nil"/>
              <w:left w:val="nil"/>
              <w:bottom w:val="nil"/>
              <w:right w:val="nil"/>
            </w:tcBorders>
            <w:shd w:val="clear" w:color="auto" w:fill="auto"/>
            <w:noWrap/>
            <w:vAlign w:val="center"/>
            <w:hideMark/>
          </w:tcPr>
          <w:p w14:paraId="6ABC865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000000" w:fill="C4D79B"/>
            <w:noWrap/>
            <w:vAlign w:val="center"/>
            <w:hideMark/>
          </w:tcPr>
          <w:p w14:paraId="5D79CD2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-6.3</w:t>
            </w:r>
          </w:p>
        </w:tc>
        <w:tc>
          <w:tcPr>
            <w:tcW w:w="659" w:type="dxa"/>
            <w:tcBorders>
              <w:top w:val="nil"/>
              <w:left w:val="nil"/>
              <w:bottom w:val="nil"/>
              <w:right w:val="nil"/>
            </w:tcBorders>
            <w:shd w:val="clear" w:color="auto" w:fill="auto"/>
            <w:noWrap/>
            <w:vAlign w:val="center"/>
            <w:hideMark/>
          </w:tcPr>
          <w:p w14:paraId="24BF66E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5DDC2FD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63244F9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-5.3</w:t>
            </w:r>
          </w:p>
        </w:tc>
        <w:tc>
          <w:tcPr>
            <w:tcW w:w="659" w:type="dxa"/>
            <w:tcBorders>
              <w:top w:val="nil"/>
              <w:left w:val="nil"/>
              <w:bottom w:val="nil"/>
              <w:right w:val="nil"/>
            </w:tcBorders>
            <w:shd w:val="clear" w:color="auto" w:fill="auto"/>
            <w:noWrap/>
            <w:vAlign w:val="center"/>
            <w:hideMark/>
          </w:tcPr>
          <w:p w14:paraId="030DC00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-4.5</w:t>
            </w:r>
          </w:p>
        </w:tc>
        <w:tc>
          <w:tcPr>
            <w:tcW w:w="659" w:type="dxa"/>
            <w:tcBorders>
              <w:top w:val="nil"/>
              <w:left w:val="nil"/>
              <w:bottom w:val="nil"/>
              <w:right w:val="nil"/>
            </w:tcBorders>
            <w:shd w:val="clear" w:color="auto" w:fill="auto"/>
            <w:noWrap/>
            <w:vAlign w:val="center"/>
            <w:hideMark/>
          </w:tcPr>
          <w:p w14:paraId="418B94A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-3.9</w:t>
            </w:r>
          </w:p>
        </w:tc>
        <w:tc>
          <w:tcPr>
            <w:tcW w:w="659" w:type="dxa"/>
            <w:tcBorders>
              <w:top w:val="nil"/>
              <w:left w:val="nil"/>
              <w:bottom w:val="nil"/>
              <w:right w:val="nil"/>
            </w:tcBorders>
            <w:shd w:val="clear" w:color="auto" w:fill="auto"/>
            <w:noWrap/>
            <w:vAlign w:val="center"/>
            <w:hideMark/>
          </w:tcPr>
          <w:p w14:paraId="22D347B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-3.0</w:t>
            </w:r>
          </w:p>
        </w:tc>
        <w:tc>
          <w:tcPr>
            <w:tcW w:w="667" w:type="dxa"/>
            <w:tcBorders>
              <w:top w:val="nil"/>
              <w:left w:val="nil"/>
              <w:bottom w:val="nil"/>
              <w:right w:val="single" w:sz="4" w:space="0" w:color="auto"/>
            </w:tcBorders>
            <w:shd w:val="clear" w:color="auto" w:fill="auto"/>
            <w:noWrap/>
            <w:vAlign w:val="center"/>
            <w:hideMark/>
          </w:tcPr>
          <w:p w14:paraId="1E729E3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-2.5</w:t>
            </w:r>
          </w:p>
        </w:tc>
      </w:tr>
      <w:tr w:rsidR="00C733BF" w:rsidRPr="00C733BF" w14:paraId="6282582E"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1A9583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2010</w:t>
            </w:r>
          </w:p>
        </w:tc>
        <w:tc>
          <w:tcPr>
            <w:tcW w:w="808" w:type="dxa"/>
            <w:tcBorders>
              <w:top w:val="nil"/>
              <w:left w:val="nil"/>
              <w:bottom w:val="nil"/>
              <w:right w:val="single" w:sz="4" w:space="0" w:color="auto"/>
            </w:tcBorders>
            <w:shd w:val="clear" w:color="auto" w:fill="auto"/>
            <w:noWrap/>
            <w:vAlign w:val="center"/>
            <w:hideMark/>
          </w:tcPr>
          <w:p w14:paraId="28A96AC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067139D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94.2</w:t>
            </w:r>
          </w:p>
        </w:tc>
        <w:tc>
          <w:tcPr>
            <w:tcW w:w="659" w:type="dxa"/>
            <w:tcBorders>
              <w:top w:val="single" w:sz="4" w:space="0" w:color="auto"/>
              <w:left w:val="nil"/>
              <w:bottom w:val="nil"/>
              <w:right w:val="nil"/>
            </w:tcBorders>
            <w:shd w:val="clear" w:color="auto" w:fill="auto"/>
            <w:noWrap/>
            <w:vAlign w:val="center"/>
            <w:hideMark/>
          </w:tcPr>
          <w:p w14:paraId="40C5C5A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94.6</w:t>
            </w:r>
          </w:p>
        </w:tc>
        <w:tc>
          <w:tcPr>
            <w:tcW w:w="659" w:type="dxa"/>
            <w:tcBorders>
              <w:top w:val="single" w:sz="4" w:space="0" w:color="auto"/>
              <w:left w:val="nil"/>
              <w:bottom w:val="nil"/>
              <w:right w:val="nil"/>
            </w:tcBorders>
            <w:shd w:val="clear" w:color="auto" w:fill="auto"/>
            <w:noWrap/>
            <w:vAlign w:val="center"/>
            <w:hideMark/>
          </w:tcPr>
          <w:p w14:paraId="7E3B6C0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94.8</w:t>
            </w:r>
          </w:p>
        </w:tc>
        <w:tc>
          <w:tcPr>
            <w:tcW w:w="659" w:type="dxa"/>
            <w:tcBorders>
              <w:top w:val="single" w:sz="4" w:space="0" w:color="auto"/>
              <w:left w:val="nil"/>
              <w:bottom w:val="nil"/>
              <w:right w:val="nil"/>
            </w:tcBorders>
            <w:shd w:val="clear" w:color="auto" w:fill="auto"/>
            <w:noWrap/>
            <w:vAlign w:val="center"/>
            <w:hideMark/>
          </w:tcPr>
          <w:p w14:paraId="48AB5D3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000000" w:fill="C4D79B"/>
            <w:noWrap/>
            <w:vAlign w:val="center"/>
            <w:hideMark/>
          </w:tcPr>
          <w:p w14:paraId="71250F8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95.4</w:t>
            </w:r>
          </w:p>
        </w:tc>
        <w:tc>
          <w:tcPr>
            <w:tcW w:w="659" w:type="dxa"/>
            <w:tcBorders>
              <w:top w:val="single" w:sz="4" w:space="0" w:color="auto"/>
              <w:left w:val="nil"/>
              <w:bottom w:val="nil"/>
              <w:right w:val="nil"/>
            </w:tcBorders>
            <w:shd w:val="clear" w:color="auto" w:fill="auto"/>
            <w:noWrap/>
            <w:vAlign w:val="center"/>
            <w:hideMark/>
          </w:tcPr>
          <w:p w14:paraId="35D19F7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auto" w:fill="auto"/>
            <w:noWrap/>
            <w:vAlign w:val="center"/>
            <w:hideMark/>
          </w:tcPr>
          <w:p w14:paraId="45E0323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95.6</w:t>
            </w:r>
          </w:p>
        </w:tc>
        <w:tc>
          <w:tcPr>
            <w:tcW w:w="659" w:type="dxa"/>
            <w:tcBorders>
              <w:top w:val="single" w:sz="4" w:space="0" w:color="auto"/>
              <w:left w:val="nil"/>
              <w:bottom w:val="nil"/>
              <w:right w:val="nil"/>
            </w:tcBorders>
            <w:shd w:val="clear" w:color="auto" w:fill="auto"/>
            <w:noWrap/>
            <w:vAlign w:val="center"/>
            <w:hideMark/>
          </w:tcPr>
          <w:p w14:paraId="44F2229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95.7</w:t>
            </w:r>
          </w:p>
        </w:tc>
        <w:tc>
          <w:tcPr>
            <w:tcW w:w="659" w:type="dxa"/>
            <w:tcBorders>
              <w:top w:val="single" w:sz="4" w:space="0" w:color="auto"/>
              <w:left w:val="nil"/>
              <w:bottom w:val="nil"/>
              <w:right w:val="nil"/>
            </w:tcBorders>
            <w:shd w:val="clear" w:color="auto" w:fill="auto"/>
            <w:noWrap/>
            <w:vAlign w:val="center"/>
            <w:hideMark/>
          </w:tcPr>
          <w:p w14:paraId="1826F6A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95.9</w:t>
            </w:r>
          </w:p>
        </w:tc>
        <w:tc>
          <w:tcPr>
            <w:tcW w:w="659" w:type="dxa"/>
            <w:tcBorders>
              <w:top w:val="single" w:sz="4" w:space="0" w:color="auto"/>
              <w:left w:val="nil"/>
              <w:bottom w:val="nil"/>
              <w:right w:val="nil"/>
            </w:tcBorders>
            <w:shd w:val="clear" w:color="auto" w:fill="auto"/>
            <w:noWrap/>
            <w:vAlign w:val="center"/>
            <w:hideMark/>
          </w:tcPr>
          <w:p w14:paraId="29D1CDD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96.0</w:t>
            </w:r>
          </w:p>
        </w:tc>
        <w:tc>
          <w:tcPr>
            <w:tcW w:w="659" w:type="dxa"/>
            <w:tcBorders>
              <w:top w:val="single" w:sz="4" w:space="0" w:color="auto"/>
              <w:left w:val="nil"/>
              <w:bottom w:val="nil"/>
              <w:right w:val="nil"/>
            </w:tcBorders>
            <w:shd w:val="clear" w:color="auto" w:fill="auto"/>
            <w:noWrap/>
            <w:vAlign w:val="center"/>
            <w:hideMark/>
          </w:tcPr>
          <w:p w14:paraId="70D2BB7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96.2</w:t>
            </w:r>
          </w:p>
        </w:tc>
        <w:tc>
          <w:tcPr>
            <w:tcW w:w="667" w:type="dxa"/>
            <w:tcBorders>
              <w:top w:val="single" w:sz="4" w:space="0" w:color="auto"/>
              <w:left w:val="nil"/>
              <w:bottom w:val="nil"/>
              <w:right w:val="single" w:sz="4" w:space="0" w:color="auto"/>
            </w:tcBorders>
            <w:shd w:val="clear" w:color="auto" w:fill="auto"/>
            <w:noWrap/>
            <w:vAlign w:val="center"/>
            <w:hideMark/>
          </w:tcPr>
          <w:p w14:paraId="5F6FE3C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96.3</w:t>
            </w:r>
          </w:p>
        </w:tc>
      </w:tr>
      <w:tr w:rsidR="00C733BF" w:rsidRPr="00C733BF" w14:paraId="02FFEF31"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D7DC576"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1D0D172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1A3E4AD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62C94CB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5F907D3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52183E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000000" w:fill="C4D79B"/>
            <w:noWrap/>
            <w:vAlign w:val="center"/>
            <w:hideMark/>
          </w:tcPr>
          <w:p w14:paraId="31CECAC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654515A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65D2CD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5F8F222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11D31E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80FD2D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2195CB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67" w:type="dxa"/>
            <w:tcBorders>
              <w:top w:val="nil"/>
              <w:left w:val="nil"/>
              <w:bottom w:val="nil"/>
              <w:right w:val="single" w:sz="4" w:space="0" w:color="auto"/>
            </w:tcBorders>
            <w:shd w:val="clear" w:color="auto" w:fill="auto"/>
            <w:noWrap/>
            <w:vAlign w:val="center"/>
            <w:hideMark/>
          </w:tcPr>
          <w:p w14:paraId="2207096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r>
      <w:tr w:rsidR="00C733BF" w:rsidRPr="00C733BF" w14:paraId="5DFE502F"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F87D536"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090B4B1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114D87D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66619AB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497A887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7CD16F4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09A7E0C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0866D2E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6BB528D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1FEC291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41F1AD6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F97066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0FDDE5D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67" w:type="dxa"/>
            <w:tcBorders>
              <w:top w:val="nil"/>
              <w:left w:val="nil"/>
              <w:bottom w:val="nil"/>
              <w:right w:val="single" w:sz="4" w:space="0" w:color="auto"/>
            </w:tcBorders>
            <w:shd w:val="clear" w:color="auto" w:fill="auto"/>
            <w:noWrap/>
            <w:vAlign w:val="center"/>
            <w:hideMark/>
          </w:tcPr>
          <w:p w14:paraId="4EC7B1D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r>
      <w:tr w:rsidR="00C733BF" w:rsidRPr="00C733BF" w14:paraId="3CB90D68"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056F51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2011</w:t>
            </w:r>
          </w:p>
        </w:tc>
        <w:tc>
          <w:tcPr>
            <w:tcW w:w="808" w:type="dxa"/>
            <w:tcBorders>
              <w:top w:val="nil"/>
              <w:left w:val="nil"/>
              <w:bottom w:val="nil"/>
              <w:right w:val="single" w:sz="4" w:space="0" w:color="auto"/>
            </w:tcBorders>
            <w:shd w:val="clear" w:color="auto" w:fill="auto"/>
            <w:noWrap/>
            <w:vAlign w:val="center"/>
            <w:hideMark/>
          </w:tcPr>
          <w:p w14:paraId="2304466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60E6E6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96.3</w:t>
            </w:r>
          </w:p>
        </w:tc>
        <w:tc>
          <w:tcPr>
            <w:tcW w:w="659" w:type="dxa"/>
            <w:tcBorders>
              <w:top w:val="single" w:sz="4" w:space="0" w:color="auto"/>
              <w:left w:val="nil"/>
              <w:bottom w:val="nil"/>
              <w:right w:val="nil"/>
            </w:tcBorders>
            <w:shd w:val="clear" w:color="auto" w:fill="auto"/>
            <w:noWrap/>
            <w:vAlign w:val="center"/>
            <w:hideMark/>
          </w:tcPr>
          <w:p w14:paraId="22AD82F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7585FDC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30663A3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96.7</w:t>
            </w:r>
          </w:p>
        </w:tc>
        <w:tc>
          <w:tcPr>
            <w:tcW w:w="659" w:type="dxa"/>
            <w:tcBorders>
              <w:top w:val="single" w:sz="4" w:space="0" w:color="auto"/>
              <w:left w:val="nil"/>
              <w:bottom w:val="nil"/>
              <w:right w:val="nil"/>
            </w:tcBorders>
            <w:shd w:val="clear" w:color="000000" w:fill="C4D79B"/>
            <w:noWrap/>
            <w:vAlign w:val="center"/>
            <w:hideMark/>
          </w:tcPr>
          <w:p w14:paraId="5CD38E4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3B05BB7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96.8</w:t>
            </w:r>
          </w:p>
        </w:tc>
        <w:tc>
          <w:tcPr>
            <w:tcW w:w="659" w:type="dxa"/>
            <w:tcBorders>
              <w:top w:val="single" w:sz="4" w:space="0" w:color="auto"/>
              <w:left w:val="nil"/>
              <w:bottom w:val="nil"/>
              <w:right w:val="nil"/>
            </w:tcBorders>
            <w:shd w:val="clear" w:color="auto" w:fill="auto"/>
            <w:noWrap/>
            <w:vAlign w:val="center"/>
            <w:hideMark/>
          </w:tcPr>
          <w:p w14:paraId="65F4B7B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96.9</w:t>
            </w:r>
          </w:p>
        </w:tc>
        <w:tc>
          <w:tcPr>
            <w:tcW w:w="659" w:type="dxa"/>
            <w:tcBorders>
              <w:top w:val="single" w:sz="4" w:space="0" w:color="auto"/>
              <w:left w:val="nil"/>
              <w:bottom w:val="nil"/>
              <w:right w:val="nil"/>
            </w:tcBorders>
            <w:shd w:val="clear" w:color="auto" w:fill="auto"/>
            <w:noWrap/>
            <w:vAlign w:val="center"/>
            <w:hideMark/>
          </w:tcPr>
          <w:p w14:paraId="7839B7C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auto" w:fill="auto"/>
            <w:noWrap/>
            <w:vAlign w:val="center"/>
            <w:hideMark/>
          </w:tcPr>
          <w:p w14:paraId="594B6F1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97.3</w:t>
            </w:r>
          </w:p>
        </w:tc>
        <w:tc>
          <w:tcPr>
            <w:tcW w:w="659" w:type="dxa"/>
            <w:tcBorders>
              <w:top w:val="single" w:sz="4" w:space="0" w:color="auto"/>
              <w:left w:val="nil"/>
              <w:bottom w:val="nil"/>
              <w:right w:val="nil"/>
            </w:tcBorders>
            <w:shd w:val="clear" w:color="auto" w:fill="auto"/>
            <w:noWrap/>
            <w:vAlign w:val="center"/>
            <w:hideMark/>
          </w:tcPr>
          <w:p w14:paraId="3DF252B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97.4</w:t>
            </w:r>
          </w:p>
        </w:tc>
        <w:tc>
          <w:tcPr>
            <w:tcW w:w="659" w:type="dxa"/>
            <w:tcBorders>
              <w:top w:val="single" w:sz="4" w:space="0" w:color="auto"/>
              <w:left w:val="nil"/>
              <w:bottom w:val="nil"/>
              <w:right w:val="nil"/>
            </w:tcBorders>
            <w:shd w:val="clear" w:color="auto" w:fill="auto"/>
            <w:noWrap/>
            <w:vAlign w:val="center"/>
            <w:hideMark/>
          </w:tcPr>
          <w:p w14:paraId="145C5CF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97.5</w:t>
            </w:r>
          </w:p>
        </w:tc>
        <w:tc>
          <w:tcPr>
            <w:tcW w:w="667" w:type="dxa"/>
            <w:tcBorders>
              <w:top w:val="single" w:sz="4" w:space="0" w:color="auto"/>
              <w:left w:val="nil"/>
              <w:bottom w:val="nil"/>
              <w:right w:val="single" w:sz="4" w:space="0" w:color="auto"/>
            </w:tcBorders>
            <w:shd w:val="clear" w:color="auto" w:fill="auto"/>
            <w:noWrap/>
            <w:vAlign w:val="center"/>
            <w:hideMark/>
          </w:tcPr>
          <w:p w14:paraId="3667872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97.5</w:t>
            </w:r>
          </w:p>
        </w:tc>
      </w:tr>
      <w:tr w:rsidR="00C733BF" w:rsidRPr="00C733BF" w14:paraId="0B4EE6B7"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2441CA2"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2A0B422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0CF4A63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0991E4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D2AD67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F72832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471F170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EC47FC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365D8C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539C64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477401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DE1BC9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80BF23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2D575B1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r>
      <w:tr w:rsidR="00C733BF" w:rsidRPr="00C733BF" w14:paraId="41F56913"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CF5AE07"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2822418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45396D3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471F397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3EC27F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5C67FE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000000" w:fill="C4D79B"/>
            <w:noWrap/>
            <w:vAlign w:val="center"/>
            <w:hideMark/>
          </w:tcPr>
          <w:p w14:paraId="0B26ACB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5BBFD5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77F2897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2E9036B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D8F722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331A348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0F5EFA0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1.4</w:t>
            </w:r>
          </w:p>
        </w:tc>
        <w:tc>
          <w:tcPr>
            <w:tcW w:w="667" w:type="dxa"/>
            <w:tcBorders>
              <w:top w:val="nil"/>
              <w:left w:val="nil"/>
              <w:bottom w:val="nil"/>
              <w:right w:val="single" w:sz="4" w:space="0" w:color="auto"/>
            </w:tcBorders>
            <w:shd w:val="clear" w:color="auto" w:fill="auto"/>
            <w:noWrap/>
            <w:vAlign w:val="center"/>
            <w:hideMark/>
          </w:tcPr>
          <w:p w14:paraId="49AB0BE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r>
      <w:tr w:rsidR="00C733BF" w:rsidRPr="00C733BF" w14:paraId="3CDF943E"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ECCDFE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2012</w:t>
            </w:r>
          </w:p>
        </w:tc>
        <w:tc>
          <w:tcPr>
            <w:tcW w:w="808" w:type="dxa"/>
            <w:tcBorders>
              <w:top w:val="nil"/>
              <w:left w:val="nil"/>
              <w:bottom w:val="nil"/>
              <w:right w:val="single" w:sz="4" w:space="0" w:color="auto"/>
            </w:tcBorders>
            <w:shd w:val="clear" w:color="auto" w:fill="auto"/>
            <w:noWrap/>
            <w:vAlign w:val="center"/>
            <w:hideMark/>
          </w:tcPr>
          <w:p w14:paraId="14B6B79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40AE4D3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98.3</w:t>
            </w:r>
          </w:p>
        </w:tc>
        <w:tc>
          <w:tcPr>
            <w:tcW w:w="659" w:type="dxa"/>
            <w:tcBorders>
              <w:top w:val="single" w:sz="4" w:space="0" w:color="auto"/>
              <w:left w:val="nil"/>
              <w:bottom w:val="nil"/>
              <w:right w:val="nil"/>
            </w:tcBorders>
            <w:shd w:val="clear" w:color="auto" w:fill="auto"/>
            <w:noWrap/>
            <w:vAlign w:val="center"/>
            <w:hideMark/>
          </w:tcPr>
          <w:p w14:paraId="79D4E84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98.4</w:t>
            </w:r>
          </w:p>
        </w:tc>
        <w:tc>
          <w:tcPr>
            <w:tcW w:w="659" w:type="dxa"/>
            <w:tcBorders>
              <w:top w:val="single" w:sz="4" w:space="0" w:color="auto"/>
              <w:left w:val="nil"/>
              <w:bottom w:val="nil"/>
              <w:right w:val="nil"/>
            </w:tcBorders>
            <w:shd w:val="clear" w:color="auto" w:fill="auto"/>
            <w:noWrap/>
            <w:vAlign w:val="center"/>
            <w:hideMark/>
          </w:tcPr>
          <w:p w14:paraId="77DFFFE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auto" w:fill="auto"/>
            <w:noWrap/>
            <w:vAlign w:val="center"/>
            <w:hideMark/>
          </w:tcPr>
          <w:p w14:paraId="676A04F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98.6</w:t>
            </w:r>
          </w:p>
        </w:tc>
        <w:tc>
          <w:tcPr>
            <w:tcW w:w="659" w:type="dxa"/>
            <w:tcBorders>
              <w:top w:val="single" w:sz="4" w:space="0" w:color="auto"/>
              <w:left w:val="nil"/>
              <w:bottom w:val="nil"/>
              <w:right w:val="nil"/>
            </w:tcBorders>
            <w:shd w:val="clear" w:color="000000" w:fill="C4D79B"/>
            <w:noWrap/>
            <w:vAlign w:val="center"/>
            <w:hideMark/>
          </w:tcPr>
          <w:p w14:paraId="694E01F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98.9</w:t>
            </w:r>
          </w:p>
        </w:tc>
        <w:tc>
          <w:tcPr>
            <w:tcW w:w="659" w:type="dxa"/>
            <w:tcBorders>
              <w:top w:val="single" w:sz="4" w:space="0" w:color="auto"/>
              <w:left w:val="nil"/>
              <w:bottom w:val="nil"/>
              <w:right w:val="nil"/>
            </w:tcBorders>
            <w:shd w:val="clear" w:color="auto" w:fill="auto"/>
            <w:noWrap/>
            <w:vAlign w:val="center"/>
            <w:hideMark/>
          </w:tcPr>
          <w:p w14:paraId="70ADAF4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522A152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337960D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5284E76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99.4</w:t>
            </w:r>
          </w:p>
        </w:tc>
        <w:tc>
          <w:tcPr>
            <w:tcW w:w="659" w:type="dxa"/>
            <w:tcBorders>
              <w:top w:val="single" w:sz="4" w:space="0" w:color="auto"/>
              <w:left w:val="nil"/>
              <w:bottom w:val="nil"/>
              <w:right w:val="nil"/>
            </w:tcBorders>
            <w:shd w:val="clear" w:color="auto" w:fill="auto"/>
            <w:noWrap/>
            <w:vAlign w:val="center"/>
            <w:hideMark/>
          </w:tcPr>
          <w:p w14:paraId="4FAD54D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99.5</w:t>
            </w:r>
          </w:p>
        </w:tc>
        <w:tc>
          <w:tcPr>
            <w:tcW w:w="659" w:type="dxa"/>
            <w:tcBorders>
              <w:top w:val="single" w:sz="4" w:space="0" w:color="auto"/>
              <w:left w:val="nil"/>
              <w:bottom w:val="nil"/>
              <w:right w:val="nil"/>
            </w:tcBorders>
            <w:shd w:val="clear" w:color="auto" w:fill="auto"/>
            <w:noWrap/>
            <w:vAlign w:val="center"/>
            <w:hideMark/>
          </w:tcPr>
          <w:p w14:paraId="479BDB4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99.4</w:t>
            </w:r>
          </w:p>
        </w:tc>
        <w:tc>
          <w:tcPr>
            <w:tcW w:w="667" w:type="dxa"/>
            <w:tcBorders>
              <w:top w:val="single" w:sz="4" w:space="0" w:color="auto"/>
              <w:left w:val="nil"/>
              <w:bottom w:val="nil"/>
              <w:right w:val="single" w:sz="4" w:space="0" w:color="auto"/>
            </w:tcBorders>
            <w:shd w:val="clear" w:color="auto" w:fill="auto"/>
            <w:noWrap/>
            <w:vAlign w:val="center"/>
            <w:hideMark/>
          </w:tcPr>
          <w:p w14:paraId="4138D8B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99.6</w:t>
            </w:r>
          </w:p>
        </w:tc>
      </w:tr>
      <w:tr w:rsidR="00C733BF" w:rsidRPr="00C733BF" w14:paraId="3EAC56AC"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846D03C"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7FAF731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08DF761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7FC28C3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58968A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381A14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7F14A78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66C19F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C2C376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7561FC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E0D88A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83F6DF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4698E2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67" w:type="dxa"/>
            <w:tcBorders>
              <w:top w:val="nil"/>
              <w:left w:val="nil"/>
              <w:bottom w:val="nil"/>
              <w:right w:val="single" w:sz="4" w:space="0" w:color="auto"/>
            </w:tcBorders>
            <w:shd w:val="clear" w:color="auto" w:fill="auto"/>
            <w:noWrap/>
            <w:vAlign w:val="center"/>
            <w:hideMark/>
          </w:tcPr>
          <w:p w14:paraId="207EE1E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r>
      <w:tr w:rsidR="00C733BF" w:rsidRPr="00C733BF" w14:paraId="6DBE55D8"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485C778"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4B422F4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451C3A7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66FBBD3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629807C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D70559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000000" w:fill="C4D79B"/>
            <w:noWrap/>
            <w:vAlign w:val="center"/>
            <w:hideMark/>
          </w:tcPr>
          <w:p w14:paraId="5990169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07C044A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7616764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56C5A50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77586F1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16AA504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1ED73B2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w:t>
            </w:r>
          </w:p>
        </w:tc>
        <w:tc>
          <w:tcPr>
            <w:tcW w:w="667" w:type="dxa"/>
            <w:tcBorders>
              <w:top w:val="nil"/>
              <w:left w:val="nil"/>
              <w:bottom w:val="nil"/>
              <w:right w:val="single" w:sz="4" w:space="0" w:color="auto"/>
            </w:tcBorders>
            <w:shd w:val="clear" w:color="auto" w:fill="auto"/>
            <w:noWrap/>
            <w:vAlign w:val="center"/>
            <w:hideMark/>
          </w:tcPr>
          <w:p w14:paraId="4205A60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r>
      <w:tr w:rsidR="00C733BF" w:rsidRPr="00C733BF" w14:paraId="6D8910CE"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9F0255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2013</w:t>
            </w:r>
          </w:p>
        </w:tc>
        <w:tc>
          <w:tcPr>
            <w:tcW w:w="808" w:type="dxa"/>
            <w:tcBorders>
              <w:top w:val="nil"/>
              <w:left w:val="nil"/>
              <w:bottom w:val="nil"/>
              <w:right w:val="single" w:sz="4" w:space="0" w:color="auto"/>
            </w:tcBorders>
            <w:shd w:val="clear" w:color="auto" w:fill="auto"/>
            <w:noWrap/>
            <w:vAlign w:val="center"/>
            <w:hideMark/>
          </w:tcPr>
          <w:p w14:paraId="4CD6888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5D41574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99.4</w:t>
            </w:r>
          </w:p>
        </w:tc>
        <w:tc>
          <w:tcPr>
            <w:tcW w:w="659" w:type="dxa"/>
            <w:tcBorders>
              <w:top w:val="single" w:sz="4" w:space="0" w:color="auto"/>
              <w:left w:val="nil"/>
              <w:bottom w:val="nil"/>
              <w:right w:val="nil"/>
            </w:tcBorders>
            <w:shd w:val="clear" w:color="auto" w:fill="auto"/>
            <w:noWrap/>
            <w:vAlign w:val="center"/>
            <w:hideMark/>
          </w:tcPr>
          <w:p w14:paraId="2EBEE2C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99.6</w:t>
            </w:r>
          </w:p>
        </w:tc>
        <w:tc>
          <w:tcPr>
            <w:tcW w:w="659" w:type="dxa"/>
            <w:tcBorders>
              <w:top w:val="single" w:sz="4" w:space="0" w:color="auto"/>
              <w:left w:val="nil"/>
              <w:bottom w:val="nil"/>
              <w:right w:val="nil"/>
            </w:tcBorders>
            <w:shd w:val="clear" w:color="auto" w:fill="auto"/>
            <w:noWrap/>
            <w:vAlign w:val="center"/>
            <w:hideMark/>
          </w:tcPr>
          <w:p w14:paraId="6C0F339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99.7</w:t>
            </w:r>
          </w:p>
        </w:tc>
        <w:tc>
          <w:tcPr>
            <w:tcW w:w="659" w:type="dxa"/>
            <w:tcBorders>
              <w:top w:val="single" w:sz="4" w:space="0" w:color="auto"/>
              <w:left w:val="nil"/>
              <w:bottom w:val="nil"/>
              <w:right w:val="nil"/>
            </w:tcBorders>
            <w:shd w:val="clear" w:color="auto" w:fill="auto"/>
            <w:noWrap/>
            <w:vAlign w:val="center"/>
            <w:hideMark/>
          </w:tcPr>
          <w:p w14:paraId="1E3B7B1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99.8</w:t>
            </w:r>
          </w:p>
        </w:tc>
        <w:tc>
          <w:tcPr>
            <w:tcW w:w="659" w:type="dxa"/>
            <w:tcBorders>
              <w:top w:val="single" w:sz="4" w:space="0" w:color="auto"/>
              <w:left w:val="nil"/>
              <w:bottom w:val="nil"/>
              <w:right w:val="nil"/>
            </w:tcBorders>
            <w:shd w:val="clear" w:color="000000" w:fill="C4D79B"/>
            <w:noWrap/>
            <w:vAlign w:val="center"/>
            <w:hideMark/>
          </w:tcPr>
          <w:p w14:paraId="6AED89E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35D0426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118F469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409440B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12844E6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78BFB02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6CD5F55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100.5</w:t>
            </w:r>
          </w:p>
        </w:tc>
        <w:tc>
          <w:tcPr>
            <w:tcW w:w="667" w:type="dxa"/>
            <w:tcBorders>
              <w:top w:val="single" w:sz="4" w:space="0" w:color="auto"/>
              <w:left w:val="nil"/>
              <w:bottom w:val="nil"/>
              <w:right w:val="single" w:sz="4" w:space="0" w:color="auto"/>
            </w:tcBorders>
            <w:shd w:val="clear" w:color="auto" w:fill="auto"/>
            <w:noWrap/>
            <w:vAlign w:val="center"/>
            <w:hideMark/>
          </w:tcPr>
          <w:p w14:paraId="673168A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100.5</w:t>
            </w:r>
          </w:p>
        </w:tc>
      </w:tr>
      <w:tr w:rsidR="00C733BF" w:rsidRPr="00C733BF" w14:paraId="673A79A9"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E56A0E1"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1C669CE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279DF02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112144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D9FDB8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8B5A2A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4B2EE8D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1A7751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042FBC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4C1924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11676C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5D886B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EB4F81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67" w:type="dxa"/>
            <w:tcBorders>
              <w:top w:val="nil"/>
              <w:left w:val="nil"/>
              <w:bottom w:val="nil"/>
              <w:right w:val="single" w:sz="4" w:space="0" w:color="auto"/>
            </w:tcBorders>
            <w:shd w:val="clear" w:color="auto" w:fill="auto"/>
            <w:noWrap/>
            <w:vAlign w:val="center"/>
            <w:hideMark/>
          </w:tcPr>
          <w:p w14:paraId="4F9D791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r>
      <w:tr w:rsidR="00C733BF" w:rsidRPr="00C733BF" w14:paraId="3C9BD1B6"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95A253B"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2253244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6AA4459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3B0F4EE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55520C7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47B42AC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000000" w:fill="C4D79B"/>
            <w:noWrap/>
            <w:vAlign w:val="center"/>
            <w:hideMark/>
          </w:tcPr>
          <w:p w14:paraId="65DB264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2358854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15FCD41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1F609EF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58C031B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603F2EB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72EFED0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w:t>
            </w:r>
          </w:p>
        </w:tc>
        <w:tc>
          <w:tcPr>
            <w:tcW w:w="667" w:type="dxa"/>
            <w:tcBorders>
              <w:top w:val="nil"/>
              <w:left w:val="nil"/>
              <w:bottom w:val="nil"/>
              <w:right w:val="single" w:sz="4" w:space="0" w:color="auto"/>
            </w:tcBorders>
            <w:shd w:val="clear" w:color="auto" w:fill="auto"/>
            <w:noWrap/>
            <w:vAlign w:val="center"/>
            <w:hideMark/>
          </w:tcPr>
          <w:p w14:paraId="796541D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0.9</w:t>
            </w:r>
          </w:p>
        </w:tc>
      </w:tr>
      <w:tr w:rsidR="00C733BF" w:rsidRPr="00C733BF" w14:paraId="1CF56DF1"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0C90FA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2014</w:t>
            </w:r>
          </w:p>
        </w:tc>
        <w:tc>
          <w:tcPr>
            <w:tcW w:w="808" w:type="dxa"/>
            <w:tcBorders>
              <w:top w:val="nil"/>
              <w:left w:val="nil"/>
              <w:bottom w:val="nil"/>
              <w:right w:val="single" w:sz="4" w:space="0" w:color="auto"/>
            </w:tcBorders>
            <w:shd w:val="clear" w:color="auto" w:fill="auto"/>
            <w:noWrap/>
            <w:vAlign w:val="center"/>
            <w:hideMark/>
          </w:tcPr>
          <w:p w14:paraId="7C6A600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17F27E4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101.0</w:t>
            </w:r>
          </w:p>
        </w:tc>
        <w:tc>
          <w:tcPr>
            <w:tcW w:w="659" w:type="dxa"/>
            <w:tcBorders>
              <w:top w:val="single" w:sz="4" w:space="0" w:color="auto"/>
              <w:left w:val="nil"/>
              <w:bottom w:val="nil"/>
              <w:right w:val="nil"/>
            </w:tcBorders>
            <w:shd w:val="clear" w:color="auto" w:fill="auto"/>
            <w:noWrap/>
            <w:vAlign w:val="center"/>
            <w:hideMark/>
          </w:tcPr>
          <w:p w14:paraId="4CE42BC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100.9</w:t>
            </w:r>
          </w:p>
        </w:tc>
        <w:tc>
          <w:tcPr>
            <w:tcW w:w="659" w:type="dxa"/>
            <w:tcBorders>
              <w:top w:val="single" w:sz="4" w:space="0" w:color="auto"/>
              <w:left w:val="nil"/>
              <w:bottom w:val="nil"/>
              <w:right w:val="nil"/>
            </w:tcBorders>
            <w:shd w:val="clear" w:color="auto" w:fill="auto"/>
            <w:noWrap/>
            <w:vAlign w:val="center"/>
            <w:hideMark/>
          </w:tcPr>
          <w:p w14:paraId="686F9ED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100.6</w:t>
            </w:r>
          </w:p>
        </w:tc>
        <w:tc>
          <w:tcPr>
            <w:tcW w:w="659" w:type="dxa"/>
            <w:tcBorders>
              <w:top w:val="single" w:sz="4" w:space="0" w:color="auto"/>
              <w:left w:val="nil"/>
              <w:bottom w:val="nil"/>
              <w:right w:val="nil"/>
            </w:tcBorders>
            <w:shd w:val="clear" w:color="auto" w:fill="auto"/>
            <w:noWrap/>
            <w:vAlign w:val="center"/>
            <w:hideMark/>
          </w:tcPr>
          <w:p w14:paraId="1D2EB25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000000" w:fill="C4D79B"/>
            <w:noWrap/>
            <w:vAlign w:val="center"/>
            <w:hideMark/>
          </w:tcPr>
          <w:p w14:paraId="237CB1F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101.3</w:t>
            </w:r>
          </w:p>
        </w:tc>
        <w:tc>
          <w:tcPr>
            <w:tcW w:w="659" w:type="dxa"/>
            <w:tcBorders>
              <w:top w:val="single" w:sz="4" w:space="0" w:color="auto"/>
              <w:left w:val="nil"/>
              <w:bottom w:val="nil"/>
              <w:right w:val="nil"/>
            </w:tcBorders>
            <w:shd w:val="clear" w:color="auto" w:fill="auto"/>
            <w:noWrap/>
            <w:vAlign w:val="center"/>
            <w:hideMark/>
          </w:tcPr>
          <w:p w14:paraId="01C3011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auto" w:fill="auto"/>
            <w:noWrap/>
            <w:vAlign w:val="center"/>
            <w:hideMark/>
          </w:tcPr>
          <w:p w14:paraId="310E362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101.4</w:t>
            </w:r>
          </w:p>
        </w:tc>
        <w:tc>
          <w:tcPr>
            <w:tcW w:w="659" w:type="dxa"/>
            <w:tcBorders>
              <w:top w:val="single" w:sz="4" w:space="0" w:color="auto"/>
              <w:left w:val="nil"/>
              <w:bottom w:val="nil"/>
              <w:right w:val="nil"/>
            </w:tcBorders>
            <w:shd w:val="clear" w:color="auto" w:fill="auto"/>
            <w:noWrap/>
            <w:vAlign w:val="center"/>
            <w:hideMark/>
          </w:tcPr>
          <w:p w14:paraId="093FA19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101.5</w:t>
            </w:r>
          </w:p>
        </w:tc>
        <w:tc>
          <w:tcPr>
            <w:tcW w:w="659" w:type="dxa"/>
            <w:tcBorders>
              <w:top w:val="single" w:sz="4" w:space="0" w:color="auto"/>
              <w:left w:val="nil"/>
              <w:bottom w:val="nil"/>
              <w:right w:val="nil"/>
            </w:tcBorders>
            <w:shd w:val="clear" w:color="auto" w:fill="auto"/>
            <w:noWrap/>
            <w:vAlign w:val="center"/>
            <w:hideMark/>
          </w:tcPr>
          <w:p w14:paraId="6926727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03025F4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0D0E000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102.1</w:t>
            </w:r>
          </w:p>
        </w:tc>
        <w:tc>
          <w:tcPr>
            <w:tcW w:w="667" w:type="dxa"/>
            <w:tcBorders>
              <w:top w:val="single" w:sz="4" w:space="0" w:color="auto"/>
              <w:left w:val="nil"/>
              <w:bottom w:val="nil"/>
              <w:right w:val="single" w:sz="4" w:space="0" w:color="auto"/>
            </w:tcBorders>
            <w:shd w:val="clear" w:color="auto" w:fill="auto"/>
            <w:noWrap/>
            <w:vAlign w:val="center"/>
            <w:hideMark/>
          </w:tcPr>
          <w:p w14:paraId="6D24198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102.3</w:t>
            </w:r>
          </w:p>
        </w:tc>
      </w:tr>
      <w:tr w:rsidR="00C733BF" w:rsidRPr="00C733BF" w14:paraId="35C28F23"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E876995"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7BEA20F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60007C0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0DA2E49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D28831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63919F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000000" w:fill="C4D79B"/>
            <w:noWrap/>
            <w:vAlign w:val="center"/>
            <w:hideMark/>
          </w:tcPr>
          <w:p w14:paraId="67A4E23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B86D2D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E523AF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3AC376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0D6039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D54B94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653E70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c>
          <w:tcPr>
            <w:tcW w:w="667" w:type="dxa"/>
            <w:tcBorders>
              <w:top w:val="nil"/>
              <w:left w:val="nil"/>
              <w:bottom w:val="nil"/>
              <w:right w:val="single" w:sz="4" w:space="0" w:color="auto"/>
            </w:tcBorders>
            <w:shd w:val="clear" w:color="auto" w:fill="auto"/>
            <w:noWrap/>
            <w:vAlign w:val="center"/>
            <w:hideMark/>
          </w:tcPr>
          <w:p w14:paraId="6BD3C1E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r>
      <w:tr w:rsidR="00C733BF" w:rsidRPr="00C733BF" w14:paraId="0157A8CB"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3FA11DA"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2B8B8D6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23BC342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062AB66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2FA48AA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5666E39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000000" w:fill="C4D79B"/>
            <w:noWrap/>
            <w:vAlign w:val="center"/>
            <w:hideMark/>
          </w:tcPr>
          <w:p w14:paraId="4436961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7D28AF9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1CE53FC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1CB610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1255E67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0477416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E1565B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1.6</w:t>
            </w:r>
          </w:p>
        </w:tc>
        <w:tc>
          <w:tcPr>
            <w:tcW w:w="667" w:type="dxa"/>
            <w:tcBorders>
              <w:top w:val="nil"/>
              <w:left w:val="nil"/>
              <w:bottom w:val="nil"/>
              <w:right w:val="single" w:sz="4" w:space="0" w:color="auto"/>
            </w:tcBorders>
            <w:shd w:val="clear" w:color="auto" w:fill="auto"/>
            <w:noWrap/>
            <w:vAlign w:val="center"/>
            <w:hideMark/>
          </w:tcPr>
          <w:p w14:paraId="45EBC7A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r>
      <w:tr w:rsidR="00C733BF" w:rsidRPr="00C733BF" w14:paraId="5B6B123E"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AF313A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2015</w:t>
            </w:r>
          </w:p>
        </w:tc>
        <w:tc>
          <w:tcPr>
            <w:tcW w:w="808" w:type="dxa"/>
            <w:tcBorders>
              <w:top w:val="nil"/>
              <w:left w:val="nil"/>
              <w:bottom w:val="nil"/>
              <w:right w:val="single" w:sz="4" w:space="0" w:color="auto"/>
            </w:tcBorders>
            <w:shd w:val="clear" w:color="auto" w:fill="auto"/>
            <w:noWrap/>
            <w:vAlign w:val="center"/>
            <w:hideMark/>
          </w:tcPr>
          <w:p w14:paraId="7A46492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57083A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102.7</w:t>
            </w:r>
          </w:p>
        </w:tc>
        <w:tc>
          <w:tcPr>
            <w:tcW w:w="659" w:type="dxa"/>
            <w:tcBorders>
              <w:top w:val="single" w:sz="4" w:space="0" w:color="auto"/>
              <w:left w:val="nil"/>
              <w:bottom w:val="nil"/>
              <w:right w:val="nil"/>
            </w:tcBorders>
            <w:shd w:val="clear" w:color="auto" w:fill="auto"/>
            <w:noWrap/>
            <w:vAlign w:val="center"/>
            <w:hideMark/>
          </w:tcPr>
          <w:p w14:paraId="7877FEF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2E7D9E2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103.1</w:t>
            </w:r>
          </w:p>
        </w:tc>
        <w:tc>
          <w:tcPr>
            <w:tcW w:w="659" w:type="dxa"/>
            <w:tcBorders>
              <w:top w:val="single" w:sz="4" w:space="0" w:color="auto"/>
              <w:left w:val="nil"/>
              <w:bottom w:val="nil"/>
              <w:right w:val="nil"/>
            </w:tcBorders>
            <w:shd w:val="clear" w:color="auto" w:fill="auto"/>
            <w:noWrap/>
            <w:vAlign w:val="center"/>
            <w:hideMark/>
          </w:tcPr>
          <w:p w14:paraId="2429163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000000" w:fill="C4D79B"/>
            <w:noWrap/>
            <w:vAlign w:val="center"/>
            <w:hideMark/>
          </w:tcPr>
          <w:p w14:paraId="5745D98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2DB5F31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383ABEC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40B5857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0ECE611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104.3</w:t>
            </w:r>
          </w:p>
        </w:tc>
        <w:tc>
          <w:tcPr>
            <w:tcW w:w="659" w:type="dxa"/>
            <w:tcBorders>
              <w:top w:val="single" w:sz="4" w:space="0" w:color="auto"/>
              <w:left w:val="nil"/>
              <w:bottom w:val="nil"/>
              <w:right w:val="nil"/>
            </w:tcBorders>
            <w:shd w:val="clear" w:color="auto" w:fill="auto"/>
            <w:noWrap/>
            <w:vAlign w:val="center"/>
            <w:hideMark/>
          </w:tcPr>
          <w:p w14:paraId="1E6FFCB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104.7</w:t>
            </w:r>
          </w:p>
        </w:tc>
        <w:tc>
          <w:tcPr>
            <w:tcW w:w="659" w:type="dxa"/>
            <w:tcBorders>
              <w:top w:val="single" w:sz="4" w:space="0" w:color="auto"/>
              <w:left w:val="nil"/>
              <w:bottom w:val="nil"/>
              <w:right w:val="nil"/>
            </w:tcBorders>
            <w:shd w:val="clear" w:color="auto" w:fill="auto"/>
            <w:noWrap/>
            <w:vAlign w:val="center"/>
            <w:hideMark/>
          </w:tcPr>
          <w:p w14:paraId="493F8D6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104.7</w:t>
            </w:r>
          </w:p>
        </w:tc>
        <w:tc>
          <w:tcPr>
            <w:tcW w:w="667" w:type="dxa"/>
            <w:tcBorders>
              <w:top w:val="single" w:sz="4" w:space="0" w:color="auto"/>
              <w:left w:val="nil"/>
              <w:bottom w:val="nil"/>
              <w:right w:val="single" w:sz="4" w:space="0" w:color="auto"/>
            </w:tcBorders>
            <w:shd w:val="clear" w:color="auto" w:fill="auto"/>
            <w:noWrap/>
            <w:vAlign w:val="center"/>
            <w:hideMark/>
          </w:tcPr>
          <w:p w14:paraId="2621028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104.9</w:t>
            </w:r>
          </w:p>
        </w:tc>
      </w:tr>
      <w:tr w:rsidR="00C733BF" w:rsidRPr="00C733BF" w14:paraId="39E1CF22"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5A7B183"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7D51B20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42277C4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7FD8740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2DE748F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CE8113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0DE935C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6C037F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572F7BB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3AAAAF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56CE2F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4D4C5B3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055481B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67" w:type="dxa"/>
            <w:tcBorders>
              <w:top w:val="nil"/>
              <w:left w:val="nil"/>
              <w:bottom w:val="nil"/>
              <w:right w:val="single" w:sz="4" w:space="0" w:color="auto"/>
            </w:tcBorders>
            <w:shd w:val="clear" w:color="auto" w:fill="auto"/>
            <w:noWrap/>
            <w:vAlign w:val="center"/>
            <w:hideMark/>
          </w:tcPr>
          <w:p w14:paraId="1600DB1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r>
      <w:tr w:rsidR="00C733BF" w:rsidRPr="00C733BF" w14:paraId="2510755B"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6D413A9"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3102F8B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5A0D22E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4501EE1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7618865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25E7374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000000" w:fill="C4D79B"/>
            <w:noWrap/>
            <w:vAlign w:val="center"/>
            <w:hideMark/>
          </w:tcPr>
          <w:p w14:paraId="323FD5E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55FD496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70F6738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39BBAE5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701CB37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181EF23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763E20B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2.5</w:t>
            </w:r>
          </w:p>
        </w:tc>
        <w:tc>
          <w:tcPr>
            <w:tcW w:w="667" w:type="dxa"/>
            <w:tcBorders>
              <w:top w:val="nil"/>
              <w:left w:val="nil"/>
              <w:bottom w:val="nil"/>
              <w:right w:val="single" w:sz="4" w:space="0" w:color="auto"/>
            </w:tcBorders>
            <w:shd w:val="clear" w:color="auto" w:fill="auto"/>
            <w:noWrap/>
            <w:vAlign w:val="center"/>
            <w:hideMark/>
          </w:tcPr>
          <w:p w14:paraId="487AAB7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2.5</w:t>
            </w:r>
          </w:p>
        </w:tc>
      </w:tr>
      <w:tr w:rsidR="00C733BF" w:rsidRPr="00C733BF" w14:paraId="29C019B1"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372F35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2016</w:t>
            </w:r>
          </w:p>
        </w:tc>
        <w:tc>
          <w:tcPr>
            <w:tcW w:w="808" w:type="dxa"/>
            <w:tcBorders>
              <w:top w:val="nil"/>
              <w:left w:val="nil"/>
              <w:bottom w:val="nil"/>
              <w:right w:val="single" w:sz="4" w:space="0" w:color="auto"/>
            </w:tcBorders>
            <w:shd w:val="clear" w:color="auto" w:fill="auto"/>
            <w:noWrap/>
            <w:vAlign w:val="center"/>
            <w:hideMark/>
          </w:tcPr>
          <w:p w14:paraId="6BEDE47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06261E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105.0</w:t>
            </w:r>
          </w:p>
        </w:tc>
        <w:tc>
          <w:tcPr>
            <w:tcW w:w="659" w:type="dxa"/>
            <w:tcBorders>
              <w:top w:val="single" w:sz="4" w:space="0" w:color="auto"/>
              <w:left w:val="nil"/>
              <w:bottom w:val="nil"/>
              <w:right w:val="nil"/>
            </w:tcBorders>
            <w:shd w:val="clear" w:color="auto" w:fill="auto"/>
            <w:noWrap/>
            <w:vAlign w:val="center"/>
            <w:hideMark/>
          </w:tcPr>
          <w:p w14:paraId="7951B48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4E86827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105.1</w:t>
            </w:r>
          </w:p>
        </w:tc>
        <w:tc>
          <w:tcPr>
            <w:tcW w:w="659" w:type="dxa"/>
            <w:tcBorders>
              <w:top w:val="single" w:sz="4" w:space="0" w:color="auto"/>
              <w:left w:val="nil"/>
              <w:bottom w:val="nil"/>
              <w:right w:val="nil"/>
            </w:tcBorders>
            <w:shd w:val="clear" w:color="auto" w:fill="auto"/>
            <w:noWrap/>
            <w:vAlign w:val="center"/>
            <w:hideMark/>
          </w:tcPr>
          <w:p w14:paraId="1947114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105.3</w:t>
            </w:r>
          </w:p>
        </w:tc>
        <w:tc>
          <w:tcPr>
            <w:tcW w:w="659" w:type="dxa"/>
            <w:tcBorders>
              <w:top w:val="single" w:sz="4" w:space="0" w:color="auto"/>
              <w:left w:val="nil"/>
              <w:bottom w:val="nil"/>
              <w:right w:val="nil"/>
            </w:tcBorders>
            <w:shd w:val="clear" w:color="000000" w:fill="C4D79B"/>
            <w:noWrap/>
            <w:vAlign w:val="center"/>
            <w:hideMark/>
          </w:tcPr>
          <w:p w14:paraId="566E9DA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105.4</w:t>
            </w:r>
          </w:p>
        </w:tc>
        <w:tc>
          <w:tcPr>
            <w:tcW w:w="659" w:type="dxa"/>
            <w:tcBorders>
              <w:top w:val="single" w:sz="4" w:space="0" w:color="auto"/>
              <w:left w:val="nil"/>
              <w:bottom w:val="nil"/>
              <w:right w:val="nil"/>
            </w:tcBorders>
            <w:shd w:val="clear" w:color="auto" w:fill="auto"/>
            <w:noWrap/>
            <w:vAlign w:val="center"/>
            <w:hideMark/>
          </w:tcPr>
          <w:p w14:paraId="6CA390E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105.6</w:t>
            </w:r>
          </w:p>
        </w:tc>
        <w:tc>
          <w:tcPr>
            <w:tcW w:w="659" w:type="dxa"/>
            <w:tcBorders>
              <w:top w:val="single" w:sz="4" w:space="0" w:color="auto"/>
              <w:left w:val="nil"/>
              <w:bottom w:val="nil"/>
              <w:right w:val="nil"/>
            </w:tcBorders>
            <w:shd w:val="clear" w:color="auto" w:fill="auto"/>
            <w:noWrap/>
            <w:vAlign w:val="center"/>
            <w:hideMark/>
          </w:tcPr>
          <w:p w14:paraId="59FA90F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105.7</w:t>
            </w:r>
          </w:p>
        </w:tc>
        <w:tc>
          <w:tcPr>
            <w:tcW w:w="659" w:type="dxa"/>
            <w:tcBorders>
              <w:top w:val="single" w:sz="4" w:space="0" w:color="auto"/>
              <w:left w:val="nil"/>
              <w:bottom w:val="nil"/>
              <w:right w:val="nil"/>
            </w:tcBorders>
            <w:shd w:val="clear" w:color="auto" w:fill="auto"/>
            <w:noWrap/>
            <w:vAlign w:val="center"/>
            <w:hideMark/>
          </w:tcPr>
          <w:p w14:paraId="7C98EDA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105.9</w:t>
            </w:r>
          </w:p>
        </w:tc>
        <w:tc>
          <w:tcPr>
            <w:tcW w:w="659" w:type="dxa"/>
            <w:tcBorders>
              <w:top w:val="single" w:sz="4" w:space="0" w:color="auto"/>
              <w:left w:val="nil"/>
              <w:bottom w:val="nil"/>
              <w:right w:val="nil"/>
            </w:tcBorders>
            <w:shd w:val="clear" w:color="auto" w:fill="auto"/>
            <w:noWrap/>
            <w:vAlign w:val="center"/>
            <w:hideMark/>
          </w:tcPr>
          <w:p w14:paraId="11E3401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auto" w:fill="auto"/>
            <w:noWrap/>
            <w:vAlign w:val="center"/>
            <w:hideMark/>
          </w:tcPr>
          <w:p w14:paraId="561FAE5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106.5</w:t>
            </w:r>
          </w:p>
        </w:tc>
        <w:tc>
          <w:tcPr>
            <w:tcW w:w="659" w:type="dxa"/>
            <w:tcBorders>
              <w:top w:val="single" w:sz="4" w:space="0" w:color="auto"/>
              <w:left w:val="nil"/>
              <w:bottom w:val="nil"/>
              <w:right w:val="nil"/>
            </w:tcBorders>
            <w:shd w:val="clear" w:color="auto" w:fill="auto"/>
            <w:noWrap/>
            <w:vAlign w:val="center"/>
            <w:hideMark/>
          </w:tcPr>
          <w:p w14:paraId="186F371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106.7</w:t>
            </w:r>
          </w:p>
        </w:tc>
        <w:tc>
          <w:tcPr>
            <w:tcW w:w="667" w:type="dxa"/>
            <w:tcBorders>
              <w:top w:val="single" w:sz="4" w:space="0" w:color="auto"/>
              <w:left w:val="nil"/>
              <w:bottom w:val="nil"/>
              <w:right w:val="single" w:sz="4" w:space="0" w:color="auto"/>
            </w:tcBorders>
            <w:shd w:val="clear" w:color="auto" w:fill="auto"/>
            <w:noWrap/>
            <w:vAlign w:val="center"/>
            <w:hideMark/>
          </w:tcPr>
          <w:p w14:paraId="7DA122C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106.7</w:t>
            </w:r>
          </w:p>
        </w:tc>
      </w:tr>
      <w:tr w:rsidR="00C733BF" w:rsidRPr="00C733BF" w14:paraId="60BF9C7F"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9A65645"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0D486D0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2E8BAF3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FCC91C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2600D11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86129E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1290792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B83990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292FB5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BC1D36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5D7441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6E5B4ED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FEC61F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67" w:type="dxa"/>
            <w:tcBorders>
              <w:top w:val="nil"/>
              <w:left w:val="nil"/>
              <w:bottom w:val="nil"/>
              <w:right w:val="single" w:sz="4" w:space="0" w:color="auto"/>
            </w:tcBorders>
            <w:shd w:val="clear" w:color="auto" w:fill="auto"/>
            <w:noWrap/>
            <w:vAlign w:val="center"/>
            <w:hideMark/>
          </w:tcPr>
          <w:p w14:paraId="6A768B0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r>
      <w:tr w:rsidR="00C733BF" w:rsidRPr="00C733BF" w14:paraId="1C3C3D10"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1E3ACFF"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06708BF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26B5D6E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2902056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4D97189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389630B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000000" w:fill="C4D79B"/>
            <w:noWrap/>
            <w:vAlign w:val="center"/>
            <w:hideMark/>
          </w:tcPr>
          <w:p w14:paraId="74D7C59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14C49F1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56179F1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633F844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6C398B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8C5E83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0B6B448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w:t>
            </w:r>
          </w:p>
        </w:tc>
        <w:tc>
          <w:tcPr>
            <w:tcW w:w="667" w:type="dxa"/>
            <w:tcBorders>
              <w:top w:val="nil"/>
              <w:left w:val="nil"/>
              <w:bottom w:val="nil"/>
              <w:right w:val="single" w:sz="4" w:space="0" w:color="auto"/>
            </w:tcBorders>
            <w:shd w:val="clear" w:color="auto" w:fill="auto"/>
            <w:noWrap/>
            <w:vAlign w:val="center"/>
            <w:hideMark/>
          </w:tcPr>
          <w:p w14:paraId="2D2FC24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r>
      <w:tr w:rsidR="00C733BF" w:rsidRPr="00C733BF" w14:paraId="31702AEE"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FF558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2017</w:t>
            </w:r>
          </w:p>
        </w:tc>
        <w:tc>
          <w:tcPr>
            <w:tcW w:w="808" w:type="dxa"/>
            <w:tcBorders>
              <w:top w:val="nil"/>
              <w:left w:val="nil"/>
              <w:bottom w:val="nil"/>
              <w:right w:val="single" w:sz="4" w:space="0" w:color="auto"/>
            </w:tcBorders>
            <w:shd w:val="clear" w:color="auto" w:fill="auto"/>
            <w:noWrap/>
            <w:vAlign w:val="center"/>
            <w:hideMark/>
          </w:tcPr>
          <w:p w14:paraId="5781A15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31688E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106.7</w:t>
            </w:r>
          </w:p>
        </w:tc>
        <w:tc>
          <w:tcPr>
            <w:tcW w:w="659" w:type="dxa"/>
            <w:tcBorders>
              <w:top w:val="single" w:sz="4" w:space="0" w:color="auto"/>
              <w:left w:val="nil"/>
              <w:bottom w:val="nil"/>
              <w:right w:val="nil"/>
            </w:tcBorders>
            <w:shd w:val="clear" w:color="auto" w:fill="auto"/>
            <w:noWrap/>
            <w:vAlign w:val="center"/>
            <w:hideMark/>
          </w:tcPr>
          <w:p w14:paraId="328DDB2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107.1</w:t>
            </w:r>
          </w:p>
        </w:tc>
        <w:tc>
          <w:tcPr>
            <w:tcW w:w="659" w:type="dxa"/>
            <w:tcBorders>
              <w:top w:val="single" w:sz="4" w:space="0" w:color="auto"/>
              <w:left w:val="nil"/>
              <w:bottom w:val="nil"/>
              <w:right w:val="nil"/>
            </w:tcBorders>
            <w:shd w:val="clear" w:color="auto" w:fill="auto"/>
            <w:noWrap/>
            <w:vAlign w:val="center"/>
            <w:hideMark/>
          </w:tcPr>
          <w:p w14:paraId="071D68F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0E4FD67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000000" w:fill="C4D79B"/>
            <w:noWrap/>
            <w:vAlign w:val="center"/>
            <w:hideMark/>
          </w:tcPr>
          <w:p w14:paraId="27E3892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107.5</w:t>
            </w:r>
          </w:p>
        </w:tc>
        <w:tc>
          <w:tcPr>
            <w:tcW w:w="659" w:type="dxa"/>
            <w:tcBorders>
              <w:top w:val="single" w:sz="4" w:space="0" w:color="auto"/>
              <w:left w:val="nil"/>
              <w:bottom w:val="nil"/>
              <w:right w:val="nil"/>
            </w:tcBorders>
            <w:shd w:val="clear" w:color="auto" w:fill="auto"/>
            <w:noWrap/>
            <w:vAlign w:val="center"/>
            <w:hideMark/>
          </w:tcPr>
          <w:p w14:paraId="5F120CB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107.9</w:t>
            </w:r>
          </w:p>
        </w:tc>
        <w:tc>
          <w:tcPr>
            <w:tcW w:w="659" w:type="dxa"/>
            <w:tcBorders>
              <w:top w:val="single" w:sz="4" w:space="0" w:color="auto"/>
              <w:left w:val="nil"/>
              <w:bottom w:val="nil"/>
              <w:right w:val="nil"/>
            </w:tcBorders>
            <w:shd w:val="clear" w:color="auto" w:fill="auto"/>
            <w:noWrap/>
            <w:vAlign w:val="center"/>
            <w:hideMark/>
          </w:tcPr>
          <w:p w14:paraId="527E970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108.3</w:t>
            </w:r>
          </w:p>
        </w:tc>
        <w:tc>
          <w:tcPr>
            <w:tcW w:w="659" w:type="dxa"/>
            <w:tcBorders>
              <w:top w:val="single" w:sz="4" w:space="0" w:color="auto"/>
              <w:left w:val="nil"/>
              <w:bottom w:val="nil"/>
              <w:right w:val="nil"/>
            </w:tcBorders>
            <w:shd w:val="clear" w:color="auto" w:fill="auto"/>
            <w:noWrap/>
            <w:vAlign w:val="center"/>
            <w:hideMark/>
          </w:tcPr>
          <w:p w14:paraId="5D73E8F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42BE13C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1109289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108.7</w:t>
            </w:r>
          </w:p>
        </w:tc>
        <w:tc>
          <w:tcPr>
            <w:tcW w:w="659" w:type="dxa"/>
            <w:tcBorders>
              <w:top w:val="single" w:sz="4" w:space="0" w:color="auto"/>
              <w:left w:val="nil"/>
              <w:bottom w:val="nil"/>
              <w:right w:val="nil"/>
            </w:tcBorders>
            <w:shd w:val="clear" w:color="auto" w:fill="auto"/>
            <w:noWrap/>
            <w:vAlign w:val="center"/>
            <w:hideMark/>
          </w:tcPr>
          <w:p w14:paraId="2766C8E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108.6</w:t>
            </w:r>
          </w:p>
        </w:tc>
        <w:tc>
          <w:tcPr>
            <w:tcW w:w="667" w:type="dxa"/>
            <w:tcBorders>
              <w:top w:val="single" w:sz="4" w:space="0" w:color="auto"/>
              <w:left w:val="nil"/>
              <w:bottom w:val="nil"/>
              <w:right w:val="single" w:sz="4" w:space="0" w:color="auto"/>
            </w:tcBorders>
            <w:shd w:val="clear" w:color="auto" w:fill="auto"/>
            <w:noWrap/>
            <w:vAlign w:val="center"/>
            <w:hideMark/>
          </w:tcPr>
          <w:p w14:paraId="2D36FC0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109.0</w:t>
            </w:r>
          </w:p>
        </w:tc>
      </w:tr>
      <w:tr w:rsidR="00C733BF" w:rsidRPr="00C733BF" w14:paraId="2F2F0D4D"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72BCCBF"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265A7E8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78B4AAE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460E348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2A02887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E394FF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000000" w:fill="C4D79B"/>
            <w:noWrap/>
            <w:vAlign w:val="center"/>
            <w:hideMark/>
          </w:tcPr>
          <w:p w14:paraId="37BE56D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C15EC8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01F543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CEE16F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4F41E4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4398E9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F20DF3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6B1F69E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r>
      <w:tr w:rsidR="00C733BF" w:rsidRPr="00C733BF" w14:paraId="0FAF6100"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B1E0DFA"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0B0B02D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4078D5D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76B0438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631AF17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1BADA22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000000" w:fill="C4D79B"/>
            <w:noWrap/>
            <w:vAlign w:val="center"/>
            <w:hideMark/>
          </w:tcPr>
          <w:p w14:paraId="6F3319D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673659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640CF78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6081775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61CC61B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8CE18F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5A0103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67" w:type="dxa"/>
            <w:tcBorders>
              <w:top w:val="nil"/>
              <w:left w:val="nil"/>
              <w:bottom w:val="nil"/>
              <w:right w:val="single" w:sz="4" w:space="0" w:color="auto"/>
            </w:tcBorders>
            <w:shd w:val="clear" w:color="auto" w:fill="auto"/>
            <w:noWrap/>
            <w:vAlign w:val="center"/>
            <w:hideMark/>
          </w:tcPr>
          <w:p w14:paraId="389A39F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r>
      <w:tr w:rsidR="00C733BF" w:rsidRPr="00C733BF" w14:paraId="0530465D" w14:textId="77777777" w:rsidTr="00C733B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628F86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2018</w:t>
            </w:r>
          </w:p>
        </w:tc>
        <w:tc>
          <w:tcPr>
            <w:tcW w:w="808" w:type="dxa"/>
            <w:tcBorders>
              <w:top w:val="nil"/>
              <w:left w:val="nil"/>
              <w:bottom w:val="nil"/>
              <w:right w:val="single" w:sz="4" w:space="0" w:color="auto"/>
            </w:tcBorders>
            <w:shd w:val="clear" w:color="auto" w:fill="auto"/>
            <w:noWrap/>
            <w:vAlign w:val="center"/>
            <w:hideMark/>
          </w:tcPr>
          <w:p w14:paraId="7CCEFC4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BB1471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109.4</w:t>
            </w:r>
          </w:p>
        </w:tc>
        <w:tc>
          <w:tcPr>
            <w:tcW w:w="659" w:type="dxa"/>
            <w:tcBorders>
              <w:top w:val="single" w:sz="4" w:space="0" w:color="auto"/>
              <w:left w:val="nil"/>
              <w:bottom w:val="nil"/>
              <w:right w:val="nil"/>
            </w:tcBorders>
            <w:shd w:val="clear" w:color="auto" w:fill="auto"/>
            <w:noWrap/>
            <w:vAlign w:val="center"/>
            <w:hideMark/>
          </w:tcPr>
          <w:p w14:paraId="4B00738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109.5</w:t>
            </w:r>
          </w:p>
        </w:tc>
        <w:tc>
          <w:tcPr>
            <w:tcW w:w="659" w:type="dxa"/>
            <w:tcBorders>
              <w:top w:val="single" w:sz="4" w:space="0" w:color="auto"/>
              <w:left w:val="nil"/>
              <w:bottom w:val="nil"/>
              <w:right w:val="nil"/>
            </w:tcBorders>
            <w:shd w:val="clear" w:color="auto" w:fill="auto"/>
            <w:noWrap/>
            <w:vAlign w:val="center"/>
            <w:hideMark/>
          </w:tcPr>
          <w:p w14:paraId="6B5DC54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07664BE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000000" w:fill="C4D79B"/>
            <w:noWrap/>
            <w:vAlign w:val="center"/>
            <w:hideMark/>
          </w:tcPr>
          <w:p w14:paraId="7A7B84C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6FA2DE8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563EC48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4105EB1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1B17F9B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110.0</w:t>
            </w:r>
          </w:p>
        </w:tc>
        <w:tc>
          <w:tcPr>
            <w:tcW w:w="659" w:type="dxa"/>
            <w:tcBorders>
              <w:top w:val="single" w:sz="4" w:space="0" w:color="auto"/>
              <w:left w:val="nil"/>
              <w:bottom w:val="nil"/>
              <w:right w:val="nil"/>
            </w:tcBorders>
            <w:shd w:val="clear" w:color="auto" w:fill="auto"/>
            <w:noWrap/>
            <w:vAlign w:val="center"/>
            <w:hideMark/>
          </w:tcPr>
          <w:p w14:paraId="01D2C13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110.1</w:t>
            </w:r>
          </w:p>
        </w:tc>
        <w:tc>
          <w:tcPr>
            <w:tcW w:w="659" w:type="dxa"/>
            <w:tcBorders>
              <w:top w:val="single" w:sz="4" w:space="0" w:color="auto"/>
              <w:left w:val="nil"/>
              <w:bottom w:val="nil"/>
              <w:right w:val="nil"/>
            </w:tcBorders>
            <w:shd w:val="clear" w:color="auto" w:fill="auto"/>
            <w:noWrap/>
            <w:vAlign w:val="center"/>
            <w:hideMark/>
          </w:tcPr>
          <w:p w14:paraId="0D4AFA2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110.2</w:t>
            </w:r>
          </w:p>
        </w:tc>
        <w:tc>
          <w:tcPr>
            <w:tcW w:w="667" w:type="dxa"/>
            <w:tcBorders>
              <w:top w:val="single" w:sz="4" w:space="0" w:color="auto"/>
              <w:left w:val="nil"/>
              <w:bottom w:val="nil"/>
              <w:right w:val="single" w:sz="4" w:space="0" w:color="auto"/>
            </w:tcBorders>
            <w:shd w:val="clear" w:color="auto" w:fill="auto"/>
            <w:noWrap/>
            <w:vAlign w:val="center"/>
            <w:hideMark/>
          </w:tcPr>
          <w:p w14:paraId="106B733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110.4</w:t>
            </w:r>
          </w:p>
        </w:tc>
      </w:tr>
      <w:tr w:rsidR="00C733BF" w:rsidRPr="00C733BF" w14:paraId="21D10766" w14:textId="77777777" w:rsidTr="00C733B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8082143"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5AF0BD6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609EE12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4A2FCD3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6E1689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077258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65E690D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95067A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CA5EED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4C8F1F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2BF789B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26BFEE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41F160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079CB4C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r>
      <w:tr w:rsidR="00C733BF" w:rsidRPr="00C733BF" w14:paraId="453464D3" w14:textId="77777777" w:rsidTr="00C733BF">
        <w:trPr>
          <w:trHeight w:val="210"/>
        </w:trPr>
        <w:tc>
          <w:tcPr>
            <w:tcW w:w="660" w:type="dxa"/>
            <w:vMerge/>
            <w:tcBorders>
              <w:top w:val="single" w:sz="4" w:space="0" w:color="auto"/>
              <w:left w:val="single" w:sz="4" w:space="0" w:color="auto"/>
              <w:bottom w:val="single" w:sz="4" w:space="0" w:color="000000"/>
              <w:right w:val="nil"/>
            </w:tcBorders>
            <w:vAlign w:val="center"/>
            <w:hideMark/>
          </w:tcPr>
          <w:p w14:paraId="6B158F3F"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352550C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7397F97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284A460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446CBDA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1AB3897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000000" w:fill="C4D79B"/>
            <w:noWrap/>
            <w:vAlign w:val="center"/>
            <w:hideMark/>
          </w:tcPr>
          <w:p w14:paraId="74ADEBC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4F3C198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4FACF64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397133F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46E3AF0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7BF462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FF374D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1.4</w:t>
            </w:r>
          </w:p>
        </w:tc>
        <w:tc>
          <w:tcPr>
            <w:tcW w:w="667" w:type="dxa"/>
            <w:tcBorders>
              <w:top w:val="nil"/>
              <w:left w:val="nil"/>
              <w:bottom w:val="nil"/>
              <w:right w:val="single" w:sz="4" w:space="0" w:color="auto"/>
            </w:tcBorders>
            <w:shd w:val="clear" w:color="auto" w:fill="auto"/>
            <w:noWrap/>
            <w:vAlign w:val="center"/>
            <w:hideMark/>
          </w:tcPr>
          <w:p w14:paraId="69D5AC0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1.2</w:t>
            </w:r>
          </w:p>
        </w:tc>
      </w:tr>
      <w:tr w:rsidR="00C733BF" w:rsidRPr="00C733BF" w14:paraId="2624F4AC" w14:textId="77777777" w:rsidTr="00C733BF">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60CD0EA"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2019</w:t>
            </w:r>
          </w:p>
        </w:tc>
        <w:tc>
          <w:tcPr>
            <w:tcW w:w="808" w:type="dxa"/>
            <w:tcBorders>
              <w:top w:val="nil"/>
              <w:left w:val="nil"/>
              <w:bottom w:val="nil"/>
              <w:right w:val="single" w:sz="4" w:space="0" w:color="auto"/>
            </w:tcBorders>
            <w:shd w:val="clear" w:color="auto" w:fill="auto"/>
            <w:noWrap/>
            <w:vAlign w:val="center"/>
            <w:hideMark/>
          </w:tcPr>
          <w:p w14:paraId="34B767D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B16895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110.3</w:t>
            </w:r>
          </w:p>
        </w:tc>
        <w:tc>
          <w:tcPr>
            <w:tcW w:w="659" w:type="dxa"/>
            <w:tcBorders>
              <w:top w:val="single" w:sz="4" w:space="0" w:color="auto"/>
              <w:left w:val="nil"/>
              <w:bottom w:val="nil"/>
              <w:right w:val="nil"/>
            </w:tcBorders>
            <w:shd w:val="clear" w:color="auto" w:fill="auto"/>
            <w:noWrap/>
            <w:vAlign w:val="center"/>
            <w:hideMark/>
          </w:tcPr>
          <w:p w14:paraId="2AA0260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5CDF966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089A190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000000" w:fill="C4D79B"/>
            <w:noWrap/>
            <w:vAlign w:val="center"/>
            <w:hideMark/>
          </w:tcPr>
          <w:p w14:paraId="1ABE138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110.8</w:t>
            </w:r>
          </w:p>
        </w:tc>
        <w:tc>
          <w:tcPr>
            <w:tcW w:w="659" w:type="dxa"/>
            <w:tcBorders>
              <w:top w:val="single" w:sz="4" w:space="0" w:color="auto"/>
              <w:left w:val="nil"/>
              <w:bottom w:val="nil"/>
              <w:right w:val="nil"/>
            </w:tcBorders>
            <w:shd w:val="clear" w:color="auto" w:fill="auto"/>
            <w:noWrap/>
            <w:vAlign w:val="center"/>
            <w:hideMark/>
          </w:tcPr>
          <w:p w14:paraId="0901006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06797D1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7DC1612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7EB9080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110.3</w:t>
            </w:r>
          </w:p>
        </w:tc>
        <w:tc>
          <w:tcPr>
            <w:tcW w:w="659" w:type="dxa"/>
            <w:tcBorders>
              <w:top w:val="single" w:sz="4" w:space="0" w:color="auto"/>
              <w:left w:val="nil"/>
              <w:bottom w:val="nil"/>
              <w:right w:val="nil"/>
            </w:tcBorders>
            <w:shd w:val="clear" w:color="auto" w:fill="auto"/>
            <w:noWrap/>
            <w:vAlign w:val="center"/>
            <w:hideMark/>
          </w:tcPr>
          <w:p w14:paraId="1B76064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110.2</w:t>
            </w:r>
          </w:p>
        </w:tc>
        <w:tc>
          <w:tcPr>
            <w:tcW w:w="659" w:type="dxa"/>
            <w:tcBorders>
              <w:top w:val="single" w:sz="4" w:space="0" w:color="auto"/>
              <w:left w:val="nil"/>
              <w:bottom w:val="nil"/>
              <w:right w:val="nil"/>
            </w:tcBorders>
            <w:shd w:val="clear" w:color="auto" w:fill="auto"/>
            <w:noWrap/>
            <w:vAlign w:val="center"/>
            <w:hideMark/>
          </w:tcPr>
          <w:p w14:paraId="19DBB6E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110.1</w:t>
            </w:r>
          </w:p>
        </w:tc>
        <w:tc>
          <w:tcPr>
            <w:tcW w:w="667" w:type="dxa"/>
            <w:tcBorders>
              <w:top w:val="single" w:sz="4" w:space="0" w:color="auto"/>
              <w:left w:val="nil"/>
              <w:bottom w:val="nil"/>
              <w:right w:val="single" w:sz="4" w:space="0" w:color="auto"/>
            </w:tcBorders>
            <w:shd w:val="clear" w:color="auto" w:fill="auto"/>
            <w:noWrap/>
            <w:vAlign w:val="center"/>
            <w:hideMark/>
          </w:tcPr>
          <w:p w14:paraId="1D03642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109.9</w:t>
            </w:r>
          </w:p>
        </w:tc>
      </w:tr>
      <w:tr w:rsidR="00C733BF" w:rsidRPr="00C733BF" w14:paraId="603941F5" w14:textId="77777777" w:rsidTr="00C733BF">
        <w:trPr>
          <w:trHeight w:val="210"/>
        </w:trPr>
        <w:tc>
          <w:tcPr>
            <w:tcW w:w="660" w:type="dxa"/>
            <w:vMerge/>
            <w:tcBorders>
              <w:top w:val="single" w:sz="4" w:space="0" w:color="auto"/>
              <w:left w:val="single" w:sz="4" w:space="0" w:color="auto"/>
              <w:bottom w:val="single" w:sz="4" w:space="0" w:color="000000"/>
              <w:right w:val="nil"/>
            </w:tcBorders>
            <w:vAlign w:val="center"/>
            <w:hideMark/>
          </w:tcPr>
          <w:p w14:paraId="72CB242D"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7637CD4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55CC060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F0FE22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F64DBE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B55C51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747649B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8F7975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D761A75"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6E1CE5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FB60FF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69026B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32A111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3FDEC50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-0.2</w:t>
            </w:r>
          </w:p>
        </w:tc>
      </w:tr>
      <w:tr w:rsidR="00C733BF" w:rsidRPr="00C733BF" w14:paraId="5FFC1884" w14:textId="77777777" w:rsidTr="00C733BF">
        <w:trPr>
          <w:trHeight w:val="210"/>
        </w:trPr>
        <w:tc>
          <w:tcPr>
            <w:tcW w:w="660" w:type="dxa"/>
            <w:vMerge/>
            <w:tcBorders>
              <w:top w:val="single" w:sz="4" w:space="0" w:color="auto"/>
              <w:left w:val="single" w:sz="4" w:space="0" w:color="auto"/>
              <w:bottom w:val="single" w:sz="4" w:space="0" w:color="000000"/>
              <w:right w:val="nil"/>
            </w:tcBorders>
            <w:vAlign w:val="center"/>
            <w:hideMark/>
          </w:tcPr>
          <w:p w14:paraId="0FA4387C"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2A17B6C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6ACBBFF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258F5D9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08071A9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1393E26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000000" w:fill="C4D79B"/>
            <w:noWrap/>
            <w:vAlign w:val="center"/>
            <w:hideMark/>
          </w:tcPr>
          <w:p w14:paraId="2B626C0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79D8239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73DAFF4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3380E88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7365DF8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63E3A3B"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C4CB5C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0.0</w:t>
            </w:r>
          </w:p>
        </w:tc>
        <w:tc>
          <w:tcPr>
            <w:tcW w:w="667" w:type="dxa"/>
            <w:tcBorders>
              <w:top w:val="nil"/>
              <w:left w:val="nil"/>
              <w:bottom w:val="nil"/>
              <w:right w:val="single" w:sz="4" w:space="0" w:color="auto"/>
            </w:tcBorders>
            <w:shd w:val="clear" w:color="auto" w:fill="auto"/>
            <w:noWrap/>
            <w:vAlign w:val="center"/>
            <w:hideMark/>
          </w:tcPr>
          <w:p w14:paraId="65E6BD6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r>
      <w:tr w:rsidR="00C733BF" w:rsidRPr="00C733BF" w14:paraId="3E8E9CF1" w14:textId="77777777" w:rsidTr="00C733BF">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545577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2020</w:t>
            </w:r>
          </w:p>
        </w:tc>
        <w:tc>
          <w:tcPr>
            <w:tcW w:w="808" w:type="dxa"/>
            <w:tcBorders>
              <w:top w:val="nil"/>
              <w:left w:val="nil"/>
              <w:bottom w:val="nil"/>
              <w:right w:val="single" w:sz="4" w:space="0" w:color="auto"/>
            </w:tcBorders>
            <w:shd w:val="clear" w:color="auto" w:fill="auto"/>
            <w:noWrap/>
            <w:vAlign w:val="center"/>
            <w:hideMark/>
          </w:tcPr>
          <w:p w14:paraId="3039766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78119A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1EC1DE4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109.6</w:t>
            </w:r>
          </w:p>
        </w:tc>
        <w:tc>
          <w:tcPr>
            <w:tcW w:w="659" w:type="dxa"/>
            <w:tcBorders>
              <w:top w:val="single" w:sz="4" w:space="0" w:color="auto"/>
              <w:left w:val="nil"/>
              <w:bottom w:val="nil"/>
              <w:right w:val="nil"/>
            </w:tcBorders>
            <w:shd w:val="clear" w:color="auto" w:fill="auto"/>
            <w:noWrap/>
            <w:vAlign w:val="center"/>
            <w:hideMark/>
          </w:tcPr>
          <w:p w14:paraId="0E7935F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109.2</w:t>
            </w:r>
          </w:p>
        </w:tc>
        <w:tc>
          <w:tcPr>
            <w:tcW w:w="659" w:type="dxa"/>
            <w:tcBorders>
              <w:top w:val="single" w:sz="4" w:space="0" w:color="auto"/>
              <w:left w:val="nil"/>
              <w:bottom w:val="nil"/>
              <w:right w:val="nil"/>
            </w:tcBorders>
            <w:shd w:val="clear" w:color="auto" w:fill="auto"/>
            <w:noWrap/>
            <w:vAlign w:val="center"/>
            <w:hideMark/>
          </w:tcPr>
          <w:p w14:paraId="5B190FD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105.2</w:t>
            </w:r>
          </w:p>
        </w:tc>
        <w:tc>
          <w:tcPr>
            <w:tcW w:w="659" w:type="dxa"/>
            <w:tcBorders>
              <w:top w:val="single" w:sz="4" w:space="0" w:color="auto"/>
              <w:left w:val="nil"/>
              <w:bottom w:val="nil"/>
              <w:right w:val="nil"/>
            </w:tcBorders>
            <w:shd w:val="clear" w:color="000000" w:fill="C4D79B"/>
            <w:noWrap/>
            <w:vAlign w:val="center"/>
            <w:hideMark/>
          </w:tcPr>
          <w:p w14:paraId="6B81784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103.1</w:t>
            </w:r>
          </w:p>
        </w:tc>
        <w:tc>
          <w:tcPr>
            <w:tcW w:w="659" w:type="dxa"/>
            <w:tcBorders>
              <w:top w:val="single" w:sz="4" w:space="0" w:color="auto"/>
              <w:left w:val="nil"/>
              <w:bottom w:val="nil"/>
              <w:right w:val="nil"/>
            </w:tcBorders>
            <w:shd w:val="clear" w:color="auto" w:fill="auto"/>
            <w:noWrap/>
            <w:vAlign w:val="center"/>
            <w:hideMark/>
          </w:tcPr>
          <w:p w14:paraId="60F03F7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7BBEB16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5DA9D1E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56E772C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082BE61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1725A12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67" w:type="dxa"/>
            <w:tcBorders>
              <w:top w:val="single" w:sz="4" w:space="0" w:color="auto"/>
              <w:left w:val="nil"/>
              <w:bottom w:val="nil"/>
              <w:right w:val="single" w:sz="4" w:space="0" w:color="auto"/>
            </w:tcBorders>
            <w:shd w:val="clear" w:color="auto" w:fill="auto"/>
            <w:noWrap/>
            <w:vAlign w:val="center"/>
            <w:hideMark/>
          </w:tcPr>
          <w:p w14:paraId="19A3DE29"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r>
      <w:tr w:rsidR="00C733BF" w:rsidRPr="00C733BF" w14:paraId="4A7420D7" w14:textId="77777777" w:rsidTr="00C733BF">
        <w:trPr>
          <w:trHeight w:val="210"/>
        </w:trPr>
        <w:tc>
          <w:tcPr>
            <w:tcW w:w="660" w:type="dxa"/>
            <w:vMerge/>
            <w:tcBorders>
              <w:top w:val="single" w:sz="4" w:space="0" w:color="auto"/>
              <w:left w:val="single" w:sz="4" w:space="0" w:color="auto"/>
              <w:bottom w:val="single" w:sz="4" w:space="0" w:color="000000"/>
              <w:right w:val="nil"/>
            </w:tcBorders>
            <w:vAlign w:val="center"/>
            <w:hideMark/>
          </w:tcPr>
          <w:p w14:paraId="00279F6C"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0B1BABDC"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3F9CBE3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B39002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4C8E3F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9DD588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-3.7</w:t>
            </w:r>
          </w:p>
        </w:tc>
        <w:tc>
          <w:tcPr>
            <w:tcW w:w="659" w:type="dxa"/>
            <w:tcBorders>
              <w:top w:val="nil"/>
              <w:left w:val="nil"/>
              <w:bottom w:val="nil"/>
              <w:right w:val="nil"/>
            </w:tcBorders>
            <w:shd w:val="clear" w:color="000000" w:fill="C4D79B"/>
            <w:noWrap/>
            <w:vAlign w:val="center"/>
            <w:hideMark/>
          </w:tcPr>
          <w:p w14:paraId="7B9969C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477B4551"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p>
        </w:tc>
        <w:tc>
          <w:tcPr>
            <w:tcW w:w="659" w:type="dxa"/>
            <w:tcBorders>
              <w:top w:val="nil"/>
              <w:left w:val="nil"/>
              <w:bottom w:val="nil"/>
              <w:right w:val="nil"/>
            </w:tcBorders>
            <w:shd w:val="clear" w:color="auto" w:fill="auto"/>
            <w:noWrap/>
            <w:vAlign w:val="center"/>
            <w:hideMark/>
          </w:tcPr>
          <w:p w14:paraId="5F1F086B" w14:textId="77777777" w:rsidR="00C733BF" w:rsidRPr="00C733BF" w:rsidRDefault="00C733BF" w:rsidP="00C733BF">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4492E276" w14:textId="77777777" w:rsidR="00C733BF" w:rsidRPr="00C733BF" w:rsidRDefault="00C733BF" w:rsidP="00C733BF">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5206B0CB" w14:textId="77777777" w:rsidR="00C733BF" w:rsidRPr="00C733BF" w:rsidRDefault="00C733BF" w:rsidP="00C733BF">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65B9331C" w14:textId="77777777" w:rsidR="00C733BF" w:rsidRPr="00C733BF" w:rsidRDefault="00C733BF" w:rsidP="00C733BF">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0CEAB16F" w14:textId="77777777" w:rsidR="00C733BF" w:rsidRPr="00C733BF" w:rsidRDefault="00C733BF" w:rsidP="00C733BF">
            <w:pPr>
              <w:spacing w:after="0" w:line="240" w:lineRule="auto"/>
              <w:jc w:val="center"/>
              <w:rPr>
                <w:rFonts w:ascii="Times New Roman" w:eastAsia="Times New Roman" w:hAnsi="Times New Roman" w:cs="Times New Roman"/>
                <w:sz w:val="20"/>
                <w:szCs w:val="20"/>
                <w:lang w:eastAsia="es-MX"/>
              </w:rPr>
            </w:pPr>
          </w:p>
        </w:tc>
        <w:tc>
          <w:tcPr>
            <w:tcW w:w="667" w:type="dxa"/>
            <w:tcBorders>
              <w:top w:val="nil"/>
              <w:left w:val="nil"/>
              <w:bottom w:val="nil"/>
              <w:right w:val="single" w:sz="4" w:space="0" w:color="auto"/>
            </w:tcBorders>
            <w:shd w:val="clear" w:color="auto" w:fill="auto"/>
            <w:noWrap/>
            <w:vAlign w:val="center"/>
            <w:hideMark/>
          </w:tcPr>
          <w:p w14:paraId="22A5B74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r>
      <w:tr w:rsidR="00C733BF" w:rsidRPr="00C733BF" w14:paraId="2142A2B2" w14:textId="77777777" w:rsidTr="00C733BF">
        <w:trPr>
          <w:trHeight w:val="210"/>
        </w:trPr>
        <w:tc>
          <w:tcPr>
            <w:tcW w:w="660" w:type="dxa"/>
            <w:vMerge/>
            <w:tcBorders>
              <w:top w:val="single" w:sz="4" w:space="0" w:color="auto"/>
              <w:left w:val="single" w:sz="4" w:space="0" w:color="auto"/>
              <w:bottom w:val="single" w:sz="4" w:space="0" w:color="000000"/>
              <w:right w:val="nil"/>
            </w:tcBorders>
            <w:vAlign w:val="center"/>
            <w:hideMark/>
          </w:tcPr>
          <w:p w14:paraId="641CA4FB" w14:textId="77777777" w:rsidR="00C733BF" w:rsidRPr="00C733BF" w:rsidRDefault="00C733BF" w:rsidP="00C733BF">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39F218F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17B45ECD"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7DA5923F"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auto" w:fill="auto"/>
            <w:noWrap/>
            <w:vAlign w:val="center"/>
            <w:hideMark/>
          </w:tcPr>
          <w:p w14:paraId="53E8686E"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-1.1</w:t>
            </w:r>
          </w:p>
        </w:tc>
        <w:tc>
          <w:tcPr>
            <w:tcW w:w="659" w:type="dxa"/>
            <w:tcBorders>
              <w:top w:val="nil"/>
              <w:left w:val="nil"/>
              <w:bottom w:val="single" w:sz="4" w:space="0" w:color="auto"/>
              <w:right w:val="nil"/>
            </w:tcBorders>
            <w:shd w:val="clear" w:color="auto" w:fill="auto"/>
            <w:noWrap/>
            <w:vAlign w:val="center"/>
            <w:hideMark/>
          </w:tcPr>
          <w:p w14:paraId="15FB3362"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-4.8</w:t>
            </w:r>
          </w:p>
        </w:tc>
        <w:tc>
          <w:tcPr>
            <w:tcW w:w="659" w:type="dxa"/>
            <w:tcBorders>
              <w:top w:val="nil"/>
              <w:left w:val="nil"/>
              <w:bottom w:val="single" w:sz="4" w:space="0" w:color="auto"/>
              <w:right w:val="nil"/>
            </w:tcBorders>
            <w:shd w:val="clear" w:color="000000" w:fill="C4D79B"/>
            <w:noWrap/>
            <w:vAlign w:val="center"/>
            <w:hideMark/>
          </w:tcPr>
          <w:p w14:paraId="60EEEDE6"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-6.9</w:t>
            </w:r>
          </w:p>
        </w:tc>
        <w:tc>
          <w:tcPr>
            <w:tcW w:w="659" w:type="dxa"/>
            <w:tcBorders>
              <w:top w:val="nil"/>
              <w:left w:val="nil"/>
              <w:bottom w:val="single" w:sz="4" w:space="0" w:color="auto"/>
              <w:right w:val="nil"/>
            </w:tcBorders>
            <w:shd w:val="clear" w:color="auto" w:fill="auto"/>
            <w:noWrap/>
            <w:vAlign w:val="center"/>
            <w:hideMark/>
          </w:tcPr>
          <w:p w14:paraId="49296C57"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52E330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8676854"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21A5CD8"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868ADC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2DE6C13"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c>
          <w:tcPr>
            <w:tcW w:w="667" w:type="dxa"/>
            <w:tcBorders>
              <w:top w:val="nil"/>
              <w:left w:val="nil"/>
              <w:bottom w:val="single" w:sz="4" w:space="0" w:color="auto"/>
              <w:right w:val="single" w:sz="4" w:space="0" w:color="auto"/>
            </w:tcBorders>
            <w:shd w:val="clear" w:color="auto" w:fill="auto"/>
            <w:noWrap/>
            <w:vAlign w:val="center"/>
            <w:hideMark/>
          </w:tcPr>
          <w:p w14:paraId="39E50020" w14:textId="77777777" w:rsidR="00C733BF" w:rsidRPr="00C733BF" w:rsidRDefault="00C733BF" w:rsidP="00C733BF">
            <w:pPr>
              <w:spacing w:after="0" w:line="240" w:lineRule="auto"/>
              <w:jc w:val="center"/>
              <w:rPr>
                <w:rFonts w:ascii="Arial" w:eastAsia="Times New Roman" w:hAnsi="Arial" w:cs="Arial"/>
                <w:color w:val="000000"/>
                <w:sz w:val="16"/>
                <w:szCs w:val="16"/>
                <w:lang w:eastAsia="es-MX"/>
              </w:rPr>
            </w:pPr>
            <w:r w:rsidRPr="00C733BF">
              <w:rPr>
                <w:rFonts w:ascii="Arial" w:eastAsia="Times New Roman" w:hAnsi="Arial" w:cs="Arial"/>
                <w:color w:val="000000"/>
                <w:sz w:val="16"/>
                <w:szCs w:val="16"/>
                <w:lang w:eastAsia="es-MX"/>
              </w:rPr>
              <w:t> </w:t>
            </w:r>
          </w:p>
        </w:tc>
      </w:tr>
    </w:tbl>
    <w:p w14:paraId="0699B1DF" w14:textId="6AE9B051" w:rsidR="004F0CF0" w:rsidRPr="00DA26BC" w:rsidRDefault="004F0CF0" w:rsidP="00C733BF">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56215CF5" w14:textId="30310966" w:rsidR="00CA6300" w:rsidRDefault="00CA6300" w:rsidP="009A7101">
      <w:pPr>
        <w:spacing w:after="0" w:line="240" w:lineRule="auto"/>
        <w:jc w:val="both"/>
        <w:rPr>
          <w:rFonts w:ascii="Arial" w:hAnsi="Arial" w:cs="Arial"/>
          <w:sz w:val="24"/>
          <w:szCs w:val="24"/>
        </w:rPr>
      </w:pPr>
    </w:p>
    <w:p w14:paraId="67404239" w14:textId="37BD0E2A" w:rsidR="008B75FB" w:rsidRDefault="009C2DDA" w:rsidP="009A7101">
      <w:pPr>
        <w:spacing w:after="0" w:line="240" w:lineRule="auto"/>
        <w:jc w:val="both"/>
        <w:rPr>
          <w:rFonts w:ascii="Arial" w:hAnsi="Arial" w:cs="Arial"/>
          <w:sz w:val="24"/>
          <w:szCs w:val="24"/>
        </w:rPr>
      </w:pPr>
      <w:r>
        <w:rPr>
          <w:rFonts w:ascii="Arial" w:hAnsi="Arial" w:cs="Arial"/>
          <w:sz w:val="24"/>
          <w:szCs w:val="24"/>
        </w:rPr>
        <w:t>E</w:t>
      </w:r>
      <w:r w:rsidR="00C01248">
        <w:rPr>
          <w:rFonts w:ascii="Arial" w:hAnsi="Arial" w:cs="Arial"/>
          <w:sz w:val="24"/>
          <w:szCs w:val="24"/>
        </w:rPr>
        <w:t xml:space="preserve">l </w:t>
      </w:r>
      <w:r w:rsidR="007B49F7" w:rsidRPr="00587626">
        <w:rPr>
          <w:rFonts w:ascii="Arial" w:hAnsi="Arial" w:cs="Arial"/>
          <w:sz w:val="24"/>
          <w:szCs w:val="24"/>
        </w:rPr>
        <w:t xml:space="preserve">IGRESE, en </w:t>
      </w:r>
      <w:r w:rsidR="000114F6">
        <w:rPr>
          <w:rFonts w:ascii="Arial" w:hAnsi="Arial" w:cs="Arial"/>
          <w:sz w:val="24"/>
          <w:szCs w:val="24"/>
        </w:rPr>
        <w:t>los</w:t>
      </w:r>
      <w:r w:rsidR="007B49F7" w:rsidRPr="00587626">
        <w:rPr>
          <w:rFonts w:ascii="Arial" w:hAnsi="Arial" w:cs="Arial"/>
          <w:sz w:val="24"/>
          <w:szCs w:val="24"/>
        </w:rPr>
        <w:t xml:space="preserve"> mes</w:t>
      </w:r>
      <w:r w:rsidR="000114F6">
        <w:rPr>
          <w:rFonts w:ascii="Arial" w:hAnsi="Arial" w:cs="Arial"/>
          <w:sz w:val="24"/>
          <w:szCs w:val="24"/>
        </w:rPr>
        <w:t>es</w:t>
      </w:r>
      <w:r w:rsidR="007B49F7" w:rsidRPr="00587626">
        <w:rPr>
          <w:rFonts w:ascii="Arial" w:hAnsi="Arial" w:cs="Arial"/>
          <w:sz w:val="24"/>
          <w:szCs w:val="24"/>
        </w:rPr>
        <w:t xml:space="preserve"> de mayo respecto al mes previo</w:t>
      </w:r>
      <w:r w:rsidR="000114F6">
        <w:rPr>
          <w:rFonts w:ascii="Arial" w:hAnsi="Arial" w:cs="Arial"/>
          <w:sz w:val="24"/>
          <w:szCs w:val="24"/>
        </w:rPr>
        <w:t>,</w:t>
      </w:r>
      <w:r w:rsidR="007B49F7" w:rsidRPr="00587626">
        <w:rPr>
          <w:rFonts w:ascii="Arial" w:hAnsi="Arial" w:cs="Arial"/>
          <w:sz w:val="24"/>
          <w:szCs w:val="24"/>
        </w:rPr>
        <w:t xml:space="preserve"> </w:t>
      </w:r>
      <w:r>
        <w:rPr>
          <w:rFonts w:ascii="Arial" w:hAnsi="Arial" w:cs="Arial"/>
          <w:sz w:val="24"/>
          <w:szCs w:val="24"/>
        </w:rPr>
        <w:t>ha</w:t>
      </w:r>
      <w:r w:rsidR="007B49F7" w:rsidRPr="00587626">
        <w:rPr>
          <w:rFonts w:ascii="Arial" w:hAnsi="Arial" w:cs="Arial"/>
          <w:sz w:val="24"/>
          <w:szCs w:val="24"/>
        </w:rPr>
        <w:t xml:space="preserve"> registrado variaciones positivas en los años 2010, 2011, 201</w:t>
      </w:r>
      <w:r w:rsidR="00B633B6">
        <w:rPr>
          <w:rFonts w:ascii="Arial" w:hAnsi="Arial" w:cs="Arial"/>
          <w:sz w:val="24"/>
          <w:szCs w:val="24"/>
        </w:rPr>
        <w:t>5-201</w:t>
      </w:r>
      <w:r w:rsidR="00542DAE">
        <w:rPr>
          <w:rFonts w:ascii="Arial" w:hAnsi="Arial" w:cs="Arial"/>
          <w:sz w:val="24"/>
          <w:szCs w:val="24"/>
        </w:rPr>
        <w:t>8</w:t>
      </w:r>
      <w:r w:rsidR="007B49F7" w:rsidRPr="00587626">
        <w:rPr>
          <w:rFonts w:ascii="Arial" w:hAnsi="Arial" w:cs="Arial"/>
          <w:sz w:val="24"/>
          <w:szCs w:val="24"/>
        </w:rPr>
        <w:t>. Los años 2008, 2009, 2012</w:t>
      </w:r>
      <w:r w:rsidR="00B633B6">
        <w:rPr>
          <w:rFonts w:ascii="Arial" w:hAnsi="Arial" w:cs="Arial"/>
          <w:sz w:val="24"/>
          <w:szCs w:val="24"/>
        </w:rPr>
        <w:t>-2014,</w:t>
      </w:r>
      <w:r w:rsidR="007B49F7" w:rsidRPr="00587626">
        <w:rPr>
          <w:rFonts w:ascii="Arial" w:hAnsi="Arial" w:cs="Arial"/>
          <w:sz w:val="24"/>
          <w:szCs w:val="24"/>
        </w:rPr>
        <w:t xml:space="preserve"> </w:t>
      </w:r>
      <w:r w:rsidR="00542DAE">
        <w:rPr>
          <w:rFonts w:ascii="Arial" w:hAnsi="Arial" w:cs="Arial"/>
          <w:sz w:val="24"/>
          <w:szCs w:val="24"/>
        </w:rPr>
        <w:t xml:space="preserve">2019 </w:t>
      </w:r>
      <w:r w:rsidR="007B49F7" w:rsidRPr="00587626">
        <w:rPr>
          <w:rFonts w:ascii="Arial" w:hAnsi="Arial" w:cs="Arial"/>
          <w:sz w:val="24"/>
          <w:szCs w:val="24"/>
        </w:rPr>
        <w:t>y 2020 presentan una var</w:t>
      </w:r>
      <w:r w:rsidR="008B75FB" w:rsidRPr="00587626">
        <w:rPr>
          <w:rFonts w:ascii="Arial" w:hAnsi="Arial" w:cs="Arial"/>
          <w:sz w:val="24"/>
          <w:szCs w:val="24"/>
        </w:rPr>
        <w:t>iación mensual negativa</w:t>
      </w:r>
      <w:r w:rsidR="007B49F7" w:rsidRPr="00587626">
        <w:rPr>
          <w:rFonts w:ascii="Arial" w:hAnsi="Arial" w:cs="Arial"/>
          <w:sz w:val="24"/>
          <w:szCs w:val="24"/>
        </w:rPr>
        <w:t xml:space="preserve">. </w:t>
      </w:r>
    </w:p>
    <w:p w14:paraId="6AD52F7B" w14:textId="77777777" w:rsidR="00CD1E62" w:rsidRDefault="00CD1E62" w:rsidP="009A7101">
      <w:pPr>
        <w:spacing w:after="0" w:line="240" w:lineRule="auto"/>
        <w:jc w:val="both"/>
        <w:rPr>
          <w:rFonts w:ascii="Arial" w:hAnsi="Arial" w:cs="Arial"/>
          <w:sz w:val="24"/>
          <w:szCs w:val="24"/>
        </w:rPr>
      </w:pPr>
    </w:p>
    <w:p w14:paraId="300FE133" w14:textId="60D4CDCC" w:rsidR="00AF21E8" w:rsidRDefault="00AF21E8" w:rsidP="009A7101">
      <w:pPr>
        <w:spacing w:after="0" w:line="240" w:lineRule="auto"/>
        <w:jc w:val="both"/>
        <w:rPr>
          <w:rFonts w:ascii="Arial" w:hAnsi="Arial" w:cs="Arial"/>
          <w:sz w:val="24"/>
          <w:szCs w:val="24"/>
        </w:rPr>
      </w:pPr>
      <w:r w:rsidRPr="00587626">
        <w:rPr>
          <w:rFonts w:ascii="Arial" w:hAnsi="Arial" w:cs="Arial"/>
          <w:sz w:val="24"/>
          <w:szCs w:val="24"/>
        </w:rPr>
        <w:lastRenderedPageBreak/>
        <w:t xml:space="preserve">Para los meses de mayo del periodo 2010-2019, </w:t>
      </w:r>
      <w:r w:rsidR="000114F6">
        <w:rPr>
          <w:rFonts w:ascii="Arial" w:hAnsi="Arial" w:cs="Arial"/>
          <w:sz w:val="24"/>
          <w:szCs w:val="24"/>
        </w:rPr>
        <w:t>el IGRESE</w:t>
      </w:r>
      <w:r w:rsidRPr="00587626">
        <w:rPr>
          <w:rFonts w:ascii="Arial" w:hAnsi="Arial" w:cs="Arial"/>
          <w:sz w:val="24"/>
          <w:szCs w:val="24"/>
        </w:rPr>
        <w:t xml:space="preserve"> ha registrado variaciones anuales positivas y en los años 2009 y 2020 </w:t>
      </w:r>
      <w:r w:rsidR="002E0853">
        <w:rPr>
          <w:rFonts w:ascii="Arial" w:hAnsi="Arial" w:cs="Arial"/>
          <w:sz w:val="24"/>
          <w:szCs w:val="24"/>
        </w:rPr>
        <w:t xml:space="preserve">variaciones </w:t>
      </w:r>
      <w:r w:rsidRPr="00587626">
        <w:rPr>
          <w:rFonts w:ascii="Arial" w:hAnsi="Arial" w:cs="Arial"/>
          <w:sz w:val="24"/>
          <w:szCs w:val="24"/>
        </w:rPr>
        <w:t>negativas.</w:t>
      </w:r>
    </w:p>
    <w:p w14:paraId="302679B0" w14:textId="77777777" w:rsidR="00AF21E8" w:rsidRDefault="00AF21E8" w:rsidP="009A7101">
      <w:pPr>
        <w:spacing w:after="0" w:line="240" w:lineRule="auto"/>
        <w:jc w:val="both"/>
        <w:rPr>
          <w:rFonts w:ascii="Arial" w:hAnsi="Arial" w:cs="Arial"/>
          <w:sz w:val="24"/>
          <w:szCs w:val="24"/>
        </w:rPr>
      </w:pPr>
    </w:p>
    <w:p w14:paraId="62230D8B" w14:textId="77777777" w:rsidR="007B49F7" w:rsidRPr="00D0286C" w:rsidRDefault="007B49F7" w:rsidP="009A7101">
      <w:pPr>
        <w:spacing w:after="0" w:line="240" w:lineRule="auto"/>
        <w:ind w:right="49"/>
        <w:jc w:val="center"/>
        <w:rPr>
          <w:rFonts w:ascii="Arial" w:hAnsi="Arial" w:cs="Arial"/>
          <w:b/>
          <w:sz w:val="20"/>
          <w:szCs w:val="20"/>
        </w:rPr>
      </w:pPr>
      <w:r>
        <w:rPr>
          <w:rFonts w:ascii="Arial" w:hAnsi="Arial" w:cs="Arial"/>
          <w:b/>
          <w:sz w:val="20"/>
          <w:szCs w:val="20"/>
        </w:rPr>
        <w:t>Cuadro 3</w:t>
      </w:r>
    </w:p>
    <w:p w14:paraId="75CB7186" w14:textId="77777777" w:rsidR="007B49F7" w:rsidRPr="00D0286C" w:rsidRDefault="007B49F7" w:rsidP="009A7101">
      <w:pPr>
        <w:spacing w:after="0" w:line="240" w:lineRule="auto"/>
        <w:ind w:right="49"/>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REMUNERACIONES </w:t>
      </w:r>
      <w:r w:rsidRPr="00D0286C">
        <w:rPr>
          <w:rFonts w:ascii="Arial" w:hAnsi="Arial" w:cs="Arial"/>
          <w:b/>
          <w:sz w:val="20"/>
          <w:szCs w:val="20"/>
        </w:rPr>
        <w:t>DE LOS SECTORES ECONÓMICOS</w:t>
      </w:r>
    </w:p>
    <w:p w14:paraId="18CF0E54" w14:textId="77777777" w:rsidR="007B49F7" w:rsidRPr="00D0286C" w:rsidRDefault="007B49F7" w:rsidP="009A7101">
      <w:pPr>
        <w:spacing w:after="0" w:line="240" w:lineRule="auto"/>
        <w:ind w:right="49"/>
        <w:jc w:val="center"/>
        <w:rPr>
          <w:rFonts w:ascii="Arial" w:hAnsi="Arial" w:cs="Arial"/>
          <w:b/>
          <w:sz w:val="20"/>
          <w:szCs w:val="20"/>
        </w:rPr>
      </w:pPr>
      <w:r>
        <w:rPr>
          <w:rFonts w:ascii="Arial" w:hAnsi="Arial" w:cs="Arial"/>
          <w:b/>
          <w:sz w:val="20"/>
          <w:szCs w:val="20"/>
        </w:rPr>
        <w:t>ENERO DE 2008 – MAYO DE 2020</w:t>
      </w:r>
    </w:p>
    <w:p w14:paraId="5A656EAD" w14:textId="77777777" w:rsidR="007B49F7" w:rsidRPr="00D0286C" w:rsidRDefault="007B49F7" w:rsidP="009A7101">
      <w:pPr>
        <w:spacing w:after="0" w:line="240" w:lineRule="auto"/>
        <w:ind w:right="49"/>
        <w:jc w:val="center"/>
        <w:rPr>
          <w:rFonts w:ascii="Arial" w:hAnsi="Arial" w:cs="Arial"/>
          <w:b/>
          <w:sz w:val="20"/>
          <w:szCs w:val="20"/>
        </w:rPr>
      </w:pPr>
      <w:r>
        <w:rPr>
          <w:rFonts w:ascii="Arial" w:hAnsi="Arial" w:cs="Arial"/>
          <w:b/>
          <w:sz w:val="20"/>
          <w:szCs w:val="20"/>
        </w:rPr>
        <w:t>SERIE DESESTACIONALIZADA</w:t>
      </w:r>
    </w:p>
    <w:p w14:paraId="0053CB9A" w14:textId="4D3F0BBA" w:rsidR="007B49F7" w:rsidRDefault="007B49F7" w:rsidP="009A7101">
      <w:pPr>
        <w:spacing w:after="0" w:line="240" w:lineRule="auto"/>
        <w:ind w:right="49"/>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76"/>
        <w:gridCol w:w="808"/>
        <w:gridCol w:w="668"/>
        <w:gridCol w:w="660"/>
        <w:gridCol w:w="660"/>
        <w:gridCol w:w="660"/>
        <w:gridCol w:w="660"/>
        <w:gridCol w:w="660"/>
        <w:gridCol w:w="660"/>
        <w:gridCol w:w="660"/>
        <w:gridCol w:w="660"/>
        <w:gridCol w:w="660"/>
        <w:gridCol w:w="660"/>
        <w:gridCol w:w="668"/>
      </w:tblGrid>
      <w:tr w:rsidR="00542DAE" w:rsidRPr="00542DAE" w14:paraId="5C281D50" w14:textId="77777777" w:rsidTr="00542DAE">
        <w:trPr>
          <w:trHeight w:val="480"/>
        </w:trPr>
        <w:tc>
          <w:tcPr>
            <w:tcW w:w="676"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05CACF1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Año</w:t>
            </w:r>
          </w:p>
        </w:tc>
        <w:tc>
          <w:tcPr>
            <w:tcW w:w="768"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5077741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 Variación Anual y Mensual</w:t>
            </w:r>
          </w:p>
        </w:tc>
        <w:tc>
          <w:tcPr>
            <w:tcW w:w="7936"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11AE05F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Mes</w:t>
            </w:r>
          </w:p>
        </w:tc>
      </w:tr>
      <w:tr w:rsidR="00542DAE" w:rsidRPr="00542DAE" w14:paraId="3773593A" w14:textId="77777777" w:rsidTr="00542DAE">
        <w:trPr>
          <w:trHeight w:val="480"/>
        </w:trPr>
        <w:tc>
          <w:tcPr>
            <w:tcW w:w="676" w:type="dxa"/>
            <w:vMerge/>
            <w:tcBorders>
              <w:top w:val="single" w:sz="8" w:space="0" w:color="auto"/>
              <w:left w:val="single" w:sz="8" w:space="0" w:color="auto"/>
              <w:bottom w:val="single" w:sz="4" w:space="0" w:color="000000"/>
              <w:right w:val="single" w:sz="4" w:space="0" w:color="auto"/>
            </w:tcBorders>
            <w:vAlign w:val="center"/>
            <w:hideMark/>
          </w:tcPr>
          <w:p w14:paraId="09F96992"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vMerge/>
            <w:tcBorders>
              <w:top w:val="single" w:sz="8" w:space="0" w:color="auto"/>
              <w:left w:val="nil"/>
              <w:bottom w:val="single" w:sz="4" w:space="0" w:color="000000"/>
              <w:right w:val="single" w:sz="4" w:space="0" w:color="auto"/>
            </w:tcBorders>
            <w:vAlign w:val="center"/>
            <w:hideMark/>
          </w:tcPr>
          <w:p w14:paraId="4053C1E8"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668" w:type="dxa"/>
            <w:tcBorders>
              <w:top w:val="nil"/>
              <w:left w:val="nil"/>
              <w:bottom w:val="single" w:sz="4" w:space="0" w:color="auto"/>
              <w:right w:val="single" w:sz="4" w:space="0" w:color="auto"/>
            </w:tcBorders>
            <w:shd w:val="clear" w:color="000000" w:fill="C4D79B"/>
            <w:noWrap/>
            <w:vAlign w:val="center"/>
            <w:hideMark/>
          </w:tcPr>
          <w:p w14:paraId="6842C02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63D1FD4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09EE11E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0D3118C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2F90E9B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6563776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33E9C89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2AC259C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proofErr w:type="spellStart"/>
            <w:r w:rsidRPr="00542DAE">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7CFBBF5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proofErr w:type="spellStart"/>
            <w:r w:rsidRPr="00542DAE">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60E99EA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7D78C30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Nov</w:t>
            </w:r>
          </w:p>
        </w:tc>
        <w:tc>
          <w:tcPr>
            <w:tcW w:w="668" w:type="dxa"/>
            <w:tcBorders>
              <w:top w:val="nil"/>
              <w:left w:val="nil"/>
              <w:bottom w:val="single" w:sz="4" w:space="0" w:color="auto"/>
              <w:right w:val="single" w:sz="8" w:space="0" w:color="auto"/>
            </w:tcBorders>
            <w:shd w:val="clear" w:color="000000" w:fill="C4D79B"/>
            <w:noWrap/>
            <w:vAlign w:val="center"/>
            <w:hideMark/>
          </w:tcPr>
          <w:p w14:paraId="1CDF23F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Dic</w:t>
            </w:r>
          </w:p>
        </w:tc>
      </w:tr>
      <w:tr w:rsidR="00542DAE" w:rsidRPr="00542DAE" w14:paraId="0CD32A0F" w14:textId="77777777" w:rsidTr="00542DAE">
        <w:trPr>
          <w:trHeight w:val="222"/>
        </w:trPr>
        <w:tc>
          <w:tcPr>
            <w:tcW w:w="676" w:type="dxa"/>
            <w:vMerge w:val="restart"/>
            <w:tcBorders>
              <w:top w:val="nil"/>
              <w:left w:val="single" w:sz="4" w:space="0" w:color="auto"/>
              <w:bottom w:val="single" w:sz="4" w:space="0" w:color="000000"/>
              <w:right w:val="nil"/>
            </w:tcBorders>
            <w:shd w:val="clear" w:color="auto" w:fill="auto"/>
            <w:noWrap/>
            <w:vAlign w:val="center"/>
            <w:hideMark/>
          </w:tcPr>
          <w:p w14:paraId="5F32DD2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2008</w:t>
            </w:r>
          </w:p>
        </w:tc>
        <w:tc>
          <w:tcPr>
            <w:tcW w:w="768" w:type="dxa"/>
            <w:tcBorders>
              <w:top w:val="nil"/>
              <w:left w:val="nil"/>
              <w:bottom w:val="nil"/>
              <w:right w:val="single" w:sz="4" w:space="0" w:color="auto"/>
            </w:tcBorders>
            <w:shd w:val="clear" w:color="auto" w:fill="auto"/>
            <w:noWrap/>
            <w:vAlign w:val="center"/>
            <w:hideMark/>
          </w:tcPr>
          <w:p w14:paraId="3D5A641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nil"/>
              <w:left w:val="nil"/>
              <w:bottom w:val="nil"/>
              <w:right w:val="nil"/>
            </w:tcBorders>
            <w:shd w:val="clear" w:color="auto" w:fill="auto"/>
            <w:noWrap/>
            <w:vAlign w:val="center"/>
            <w:hideMark/>
          </w:tcPr>
          <w:p w14:paraId="4FBF11D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99.0</w:t>
            </w:r>
          </w:p>
        </w:tc>
        <w:tc>
          <w:tcPr>
            <w:tcW w:w="660" w:type="dxa"/>
            <w:tcBorders>
              <w:top w:val="nil"/>
              <w:left w:val="nil"/>
              <w:bottom w:val="nil"/>
              <w:right w:val="nil"/>
            </w:tcBorders>
            <w:shd w:val="clear" w:color="auto" w:fill="auto"/>
            <w:noWrap/>
            <w:vAlign w:val="center"/>
            <w:hideMark/>
          </w:tcPr>
          <w:p w14:paraId="701D0BA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100.0</w:t>
            </w:r>
          </w:p>
        </w:tc>
        <w:tc>
          <w:tcPr>
            <w:tcW w:w="660" w:type="dxa"/>
            <w:tcBorders>
              <w:top w:val="nil"/>
              <w:left w:val="nil"/>
              <w:bottom w:val="nil"/>
              <w:right w:val="nil"/>
            </w:tcBorders>
            <w:shd w:val="clear" w:color="auto" w:fill="auto"/>
            <w:noWrap/>
            <w:vAlign w:val="center"/>
            <w:hideMark/>
          </w:tcPr>
          <w:p w14:paraId="2554BA4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99.1</w:t>
            </w:r>
          </w:p>
        </w:tc>
        <w:tc>
          <w:tcPr>
            <w:tcW w:w="660" w:type="dxa"/>
            <w:tcBorders>
              <w:top w:val="nil"/>
              <w:left w:val="nil"/>
              <w:bottom w:val="nil"/>
              <w:right w:val="nil"/>
            </w:tcBorders>
            <w:shd w:val="clear" w:color="auto" w:fill="auto"/>
            <w:noWrap/>
            <w:vAlign w:val="center"/>
            <w:hideMark/>
          </w:tcPr>
          <w:p w14:paraId="3E7AB05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000000" w:fill="C4D79B"/>
            <w:noWrap/>
            <w:vAlign w:val="center"/>
            <w:hideMark/>
          </w:tcPr>
          <w:p w14:paraId="03CB300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99.6</w:t>
            </w:r>
          </w:p>
        </w:tc>
        <w:tc>
          <w:tcPr>
            <w:tcW w:w="660" w:type="dxa"/>
            <w:tcBorders>
              <w:top w:val="nil"/>
              <w:left w:val="nil"/>
              <w:bottom w:val="nil"/>
              <w:right w:val="nil"/>
            </w:tcBorders>
            <w:shd w:val="clear" w:color="auto" w:fill="auto"/>
            <w:noWrap/>
            <w:vAlign w:val="center"/>
            <w:hideMark/>
          </w:tcPr>
          <w:p w14:paraId="24FE482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98.7</w:t>
            </w:r>
          </w:p>
        </w:tc>
        <w:tc>
          <w:tcPr>
            <w:tcW w:w="660" w:type="dxa"/>
            <w:tcBorders>
              <w:top w:val="nil"/>
              <w:left w:val="nil"/>
              <w:bottom w:val="nil"/>
              <w:right w:val="nil"/>
            </w:tcBorders>
            <w:shd w:val="clear" w:color="auto" w:fill="auto"/>
            <w:noWrap/>
            <w:vAlign w:val="center"/>
            <w:hideMark/>
          </w:tcPr>
          <w:p w14:paraId="4A2297D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97.0</w:t>
            </w:r>
          </w:p>
        </w:tc>
        <w:tc>
          <w:tcPr>
            <w:tcW w:w="660" w:type="dxa"/>
            <w:tcBorders>
              <w:top w:val="nil"/>
              <w:left w:val="nil"/>
              <w:bottom w:val="nil"/>
              <w:right w:val="nil"/>
            </w:tcBorders>
            <w:shd w:val="clear" w:color="auto" w:fill="auto"/>
            <w:noWrap/>
            <w:vAlign w:val="center"/>
            <w:hideMark/>
          </w:tcPr>
          <w:p w14:paraId="2C28229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97.4</w:t>
            </w:r>
          </w:p>
        </w:tc>
        <w:tc>
          <w:tcPr>
            <w:tcW w:w="660" w:type="dxa"/>
            <w:tcBorders>
              <w:top w:val="nil"/>
              <w:left w:val="nil"/>
              <w:bottom w:val="nil"/>
              <w:right w:val="nil"/>
            </w:tcBorders>
            <w:shd w:val="clear" w:color="auto" w:fill="auto"/>
            <w:noWrap/>
            <w:vAlign w:val="center"/>
            <w:hideMark/>
          </w:tcPr>
          <w:p w14:paraId="1AC3F4F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96.5</w:t>
            </w:r>
          </w:p>
        </w:tc>
        <w:tc>
          <w:tcPr>
            <w:tcW w:w="660" w:type="dxa"/>
            <w:tcBorders>
              <w:top w:val="nil"/>
              <w:left w:val="nil"/>
              <w:bottom w:val="nil"/>
              <w:right w:val="nil"/>
            </w:tcBorders>
            <w:shd w:val="clear" w:color="auto" w:fill="auto"/>
            <w:noWrap/>
            <w:vAlign w:val="center"/>
            <w:hideMark/>
          </w:tcPr>
          <w:p w14:paraId="6A9A6A9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96.4</w:t>
            </w:r>
          </w:p>
        </w:tc>
        <w:tc>
          <w:tcPr>
            <w:tcW w:w="660" w:type="dxa"/>
            <w:tcBorders>
              <w:top w:val="nil"/>
              <w:left w:val="nil"/>
              <w:bottom w:val="nil"/>
              <w:right w:val="nil"/>
            </w:tcBorders>
            <w:shd w:val="clear" w:color="auto" w:fill="auto"/>
            <w:noWrap/>
            <w:vAlign w:val="center"/>
            <w:hideMark/>
          </w:tcPr>
          <w:p w14:paraId="40F83D8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95.4</w:t>
            </w:r>
          </w:p>
        </w:tc>
        <w:tc>
          <w:tcPr>
            <w:tcW w:w="668" w:type="dxa"/>
            <w:tcBorders>
              <w:top w:val="nil"/>
              <w:left w:val="nil"/>
              <w:bottom w:val="nil"/>
              <w:right w:val="single" w:sz="4" w:space="0" w:color="auto"/>
            </w:tcBorders>
            <w:shd w:val="clear" w:color="auto" w:fill="auto"/>
            <w:noWrap/>
            <w:vAlign w:val="center"/>
            <w:hideMark/>
          </w:tcPr>
          <w:p w14:paraId="0E5C7A7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97.8</w:t>
            </w:r>
          </w:p>
        </w:tc>
      </w:tr>
      <w:tr w:rsidR="00542DAE" w:rsidRPr="00542DAE" w14:paraId="52C47F70" w14:textId="77777777" w:rsidTr="00542DAE">
        <w:trPr>
          <w:trHeight w:val="222"/>
        </w:trPr>
        <w:tc>
          <w:tcPr>
            <w:tcW w:w="676" w:type="dxa"/>
            <w:vMerge/>
            <w:tcBorders>
              <w:top w:val="nil"/>
              <w:left w:val="single" w:sz="4" w:space="0" w:color="auto"/>
              <w:bottom w:val="single" w:sz="4" w:space="0" w:color="000000"/>
              <w:right w:val="nil"/>
            </w:tcBorders>
            <w:vAlign w:val="center"/>
            <w:hideMark/>
          </w:tcPr>
          <w:p w14:paraId="1C013A79"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762CF03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3507AFD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02F29B5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303D005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2F43C16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000000" w:fill="C4D79B"/>
            <w:noWrap/>
            <w:vAlign w:val="center"/>
            <w:hideMark/>
          </w:tcPr>
          <w:p w14:paraId="555EB60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D79F3D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3A8BB1D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1C32EDF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8E0A4B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0D1B642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EDE396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w:t>
            </w:r>
          </w:p>
        </w:tc>
        <w:tc>
          <w:tcPr>
            <w:tcW w:w="668" w:type="dxa"/>
            <w:tcBorders>
              <w:top w:val="nil"/>
              <w:left w:val="nil"/>
              <w:bottom w:val="nil"/>
              <w:right w:val="single" w:sz="4" w:space="0" w:color="auto"/>
            </w:tcBorders>
            <w:shd w:val="clear" w:color="auto" w:fill="auto"/>
            <w:noWrap/>
            <w:vAlign w:val="center"/>
            <w:hideMark/>
          </w:tcPr>
          <w:p w14:paraId="5E4D33A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2.5</w:t>
            </w:r>
          </w:p>
        </w:tc>
      </w:tr>
      <w:tr w:rsidR="00542DAE" w:rsidRPr="00542DAE" w14:paraId="3D5BAACC" w14:textId="77777777" w:rsidTr="00542DAE">
        <w:trPr>
          <w:trHeight w:val="222"/>
        </w:trPr>
        <w:tc>
          <w:tcPr>
            <w:tcW w:w="676" w:type="dxa"/>
            <w:vMerge/>
            <w:tcBorders>
              <w:top w:val="nil"/>
              <w:left w:val="single" w:sz="4" w:space="0" w:color="auto"/>
              <w:bottom w:val="single" w:sz="4" w:space="0" w:color="000000"/>
              <w:right w:val="nil"/>
            </w:tcBorders>
            <w:vAlign w:val="center"/>
            <w:hideMark/>
          </w:tcPr>
          <w:p w14:paraId="5759D4BC"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2C43237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single" w:sz="4" w:space="0" w:color="auto"/>
              <w:right w:val="nil"/>
            </w:tcBorders>
            <w:shd w:val="clear" w:color="auto" w:fill="auto"/>
            <w:noWrap/>
            <w:vAlign w:val="center"/>
            <w:hideMark/>
          </w:tcPr>
          <w:p w14:paraId="26B446A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D08286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D02AAD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A60052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70B2219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CBFDD8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7A229B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327D2D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9D1194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5C3FDC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AEBA99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c>
          <w:tcPr>
            <w:tcW w:w="668" w:type="dxa"/>
            <w:tcBorders>
              <w:top w:val="nil"/>
              <w:left w:val="nil"/>
              <w:bottom w:val="single" w:sz="4" w:space="0" w:color="auto"/>
              <w:right w:val="single" w:sz="4" w:space="0" w:color="auto"/>
            </w:tcBorders>
            <w:shd w:val="clear" w:color="auto" w:fill="auto"/>
            <w:noWrap/>
            <w:vAlign w:val="center"/>
            <w:hideMark/>
          </w:tcPr>
          <w:p w14:paraId="6DD5C7B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w:t>
            </w:r>
          </w:p>
        </w:tc>
      </w:tr>
      <w:tr w:rsidR="00542DAE" w:rsidRPr="00542DAE" w14:paraId="3DCF1F10"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0B41C9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2009</w:t>
            </w:r>
          </w:p>
        </w:tc>
        <w:tc>
          <w:tcPr>
            <w:tcW w:w="768" w:type="dxa"/>
            <w:tcBorders>
              <w:top w:val="nil"/>
              <w:left w:val="nil"/>
              <w:bottom w:val="nil"/>
              <w:right w:val="single" w:sz="4" w:space="0" w:color="auto"/>
            </w:tcBorders>
            <w:shd w:val="clear" w:color="auto" w:fill="auto"/>
            <w:noWrap/>
            <w:vAlign w:val="center"/>
            <w:hideMark/>
          </w:tcPr>
          <w:p w14:paraId="18B8B2F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00B6110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93.8</w:t>
            </w:r>
          </w:p>
        </w:tc>
        <w:tc>
          <w:tcPr>
            <w:tcW w:w="660" w:type="dxa"/>
            <w:tcBorders>
              <w:top w:val="nil"/>
              <w:left w:val="nil"/>
              <w:bottom w:val="nil"/>
              <w:right w:val="nil"/>
            </w:tcBorders>
            <w:shd w:val="clear" w:color="auto" w:fill="auto"/>
            <w:noWrap/>
            <w:vAlign w:val="center"/>
            <w:hideMark/>
          </w:tcPr>
          <w:p w14:paraId="63B855C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93.0</w:t>
            </w:r>
          </w:p>
        </w:tc>
        <w:tc>
          <w:tcPr>
            <w:tcW w:w="660" w:type="dxa"/>
            <w:tcBorders>
              <w:top w:val="nil"/>
              <w:left w:val="nil"/>
              <w:bottom w:val="nil"/>
              <w:right w:val="nil"/>
            </w:tcBorders>
            <w:shd w:val="clear" w:color="auto" w:fill="auto"/>
            <w:noWrap/>
            <w:vAlign w:val="center"/>
            <w:hideMark/>
          </w:tcPr>
          <w:p w14:paraId="31C0A5A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92.5</w:t>
            </w:r>
          </w:p>
        </w:tc>
        <w:tc>
          <w:tcPr>
            <w:tcW w:w="660" w:type="dxa"/>
            <w:tcBorders>
              <w:top w:val="nil"/>
              <w:left w:val="nil"/>
              <w:bottom w:val="nil"/>
              <w:right w:val="nil"/>
            </w:tcBorders>
            <w:shd w:val="clear" w:color="auto" w:fill="auto"/>
            <w:noWrap/>
            <w:vAlign w:val="center"/>
            <w:hideMark/>
          </w:tcPr>
          <w:p w14:paraId="469EDA6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91.8</w:t>
            </w:r>
          </w:p>
        </w:tc>
        <w:tc>
          <w:tcPr>
            <w:tcW w:w="660" w:type="dxa"/>
            <w:tcBorders>
              <w:top w:val="nil"/>
              <w:left w:val="nil"/>
              <w:bottom w:val="nil"/>
              <w:right w:val="nil"/>
            </w:tcBorders>
            <w:shd w:val="clear" w:color="000000" w:fill="C4D79B"/>
            <w:noWrap/>
            <w:vAlign w:val="center"/>
            <w:hideMark/>
          </w:tcPr>
          <w:p w14:paraId="572D246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91.5</w:t>
            </w:r>
          </w:p>
        </w:tc>
        <w:tc>
          <w:tcPr>
            <w:tcW w:w="660" w:type="dxa"/>
            <w:tcBorders>
              <w:top w:val="nil"/>
              <w:left w:val="nil"/>
              <w:bottom w:val="nil"/>
              <w:right w:val="nil"/>
            </w:tcBorders>
            <w:shd w:val="clear" w:color="auto" w:fill="auto"/>
            <w:noWrap/>
            <w:vAlign w:val="center"/>
            <w:hideMark/>
          </w:tcPr>
          <w:p w14:paraId="79DADA8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91.0</w:t>
            </w:r>
          </w:p>
        </w:tc>
        <w:tc>
          <w:tcPr>
            <w:tcW w:w="660" w:type="dxa"/>
            <w:tcBorders>
              <w:top w:val="nil"/>
              <w:left w:val="nil"/>
              <w:bottom w:val="nil"/>
              <w:right w:val="nil"/>
            </w:tcBorders>
            <w:shd w:val="clear" w:color="auto" w:fill="auto"/>
            <w:noWrap/>
            <w:vAlign w:val="center"/>
            <w:hideMark/>
          </w:tcPr>
          <w:p w14:paraId="5BFEA66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90.7</w:t>
            </w:r>
          </w:p>
        </w:tc>
        <w:tc>
          <w:tcPr>
            <w:tcW w:w="660" w:type="dxa"/>
            <w:tcBorders>
              <w:top w:val="nil"/>
              <w:left w:val="nil"/>
              <w:bottom w:val="nil"/>
              <w:right w:val="nil"/>
            </w:tcBorders>
            <w:shd w:val="clear" w:color="auto" w:fill="auto"/>
            <w:noWrap/>
            <w:vAlign w:val="center"/>
            <w:hideMark/>
          </w:tcPr>
          <w:p w14:paraId="5343190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90.7</w:t>
            </w:r>
          </w:p>
        </w:tc>
        <w:tc>
          <w:tcPr>
            <w:tcW w:w="660" w:type="dxa"/>
            <w:tcBorders>
              <w:top w:val="nil"/>
              <w:left w:val="nil"/>
              <w:bottom w:val="nil"/>
              <w:right w:val="nil"/>
            </w:tcBorders>
            <w:shd w:val="clear" w:color="auto" w:fill="auto"/>
            <w:noWrap/>
            <w:vAlign w:val="center"/>
            <w:hideMark/>
          </w:tcPr>
          <w:p w14:paraId="502430A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91.3</w:t>
            </w:r>
          </w:p>
        </w:tc>
        <w:tc>
          <w:tcPr>
            <w:tcW w:w="660" w:type="dxa"/>
            <w:tcBorders>
              <w:top w:val="nil"/>
              <w:left w:val="nil"/>
              <w:bottom w:val="nil"/>
              <w:right w:val="nil"/>
            </w:tcBorders>
            <w:shd w:val="clear" w:color="auto" w:fill="auto"/>
            <w:noWrap/>
            <w:vAlign w:val="center"/>
            <w:hideMark/>
          </w:tcPr>
          <w:p w14:paraId="176B745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91.6</w:t>
            </w:r>
          </w:p>
        </w:tc>
        <w:tc>
          <w:tcPr>
            <w:tcW w:w="660" w:type="dxa"/>
            <w:tcBorders>
              <w:top w:val="nil"/>
              <w:left w:val="nil"/>
              <w:bottom w:val="nil"/>
              <w:right w:val="nil"/>
            </w:tcBorders>
            <w:shd w:val="clear" w:color="auto" w:fill="auto"/>
            <w:noWrap/>
            <w:vAlign w:val="center"/>
            <w:hideMark/>
          </w:tcPr>
          <w:p w14:paraId="105A5F1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91.8</w:t>
            </w:r>
          </w:p>
        </w:tc>
        <w:tc>
          <w:tcPr>
            <w:tcW w:w="668" w:type="dxa"/>
            <w:tcBorders>
              <w:top w:val="nil"/>
              <w:left w:val="nil"/>
              <w:bottom w:val="nil"/>
              <w:right w:val="single" w:sz="4" w:space="0" w:color="auto"/>
            </w:tcBorders>
            <w:shd w:val="clear" w:color="auto" w:fill="auto"/>
            <w:noWrap/>
            <w:vAlign w:val="center"/>
            <w:hideMark/>
          </w:tcPr>
          <w:p w14:paraId="75FE74A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93.9</w:t>
            </w:r>
          </w:p>
        </w:tc>
      </w:tr>
      <w:tr w:rsidR="00542DAE" w:rsidRPr="00542DAE" w14:paraId="27845222"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4DE7795C"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4427A26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3F8D228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-4.1</w:t>
            </w:r>
          </w:p>
        </w:tc>
        <w:tc>
          <w:tcPr>
            <w:tcW w:w="660" w:type="dxa"/>
            <w:tcBorders>
              <w:top w:val="nil"/>
              <w:left w:val="nil"/>
              <w:bottom w:val="nil"/>
              <w:right w:val="nil"/>
            </w:tcBorders>
            <w:shd w:val="clear" w:color="auto" w:fill="auto"/>
            <w:noWrap/>
            <w:vAlign w:val="center"/>
            <w:hideMark/>
          </w:tcPr>
          <w:p w14:paraId="247367B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7A5ED84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39C253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000000" w:fill="C4D79B"/>
            <w:noWrap/>
            <w:vAlign w:val="center"/>
            <w:hideMark/>
          </w:tcPr>
          <w:p w14:paraId="384C678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62D6B6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77D5C4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F4ADDA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626F85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7010CCF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F93C02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8" w:type="dxa"/>
            <w:tcBorders>
              <w:top w:val="nil"/>
              <w:left w:val="nil"/>
              <w:bottom w:val="nil"/>
              <w:right w:val="single" w:sz="4" w:space="0" w:color="auto"/>
            </w:tcBorders>
            <w:shd w:val="clear" w:color="auto" w:fill="auto"/>
            <w:noWrap/>
            <w:vAlign w:val="center"/>
            <w:hideMark/>
          </w:tcPr>
          <w:p w14:paraId="72404AD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2.3</w:t>
            </w:r>
          </w:p>
        </w:tc>
      </w:tr>
      <w:tr w:rsidR="00542DAE" w:rsidRPr="00542DAE" w14:paraId="5EE82EB9"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1A4F9A07"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7AD4B07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4C81DE3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-5.3</w:t>
            </w:r>
          </w:p>
        </w:tc>
        <w:tc>
          <w:tcPr>
            <w:tcW w:w="660" w:type="dxa"/>
            <w:tcBorders>
              <w:top w:val="nil"/>
              <w:left w:val="nil"/>
              <w:bottom w:val="nil"/>
              <w:right w:val="nil"/>
            </w:tcBorders>
            <w:shd w:val="clear" w:color="auto" w:fill="auto"/>
            <w:noWrap/>
            <w:vAlign w:val="center"/>
            <w:hideMark/>
          </w:tcPr>
          <w:p w14:paraId="2D36542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-7.0</w:t>
            </w:r>
          </w:p>
        </w:tc>
        <w:tc>
          <w:tcPr>
            <w:tcW w:w="660" w:type="dxa"/>
            <w:tcBorders>
              <w:top w:val="nil"/>
              <w:left w:val="nil"/>
              <w:bottom w:val="nil"/>
              <w:right w:val="nil"/>
            </w:tcBorders>
            <w:shd w:val="clear" w:color="auto" w:fill="auto"/>
            <w:noWrap/>
            <w:vAlign w:val="center"/>
            <w:hideMark/>
          </w:tcPr>
          <w:p w14:paraId="1847E95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-6.7</w:t>
            </w:r>
          </w:p>
        </w:tc>
        <w:tc>
          <w:tcPr>
            <w:tcW w:w="660" w:type="dxa"/>
            <w:tcBorders>
              <w:top w:val="nil"/>
              <w:left w:val="nil"/>
              <w:bottom w:val="nil"/>
              <w:right w:val="nil"/>
            </w:tcBorders>
            <w:shd w:val="clear" w:color="auto" w:fill="auto"/>
            <w:noWrap/>
            <w:vAlign w:val="center"/>
            <w:hideMark/>
          </w:tcPr>
          <w:p w14:paraId="19CE66E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-8.1</w:t>
            </w:r>
          </w:p>
        </w:tc>
        <w:tc>
          <w:tcPr>
            <w:tcW w:w="660" w:type="dxa"/>
            <w:tcBorders>
              <w:top w:val="nil"/>
              <w:left w:val="nil"/>
              <w:bottom w:val="nil"/>
              <w:right w:val="nil"/>
            </w:tcBorders>
            <w:shd w:val="clear" w:color="000000" w:fill="C4D79B"/>
            <w:noWrap/>
            <w:vAlign w:val="center"/>
            <w:hideMark/>
          </w:tcPr>
          <w:p w14:paraId="1E4F42C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-8.1</w:t>
            </w:r>
          </w:p>
        </w:tc>
        <w:tc>
          <w:tcPr>
            <w:tcW w:w="660" w:type="dxa"/>
            <w:tcBorders>
              <w:top w:val="nil"/>
              <w:left w:val="nil"/>
              <w:bottom w:val="nil"/>
              <w:right w:val="nil"/>
            </w:tcBorders>
            <w:shd w:val="clear" w:color="auto" w:fill="auto"/>
            <w:noWrap/>
            <w:vAlign w:val="center"/>
            <w:hideMark/>
          </w:tcPr>
          <w:p w14:paraId="61C28ED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-7.8</w:t>
            </w:r>
          </w:p>
        </w:tc>
        <w:tc>
          <w:tcPr>
            <w:tcW w:w="660" w:type="dxa"/>
            <w:tcBorders>
              <w:top w:val="nil"/>
              <w:left w:val="nil"/>
              <w:bottom w:val="nil"/>
              <w:right w:val="nil"/>
            </w:tcBorders>
            <w:shd w:val="clear" w:color="auto" w:fill="auto"/>
            <w:noWrap/>
            <w:vAlign w:val="center"/>
            <w:hideMark/>
          </w:tcPr>
          <w:p w14:paraId="7FEF665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-6.4</w:t>
            </w:r>
          </w:p>
        </w:tc>
        <w:tc>
          <w:tcPr>
            <w:tcW w:w="660" w:type="dxa"/>
            <w:tcBorders>
              <w:top w:val="nil"/>
              <w:left w:val="nil"/>
              <w:bottom w:val="nil"/>
              <w:right w:val="nil"/>
            </w:tcBorders>
            <w:shd w:val="clear" w:color="auto" w:fill="auto"/>
            <w:noWrap/>
            <w:vAlign w:val="center"/>
            <w:hideMark/>
          </w:tcPr>
          <w:p w14:paraId="1E35D7F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-6.8</w:t>
            </w:r>
          </w:p>
        </w:tc>
        <w:tc>
          <w:tcPr>
            <w:tcW w:w="660" w:type="dxa"/>
            <w:tcBorders>
              <w:top w:val="nil"/>
              <w:left w:val="nil"/>
              <w:bottom w:val="nil"/>
              <w:right w:val="nil"/>
            </w:tcBorders>
            <w:shd w:val="clear" w:color="auto" w:fill="auto"/>
            <w:noWrap/>
            <w:vAlign w:val="center"/>
            <w:hideMark/>
          </w:tcPr>
          <w:p w14:paraId="12AB202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-5.3</w:t>
            </w:r>
          </w:p>
        </w:tc>
        <w:tc>
          <w:tcPr>
            <w:tcW w:w="660" w:type="dxa"/>
            <w:tcBorders>
              <w:top w:val="nil"/>
              <w:left w:val="nil"/>
              <w:bottom w:val="nil"/>
              <w:right w:val="nil"/>
            </w:tcBorders>
            <w:shd w:val="clear" w:color="auto" w:fill="auto"/>
            <w:noWrap/>
            <w:vAlign w:val="center"/>
            <w:hideMark/>
          </w:tcPr>
          <w:p w14:paraId="49FC866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-5.0</w:t>
            </w:r>
          </w:p>
        </w:tc>
        <w:tc>
          <w:tcPr>
            <w:tcW w:w="660" w:type="dxa"/>
            <w:tcBorders>
              <w:top w:val="nil"/>
              <w:left w:val="nil"/>
              <w:bottom w:val="nil"/>
              <w:right w:val="nil"/>
            </w:tcBorders>
            <w:shd w:val="clear" w:color="auto" w:fill="auto"/>
            <w:noWrap/>
            <w:vAlign w:val="center"/>
            <w:hideMark/>
          </w:tcPr>
          <w:p w14:paraId="77BDE7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-3.7</w:t>
            </w:r>
          </w:p>
        </w:tc>
        <w:tc>
          <w:tcPr>
            <w:tcW w:w="668" w:type="dxa"/>
            <w:tcBorders>
              <w:top w:val="nil"/>
              <w:left w:val="nil"/>
              <w:bottom w:val="nil"/>
              <w:right w:val="single" w:sz="4" w:space="0" w:color="auto"/>
            </w:tcBorders>
            <w:shd w:val="clear" w:color="auto" w:fill="auto"/>
            <w:noWrap/>
            <w:vAlign w:val="center"/>
            <w:hideMark/>
          </w:tcPr>
          <w:p w14:paraId="4B71918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-4.0</w:t>
            </w:r>
          </w:p>
        </w:tc>
      </w:tr>
      <w:tr w:rsidR="00542DAE" w:rsidRPr="00542DAE" w14:paraId="793CEE03"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C554A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2010</w:t>
            </w:r>
          </w:p>
        </w:tc>
        <w:tc>
          <w:tcPr>
            <w:tcW w:w="768" w:type="dxa"/>
            <w:tcBorders>
              <w:top w:val="nil"/>
              <w:left w:val="nil"/>
              <w:bottom w:val="nil"/>
              <w:right w:val="single" w:sz="4" w:space="0" w:color="auto"/>
            </w:tcBorders>
            <w:shd w:val="clear" w:color="auto" w:fill="auto"/>
            <w:noWrap/>
            <w:vAlign w:val="center"/>
            <w:hideMark/>
          </w:tcPr>
          <w:p w14:paraId="3F22400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200046C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92.1</w:t>
            </w:r>
          </w:p>
        </w:tc>
        <w:tc>
          <w:tcPr>
            <w:tcW w:w="660" w:type="dxa"/>
            <w:tcBorders>
              <w:top w:val="single" w:sz="4" w:space="0" w:color="auto"/>
              <w:left w:val="nil"/>
              <w:bottom w:val="nil"/>
              <w:right w:val="nil"/>
            </w:tcBorders>
            <w:shd w:val="clear" w:color="auto" w:fill="auto"/>
            <w:noWrap/>
            <w:vAlign w:val="center"/>
            <w:hideMark/>
          </w:tcPr>
          <w:p w14:paraId="45A83D8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91.9</w:t>
            </w:r>
          </w:p>
        </w:tc>
        <w:tc>
          <w:tcPr>
            <w:tcW w:w="660" w:type="dxa"/>
            <w:tcBorders>
              <w:top w:val="single" w:sz="4" w:space="0" w:color="auto"/>
              <w:left w:val="nil"/>
              <w:bottom w:val="nil"/>
              <w:right w:val="nil"/>
            </w:tcBorders>
            <w:shd w:val="clear" w:color="auto" w:fill="auto"/>
            <w:noWrap/>
            <w:vAlign w:val="center"/>
            <w:hideMark/>
          </w:tcPr>
          <w:p w14:paraId="624C1EF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92.9</w:t>
            </w:r>
          </w:p>
        </w:tc>
        <w:tc>
          <w:tcPr>
            <w:tcW w:w="660" w:type="dxa"/>
            <w:tcBorders>
              <w:top w:val="single" w:sz="4" w:space="0" w:color="auto"/>
              <w:left w:val="nil"/>
              <w:bottom w:val="nil"/>
              <w:right w:val="nil"/>
            </w:tcBorders>
            <w:shd w:val="clear" w:color="auto" w:fill="auto"/>
            <w:noWrap/>
            <w:vAlign w:val="center"/>
            <w:hideMark/>
          </w:tcPr>
          <w:p w14:paraId="1D4D67F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91.7</w:t>
            </w:r>
          </w:p>
        </w:tc>
        <w:tc>
          <w:tcPr>
            <w:tcW w:w="660" w:type="dxa"/>
            <w:tcBorders>
              <w:top w:val="single" w:sz="4" w:space="0" w:color="auto"/>
              <w:left w:val="nil"/>
              <w:bottom w:val="nil"/>
              <w:right w:val="nil"/>
            </w:tcBorders>
            <w:shd w:val="clear" w:color="000000" w:fill="C4D79B"/>
            <w:noWrap/>
            <w:vAlign w:val="center"/>
            <w:hideMark/>
          </w:tcPr>
          <w:p w14:paraId="3D9A2DF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93.0</w:t>
            </w:r>
          </w:p>
        </w:tc>
        <w:tc>
          <w:tcPr>
            <w:tcW w:w="660" w:type="dxa"/>
            <w:tcBorders>
              <w:top w:val="single" w:sz="4" w:space="0" w:color="auto"/>
              <w:left w:val="nil"/>
              <w:bottom w:val="nil"/>
              <w:right w:val="nil"/>
            </w:tcBorders>
            <w:shd w:val="clear" w:color="auto" w:fill="auto"/>
            <w:noWrap/>
            <w:vAlign w:val="center"/>
            <w:hideMark/>
          </w:tcPr>
          <w:p w14:paraId="5EE2689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93.2</w:t>
            </w:r>
          </w:p>
        </w:tc>
        <w:tc>
          <w:tcPr>
            <w:tcW w:w="660" w:type="dxa"/>
            <w:tcBorders>
              <w:top w:val="single" w:sz="4" w:space="0" w:color="auto"/>
              <w:left w:val="nil"/>
              <w:bottom w:val="nil"/>
              <w:right w:val="nil"/>
            </w:tcBorders>
            <w:shd w:val="clear" w:color="auto" w:fill="auto"/>
            <w:noWrap/>
            <w:vAlign w:val="center"/>
            <w:hideMark/>
          </w:tcPr>
          <w:p w14:paraId="2ED47A5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93.8</w:t>
            </w:r>
          </w:p>
        </w:tc>
        <w:tc>
          <w:tcPr>
            <w:tcW w:w="660" w:type="dxa"/>
            <w:tcBorders>
              <w:top w:val="single" w:sz="4" w:space="0" w:color="auto"/>
              <w:left w:val="nil"/>
              <w:bottom w:val="nil"/>
              <w:right w:val="nil"/>
            </w:tcBorders>
            <w:shd w:val="clear" w:color="auto" w:fill="auto"/>
            <w:noWrap/>
            <w:vAlign w:val="center"/>
            <w:hideMark/>
          </w:tcPr>
          <w:p w14:paraId="28657E7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93.8</w:t>
            </w:r>
          </w:p>
        </w:tc>
        <w:tc>
          <w:tcPr>
            <w:tcW w:w="660" w:type="dxa"/>
            <w:tcBorders>
              <w:top w:val="single" w:sz="4" w:space="0" w:color="auto"/>
              <w:left w:val="nil"/>
              <w:bottom w:val="nil"/>
              <w:right w:val="nil"/>
            </w:tcBorders>
            <w:shd w:val="clear" w:color="auto" w:fill="auto"/>
            <w:noWrap/>
            <w:vAlign w:val="center"/>
            <w:hideMark/>
          </w:tcPr>
          <w:p w14:paraId="58B1A3E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93.5</w:t>
            </w:r>
          </w:p>
        </w:tc>
        <w:tc>
          <w:tcPr>
            <w:tcW w:w="660" w:type="dxa"/>
            <w:tcBorders>
              <w:top w:val="single" w:sz="4" w:space="0" w:color="auto"/>
              <w:left w:val="nil"/>
              <w:bottom w:val="nil"/>
              <w:right w:val="nil"/>
            </w:tcBorders>
            <w:shd w:val="clear" w:color="auto" w:fill="auto"/>
            <w:noWrap/>
            <w:vAlign w:val="center"/>
            <w:hideMark/>
          </w:tcPr>
          <w:p w14:paraId="31E9946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93.3</w:t>
            </w:r>
          </w:p>
        </w:tc>
        <w:tc>
          <w:tcPr>
            <w:tcW w:w="660" w:type="dxa"/>
            <w:tcBorders>
              <w:top w:val="single" w:sz="4" w:space="0" w:color="auto"/>
              <w:left w:val="nil"/>
              <w:bottom w:val="nil"/>
              <w:right w:val="nil"/>
            </w:tcBorders>
            <w:shd w:val="clear" w:color="auto" w:fill="auto"/>
            <w:noWrap/>
            <w:vAlign w:val="center"/>
            <w:hideMark/>
          </w:tcPr>
          <w:p w14:paraId="68EE47A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93.3</w:t>
            </w:r>
          </w:p>
        </w:tc>
        <w:tc>
          <w:tcPr>
            <w:tcW w:w="668" w:type="dxa"/>
            <w:tcBorders>
              <w:top w:val="single" w:sz="4" w:space="0" w:color="auto"/>
              <w:left w:val="nil"/>
              <w:bottom w:val="nil"/>
              <w:right w:val="single" w:sz="4" w:space="0" w:color="auto"/>
            </w:tcBorders>
            <w:shd w:val="clear" w:color="auto" w:fill="auto"/>
            <w:noWrap/>
            <w:vAlign w:val="center"/>
            <w:hideMark/>
          </w:tcPr>
          <w:p w14:paraId="184063A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93.8</w:t>
            </w:r>
          </w:p>
        </w:tc>
      </w:tr>
      <w:tr w:rsidR="00542DAE" w:rsidRPr="00542DAE" w14:paraId="47C51C1B"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3183E732"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2C49379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0FE762B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3AC2064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077B3C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4B39896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000000" w:fill="C4D79B"/>
            <w:noWrap/>
            <w:vAlign w:val="center"/>
            <w:hideMark/>
          </w:tcPr>
          <w:p w14:paraId="7959FF2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0C9E4BD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FD14F4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0BDA2EA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C3CA5C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DB1308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19F14A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6EE7A58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r>
      <w:tr w:rsidR="00542DAE" w:rsidRPr="00542DAE" w14:paraId="18D7AE68"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6FD41458"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361D5A5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1F1EDA6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7DAE4AE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227B9E4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B743CC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354D35A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6E0F1AF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48A0F0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3.4</w:t>
            </w:r>
          </w:p>
        </w:tc>
        <w:tc>
          <w:tcPr>
            <w:tcW w:w="660" w:type="dxa"/>
            <w:tcBorders>
              <w:top w:val="nil"/>
              <w:left w:val="nil"/>
              <w:bottom w:val="nil"/>
              <w:right w:val="nil"/>
            </w:tcBorders>
            <w:shd w:val="clear" w:color="auto" w:fill="auto"/>
            <w:noWrap/>
            <w:vAlign w:val="center"/>
            <w:hideMark/>
          </w:tcPr>
          <w:p w14:paraId="4F70753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3.4</w:t>
            </w:r>
          </w:p>
        </w:tc>
        <w:tc>
          <w:tcPr>
            <w:tcW w:w="660" w:type="dxa"/>
            <w:tcBorders>
              <w:top w:val="nil"/>
              <w:left w:val="nil"/>
              <w:bottom w:val="nil"/>
              <w:right w:val="nil"/>
            </w:tcBorders>
            <w:shd w:val="clear" w:color="auto" w:fill="auto"/>
            <w:noWrap/>
            <w:vAlign w:val="center"/>
            <w:hideMark/>
          </w:tcPr>
          <w:p w14:paraId="284D6C6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D43EEA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2274A9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1.6</w:t>
            </w:r>
          </w:p>
        </w:tc>
        <w:tc>
          <w:tcPr>
            <w:tcW w:w="668" w:type="dxa"/>
            <w:tcBorders>
              <w:top w:val="nil"/>
              <w:left w:val="nil"/>
              <w:bottom w:val="nil"/>
              <w:right w:val="single" w:sz="4" w:space="0" w:color="auto"/>
            </w:tcBorders>
            <w:shd w:val="clear" w:color="auto" w:fill="auto"/>
            <w:noWrap/>
            <w:vAlign w:val="center"/>
            <w:hideMark/>
          </w:tcPr>
          <w:p w14:paraId="68657F7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r>
      <w:tr w:rsidR="00542DAE" w:rsidRPr="00542DAE" w14:paraId="4D5915B9"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54A8B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2011</w:t>
            </w:r>
          </w:p>
        </w:tc>
        <w:tc>
          <w:tcPr>
            <w:tcW w:w="768" w:type="dxa"/>
            <w:tcBorders>
              <w:top w:val="nil"/>
              <w:left w:val="nil"/>
              <w:bottom w:val="nil"/>
              <w:right w:val="single" w:sz="4" w:space="0" w:color="auto"/>
            </w:tcBorders>
            <w:shd w:val="clear" w:color="auto" w:fill="auto"/>
            <w:noWrap/>
            <w:vAlign w:val="center"/>
            <w:hideMark/>
          </w:tcPr>
          <w:p w14:paraId="37E0E30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4973456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94.1</w:t>
            </w:r>
          </w:p>
        </w:tc>
        <w:tc>
          <w:tcPr>
            <w:tcW w:w="660" w:type="dxa"/>
            <w:tcBorders>
              <w:top w:val="single" w:sz="4" w:space="0" w:color="auto"/>
              <w:left w:val="nil"/>
              <w:bottom w:val="nil"/>
              <w:right w:val="nil"/>
            </w:tcBorders>
            <w:shd w:val="clear" w:color="auto" w:fill="auto"/>
            <w:noWrap/>
            <w:vAlign w:val="center"/>
            <w:hideMark/>
          </w:tcPr>
          <w:p w14:paraId="663B99C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93.5</w:t>
            </w:r>
          </w:p>
        </w:tc>
        <w:tc>
          <w:tcPr>
            <w:tcW w:w="660" w:type="dxa"/>
            <w:tcBorders>
              <w:top w:val="single" w:sz="4" w:space="0" w:color="auto"/>
              <w:left w:val="nil"/>
              <w:bottom w:val="nil"/>
              <w:right w:val="nil"/>
            </w:tcBorders>
            <w:shd w:val="clear" w:color="auto" w:fill="auto"/>
            <w:noWrap/>
            <w:vAlign w:val="center"/>
            <w:hideMark/>
          </w:tcPr>
          <w:p w14:paraId="1786403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94.5</w:t>
            </w:r>
          </w:p>
        </w:tc>
        <w:tc>
          <w:tcPr>
            <w:tcW w:w="660" w:type="dxa"/>
            <w:tcBorders>
              <w:top w:val="single" w:sz="4" w:space="0" w:color="auto"/>
              <w:left w:val="nil"/>
              <w:bottom w:val="nil"/>
              <w:right w:val="nil"/>
            </w:tcBorders>
            <w:shd w:val="clear" w:color="auto" w:fill="auto"/>
            <w:noWrap/>
            <w:vAlign w:val="center"/>
            <w:hideMark/>
          </w:tcPr>
          <w:p w14:paraId="1459E27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000000" w:fill="C4D79B"/>
            <w:noWrap/>
            <w:vAlign w:val="center"/>
            <w:hideMark/>
          </w:tcPr>
          <w:p w14:paraId="57526F7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95.2</w:t>
            </w:r>
          </w:p>
        </w:tc>
        <w:tc>
          <w:tcPr>
            <w:tcW w:w="660" w:type="dxa"/>
            <w:tcBorders>
              <w:top w:val="single" w:sz="4" w:space="0" w:color="auto"/>
              <w:left w:val="nil"/>
              <w:bottom w:val="nil"/>
              <w:right w:val="nil"/>
            </w:tcBorders>
            <w:shd w:val="clear" w:color="auto" w:fill="auto"/>
            <w:noWrap/>
            <w:vAlign w:val="center"/>
            <w:hideMark/>
          </w:tcPr>
          <w:p w14:paraId="108BC9F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95.3</w:t>
            </w:r>
          </w:p>
        </w:tc>
        <w:tc>
          <w:tcPr>
            <w:tcW w:w="660" w:type="dxa"/>
            <w:tcBorders>
              <w:top w:val="single" w:sz="4" w:space="0" w:color="auto"/>
              <w:left w:val="nil"/>
              <w:bottom w:val="nil"/>
              <w:right w:val="nil"/>
            </w:tcBorders>
            <w:shd w:val="clear" w:color="auto" w:fill="auto"/>
            <w:noWrap/>
            <w:vAlign w:val="center"/>
            <w:hideMark/>
          </w:tcPr>
          <w:p w14:paraId="5DD0652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95.2</w:t>
            </w:r>
          </w:p>
        </w:tc>
        <w:tc>
          <w:tcPr>
            <w:tcW w:w="660" w:type="dxa"/>
            <w:tcBorders>
              <w:top w:val="single" w:sz="4" w:space="0" w:color="auto"/>
              <w:left w:val="nil"/>
              <w:bottom w:val="nil"/>
              <w:right w:val="nil"/>
            </w:tcBorders>
            <w:shd w:val="clear" w:color="auto" w:fill="auto"/>
            <w:noWrap/>
            <w:vAlign w:val="center"/>
            <w:hideMark/>
          </w:tcPr>
          <w:p w14:paraId="1EC60B4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96.0</w:t>
            </w:r>
          </w:p>
        </w:tc>
        <w:tc>
          <w:tcPr>
            <w:tcW w:w="660" w:type="dxa"/>
            <w:tcBorders>
              <w:top w:val="single" w:sz="4" w:space="0" w:color="auto"/>
              <w:left w:val="nil"/>
              <w:bottom w:val="nil"/>
              <w:right w:val="nil"/>
            </w:tcBorders>
            <w:shd w:val="clear" w:color="auto" w:fill="auto"/>
            <w:noWrap/>
            <w:vAlign w:val="center"/>
            <w:hideMark/>
          </w:tcPr>
          <w:p w14:paraId="2EAC32E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1F2AC9E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96.5</w:t>
            </w:r>
          </w:p>
        </w:tc>
        <w:tc>
          <w:tcPr>
            <w:tcW w:w="660" w:type="dxa"/>
            <w:tcBorders>
              <w:top w:val="single" w:sz="4" w:space="0" w:color="auto"/>
              <w:left w:val="nil"/>
              <w:bottom w:val="nil"/>
              <w:right w:val="nil"/>
            </w:tcBorders>
            <w:shd w:val="clear" w:color="auto" w:fill="auto"/>
            <w:noWrap/>
            <w:vAlign w:val="center"/>
            <w:hideMark/>
          </w:tcPr>
          <w:p w14:paraId="478F620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96.5</w:t>
            </w:r>
          </w:p>
        </w:tc>
        <w:tc>
          <w:tcPr>
            <w:tcW w:w="668" w:type="dxa"/>
            <w:tcBorders>
              <w:top w:val="single" w:sz="4" w:space="0" w:color="auto"/>
              <w:left w:val="nil"/>
              <w:bottom w:val="nil"/>
              <w:right w:val="single" w:sz="4" w:space="0" w:color="auto"/>
            </w:tcBorders>
            <w:shd w:val="clear" w:color="auto" w:fill="auto"/>
            <w:noWrap/>
            <w:vAlign w:val="center"/>
            <w:hideMark/>
          </w:tcPr>
          <w:p w14:paraId="62B1781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95.6</w:t>
            </w:r>
          </w:p>
        </w:tc>
      </w:tr>
      <w:tr w:rsidR="00542DAE" w:rsidRPr="00542DAE" w14:paraId="2E1ED48D"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6DA32E59"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28360BD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3C71D6C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648902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58CF843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2C10B7B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1864604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5DCEBFF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FA637D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6B95B9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0FFCA9C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B0AB21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45E813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089097D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w:t>
            </w:r>
          </w:p>
        </w:tc>
      </w:tr>
      <w:tr w:rsidR="00542DAE" w:rsidRPr="00542DAE" w14:paraId="2B10DD1A"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6FCCE1D6"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2200CCE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13C24F1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06087D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3247E0D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0A89E94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000000" w:fill="C4D79B"/>
            <w:noWrap/>
            <w:vAlign w:val="center"/>
            <w:hideMark/>
          </w:tcPr>
          <w:p w14:paraId="67C8349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069599B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436985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2D7EDE1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771A800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3.1</w:t>
            </w:r>
          </w:p>
        </w:tc>
        <w:tc>
          <w:tcPr>
            <w:tcW w:w="660" w:type="dxa"/>
            <w:tcBorders>
              <w:top w:val="nil"/>
              <w:left w:val="nil"/>
              <w:bottom w:val="nil"/>
              <w:right w:val="nil"/>
            </w:tcBorders>
            <w:shd w:val="clear" w:color="auto" w:fill="auto"/>
            <w:noWrap/>
            <w:vAlign w:val="center"/>
            <w:hideMark/>
          </w:tcPr>
          <w:p w14:paraId="4EAD7EE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3.4</w:t>
            </w:r>
          </w:p>
        </w:tc>
        <w:tc>
          <w:tcPr>
            <w:tcW w:w="660" w:type="dxa"/>
            <w:tcBorders>
              <w:top w:val="nil"/>
              <w:left w:val="nil"/>
              <w:bottom w:val="nil"/>
              <w:right w:val="nil"/>
            </w:tcBorders>
            <w:shd w:val="clear" w:color="auto" w:fill="auto"/>
            <w:noWrap/>
            <w:vAlign w:val="center"/>
            <w:hideMark/>
          </w:tcPr>
          <w:p w14:paraId="70EB3EE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3.5</w:t>
            </w:r>
          </w:p>
        </w:tc>
        <w:tc>
          <w:tcPr>
            <w:tcW w:w="668" w:type="dxa"/>
            <w:tcBorders>
              <w:top w:val="nil"/>
              <w:left w:val="nil"/>
              <w:bottom w:val="nil"/>
              <w:right w:val="single" w:sz="4" w:space="0" w:color="auto"/>
            </w:tcBorders>
            <w:shd w:val="clear" w:color="auto" w:fill="auto"/>
            <w:noWrap/>
            <w:vAlign w:val="center"/>
            <w:hideMark/>
          </w:tcPr>
          <w:p w14:paraId="0BD9514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1.9</w:t>
            </w:r>
          </w:p>
        </w:tc>
      </w:tr>
      <w:tr w:rsidR="00542DAE" w:rsidRPr="00542DAE" w14:paraId="0DFD0699"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0FEF80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2012</w:t>
            </w:r>
          </w:p>
        </w:tc>
        <w:tc>
          <w:tcPr>
            <w:tcW w:w="768" w:type="dxa"/>
            <w:tcBorders>
              <w:top w:val="nil"/>
              <w:left w:val="nil"/>
              <w:bottom w:val="nil"/>
              <w:right w:val="single" w:sz="4" w:space="0" w:color="auto"/>
            </w:tcBorders>
            <w:shd w:val="clear" w:color="auto" w:fill="auto"/>
            <w:noWrap/>
            <w:vAlign w:val="center"/>
            <w:hideMark/>
          </w:tcPr>
          <w:p w14:paraId="107DE64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48F730E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4E1C710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97.8</w:t>
            </w:r>
          </w:p>
        </w:tc>
        <w:tc>
          <w:tcPr>
            <w:tcW w:w="660" w:type="dxa"/>
            <w:tcBorders>
              <w:top w:val="single" w:sz="4" w:space="0" w:color="auto"/>
              <w:left w:val="nil"/>
              <w:bottom w:val="nil"/>
              <w:right w:val="nil"/>
            </w:tcBorders>
            <w:shd w:val="clear" w:color="auto" w:fill="auto"/>
            <w:noWrap/>
            <w:vAlign w:val="center"/>
            <w:hideMark/>
          </w:tcPr>
          <w:p w14:paraId="3428E23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1F7B85E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000000" w:fill="C4D79B"/>
            <w:noWrap/>
            <w:vAlign w:val="center"/>
            <w:hideMark/>
          </w:tcPr>
          <w:p w14:paraId="60CC45D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17A0CE1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97.9</w:t>
            </w:r>
          </w:p>
        </w:tc>
        <w:tc>
          <w:tcPr>
            <w:tcW w:w="660" w:type="dxa"/>
            <w:tcBorders>
              <w:top w:val="single" w:sz="4" w:space="0" w:color="auto"/>
              <w:left w:val="nil"/>
              <w:bottom w:val="nil"/>
              <w:right w:val="nil"/>
            </w:tcBorders>
            <w:shd w:val="clear" w:color="auto" w:fill="auto"/>
            <w:noWrap/>
            <w:vAlign w:val="center"/>
            <w:hideMark/>
          </w:tcPr>
          <w:p w14:paraId="0F0EC83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4523652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79EC897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98.2</w:t>
            </w:r>
          </w:p>
        </w:tc>
        <w:tc>
          <w:tcPr>
            <w:tcW w:w="660" w:type="dxa"/>
            <w:tcBorders>
              <w:top w:val="single" w:sz="4" w:space="0" w:color="auto"/>
              <w:left w:val="nil"/>
              <w:bottom w:val="nil"/>
              <w:right w:val="nil"/>
            </w:tcBorders>
            <w:shd w:val="clear" w:color="auto" w:fill="auto"/>
            <w:noWrap/>
            <w:vAlign w:val="center"/>
            <w:hideMark/>
          </w:tcPr>
          <w:p w14:paraId="0261B30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97.9</w:t>
            </w:r>
          </w:p>
        </w:tc>
        <w:tc>
          <w:tcPr>
            <w:tcW w:w="660" w:type="dxa"/>
            <w:tcBorders>
              <w:top w:val="single" w:sz="4" w:space="0" w:color="auto"/>
              <w:left w:val="nil"/>
              <w:bottom w:val="nil"/>
              <w:right w:val="nil"/>
            </w:tcBorders>
            <w:shd w:val="clear" w:color="auto" w:fill="auto"/>
            <w:noWrap/>
            <w:vAlign w:val="center"/>
            <w:hideMark/>
          </w:tcPr>
          <w:p w14:paraId="791EF56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98.3</w:t>
            </w:r>
          </w:p>
        </w:tc>
        <w:tc>
          <w:tcPr>
            <w:tcW w:w="668" w:type="dxa"/>
            <w:tcBorders>
              <w:top w:val="single" w:sz="4" w:space="0" w:color="auto"/>
              <w:left w:val="nil"/>
              <w:bottom w:val="nil"/>
              <w:right w:val="single" w:sz="4" w:space="0" w:color="auto"/>
            </w:tcBorders>
            <w:shd w:val="clear" w:color="auto" w:fill="auto"/>
            <w:noWrap/>
            <w:vAlign w:val="center"/>
            <w:hideMark/>
          </w:tcPr>
          <w:p w14:paraId="33BA528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98.7</w:t>
            </w:r>
          </w:p>
        </w:tc>
      </w:tr>
      <w:tr w:rsidR="00542DAE" w:rsidRPr="00542DAE" w14:paraId="4878ABEA"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3EF2D13B"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0451A06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4A82317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7FB114C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4776C8A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2FC3E2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000000" w:fill="C4D79B"/>
            <w:noWrap/>
            <w:vAlign w:val="center"/>
            <w:hideMark/>
          </w:tcPr>
          <w:p w14:paraId="11EA353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6107616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7330ACF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D6980C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37E8A3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88A439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B4FD43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8" w:type="dxa"/>
            <w:tcBorders>
              <w:top w:val="nil"/>
              <w:left w:val="nil"/>
              <w:bottom w:val="nil"/>
              <w:right w:val="single" w:sz="4" w:space="0" w:color="auto"/>
            </w:tcBorders>
            <w:shd w:val="clear" w:color="auto" w:fill="auto"/>
            <w:noWrap/>
            <w:vAlign w:val="center"/>
            <w:hideMark/>
          </w:tcPr>
          <w:p w14:paraId="608E26F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0.5</w:t>
            </w:r>
          </w:p>
        </w:tc>
      </w:tr>
      <w:tr w:rsidR="00542DAE" w:rsidRPr="00542DAE" w14:paraId="5E2302B6"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58680AF8"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2A79B99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1AD0B19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3.1</w:t>
            </w:r>
          </w:p>
        </w:tc>
        <w:tc>
          <w:tcPr>
            <w:tcW w:w="660" w:type="dxa"/>
            <w:tcBorders>
              <w:top w:val="nil"/>
              <w:left w:val="nil"/>
              <w:bottom w:val="nil"/>
              <w:right w:val="nil"/>
            </w:tcBorders>
            <w:shd w:val="clear" w:color="auto" w:fill="auto"/>
            <w:noWrap/>
            <w:vAlign w:val="center"/>
            <w:hideMark/>
          </w:tcPr>
          <w:p w14:paraId="533AA7E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4.6</w:t>
            </w:r>
          </w:p>
        </w:tc>
        <w:tc>
          <w:tcPr>
            <w:tcW w:w="660" w:type="dxa"/>
            <w:tcBorders>
              <w:top w:val="nil"/>
              <w:left w:val="nil"/>
              <w:bottom w:val="nil"/>
              <w:right w:val="nil"/>
            </w:tcBorders>
            <w:shd w:val="clear" w:color="auto" w:fill="auto"/>
            <w:noWrap/>
            <w:vAlign w:val="center"/>
            <w:hideMark/>
          </w:tcPr>
          <w:p w14:paraId="0C47466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3.2</w:t>
            </w:r>
          </w:p>
        </w:tc>
        <w:tc>
          <w:tcPr>
            <w:tcW w:w="660" w:type="dxa"/>
            <w:tcBorders>
              <w:top w:val="nil"/>
              <w:left w:val="nil"/>
              <w:bottom w:val="nil"/>
              <w:right w:val="nil"/>
            </w:tcBorders>
            <w:shd w:val="clear" w:color="auto" w:fill="auto"/>
            <w:noWrap/>
            <w:vAlign w:val="center"/>
            <w:hideMark/>
          </w:tcPr>
          <w:p w14:paraId="25645A7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4.6</w:t>
            </w:r>
          </w:p>
        </w:tc>
        <w:tc>
          <w:tcPr>
            <w:tcW w:w="660" w:type="dxa"/>
            <w:tcBorders>
              <w:top w:val="nil"/>
              <w:left w:val="nil"/>
              <w:bottom w:val="nil"/>
              <w:right w:val="nil"/>
            </w:tcBorders>
            <w:shd w:val="clear" w:color="000000" w:fill="C4D79B"/>
            <w:noWrap/>
            <w:vAlign w:val="center"/>
            <w:hideMark/>
          </w:tcPr>
          <w:p w14:paraId="15F090C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48EE150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70AA84D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58B7F6C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2482870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3E822E5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338BEE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8" w:type="dxa"/>
            <w:tcBorders>
              <w:top w:val="nil"/>
              <w:left w:val="nil"/>
              <w:bottom w:val="nil"/>
              <w:right w:val="single" w:sz="4" w:space="0" w:color="auto"/>
            </w:tcBorders>
            <w:shd w:val="clear" w:color="auto" w:fill="auto"/>
            <w:noWrap/>
            <w:vAlign w:val="center"/>
            <w:hideMark/>
          </w:tcPr>
          <w:p w14:paraId="5300BB6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3.3</w:t>
            </w:r>
          </w:p>
        </w:tc>
      </w:tr>
      <w:tr w:rsidR="00542DAE" w:rsidRPr="00542DAE" w14:paraId="5CEE2892"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02BF03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2013</w:t>
            </w:r>
          </w:p>
        </w:tc>
        <w:tc>
          <w:tcPr>
            <w:tcW w:w="768" w:type="dxa"/>
            <w:tcBorders>
              <w:top w:val="nil"/>
              <w:left w:val="nil"/>
              <w:bottom w:val="nil"/>
              <w:right w:val="single" w:sz="4" w:space="0" w:color="auto"/>
            </w:tcBorders>
            <w:shd w:val="clear" w:color="auto" w:fill="auto"/>
            <w:noWrap/>
            <w:vAlign w:val="center"/>
            <w:hideMark/>
          </w:tcPr>
          <w:p w14:paraId="30AB174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2EA868C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100.7</w:t>
            </w:r>
          </w:p>
        </w:tc>
        <w:tc>
          <w:tcPr>
            <w:tcW w:w="660" w:type="dxa"/>
            <w:tcBorders>
              <w:top w:val="single" w:sz="4" w:space="0" w:color="auto"/>
              <w:left w:val="nil"/>
              <w:bottom w:val="nil"/>
              <w:right w:val="nil"/>
            </w:tcBorders>
            <w:shd w:val="clear" w:color="auto" w:fill="auto"/>
            <w:noWrap/>
            <w:vAlign w:val="center"/>
            <w:hideMark/>
          </w:tcPr>
          <w:p w14:paraId="0DC7FFF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99.1</w:t>
            </w:r>
          </w:p>
        </w:tc>
        <w:tc>
          <w:tcPr>
            <w:tcW w:w="660" w:type="dxa"/>
            <w:tcBorders>
              <w:top w:val="single" w:sz="4" w:space="0" w:color="auto"/>
              <w:left w:val="nil"/>
              <w:bottom w:val="nil"/>
              <w:right w:val="nil"/>
            </w:tcBorders>
            <w:shd w:val="clear" w:color="auto" w:fill="auto"/>
            <w:noWrap/>
            <w:vAlign w:val="center"/>
            <w:hideMark/>
          </w:tcPr>
          <w:p w14:paraId="4CB4967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98.6</w:t>
            </w:r>
          </w:p>
        </w:tc>
        <w:tc>
          <w:tcPr>
            <w:tcW w:w="660" w:type="dxa"/>
            <w:tcBorders>
              <w:top w:val="single" w:sz="4" w:space="0" w:color="auto"/>
              <w:left w:val="nil"/>
              <w:bottom w:val="nil"/>
              <w:right w:val="nil"/>
            </w:tcBorders>
            <w:shd w:val="clear" w:color="auto" w:fill="auto"/>
            <w:noWrap/>
            <w:vAlign w:val="center"/>
            <w:hideMark/>
          </w:tcPr>
          <w:p w14:paraId="46FDB30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000000" w:fill="C4D79B"/>
            <w:noWrap/>
            <w:vAlign w:val="center"/>
            <w:hideMark/>
          </w:tcPr>
          <w:p w14:paraId="0DCA75F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2B1CCE8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0B2B578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18C8902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auto" w:fill="auto"/>
            <w:noWrap/>
            <w:vAlign w:val="center"/>
            <w:hideMark/>
          </w:tcPr>
          <w:p w14:paraId="614F336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3673232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auto" w:fill="auto"/>
            <w:noWrap/>
            <w:vAlign w:val="center"/>
            <w:hideMark/>
          </w:tcPr>
          <w:p w14:paraId="7A19306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100.8</w:t>
            </w:r>
          </w:p>
        </w:tc>
        <w:tc>
          <w:tcPr>
            <w:tcW w:w="668" w:type="dxa"/>
            <w:tcBorders>
              <w:top w:val="single" w:sz="4" w:space="0" w:color="auto"/>
              <w:left w:val="nil"/>
              <w:bottom w:val="nil"/>
              <w:right w:val="single" w:sz="4" w:space="0" w:color="auto"/>
            </w:tcBorders>
            <w:shd w:val="clear" w:color="auto" w:fill="auto"/>
            <w:noWrap/>
            <w:vAlign w:val="center"/>
            <w:hideMark/>
          </w:tcPr>
          <w:p w14:paraId="33624B4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101.1</w:t>
            </w:r>
          </w:p>
        </w:tc>
      </w:tr>
      <w:tr w:rsidR="00542DAE" w:rsidRPr="00542DAE" w14:paraId="03D0E439"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37976412"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45E6EA1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46B06A1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78E31BD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3BAF1FD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865E30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000000" w:fill="C4D79B"/>
            <w:noWrap/>
            <w:vAlign w:val="center"/>
            <w:hideMark/>
          </w:tcPr>
          <w:p w14:paraId="07C2A46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5129299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32CF4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EB719E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168D7A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E2618B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68F897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3B99514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r>
      <w:tr w:rsidR="00542DAE" w:rsidRPr="00542DAE" w14:paraId="5C5E16DE"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7FD00BBC"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6B5F31D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3E08F42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3.8</w:t>
            </w:r>
          </w:p>
        </w:tc>
        <w:tc>
          <w:tcPr>
            <w:tcW w:w="660" w:type="dxa"/>
            <w:tcBorders>
              <w:top w:val="nil"/>
              <w:left w:val="nil"/>
              <w:bottom w:val="nil"/>
              <w:right w:val="nil"/>
            </w:tcBorders>
            <w:shd w:val="clear" w:color="auto" w:fill="auto"/>
            <w:noWrap/>
            <w:vAlign w:val="center"/>
            <w:hideMark/>
          </w:tcPr>
          <w:p w14:paraId="788C5D2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3BDE963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5353E9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46AF817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5607C00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025E8CB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0047DBA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5FC1A95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2389ACF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73BD44D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2.5</w:t>
            </w:r>
          </w:p>
        </w:tc>
        <w:tc>
          <w:tcPr>
            <w:tcW w:w="668" w:type="dxa"/>
            <w:tcBorders>
              <w:top w:val="nil"/>
              <w:left w:val="nil"/>
              <w:bottom w:val="nil"/>
              <w:right w:val="single" w:sz="4" w:space="0" w:color="auto"/>
            </w:tcBorders>
            <w:shd w:val="clear" w:color="auto" w:fill="auto"/>
            <w:noWrap/>
            <w:vAlign w:val="center"/>
            <w:hideMark/>
          </w:tcPr>
          <w:p w14:paraId="3F05CB8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2.4</w:t>
            </w:r>
          </w:p>
        </w:tc>
      </w:tr>
      <w:tr w:rsidR="00542DAE" w:rsidRPr="00542DAE" w14:paraId="206794F9"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0A0232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2014</w:t>
            </w:r>
          </w:p>
        </w:tc>
        <w:tc>
          <w:tcPr>
            <w:tcW w:w="768" w:type="dxa"/>
            <w:tcBorders>
              <w:top w:val="nil"/>
              <w:left w:val="nil"/>
              <w:bottom w:val="nil"/>
              <w:right w:val="single" w:sz="4" w:space="0" w:color="auto"/>
            </w:tcBorders>
            <w:shd w:val="clear" w:color="auto" w:fill="auto"/>
            <w:noWrap/>
            <w:vAlign w:val="center"/>
            <w:hideMark/>
          </w:tcPr>
          <w:p w14:paraId="3A718D9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3151044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101.1</w:t>
            </w:r>
          </w:p>
        </w:tc>
        <w:tc>
          <w:tcPr>
            <w:tcW w:w="660" w:type="dxa"/>
            <w:tcBorders>
              <w:top w:val="single" w:sz="4" w:space="0" w:color="auto"/>
              <w:left w:val="nil"/>
              <w:bottom w:val="nil"/>
              <w:right w:val="nil"/>
            </w:tcBorders>
            <w:shd w:val="clear" w:color="auto" w:fill="auto"/>
            <w:noWrap/>
            <w:vAlign w:val="center"/>
            <w:hideMark/>
          </w:tcPr>
          <w:p w14:paraId="0C1E541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nil"/>
            </w:tcBorders>
            <w:shd w:val="clear" w:color="auto" w:fill="auto"/>
            <w:noWrap/>
            <w:vAlign w:val="center"/>
            <w:hideMark/>
          </w:tcPr>
          <w:p w14:paraId="028CBB9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101.1</w:t>
            </w:r>
          </w:p>
        </w:tc>
        <w:tc>
          <w:tcPr>
            <w:tcW w:w="660" w:type="dxa"/>
            <w:tcBorders>
              <w:top w:val="single" w:sz="4" w:space="0" w:color="auto"/>
              <w:left w:val="nil"/>
              <w:bottom w:val="nil"/>
              <w:right w:val="nil"/>
            </w:tcBorders>
            <w:shd w:val="clear" w:color="auto" w:fill="auto"/>
            <w:noWrap/>
            <w:vAlign w:val="center"/>
            <w:hideMark/>
          </w:tcPr>
          <w:p w14:paraId="6C05636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102.2</w:t>
            </w:r>
          </w:p>
        </w:tc>
        <w:tc>
          <w:tcPr>
            <w:tcW w:w="660" w:type="dxa"/>
            <w:tcBorders>
              <w:top w:val="single" w:sz="4" w:space="0" w:color="auto"/>
              <w:left w:val="nil"/>
              <w:bottom w:val="nil"/>
              <w:right w:val="nil"/>
            </w:tcBorders>
            <w:shd w:val="clear" w:color="000000" w:fill="C4D79B"/>
            <w:noWrap/>
            <w:vAlign w:val="center"/>
            <w:hideMark/>
          </w:tcPr>
          <w:p w14:paraId="25C32E3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101.2</w:t>
            </w:r>
          </w:p>
        </w:tc>
        <w:tc>
          <w:tcPr>
            <w:tcW w:w="660" w:type="dxa"/>
            <w:tcBorders>
              <w:top w:val="single" w:sz="4" w:space="0" w:color="auto"/>
              <w:left w:val="nil"/>
              <w:bottom w:val="nil"/>
              <w:right w:val="nil"/>
            </w:tcBorders>
            <w:shd w:val="clear" w:color="auto" w:fill="auto"/>
            <w:noWrap/>
            <w:vAlign w:val="center"/>
            <w:hideMark/>
          </w:tcPr>
          <w:p w14:paraId="4BD04BE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101.4</w:t>
            </w:r>
          </w:p>
        </w:tc>
        <w:tc>
          <w:tcPr>
            <w:tcW w:w="660" w:type="dxa"/>
            <w:tcBorders>
              <w:top w:val="single" w:sz="4" w:space="0" w:color="auto"/>
              <w:left w:val="nil"/>
              <w:bottom w:val="nil"/>
              <w:right w:val="nil"/>
            </w:tcBorders>
            <w:shd w:val="clear" w:color="auto" w:fill="auto"/>
            <w:noWrap/>
            <w:vAlign w:val="center"/>
            <w:hideMark/>
          </w:tcPr>
          <w:p w14:paraId="10FC633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102.0</w:t>
            </w:r>
          </w:p>
        </w:tc>
        <w:tc>
          <w:tcPr>
            <w:tcW w:w="660" w:type="dxa"/>
            <w:tcBorders>
              <w:top w:val="single" w:sz="4" w:space="0" w:color="auto"/>
              <w:left w:val="nil"/>
              <w:bottom w:val="nil"/>
              <w:right w:val="nil"/>
            </w:tcBorders>
            <w:shd w:val="clear" w:color="auto" w:fill="auto"/>
            <w:noWrap/>
            <w:vAlign w:val="center"/>
            <w:hideMark/>
          </w:tcPr>
          <w:p w14:paraId="3D76F25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173C111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76690B4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101.9</w:t>
            </w:r>
          </w:p>
        </w:tc>
        <w:tc>
          <w:tcPr>
            <w:tcW w:w="660" w:type="dxa"/>
            <w:tcBorders>
              <w:top w:val="single" w:sz="4" w:space="0" w:color="auto"/>
              <w:left w:val="nil"/>
              <w:bottom w:val="nil"/>
              <w:right w:val="nil"/>
            </w:tcBorders>
            <w:shd w:val="clear" w:color="auto" w:fill="auto"/>
            <w:noWrap/>
            <w:vAlign w:val="center"/>
            <w:hideMark/>
          </w:tcPr>
          <w:p w14:paraId="36E388A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102.8</w:t>
            </w:r>
          </w:p>
        </w:tc>
        <w:tc>
          <w:tcPr>
            <w:tcW w:w="668" w:type="dxa"/>
            <w:tcBorders>
              <w:top w:val="single" w:sz="4" w:space="0" w:color="auto"/>
              <w:left w:val="nil"/>
              <w:bottom w:val="nil"/>
              <w:right w:val="single" w:sz="4" w:space="0" w:color="auto"/>
            </w:tcBorders>
            <w:shd w:val="clear" w:color="auto" w:fill="auto"/>
            <w:noWrap/>
            <w:vAlign w:val="center"/>
            <w:hideMark/>
          </w:tcPr>
          <w:p w14:paraId="51FE35E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102.2</w:t>
            </w:r>
          </w:p>
        </w:tc>
      </w:tr>
      <w:tr w:rsidR="00542DAE" w:rsidRPr="00542DAE" w14:paraId="418EA936"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40CAE00F"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420283D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75892B5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A4FBC9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00196C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80278E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000000" w:fill="C4D79B"/>
            <w:noWrap/>
            <w:vAlign w:val="center"/>
            <w:hideMark/>
          </w:tcPr>
          <w:p w14:paraId="41E4441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D1576A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B75E35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4A0935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F417D1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E68F1A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B0BC87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8" w:type="dxa"/>
            <w:tcBorders>
              <w:top w:val="nil"/>
              <w:left w:val="nil"/>
              <w:bottom w:val="nil"/>
              <w:right w:val="single" w:sz="4" w:space="0" w:color="auto"/>
            </w:tcBorders>
            <w:shd w:val="clear" w:color="auto" w:fill="auto"/>
            <w:noWrap/>
            <w:vAlign w:val="center"/>
            <w:hideMark/>
          </w:tcPr>
          <w:p w14:paraId="7E1688E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-0.5</w:t>
            </w:r>
          </w:p>
        </w:tc>
      </w:tr>
      <w:tr w:rsidR="00542DAE" w:rsidRPr="00542DAE" w14:paraId="3DEC57E9"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18FE4560"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6DB835A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4EEF80A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527E5B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76A506F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3408BE8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4E82B6B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07A914C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7C8EDEE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1009F7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9730EB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7E086DA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2462899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w:t>
            </w:r>
          </w:p>
        </w:tc>
        <w:tc>
          <w:tcPr>
            <w:tcW w:w="668" w:type="dxa"/>
            <w:tcBorders>
              <w:top w:val="nil"/>
              <w:left w:val="nil"/>
              <w:bottom w:val="nil"/>
              <w:right w:val="single" w:sz="4" w:space="0" w:color="auto"/>
            </w:tcBorders>
            <w:shd w:val="clear" w:color="auto" w:fill="auto"/>
            <w:noWrap/>
            <w:vAlign w:val="center"/>
            <w:hideMark/>
          </w:tcPr>
          <w:p w14:paraId="7345201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w:t>
            </w:r>
          </w:p>
        </w:tc>
      </w:tr>
      <w:tr w:rsidR="00542DAE" w:rsidRPr="00542DAE" w14:paraId="7CC960E6"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EF56B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2015</w:t>
            </w:r>
          </w:p>
        </w:tc>
        <w:tc>
          <w:tcPr>
            <w:tcW w:w="768" w:type="dxa"/>
            <w:tcBorders>
              <w:top w:val="nil"/>
              <w:left w:val="nil"/>
              <w:bottom w:val="nil"/>
              <w:right w:val="single" w:sz="4" w:space="0" w:color="auto"/>
            </w:tcBorders>
            <w:shd w:val="clear" w:color="auto" w:fill="auto"/>
            <w:noWrap/>
            <w:vAlign w:val="center"/>
            <w:hideMark/>
          </w:tcPr>
          <w:p w14:paraId="1834548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2A9AE74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auto" w:fill="auto"/>
            <w:noWrap/>
            <w:vAlign w:val="center"/>
            <w:hideMark/>
          </w:tcPr>
          <w:p w14:paraId="13A85A4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3C9C1F7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4C6F477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104.1</w:t>
            </w:r>
          </w:p>
        </w:tc>
        <w:tc>
          <w:tcPr>
            <w:tcW w:w="660" w:type="dxa"/>
            <w:tcBorders>
              <w:top w:val="single" w:sz="4" w:space="0" w:color="auto"/>
              <w:left w:val="nil"/>
              <w:bottom w:val="nil"/>
              <w:right w:val="nil"/>
            </w:tcBorders>
            <w:shd w:val="clear" w:color="000000" w:fill="C4D79B"/>
            <w:noWrap/>
            <w:vAlign w:val="center"/>
            <w:hideMark/>
          </w:tcPr>
          <w:p w14:paraId="641534A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105.7</w:t>
            </w:r>
          </w:p>
        </w:tc>
        <w:tc>
          <w:tcPr>
            <w:tcW w:w="660" w:type="dxa"/>
            <w:tcBorders>
              <w:top w:val="single" w:sz="4" w:space="0" w:color="auto"/>
              <w:left w:val="nil"/>
              <w:bottom w:val="nil"/>
              <w:right w:val="nil"/>
            </w:tcBorders>
            <w:shd w:val="clear" w:color="auto" w:fill="auto"/>
            <w:noWrap/>
            <w:vAlign w:val="center"/>
            <w:hideMark/>
          </w:tcPr>
          <w:p w14:paraId="1C930DF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508BA84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105.4</w:t>
            </w:r>
          </w:p>
        </w:tc>
        <w:tc>
          <w:tcPr>
            <w:tcW w:w="660" w:type="dxa"/>
            <w:tcBorders>
              <w:top w:val="single" w:sz="4" w:space="0" w:color="auto"/>
              <w:left w:val="nil"/>
              <w:bottom w:val="nil"/>
              <w:right w:val="nil"/>
            </w:tcBorders>
            <w:shd w:val="clear" w:color="auto" w:fill="auto"/>
            <w:noWrap/>
            <w:vAlign w:val="center"/>
            <w:hideMark/>
          </w:tcPr>
          <w:p w14:paraId="18C2923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105.4</w:t>
            </w:r>
          </w:p>
        </w:tc>
        <w:tc>
          <w:tcPr>
            <w:tcW w:w="660" w:type="dxa"/>
            <w:tcBorders>
              <w:top w:val="single" w:sz="4" w:space="0" w:color="auto"/>
              <w:left w:val="nil"/>
              <w:bottom w:val="nil"/>
              <w:right w:val="nil"/>
            </w:tcBorders>
            <w:shd w:val="clear" w:color="auto" w:fill="auto"/>
            <w:noWrap/>
            <w:vAlign w:val="center"/>
            <w:hideMark/>
          </w:tcPr>
          <w:p w14:paraId="7B6F2DB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106.0</w:t>
            </w:r>
          </w:p>
        </w:tc>
        <w:tc>
          <w:tcPr>
            <w:tcW w:w="660" w:type="dxa"/>
            <w:tcBorders>
              <w:top w:val="single" w:sz="4" w:space="0" w:color="auto"/>
              <w:left w:val="nil"/>
              <w:bottom w:val="nil"/>
              <w:right w:val="nil"/>
            </w:tcBorders>
            <w:shd w:val="clear" w:color="auto" w:fill="auto"/>
            <w:noWrap/>
            <w:vAlign w:val="center"/>
            <w:hideMark/>
          </w:tcPr>
          <w:p w14:paraId="73392C4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106.8</w:t>
            </w:r>
          </w:p>
        </w:tc>
        <w:tc>
          <w:tcPr>
            <w:tcW w:w="660" w:type="dxa"/>
            <w:tcBorders>
              <w:top w:val="single" w:sz="4" w:space="0" w:color="auto"/>
              <w:left w:val="nil"/>
              <w:bottom w:val="nil"/>
              <w:right w:val="nil"/>
            </w:tcBorders>
            <w:shd w:val="clear" w:color="auto" w:fill="auto"/>
            <w:noWrap/>
            <w:vAlign w:val="center"/>
            <w:hideMark/>
          </w:tcPr>
          <w:p w14:paraId="736584F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107.0</w:t>
            </w:r>
          </w:p>
        </w:tc>
        <w:tc>
          <w:tcPr>
            <w:tcW w:w="668" w:type="dxa"/>
            <w:tcBorders>
              <w:top w:val="single" w:sz="4" w:space="0" w:color="auto"/>
              <w:left w:val="nil"/>
              <w:bottom w:val="nil"/>
              <w:right w:val="single" w:sz="4" w:space="0" w:color="auto"/>
            </w:tcBorders>
            <w:shd w:val="clear" w:color="auto" w:fill="auto"/>
            <w:noWrap/>
            <w:vAlign w:val="center"/>
            <w:hideMark/>
          </w:tcPr>
          <w:p w14:paraId="18AB402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106.1</w:t>
            </w:r>
          </w:p>
        </w:tc>
      </w:tr>
      <w:tr w:rsidR="00542DAE" w:rsidRPr="00542DAE" w14:paraId="6BF015BA"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549748FF"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4AD838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6406F17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796A9E3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0A44E6C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056DDC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6F86E19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488ACC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A59292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98DB03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BADF40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B77F71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344F879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6A12BD2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r>
      <w:tr w:rsidR="00542DAE" w:rsidRPr="00542DAE" w14:paraId="4E9FDBC4"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747E6B1E"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30E0432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267C0BC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7FDB988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3.2</w:t>
            </w:r>
          </w:p>
        </w:tc>
        <w:tc>
          <w:tcPr>
            <w:tcW w:w="660" w:type="dxa"/>
            <w:tcBorders>
              <w:top w:val="nil"/>
              <w:left w:val="nil"/>
              <w:bottom w:val="nil"/>
              <w:right w:val="nil"/>
            </w:tcBorders>
            <w:shd w:val="clear" w:color="auto" w:fill="auto"/>
            <w:noWrap/>
            <w:vAlign w:val="center"/>
            <w:hideMark/>
          </w:tcPr>
          <w:p w14:paraId="2677030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2.9</w:t>
            </w:r>
          </w:p>
        </w:tc>
        <w:tc>
          <w:tcPr>
            <w:tcW w:w="660" w:type="dxa"/>
            <w:tcBorders>
              <w:top w:val="nil"/>
              <w:left w:val="nil"/>
              <w:bottom w:val="nil"/>
              <w:right w:val="nil"/>
            </w:tcBorders>
            <w:shd w:val="clear" w:color="auto" w:fill="auto"/>
            <w:noWrap/>
            <w:vAlign w:val="center"/>
            <w:hideMark/>
          </w:tcPr>
          <w:p w14:paraId="3EBB0B5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000000" w:fill="C4D79B"/>
            <w:noWrap/>
            <w:vAlign w:val="center"/>
            <w:hideMark/>
          </w:tcPr>
          <w:p w14:paraId="28AFCBF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7B31CDF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3.5</w:t>
            </w:r>
          </w:p>
        </w:tc>
        <w:tc>
          <w:tcPr>
            <w:tcW w:w="660" w:type="dxa"/>
            <w:tcBorders>
              <w:top w:val="nil"/>
              <w:left w:val="nil"/>
              <w:bottom w:val="nil"/>
              <w:right w:val="nil"/>
            </w:tcBorders>
            <w:shd w:val="clear" w:color="auto" w:fill="auto"/>
            <w:noWrap/>
            <w:vAlign w:val="center"/>
            <w:hideMark/>
          </w:tcPr>
          <w:p w14:paraId="40B7CF9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3.3</w:t>
            </w:r>
          </w:p>
        </w:tc>
        <w:tc>
          <w:tcPr>
            <w:tcW w:w="660" w:type="dxa"/>
            <w:tcBorders>
              <w:top w:val="nil"/>
              <w:left w:val="nil"/>
              <w:bottom w:val="nil"/>
              <w:right w:val="nil"/>
            </w:tcBorders>
            <w:shd w:val="clear" w:color="auto" w:fill="auto"/>
            <w:noWrap/>
            <w:vAlign w:val="center"/>
            <w:hideMark/>
          </w:tcPr>
          <w:p w14:paraId="66A33FF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3.7</w:t>
            </w:r>
          </w:p>
        </w:tc>
        <w:tc>
          <w:tcPr>
            <w:tcW w:w="660" w:type="dxa"/>
            <w:tcBorders>
              <w:top w:val="nil"/>
              <w:left w:val="nil"/>
              <w:bottom w:val="nil"/>
              <w:right w:val="nil"/>
            </w:tcBorders>
            <w:shd w:val="clear" w:color="auto" w:fill="auto"/>
            <w:noWrap/>
            <w:vAlign w:val="center"/>
            <w:hideMark/>
          </w:tcPr>
          <w:p w14:paraId="1FDB14A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4.3</w:t>
            </w:r>
          </w:p>
        </w:tc>
        <w:tc>
          <w:tcPr>
            <w:tcW w:w="660" w:type="dxa"/>
            <w:tcBorders>
              <w:top w:val="nil"/>
              <w:left w:val="nil"/>
              <w:bottom w:val="nil"/>
              <w:right w:val="nil"/>
            </w:tcBorders>
            <w:shd w:val="clear" w:color="auto" w:fill="auto"/>
            <w:noWrap/>
            <w:vAlign w:val="center"/>
            <w:hideMark/>
          </w:tcPr>
          <w:p w14:paraId="32B4C7B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4.8</w:t>
            </w:r>
          </w:p>
        </w:tc>
        <w:tc>
          <w:tcPr>
            <w:tcW w:w="660" w:type="dxa"/>
            <w:tcBorders>
              <w:top w:val="nil"/>
              <w:left w:val="nil"/>
              <w:bottom w:val="nil"/>
              <w:right w:val="nil"/>
            </w:tcBorders>
            <w:shd w:val="clear" w:color="auto" w:fill="auto"/>
            <w:noWrap/>
            <w:vAlign w:val="center"/>
            <w:hideMark/>
          </w:tcPr>
          <w:p w14:paraId="5C5E073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4.1</w:t>
            </w:r>
          </w:p>
        </w:tc>
        <w:tc>
          <w:tcPr>
            <w:tcW w:w="668" w:type="dxa"/>
            <w:tcBorders>
              <w:top w:val="nil"/>
              <w:left w:val="nil"/>
              <w:bottom w:val="nil"/>
              <w:right w:val="single" w:sz="4" w:space="0" w:color="auto"/>
            </w:tcBorders>
            <w:shd w:val="clear" w:color="auto" w:fill="auto"/>
            <w:noWrap/>
            <w:vAlign w:val="center"/>
            <w:hideMark/>
          </w:tcPr>
          <w:p w14:paraId="1E4816D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3.8</w:t>
            </w:r>
          </w:p>
        </w:tc>
      </w:tr>
      <w:tr w:rsidR="00542DAE" w:rsidRPr="00542DAE" w14:paraId="67EA791E"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5BEBC8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2016</w:t>
            </w:r>
          </w:p>
        </w:tc>
        <w:tc>
          <w:tcPr>
            <w:tcW w:w="768" w:type="dxa"/>
            <w:tcBorders>
              <w:top w:val="nil"/>
              <w:left w:val="nil"/>
              <w:bottom w:val="nil"/>
              <w:right w:val="single" w:sz="4" w:space="0" w:color="auto"/>
            </w:tcBorders>
            <w:shd w:val="clear" w:color="auto" w:fill="auto"/>
            <w:noWrap/>
            <w:vAlign w:val="center"/>
            <w:hideMark/>
          </w:tcPr>
          <w:p w14:paraId="6152739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3329095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107.5</w:t>
            </w:r>
          </w:p>
        </w:tc>
        <w:tc>
          <w:tcPr>
            <w:tcW w:w="660" w:type="dxa"/>
            <w:tcBorders>
              <w:top w:val="single" w:sz="4" w:space="0" w:color="auto"/>
              <w:left w:val="nil"/>
              <w:bottom w:val="nil"/>
              <w:right w:val="nil"/>
            </w:tcBorders>
            <w:shd w:val="clear" w:color="auto" w:fill="auto"/>
            <w:noWrap/>
            <w:vAlign w:val="center"/>
            <w:hideMark/>
          </w:tcPr>
          <w:p w14:paraId="48587C9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108.1</w:t>
            </w:r>
          </w:p>
        </w:tc>
        <w:tc>
          <w:tcPr>
            <w:tcW w:w="660" w:type="dxa"/>
            <w:tcBorders>
              <w:top w:val="single" w:sz="4" w:space="0" w:color="auto"/>
              <w:left w:val="nil"/>
              <w:bottom w:val="nil"/>
              <w:right w:val="nil"/>
            </w:tcBorders>
            <w:shd w:val="clear" w:color="auto" w:fill="auto"/>
            <w:noWrap/>
            <w:vAlign w:val="center"/>
            <w:hideMark/>
          </w:tcPr>
          <w:p w14:paraId="05B07DD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108.5</w:t>
            </w:r>
          </w:p>
        </w:tc>
        <w:tc>
          <w:tcPr>
            <w:tcW w:w="660" w:type="dxa"/>
            <w:tcBorders>
              <w:top w:val="single" w:sz="4" w:space="0" w:color="auto"/>
              <w:left w:val="nil"/>
              <w:bottom w:val="nil"/>
              <w:right w:val="nil"/>
            </w:tcBorders>
            <w:shd w:val="clear" w:color="auto" w:fill="auto"/>
            <w:noWrap/>
            <w:vAlign w:val="center"/>
            <w:hideMark/>
          </w:tcPr>
          <w:p w14:paraId="5ED8FB9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108.7</w:t>
            </w:r>
          </w:p>
        </w:tc>
        <w:tc>
          <w:tcPr>
            <w:tcW w:w="660" w:type="dxa"/>
            <w:tcBorders>
              <w:top w:val="single" w:sz="4" w:space="0" w:color="auto"/>
              <w:left w:val="nil"/>
              <w:bottom w:val="nil"/>
              <w:right w:val="nil"/>
            </w:tcBorders>
            <w:shd w:val="clear" w:color="000000" w:fill="C4D79B"/>
            <w:noWrap/>
            <w:vAlign w:val="center"/>
            <w:hideMark/>
          </w:tcPr>
          <w:p w14:paraId="4538E98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109.4</w:t>
            </w:r>
          </w:p>
        </w:tc>
        <w:tc>
          <w:tcPr>
            <w:tcW w:w="660" w:type="dxa"/>
            <w:tcBorders>
              <w:top w:val="single" w:sz="4" w:space="0" w:color="auto"/>
              <w:left w:val="nil"/>
              <w:bottom w:val="nil"/>
              <w:right w:val="nil"/>
            </w:tcBorders>
            <w:shd w:val="clear" w:color="auto" w:fill="auto"/>
            <w:noWrap/>
            <w:vAlign w:val="center"/>
            <w:hideMark/>
          </w:tcPr>
          <w:p w14:paraId="3363F52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109.7</w:t>
            </w:r>
          </w:p>
        </w:tc>
        <w:tc>
          <w:tcPr>
            <w:tcW w:w="660" w:type="dxa"/>
            <w:tcBorders>
              <w:top w:val="single" w:sz="4" w:space="0" w:color="auto"/>
              <w:left w:val="nil"/>
              <w:bottom w:val="nil"/>
              <w:right w:val="nil"/>
            </w:tcBorders>
            <w:shd w:val="clear" w:color="auto" w:fill="auto"/>
            <w:noWrap/>
            <w:vAlign w:val="center"/>
            <w:hideMark/>
          </w:tcPr>
          <w:p w14:paraId="1CC09E7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110.1</w:t>
            </w:r>
          </w:p>
        </w:tc>
        <w:tc>
          <w:tcPr>
            <w:tcW w:w="660" w:type="dxa"/>
            <w:tcBorders>
              <w:top w:val="single" w:sz="4" w:space="0" w:color="auto"/>
              <w:left w:val="nil"/>
              <w:bottom w:val="nil"/>
              <w:right w:val="nil"/>
            </w:tcBorders>
            <w:shd w:val="clear" w:color="auto" w:fill="auto"/>
            <w:noWrap/>
            <w:vAlign w:val="center"/>
            <w:hideMark/>
          </w:tcPr>
          <w:p w14:paraId="248C88D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3E6A3D6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111.5</w:t>
            </w:r>
          </w:p>
        </w:tc>
        <w:tc>
          <w:tcPr>
            <w:tcW w:w="660" w:type="dxa"/>
            <w:tcBorders>
              <w:top w:val="single" w:sz="4" w:space="0" w:color="auto"/>
              <w:left w:val="nil"/>
              <w:bottom w:val="nil"/>
              <w:right w:val="nil"/>
            </w:tcBorders>
            <w:shd w:val="clear" w:color="auto" w:fill="auto"/>
            <w:noWrap/>
            <w:vAlign w:val="center"/>
            <w:hideMark/>
          </w:tcPr>
          <w:p w14:paraId="0CC2731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110.6</w:t>
            </w:r>
          </w:p>
        </w:tc>
        <w:tc>
          <w:tcPr>
            <w:tcW w:w="660" w:type="dxa"/>
            <w:tcBorders>
              <w:top w:val="single" w:sz="4" w:space="0" w:color="auto"/>
              <w:left w:val="nil"/>
              <w:bottom w:val="nil"/>
              <w:right w:val="nil"/>
            </w:tcBorders>
            <w:shd w:val="clear" w:color="auto" w:fill="auto"/>
            <w:noWrap/>
            <w:vAlign w:val="center"/>
            <w:hideMark/>
          </w:tcPr>
          <w:p w14:paraId="1AC5BE3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110.5</w:t>
            </w:r>
          </w:p>
        </w:tc>
        <w:tc>
          <w:tcPr>
            <w:tcW w:w="668" w:type="dxa"/>
            <w:tcBorders>
              <w:top w:val="single" w:sz="4" w:space="0" w:color="auto"/>
              <w:left w:val="nil"/>
              <w:bottom w:val="nil"/>
              <w:right w:val="single" w:sz="4" w:space="0" w:color="auto"/>
            </w:tcBorders>
            <w:shd w:val="clear" w:color="auto" w:fill="auto"/>
            <w:noWrap/>
            <w:vAlign w:val="center"/>
            <w:hideMark/>
          </w:tcPr>
          <w:p w14:paraId="2F1F897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111.2</w:t>
            </w:r>
          </w:p>
        </w:tc>
      </w:tr>
      <w:tr w:rsidR="00542DAE" w:rsidRPr="00542DAE" w14:paraId="6658349F"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293565A4"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0089141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25D4126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3D258F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47AC3B3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568543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7E74AF4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5D743D8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F6A74F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216BFD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DC9675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328ECAE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B0AC64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57655AC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r>
      <w:tr w:rsidR="00542DAE" w:rsidRPr="00542DAE" w14:paraId="5AB36C93"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60E797AB"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2FB2682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6A5211E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4.1</w:t>
            </w:r>
          </w:p>
        </w:tc>
        <w:tc>
          <w:tcPr>
            <w:tcW w:w="660" w:type="dxa"/>
            <w:tcBorders>
              <w:top w:val="nil"/>
              <w:left w:val="nil"/>
              <w:bottom w:val="nil"/>
              <w:right w:val="nil"/>
            </w:tcBorders>
            <w:shd w:val="clear" w:color="auto" w:fill="auto"/>
            <w:noWrap/>
            <w:vAlign w:val="center"/>
            <w:hideMark/>
          </w:tcPr>
          <w:p w14:paraId="6986C40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4.0</w:t>
            </w:r>
          </w:p>
        </w:tc>
        <w:tc>
          <w:tcPr>
            <w:tcW w:w="660" w:type="dxa"/>
            <w:tcBorders>
              <w:top w:val="nil"/>
              <w:left w:val="nil"/>
              <w:bottom w:val="nil"/>
              <w:right w:val="nil"/>
            </w:tcBorders>
            <w:shd w:val="clear" w:color="auto" w:fill="auto"/>
            <w:noWrap/>
            <w:vAlign w:val="center"/>
            <w:hideMark/>
          </w:tcPr>
          <w:p w14:paraId="721B484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4.3</w:t>
            </w:r>
          </w:p>
        </w:tc>
        <w:tc>
          <w:tcPr>
            <w:tcW w:w="660" w:type="dxa"/>
            <w:tcBorders>
              <w:top w:val="nil"/>
              <w:left w:val="nil"/>
              <w:bottom w:val="nil"/>
              <w:right w:val="nil"/>
            </w:tcBorders>
            <w:shd w:val="clear" w:color="auto" w:fill="auto"/>
            <w:noWrap/>
            <w:vAlign w:val="center"/>
            <w:hideMark/>
          </w:tcPr>
          <w:p w14:paraId="1BB2040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4.4</w:t>
            </w:r>
          </w:p>
        </w:tc>
        <w:tc>
          <w:tcPr>
            <w:tcW w:w="660" w:type="dxa"/>
            <w:tcBorders>
              <w:top w:val="nil"/>
              <w:left w:val="nil"/>
              <w:bottom w:val="nil"/>
              <w:right w:val="nil"/>
            </w:tcBorders>
            <w:shd w:val="clear" w:color="000000" w:fill="C4D79B"/>
            <w:noWrap/>
            <w:vAlign w:val="center"/>
            <w:hideMark/>
          </w:tcPr>
          <w:p w14:paraId="17502CE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3.5</w:t>
            </w:r>
          </w:p>
        </w:tc>
        <w:tc>
          <w:tcPr>
            <w:tcW w:w="660" w:type="dxa"/>
            <w:tcBorders>
              <w:top w:val="nil"/>
              <w:left w:val="nil"/>
              <w:bottom w:val="nil"/>
              <w:right w:val="nil"/>
            </w:tcBorders>
            <w:shd w:val="clear" w:color="auto" w:fill="auto"/>
            <w:noWrap/>
            <w:vAlign w:val="center"/>
            <w:hideMark/>
          </w:tcPr>
          <w:p w14:paraId="79D63BA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2ABC65C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1899DFA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4.8</w:t>
            </w:r>
          </w:p>
        </w:tc>
        <w:tc>
          <w:tcPr>
            <w:tcW w:w="660" w:type="dxa"/>
            <w:tcBorders>
              <w:top w:val="nil"/>
              <w:left w:val="nil"/>
              <w:bottom w:val="nil"/>
              <w:right w:val="nil"/>
            </w:tcBorders>
            <w:shd w:val="clear" w:color="auto" w:fill="auto"/>
            <w:noWrap/>
            <w:vAlign w:val="center"/>
            <w:hideMark/>
          </w:tcPr>
          <w:p w14:paraId="622611B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5.2</w:t>
            </w:r>
          </w:p>
        </w:tc>
        <w:tc>
          <w:tcPr>
            <w:tcW w:w="660" w:type="dxa"/>
            <w:tcBorders>
              <w:top w:val="nil"/>
              <w:left w:val="nil"/>
              <w:bottom w:val="nil"/>
              <w:right w:val="nil"/>
            </w:tcBorders>
            <w:shd w:val="clear" w:color="auto" w:fill="auto"/>
            <w:noWrap/>
            <w:vAlign w:val="center"/>
            <w:hideMark/>
          </w:tcPr>
          <w:p w14:paraId="6983541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3.6</w:t>
            </w:r>
          </w:p>
        </w:tc>
        <w:tc>
          <w:tcPr>
            <w:tcW w:w="660" w:type="dxa"/>
            <w:tcBorders>
              <w:top w:val="nil"/>
              <w:left w:val="nil"/>
              <w:bottom w:val="nil"/>
              <w:right w:val="nil"/>
            </w:tcBorders>
            <w:shd w:val="clear" w:color="auto" w:fill="auto"/>
            <w:noWrap/>
            <w:vAlign w:val="center"/>
            <w:hideMark/>
          </w:tcPr>
          <w:p w14:paraId="6E3E5E7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3.3</w:t>
            </w:r>
          </w:p>
        </w:tc>
        <w:tc>
          <w:tcPr>
            <w:tcW w:w="668" w:type="dxa"/>
            <w:tcBorders>
              <w:top w:val="nil"/>
              <w:left w:val="nil"/>
              <w:bottom w:val="nil"/>
              <w:right w:val="single" w:sz="4" w:space="0" w:color="auto"/>
            </w:tcBorders>
            <w:shd w:val="clear" w:color="auto" w:fill="auto"/>
            <w:noWrap/>
            <w:vAlign w:val="center"/>
            <w:hideMark/>
          </w:tcPr>
          <w:p w14:paraId="69BB8A3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4.8</w:t>
            </w:r>
          </w:p>
        </w:tc>
      </w:tr>
      <w:tr w:rsidR="00542DAE" w:rsidRPr="00542DAE" w14:paraId="0092682F"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0592D8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2017</w:t>
            </w:r>
          </w:p>
        </w:tc>
        <w:tc>
          <w:tcPr>
            <w:tcW w:w="768" w:type="dxa"/>
            <w:tcBorders>
              <w:top w:val="nil"/>
              <w:left w:val="nil"/>
              <w:bottom w:val="nil"/>
              <w:right w:val="single" w:sz="4" w:space="0" w:color="auto"/>
            </w:tcBorders>
            <w:shd w:val="clear" w:color="auto" w:fill="auto"/>
            <w:noWrap/>
            <w:vAlign w:val="center"/>
            <w:hideMark/>
          </w:tcPr>
          <w:p w14:paraId="6833692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17550AD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110.7</w:t>
            </w:r>
          </w:p>
        </w:tc>
        <w:tc>
          <w:tcPr>
            <w:tcW w:w="660" w:type="dxa"/>
            <w:tcBorders>
              <w:top w:val="single" w:sz="4" w:space="0" w:color="auto"/>
              <w:left w:val="nil"/>
              <w:bottom w:val="nil"/>
              <w:right w:val="nil"/>
            </w:tcBorders>
            <w:shd w:val="clear" w:color="auto" w:fill="auto"/>
            <w:noWrap/>
            <w:vAlign w:val="center"/>
            <w:hideMark/>
          </w:tcPr>
          <w:p w14:paraId="348D39D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109.7</w:t>
            </w:r>
          </w:p>
        </w:tc>
        <w:tc>
          <w:tcPr>
            <w:tcW w:w="660" w:type="dxa"/>
            <w:tcBorders>
              <w:top w:val="single" w:sz="4" w:space="0" w:color="auto"/>
              <w:left w:val="nil"/>
              <w:bottom w:val="nil"/>
              <w:right w:val="nil"/>
            </w:tcBorders>
            <w:shd w:val="clear" w:color="auto" w:fill="auto"/>
            <w:noWrap/>
            <w:vAlign w:val="center"/>
            <w:hideMark/>
          </w:tcPr>
          <w:p w14:paraId="28EFAF6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110.7</w:t>
            </w:r>
          </w:p>
        </w:tc>
        <w:tc>
          <w:tcPr>
            <w:tcW w:w="660" w:type="dxa"/>
            <w:tcBorders>
              <w:top w:val="single" w:sz="4" w:space="0" w:color="auto"/>
              <w:left w:val="nil"/>
              <w:bottom w:val="nil"/>
              <w:right w:val="nil"/>
            </w:tcBorders>
            <w:shd w:val="clear" w:color="auto" w:fill="auto"/>
            <w:noWrap/>
            <w:vAlign w:val="center"/>
            <w:hideMark/>
          </w:tcPr>
          <w:p w14:paraId="0E28461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110.6</w:t>
            </w:r>
          </w:p>
        </w:tc>
        <w:tc>
          <w:tcPr>
            <w:tcW w:w="660" w:type="dxa"/>
            <w:tcBorders>
              <w:top w:val="single" w:sz="4" w:space="0" w:color="auto"/>
              <w:left w:val="nil"/>
              <w:bottom w:val="nil"/>
              <w:right w:val="nil"/>
            </w:tcBorders>
            <w:shd w:val="clear" w:color="000000" w:fill="C4D79B"/>
            <w:noWrap/>
            <w:vAlign w:val="center"/>
            <w:hideMark/>
          </w:tcPr>
          <w:p w14:paraId="3A1624D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111.0</w:t>
            </w:r>
          </w:p>
        </w:tc>
        <w:tc>
          <w:tcPr>
            <w:tcW w:w="660" w:type="dxa"/>
            <w:tcBorders>
              <w:top w:val="single" w:sz="4" w:space="0" w:color="auto"/>
              <w:left w:val="nil"/>
              <w:bottom w:val="nil"/>
              <w:right w:val="nil"/>
            </w:tcBorders>
            <w:shd w:val="clear" w:color="auto" w:fill="auto"/>
            <w:noWrap/>
            <w:vAlign w:val="center"/>
            <w:hideMark/>
          </w:tcPr>
          <w:p w14:paraId="7E8F49C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111.2</w:t>
            </w:r>
          </w:p>
        </w:tc>
        <w:tc>
          <w:tcPr>
            <w:tcW w:w="660" w:type="dxa"/>
            <w:tcBorders>
              <w:top w:val="single" w:sz="4" w:space="0" w:color="auto"/>
              <w:left w:val="nil"/>
              <w:bottom w:val="nil"/>
              <w:right w:val="nil"/>
            </w:tcBorders>
            <w:shd w:val="clear" w:color="auto" w:fill="auto"/>
            <w:noWrap/>
            <w:vAlign w:val="center"/>
            <w:hideMark/>
          </w:tcPr>
          <w:p w14:paraId="5A0F428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111.2</w:t>
            </w:r>
          </w:p>
        </w:tc>
        <w:tc>
          <w:tcPr>
            <w:tcW w:w="660" w:type="dxa"/>
            <w:tcBorders>
              <w:top w:val="single" w:sz="4" w:space="0" w:color="auto"/>
              <w:left w:val="nil"/>
              <w:bottom w:val="nil"/>
              <w:right w:val="nil"/>
            </w:tcBorders>
            <w:shd w:val="clear" w:color="auto" w:fill="auto"/>
            <w:noWrap/>
            <w:vAlign w:val="center"/>
            <w:hideMark/>
          </w:tcPr>
          <w:p w14:paraId="1678BF1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111.6</w:t>
            </w:r>
          </w:p>
        </w:tc>
        <w:tc>
          <w:tcPr>
            <w:tcW w:w="660" w:type="dxa"/>
            <w:tcBorders>
              <w:top w:val="single" w:sz="4" w:space="0" w:color="auto"/>
              <w:left w:val="nil"/>
              <w:bottom w:val="nil"/>
              <w:right w:val="nil"/>
            </w:tcBorders>
            <w:shd w:val="clear" w:color="auto" w:fill="auto"/>
            <w:noWrap/>
            <w:vAlign w:val="center"/>
            <w:hideMark/>
          </w:tcPr>
          <w:p w14:paraId="3148959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111.9</w:t>
            </w:r>
          </w:p>
        </w:tc>
        <w:tc>
          <w:tcPr>
            <w:tcW w:w="660" w:type="dxa"/>
            <w:tcBorders>
              <w:top w:val="single" w:sz="4" w:space="0" w:color="auto"/>
              <w:left w:val="nil"/>
              <w:bottom w:val="nil"/>
              <w:right w:val="nil"/>
            </w:tcBorders>
            <w:shd w:val="clear" w:color="auto" w:fill="auto"/>
            <w:noWrap/>
            <w:vAlign w:val="center"/>
            <w:hideMark/>
          </w:tcPr>
          <w:p w14:paraId="489FF52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112.0</w:t>
            </w:r>
          </w:p>
        </w:tc>
        <w:tc>
          <w:tcPr>
            <w:tcW w:w="660" w:type="dxa"/>
            <w:tcBorders>
              <w:top w:val="single" w:sz="4" w:space="0" w:color="auto"/>
              <w:left w:val="nil"/>
              <w:bottom w:val="nil"/>
              <w:right w:val="nil"/>
            </w:tcBorders>
            <w:shd w:val="clear" w:color="auto" w:fill="auto"/>
            <w:noWrap/>
            <w:vAlign w:val="center"/>
            <w:hideMark/>
          </w:tcPr>
          <w:p w14:paraId="3B8CF2E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112.4</w:t>
            </w:r>
          </w:p>
        </w:tc>
        <w:tc>
          <w:tcPr>
            <w:tcW w:w="668" w:type="dxa"/>
            <w:tcBorders>
              <w:top w:val="single" w:sz="4" w:space="0" w:color="auto"/>
              <w:left w:val="nil"/>
              <w:bottom w:val="nil"/>
              <w:right w:val="single" w:sz="4" w:space="0" w:color="auto"/>
            </w:tcBorders>
            <w:shd w:val="clear" w:color="auto" w:fill="auto"/>
            <w:noWrap/>
            <w:vAlign w:val="center"/>
            <w:hideMark/>
          </w:tcPr>
          <w:p w14:paraId="2950171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112.2</w:t>
            </w:r>
          </w:p>
        </w:tc>
      </w:tr>
      <w:tr w:rsidR="00542DAE" w:rsidRPr="00542DAE" w14:paraId="6B3BDE82"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0BB3879A"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0165DF1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3C2C208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3E9A35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352C33B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7BC80D8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44BADF8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01E644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8FB06D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1430FC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4C1D1D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A9BD89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7D09DC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8" w:type="dxa"/>
            <w:tcBorders>
              <w:top w:val="nil"/>
              <w:left w:val="nil"/>
              <w:bottom w:val="nil"/>
              <w:right w:val="single" w:sz="4" w:space="0" w:color="auto"/>
            </w:tcBorders>
            <w:shd w:val="clear" w:color="auto" w:fill="auto"/>
            <w:noWrap/>
            <w:vAlign w:val="center"/>
            <w:hideMark/>
          </w:tcPr>
          <w:p w14:paraId="59429AD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r>
      <w:tr w:rsidR="00542DAE" w:rsidRPr="00542DAE" w14:paraId="0B1E7147"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72D41357"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4CF6E30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36701EB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0658366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012B6C3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79E3B50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000000" w:fill="C4D79B"/>
            <w:noWrap/>
            <w:vAlign w:val="center"/>
            <w:hideMark/>
          </w:tcPr>
          <w:p w14:paraId="2FA3A93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49FEE9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768FD1A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066A7DC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3E684F9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2C1A62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1A0FE14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1.7</w:t>
            </w:r>
          </w:p>
        </w:tc>
        <w:tc>
          <w:tcPr>
            <w:tcW w:w="668" w:type="dxa"/>
            <w:tcBorders>
              <w:top w:val="nil"/>
              <w:left w:val="nil"/>
              <w:bottom w:val="nil"/>
              <w:right w:val="single" w:sz="4" w:space="0" w:color="auto"/>
            </w:tcBorders>
            <w:shd w:val="clear" w:color="auto" w:fill="auto"/>
            <w:noWrap/>
            <w:vAlign w:val="center"/>
            <w:hideMark/>
          </w:tcPr>
          <w:p w14:paraId="6E42936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0.9</w:t>
            </w:r>
          </w:p>
        </w:tc>
      </w:tr>
      <w:tr w:rsidR="00542DAE" w:rsidRPr="00542DAE" w14:paraId="4E4BEA7C" w14:textId="77777777" w:rsidTr="00542DAE">
        <w:trPr>
          <w:trHeight w:val="222"/>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9EC589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2018</w:t>
            </w:r>
          </w:p>
        </w:tc>
        <w:tc>
          <w:tcPr>
            <w:tcW w:w="768" w:type="dxa"/>
            <w:tcBorders>
              <w:top w:val="nil"/>
              <w:left w:val="nil"/>
              <w:bottom w:val="nil"/>
              <w:right w:val="single" w:sz="4" w:space="0" w:color="auto"/>
            </w:tcBorders>
            <w:shd w:val="clear" w:color="auto" w:fill="auto"/>
            <w:noWrap/>
            <w:vAlign w:val="center"/>
            <w:hideMark/>
          </w:tcPr>
          <w:p w14:paraId="6B0F10E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3C08B11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112.3</w:t>
            </w:r>
          </w:p>
        </w:tc>
        <w:tc>
          <w:tcPr>
            <w:tcW w:w="660" w:type="dxa"/>
            <w:tcBorders>
              <w:top w:val="single" w:sz="4" w:space="0" w:color="auto"/>
              <w:left w:val="nil"/>
              <w:bottom w:val="nil"/>
              <w:right w:val="nil"/>
            </w:tcBorders>
            <w:shd w:val="clear" w:color="auto" w:fill="auto"/>
            <w:noWrap/>
            <w:vAlign w:val="center"/>
            <w:hideMark/>
          </w:tcPr>
          <w:p w14:paraId="347F396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112.9</w:t>
            </w:r>
          </w:p>
        </w:tc>
        <w:tc>
          <w:tcPr>
            <w:tcW w:w="660" w:type="dxa"/>
            <w:tcBorders>
              <w:top w:val="single" w:sz="4" w:space="0" w:color="auto"/>
              <w:left w:val="nil"/>
              <w:bottom w:val="nil"/>
              <w:right w:val="nil"/>
            </w:tcBorders>
            <w:shd w:val="clear" w:color="auto" w:fill="auto"/>
            <w:noWrap/>
            <w:vAlign w:val="center"/>
            <w:hideMark/>
          </w:tcPr>
          <w:p w14:paraId="0FC9905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113.9</w:t>
            </w:r>
          </w:p>
        </w:tc>
        <w:tc>
          <w:tcPr>
            <w:tcW w:w="660" w:type="dxa"/>
            <w:tcBorders>
              <w:top w:val="single" w:sz="4" w:space="0" w:color="auto"/>
              <w:left w:val="nil"/>
              <w:bottom w:val="nil"/>
              <w:right w:val="nil"/>
            </w:tcBorders>
            <w:shd w:val="clear" w:color="auto" w:fill="auto"/>
            <w:noWrap/>
            <w:vAlign w:val="center"/>
            <w:hideMark/>
          </w:tcPr>
          <w:p w14:paraId="42B3195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114.6</w:t>
            </w:r>
          </w:p>
        </w:tc>
        <w:tc>
          <w:tcPr>
            <w:tcW w:w="660" w:type="dxa"/>
            <w:tcBorders>
              <w:top w:val="single" w:sz="4" w:space="0" w:color="auto"/>
              <w:left w:val="nil"/>
              <w:bottom w:val="nil"/>
              <w:right w:val="nil"/>
            </w:tcBorders>
            <w:shd w:val="clear" w:color="000000" w:fill="C4D79B"/>
            <w:noWrap/>
            <w:vAlign w:val="center"/>
            <w:hideMark/>
          </w:tcPr>
          <w:p w14:paraId="6BE11B1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115.0</w:t>
            </w:r>
          </w:p>
        </w:tc>
        <w:tc>
          <w:tcPr>
            <w:tcW w:w="660" w:type="dxa"/>
            <w:tcBorders>
              <w:top w:val="single" w:sz="4" w:space="0" w:color="auto"/>
              <w:left w:val="nil"/>
              <w:bottom w:val="nil"/>
              <w:right w:val="nil"/>
            </w:tcBorders>
            <w:shd w:val="clear" w:color="auto" w:fill="auto"/>
            <w:noWrap/>
            <w:vAlign w:val="center"/>
            <w:hideMark/>
          </w:tcPr>
          <w:p w14:paraId="35D9296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115.2</w:t>
            </w:r>
          </w:p>
        </w:tc>
        <w:tc>
          <w:tcPr>
            <w:tcW w:w="660" w:type="dxa"/>
            <w:tcBorders>
              <w:top w:val="single" w:sz="4" w:space="0" w:color="auto"/>
              <w:left w:val="nil"/>
              <w:bottom w:val="nil"/>
              <w:right w:val="nil"/>
            </w:tcBorders>
            <w:shd w:val="clear" w:color="auto" w:fill="auto"/>
            <w:noWrap/>
            <w:vAlign w:val="center"/>
            <w:hideMark/>
          </w:tcPr>
          <w:p w14:paraId="6717465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115.3</w:t>
            </w:r>
          </w:p>
        </w:tc>
        <w:tc>
          <w:tcPr>
            <w:tcW w:w="660" w:type="dxa"/>
            <w:tcBorders>
              <w:top w:val="single" w:sz="4" w:space="0" w:color="auto"/>
              <w:left w:val="nil"/>
              <w:bottom w:val="nil"/>
              <w:right w:val="nil"/>
            </w:tcBorders>
            <w:shd w:val="clear" w:color="auto" w:fill="auto"/>
            <w:noWrap/>
            <w:vAlign w:val="center"/>
            <w:hideMark/>
          </w:tcPr>
          <w:p w14:paraId="02F2483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115.4</w:t>
            </w:r>
          </w:p>
        </w:tc>
        <w:tc>
          <w:tcPr>
            <w:tcW w:w="660" w:type="dxa"/>
            <w:tcBorders>
              <w:top w:val="single" w:sz="4" w:space="0" w:color="auto"/>
              <w:left w:val="nil"/>
              <w:bottom w:val="nil"/>
              <w:right w:val="nil"/>
            </w:tcBorders>
            <w:shd w:val="clear" w:color="auto" w:fill="auto"/>
            <w:noWrap/>
            <w:vAlign w:val="center"/>
            <w:hideMark/>
          </w:tcPr>
          <w:p w14:paraId="23C9C3F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115.0</w:t>
            </w:r>
          </w:p>
        </w:tc>
        <w:tc>
          <w:tcPr>
            <w:tcW w:w="660" w:type="dxa"/>
            <w:tcBorders>
              <w:top w:val="single" w:sz="4" w:space="0" w:color="auto"/>
              <w:left w:val="nil"/>
              <w:bottom w:val="nil"/>
              <w:right w:val="nil"/>
            </w:tcBorders>
            <w:shd w:val="clear" w:color="auto" w:fill="auto"/>
            <w:noWrap/>
            <w:vAlign w:val="center"/>
            <w:hideMark/>
          </w:tcPr>
          <w:p w14:paraId="0E70C8D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115.3</w:t>
            </w:r>
          </w:p>
        </w:tc>
        <w:tc>
          <w:tcPr>
            <w:tcW w:w="660" w:type="dxa"/>
            <w:tcBorders>
              <w:top w:val="single" w:sz="4" w:space="0" w:color="auto"/>
              <w:left w:val="nil"/>
              <w:bottom w:val="nil"/>
              <w:right w:val="nil"/>
            </w:tcBorders>
            <w:shd w:val="clear" w:color="auto" w:fill="auto"/>
            <w:noWrap/>
            <w:vAlign w:val="center"/>
            <w:hideMark/>
          </w:tcPr>
          <w:p w14:paraId="17D570E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115.9</w:t>
            </w:r>
          </w:p>
        </w:tc>
        <w:tc>
          <w:tcPr>
            <w:tcW w:w="668" w:type="dxa"/>
            <w:tcBorders>
              <w:top w:val="single" w:sz="4" w:space="0" w:color="auto"/>
              <w:left w:val="nil"/>
              <w:bottom w:val="nil"/>
              <w:right w:val="single" w:sz="4" w:space="0" w:color="auto"/>
            </w:tcBorders>
            <w:shd w:val="clear" w:color="auto" w:fill="auto"/>
            <w:noWrap/>
            <w:vAlign w:val="center"/>
            <w:hideMark/>
          </w:tcPr>
          <w:p w14:paraId="7258A8A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115.8</w:t>
            </w:r>
          </w:p>
        </w:tc>
      </w:tr>
      <w:tr w:rsidR="00542DAE" w:rsidRPr="00542DAE" w14:paraId="5ECB0211" w14:textId="77777777" w:rsidTr="00542DAE">
        <w:trPr>
          <w:trHeight w:val="222"/>
        </w:trPr>
        <w:tc>
          <w:tcPr>
            <w:tcW w:w="676" w:type="dxa"/>
            <w:vMerge/>
            <w:tcBorders>
              <w:top w:val="single" w:sz="4" w:space="0" w:color="auto"/>
              <w:left w:val="single" w:sz="4" w:space="0" w:color="auto"/>
              <w:bottom w:val="single" w:sz="4" w:space="0" w:color="000000"/>
              <w:right w:val="nil"/>
            </w:tcBorders>
            <w:vAlign w:val="center"/>
            <w:hideMark/>
          </w:tcPr>
          <w:p w14:paraId="516F77C7"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3C52FA3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5656D40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C119AB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A6832F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7A78368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000000" w:fill="C4D79B"/>
            <w:noWrap/>
            <w:vAlign w:val="center"/>
            <w:hideMark/>
          </w:tcPr>
          <w:p w14:paraId="70D18C9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20CA20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9B0C08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CD7010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F4EC79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C4C2DF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18D5B5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0.5</w:t>
            </w:r>
          </w:p>
        </w:tc>
        <w:tc>
          <w:tcPr>
            <w:tcW w:w="668" w:type="dxa"/>
            <w:tcBorders>
              <w:top w:val="nil"/>
              <w:left w:val="nil"/>
              <w:bottom w:val="nil"/>
              <w:right w:val="single" w:sz="4" w:space="0" w:color="auto"/>
            </w:tcBorders>
            <w:shd w:val="clear" w:color="auto" w:fill="auto"/>
            <w:noWrap/>
            <w:vAlign w:val="center"/>
            <w:hideMark/>
          </w:tcPr>
          <w:p w14:paraId="66F4F79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r>
      <w:tr w:rsidR="00542DAE" w:rsidRPr="00542DAE" w14:paraId="05EC17E1" w14:textId="77777777" w:rsidTr="00542DAE">
        <w:trPr>
          <w:trHeight w:val="210"/>
        </w:trPr>
        <w:tc>
          <w:tcPr>
            <w:tcW w:w="676" w:type="dxa"/>
            <w:vMerge/>
            <w:tcBorders>
              <w:top w:val="single" w:sz="4" w:space="0" w:color="auto"/>
              <w:left w:val="single" w:sz="4" w:space="0" w:color="auto"/>
              <w:bottom w:val="single" w:sz="4" w:space="0" w:color="000000"/>
              <w:right w:val="nil"/>
            </w:tcBorders>
            <w:vAlign w:val="center"/>
            <w:hideMark/>
          </w:tcPr>
          <w:p w14:paraId="2D1B3871"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085120F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2B6A7C5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2F321DC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30AD504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2.9</w:t>
            </w:r>
          </w:p>
        </w:tc>
        <w:tc>
          <w:tcPr>
            <w:tcW w:w="660" w:type="dxa"/>
            <w:tcBorders>
              <w:top w:val="nil"/>
              <w:left w:val="nil"/>
              <w:bottom w:val="nil"/>
              <w:right w:val="nil"/>
            </w:tcBorders>
            <w:shd w:val="clear" w:color="auto" w:fill="auto"/>
            <w:noWrap/>
            <w:vAlign w:val="center"/>
            <w:hideMark/>
          </w:tcPr>
          <w:p w14:paraId="03ECBC3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3.7</w:t>
            </w:r>
          </w:p>
        </w:tc>
        <w:tc>
          <w:tcPr>
            <w:tcW w:w="660" w:type="dxa"/>
            <w:tcBorders>
              <w:top w:val="nil"/>
              <w:left w:val="nil"/>
              <w:bottom w:val="nil"/>
              <w:right w:val="nil"/>
            </w:tcBorders>
            <w:shd w:val="clear" w:color="000000" w:fill="C4D79B"/>
            <w:noWrap/>
            <w:vAlign w:val="center"/>
            <w:hideMark/>
          </w:tcPr>
          <w:p w14:paraId="2BFD1AF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3.6</w:t>
            </w:r>
          </w:p>
        </w:tc>
        <w:tc>
          <w:tcPr>
            <w:tcW w:w="660" w:type="dxa"/>
            <w:tcBorders>
              <w:top w:val="nil"/>
              <w:left w:val="nil"/>
              <w:bottom w:val="nil"/>
              <w:right w:val="nil"/>
            </w:tcBorders>
            <w:shd w:val="clear" w:color="auto" w:fill="auto"/>
            <w:noWrap/>
            <w:vAlign w:val="center"/>
            <w:hideMark/>
          </w:tcPr>
          <w:p w14:paraId="28013EA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3.6</w:t>
            </w:r>
          </w:p>
        </w:tc>
        <w:tc>
          <w:tcPr>
            <w:tcW w:w="660" w:type="dxa"/>
            <w:tcBorders>
              <w:top w:val="nil"/>
              <w:left w:val="nil"/>
              <w:bottom w:val="nil"/>
              <w:right w:val="nil"/>
            </w:tcBorders>
            <w:shd w:val="clear" w:color="auto" w:fill="auto"/>
            <w:noWrap/>
            <w:vAlign w:val="center"/>
            <w:hideMark/>
          </w:tcPr>
          <w:p w14:paraId="52CDE90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3.8</w:t>
            </w:r>
          </w:p>
        </w:tc>
        <w:tc>
          <w:tcPr>
            <w:tcW w:w="660" w:type="dxa"/>
            <w:tcBorders>
              <w:top w:val="nil"/>
              <w:left w:val="nil"/>
              <w:bottom w:val="nil"/>
              <w:right w:val="nil"/>
            </w:tcBorders>
            <w:shd w:val="clear" w:color="auto" w:fill="auto"/>
            <w:noWrap/>
            <w:vAlign w:val="center"/>
            <w:hideMark/>
          </w:tcPr>
          <w:p w14:paraId="4071B99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3.4</w:t>
            </w:r>
          </w:p>
        </w:tc>
        <w:tc>
          <w:tcPr>
            <w:tcW w:w="660" w:type="dxa"/>
            <w:tcBorders>
              <w:top w:val="nil"/>
              <w:left w:val="nil"/>
              <w:bottom w:val="nil"/>
              <w:right w:val="nil"/>
            </w:tcBorders>
            <w:shd w:val="clear" w:color="auto" w:fill="auto"/>
            <w:noWrap/>
            <w:vAlign w:val="center"/>
            <w:hideMark/>
          </w:tcPr>
          <w:p w14:paraId="65EA907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72B58D5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39FCD19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3.2</w:t>
            </w:r>
          </w:p>
        </w:tc>
        <w:tc>
          <w:tcPr>
            <w:tcW w:w="668" w:type="dxa"/>
            <w:tcBorders>
              <w:top w:val="nil"/>
              <w:left w:val="nil"/>
              <w:bottom w:val="nil"/>
              <w:right w:val="single" w:sz="4" w:space="0" w:color="auto"/>
            </w:tcBorders>
            <w:shd w:val="clear" w:color="auto" w:fill="auto"/>
            <w:noWrap/>
            <w:vAlign w:val="center"/>
            <w:hideMark/>
          </w:tcPr>
          <w:p w14:paraId="33029A7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3.1</w:t>
            </w:r>
          </w:p>
        </w:tc>
      </w:tr>
      <w:tr w:rsidR="00542DAE" w:rsidRPr="00542DAE" w14:paraId="40B4DB61" w14:textId="77777777" w:rsidTr="00542DAE">
        <w:trPr>
          <w:trHeight w:val="210"/>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5CCE0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2019</w:t>
            </w:r>
          </w:p>
        </w:tc>
        <w:tc>
          <w:tcPr>
            <w:tcW w:w="768" w:type="dxa"/>
            <w:tcBorders>
              <w:top w:val="nil"/>
              <w:left w:val="nil"/>
              <w:bottom w:val="nil"/>
              <w:right w:val="single" w:sz="4" w:space="0" w:color="auto"/>
            </w:tcBorders>
            <w:shd w:val="clear" w:color="auto" w:fill="auto"/>
            <w:noWrap/>
            <w:vAlign w:val="center"/>
            <w:hideMark/>
          </w:tcPr>
          <w:p w14:paraId="7C57F03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54A6CDA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115.7</w:t>
            </w:r>
          </w:p>
        </w:tc>
        <w:tc>
          <w:tcPr>
            <w:tcW w:w="660" w:type="dxa"/>
            <w:tcBorders>
              <w:top w:val="single" w:sz="4" w:space="0" w:color="auto"/>
              <w:left w:val="nil"/>
              <w:bottom w:val="nil"/>
              <w:right w:val="nil"/>
            </w:tcBorders>
            <w:shd w:val="clear" w:color="auto" w:fill="auto"/>
            <w:noWrap/>
            <w:vAlign w:val="center"/>
            <w:hideMark/>
          </w:tcPr>
          <w:p w14:paraId="1E2DA7D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117.2</w:t>
            </w:r>
          </w:p>
        </w:tc>
        <w:tc>
          <w:tcPr>
            <w:tcW w:w="660" w:type="dxa"/>
            <w:tcBorders>
              <w:top w:val="single" w:sz="4" w:space="0" w:color="auto"/>
              <w:left w:val="nil"/>
              <w:bottom w:val="nil"/>
              <w:right w:val="nil"/>
            </w:tcBorders>
            <w:shd w:val="clear" w:color="auto" w:fill="auto"/>
            <w:noWrap/>
            <w:vAlign w:val="center"/>
            <w:hideMark/>
          </w:tcPr>
          <w:p w14:paraId="588CA0D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117.4</w:t>
            </w:r>
          </w:p>
        </w:tc>
        <w:tc>
          <w:tcPr>
            <w:tcW w:w="660" w:type="dxa"/>
            <w:tcBorders>
              <w:top w:val="single" w:sz="4" w:space="0" w:color="auto"/>
              <w:left w:val="nil"/>
              <w:bottom w:val="nil"/>
              <w:right w:val="nil"/>
            </w:tcBorders>
            <w:shd w:val="clear" w:color="auto" w:fill="auto"/>
            <w:noWrap/>
            <w:vAlign w:val="center"/>
            <w:hideMark/>
          </w:tcPr>
          <w:p w14:paraId="2603721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117.9</w:t>
            </w:r>
          </w:p>
        </w:tc>
        <w:tc>
          <w:tcPr>
            <w:tcW w:w="660" w:type="dxa"/>
            <w:tcBorders>
              <w:top w:val="single" w:sz="4" w:space="0" w:color="auto"/>
              <w:left w:val="nil"/>
              <w:bottom w:val="nil"/>
              <w:right w:val="nil"/>
            </w:tcBorders>
            <w:shd w:val="clear" w:color="000000" w:fill="C4D79B"/>
            <w:noWrap/>
            <w:vAlign w:val="center"/>
            <w:hideMark/>
          </w:tcPr>
          <w:p w14:paraId="6D3C73E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117.7</w:t>
            </w:r>
          </w:p>
        </w:tc>
        <w:tc>
          <w:tcPr>
            <w:tcW w:w="660" w:type="dxa"/>
            <w:tcBorders>
              <w:top w:val="single" w:sz="4" w:space="0" w:color="auto"/>
              <w:left w:val="nil"/>
              <w:bottom w:val="nil"/>
              <w:right w:val="nil"/>
            </w:tcBorders>
            <w:shd w:val="clear" w:color="auto" w:fill="auto"/>
            <w:noWrap/>
            <w:vAlign w:val="center"/>
            <w:hideMark/>
          </w:tcPr>
          <w:p w14:paraId="4336804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117.7</w:t>
            </w:r>
          </w:p>
        </w:tc>
        <w:tc>
          <w:tcPr>
            <w:tcW w:w="660" w:type="dxa"/>
            <w:tcBorders>
              <w:top w:val="single" w:sz="4" w:space="0" w:color="auto"/>
              <w:left w:val="nil"/>
              <w:bottom w:val="nil"/>
              <w:right w:val="nil"/>
            </w:tcBorders>
            <w:shd w:val="clear" w:color="auto" w:fill="auto"/>
            <w:noWrap/>
            <w:vAlign w:val="center"/>
            <w:hideMark/>
          </w:tcPr>
          <w:p w14:paraId="1CE472F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117.8</w:t>
            </w:r>
          </w:p>
        </w:tc>
        <w:tc>
          <w:tcPr>
            <w:tcW w:w="660" w:type="dxa"/>
            <w:tcBorders>
              <w:top w:val="single" w:sz="4" w:space="0" w:color="auto"/>
              <w:left w:val="nil"/>
              <w:bottom w:val="nil"/>
              <w:right w:val="nil"/>
            </w:tcBorders>
            <w:shd w:val="clear" w:color="auto" w:fill="auto"/>
            <w:noWrap/>
            <w:vAlign w:val="center"/>
            <w:hideMark/>
          </w:tcPr>
          <w:p w14:paraId="031B770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118.5</w:t>
            </w:r>
          </w:p>
        </w:tc>
        <w:tc>
          <w:tcPr>
            <w:tcW w:w="660" w:type="dxa"/>
            <w:tcBorders>
              <w:top w:val="single" w:sz="4" w:space="0" w:color="auto"/>
              <w:left w:val="nil"/>
              <w:bottom w:val="nil"/>
              <w:right w:val="nil"/>
            </w:tcBorders>
            <w:shd w:val="clear" w:color="auto" w:fill="auto"/>
            <w:noWrap/>
            <w:vAlign w:val="center"/>
            <w:hideMark/>
          </w:tcPr>
          <w:p w14:paraId="4FB10BD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118.8</w:t>
            </w:r>
          </w:p>
        </w:tc>
        <w:tc>
          <w:tcPr>
            <w:tcW w:w="660" w:type="dxa"/>
            <w:tcBorders>
              <w:top w:val="single" w:sz="4" w:space="0" w:color="auto"/>
              <w:left w:val="nil"/>
              <w:bottom w:val="nil"/>
              <w:right w:val="nil"/>
            </w:tcBorders>
            <w:shd w:val="clear" w:color="auto" w:fill="auto"/>
            <w:noWrap/>
            <w:vAlign w:val="center"/>
            <w:hideMark/>
          </w:tcPr>
          <w:p w14:paraId="56205D4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119.1</w:t>
            </w:r>
          </w:p>
        </w:tc>
        <w:tc>
          <w:tcPr>
            <w:tcW w:w="660" w:type="dxa"/>
            <w:tcBorders>
              <w:top w:val="single" w:sz="4" w:space="0" w:color="auto"/>
              <w:left w:val="nil"/>
              <w:bottom w:val="nil"/>
              <w:right w:val="nil"/>
            </w:tcBorders>
            <w:shd w:val="clear" w:color="auto" w:fill="auto"/>
            <w:noWrap/>
            <w:vAlign w:val="center"/>
            <w:hideMark/>
          </w:tcPr>
          <w:p w14:paraId="32A818C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119.0</w:t>
            </w:r>
          </w:p>
        </w:tc>
        <w:tc>
          <w:tcPr>
            <w:tcW w:w="668" w:type="dxa"/>
            <w:tcBorders>
              <w:top w:val="single" w:sz="4" w:space="0" w:color="auto"/>
              <w:left w:val="nil"/>
              <w:bottom w:val="nil"/>
              <w:right w:val="single" w:sz="4" w:space="0" w:color="auto"/>
            </w:tcBorders>
            <w:shd w:val="clear" w:color="auto" w:fill="auto"/>
            <w:noWrap/>
            <w:vAlign w:val="center"/>
            <w:hideMark/>
          </w:tcPr>
          <w:p w14:paraId="75CC7BC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119.5</w:t>
            </w:r>
          </w:p>
        </w:tc>
      </w:tr>
      <w:tr w:rsidR="00542DAE" w:rsidRPr="00542DAE" w14:paraId="350BCCBC" w14:textId="77777777" w:rsidTr="00542DAE">
        <w:trPr>
          <w:trHeight w:val="210"/>
        </w:trPr>
        <w:tc>
          <w:tcPr>
            <w:tcW w:w="676" w:type="dxa"/>
            <w:vMerge/>
            <w:tcBorders>
              <w:top w:val="single" w:sz="4" w:space="0" w:color="auto"/>
              <w:left w:val="single" w:sz="4" w:space="0" w:color="auto"/>
              <w:bottom w:val="single" w:sz="4" w:space="0" w:color="000000"/>
              <w:right w:val="nil"/>
            </w:tcBorders>
            <w:vAlign w:val="center"/>
            <w:hideMark/>
          </w:tcPr>
          <w:p w14:paraId="7550F5AC"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3DEDB4B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633B3D7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2B25F7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005328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26FED8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3AF7823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44B910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208C9D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632F07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B404FD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D43A49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70D817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2C2C281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0.4</w:t>
            </w:r>
          </w:p>
        </w:tc>
      </w:tr>
      <w:tr w:rsidR="00542DAE" w:rsidRPr="00542DAE" w14:paraId="38C3E4BB" w14:textId="77777777" w:rsidTr="00542DAE">
        <w:trPr>
          <w:trHeight w:val="210"/>
        </w:trPr>
        <w:tc>
          <w:tcPr>
            <w:tcW w:w="676" w:type="dxa"/>
            <w:vMerge/>
            <w:tcBorders>
              <w:top w:val="single" w:sz="4" w:space="0" w:color="auto"/>
              <w:left w:val="single" w:sz="4" w:space="0" w:color="auto"/>
              <w:bottom w:val="single" w:sz="4" w:space="0" w:color="000000"/>
              <w:right w:val="nil"/>
            </w:tcBorders>
            <w:vAlign w:val="center"/>
            <w:hideMark/>
          </w:tcPr>
          <w:p w14:paraId="20BA06DD"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1BA6197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nil"/>
              <w:right w:val="nil"/>
            </w:tcBorders>
            <w:shd w:val="clear" w:color="auto" w:fill="auto"/>
            <w:noWrap/>
            <w:vAlign w:val="center"/>
            <w:hideMark/>
          </w:tcPr>
          <w:p w14:paraId="4E2BA12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7AD2347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3.8</w:t>
            </w:r>
          </w:p>
        </w:tc>
        <w:tc>
          <w:tcPr>
            <w:tcW w:w="660" w:type="dxa"/>
            <w:tcBorders>
              <w:top w:val="nil"/>
              <w:left w:val="nil"/>
              <w:bottom w:val="nil"/>
              <w:right w:val="nil"/>
            </w:tcBorders>
            <w:shd w:val="clear" w:color="auto" w:fill="auto"/>
            <w:noWrap/>
            <w:vAlign w:val="center"/>
            <w:hideMark/>
          </w:tcPr>
          <w:p w14:paraId="6D3407F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0022218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2.8</w:t>
            </w:r>
          </w:p>
        </w:tc>
        <w:tc>
          <w:tcPr>
            <w:tcW w:w="660" w:type="dxa"/>
            <w:tcBorders>
              <w:top w:val="nil"/>
              <w:left w:val="nil"/>
              <w:bottom w:val="nil"/>
              <w:right w:val="nil"/>
            </w:tcBorders>
            <w:shd w:val="clear" w:color="000000" w:fill="C4D79B"/>
            <w:noWrap/>
            <w:vAlign w:val="center"/>
            <w:hideMark/>
          </w:tcPr>
          <w:p w14:paraId="386D756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A3D310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788ECE8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995197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07FE7B3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3.3</w:t>
            </w:r>
          </w:p>
        </w:tc>
        <w:tc>
          <w:tcPr>
            <w:tcW w:w="660" w:type="dxa"/>
            <w:tcBorders>
              <w:top w:val="nil"/>
              <w:left w:val="nil"/>
              <w:bottom w:val="nil"/>
              <w:right w:val="nil"/>
            </w:tcBorders>
            <w:shd w:val="clear" w:color="auto" w:fill="auto"/>
            <w:noWrap/>
            <w:vAlign w:val="center"/>
            <w:hideMark/>
          </w:tcPr>
          <w:p w14:paraId="48CAB5E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3.3</w:t>
            </w:r>
          </w:p>
        </w:tc>
        <w:tc>
          <w:tcPr>
            <w:tcW w:w="660" w:type="dxa"/>
            <w:tcBorders>
              <w:top w:val="nil"/>
              <w:left w:val="nil"/>
              <w:bottom w:val="nil"/>
              <w:right w:val="nil"/>
            </w:tcBorders>
            <w:shd w:val="clear" w:color="auto" w:fill="auto"/>
            <w:noWrap/>
            <w:vAlign w:val="center"/>
            <w:hideMark/>
          </w:tcPr>
          <w:p w14:paraId="23B1BB4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2.7</w:t>
            </w:r>
          </w:p>
        </w:tc>
        <w:tc>
          <w:tcPr>
            <w:tcW w:w="668" w:type="dxa"/>
            <w:tcBorders>
              <w:top w:val="nil"/>
              <w:left w:val="nil"/>
              <w:bottom w:val="nil"/>
              <w:right w:val="single" w:sz="4" w:space="0" w:color="auto"/>
            </w:tcBorders>
            <w:shd w:val="clear" w:color="auto" w:fill="auto"/>
            <w:noWrap/>
            <w:vAlign w:val="center"/>
            <w:hideMark/>
          </w:tcPr>
          <w:p w14:paraId="746A9AD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3.2</w:t>
            </w:r>
          </w:p>
        </w:tc>
      </w:tr>
      <w:tr w:rsidR="00542DAE" w:rsidRPr="00542DAE" w14:paraId="02B3579D" w14:textId="77777777" w:rsidTr="00542DAE">
        <w:trPr>
          <w:trHeight w:val="210"/>
        </w:trPr>
        <w:tc>
          <w:tcPr>
            <w:tcW w:w="6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E2AA8A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2020</w:t>
            </w:r>
          </w:p>
        </w:tc>
        <w:tc>
          <w:tcPr>
            <w:tcW w:w="768" w:type="dxa"/>
            <w:tcBorders>
              <w:top w:val="nil"/>
              <w:left w:val="nil"/>
              <w:bottom w:val="nil"/>
              <w:right w:val="single" w:sz="4" w:space="0" w:color="auto"/>
            </w:tcBorders>
            <w:shd w:val="clear" w:color="auto" w:fill="auto"/>
            <w:noWrap/>
            <w:vAlign w:val="center"/>
            <w:hideMark/>
          </w:tcPr>
          <w:p w14:paraId="559617B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Índice</w:t>
            </w:r>
          </w:p>
        </w:tc>
        <w:tc>
          <w:tcPr>
            <w:tcW w:w="668" w:type="dxa"/>
            <w:tcBorders>
              <w:top w:val="single" w:sz="4" w:space="0" w:color="auto"/>
              <w:left w:val="nil"/>
              <w:bottom w:val="nil"/>
              <w:right w:val="nil"/>
            </w:tcBorders>
            <w:shd w:val="clear" w:color="auto" w:fill="auto"/>
            <w:noWrap/>
            <w:vAlign w:val="center"/>
            <w:hideMark/>
          </w:tcPr>
          <w:p w14:paraId="7A19A98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119.4</w:t>
            </w:r>
          </w:p>
        </w:tc>
        <w:tc>
          <w:tcPr>
            <w:tcW w:w="660" w:type="dxa"/>
            <w:tcBorders>
              <w:top w:val="single" w:sz="4" w:space="0" w:color="auto"/>
              <w:left w:val="nil"/>
              <w:bottom w:val="nil"/>
              <w:right w:val="nil"/>
            </w:tcBorders>
            <w:shd w:val="clear" w:color="auto" w:fill="auto"/>
            <w:noWrap/>
            <w:vAlign w:val="center"/>
            <w:hideMark/>
          </w:tcPr>
          <w:p w14:paraId="4589107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120.2</w:t>
            </w:r>
          </w:p>
        </w:tc>
        <w:tc>
          <w:tcPr>
            <w:tcW w:w="660" w:type="dxa"/>
            <w:tcBorders>
              <w:top w:val="single" w:sz="4" w:space="0" w:color="auto"/>
              <w:left w:val="nil"/>
              <w:bottom w:val="nil"/>
              <w:right w:val="nil"/>
            </w:tcBorders>
            <w:shd w:val="clear" w:color="auto" w:fill="auto"/>
            <w:noWrap/>
            <w:vAlign w:val="center"/>
            <w:hideMark/>
          </w:tcPr>
          <w:p w14:paraId="36493AB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116.4</w:t>
            </w:r>
          </w:p>
        </w:tc>
        <w:tc>
          <w:tcPr>
            <w:tcW w:w="660" w:type="dxa"/>
            <w:tcBorders>
              <w:top w:val="single" w:sz="4" w:space="0" w:color="auto"/>
              <w:left w:val="nil"/>
              <w:bottom w:val="nil"/>
              <w:right w:val="nil"/>
            </w:tcBorders>
            <w:shd w:val="clear" w:color="auto" w:fill="auto"/>
            <w:noWrap/>
            <w:vAlign w:val="center"/>
            <w:hideMark/>
          </w:tcPr>
          <w:p w14:paraId="325F1D2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111.7</w:t>
            </w:r>
          </w:p>
        </w:tc>
        <w:tc>
          <w:tcPr>
            <w:tcW w:w="660" w:type="dxa"/>
            <w:tcBorders>
              <w:top w:val="single" w:sz="4" w:space="0" w:color="auto"/>
              <w:left w:val="nil"/>
              <w:bottom w:val="nil"/>
              <w:right w:val="nil"/>
            </w:tcBorders>
            <w:shd w:val="clear" w:color="000000" w:fill="C4D79B"/>
            <w:noWrap/>
            <w:vAlign w:val="center"/>
            <w:hideMark/>
          </w:tcPr>
          <w:p w14:paraId="05EE5FB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106.2</w:t>
            </w:r>
          </w:p>
        </w:tc>
        <w:tc>
          <w:tcPr>
            <w:tcW w:w="660" w:type="dxa"/>
            <w:tcBorders>
              <w:top w:val="single" w:sz="4" w:space="0" w:color="auto"/>
              <w:left w:val="nil"/>
              <w:bottom w:val="nil"/>
              <w:right w:val="nil"/>
            </w:tcBorders>
            <w:shd w:val="clear" w:color="auto" w:fill="auto"/>
            <w:noWrap/>
            <w:vAlign w:val="center"/>
            <w:hideMark/>
          </w:tcPr>
          <w:p w14:paraId="24DB0E08"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02B609E0"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1CA575FF"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12AC842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7F56350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293CAF6C"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8" w:type="dxa"/>
            <w:tcBorders>
              <w:top w:val="single" w:sz="4" w:space="0" w:color="auto"/>
              <w:left w:val="nil"/>
              <w:bottom w:val="nil"/>
              <w:right w:val="single" w:sz="4" w:space="0" w:color="auto"/>
            </w:tcBorders>
            <w:shd w:val="clear" w:color="auto" w:fill="auto"/>
            <w:noWrap/>
            <w:vAlign w:val="center"/>
            <w:hideMark/>
          </w:tcPr>
          <w:p w14:paraId="18229B7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r>
      <w:tr w:rsidR="00542DAE" w:rsidRPr="00542DAE" w14:paraId="476B7824" w14:textId="77777777" w:rsidTr="00542DAE">
        <w:trPr>
          <w:trHeight w:val="210"/>
        </w:trPr>
        <w:tc>
          <w:tcPr>
            <w:tcW w:w="676" w:type="dxa"/>
            <w:vMerge/>
            <w:tcBorders>
              <w:top w:val="single" w:sz="4" w:space="0" w:color="auto"/>
              <w:left w:val="single" w:sz="4" w:space="0" w:color="auto"/>
              <w:bottom w:val="single" w:sz="4" w:space="0" w:color="000000"/>
              <w:right w:val="nil"/>
            </w:tcBorders>
            <w:vAlign w:val="center"/>
            <w:hideMark/>
          </w:tcPr>
          <w:p w14:paraId="3534CFAB"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nil"/>
              <w:right w:val="single" w:sz="4" w:space="0" w:color="auto"/>
            </w:tcBorders>
            <w:shd w:val="clear" w:color="auto" w:fill="auto"/>
            <w:noWrap/>
            <w:vAlign w:val="center"/>
            <w:hideMark/>
          </w:tcPr>
          <w:p w14:paraId="460F9E5A"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VM %</w:t>
            </w:r>
          </w:p>
        </w:tc>
        <w:tc>
          <w:tcPr>
            <w:tcW w:w="668" w:type="dxa"/>
            <w:tcBorders>
              <w:top w:val="nil"/>
              <w:left w:val="nil"/>
              <w:bottom w:val="nil"/>
              <w:right w:val="nil"/>
            </w:tcBorders>
            <w:shd w:val="clear" w:color="auto" w:fill="auto"/>
            <w:noWrap/>
            <w:vAlign w:val="center"/>
            <w:hideMark/>
          </w:tcPr>
          <w:p w14:paraId="603ABB4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82EC7A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45ADB14D"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-3.2</w:t>
            </w:r>
          </w:p>
        </w:tc>
        <w:tc>
          <w:tcPr>
            <w:tcW w:w="660" w:type="dxa"/>
            <w:tcBorders>
              <w:top w:val="nil"/>
              <w:left w:val="nil"/>
              <w:bottom w:val="nil"/>
              <w:right w:val="nil"/>
            </w:tcBorders>
            <w:shd w:val="clear" w:color="auto" w:fill="auto"/>
            <w:noWrap/>
            <w:vAlign w:val="center"/>
            <w:hideMark/>
          </w:tcPr>
          <w:p w14:paraId="33779ED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-4.0</w:t>
            </w:r>
          </w:p>
        </w:tc>
        <w:tc>
          <w:tcPr>
            <w:tcW w:w="660" w:type="dxa"/>
            <w:tcBorders>
              <w:top w:val="nil"/>
              <w:left w:val="nil"/>
              <w:bottom w:val="nil"/>
              <w:right w:val="nil"/>
            </w:tcBorders>
            <w:shd w:val="clear" w:color="000000" w:fill="C4D79B"/>
            <w:noWrap/>
            <w:vAlign w:val="center"/>
            <w:hideMark/>
          </w:tcPr>
          <w:p w14:paraId="0F150C4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-4.9</w:t>
            </w:r>
          </w:p>
        </w:tc>
        <w:tc>
          <w:tcPr>
            <w:tcW w:w="660" w:type="dxa"/>
            <w:tcBorders>
              <w:top w:val="nil"/>
              <w:left w:val="nil"/>
              <w:bottom w:val="nil"/>
              <w:right w:val="nil"/>
            </w:tcBorders>
            <w:shd w:val="clear" w:color="auto" w:fill="auto"/>
            <w:noWrap/>
            <w:vAlign w:val="center"/>
            <w:hideMark/>
          </w:tcPr>
          <w:p w14:paraId="3584AA6E"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p>
        </w:tc>
        <w:tc>
          <w:tcPr>
            <w:tcW w:w="660" w:type="dxa"/>
            <w:tcBorders>
              <w:top w:val="nil"/>
              <w:left w:val="nil"/>
              <w:bottom w:val="nil"/>
              <w:right w:val="nil"/>
            </w:tcBorders>
            <w:shd w:val="clear" w:color="auto" w:fill="auto"/>
            <w:noWrap/>
            <w:vAlign w:val="center"/>
            <w:hideMark/>
          </w:tcPr>
          <w:p w14:paraId="3D8AFF00" w14:textId="77777777" w:rsidR="00542DAE" w:rsidRPr="00542DAE" w:rsidRDefault="00542DAE" w:rsidP="00542DA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18656FF4" w14:textId="77777777" w:rsidR="00542DAE" w:rsidRPr="00542DAE" w:rsidRDefault="00542DAE" w:rsidP="00542DA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0684AC06" w14:textId="77777777" w:rsidR="00542DAE" w:rsidRPr="00542DAE" w:rsidRDefault="00542DAE" w:rsidP="00542DA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2AC8277D" w14:textId="77777777" w:rsidR="00542DAE" w:rsidRPr="00542DAE" w:rsidRDefault="00542DAE" w:rsidP="00542DA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5B9FC0EC" w14:textId="77777777" w:rsidR="00542DAE" w:rsidRPr="00542DAE" w:rsidRDefault="00542DAE" w:rsidP="00542DAE">
            <w:pPr>
              <w:spacing w:after="0" w:line="240" w:lineRule="auto"/>
              <w:jc w:val="center"/>
              <w:rPr>
                <w:rFonts w:ascii="Times New Roman" w:eastAsia="Times New Roman" w:hAnsi="Times New Roman" w:cs="Times New Roman"/>
                <w:sz w:val="20"/>
                <w:szCs w:val="20"/>
                <w:lang w:eastAsia="es-MX"/>
              </w:rPr>
            </w:pPr>
          </w:p>
        </w:tc>
        <w:tc>
          <w:tcPr>
            <w:tcW w:w="668" w:type="dxa"/>
            <w:tcBorders>
              <w:top w:val="nil"/>
              <w:left w:val="nil"/>
              <w:bottom w:val="nil"/>
              <w:right w:val="single" w:sz="4" w:space="0" w:color="auto"/>
            </w:tcBorders>
            <w:shd w:val="clear" w:color="auto" w:fill="auto"/>
            <w:noWrap/>
            <w:vAlign w:val="center"/>
            <w:hideMark/>
          </w:tcPr>
          <w:p w14:paraId="1AB907C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r>
      <w:tr w:rsidR="00542DAE" w:rsidRPr="00542DAE" w14:paraId="731F81AF" w14:textId="77777777" w:rsidTr="00542DAE">
        <w:trPr>
          <w:trHeight w:val="210"/>
        </w:trPr>
        <w:tc>
          <w:tcPr>
            <w:tcW w:w="676" w:type="dxa"/>
            <w:vMerge/>
            <w:tcBorders>
              <w:top w:val="single" w:sz="4" w:space="0" w:color="auto"/>
              <w:left w:val="single" w:sz="4" w:space="0" w:color="auto"/>
              <w:bottom w:val="single" w:sz="4" w:space="0" w:color="000000"/>
              <w:right w:val="nil"/>
            </w:tcBorders>
            <w:vAlign w:val="center"/>
            <w:hideMark/>
          </w:tcPr>
          <w:p w14:paraId="00ECCEAE" w14:textId="77777777" w:rsidR="00542DAE" w:rsidRPr="00542DAE" w:rsidRDefault="00542DAE" w:rsidP="00542DAE">
            <w:pPr>
              <w:spacing w:after="0" w:line="240" w:lineRule="auto"/>
              <w:rPr>
                <w:rFonts w:ascii="Arial" w:eastAsia="Times New Roman" w:hAnsi="Arial" w:cs="Arial"/>
                <w:color w:val="000000"/>
                <w:sz w:val="16"/>
                <w:szCs w:val="16"/>
                <w:lang w:eastAsia="es-MX"/>
              </w:rPr>
            </w:pPr>
          </w:p>
        </w:tc>
        <w:tc>
          <w:tcPr>
            <w:tcW w:w="768" w:type="dxa"/>
            <w:tcBorders>
              <w:top w:val="nil"/>
              <w:left w:val="nil"/>
              <w:bottom w:val="single" w:sz="4" w:space="0" w:color="auto"/>
              <w:right w:val="single" w:sz="4" w:space="0" w:color="auto"/>
            </w:tcBorders>
            <w:shd w:val="clear" w:color="auto" w:fill="auto"/>
            <w:noWrap/>
            <w:vAlign w:val="center"/>
            <w:hideMark/>
          </w:tcPr>
          <w:p w14:paraId="17C19546"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VA %</w:t>
            </w:r>
          </w:p>
        </w:tc>
        <w:tc>
          <w:tcPr>
            <w:tcW w:w="668" w:type="dxa"/>
            <w:tcBorders>
              <w:top w:val="nil"/>
              <w:left w:val="nil"/>
              <w:bottom w:val="single" w:sz="4" w:space="0" w:color="auto"/>
              <w:right w:val="nil"/>
            </w:tcBorders>
            <w:shd w:val="clear" w:color="auto" w:fill="auto"/>
            <w:noWrap/>
            <w:vAlign w:val="center"/>
            <w:hideMark/>
          </w:tcPr>
          <w:p w14:paraId="78884A6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3.1</w:t>
            </w:r>
          </w:p>
        </w:tc>
        <w:tc>
          <w:tcPr>
            <w:tcW w:w="660" w:type="dxa"/>
            <w:tcBorders>
              <w:top w:val="nil"/>
              <w:left w:val="nil"/>
              <w:bottom w:val="single" w:sz="4" w:space="0" w:color="auto"/>
              <w:right w:val="nil"/>
            </w:tcBorders>
            <w:shd w:val="clear" w:color="auto" w:fill="auto"/>
            <w:noWrap/>
            <w:vAlign w:val="center"/>
            <w:hideMark/>
          </w:tcPr>
          <w:p w14:paraId="1F9B9B64"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2FA5032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6876AF0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-5.2</w:t>
            </w:r>
          </w:p>
        </w:tc>
        <w:tc>
          <w:tcPr>
            <w:tcW w:w="660" w:type="dxa"/>
            <w:tcBorders>
              <w:top w:val="nil"/>
              <w:left w:val="nil"/>
              <w:bottom w:val="single" w:sz="4" w:space="0" w:color="auto"/>
              <w:right w:val="nil"/>
            </w:tcBorders>
            <w:shd w:val="clear" w:color="000000" w:fill="C4D79B"/>
            <w:noWrap/>
            <w:vAlign w:val="center"/>
            <w:hideMark/>
          </w:tcPr>
          <w:p w14:paraId="2C24B04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-9.7</w:t>
            </w:r>
          </w:p>
        </w:tc>
        <w:tc>
          <w:tcPr>
            <w:tcW w:w="660" w:type="dxa"/>
            <w:tcBorders>
              <w:top w:val="nil"/>
              <w:left w:val="nil"/>
              <w:bottom w:val="single" w:sz="4" w:space="0" w:color="auto"/>
              <w:right w:val="nil"/>
            </w:tcBorders>
            <w:shd w:val="clear" w:color="auto" w:fill="auto"/>
            <w:noWrap/>
            <w:vAlign w:val="center"/>
            <w:hideMark/>
          </w:tcPr>
          <w:p w14:paraId="168B5163"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79BE0247"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096A4A4B"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4DB0D352"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13A7D3D9"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2876E441"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c>
          <w:tcPr>
            <w:tcW w:w="668" w:type="dxa"/>
            <w:tcBorders>
              <w:top w:val="nil"/>
              <w:left w:val="nil"/>
              <w:bottom w:val="single" w:sz="4" w:space="0" w:color="auto"/>
              <w:right w:val="single" w:sz="4" w:space="0" w:color="auto"/>
            </w:tcBorders>
            <w:shd w:val="clear" w:color="auto" w:fill="auto"/>
            <w:noWrap/>
            <w:vAlign w:val="center"/>
            <w:hideMark/>
          </w:tcPr>
          <w:p w14:paraId="741F62D5" w14:textId="77777777" w:rsidR="00542DAE" w:rsidRPr="00542DAE" w:rsidRDefault="00542DAE" w:rsidP="00542DAE">
            <w:pPr>
              <w:spacing w:after="0" w:line="240" w:lineRule="auto"/>
              <w:jc w:val="center"/>
              <w:rPr>
                <w:rFonts w:ascii="Arial" w:eastAsia="Times New Roman" w:hAnsi="Arial" w:cs="Arial"/>
                <w:color w:val="000000"/>
                <w:sz w:val="16"/>
                <w:szCs w:val="16"/>
                <w:lang w:eastAsia="es-MX"/>
              </w:rPr>
            </w:pPr>
            <w:r w:rsidRPr="00542DAE">
              <w:rPr>
                <w:rFonts w:ascii="Arial" w:eastAsia="Times New Roman" w:hAnsi="Arial" w:cs="Arial"/>
                <w:color w:val="000000"/>
                <w:sz w:val="16"/>
                <w:szCs w:val="16"/>
                <w:lang w:eastAsia="es-MX"/>
              </w:rPr>
              <w:t> </w:t>
            </w:r>
          </w:p>
        </w:tc>
      </w:tr>
    </w:tbl>
    <w:p w14:paraId="42E111DE" w14:textId="4A94FCA2" w:rsidR="007B49F7" w:rsidRPr="00DA26BC" w:rsidRDefault="007B49F7" w:rsidP="009A7101">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3006F73F" w14:textId="77777777" w:rsidR="002333E8" w:rsidRDefault="002333E8" w:rsidP="009A7101">
      <w:pPr>
        <w:spacing w:after="0" w:line="240" w:lineRule="auto"/>
        <w:jc w:val="both"/>
        <w:rPr>
          <w:rFonts w:ascii="Arial" w:hAnsi="Arial" w:cs="Arial"/>
          <w:sz w:val="24"/>
          <w:szCs w:val="24"/>
        </w:rPr>
      </w:pPr>
    </w:p>
    <w:p w14:paraId="5025678E" w14:textId="735B7FD4" w:rsidR="00D73B5B" w:rsidRDefault="00D73B5B" w:rsidP="009A7101">
      <w:pPr>
        <w:spacing w:after="0" w:line="240" w:lineRule="auto"/>
        <w:jc w:val="both"/>
        <w:rPr>
          <w:rFonts w:ascii="Arial" w:hAnsi="Arial" w:cs="Arial"/>
          <w:sz w:val="24"/>
          <w:szCs w:val="24"/>
        </w:rPr>
      </w:pPr>
      <w:r w:rsidRPr="00587626">
        <w:rPr>
          <w:rFonts w:ascii="Arial" w:hAnsi="Arial" w:cs="Arial"/>
          <w:sz w:val="24"/>
          <w:szCs w:val="24"/>
        </w:rPr>
        <w:lastRenderedPageBreak/>
        <w:t>En el mes de mayo,</w:t>
      </w:r>
      <w:r w:rsidR="00D47D52" w:rsidRPr="00587626">
        <w:rPr>
          <w:rFonts w:ascii="Arial" w:hAnsi="Arial" w:cs="Arial"/>
          <w:sz w:val="24"/>
          <w:szCs w:val="24"/>
        </w:rPr>
        <w:t xml:space="preserve"> el IGREMSE</w:t>
      </w:r>
      <w:r w:rsidRPr="00587626">
        <w:rPr>
          <w:rFonts w:ascii="Arial" w:hAnsi="Arial" w:cs="Arial"/>
          <w:sz w:val="24"/>
          <w:szCs w:val="24"/>
        </w:rPr>
        <w:t xml:space="preserve"> ha registrado variaciones positivas en los años 20</w:t>
      </w:r>
      <w:r w:rsidR="002333E8">
        <w:rPr>
          <w:rFonts w:ascii="Arial" w:hAnsi="Arial" w:cs="Arial"/>
          <w:sz w:val="24"/>
          <w:szCs w:val="24"/>
        </w:rPr>
        <w:t>0</w:t>
      </w:r>
      <w:r w:rsidR="008F08F8">
        <w:rPr>
          <w:rFonts w:ascii="Arial" w:hAnsi="Arial" w:cs="Arial"/>
          <w:sz w:val="24"/>
          <w:szCs w:val="24"/>
        </w:rPr>
        <w:t>9</w:t>
      </w:r>
      <w:r w:rsidR="002333E8">
        <w:rPr>
          <w:rFonts w:ascii="Arial" w:hAnsi="Arial" w:cs="Arial"/>
          <w:sz w:val="24"/>
          <w:szCs w:val="24"/>
        </w:rPr>
        <w:t>-</w:t>
      </w:r>
      <w:r w:rsidRPr="00587626">
        <w:rPr>
          <w:rFonts w:ascii="Arial" w:hAnsi="Arial" w:cs="Arial"/>
          <w:sz w:val="24"/>
          <w:szCs w:val="24"/>
        </w:rPr>
        <w:t>2011, 201</w:t>
      </w:r>
      <w:r w:rsidR="002333E8">
        <w:rPr>
          <w:rFonts w:ascii="Arial" w:hAnsi="Arial" w:cs="Arial"/>
          <w:sz w:val="24"/>
          <w:szCs w:val="24"/>
        </w:rPr>
        <w:t>5</w:t>
      </w:r>
      <w:r w:rsidRPr="00587626">
        <w:rPr>
          <w:rFonts w:ascii="Arial" w:hAnsi="Arial" w:cs="Arial"/>
          <w:sz w:val="24"/>
          <w:szCs w:val="24"/>
        </w:rPr>
        <w:t>-201</w:t>
      </w:r>
      <w:r w:rsidR="002333E8">
        <w:rPr>
          <w:rFonts w:ascii="Arial" w:hAnsi="Arial" w:cs="Arial"/>
          <w:sz w:val="24"/>
          <w:szCs w:val="24"/>
        </w:rPr>
        <w:t>8</w:t>
      </w:r>
      <w:r w:rsidRPr="00587626">
        <w:rPr>
          <w:rFonts w:ascii="Arial" w:hAnsi="Arial" w:cs="Arial"/>
          <w:sz w:val="24"/>
          <w:szCs w:val="24"/>
        </w:rPr>
        <w:t xml:space="preserve"> </w:t>
      </w:r>
      <w:r w:rsidR="00D47D52" w:rsidRPr="00587626">
        <w:rPr>
          <w:rFonts w:ascii="Arial" w:hAnsi="Arial" w:cs="Arial"/>
          <w:sz w:val="24"/>
          <w:szCs w:val="24"/>
        </w:rPr>
        <w:t>respecto al mes previo</w:t>
      </w:r>
      <w:r w:rsidRPr="00587626">
        <w:rPr>
          <w:rFonts w:ascii="Arial" w:hAnsi="Arial" w:cs="Arial"/>
          <w:sz w:val="24"/>
          <w:szCs w:val="24"/>
        </w:rPr>
        <w:t xml:space="preserve">. Los años </w:t>
      </w:r>
      <w:r w:rsidR="008F08F8">
        <w:rPr>
          <w:rFonts w:ascii="Arial" w:hAnsi="Arial" w:cs="Arial"/>
          <w:sz w:val="24"/>
          <w:szCs w:val="24"/>
        </w:rPr>
        <w:t xml:space="preserve">2008, </w:t>
      </w:r>
      <w:r w:rsidRPr="00587626">
        <w:rPr>
          <w:rFonts w:ascii="Arial" w:hAnsi="Arial" w:cs="Arial"/>
          <w:sz w:val="24"/>
          <w:szCs w:val="24"/>
        </w:rPr>
        <w:t>20</w:t>
      </w:r>
      <w:r w:rsidR="002333E8">
        <w:rPr>
          <w:rFonts w:ascii="Arial" w:hAnsi="Arial" w:cs="Arial"/>
          <w:sz w:val="24"/>
          <w:szCs w:val="24"/>
        </w:rPr>
        <w:t>12-2014</w:t>
      </w:r>
      <w:r w:rsidRPr="00587626">
        <w:rPr>
          <w:rFonts w:ascii="Arial" w:hAnsi="Arial" w:cs="Arial"/>
          <w:sz w:val="24"/>
          <w:szCs w:val="24"/>
        </w:rPr>
        <w:t>, 20</w:t>
      </w:r>
      <w:r w:rsidR="002333E8">
        <w:rPr>
          <w:rFonts w:ascii="Arial" w:hAnsi="Arial" w:cs="Arial"/>
          <w:sz w:val="24"/>
          <w:szCs w:val="24"/>
        </w:rPr>
        <w:t>19</w:t>
      </w:r>
      <w:r w:rsidRPr="00587626">
        <w:rPr>
          <w:rFonts w:ascii="Arial" w:hAnsi="Arial" w:cs="Arial"/>
          <w:sz w:val="24"/>
          <w:szCs w:val="24"/>
        </w:rPr>
        <w:t xml:space="preserve"> y 2020 </w:t>
      </w:r>
      <w:r w:rsidR="002E0853">
        <w:rPr>
          <w:rFonts w:ascii="Arial" w:hAnsi="Arial" w:cs="Arial"/>
          <w:sz w:val="24"/>
          <w:szCs w:val="24"/>
        </w:rPr>
        <w:t>registraron</w:t>
      </w:r>
      <w:r w:rsidRPr="00587626">
        <w:rPr>
          <w:rFonts w:ascii="Arial" w:hAnsi="Arial" w:cs="Arial"/>
          <w:sz w:val="24"/>
          <w:szCs w:val="24"/>
        </w:rPr>
        <w:t xml:space="preserve"> </w:t>
      </w:r>
      <w:r w:rsidR="002333E8">
        <w:rPr>
          <w:rFonts w:ascii="Arial" w:hAnsi="Arial" w:cs="Arial"/>
          <w:sz w:val="24"/>
          <w:szCs w:val="24"/>
        </w:rPr>
        <w:t>una variación mensual negativa.</w:t>
      </w:r>
    </w:p>
    <w:p w14:paraId="34D82889" w14:textId="0AEDFFC8" w:rsidR="00AF21E8" w:rsidRDefault="00AF21E8" w:rsidP="009A7101">
      <w:pPr>
        <w:spacing w:after="0" w:line="240" w:lineRule="auto"/>
        <w:jc w:val="both"/>
        <w:rPr>
          <w:rFonts w:ascii="Arial" w:hAnsi="Arial" w:cs="Arial"/>
          <w:sz w:val="24"/>
          <w:szCs w:val="24"/>
        </w:rPr>
      </w:pPr>
    </w:p>
    <w:p w14:paraId="6C13F4C8" w14:textId="02638D9B" w:rsidR="00D73B5B" w:rsidRPr="00D0286C" w:rsidRDefault="00D47D52" w:rsidP="009A7101">
      <w:pPr>
        <w:spacing w:after="0" w:line="240" w:lineRule="auto"/>
        <w:ind w:right="49"/>
        <w:jc w:val="center"/>
        <w:rPr>
          <w:rFonts w:ascii="Arial" w:hAnsi="Arial" w:cs="Arial"/>
          <w:b/>
          <w:sz w:val="20"/>
          <w:szCs w:val="20"/>
        </w:rPr>
      </w:pPr>
      <w:r>
        <w:rPr>
          <w:rFonts w:ascii="Arial" w:hAnsi="Arial" w:cs="Arial"/>
          <w:b/>
          <w:sz w:val="20"/>
          <w:szCs w:val="20"/>
        </w:rPr>
        <w:t>Cuadro 4</w:t>
      </w:r>
    </w:p>
    <w:p w14:paraId="54A29B36" w14:textId="72AE4C31" w:rsidR="00D73B5B" w:rsidRPr="00D0286C" w:rsidRDefault="00D73B5B" w:rsidP="009A7101">
      <w:pPr>
        <w:spacing w:after="0" w:line="240" w:lineRule="auto"/>
        <w:ind w:left="-284" w:right="-660"/>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REMUNERACIONES </w:t>
      </w:r>
      <w:r w:rsidR="00D47D52">
        <w:rPr>
          <w:rFonts w:ascii="Arial" w:hAnsi="Arial" w:cs="Arial"/>
          <w:b/>
          <w:sz w:val="20"/>
          <w:szCs w:val="20"/>
        </w:rPr>
        <w:t xml:space="preserve">MEDIAS REALES </w:t>
      </w:r>
      <w:r w:rsidRPr="00D0286C">
        <w:rPr>
          <w:rFonts w:ascii="Arial" w:hAnsi="Arial" w:cs="Arial"/>
          <w:b/>
          <w:sz w:val="20"/>
          <w:szCs w:val="20"/>
        </w:rPr>
        <w:t>DE LOS SECTORES ECONÓMICOS</w:t>
      </w:r>
    </w:p>
    <w:p w14:paraId="7D293883" w14:textId="77777777" w:rsidR="00D73B5B" w:rsidRPr="00D0286C" w:rsidRDefault="00D73B5B" w:rsidP="009A7101">
      <w:pPr>
        <w:spacing w:after="0" w:line="240" w:lineRule="auto"/>
        <w:ind w:right="49"/>
        <w:jc w:val="center"/>
        <w:rPr>
          <w:rFonts w:ascii="Arial" w:hAnsi="Arial" w:cs="Arial"/>
          <w:b/>
          <w:sz w:val="20"/>
          <w:szCs w:val="20"/>
        </w:rPr>
      </w:pPr>
      <w:r>
        <w:rPr>
          <w:rFonts w:ascii="Arial" w:hAnsi="Arial" w:cs="Arial"/>
          <w:b/>
          <w:sz w:val="20"/>
          <w:szCs w:val="20"/>
        </w:rPr>
        <w:t>ENERO DE 2008 – MAYO DE 2020</w:t>
      </w:r>
    </w:p>
    <w:p w14:paraId="3169E7E3" w14:textId="77777777" w:rsidR="00D73B5B" w:rsidRPr="00D0286C" w:rsidRDefault="00D73B5B" w:rsidP="009A7101">
      <w:pPr>
        <w:spacing w:after="0" w:line="240" w:lineRule="auto"/>
        <w:ind w:right="49"/>
        <w:jc w:val="center"/>
        <w:rPr>
          <w:rFonts w:ascii="Arial" w:hAnsi="Arial" w:cs="Arial"/>
          <w:b/>
          <w:sz w:val="20"/>
          <w:szCs w:val="20"/>
        </w:rPr>
      </w:pPr>
      <w:r>
        <w:rPr>
          <w:rFonts w:ascii="Arial" w:hAnsi="Arial" w:cs="Arial"/>
          <w:b/>
          <w:sz w:val="20"/>
          <w:szCs w:val="20"/>
        </w:rPr>
        <w:t>SERIE DESESTACIONALIZADA</w:t>
      </w:r>
    </w:p>
    <w:p w14:paraId="46F1B154" w14:textId="56BC1BEB" w:rsidR="00D73B5B" w:rsidRDefault="00D73B5B" w:rsidP="009A7101">
      <w:pPr>
        <w:spacing w:after="0" w:line="240" w:lineRule="auto"/>
        <w:ind w:right="49"/>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8F08F8" w:rsidRPr="008F08F8" w14:paraId="4BC8DC35" w14:textId="77777777" w:rsidTr="008F08F8">
        <w:trPr>
          <w:trHeight w:val="480"/>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01D7287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Año</w:t>
            </w:r>
          </w:p>
        </w:tc>
        <w:tc>
          <w:tcPr>
            <w:tcW w:w="800"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3637D39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 Variación Anual y Mensual</w:t>
            </w:r>
          </w:p>
        </w:tc>
        <w:tc>
          <w:tcPr>
            <w:tcW w:w="7920"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16BC2AF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Mes</w:t>
            </w:r>
          </w:p>
        </w:tc>
      </w:tr>
      <w:tr w:rsidR="008F08F8" w:rsidRPr="008F08F8" w14:paraId="0BE6A8F3" w14:textId="77777777" w:rsidTr="008F08F8">
        <w:trPr>
          <w:trHeight w:val="480"/>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73B4C9F9"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vMerge/>
            <w:tcBorders>
              <w:top w:val="single" w:sz="8" w:space="0" w:color="auto"/>
              <w:left w:val="nil"/>
              <w:bottom w:val="single" w:sz="4" w:space="0" w:color="000000"/>
              <w:right w:val="single" w:sz="4" w:space="0" w:color="auto"/>
            </w:tcBorders>
            <w:vAlign w:val="center"/>
            <w:hideMark/>
          </w:tcPr>
          <w:p w14:paraId="79B544CC"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3A1D435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0FAC41F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5E6C25E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75F7FCF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45AF8F7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7B1F302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768822C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5FAB5D5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proofErr w:type="spellStart"/>
            <w:r w:rsidRPr="008F08F8">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4C29019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proofErr w:type="spellStart"/>
            <w:r w:rsidRPr="008F08F8">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5C2DD02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6498002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8" w:space="0" w:color="auto"/>
            </w:tcBorders>
            <w:shd w:val="clear" w:color="000000" w:fill="C4D79B"/>
            <w:noWrap/>
            <w:vAlign w:val="center"/>
            <w:hideMark/>
          </w:tcPr>
          <w:p w14:paraId="364B902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Dic</w:t>
            </w:r>
          </w:p>
        </w:tc>
      </w:tr>
      <w:tr w:rsidR="008F08F8" w:rsidRPr="008F08F8" w14:paraId="123850BE" w14:textId="77777777" w:rsidTr="008F08F8">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2AEC384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43372ED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370CD96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02FD227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441F946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0A8D329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000000" w:fill="C4D79B"/>
            <w:noWrap/>
            <w:vAlign w:val="center"/>
            <w:hideMark/>
          </w:tcPr>
          <w:p w14:paraId="65DA053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auto" w:fill="auto"/>
            <w:noWrap/>
            <w:vAlign w:val="center"/>
            <w:hideMark/>
          </w:tcPr>
          <w:p w14:paraId="7808258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6B950F4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5078D3A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98.2</w:t>
            </w:r>
          </w:p>
        </w:tc>
        <w:tc>
          <w:tcPr>
            <w:tcW w:w="660" w:type="dxa"/>
            <w:tcBorders>
              <w:top w:val="nil"/>
              <w:left w:val="nil"/>
              <w:bottom w:val="nil"/>
              <w:right w:val="nil"/>
            </w:tcBorders>
            <w:shd w:val="clear" w:color="auto" w:fill="auto"/>
            <w:noWrap/>
            <w:vAlign w:val="center"/>
            <w:hideMark/>
          </w:tcPr>
          <w:p w14:paraId="465D00B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98.0</w:t>
            </w:r>
          </w:p>
        </w:tc>
        <w:tc>
          <w:tcPr>
            <w:tcW w:w="660" w:type="dxa"/>
            <w:tcBorders>
              <w:top w:val="nil"/>
              <w:left w:val="nil"/>
              <w:bottom w:val="nil"/>
              <w:right w:val="nil"/>
            </w:tcBorders>
            <w:shd w:val="clear" w:color="auto" w:fill="auto"/>
            <w:noWrap/>
            <w:vAlign w:val="center"/>
            <w:hideMark/>
          </w:tcPr>
          <w:p w14:paraId="78F246A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98.4</w:t>
            </w:r>
          </w:p>
        </w:tc>
        <w:tc>
          <w:tcPr>
            <w:tcW w:w="660" w:type="dxa"/>
            <w:tcBorders>
              <w:top w:val="nil"/>
              <w:left w:val="nil"/>
              <w:bottom w:val="nil"/>
              <w:right w:val="nil"/>
            </w:tcBorders>
            <w:shd w:val="clear" w:color="auto" w:fill="auto"/>
            <w:noWrap/>
            <w:vAlign w:val="center"/>
            <w:hideMark/>
          </w:tcPr>
          <w:p w14:paraId="018D2F0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98.1</w:t>
            </w:r>
          </w:p>
        </w:tc>
        <w:tc>
          <w:tcPr>
            <w:tcW w:w="660" w:type="dxa"/>
            <w:tcBorders>
              <w:top w:val="nil"/>
              <w:left w:val="nil"/>
              <w:bottom w:val="nil"/>
              <w:right w:val="single" w:sz="4" w:space="0" w:color="auto"/>
            </w:tcBorders>
            <w:shd w:val="clear" w:color="auto" w:fill="auto"/>
            <w:noWrap/>
            <w:vAlign w:val="center"/>
            <w:hideMark/>
          </w:tcPr>
          <w:p w14:paraId="2052594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99.4</w:t>
            </w:r>
          </w:p>
        </w:tc>
      </w:tr>
      <w:tr w:rsidR="008F08F8" w:rsidRPr="008F08F8" w14:paraId="42FAEB57" w14:textId="77777777" w:rsidTr="008F08F8">
        <w:trPr>
          <w:trHeight w:val="222"/>
        </w:trPr>
        <w:tc>
          <w:tcPr>
            <w:tcW w:w="660" w:type="dxa"/>
            <w:vMerge/>
            <w:tcBorders>
              <w:top w:val="nil"/>
              <w:left w:val="single" w:sz="4" w:space="0" w:color="auto"/>
              <w:bottom w:val="single" w:sz="4" w:space="0" w:color="000000"/>
              <w:right w:val="nil"/>
            </w:tcBorders>
            <w:vAlign w:val="center"/>
            <w:hideMark/>
          </w:tcPr>
          <w:p w14:paraId="157E345F"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5ABEA3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F44AC3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18906C1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778FEB9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674F2C3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000000" w:fill="C4D79B"/>
            <w:noWrap/>
            <w:vAlign w:val="center"/>
            <w:hideMark/>
          </w:tcPr>
          <w:p w14:paraId="63604B1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02E918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5916A1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069EE45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18AAE7D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F8C969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F795A4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6D892FC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r>
      <w:tr w:rsidR="008F08F8" w:rsidRPr="008F08F8" w14:paraId="63EF53A0" w14:textId="77777777" w:rsidTr="008F08F8">
        <w:trPr>
          <w:trHeight w:val="222"/>
        </w:trPr>
        <w:tc>
          <w:tcPr>
            <w:tcW w:w="660" w:type="dxa"/>
            <w:vMerge/>
            <w:tcBorders>
              <w:top w:val="nil"/>
              <w:left w:val="single" w:sz="4" w:space="0" w:color="auto"/>
              <w:bottom w:val="single" w:sz="4" w:space="0" w:color="000000"/>
              <w:right w:val="nil"/>
            </w:tcBorders>
            <w:vAlign w:val="center"/>
            <w:hideMark/>
          </w:tcPr>
          <w:p w14:paraId="2F2340CC"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679A3E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392C8C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12DB37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149C98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6C4DA7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38FEF24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7A0A9B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99AAB5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DACF43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F229FC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E576F8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B5F562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5378FF8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w:t>
            </w:r>
          </w:p>
        </w:tc>
      </w:tr>
      <w:tr w:rsidR="008F08F8" w:rsidRPr="008F08F8" w14:paraId="64DA330E"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F6817C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0766559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BEF33C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97.4</w:t>
            </w:r>
          </w:p>
        </w:tc>
        <w:tc>
          <w:tcPr>
            <w:tcW w:w="660" w:type="dxa"/>
            <w:tcBorders>
              <w:top w:val="nil"/>
              <w:left w:val="nil"/>
              <w:bottom w:val="nil"/>
              <w:right w:val="nil"/>
            </w:tcBorders>
            <w:shd w:val="clear" w:color="auto" w:fill="auto"/>
            <w:noWrap/>
            <w:vAlign w:val="center"/>
            <w:hideMark/>
          </w:tcPr>
          <w:p w14:paraId="22A2985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97.3</w:t>
            </w:r>
          </w:p>
        </w:tc>
        <w:tc>
          <w:tcPr>
            <w:tcW w:w="660" w:type="dxa"/>
            <w:tcBorders>
              <w:top w:val="nil"/>
              <w:left w:val="nil"/>
              <w:bottom w:val="nil"/>
              <w:right w:val="nil"/>
            </w:tcBorders>
            <w:shd w:val="clear" w:color="auto" w:fill="auto"/>
            <w:noWrap/>
            <w:vAlign w:val="center"/>
            <w:hideMark/>
          </w:tcPr>
          <w:p w14:paraId="52BBE27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97.1</w:t>
            </w:r>
          </w:p>
        </w:tc>
        <w:tc>
          <w:tcPr>
            <w:tcW w:w="660" w:type="dxa"/>
            <w:tcBorders>
              <w:top w:val="nil"/>
              <w:left w:val="nil"/>
              <w:bottom w:val="nil"/>
              <w:right w:val="nil"/>
            </w:tcBorders>
            <w:shd w:val="clear" w:color="auto" w:fill="auto"/>
            <w:noWrap/>
            <w:vAlign w:val="center"/>
            <w:hideMark/>
          </w:tcPr>
          <w:p w14:paraId="0CEB5E9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96.9</w:t>
            </w:r>
          </w:p>
        </w:tc>
        <w:tc>
          <w:tcPr>
            <w:tcW w:w="660" w:type="dxa"/>
            <w:tcBorders>
              <w:top w:val="nil"/>
              <w:left w:val="nil"/>
              <w:bottom w:val="nil"/>
              <w:right w:val="nil"/>
            </w:tcBorders>
            <w:shd w:val="clear" w:color="000000" w:fill="C4D79B"/>
            <w:noWrap/>
            <w:vAlign w:val="center"/>
            <w:hideMark/>
          </w:tcPr>
          <w:p w14:paraId="3C98E0F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97.2</w:t>
            </w:r>
          </w:p>
        </w:tc>
        <w:tc>
          <w:tcPr>
            <w:tcW w:w="660" w:type="dxa"/>
            <w:tcBorders>
              <w:top w:val="nil"/>
              <w:left w:val="nil"/>
              <w:bottom w:val="nil"/>
              <w:right w:val="nil"/>
            </w:tcBorders>
            <w:shd w:val="clear" w:color="auto" w:fill="auto"/>
            <w:noWrap/>
            <w:vAlign w:val="center"/>
            <w:hideMark/>
          </w:tcPr>
          <w:p w14:paraId="4FFBEF6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0F1B08D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1B2E3D0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57E8F09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97.1</w:t>
            </w:r>
          </w:p>
        </w:tc>
        <w:tc>
          <w:tcPr>
            <w:tcW w:w="660" w:type="dxa"/>
            <w:tcBorders>
              <w:top w:val="nil"/>
              <w:left w:val="nil"/>
              <w:bottom w:val="nil"/>
              <w:right w:val="nil"/>
            </w:tcBorders>
            <w:shd w:val="clear" w:color="auto" w:fill="auto"/>
            <w:noWrap/>
            <w:vAlign w:val="center"/>
            <w:hideMark/>
          </w:tcPr>
          <w:p w14:paraId="1E63AF8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97.3</w:t>
            </w:r>
          </w:p>
        </w:tc>
        <w:tc>
          <w:tcPr>
            <w:tcW w:w="660" w:type="dxa"/>
            <w:tcBorders>
              <w:top w:val="nil"/>
              <w:left w:val="nil"/>
              <w:bottom w:val="nil"/>
              <w:right w:val="nil"/>
            </w:tcBorders>
            <w:shd w:val="clear" w:color="auto" w:fill="auto"/>
            <w:noWrap/>
            <w:vAlign w:val="center"/>
            <w:hideMark/>
          </w:tcPr>
          <w:p w14:paraId="71515E2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97.2</w:t>
            </w:r>
          </w:p>
        </w:tc>
        <w:tc>
          <w:tcPr>
            <w:tcW w:w="660" w:type="dxa"/>
            <w:tcBorders>
              <w:top w:val="nil"/>
              <w:left w:val="nil"/>
              <w:bottom w:val="nil"/>
              <w:right w:val="single" w:sz="4" w:space="0" w:color="auto"/>
            </w:tcBorders>
            <w:shd w:val="clear" w:color="auto" w:fill="auto"/>
            <w:noWrap/>
            <w:vAlign w:val="center"/>
            <w:hideMark/>
          </w:tcPr>
          <w:p w14:paraId="5995DA0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98.2</w:t>
            </w:r>
          </w:p>
        </w:tc>
      </w:tr>
      <w:tr w:rsidR="008F08F8" w:rsidRPr="008F08F8" w14:paraId="4A2E4E91"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1E58B3C"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E1B4CE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861CDB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5B1D241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7FD8A8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4B720A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206D4DF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C54AA4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77159D2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33A5A2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0A054C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1E0C68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72E303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11FDA1A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r>
      <w:tr w:rsidR="008F08F8" w:rsidRPr="008F08F8" w14:paraId="2E07D320"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D88E98A"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8743D4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E60C20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40FFBD6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2E125A8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1128EBA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000000" w:fill="C4D79B"/>
            <w:noWrap/>
            <w:vAlign w:val="center"/>
            <w:hideMark/>
          </w:tcPr>
          <w:p w14:paraId="69E4447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7524A12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946B63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8C981F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758B079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71AE19A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3F1BA6C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single" w:sz="4" w:space="0" w:color="auto"/>
            </w:tcBorders>
            <w:shd w:val="clear" w:color="auto" w:fill="auto"/>
            <w:noWrap/>
            <w:vAlign w:val="center"/>
            <w:hideMark/>
          </w:tcPr>
          <w:p w14:paraId="22DA5BF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r>
      <w:tr w:rsidR="008F08F8" w:rsidRPr="008F08F8" w14:paraId="1470056D"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D3B40C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6530D71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DB7EA8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97.9</w:t>
            </w:r>
          </w:p>
        </w:tc>
        <w:tc>
          <w:tcPr>
            <w:tcW w:w="660" w:type="dxa"/>
            <w:tcBorders>
              <w:top w:val="single" w:sz="4" w:space="0" w:color="auto"/>
              <w:left w:val="nil"/>
              <w:bottom w:val="nil"/>
              <w:right w:val="nil"/>
            </w:tcBorders>
            <w:shd w:val="clear" w:color="auto" w:fill="auto"/>
            <w:noWrap/>
            <w:vAlign w:val="center"/>
            <w:hideMark/>
          </w:tcPr>
          <w:p w14:paraId="33AC920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7E6B331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98.1</w:t>
            </w:r>
          </w:p>
        </w:tc>
        <w:tc>
          <w:tcPr>
            <w:tcW w:w="660" w:type="dxa"/>
            <w:tcBorders>
              <w:top w:val="single" w:sz="4" w:space="0" w:color="auto"/>
              <w:left w:val="nil"/>
              <w:bottom w:val="nil"/>
              <w:right w:val="nil"/>
            </w:tcBorders>
            <w:shd w:val="clear" w:color="auto" w:fill="auto"/>
            <w:noWrap/>
            <w:vAlign w:val="center"/>
            <w:hideMark/>
          </w:tcPr>
          <w:p w14:paraId="7192FE2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96.5</w:t>
            </w:r>
          </w:p>
        </w:tc>
        <w:tc>
          <w:tcPr>
            <w:tcW w:w="660" w:type="dxa"/>
            <w:tcBorders>
              <w:top w:val="single" w:sz="4" w:space="0" w:color="auto"/>
              <w:left w:val="nil"/>
              <w:bottom w:val="nil"/>
              <w:right w:val="nil"/>
            </w:tcBorders>
            <w:shd w:val="clear" w:color="000000" w:fill="C4D79B"/>
            <w:noWrap/>
            <w:vAlign w:val="center"/>
            <w:hideMark/>
          </w:tcPr>
          <w:p w14:paraId="2F2DC68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0A25520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54C99AF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98.1</w:t>
            </w:r>
          </w:p>
        </w:tc>
        <w:tc>
          <w:tcPr>
            <w:tcW w:w="660" w:type="dxa"/>
            <w:tcBorders>
              <w:top w:val="single" w:sz="4" w:space="0" w:color="auto"/>
              <w:left w:val="nil"/>
              <w:bottom w:val="nil"/>
              <w:right w:val="nil"/>
            </w:tcBorders>
            <w:shd w:val="clear" w:color="auto" w:fill="auto"/>
            <w:noWrap/>
            <w:vAlign w:val="center"/>
            <w:hideMark/>
          </w:tcPr>
          <w:p w14:paraId="554B7C5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97.9</w:t>
            </w:r>
          </w:p>
        </w:tc>
        <w:tc>
          <w:tcPr>
            <w:tcW w:w="660" w:type="dxa"/>
            <w:tcBorders>
              <w:top w:val="single" w:sz="4" w:space="0" w:color="auto"/>
              <w:left w:val="nil"/>
              <w:bottom w:val="nil"/>
              <w:right w:val="nil"/>
            </w:tcBorders>
            <w:shd w:val="clear" w:color="auto" w:fill="auto"/>
            <w:noWrap/>
            <w:vAlign w:val="center"/>
            <w:hideMark/>
          </w:tcPr>
          <w:p w14:paraId="4BEE7B7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1704286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158DCD0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97.0</w:t>
            </w:r>
          </w:p>
        </w:tc>
        <w:tc>
          <w:tcPr>
            <w:tcW w:w="660" w:type="dxa"/>
            <w:tcBorders>
              <w:top w:val="single" w:sz="4" w:space="0" w:color="auto"/>
              <w:left w:val="nil"/>
              <w:bottom w:val="nil"/>
              <w:right w:val="single" w:sz="4" w:space="0" w:color="auto"/>
            </w:tcBorders>
            <w:shd w:val="clear" w:color="auto" w:fill="auto"/>
            <w:noWrap/>
            <w:vAlign w:val="center"/>
            <w:hideMark/>
          </w:tcPr>
          <w:p w14:paraId="7BFF83C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97.0</w:t>
            </w:r>
          </w:p>
        </w:tc>
      </w:tr>
      <w:tr w:rsidR="008F08F8" w:rsidRPr="008F08F8" w14:paraId="14FB5A96"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88CD1AF"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D54EB0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DCA790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B923F4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491C3E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714871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000000" w:fill="C4D79B"/>
            <w:noWrap/>
            <w:vAlign w:val="center"/>
            <w:hideMark/>
          </w:tcPr>
          <w:p w14:paraId="298EB2C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26E469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B96690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447A2B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B39D4F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4AAFD9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ECE593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4D42C13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r>
      <w:tr w:rsidR="008F08F8" w:rsidRPr="008F08F8" w14:paraId="349C0428"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9CEECC9"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25E88A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FAD39E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1392EE1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6C5CC4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D3A1E9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69B4C1E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67E969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51645ED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1296861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33A2039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9712B7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59CA1F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54FE234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r>
      <w:tr w:rsidR="008F08F8" w:rsidRPr="008F08F8" w14:paraId="78312B95"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058303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2011</w:t>
            </w:r>
          </w:p>
        </w:tc>
        <w:tc>
          <w:tcPr>
            <w:tcW w:w="800" w:type="dxa"/>
            <w:tcBorders>
              <w:top w:val="nil"/>
              <w:left w:val="nil"/>
              <w:bottom w:val="nil"/>
              <w:right w:val="single" w:sz="4" w:space="0" w:color="auto"/>
            </w:tcBorders>
            <w:shd w:val="clear" w:color="auto" w:fill="auto"/>
            <w:noWrap/>
            <w:vAlign w:val="center"/>
            <w:hideMark/>
          </w:tcPr>
          <w:p w14:paraId="323DDAD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A001F9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41C8253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97.3</w:t>
            </w:r>
          </w:p>
        </w:tc>
        <w:tc>
          <w:tcPr>
            <w:tcW w:w="660" w:type="dxa"/>
            <w:tcBorders>
              <w:top w:val="single" w:sz="4" w:space="0" w:color="auto"/>
              <w:left w:val="nil"/>
              <w:bottom w:val="nil"/>
              <w:right w:val="nil"/>
            </w:tcBorders>
            <w:shd w:val="clear" w:color="auto" w:fill="auto"/>
            <w:noWrap/>
            <w:vAlign w:val="center"/>
            <w:hideMark/>
          </w:tcPr>
          <w:p w14:paraId="36488E8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1890282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000000" w:fill="C4D79B"/>
            <w:noWrap/>
            <w:vAlign w:val="center"/>
            <w:hideMark/>
          </w:tcPr>
          <w:p w14:paraId="6D60737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auto" w:fill="auto"/>
            <w:noWrap/>
            <w:vAlign w:val="center"/>
            <w:hideMark/>
          </w:tcPr>
          <w:p w14:paraId="2839C71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4B98703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3214B44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5F56107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03C38AC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7FB0392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99.1</w:t>
            </w:r>
          </w:p>
        </w:tc>
        <w:tc>
          <w:tcPr>
            <w:tcW w:w="660" w:type="dxa"/>
            <w:tcBorders>
              <w:top w:val="single" w:sz="4" w:space="0" w:color="auto"/>
              <w:left w:val="nil"/>
              <w:bottom w:val="nil"/>
              <w:right w:val="single" w:sz="4" w:space="0" w:color="auto"/>
            </w:tcBorders>
            <w:shd w:val="clear" w:color="auto" w:fill="auto"/>
            <w:noWrap/>
            <w:vAlign w:val="center"/>
            <w:hideMark/>
          </w:tcPr>
          <w:p w14:paraId="268C875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97.8</w:t>
            </w:r>
          </w:p>
        </w:tc>
      </w:tr>
      <w:tr w:rsidR="008F08F8" w:rsidRPr="008F08F8" w14:paraId="436EC7D5"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161F38F"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5C9754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CA6590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24B228C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61D4105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1F83F1F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000000" w:fill="C4D79B"/>
            <w:noWrap/>
            <w:vAlign w:val="center"/>
            <w:hideMark/>
          </w:tcPr>
          <w:p w14:paraId="23E5423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2D2A943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58415E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74A4E8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08B2C58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D502F3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82F6DA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6E8D728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r>
      <w:tr w:rsidR="008F08F8" w:rsidRPr="008F08F8" w14:paraId="64859C00"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BF511B8"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3B5836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57FE6A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6C090C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47DE7C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D3252F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000000" w:fill="C4D79B"/>
            <w:noWrap/>
            <w:vAlign w:val="center"/>
            <w:hideMark/>
          </w:tcPr>
          <w:p w14:paraId="1EA620C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6454C7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B932B9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7FC798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1BCF0DE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71562DC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2277F6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2.1</w:t>
            </w:r>
          </w:p>
        </w:tc>
        <w:tc>
          <w:tcPr>
            <w:tcW w:w="660" w:type="dxa"/>
            <w:tcBorders>
              <w:top w:val="nil"/>
              <w:left w:val="nil"/>
              <w:bottom w:val="nil"/>
              <w:right w:val="single" w:sz="4" w:space="0" w:color="auto"/>
            </w:tcBorders>
            <w:shd w:val="clear" w:color="auto" w:fill="auto"/>
            <w:noWrap/>
            <w:vAlign w:val="center"/>
            <w:hideMark/>
          </w:tcPr>
          <w:p w14:paraId="104FE80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0.9</w:t>
            </w:r>
          </w:p>
        </w:tc>
      </w:tr>
      <w:tr w:rsidR="008F08F8" w:rsidRPr="008F08F8" w14:paraId="4AF335C6"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4BE9A1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4F2977D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4E80C2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5527678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63BC39D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470451C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000000" w:fill="C4D79B"/>
            <w:noWrap/>
            <w:vAlign w:val="center"/>
            <w:hideMark/>
          </w:tcPr>
          <w:p w14:paraId="0BC273F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98.3</w:t>
            </w:r>
          </w:p>
        </w:tc>
        <w:tc>
          <w:tcPr>
            <w:tcW w:w="660" w:type="dxa"/>
            <w:tcBorders>
              <w:top w:val="single" w:sz="4" w:space="0" w:color="auto"/>
              <w:left w:val="nil"/>
              <w:bottom w:val="nil"/>
              <w:right w:val="nil"/>
            </w:tcBorders>
            <w:shd w:val="clear" w:color="auto" w:fill="auto"/>
            <w:noWrap/>
            <w:vAlign w:val="center"/>
            <w:hideMark/>
          </w:tcPr>
          <w:p w14:paraId="3DE6E24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5D83B60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auto" w:fill="auto"/>
            <w:noWrap/>
            <w:vAlign w:val="center"/>
            <w:hideMark/>
          </w:tcPr>
          <w:p w14:paraId="20EBFF0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98.6</w:t>
            </w:r>
          </w:p>
        </w:tc>
        <w:tc>
          <w:tcPr>
            <w:tcW w:w="660" w:type="dxa"/>
            <w:tcBorders>
              <w:top w:val="single" w:sz="4" w:space="0" w:color="auto"/>
              <w:left w:val="nil"/>
              <w:bottom w:val="nil"/>
              <w:right w:val="nil"/>
            </w:tcBorders>
            <w:shd w:val="clear" w:color="auto" w:fill="auto"/>
            <w:noWrap/>
            <w:vAlign w:val="center"/>
            <w:hideMark/>
          </w:tcPr>
          <w:p w14:paraId="18A324A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98.8</w:t>
            </w:r>
          </w:p>
        </w:tc>
        <w:tc>
          <w:tcPr>
            <w:tcW w:w="660" w:type="dxa"/>
            <w:tcBorders>
              <w:top w:val="single" w:sz="4" w:space="0" w:color="auto"/>
              <w:left w:val="nil"/>
              <w:bottom w:val="nil"/>
              <w:right w:val="nil"/>
            </w:tcBorders>
            <w:shd w:val="clear" w:color="auto" w:fill="auto"/>
            <w:noWrap/>
            <w:vAlign w:val="center"/>
            <w:hideMark/>
          </w:tcPr>
          <w:p w14:paraId="45C2F41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631AD7C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98.8</w:t>
            </w:r>
          </w:p>
        </w:tc>
        <w:tc>
          <w:tcPr>
            <w:tcW w:w="660" w:type="dxa"/>
            <w:tcBorders>
              <w:top w:val="single" w:sz="4" w:space="0" w:color="auto"/>
              <w:left w:val="nil"/>
              <w:bottom w:val="nil"/>
              <w:right w:val="single" w:sz="4" w:space="0" w:color="auto"/>
            </w:tcBorders>
            <w:shd w:val="clear" w:color="auto" w:fill="auto"/>
            <w:noWrap/>
            <w:vAlign w:val="center"/>
            <w:hideMark/>
          </w:tcPr>
          <w:p w14:paraId="17D46A0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98.9</w:t>
            </w:r>
          </w:p>
        </w:tc>
      </w:tr>
      <w:tr w:rsidR="008F08F8" w:rsidRPr="008F08F8" w14:paraId="50D076F1"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F62DA79"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E64433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773D7D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222D4AA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E95847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0907B1F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0743C17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4D62304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AE1D34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47418D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4E9270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F8BF3B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712879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single" w:sz="4" w:space="0" w:color="auto"/>
            </w:tcBorders>
            <w:shd w:val="clear" w:color="auto" w:fill="auto"/>
            <w:noWrap/>
            <w:vAlign w:val="center"/>
            <w:hideMark/>
          </w:tcPr>
          <w:p w14:paraId="5CE8249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r>
      <w:tr w:rsidR="008F08F8" w:rsidRPr="008F08F8" w14:paraId="014AA874"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86FDD54"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68AE14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8F1C4C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2E17BC0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5F95EE7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15E9A6A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000000" w:fill="C4D79B"/>
            <w:noWrap/>
            <w:vAlign w:val="center"/>
            <w:hideMark/>
          </w:tcPr>
          <w:p w14:paraId="3FABAF6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874247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AA77EE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6BB90E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4B2978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26B027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E493C9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4AA6EFC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r>
      <w:tr w:rsidR="008F08F8" w:rsidRPr="008F08F8" w14:paraId="0BC19AD0"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82D0BD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2013</w:t>
            </w:r>
          </w:p>
        </w:tc>
        <w:tc>
          <w:tcPr>
            <w:tcW w:w="800" w:type="dxa"/>
            <w:tcBorders>
              <w:top w:val="nil"/>
              <w:left w:val="nil"/>
              <w:bottom w:val="nil"/>
              <w:right w:val="single" w:sz="4" w:space="0" w:color="auto"/>
            </w:tcBorders>
            <w:shd w:val="clear" w:color="auto" w:fill="auto"/>
            <w:noWrap/>
            <w:vAlign w:val="center"/>
            <w:hideMark/>
          </w:tcPr>
          <w:p w14:paraId="632CC6B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7D0775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101.8</w:t>
            </w:r>
          </w:p>
        </w:tc>
        <w:tc>
          <w:tcPr>
            <w:tcW w:w="660" w:type="dxa"/>
            <w:tcBorders>
              <w:top w:val="single" w:sz="4" w:space="0" w:color="auto"/>
              <w:left w:val="nil"/>
              <w:bottom w:val="nil"/>
              <w:right w:val="nil"/>
            </w:tcBorders>
            <w:shd w:val="clear" w:color="auto" w:fill="auto"/>
            <w:noWrap/>
            <w:vAlign w:val="center"/>
            <w:hideMark/>
          </w:tcPr>
          <w:p w14:paraId="237F3BB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6323BA8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98.9</w:t>
            </w:r>
          </w:p>
        </w:tc>
        <w:tc>
          <w:tcPr>
            <w:tcW w:w="660" w:type="dxa"/>
            <w:tcBorders>
              <w:top w:val="single" w:sz="4" w:space="0" w:color="auto"/>
              <w:left w:val="nil"/>
              <w:bottom w:val="nil"/>
              <w:right w:val="nil"/>
            </w:tcBorders>
            <w:shd w:val="clear" w:color="auto" w:fill="auto"/>
            <w:noWrap/>
            <w:vAlign w:val="center"/>
            <w:hideMark/>
          </w:tcPr>
          <w:p w14:paraId="6CB759A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000000" w:fill="C4D79B"/>
            <w:noWrap/>
            <w:vAlign w:val="center"/>
            <w:hideMark/>
          </w:tcPr>
          <w:p w14:paraId="50F6631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99.3</w:t>
            </w:r>
          </w:p>
        </w:tc>
        <w:tc>
          <w:tcPr>
            <w:tcW w:w="660" w:type="dxa"/>
            <w:tcBorders>
              <w:top w:val="single" w:sz="4" w:space="0" w:color="auto"/>
              <w:left w:val="nil"/>
              <w:bottom w:val="nil"/>
              <w:right w:val="nil"/>
            </w:tcBorders>
            <w:shd w:val="clear" w:color="auto" w:fill="auto"/>
            <w:noWrap/>
            <w:vAlign w:val="center"/>
            <w:hideMark/>
          </w:tcPr>
          <w:p w14:paraId="1744F92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4C15ECD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002B87A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210047E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22D2EC7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10C5818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single" w:sz="4" w:space="0" w:color="auto"/>
            </w:tcBorders>
            <w:shd w:val="clear" w:color="auto" w:fill="auto"/>
            <w:noWrap/>
            <w:vAlign w:val="center"/>
            <w:hideMark/>
          </w:tcPr>
          <w:p w14:paraId="0406965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100.5</w:t>
            </w:r>
          </w:p>
        </w:tc>
      </w:tr>
      <w:tr w:rsidR="008F08F8" w:rsidRPr="008F08F8" w14:paraId="2015575E"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D5CDAEE"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E47AD3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6ECDA94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2.9</w:t>
            </w:r>
          </w:p>
        </w:tc>
        <w:tc>
          <w:tcPr>
            <w:tcW w:w="660" w:type="dxa"/>
            <w:tcBorders>
              <w:top w:val="nil"/>
              <w:left w:val="nil"/>
              <w:bottom w:val="nil"/>
              <w:right w:val="nil"/>
            </w:tcBorders>
            <w:shd w:val="clear" w:color="auto" w:fill="auto"/>
            <w:noWrap/>
            <w:vAlign w:val="center"/>
            <w:hideMark/>
          </w:tcPr>
          <w:p w14:paraId="62E47B8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72650A9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95352E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000000" w:fill="C4D79B"/>
            <w:noWrap/>
            <w:vAlign w:val="center"/>
            <w:hideMark/>
          </w:tcPr>
          <w:p w14:paraId="7CA0A6C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A2A52D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04B7FCF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170257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659ED4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2F03BE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536932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49B7827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r>
      <w:tr w:rsidR="008F08F8" w:rsidRPr="008F08F8" w14:paraId="48008B8E"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DC56AD7"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9A0B51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54F038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2.8</w:t>
            </w:r>
          </w:p>
        </w:tc>
        <w:tc>
          <w:tcPr>
            <w:tcW w:w="660" w:type="dxa"/>
            <w:tcBorders>
              <w:top w:val="nil"/>
              <w:left w:val="nil"/>
              <w:bottom w:val="nil"/>
              <w:right w:val="nil"/>
            </w:tcBorders>
            <w:shd w:val="clear" w:color="auto" w:fill="auto"/>
            <w:noWrap/>
            <w:vAlign w:val="center"/>
            <w:hideMark/>
          </w:tcPr>
          <w:p w14:paraId="3346136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26412D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4339E9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000000" w:fill="C4D79B"/>
            <w:noWrap/>
            <w:vAlign w:val="center"/>
            <w:hideMark/>
          </w:tcPr>
          <w:p w14:paraId="7B57000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3AA222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40EC2E5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FBBB8F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FB2EBD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2E0F4FD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1C7764D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2B64759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1.6</w:t>
            </w:r>
          </w:p>
        </w:tc>
      </w:tr>
      <w:tr w:rsidR="008F08F8" w:rsidRPr="008F08F8" w14:paraId="2EEED07E"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7F6B50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2E8BC3B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2DFBB6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1C24AD7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46207D2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auto" w:fill="auto"/>
            <w:noWrap/>
            <w:vAlign w:val="center"/>
            <w:hideMark/>
          </w:tcPr>
          <w:p w14:paraId="676E652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000000" w:fill="C4D79B"/>
            <w:noWrap/>
            <w:vAlign w:val="center"/>
            <w:hideMark/>
          </w:tcPr>
          <w:p w14:paraId="112CAD5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7A03BB3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7C317B6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115708C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52F8EB0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325E180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5ECBC6B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single" w:sz="4" w:space="0" w:color="auto"/>
            </w:tcBorders>
            <w:shd w:val="clear" w:color="auto" w:fill="auto"/>
            <w:noWrap/>
            <w:vAlign w:val="center"/>
            <w:hideMark/>
          </w:tcPr>
          <w:p w14:paraId="4A941B7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100.0</w:t>
            </w:r>
          </w:p>
        </w:tc>
      </w:tr>
      <w:tr w:rsidR="008F08F8" w:rsidRPr="008F08F8" w14:paraId="13C0A416"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AC13BF4"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225D2B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012610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C1FE34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E5F77C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F81E2E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74EAB62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B5B924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3083F0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5E67E70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316194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1D4CC0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BA3FF7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4D8C205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r>
      <w:tr w:rsidR="008F08F8" w:rsidRPr="008F08F8" w14:paraId="06DEC085"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0639F9B"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8EEDF5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EF9F06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45879DC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EBD457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E1DF1F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000000" w:fill="C4D79B"/>
            <w:noWrap/>
            <w:vAlign w:val="center"/>
            <w:hideMark/>
          </w:tcPr>
          <w:p w14:paraId="1DD787F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7088BBC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8992E2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378BFB5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036E1E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485EAF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0948DA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1E0A294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r>
      <w:tr w:rsidR="008F08F8" w:rsidRPr="008F08F8" w14:paraId="7EFBB8C8"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A8C707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2015</w:t>
            </w:r>
          </w:p>
        </w:tc>
        <w:tc>
          <w:tcPr>
            <w:tcW w:w="800" w:type="dxa"/>
            <w:tcBorders>
              <w:top w:val="nil"/>
              <w:left w:val="nil"/>
              <w:bottom w:val="nil"/>
              <w:right w:val="single" w:sz="4" w:space="0" w:color="auto"/>
            </w:tcBorders>
            <w:shd w:val="clear" w:color="auto" w:fill="auto"/>
            <w:noWrap/>
            <w:vAlign w:val="center"/>
            <w:hideMark/>
          </w:tcPr>
          <w:p w14:paraId="68C3E11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D9E46D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7C10244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124DB6C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100.7</w:t>
            </w:r>
          </w:p>
        </w:tc>
        <w:tc>
          <w:tcPr>
            <w:tcW w:w="660" w:type="dxa"/>
            <w:tcBorders>
              <w:top w:val="single" w:sz="4" w:space="0" w:color="auto"/>
              <w:left w:val="nil"/>
              <w:bottom w:val="nil"/>
              <w:right w:val="nil"/>
            </w:tcBorders>
            <w:shd w:val="clear" w:color="auto" w:fill="auto"/>
            <w:noWrap/>
            <w:vAlign w:val="center"/>
            <w:hideMark/>
          </w:tcPr>
          <w:p w14:paraId="4A68CBA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000000" w:fill="C4D79B"/>
            <w:noWrap/>
            <w:vAlign w:val="center"/>
            <w:hideMark/>
          </w:tcPr>
          <w:p w14:paraId="315A833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7868A6E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auto" w:fill="auto"/>
            <w:noWrap/>
            <w:vAlign w:val="center"/>
            <w:hideMark/>
          </w:tcPr>
          <w:p w14:paraId="61D6CDA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101.5</w:t>
            </w:r>
          </w:p>
        </w:tc>
        <w:tc>
          <w:tcPr>
            <w:tcW w:w="660" w:type="dxa"/>
            <w:tcBorders>
              <w:top w:val="single" w:sz="4" w:space="0" w:color="auto"/>
              <w:left w:val="nil"/>
              <w:bottom w:val="nil"/>
              <w:right w:val="nil"/>
            </w:tcBorders>
            <w:shd w:val="clear" w:color="auto" w:fill="auto"/>
            <w:noWrap/>
            <w:vAlign w:val="center"/>
            <w:hideMark/>
          </w:tcPr>
          <w:p w14:paraId="089D015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101.3</w:t>
            </w:r>
          </w:p>
        </w:tc>
        <w:tc>
          <w:tcPr>
            <w:tcW w:w="660" w:type="dxa"/>
            <w:tcBorders>
              <w:top w:val="single" w:sz="4" w:space="0" w:color="auto"/>
              <w:left w:val="nil"/>
              <w:bottom w:val="nil"/>
              <w:right w:val="nil"/>
            </w:tcBorders>
            <w:shd w:val="clear" w:color="auto" w:fill="auto"/>
            <w:noWrap/>
            <w:vAlign w:val="center"/>
            <w:hideMark/>
          </w:tcPr>
          <w:p w14:paraId="0A49803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40C8590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102.0</w:t>
            </w:r>
          </w:p>
        </w:tc>
        <w:tc>
          <w:tcPr>
            <w:tcW w:w="660" w:type="dxa"/>
            <w:tcBorders>
              <w:top w:val="single" w:sz="4" w:space="0" w:color="auto"/>
              <w:left w:val="nil"/>
              <w:bottom w:val="nil"/>
              <w:right w:val="nil"/>
            </w:tcBorders>
            <w:shd w:val="clear" w:color="auto" w:fill="auto"/>
            <w:noWrap/>
            <w:vAlign w:val="center"/>
            <w:hideMark/>
          </w:tcPr>
          <w:p w14:paraId="610C515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102.0</w:t>
            </w:r>
          </w:p>
        </w:tc>
        <w:tc>
          <w:tcPr>
            <w:tcW w:w="660" w:type="dxa"/>
            <w:tcBorders>
              <w:top w:val="single" w:sz="4" w:space="0" w:color="auto"/>
              <w:left w:val="nil"/>
              <w:bottom w:val="nil"/>
              <w:right w:val="single" w:sz="4" w:space="0" w:color="auto"/>
            </w:tcBorders>
            <w:shd w:val="clear" w:color="auto" w:fill="auto"/>
            <w:noWrap/>
            <w:vAlign w:val="center"/>
            <w:hideMark/>
          </w:tcPr>
          <w:p w14:paraId="30992A6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101.4</w:t>
            </w:r>
          </w:p>
        </w:tc>
      </w:tr>
      <w:tr w:rsidR="008F08F8" w:rsidRPr="008F08F8" w14:paraId="04BE2BD6"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9ECBFED"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A8BB6E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CF45A3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5534CBF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581851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4DCA73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1006CDB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700F4AF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15BC8D6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D89529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832C1E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E457A6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A74D5A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6F35F9D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r>
      <w:tr w:rsidR="008F08F8" w:rsidRPr="008F08F8" w14:paraId="0FAB701C"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EA460ED"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3270FB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C9261A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6B927C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7837A42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9A25CF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34D54B1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75ADB51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240A605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D1DFF9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2E2D02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257ED3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52332AC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0FFD9E3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r>
      <w:tr w:rsidR="008F08F8" w:rsidRPr="008F08F8" w14:paraId="766FE0A3"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EF8AAA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64B6AEC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F5B6B9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013B909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6527D48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4411957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000000" w:fill="C4D79B"/>
            <w:noWrap/>
            <w:vAlign w:val="center"/>
            <w:hideMark/>
          </w:tcPr>
          <w:p w14:paraId="71A0BC2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103.7</w:t>
            </w:r>
          </w:p>
        </w:tc>
        <w:tc>
          <w:tcPr>
            <w:tcW w:w="660" w:type="dxa"/>
            <w:tcBorders>
              <w:top w:val="single" w:sz="4" w:space="0" w:color="auto"/>
              <w:left w:val="nil"/>
              <w:bottom w:val="nil"/>
              <w:right w:val="nil"/>
            </w:tcBorders>
            <w:shd w:val="clear" w:color="auto" w:fill="auto"/>
            <w:noWrap/>
            <w:vAlign w:val="center"/>
            <w:hideMark/>
          </w:tcPr>
          <w:p w14:paraId="3E5F9CB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750B928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104.2</w:t>
            </w:r>
          </w:p>
        </w:tc>
        <w:tc>
          <w:tcPr>
            <w:tcW w:w="660" w:type="dxa"/>
            <w:tcBorders>
              <w:top w:val="single" w:sz="4" w:space="0" w:color="auto"/>
              <w:left w:val="nil"/>
              <w:bottom w:val="nil"/>
              <w:right w:val="nil"/>
            </w:tcBorders>
            <w:shd w:val="clear" w:color="auto" w:fill="auto"/>
            <w:noWrap/>
            <w:vAlign w:val="center"/>
            <w:hideMark/>
          </w:tcPr>
          <w:p w14:paraId="58026AB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104.2</w:t>
            </w:r>
          </w:p>
        </w:tc>
        <w:tc>
          <w:tcPr>
            <w:tcW w:w="660" w:type="dxa"/>
            <w:tcBorders>
              <w:top w:val="single" w:sz="4" w:space="0" w:color="auto"/>
              <w:left w:val="nil"/>
              <w:bottom w:val="nil"/>
              <w:right w:val="nil"/>
            </w:tcBorders>
            <w:shd w:val="clear" w:color="auto" w:fill="auto"/>
            <w:noWrap/>
            <w:vAlign w:val="center"/>
            <w:hideMark/>
          </w:tcPr>
          <w:p w14:paraId="6FC5B8F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104.6</w:t>
            </w:r>
          </w:p>
        </w:tc>
        <w:tc>
          <w:tcPr>
            <w:tcW w:w="660" w:type="dxa"/>
            <w:tcBorders>
              <w:top w:val="single" w:sz="4" w:space="0" w:color="auto"/>
              <w:left w:val="nil"/>
              <w:bottom w:val="nil"/>
              <w:right w:val="nil"/>
            </w:tcBorders>
            <w:shd w:val="clear" w:color="auto" w:fill="auto"/>
            <w:noWrap/>
            <w:vAlign w:val="center"/>
            <w:hideMark/>
          </w:tcPr>
          <w:p w14:paraId="0F56A41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103.8</w:t>
            </w:r>
          </w:p>
        </w:tc>
        <w:tc>
          <w:tcPr>
            <w:tcW w:w="660" w:type="dxa"/>
            <w:tcBorders>
              <w:top w:val="single" w:sz="4" w:space="0" w:color="auto"/>
              <w:left w:val="nil"/>
              <w:bottom w:val="nil"/>
              <w:right w:val="nil"/>
            </w:tcBorders>
            <w:shd w:val="clear" w:color="auto" w:fill="auto"/>
            <w:noWrap/>
            <w:vAlign w:val="center"/>
            <w:hideMark/>
          </w:tcPr>
          <w:p w14:paraId="09E0F83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103.4</w:t>
            </w:r>
          </w:p>
        </w:tc>
        <w:tc>
          <w:tcPr>
            <w:tcW w:w="660" w:type="dxa"/>
            <w:tcBorders>
              <w:top w:val="single" w:sz="4" w:space="0" w:color="auto"/>
              <w:left w:val="nil"/>
              <w:bottom w:val="nil"/>
              <w:right w:val="single" w:sz="4" w:space="0" w:color="auto"/>
            </w:tcBorders>
            <w:shd w:val="clear" w:color="auto" w:fill="auto"/>
            <w:noWrap/>
            <w:vAlign w:val="center"/>
            <w:hideMark/>
          </w:tcPr>
          <w:p w14:paraId="169F403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104.4</w:t>
            </w:r>
          </w:p>
        </w:tc>
      </w:tr>
      <w:tr w:rsidR="008F08F8" w:rsidRPr="008F08F8" w14:paraId="133F8471"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D09B8D0"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903D71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636014F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7810AEE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3313B59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629D5C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5DFB9D3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8CB4A5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9EF625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F9B832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C04800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3B0AAB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4B92195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single" w:sz="4" w:space="0" w:color="auto"/>
            </w:tcBorders>
            <w:shd w:val="clear" w:color="auto" w:fill="auto"/>
            <w:noWrap/>
            <w:vAlign w:val="center"/>
            <w:hideMark/>
          </w:tcPr>
          <w:p w14:paraId="3EE2861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r>
      <w:tr w:rsidR="008F08F8" w:rsidRPr="008F08F8" w14:paraId="59A84F4C"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6C8933C"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7C5106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E1334A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01D8DB5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77627FA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18C8F41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000000" w:fill="C4D79B"/>
            <w:noWrap/>
            <w:vAlign w:val="center"/>
            <w:hideMark/>
          </w:tcPr>
          <w:p w14:paraId="70497BB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E1BCF0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1BE23E8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5186562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2.9</w:t>
            </w:r>
          </w:p>
        </w:tc>
        <w:tc>
          <w:tcPr>
            <w:tcW w:w="660" w:type="dxa"/>
            <w:tcBorders>
              <w:top w:val="nil"/>
              <w:left w:val="nil"/>
              <w:bottom w:val="nil"/>
              <w:right w:val="nil"/>
            </w:tcBorders>
            <w:shd w:val="clear" w:color="auto" w:fill="auto"/>
            <w:noWrap/>
            <w:vAlign w:val="center"/>
            <w:hideMark/>
          </w:tcPr>
          <w:p w14:paraId="29A2FE9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6D0DAF1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4102BCB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c>
          <w:tcPr>
            <w:tcW w:w="660" w:type="dxa"/>
            <w:tcBorders>
              <w:top w:val="nil"/>
              <w:left w:val="nil"/>
              <w:bottom w:val="nil"/>
              <w:right w:val="single" w:sz="4" w:space="0" w:color="auto"/>
            </w:tcBorders>
            <w:shd w:val="clear" w:color="auto" w:fill="auto"/>
            <w:noWrap/>
            <w:vAlign w:val="center"/>
            <w:hideMark/>
          </w:tcPr>
          <w:p w14:paraId="210F0E6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3.0</w:t>
            </w:r>
          </w:p>
        </w:tc>
      </w:tr>
      <w:tr w:rsidR="008F08F8" w:rsidRPr="008F08F8" w14:paraId="73B23496"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8F6F43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2017</w:t>
            </w:r>
          </w:p>
        </w:tc>
        <w:tc>
          <w:tcPr>
            <w:tcW w:w="800" w:type="dxa"/>
            <w:tcBorders>
              <w:top w:val="nil"/>
              <w:left w:val="nil"/>
              <w:bottom w:val="nil"/>
              <w:right w:val="single" w:sz="4" w:space="0" w:color="auto"/>
            </w:tcBorders>
            <w:shd w:val="clear" w:color="auto" w:fill="auto"/>
            <w:noWrap/>
            <w:vAlign w:val="center"/>
            <w:hideMark/>
          </w:tcPr>
          <w:p w14:paraId="2502F6F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DC9ECB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103.6</w:t>
            </w:r>
          </w:p>
        </w:tc>
        <w:tc>
          <w:tcPr>
            <w:tcW w:w="660" w:type="dxa"/>
            <w:tcBorders>
              <w:top w:val="single" w:sz="4" w:space="0" w:color="auto"/>
              <w:left w:val="nil"/>
              <w:bottom w:val="nil"/>
              <w:right w:val="nil"/>
            </w:tcBorders>
            <w:shd w:val="clear" w:color="auto" w:fill="auto"/>
            <w:noWrap/>
            <w:vAlign w:val="center"/>
            <w:hideMark/>
          </w:tcPr>
          <w:p w14:paraId="468A6FF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102.4</w:t>
            </w:r>
          </w:p>
        </w:tc>
        <w:tc>
          <w:tcPr>
            <w:tcW w:w="660" w:type="dxa"/>
            <w:tcBorders>
              <w:top w:val="single" w:sz="4" w:space="0" w:color="auto"/>
              <w:left w:val="nil"/>
              <w:bottom w:val="nil"/>
              <w:right w:val="nil"/>
            </w:tcBorders>
            <w:shd w:val="clear" w:color="auto" w:fill="auto"/>
            <w:noWrap/>
            <w:vAlign w:val="center"/>
            <w:hideMark/>
          </w:tcPr>
          <w:p w14:paraId="47F6F22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auto" w:fill="auto"/>
            <w:noWrap/>
            <w:vAlign w:val="center"/>
            <w:hideMark/>
          </w:tcPr>
          <w:p w14:paraId="67B5D48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000000" w:fill="C4D79B"/>
            <w:noWrap/>
            <w:vAlign w:val="center"/>
            <w:hideMark/>
          </w:tcPr>
          <w:p w14:paraId="45A74EF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3E8DCA6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609A956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102.7</w:t>
            </w:r>
          </w:p>
        </w:tc>
        <w:tc>
          <w:tcPr>
            <w:tcW w:w="660" w:type="dxa"/>
            <w:tcBorders>
              <w:top w:val="single" w:sz="4" w:space="0" w:color="auto"/>
              <w:left w:val="nil"/>
              <w:bottom w:val="nil"/>
              <w:right w:val="nil"/>
            </w:tcBorders>
            <w:shd w:val="clear" w:color="auto" w:fill="auto"/>
            <w:noWrap/>
            <w:vAlign w:val="center"/>
            <w:hideMark/>
          </w:tcPr>
          <w:p w14:paraId="25617A6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27A1F59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0B58A8A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634C05D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103.4</w:t>
            </w:r>
          </w:p>
        </w:tc>
        <w:tc>
          <w:tcPr>
            <w:tcW w:w="660" w:type="dxa"/>
            <w:tcBorders>
              <w:top w:val="single" w:sz="4" w:space="0" w:color="auto"/>
              <w:left w:val="nil"/>
              <w:bottom w:val="nil"/>
              <w:right w:val="single" w:sz="4" w:space="0" w:color="auto"/>
            </w:tcBorders>
            <w:shd w:val="clear" w:color="auto" w:fill="auto"/>
            <w:noWrap/>
            <w:vAlign w:val="center"/>
            <w:hideMark/>
          </w:tcPr>
          <w:p w14:paraId="7688A86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103.0</w:t>
            </w:r>
          </w:p>
        </w:tc>
      </w:tr>
      <w:tr w:rsidR="008F08F8" w:rsidRPr="008F08F8" w14:paraId="45487CD1"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6985A5A"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DCEEBE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63D32D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64D4633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42EEC0D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5C68069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1DD1A19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E3072A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3AA1F0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074D3D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CEEBA0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D63E58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C6A3CD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single" w:sz="4" w:space="0" w:color="auto"/>
            </w:tcBorders>
            <w:shd w:val="clear" w:color="auto" w:fill="auto"/>
            <w:noWrap/>
            <w:vAlign w:val="center"/>
            <w:hideMark/>
          </w:tcPr>
          <w:p w14:paraId="02AD169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r>
      <w:tr w:rsidR="008F08F8" w:rsidRPr="008F08F8" w14:paraId="6374965B"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8E92F3B"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4C5919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A705A8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234DB7E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7794B7A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F55D43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3ABA058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D73394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186930D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68345A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512FAB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042843E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17C1A21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7A74873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r>
      <w:tr w:rsidR="008F08F8" w:rsidRPr="008F08F8" w14:paraId="1F0668CB" w14:textId="77777777" w:rsidTr="008F08F8">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AB91C9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7A8BA10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9AD7C4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102.5</w:t>
            </w:r>
          </w:p>
        </w:tc>
        <w:tc>
          <w:tcPr>
            <w:tcW w:w="660" w:type="dxa"/>
            <w:tcBorders>
              <w:top w:val="single" w:sz="4" w:space="0" w:color="auto"/>
              <w:left w:val="nil"/>
              <w:bottom w:val="nil"/>
              <w:right w:val="nil"/>
            </w:tcBorders>
            <w:shd w:val="clear" w:color="auto" w:fill="auto"/>
            <w:noWrap/>
            <w:vAlign w:val="center"/>
            <w:hideMark/>
          </w:tcPr>
          <w:p w14:paraId="6F84CD6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54C9226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103.9</w:t>
            </w:r>
          </w:p>
        </w:tc>
        <w:tc>
          <w:tcPr>
            <w:tcW w:w="660" w:type="dxa"/>
            <w:tcBorders>
              <w:top w:val="single" w:sz="4" w:space="0" w:color="auto"/>
              <w:left w:val="nil"/>
              <w:bottom w:val="nil"/>
              <w:right w:val="nil"/>
            </w:tcBorders>
            <w:shd w:val="clear" w:color="auto" w:fill="auto"/>
            <w:noWrap/>
            <w:vAlign w:val="center"/>
            <w:hideMark/>
          </w:tcPr>
          <w:p w14:paraId="433929E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104.4</w:t>
            </w:r>
          </w:p>
        </w:tc>
        <w:tc>
          <w:tcPr>
            <w:tcW w:w="660" w:type="dxa"/>
            <w:tcBorders>
              <w:top w:val="single" w:sz="4" w:space="0" w:color="auto"/>
              <w:left w:val="nil"/>
              <w:bottom w:val="nil"/>
              <w:right w:val="nil"/>
            </w:tcBorders>
            <w:shd w:val="clear" w:color="000000" w:fill="C4D79B"/>
            <w:noWrap/>
            <w:vAlign w:val="center"/>
            <w:hideMark/>
          </w:tcPr>
          <w:p w14:paraId="03083E2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104.8</w:t>
            </w:r>
          </w:p>
        </w:tc>
        <w:tc>
          <w:tcPr>
            <w:tcW w:w="660" w:type="dxa"/>
            <w:tcBorders>
              <w:top w:val="single" w:sz="4" w:space="0" w:color="auto"/>
              <w:left w:val="nil"/>
              <w:bottom w:val="nil"/>
              <w:right w:val="nil"/>
            </w:tcBorders>
            <w:shd w:val="clear" w:color="auto" w:fill="auto"/>
            <w:noWrap/>
            <w:vAlign w:val="center"/>
            <w:hideMark/>
          </w:tcPr>
          <w:p w14:paraId="6E455ED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7653736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7A7F5AE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02CE84E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104.6</w:t>
            </w:r>
          </w:p>
        </w:tc>
        <w:tc>
          <w:tcPr>
            <w:tcW w:w="660" w:type="dxa"/>
            <w:tcBorders>
              <w:top w:val="single" w:sz="4" w:space="0" w:color="auto"/>
              <w:left w:val="nil"/>
              <w:bottom w:val="nil"/>
              <w:right w:val="nil"/>
            </w:tcBorders>
            <w:shd w:val="clear" w:color="auto" w:fill="auto"/>
            <w:noWrap/>
            <w:vAlign w:val="center"/>
            <w:hideMark/>
          </w:tcPr>
          <w:p w14:paraId="47CDE5B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nil"/>
            </w:tcBorders>
            <w:shd w:val="clear" w:color="auto" w:fill="auto"/>
            <w:noWrap/>
            <w:vAlign w:val="center"/>
            <w:hideMark/>
          </w:tcPr>
          <w:p w14:paraId="40F3709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105.1</w:t>
            </w:r>
          </w:p>
        </w:tc>
        <w:tc>
          <w:tcPr>
            <w:tcW w:w="660" w:type="dxa"/>
            <w:tcBorders>
              <w:top w:val="single" w:sz="4" w:space="0" w:color="auto"/>
              <w:left w:val="nil"/>
              <w:bottom w:val="nil"/>
              <w:right w:val="single" w:sz="4" w:space="0" w:color="auto"/>
            </w:tcBorders>
            <w:shd w:val="clear" w:color="auto" w:fill="auto"/>
            <w:noWrap/>
            <w:vAlign w:val="center"/>
            <w:hideMark/>
          </w:tcPr>
          <w:p w14:paraId="5633DF3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104.8</w:t>
            </w:r>
          </w:p>
        </w:tc>
      </w:tr>
      <w:tr w:rsidR="008F08F8" w:rsidRPr="008F08F8" w14:paraId="38CBAAC1" w14:textId="77777777" w:rsidTr="008F08F8">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3EEEF3D"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05CD98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5126FE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F5CCD6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64107B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67D1D7C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000000" w:fill="C4D79B"/>
            <w:noWrap/>
            <w:vAlign w:val="center"/>
            <w:hideMark/>
          </w:tcPr>
          <w:p w14:paraId="784F3D5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2F102D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30753B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B236A4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8AFD9C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D41F6B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6A395E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6CBA0E8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r>
      <w:tr w:rsidR="008F08F8" w:rsidRPr="008F08F8" w14:paraId="1DC7A0D9" w14:textId="77777777" w:rsidTr="008F08F8">
        <w:trPr>
          <w:trHeight w:val="210"/>
        </w:trPr>
        <w:tc>
          <w:tcPr>
            <w:tcW w:w="660" w:type="dxa"/>
            <w:vMerge/>
            <w:tcBorders>
              <w:top w:val="single" w:sz="4" w:space="0" w:color="auto"/>
              <w:left w:val="single" w:sz="4" w:space="0" w:color="auto"/>
              <w:bottom w:val="single" w:sz="4" w:space="0" w:color="000000"/>
              <w:right w:val="nil"/>
            </w:tcBorders>
            <w:vAlign w:val="center"/>
            <w:hideMark/>
          </w:tcPr>
          <w:p w14:paraId="78628EFE"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814A12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A77512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E71F68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550A6D7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0C15FCF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000000" w:fill="C4D79B"/>
            <w:noWrap/>
            <w:vAlign w:val="center"/>
            <w:hideMark/>
          </w:tcPr>
          <w:p w14:paraId="42976DC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465BF69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510EC8C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F396BA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18E4056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7EB0973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57A6CFE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3583D67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1.8</w:t>
            </w:r>
          </w:p>
        </w:tc>
      </w:tr>
      <w:tr w:rsidR="008F08F8" w:rsidRPr="008F08F8" w14:paraId="7C80F002" w14:textId="77777777" w:rsidTr="008F08F8">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E7263D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556D4C7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D1AE91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6C6BEC5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105.6</w:t>
            </w:r>
          </w:p>
        </w:tc>
        <w:tc>
          <w:tcPr>
            <w:tcW w:w="660" w:type="dxa"/>
            <w:tcBorders>
              <w:top w:val="single" w:sz="4" w:space="0" w:color="auto"/>
              <w:left w:val="nil"/>
              <w:bottom w:val="nil"/>
              <w:right w:val="nil"/>
            </w:tcBorders>
            <w:shd w:val="clear" w:color="auto" w:fill="auto"/>
            <w:noWrap/>
            <w:vAlign w:val="center"/>
            <w:hideMark/>
          </w:tcPr>
          <w:p w14:paraId="0357BF0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106.4</w:t>
            </w:r>
          </w:p>
        </w:tc>
        <w:tc>
          <w:tcPr>
            <w:tcW w:w="660" w:type="dxa"/>
            <w:tcBorders>
              <w:top w:val="single" w:sz="4" w:space="0" w:color="auto"/>
              <w:left w:val="nil"/>
              <w:bottom w:val="nil"/>
              <w:right w:val="nil"/>
            </w:tcBorders>
            <w:shd w:val="clear" w:color="auto" w:fill="auto"/>
            <w:noWrap/>
            <w:vAlign w:val="center"/>
            <w:hideMark/>
          </w:tcPr>
          <w:p w14:paraId="5847F9C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107.1</w:t>
            </w:r>
          </w:p>
        </w:tc>
        <w:tc>
          <w:tcPr>
            <w:tcW w:w="660" w:type="dxa"/>
            <w:tcBorders>
              <w:top w:val="single" w:sz="4" w:space="0" w:color="auto"/>
              <w:left w:val="nil"/>
              <w:bottom w:val="nil"/>
              <w:right w:val="nil"/>
            </w:tcBorders>
            <w:shd w:val="clear" w:color="000000" w:fill="C4D79B"/>
            <w:noWrap/>
            <w:vAlign w:val="center"/>
            <w:hideMark/>
          </w:tcPr>
          <w:p w14:paraId="5C474F9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36C63CF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106.4</w:t>
            </w:r>
          </w:p>
        </w:tc>
        <w:tc>
          <w:tcPr>
            <w:tcW w:w="660" w:type="dxa"/>
            <w:tcBorders>
              <w:top w:val="single" w:sz="4" w:space="0" w:color="auto"/>
              <w:left w:val="nil"/>
              <w:bottom w:val="nil"/>
              <w:right w:val="nil"/>
            </w:tcBorders>
            <w:shd w:val="clear" w:color="auto" w:fill="auto"/>
            <w:noWrap/>
            <w:vAlign w:val="center"/>
            <w:hideMark/>
          </w:tcPr>
          <w:p w14:paraId="6E1C832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106.8</w:t>
            </w:r>
          </w:p>
        </w:tc>
        <w:tc>
          <w:tcPr>
            <w:tcW w:w="660" w:type="dxa"/>
            <w:tcBorders>
              <w:top w:val="single" w:sz="4" w:space="0" w:color="auto"/>
              <w:left w:val="nil"/>
              <w:bottom w:val="nil"/>
              <w:right w:val="nil"/>
            </w:tcBorders>
            <w:shd w:val="clear" w:color="auto" w:fill="auto"/>
            <w:noWrap/>
            <w:vAlign w:val="center"/>
            <w:hideMark/>
          </w:tcPr>
          <w:p w14:paraId="56E133D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188E4E2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107.7</w:t>
            </w:r>
          </w:p>
        </w:tc>
        <w:tc>
          <w:tcPr>
            <w:tcW w:w="660" w:type="dxa"/>
            <w:tcBorders>
              <w:top w:val="single" w:sz="4" w:space="0" w:color="auto"/>
              <w:left w:val="nil"/>
              <w:bottom w:val="nil"/>
              <w:right w:val="nil"/>
            </w:tcBorders>
            <w:shd w:val="clear" w:color="auto" w:fill="auto"/>
            <w:noWrap/>
            <w:vAlign w:val="center"/>
            <w:hideMark/>
          </w:tcPr>
          <w:p w14:paraId="26598EA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108.0</w:t>
            </w:r>
          </w:p>
        </w:tc>
        <w:tc>
          <w:tcPr>
            <w:tcW w:w="660" w:type="dxa"/>
            <w:tcBorders>
              <w:top w:val="single" w:sz="4" w:space="0" w:color="auto"/>
              <w:left w:val="nil"/>
              <w:bottom w:val="nil"/>
              <w:right w:val="nil"/>
            </w:tcBorders>
            <w:shd w:val="clear" w:color="auto" w:fill="auto"/>
            <w:noWrap/>
            <w:vAlign w:val="center"/>
            <w:hideMark/>
          </w:tcPr>
          <w:p w14:paraId="54C27E00"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107.9</w:t>
            </w:r>
          </w:p>
        </w:tc>
        <w:tc>
          <w:tcPr>
            <w:tcW w:w="660" w:type="dxa"/>
            <w:tcBorders>
              <w:top w:val="single" w:sz="4" w:space="0" w:color="auto"/>
              <w:left w:val="nil"/>
              <w:bottom w:val="nil"/>
              <w:right w:val="single" w:sz="4" w:space="0" w:color="auto"/>
            </w:tcBorders>
            <w:shd w:val="clear" w:color="auto" w:fill="auto"/>
            <w:noWrap/>
            <w:vAlign w:val="center"/>
            <w:hideMark/>
          </w:tcPr>
          <w:p w14:paraId="44689DF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108.5</w:t>
            </w:r>
          </w:p>
        </w:tc>
      </w:tr>
      <w:tr w:rsidR="008F08F8" w:rsidRPr="008F08F8" w14:paraId="2A5C7210" w14:textId="77777777" w:rsidTr="008F08F8">
        <w:trPr>
          <w:trHeight w:val="210"/>
        </w:trPr>
        <w:tc>
          <w:tcPr>
            <w:tcW w:w="660" w:type="dxa"/>
            <w:vMerge/>
            <w:tcBorders>
              <w:top w:val="single" w:sz="4" w:space="0" w:color="auto"/>
              <w:left w:val="single" w:sz="4" w:space="0" w:color="auto"/>
              <w:bottom w:val="single" w:sz="4" w:space="0" w:color="000000"/>
              <w:right w:val="nil"/>
            </w:tcBorders>
            <w:vAlign w:val="center"/>
            <w:hideMark/>
          </w:tcPr>
          <w:p w14:paraId="7984706A"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8D97DB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AB9461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0C22A4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3DBFA6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4922CFE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000000" w:fill="C4D79B"/>
            <w:noWrap/>
            <w:vAlign w:val="center"/>
            <w:hideMark/>
          </w:tcPr>
          <w:p w14:paraId="578EECD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2120F41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840ACC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430743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1E7C88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405061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FC75D6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1E57D39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r>
      <w:tr w:rsidR="008F08F8" w:rsidRPr="008F08F8" w14:paraId="17F7F84E" w14:textId="77777777" w:rsidTr="008F08F8">
        <w:trPr>
          <w:trHeight w:val="210"/>
        </w:trPr>
        <w:tc>
          <w:tcPr>
            <w:tcW w:w="660" w:type="dxa"/>
            <w:vMerge/>
            <w:tcBorders>
              <w:top w:val="single" w:sz="4" w:space="0" w:color="auto"/>
              <w:left w:val="single" w:sz="4" w:space="0" w:color="auto"/>
              <w:bottom w:val="single" w:sz="4" w:space="0" w:color="000000"/>
              <w:right w:val="nil"/>
            </w:tcBorders>
            <w:vAlign w:val="center"/>
            <w:hideMark/>
          </w:tcPr>
          <w:p w14:paraId="3790AA7A"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3E8DBE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74998C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D77761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2AFA421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DC6889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000000" w:fill="C4D79B"/>
            <w:noWrap/>
            <w:vAlign w:val="center"/>
            <w:hideMark/>
          </w:tcPr>
          <w:p w14:paraId="24728B4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59550F4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F373E3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755B1C7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35F386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37038BF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3.2</w:t>
            </w:r>
          </w:p>
        </w:tc>
        <w:tc>
          <w:tcPr>
            <w:tcW w:w="660" w:type="dxa"/>
            <w:tcBorders>
              <w:top w:val="nil"/>
              <w:left w:val="nil"/>
              <w:bottom w:val="nil"/>
              <w:right w:val="nil"/>
            </w:tcBorders>
            <w:shd w:val="clear" w:color="auto" w:fill="auto"/>
            <w:noWrap/>
            <w:vAlign w:val="center"/>
            <w:hideMark/>
          </w:tcPr>
          <w:p w14:paraId="1E1DD76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2.7</w:t>
            </w:r>
          </w:p>
        </w:tc>
        <w:tc>
          <w:tcPr>
            <w:tcW w:w="660" w:type="dxa"/>
            <w:tcBorders>
              <w:top w:val="nil"/>
              <w:left w:val="nil"/>
              <w:bottom w:val="nil"/>
              <w:right w:val="single" w:sz="4" w:space="0" w:color="auto"/>
            </w:tcBorders>
            <w:shd w:val="clear" w:color="auto" w:fill="auto"/>
            <w:noWrap/>
            <w:vAlign w:val="center"/>
            <w:hideMark/>
          </w:tcPr>
          <w:p w14:paraId="79DC6AB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3.5</w:t>
            </w:r>
          </w:p>
        </w:tc>
      </w:tr>
      <w:tr w:rsidR="008F08F8" w:rsidRPr="008F08F8" w14:paraId="4E7C2DEE" w14:textId="77777777" w:rsidTr="008F08F8">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EFD96C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2020</w:t>
            </w:r>
          </w:p>
        </w:tc>
        <w:tc>
          <w:tcPr>
            <w:tcW w:w="800" w:type="dxa"/>
            <w:tcBorders>
              <w:top w:val="nil"/>
              <w:left w:val="nil"/>
              <w:bottom w:val="nil"/>
              <w:right w:val="single" w:sz="4" w:space="0" w:color="auto"/>
            </w:tcBorders>
            <w:shd w:val="clear" w:color="auto" w:fill="auto"/>
            <w:noWrap/>
            <w:vAlign w:val="center"/>
            <w:hideMark/>
          </w:tcPr>
          <w:p w14:paraId="018E7DA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2783BD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108.5</w:t>
            </w:r>
          </w:p>
        </w:tc>
        <w:tc>
          <w:tcPr>
            <w:tcW w:w="660" w:type="dxa"/>
            <w:tcBorders>
              <w:top w:val="single" w:sz="4" w:space="0" w:color="auto"/>
              <w:left w:val="nil"/>
              <w:bottom w:val="nil"/>
              <w:right w:val="nil"/>
            </w:tcBorders>
            <w:shd w:val="clear" w:color="auto" w:fill="auto"/>
            <w:noWrap/>
            <w:vAlign w:val="center"/>
            <w:hideMark/>
          </w:tcPr>
          <w:p w14:paraId="699BEFA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108.9</w:t>
            </w:r>
          </w:p>
        </w:tc>
        <w:tc>
          <w:tcPr>
            <w:tcW w:w="660" w:type="dxa"/>
            <w:tcBorders>
              <w:top w:val="single" w:sz="4" w:space="0" w:color="auto"/>
              <w:left w:val="nil"/>
              <w:bottom w:val="nil"/>
              <w:right w:val="nil"/>
            </w:tcBorders>
            <w:shd w:val="clear" w:color="auto" w:fill="auto"/>
            <w:noWrap/>
            <w:vAlign w:val="center"/>
            <w:hideMark/>
          </w:tcPr>
          <w:p w14:paraId="1E45FBD1"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7DDA371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107.0</w:t>
            </w:r>
          </w:p>
        </w:tc>
        <w:tc>
          <w:tcPr>
            <w:tcW w:w="660" w:type="dxa"/>
            <w:tcBorders>
              <w:top w:val="single" w:sz="4" w:space="0" w:color="auto"/>
              <w:left w:val="nil"/>
              <w:bottom w:val="nil"/>
              <w:right w:val="nil"/>
            </w:tcBorders>
            <w:shd w:val="clear" w:color="000000" w:fill="C4D79B"/>
            <w:noWrap/>
            <w:vAlign w:val="center"/>
            <w:hideMark/>
          </w:tcPr>
          <w:p w14:paraId="3780A06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5C97A0F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4006C0A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5E19A4D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18D6256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6A658A9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548319E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single" w:sz="4" w:space="0" w:color="auto"/>
              <w:left w:val="nil"/>
              <w:bottom w:val="nil"/>
              <w:right w:val="single" w:sz="4" w:space="0" w:color="auto"/>
            </w:tcBorders>
            <w:shd w:val="clear" w:color="auto" w:fill="auto"/>
            <w:noWrap/>
            <w:vAlign w:val="center"/>
            <w:hideMark/>
          </w:tcPr>
          <w:p w14:paraId="4485723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r>
      <w:tr w:rsidR="008F08F8" w:rsidRPr="008F08F8" w14:paraId="1721E096" w14:textId="77777777" w:rsidTr="008F08F8">
        <w:trPr>
          <w:trHeight w:val="210"/>
        </w:trPr>
        <w:tc>
          <w:tcPr>
            <w:tcW w:w="660" w:type="dxa"/>
            <w:vMerge/>
            <w:tcBorders>
              <w:top w:val="single" w:sz="4" w:space="0" w:color="auto"/>
              <w:left w:val="single" w:sz="4" w:space="0" w:color="auto"/>
              <w:bottom w:val="single" w:sz="4" w:space="0" w:color="000000"/>
              <w:right w:val="nil"/>
            </w:tcBorders>
            <w:vAlign w:val="center"/>
            <w:hideMark/>
          </w:tcPr>
          <w:p w14:paraId="0CFADDE7"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F1FA39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BD4767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0D137B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553B08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56A7788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71C835F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-3.8</w:t>
            </w:r>
          </w:p>
        </w:tc>
        <w:tc>
          <w:tcPr>
            <w:tcW w:w="660" w:type="dxa"/>
            <w:tcBorders>
              <w:top w:val="nil"/>
              <w:left w:val="nil"/>
              <w:bottom w:val="nil"/>
              <w:right w:val="nil"/>
            </w:tcBorders>
            <w:shd w:val="clear" w:color="auto" w:fill="auto"/>
            <w:noWrap/>
            <w:vAlign w:val="center"/>
            <w:hideMark/>
          </w:tcPr>
          <w:p w14:paraId="28CC7F1C"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p>
        </w:tc>
        <w:tc>
          <w:tcPr>
            <w:tcW w:w="660" w:type="dxa"/>
            <w:tcBorders>
              <w:top w:val="nil"/>
              <w:left w:val="nil"/>
              <w:bottom w:val="nil"/>
              <w:right w:val="nil"/>
            </w:tcBorders>
            <w:shd w:val="clear" w:color="auto" w:fill="auto"/>
            <w:noWrap/>
            <w:vAlign w:val="center"/>
            <w:hideMark/>
          </w:tcPr>
          <w:p w14:paraId="4835183C" w14:textId="77777777" w:rsidR="008F08F8" w:rsidRPr="008F08F8" w:rsidRDefault="008F08F8" w:rsidP="008F08F8">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37EF7F14" w14:textId="77777777" w:rsidR="008F08F8" w:rsidRPr="008F08F8" w:rsidRDefault="008F08F8" w:rsidP="008F08F8">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79EAEE77" w14:textId="77777777" w:rsidR="008F08F8" w:rsidRPr="008F08F8" w:rsidRDefault="008F08F8" w:rsidP="008F08F8">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44CB4105" w14:textId="77777777" w:rsidR="008F08F8" w:rsidRPr="008F08F8" w:rsidRDefault="008F08F8" w:rsidP="008F08F8">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448A24F9" w14:textId="77777777" w:rsidR="008F08F8" w:rsidRPr="008F08F8" w:rsidRDefault="008F08F8" w:rsidP="008F08F8">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single" w:sz="4" w:space="0" w:color="auto"/>
            </w:tcBorders>
            <w:shd w:val="clear" w:color="auto" w:fill="auto"/>
            <w:noWrap/>
            <w:vAlign w:val="center"/>
            <w:hideMark/>
          </w:tcPr>
          <w:p w14:paraId="02B93B3A"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r>
      <w:tr w:rsidR="008F08F8" w:rsidRPr="008F08F8" w14:paraId="1484EC2A" w14:textId="77777777" w:rsidTr="008F08F8">
        <w:trPr>
          <w:trHeight w:val="210"/>
        </w:trPr>
        <w:tc>
          <w:tcPr>
            <w:tcW w:w="660" w:type="dxa"/>
            <w:vMerge/>
            <w:tcBorders>
              <w:top w:val="single" w:sz="4" w:space="0" w:color="auto"/>
              <w:left w:val="single" w:sz="4" w:space="0" w:color="auto"/>
              <w:bottom w:val="single" w:sz="4" w:space="0" w:color="000000"/>
              <w:right w:val="nil"/>
            </w:tcBorders>
            <w:vAlign w:val="center"/>
            <w:hideMark/>
          </w:tcPr>
          <w:p w14:paraId="09B19D09" w14:textId="77777777" w:rsidR="008F08F8" w:rsidRPr="008F08F8" w:rsidRDefault="008F08F8" w:rsidP="008F08F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DE211C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4D0B8E9"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3.4</w:t>
            </w:r>
          </w:p>
        </w:tc>
        <w:tc>
          <w:tcPr>
            <w:tcW w:w="660" w:type="dxa"/>
            <w:tcBorders>
              <w:top w:val="nil"/>
              <w:left w:val="nil"/>
              <w:bottom w:val="single" w:sz="4" w:space="0" w:color="auto"/>
              <w:right w:val="nil"/>
            </w:tcBorders>
            <w:shd w:val="clear" w:color="auto" w:fill="auto"/>
            <w:noWrap/>
            <w:vAlign w:val="center"/>
            <w:hideMark/>
          </w:tcPr>
          <w:p w14:paraId="3652B6B6"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3.1</w:t>
            </w:r>
          </w:p>
        </w:tc>
        <w:tc>
          <w:tcPr>
            <w:tcW w:w="660" w:type="dxa"/>
            <w:tcBorders>
              <w:top w:val="nil"/>
              <w:left w:val="nil"/>
              <w:bottom w:val="single" w:sz="4" w:space="0" w:color="auto"/>
              <w:right w:val="nil"/>
            </w:tcBorders>
            <w:shd w:val="clear" w:color="auto" w:fill="auto"/>
            <w:noWrap/>
            <w:vAlign w:val="center"/>
            <w:hideMark/>
          </w:tcPr>
          <w:p w14:paraId="1E382575"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B01BBF7"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000000" w:fill="C4D79B"/>
            <w:noWrap/>
            <w:vAlign w:val="center"/>
            <w:hideMark/>
          </w:tcPr>
          <w:p w14:paraId="3C94D0FE"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-3.1</w:t>
            </w:r>
          </w:p>
        </w:tc>
        <w:tc>
          <w:tcPr>
            <w:tcW w:w="660" w:type="dxa"/>
            <w:tcBorders>
              <w:top w:val="nil"/>
              <w:left w:val="nil"/>
              <w:bottom w:val="single" w:sz="4" w:space="0" w:color="auto"/>
              <w:right w:val="nil"/>
            </w:tcBorders>
            <w:shd w:val="clear" w:color="auto" w:fill="auto"/>
            <w:noWrap/>
            <w:vAlign w:val="center"/>
            <w:hideMark/>
          </w:tcPr>
          <w:p w14:paraId="3422673B"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26DF1CCD"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58609A32"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0D085313"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1367AA64"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0B00716F"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2B0C5E28" w14:textId="77777777" w:rsidR="008F08F8" w:rsidRPr="008F08F8" w:rsidRDefault="008F08F8" w:rsidP="008F08F8">
            <w:pPr>
              <w:spacing w:after="0" w:line="240" w:lineRule="auto"/>
              <w:jc w:val="center"/>
              <w:rPr>
                <w:rFonts w:ascii="Arial" w:eastAsia="Times New Roman" w:hAnsi="Arial" w:cs="Arial"/>
                <w:color w:val="000000"/>
                <w:sz w:val="16"/>
                <w:szCs w:val="16"/>
                <w:lang w:eastAsia="es-MX"/>
              </w:rPr>
            </w:pPr>
            <w:r w:rsidRPr="008F08F8">
              <w:rPr>
                <w:rFonts w:ascii="Arial" w:eastAsia="Times New Roman" w:hAnsi="Arial" w:cs="Arial"/>
                <w:color w:val="000000"/>
                <w:sz w:val="16"/>
                <w:szCs w:val="16"/>
                <w:lang w:eastAsia="es-MX"/>
              </w:rPr>
              <w:t> </w:t>
            </w:r>
          </w:p>
        </w:tc>
      </w:tr>
    </w:tbl>
    <w:p w14:paraId="00ABE4D1" w14:textId="165B4A5E" w:rsidR="00D73B5B" w:rsidRPr="00DA26BC" w:rsidRDefault="00D73B5B" w:rsidP="009A7101">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5D75E4DD" w14:textId="77777777" w:rsidR="00D73B5B" w:rsidRDefault="00D73B5B" w:rsidP="009A7101">
      <w:pPr>
        <w:spacing w:after="0" w:line="240" w:lineRule="auto"/>
        <w:jc w:val="both"/>
        <w:rPr>
          <w:rFonts w:ascii="Arial" w:hAnsi="Arial" w:cs="Arial"/>
          <w:sz w:val="24"/>
          <w:szCs w:val="24"/>
        </w:rPr>
      </w:pPr>
    </w:p>
    <w:p w14:paraId="21BF816C" w14:textId="176C4E2C" w:rsidR="00AF21E8" w:rsidRDefault="00AF21E8" w:rsidP="009A7101">
      <w:pPr>
        <w:spacing w:after="0" w:line="240" w:lineRule="auto"/>
        <w:jc w:val="both"/>
        <w:rPr>
          <w:rFonts w:ascii="Arial" w:hAnsi="Arial" w:cs="Arial"/>
          <w:sz w:val="24"/>
          <w:szCs w:val="24"/>
        </w:rPr>
      </w:pPr>
      <w:r w:rsidRPr="00587626">
        <w:rPr>
          <w:rFonts w:ascii="Arial" w:hAnsi="Arial" w:cs="Arial"/>
          <w:sz w:val="24"/>
          <w:szCs w:val="24"/>
        </w:rPr>
        <w:lastRenderedPageBreak/>
        <w:t>Para los meses de mayo de</w:t>
      </w:r>
      <w:r w:rsidR="008F08F8">
        <w:rPr>
          <w:rFonts w:ascii="Arial" w:hAnsi="Arial" w:cs="Arial"/>
          <w:sz w:val="24"/>
          <w:szCs w:val="24"/>
        </w:rPr>
        <w:t xml:space="preserve"> </w:t>
      </w:r>
      <w:r w:rsidRPr="00587626">
        <w:rPr>
          <w:rFonts w:ascii="Arial" w:hAnsi="Arial" w:cs="Arial"/>
          <w:sz w:val="24"/>
          <w:szCs w:val="24"/>
        </w:rPr>
        <w:t>l</w:t>
      </w:r>
      <w:r w:rsidR="008F08F8">
        <w:rPr>
          <w:rFonts w:ascii="Arial" w:hAnsi="Arial" w:cs="Arial"/>
          <w:sz w:val="24"/>
          <w:szCs w:val="24"/>
        </w:rPr>
        <w:t>os años 2010, 2011, 2013-2016, 2018 y 2019</w:t>
      </w:r>
      <w:r w:rsidRPr="00587626">
        <w:rPr>
          <w:rFonts w:ascii="Arial" w:hAnsi="Arial" w:cs="Arial"/>
          <w:sz w:val="24"/>
          <w:szCs w:val="24"/>
        </w:rPr>
        <w:t xml:space="preserve">, </w:t>
      </w:r>
      <w:r>
        <w:rPr>
          <w:rFonts w:ascii="Arial" w:hAnsi="Arial" w:cs="Arial"/>
          <w:sz w:val="24"/>
          <w:szCs w:val="24"/>
        </w:rPr>
        <w:t xml:space="preserve">el IGREMSE </w:t>
      </w:r>
      <w:r w:rsidRPr="00587626">
        <w:rPr>
          <w:rFonts w:ascii="Arial" w:hAnsi="Arial" w:cs="Arial"/>
          <w:sz w:val="24"/>
          <w:szCs w:val="24"/>
        </w:rPr>
        <w:t>ha registrado variaciones anuales positivas y en los años 2009</w:t>
      </w:r>
      <w:r w:rsidR="008F08F8">
        <w:rPr>
          <w:rFonts w:ascii="Arial" w:hAnsi="Arial" w:cs="Arial"/>
          <w:sz w:val="24"/>
          <w:szCs w:val="24"/>
        </w:rPr>
        <w:t>, 2012, 2017</w:t>
      </w:r>
      <w:r w:rsidRPr="00587626">
        <w:rPr>
          <w:rFonts w:ascii="Arial" w:hAnsi="Arial" w:cs="Arial"/>
          <w:sz w:val="24"/>
          <w:szCs w:val="24"/>
        </w:rPr>
        <w:t xml:space="preserve"> y 2020 </w:t>
      </w:r>
      <w:r w:rsidR="002E0853">
        <w:rPr>
          <w:rFonts w:ascii="Arial" w:hAnsi="Arial" w:cs="Arial"/>
          <w:sz w:val="24"/>
          <w:szCs w:val="24"/>
        </w:rPr>
        <w:t xml:space="preserve">han sido variaciones anuales </w:t>
      </w:r>
      <w:r w:rsidRPr="00587626">
        <w:rPr>
          <w:rFonts w:ascii="Arial" w:hAnsi="Arial" w:cs="Arial"/>
          <w:sz w:val="24"/>
          <w:szCs w:val="24"/>
        </w:rPr>
        <w:t>negativas.</w:t>
      </w:r>
    </w:p>
    <w:p w14:paraId="2CEA1800" w14:textId="77777777" w:rsidR="00D73B5B" w:rsidRDefault="00D73B5B" w:rsidP="009A7101">
      <w:pPr>
        <w:spacing w:after="0" w:line="240" w:lineRule="auto"/>
        <w:jc w:val="both"/>
        <w:rPr>
          <w:rFonts w:ascii="Arial" w:hAnsi="Arial" w:cs="Arial"/>
          <w:b/>
          <w:sz w:val="24"/>
          <w:szCs w:val="24"/>
        </w:rPr>
      </w:pPr>
    </w:p>
    <w:p w14:paraId="6782A8E7" w14:textId="77777777" w:rsidR="00F47EF4" w:rsidRPr="00FE3D82" w:rsidRDefault="00F47EF4" w:rsidP="009A7101">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48E3EAB2" w:rsidR="00F47EF4" w:rsidRDefault="00F47EF4" w:rsidP="009A7101">
      <w:pPr>
        <w:spacing w:after="0" w:line="240" w:lineRule="auto"/>
        <w:jc w:val="both"/>
        <w:rPr>
          <w:rFonts w:ascii="Arial" w:hAnsi="Arial" w:cs="Arial"/>
          <w:sz w:val="24"/>
          <w:szCs w:val="24"/>
        </w:rPr>
      </w:pPr>
    </w:p>
    <w:p w14:paraId="6AAF96AA" w14:textId="77777777" w:rsidR="004F3458" w:rsidRDefault="004F3458" w:rsidP="009A7101">
      <w:pPr>
        <w:spacing w:after="0" w:line="240" w:lineRule="auto"/>
        <w:jc w:val="both"/>
        <w:rPr>
          <w:rFonts w:ascii="Arial" w:hAnsi="Arial" w:cs="Arial"/>
          <w:sz w:val="24"/>
          <w:szCs w:val="24"/>
        </w:rPr>
      </w:pPr>
    </w:p>
    <w:p w14:paraId="34EB575B" w14:textId="09F47A68" w:rsidR="004B7932" w:rsidRDefault="004B7932" w:rsidP="004B7932">
      <w:pPr>
        <w:spacing w:after="0" w:line="240" w:lineRule="auto"/>
        <w:ind w:right="49"/>
        <w:jc w:val="both"/>
        <w:rPr>
          <w:rFonts w:ascii="Arial" w:hAnsi="Arial" w:cs="Arial"/>
          <w:sz w:val="24"/>
          <w:szCs w:val="24"/>
        </w:rPr>
      </w:pPr>
      <w:r>
        <w:rPr>
          <w:rFonts w:ascii="Arial" w:hAnsi="Arial" w:cs="Arial"/>
          <w:sz w:val="24"/>
          <w:szCs w:val="24"/>
        </w:rPr>
        <w:t>En</w:t>
      </w:r>
      <w:r w:rsidRPr="00AB532E">
        <w:rPr>
          <w:rFonts w:ascii="Arial" w:hAnsi="Arial" w:cs="Arial"/>
          <w:sz w:val="24"/>
          <w:szCs w:val="24"/>
        </w:rPr>
        <w:t xml:space="preserve"> mayo de 2020, el IGPOSE alcanzó un nivel de </w:t>
      </w:r>
      <w:r w:rsidR="00A540B2">
        <w:rPr>
          <w:rFonts w:ascii="Arial" w:hAnsi="Arial" w:cs="Arial"/>
          <w:sz w:val="24"/>
          <w:szCs w:val="24"/>
        </w:rPr>
        <w:t>103.6</w:t>
      </w:r>
      <w:r w:rsidRPr="00AB532E">
        <w:rPr>
          <w:rFonts w:ascii="Arial" w:hAnsi="Arial" w:cs="Arial"/>
          <w:sz w:val="24"/>
          <w:szCs w:val="24"/>
        </w:rPr>
        <w:t xml:space="preserve"> puntos y presentó una disminución de </w:t>
      </w:r>
      <w:r w:rsidR="0045406A">
        <w:rPr>
          <w:rFonts w:ascii="Arial" w:hAnsi="Arial" w:cs="Arial"/>
          <w:sz w:val="24"/>
          <w:szCs w:val="24"/>
        </w:rPr>
        <w:t>(-)</w:t>
      </w:r>
      <w:r w:rsidR="00A540B2">
        <w:rPr>
          <w:rFonts w:ascii="Arial" w:hAnsi="Arial" w:cs="Arial"/>
          <w:sz w:val="24"/>
          <w:szCs w:val="24"/>
        </w:rPr>
        <w:t>1.5</w:t>
      </w:r>
      <w:r w:rsidRPr="00AB532E">
        <w:rPr>
          <w:rFonts w:ascii="Arial" w:hAnsi="Arial" w:cs="Arial"/>
          <w:sz w:val="24"/>
          <w:szCs w:val="24"/>
        </w:rPr>
        <w:t xml:space="preserve">% respecto al mes previo. Además, </w:t>
      </w:r>
      <w:r w:rsidR="00CD1E62">
        <w:rPr>
          <w:rFonts w:ascii="Arial" w:hAnsi="Arial" w:cs="Arial"/>
          <w:sz w:val="24"/>
          <w:szCs w:val="24"/>
        </w:rPr>
        <w:t>retrocedió</w:t>
      </w:r>
      <w:r w:rsidRPr="00AB532E">
        <w:rPr>
          <w:rFonts w:ascii="Arial" w:hAnsi="Arial" w:cs="Arial"/>
          <w:sz w:val="24"/>
          <w:szCs w:val="24"/>
        </w:rPr>
        <w:t xml:space="preserve"> </w:t>
      </w:r>
      <w:r w:rsidR="0045406A">
        <w:rPr>
          <w:rFonts w:ascii="Arial" w:hAnsi="Arial" w:cs="Arial"/>
          <w:sz w:val="24"/>
          <w:szCs w:val="24"/>
        </w:rPr>
        <w:t>(-)</w:t>
      </w:r>
      <w:r w:rsidR="00A540B2">
        <w:rPr>
          <w:rFonts w:ascii="Arial" w:hAnsi="Arial" w:cs="Arial"/>
          <w:sz w:val="24"/>
          <w:szCs w:val="24"/>
        </w:rPr>
        <w:t>6.9</w:t>
      </w:r>
      <w:r w:rsidRPr="00AB532E">
        <w:rPr>
          <w:rFonts w:ascii="Arial" w:hAnsi="Arial" w:cs="Arial"/>
          <w:sz w:val="24"/>
          <w:szCs w:val="24"/>
        </w:rPr>
        <w:t xml:space="preserve">%, respecto al mismo mes del año anterior. </w:t>
      </w:r>
    </w:p>
    <w:p w14:paraId="43830534" w14:textId="77777777" w:rsidR="004B7932" w:rsidRDefault="004B7932" w:rsidP="004B7932">
      <w:pPr>
        <w:spacing w:after="0" w:line="240" w:lineRule="auto"/>
        <w:ind w:right="49"/>
        <w:jc w:val="both"/>
        <w:rPr>
          <w:rFonts w:ascii="Arial" w:hAnsi="Arial" w:cs="Arial"/>
          <w:sz w:val="24"/>
          <w:szCs w:val="24"/>
        </w:rPr>
      </w:pPr>
    </w:p>
    <w:p w14:paraId="146B747F" w14:textId="0E521EAB" w:rsidR="004B7932" w:rsidRPr="00CD1E62" w:rsidRDefault="004B7932" w:rsidP="004B7932">
      <w:pPr>
        <w:spacing w:after="0" w:line="240" w:lineRule="auto"/>
        <w:ind w:right="49"/>
        <w:jc w:val="both"/>
        <w:rPr>
          <w:rFonts w:ascii="Arial" w:hAnsi="Arial" w:cs="Arial"/>
          <w:spacing w:val="6"/>
          <w:sz w:val="24"/>
          <w:szCs w:val="24"/>
        </w:rPr>
      </w:pPr>
      <w:r w:rsidRPr="00CD1E62">
        <w:rPr>
          <w:rFonts w:ascii="Arial" w:hAnsi="Arial" w:cs="Arial"/>
          <w:spacing w:val="-2"/>
          <w:sz w:val="24"/>
          <w:szCs w:val="24"/>
        </w:rPr>
        <w:t xml:space="preserve">Por su parte, el IGRESE </w:t>
      </w:r>
      <w:r w:rsidR="0045406A" w:rsidRPr="00CD1E62">
        <w:rPr>
          <w:rFonts w:ascii="Arial" w:hAnsi="Arial" w:cs="Arial"/>
          <w:spacing w:val="-2"/>
          <w:sz w:val="24"/>
          <w:szCs w:val="24"/>
        </w:rPr>
        <w:t>registr</w:t>
      </w:r>
      <w:r w:rsidRPr="00CD1E62">
        <w:rPr>
          <w:rFonts w:ascii="Arial" w:hAnsi="Arial" w:cs="Arial"/>
          <w:spacing w:val="-2"/>
          <w:sz w:val="24"/>
          <w:szCs w:val="24"/>
        </w:rPr>
        <w:t xml:space="preserve">ó un nivel de </w:t>
      </w:r>
      <w:r w:rsidR="00A540B2" w:rsidRPr="00CD1E62">
        <w:rPr>
          <w:rFonts w:ascii="Arial" w:hAnsi="Arial" w:cs="Arial"/>
          <w:spacing w:val="-2"/>
          <w:sz w:val="24"/>
          <w:szCs w:val="24"/>
        </w:rPr>
        <w:t>109.9</w:t>
      </w:r>
      <w:r w:rsidR="00CD1E62" w:rsidRPr="00CD1E62">
        <w:rPr>
          <w:rFonts w:ascii="Arial" w:hAnsi="Arial" w:cs="Arial"/>
          <w:spacing w:val="-2"/>
          <w:sz w:val="24"/>
          <w:szCs w:val="24"/>
        </w:rPr>
        <w:t xml:space="preserve"> puntos con una baja de</w:t>
      </w:r>
      <w:r w:rsidRPr="00CD1E62">
        <w:rPr>
          <w:rFonts w:ascii="Arial" w:hAnsi="Arial" w:cs="Arial"/>
          <w:spacing w:val="-2"/>
          <w:sz w:val="24"/>
          <w:szCs w:val="24"/>
        </w:rPr>
        <w:t xml:space="preserve"> </w:t>
      </w:r>
      <w:r w:rsidR="0045406A" w:rsidRPr="00CD1E62">
        <w:rPr>
          <w:rFonts w:ascii="Arial" w:hAnsi="Arial" w:cs="Arial"/>
          <w:spacing w:val="-2"/>
          <w:sz w:val="24"/>
          <w:szCs w:val="24"/>
        </w:rPr>
        <w:t>(-)</w:t>
      </w:r>
      <w:r w:rsidR="00A540B2" w:rsidRPr="00CD1E62">
        <w:rPr>
          <w:rFonts w:ascii="Arial" w:hAnsi="Arial" w:cs="Arial"/>
          <w:spacing w:val="-2"/>
          <w:sz w:val="24"/>
          <w:szCs w:val="24"/>
        </w:rPr>
        <w:t>0.5</w:t>
      </w:r>
      <w:r w:rsidRPr="00CD1E62">
        <w:rPr>
          <w:rFonts w:ascii="Arial" w:hAnsi="Arial" w:cs="Arial"/>
          <w:spacing w:val="-2"/>
          <w:sz w:val="24"/>
          <w:szCs w:val="24"/>
        </w:rPr>
        <w:t xml:space="preserve">% respecto al mes previo. </w:t>
      </w:r>
      <w:r w:rsidR="00E26950" w:rsidRPr="00CD1E62">
        <w:rPr>
          <w:rFonts w:ascii="Arial" w:hAnsi="Arial" w:cs="Arial"/>
          <w:spacing w:val="6"/>
          <w:sz w:val="24"/>
          <w:szCs w:val="24"/>
        </w:rPr>
        <w:t>Al compararse con mayo de 2019 tuvo</w:t>
      </w:r>
      <w:r w:rsidRPr="00CD1E62">
        <w:rPr>
          <w:rFonts w:ascii="Arial" w:hAnsi="Arial" w:cs="Arial"/>
          <w:spacing w:val="6"/>
          <w:sz w:val="24"/>
          <w:szCs w:val="24"/>
        </w:rPr>
        <w:t xml:space="preserve"> </w:t>
      </w:r>
      <w:r w:rsidR="00CD1E62" w:rsidRPr="00CD1E62">
        <w:rPr>
          <w:rFonts w:ascii="Arial" w:hAnsi="Arial" w:cs="Arial"/>
          <w:spacing w:val="6"/>
          <w:sz w:val="24"/>
          <w:szCs w:val="24"/>
        </w:rPr>
        <w:t>un descenso</w:t>
      </w:r>
      <w:r w:rsidRPr="00CD1E62">
        <w:rPr>
          <w:rFonts w:ascii="Arial" w:hAnsi="Arial" w:cs="Arial"/>
          <w:spacing w:val="6"/>
          <w:sz w:val="24"/>
          <w:szCs w:val="24"/>
        </w:rPr>
        <w:t xml:space="preserve"> de </w:t>
      </w:r>
      <w:r w:rsidR="0045406A" w:rsidRPr="00CD1E62">
        <w:rPr>
          <w:rFonts w:ascii="Arial" w:hAnsi="Arial" w:cs="Arial"/>
          <w:spacing w:val="6"/>
          <w:sz w:val="24"/>
          <w:szCs w:val="24"/>
        </w:rPr>
        <w:t>(-)</w:t>
      </w:r>
      <w:r w:rsidR="00A540B2" w:rsidRPr="00CD1E62">
        <w:rPr>
          <w:rFonts w:ascii="Arial" w:hAnsi="Arial" w:cs="Arial"/>
          <w:spacing w:val="6"/>
          <w:sz w:val="24"/>
          <w:szCs w:val="24"/>
        </w:rPr>
        <w:t>11.3</w:t>
      </w:r>
      <w:r w:rsidR="00E26950" w:rsidRPr="00CD1E62">
        <w:rPr>
          <w:rFonts w:ascii="Arial" w:hAnsi="Arial" w:cs="Arial"/>
          <w:spacing w:val="6"/>
          <w:sz w:val="24"/>
          <w:szCs w:val="24"/>
        </w:rPr>
        <w:t xml:space="preserve"> por ciento.</w:t>
      </w:r>
    </w:p>
    <w:p w14:paraId="7960EAC6" w14:textId="77777777" w:rsidR="004B7932" w:rsidRPr="00FE3EB5" w:rsidRDefault="004B7932" w:rsidP="004B7932">
      <w:pPr>
        <w:spacing w:after="0" w:line="240" w:lineRule="auto"/>
        <w:ind w:right="49"/>
        <w:jc w:val="both"/>
        <w:rPr>
          <w:rFonts w:ascii="Arial" w:hAnsi="Arial" w:cs="Arial"/>
          <w:sz w:val="24"/>
          <w:szCs w:val="24"/>
        </w:rPr>
      </w:pPr>
    </w:p>
    <w:p w14:paraId="161BA871" w14:textId="0FBDCB85" w:rsidR="004B7932" w:rsidRDefault="004B7932" w:rsidP="004B7932">
      <w:pPr>
        <w:spacing w:after="0" w:line="240" w:lineRule="auto"/>
        <w:jc w:val="both"/>
        <w:rPr>
          <w:rFonts w:ascii="Arial" w:hAnsi="Arial" w:cs="Arial"/>
          <w:sz w:val="24"/>
          <w:szCs w:val="24"/>
        </w:rPr>
      </w:pPr>
      <w:r w:rsidRPr="00FE3EB5">
        <w:rPr>
          <w:rFonts w:ascii="Arial" w:hAnsi="Arial" w:cs="Arial"/>
          <w:sz w:val="24"/>
          <w:szCs w:val="24"/>
        </w:rPr>
        <w:t xml:space="preserve">El IGREMSE </w:t>
      </w:r>
      <w:r w:rsidR="00E26950">
        <w:rPr>
          <w:rFonts w:ascii="Arial" w:hAnsi="Arial" w:cs="Arial"/>
          <w:sz w:val="24"/>
          <w:szCs w:val="24"/>
        </w:rPr>
        <w:t>alcanzó</w:t>
      </w:r>
      <w:r w:rsidRPr="00FE3EB5">
        <w:rPr>
          <w:rFonts w:ascii="Arial" w:hAnsi="Arial" w:cs="Arial"/>
          <w:sz w:val="24"/>
          <w:szCs w:val="24"/>
        </w:rPr>
        <w:t xml:space="preserve"> un nivel de </w:t>
      </w:r>
      <w:r w:rsidR="00A540B2">
        <w:rPr>
          <w:rFonts w:ascii="Arial" w:hAnsi="Arial" w:cs="Arial"/>
          <w:sz w:val="24"/>
          <w:szCs w:val="24"/>
        </w:rPr>
        <w:t>106.2</w:t>
      </w:r>
      <w:r w:rsidRPr="00FE3EB5">
        <w:rPr>
          <w:rFonts w:ascii="Arial" w:hAnsi="Arial" w:cs="Arial"/>
          <w:sz w:val="24"/>
          <w:szCs w:val="24"/>
        </w:rPr>
        <w:t xml:space="preserve"> puntos y </w:t>
      </w:r>
      <w:r w:rsidR="00A540B2">
        <w:rPr>
          <w:rFonts w:ascii="Arial" w:hAnsi="Arial" w:cs="Arial"/>
          <w:sz w:val="24"/>
          <w:szCs w:val="24"/>
        </w:rPr>
        <w:t>tuvo un incremento</w:t>
      </w:r>
      <w:r w:rsidRPr="00FE3EB5">
        <w:rPr>
          <w:rFonts w:ascii="Arial" w:hAnsi="Arial" w:cs="Arial"/>
          <w:sz w:val="24"/>
          <w:szCs w:val="24"/>
        </w:rPr>
        <w:t xml:space="preserve"> de </w:t>
      </w:r>
      <w:r w:rsidR="00A540B2">
        <w:rPr>
          <w:rFonts w:ascii="Arial" w:hAnsi="Arial" w:cs="Arial"/>
          <w:sz w:val="24"/>
          <w:szCs w:val="24"/>
        </w:rPr>
        <w:t>1.0</w:t>
      </w:r>
      <w:r w:rsidRPr="00FE3EB5">
        <w:rPr>
          <w:rFonts w:ascii="Arial" w:hAnsi="Arial" w:cs="Arial"/>
          <w:sz w:val="24"/>
          <w:szCs w:val="24"/>
        </w:rPr>
        <w:t xml:space="preserve">% respecto al mes previo. </w:t>
      </w:r>
      <w:r w:rsidR="00E26950">
        <w:rPr>
          <w:rFonts w:ascii="Arial" w:hAnsi="Arial" w:cs="Arial"/>
          <w:sz w:val="24"/>
          <w:szCs w:val="24"/>
        </w:rPr>
        <w:t xml:space="preserve">En su comparativo anual disminuyó </w:t>
      </w:r>
      <w:r w:rsidR="0045406A">
        <w:rPr>
          <w:rFonts w:ascii="Arial" w:hAnsi="Arial" w:cs="Arial"/>
          <w:sz w:val="24"/>
          <w:szCs w:val="24"/>
        </w:rPr>
        <w:t>(-)</w:t>
      </w:r>
      <w:r w:rsidR="00A540B2">
        <w:rPr>
          <w:rFonts w:ascii="Arial" w:hAnsi="Arial" w:cs="Arial"/>
          <w:sz w:val="24"/>
          <w:szCs w:val="24"/>
        </w:rPr>
        <w:t>4.7</w:t>
      </w:r>
      <w:r w:rsidR="00E26950">
        <w:rPr>
          <w:rFonts w:ascii="Arial" w:hAnsi="Arial" w:cs="Arial"/>
          <w:sz w:val="24"/>
          <w:szCs w:val="24"/>
        </w:rPr>
        <w:t xml:space="preserve"> por ciento.</w:t>
      </w:r>
    </w:p>
    <w:p w14:paraId="7110BC4D" w14:textId="77777777" w:rsidR="004B7932" w:rsidRDefault="004B7932" w:rsidP="009A7101">
      <w:pPr>
        <w:spacing w:after="0" w:line="240" w:lineRule="auto"/>
        <w:jc w:val="both"/>
        <w:rPr>
          <w:rFonts w:ascii="Arial" w:hAnsi="Arial" w:cs="Arial"/>
          <w:sz w:val="24"/>
          <w:szCs w:val="24"/>
        </w:rPr>
      </w:pPr>
    </w:p>
    <w:p w14:paraId="40B5E0EF" w14:textId="13E01C03" w:rsidR="002333E8" w:rsidRPr="00D0286C" w:rsidRDefault="003B4B50" w:rsidP="009A7101">
      <w:pPr>
        <w:spacing w:after="0" w:line="240" w:lineRule="auto"/>
        <w:ind w:right="49"/>
        <w:jc w:val="center"/>
        <w:rPr>
          <w:rFonts w:ascii="Arial" w:hAnsi="Arial" w:cs="Arial"/>
          <w:b/>
          <w:sz w:val="20"/>
          <w:szCs w:val="20"/>
        </w:rPr>
      </w:pPr>
      <w:r>
        <w:rPr>
          <w:rFonts w:ascii="Arial" w:hAnsi="Arial" w:cs="Arial"/>
          <w:b/>
          <w:sz w:val="20"/>
          <w:szCs w:val="20"/>
        </w:rPr>
        <w:t>Cuadro 5</w:t>
      </w:r>
    </w:p>
    <w:p w14:paraId="1C830C77" w14:textId="77777777" w:rsidR="002333E8" w:rsidRDefault="002333E8"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w:t>
      </w:r>
      <w:r>
        <w:rPr>
          <w:rFonts w:ascii="Arial" w:hAnsi="Arial" w:cs="Arial"/>
          <w:b/>
          <w:sz w:val="20"/>
          <w:szCs w:val="20"/>
        </w:rPr>
        <w:t>S</w:t>
      </w:r>
      <w:r w:rsidRPr="00567D86">
        <w:rPr>
          <w:rFonts w:ascii="Arial" w:hAnsi="Arial" w:cs="Arial"/>
          <w:b/>
          <w:sz w:val="20"/>
          <w:szCs w:val="20"/>
        </w:rPr>
        <w:t xml:space="preserve"> GLOBA</w:t>
      </w:r>
      <w:r>
        <w:rPr>
          <w:rFonts w:ascii="Arial" w:hAnsi="Arial" w:cs="Arial"/>
          <w:b/>
          <w:sz w:val="20"/>
          <w:szCs w:val="20"/>
        </w:rPr>
        <w:t>LES</w:t>
      </w:r>
      <w:r w:rsidRPr="00567D86">
        <w:rPr>
          <w:rFonts w:ascii="Arial" w:hAnsi="Arial" w:cs="Arial"/>
          <w:b/>
          <w:sz w:val="20"/>
          <w:szCs w:val="20"/>
        </w:rPr>
        <w:t xml:space="preserve"> DE PERSONAL </w:t>
      </w:r>
      <w:r>
        <w:rPr>
          <w:rFonts w:ascii="Arial" w:hAnsi="Arial" w:cs="Arial"/>
          <w:b/>
          <w:sz w:val="20"/>
          <w:szCs w:val="20"/>
        </w:rPr>
        <w:t>Y REMUNERACIONES</w:t>
      </w:r>
      <w:r w:rsidRPr="00567D86">
        <w:rPr>
          <w:rFonts w:ascii="Arial" w:hAnsi="Arial" w:cs="Arial"/>
          <w:b/>
          <w:sz w:val="20"/>
          <w:szCs w:val="20"/>
        </w:rPr>
        <w:t xml:space="preserve"> DE LOS</w:t>
      </w:r>
      <w:r>
        <w:rPr>
          <w:rFonts w:ascii="Arial" w:hAnsi="Arial" w:cs="Arial"/>
          <w:b/>
          <w:sz w:val="20"/>
          <w:szCs w:val="20"/>
        </w:rPr>
        <w:t xml:space="preserve"> </w:t>
      </w:r>
      <w:r w:rsidRPr="00567D86">
        <w:rPr>
          <w:rFonts w:ascii="Arial" w:hAnsi="Arial" w:cs="Arial"/>
          <w:b/>
          <w:sz w:val="20"/>
          <w:szCs w:val="20"/>
        </w:rPr>
        <w:t>SECTORES ECONÓMICOS</w:t>
      </w:r>
    </w:p>
    <w:p w14:paraId="6A81EA53" w14:textId="77777777" w:rsidR="002333E8" w:rsidRDefault="002333E8" w:rsidP="009A7101">
      <w:pPr>
        <w:spacing w:after="0" w:line="240" w:lineRule="auto"/>
        <w:ind w:left="-567" w:right="-518"/>
        <w:jc w:val="center"/>
        <w:rPr>
          <w:rFonts w:ascii="Arial" w:hAnsi="Arial" w:cs="Arial"/>
          <w:b/>
          <w:sz w:val="20"/>
          <w:szCs w:val="20"/>
        </w:rPr>
      </w:pPr>
      <w:r>
        <w:rPr>
          <w:rFonts w:ascii="Arial" w:hAnsi="Arial" w:cs="Arial"/>
          <w:b/>
          <w:sz w:val="20"/>
          <w:szCs w:val="20"/>
        </w:rPr>
        <w:t>DURANTE EL MES DE MAYO DE 2020</w:t>
      </w:r>
    </w:p>
    <w:p w14:paraId="15075BBB" w14:textId="533D8E42" w:rsidR="002333E8" w:rsidRDefault="002333E8"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 xml:space="preserve">CIFRAS </w:t>
      </w:r>
      <w:r>
        <w:rPr>
          <w:rFonts w:ascii="Arial" w:hAnsi="Arial" w:cs="Arial"/>
          <w:b/>
          <w:sz w:val="20"/>
          <w:szCs w:val="20"/>
        </w:rPr>
        <w:t>ORIGINALES</w:t>
      </w:r>
    </w:p>
    <w:p w14:paraId="5656C5C9" w14:textId="77777777" w:rsidR="002333E8" w:rsidRDefault="002333E8"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Style w:val="Tablaconcuadrcula"/>
        <w:tblW w:w="5443" w:type="dxa"/>
        <w:jc w:val="center"/>
        <w:tblLayout w:type="fixed"/>
        <w:tblLook w:val="04A0" w:firstRow="1" w:lastRow="0" w:firstColumn="1" w:lastColumn="0" w:noHBand="0" w:noVBand="1"/>
      </w:tblPr>
      <w:tblGrid>
        <w:gridCol w:w="1644"/>
        <w:gridCol w:w="964"/>
        <w:gridCol w:w="1361"/>
        <w:gridCol w:w="1474"/>
      </w:tblGrid>
      <w:tr w:rsidR="002333E8" w14:paraId="3972B982" w14:textId="77777777" w:rsidTr="00E26950">
        <w:trPr>
          <w:jc w:val="center"/>
        </w:trPr>
        <w:tc>
          <w:tcPr>
            <w:tcW w:w="1644" w:type="dxa"/>
            <w:vMerge w:val="restart"/>
            <w:shd w:val="clear" w:color="auto" w:fill="C4D79B"/>
            <w:vAlign w:val="center"/>
          </w:tcPr>
          <w:p w14:paraId="59EE9A57" w14:textId="77777777" w:rsidR="002333E8" w:rsidRDefault="002333E8" w:rsidP="009A7101">
            <w:pPr>
              <w:jc w:val="center"/>
              <w:rPr>
                <w:rFonts w:ascii="Arial" w:hAnsi="Arial" w:cs="Arial"/>
                <w:b/>
                <w:sz w:val="20"/>
                <w:szCs w:val="20"/>
              </w:rPr>
            </w:pPr>
            <w:r>
              <w:rPr>
                <w:rFonts w:ascii="Arial" w:hAnsi="Arial" w:cs="Arial"/>
                <w:b/>
                <w:sz w:val="20"/>
                <w:szCs w:val="20"/>
              </w:rPr>
              <w:t>Denominación</w:t>
            </w:r>
          </w:p>
        </w:tc>
        <w:tc>
          <w:tcPr>
            <w:tcW w:w="964" w:type="dxa"/>
            <w:vMerge w:val="restart"/>
            <w:shd w:val="clear" w:color="auto" w:fill="C4D79B"/>
            <w:vAlign w:val="center"/>
          </w:tcPr>
          <w:p w14:paraId="31A3F225" w14:textId="77777777" w:rsidR="002333E8" w:rsidRDefault="002333E8" w:rsidP="009A7101">
            <w:pPr>
              <w:jc w:val="center"/>
              <w:rPr>
                <w:rFonts w:ascii="Arial" w:hAnsi="Arial" w:cs="Arial"/>
                <w:b/>
                <w:sz w:val="20"/>
                <w:szCs w:val="20"/>
              </w:rPr>
            </w:pPr>
            <w:r>
              <w:rPr>
                <w:rFonts w:ascii="Arial" w:hAnsi="Arial" w:cs="Arial"/>
                <w:b/>
                <w:sz w:val="20"/>
                <w:szCs w:val="20"/>
              </w:rPr>
              <w:t>Índice</w:t>
            </w:r>
          </w:p>
        </w:tc>
        <w:tc>
          <w:tcPr>
            <w:tcW w:w="2835" w:type="dxa"/>
            <w:gridSpan w:val="2"/>
            <w:shd w:val="clear" w:color="auto" w:fill="C4D79B"/>
            <w:vAlign w:val="center"/>
          </w:tcPr>
          <w:p w14:paraId="798D368D" w14:textId="77777777" w:rsidR="002333E8" w:rsidRDefault="002333E8" w:rsidP="009A7101">
            <w:pPr>
              <w:jc w:val="center"/>
              <w:rPr>
                <w:rFonts w:ascii="Arial" w:hAnsi="Arial" w:cs="Arial"/>
                <w:b/>
                <w:sz w:val="20"/>
                <w:szCs w:val="20"/>
              </w:rPr>
            </w:pPr>
            <w:r>
              <w:rPr>
                <w:rFonts w:ascii="Arial" w:hAnsi="Arial" w:cs="Arial"/>
                <w:b/>
                <w:sz w:val="20"/>
                <w:szCs w:val="20"/>
              </w:rPr>
              <w:t>Variación porcentual respecto al:</w:t>
            </w:r>
          </w:p>
        </w:tc>
      </w:tr>
      <w:tr w:rsidR="002333E8" w14:paraId="446BCF7E" w14:textId="77777777" w:rsidTr="00E26950">
        <w:trPr>
          <w:jc w:val="center"/>
        </w:trPr>
        <w:tc>
          <w:tcPr>
            <w:tcW w:w="1644" w:type="dxa"/>
            <w:vMerge/>
            <w:tcBorders>
              <w:bottom w:val="single" w:sz="4" w:space="0" w:color="auto"/>
            </w:tcBorders>
            <w:shd w:val="clear" w:color="auto" w:fill="C4D79B"/>
            <w:vAlign w:val="center"/>
          </w:tcPr>
          <w:p w14:paraId="0143747E" w14:textId="77777777" w:rsidR="002333E8" w:rsidRDefault="002333E8" w:rsidP="009A7101">
            <w:pPr>
              <w:jc w:val="center"/>
              <w:rPr>
                <w:rFonts w:ascii="Arial" w:hAnsi="Arial" w:cs="Arial"/>
                <w:b/>
                <w:sz w:val="20"/>
                <w:szCs w:val="20"/>
              </w:rPr>
            </w:pPr>
          </w:p>
        </w:tc>
        <w:tc>
          <w:tcPr>
            <w:tcW w:w="964" w:type="dxa"/>
            <w:vMerge/>
            <w:tcBorders>
              <w:bottom w:val="single" w:sz="4" w:space="0" w:color="auto"/>
            </w:tcBorders>
            <w:shd w:val="clear" w:color="auto" w:fill="C4D79B"/>
            <w:vAlign w:val="center"/>
          </w:tcPr>
          <w:p w14:paraId="13D8A519" w14:textId="77777777" w:rsidR="002333E8" w:rsidRDefault="002333E8" w:rsidP="009A7101">
            <w:pPr>
              <w:jc w:val="center"/>
              <w:rPr>
                <w:rFonts w:ascii="Arial" w:hAnsi="Arial" w:cs="Arial"/>
                <w:b/>
                <w:sz w:val="20"/>
                <w:szCs w:val="20"/>
              </w:rPr>
            </w:pPr>
          </w:p>
        </w:tc>
        <w:tc>
          <w:tcPr>
            <w:tcW w:w="1361" w:type="dxa"/>
            <w:tcBorders>
              <w:bottom w:val="single" w:sz="4" w:space="0" w:color="auto"/>
            </w:tcBorders>
            <w:shd w:val="clear" w:color="auto" w:fill="C4D79B"/>
            <w:vAlign w:val="center"/>
          </w:tcPr>
          <w:p w14:paraId="794260B5" w14:textId="77777777" w:rsidR="002333E8" w:rsidRDefault="002333E8" w:rsidP="009A7101">
            <w:pPr>
              <w:jc w:val="center"/>
              <w:rPr>
                <w:rFonts w:ascii="Arial" w:hAnsi="Arial" w:cs="Arial"/>
                <w:b/>
                <w:sz w:val="20"/>
                <w:szCs w:val="20"/>
              </w:rPr>
            </w:pPr>
            <w:r>
              <w:rPr>
                <w:rFonts w:ascii="Arial" w:hAnsi="Arial" w:cs="Arial"/>
                <w:b/>
                <w:sz w:val="20"/>
                <w:szCs w:val="20"/>
              </w:rPr>
              <w:t>Mes previo</w:t>
            </w:r>
          </w:p>
        </w:tc>
        <w:tc>
          <w:tcPr>
            <w:tcW w:w="1474" w:type="dxa"/>
            <w:tcBorders>
              <w:bottom w:val="single" w:sz="4" w:space="0" w:color="auto"/>
            </w:tcBorders>
            <w:shd w:val="clear" w:color="auto" w:fill="C4D79B"/>
            <w:vAlign w:val="center"/>
          </w:tcPr>
          <w:p w14:paraId="0285070A" w14:textId="77777777" w:rsidR="002333E8" w:rsidRDefault="002333E8" w:rsidP="009A7101">
            <w:pPr>
              <w:jc w:val="center"/>
              <w:rPr>
                <w:rFonts w:ascii="Arial" w:hAnsi="Arial" w:cs="Arial"/>
                <w:b/>
                <w:sz w:val="20"/>
                <w:szCs w:val="20"/>
              </w:rPr>
            </w:pPr>
            <w:r>
              <w:rPr>
                <w:rFonts w:ascii="Arial" w:hAnsi="Arial" w:cs="Arial"/>
                <w:b/>
                <w:sz w:val="20"/>
                <w:szCs w:val="20"/>
              </w:rPr>
              <w:t>Mismo mes del año anterior</w:t>
            </w:r>
          </w:p>
        </w:tc>
      </w:tr>
      <w:tr w:rsidR="002333E8" w14:paraId="38F33557" w14:textId="77777777" w:rsidTr="006333AA">
        <w:trPr>
          <w:trHeight w:val="340"/>
          <w:jc w:val="center"/>
        </w:trPr>
        <w:tc>
          <w:tcPr>
            <w:tcW w:w="1644" w:type="dxa"/>
            <w:tcBorders>
              <w:bottom w:val="nil"/>
              <w:right w:val="single" w:sz="4" w:space="0" w:color="auto"/>
            </w:tcBorders>
            <w:vAlign w:val="center"/>
          </w:tcPr>
          <w:p w14:paraId="7703EBD7" w14:textId="77777777" w:rsidR="002333E8" w:rsidRDefault="002333E8" w:rsidP="00605896">
            <w:pPr>
              <w:rPr>
                <w:rFonts w:ascii="Arial" w:hAnsi="Arial" w:cs="Arial"/>
                <w:b/>
                <w:sz w:val="20"/>
                <w:szCs w:val="20"/>
              </w:rPr>
            </w:pPr>
            <w:r>
              <w:rPr>
                <w:rFonts w:ascii="Arial" w:hAnsi="Arial" w:cs="Arial"/>
                <w:b/>
                <w:sz w:val="20"/>
                <w:szCs w:val="20"/>
              </w:rPr>
              <w:t>IGPOSE</w:t>
            </w:r>
          </w:p>
        </w:tc>
        <w:tc>
          <w:tcPr>
            <w:tcW w:w="964" w:type="dxa"/>
            <w:tcBorders>
              <w:left w:val="single" w:sz="4" w:space="0" w:color="auto"/>
              <w:bottom w:val="nil"/>
              <w:right w:val="single" w:sz="4" w:space="0" w:color="auto"/>
            </w:tcBorders>
            <w:vAlign w:val="center"/>
          </w:tcPr>
          <w:p w14:paraId="6C7B8A7E" w14:textId="6B9777DD" w:rsidR="002333E8" w:rsidRPr="00605896" w:rsidRDefault="00965A2F" w:rsidP="00605896">
            <w:pPr>
              <w:jc w:val="center"/>
              <w:rPr>
                <w:rFonts w:ascii="Arial" w:hAnsi="Arial" w:cs="Arial"/>
                <w:sz w:val="20"/>
                <w:szCs w:val="20"/>
              </w:rPr>
            </w:pPr>
            <w:r w:rsidRPr="00605896">
              <w:rPr>
                <w:rFonts w:ascii="Arial" w:hAnsi="Arial" w:cs="Arial"/>
                <w:sz w:val="20"/>
                <w:szCs w:val="20"/>
              </w:rPr>
              <w:t>103.6</w:t>
            </w:r>
          </w:p>
        </w:tc>
        <w:tc>
          <w:tcPr>
            <w:tcW w:w="1361" w:type="dxa"/>
            <w:tcBorders>
              <w:left w:val="single" w:sz="4" w:space="0" w:color="auto"/>
              <w:bottom w:val="nil"/>
              <w:right w:val="single" w:sz="4" w:space="0" w:color="auto"/>
            </w:tcBorders>
            <w:vAlign w:val="center"/>
          </w:tcPr>
          <w:p w14:paraId="5A7CF97C" w14:textId="4D19DC49" w:rsidR="002333E8" w:rsidRPr="00605896" w:rsidRDefault="000A060D" w:rsidP="00215017">
            <w:pPr>
              <w:ind w:left="284"/>
              <w:rPr>
                <w:rFonts w:ascii="Arial" w:hAnsi="Arial" w:cs="Arial"/>
                <w:sz w:val="20"/>
                <w:szCs w:val="20"/>
              </w:rPr>
            </w:pPr>
            <w:r>
              <w:rPr>
                <w:rFonts w:ascii="Arial" w:hAnsi="Arial" w:cs="Arial"/>
                <w:sz w:val="24"/>
                <w:szCs w:val="24"/>
              </w:rPr>
              <w:t>(-)</w:t>
            </w:r>
            <w:r w:rsidR="00215017">
              <w:rPr>
                <w:rFonts w:ascii="Arial" w:hAnsi="Arial" w:cs="Arial"/>
                <w:sz w:val="24"/>
                <w:szCs w:val="24"/>
              </w:rPr>
              <w:t xml:space="preserve"> </w:t>
            </w:r>
            <w:r w:rsidR="00965A2F" w:rsidRPr="00605896">
              <w:rPr>
                <w:rFonts w:ascii="Arial" w:hAnsi="Arial" w:cs="Arial"/>
                <w:sz w:val="20"/>
                <w:szCs w:val="20"/>
              </w:rPr>
              <w:t>1.5</w:t>
            </w:r>
          </w:p>
        </w:tc>
        <w:tc>
          <w:tcPr>
            <w:tcW w:w="1474" w:type="dxa"/>
            <w:tcBorders>
              <w:left w:val="single" w:sz="4" w:space="0" w:color="auto"/>
              <w:bottom w:val="nil"/>
            </w:tcBorders>
            <w:vAlign w:val="center"/>
          </w:tcPr>
          <w:p w14:paraId="077BF1AD" w14:textId="6F152CFA" w:rsidR="002333E8" w:rsidRPr="00605896" w:rsidRDefault="000A060D" w:rsidP="000A060D">
            <w:pPr>
              <w:ind w:left="227"/>
              <w:rPr>
                <w:rFonts w:ascii="Arial" w:hAnsi="Arial" w:cs="Arial"/>
                <w:sz w:val="20"/>
                <w:szCs w:val="20"/>
              </w:rPr>
            </w:pPr>
            <w:r>
              <w:rPr>
                <w:rFonts w:ascii="Arial" w:hAnsi="Arial" w:cs="Arial"/>
                <w:sz w:val="24"/>
                <w:szCs w:val="24"/>
              </w:rPr>
              <w:t xml:space="preserve">(-)   </w:t>
            </w:r>
            <w:r w:rsidR="00965A2F" w:rsidRPr="00605896">
              <w:rPr>
                <w:rFonts w:ascii="Arial" w:hAnsi="Arial" w:cs="Arial"/>
                <w:sz w:val="20"/>
                <w:szCs w:val="20"/>
              </w:rPr>
              <w:t>6.9</w:t>
            </w:r>
          </w:p>
        </w:tc>
      </w:tr>
      <w:tr w:rsidR="002333E8" w14:paraId="4FEDD5D5" w14:textId="77777777" w:rsidTr="006333AA">
        <w:trPr>
          <w:trHeight w:val="340"/>
          <w:jc w:val="center"/>
        </w:trPr>
        <w:tc>
          <w:tcPr>
            <w:tcW w:w="1644" w:type="dxa"/>
            <w:tcBorders>
              <w:top w:val="nil"/>
              <w:bottom w:val="nil"/>
              <w:right w:val="single" w:sz="4" w:space="0" w:color="auto"/>
            </w:tcBorders>
            <w:vAlign w:val="center"/>
          </w:tcPr>
          <w:p w14:paraId="65522CFC" w14:textId="77777777" w:rsidR="002333E8" w:rsidRDefault="002333E8" w:rsidP="00605896">
            <w:pPr>
              <w:rPr>
                <w:rFonts w:ascii="Arial" w:hAnsi="Arial" w:cs="Arial"/>
                <w:b/>
                <w:sz w:val="20"/>
                <w:szCs w:val="20"/>
              </w:rPr>
            </w:pPr>
            <w:r>
              <w:rPr>
                <w:rFonts w:ascii="Arial" w:hAnsi="Arial" w:cs="Arial"/>
                <w:b/>
                <w:sz w:val="20"/>
                <w:szCs w:val="20"/>
              </w:rPr>
              <w:t>IGRESE</w:t>
            </w:r>
          </w:p>
        </w:tc>
        <w:tc>
          <w:tcPr>
            <w:tcW w:w="964" w:type="dxa"/>
            <w:tcBorders>
              <w:top w:val="nil"/>
              <w:left w:val="single" w:sz="4" w:space="0" w:color="auto"/>
              <w:bottom w:val="nil"/>
              <w:right w:val="single" w:sz="4" w:space="0" w:color="auto"/>
            </w:tcBorders>
            <w:vAlign w:val="center"/>
          </w:tcPr>
          <w:p w14:paraId="1C94AC58" w14:textId="1B057449" w:rsidR="002333E8" w:rsidRPr="00605896" w:rsidRDefault="00605896" w:rsidP="00605896">
            <w:pPr>
              <w:jc w:val="center"/>
              <w:rPr>
                <w:rFonts w:ascii="Arial" w:hAnsi="Arial" w:cs="Arial"/>
                <w:sz w:val="20"/>
                <w:szCs w:val="20"/>
              </w:rPr>
            </w:pPr>
            <w:r w:rsidRPr="00605896">
              <w:rPr>
                <w:rFonts w:ascii="Arial" w:hAnsi="Arial" w:cs="Arial"/>
                <w:sz w:val="20"/>
                <w:szCs w:val="20"/>
              </w:rPr>
              <w:t>109.9</w:t>
            </w:r>
          </w:p>
        </w:tc>
        <w:tc>
          <w:tcPr>
            <w:tcW w:w="1361" w:type="dxa"/>
            <w:tcBorders>
              <w:top w:val="nil"/>
              <w:left w:val="single" w:sz="4" w:space="0" w:color="auto"/>
              <w:bottom w:val="nil"/>
              <w:right w:val="single" w:sz="4" w:space="0" w:color="auto"/>
            </w:tcBorders>
            <w:vAlign w:val="center"/>
          </w:tcPr>
          <w:p w14:paraId="0EA47BEC" w14:textId="3D033B81" w:rsidR="002333E8" w:rsidRPr="00605896" w:rsidRDefault="000A060D" w:rsidP="00215017">
            <w:pPr>
              <w:ind w:left="284"/>
              <w:rPr>
                <w:rFonts w:ascii="Arial" w:hAnsi="Arial" w:cs="Arial"/>
                <w:sz w:val="20"/>
                <w:szCs w:val="20"/>
              </w:rPr>
            </w:pPr>
            <w:r>
              <w:rPr>
                <w:rFonts w:ascii="Arial" w:hAnsi="Arial" w:cs="Arial"/>
                <w:sz w:val="24"/>
                <w:szCs w:val="24"/>
              </w:rPr>
              <w:t>(-)</w:t>
            </w:r>
            <w:r w:rsidR="00215017">
              <w:rPr>
                <w:rFonts w:ascii="Arial" w:hAnsi="Arial" w:cs="Arial"/>
                <w:sz w:val="24"/>
                <w:szCs w:val="24"/>
              </w:rPr>
              <w:t xml:space="preserve"> </w:t>
            </w:r>
            <w:r w:rsidR="00605896">
              <w:rPr>
                <w:rFonts w:ascii="Arial" w:hAnsi="Arial" w:cs="Arial"/>
                <w:sz w:val="20"/>
                <w:szCs w:val="20"/>
              </w:rPr>
              <w:t>0.5</w:t>
            </w:r>
          </w:p>
        </w:tc>
        <w:tc>
          <w:tcPr>
            <w:tcW w:w="1474" w:type="dxa"/>
            <w:tcBorders>
              <w:top w:val="nil"/>
              <w:left w:val="single" w:sz="4" w:space="0" w:color="auto"/>
              <w:bottom w:val="nil"/>
            </w:tcBorders>
            <w:vAlign w:val="center"/>
          </w:tcPr>
          <w:p w14:paraId="5732B8F1" w14:textId="68E6E946" w:rsidR="002333E8" w:rsidRPr="00605896" w:rsidRDefault="000A060D" w:rsidP="000A060D">
            <w:pPr>
              <w:ind w:left="227"/>
              <w:rPr>
                <w:rFonts w:ascii="Arial" w:hAnsi="Arial" w:cs="Arial"/>
                <w:sz w:val="20"/>
                <w:szCs w:val="20"/>
              </w:rPr>
            </w:pPr>
            <w:r>
              <w:rPr>
                <w:rFonts w:ascii="Arial" w:hAnsi="Arial" w:cs="Arial"/>
                <w:sz w:val="24"/>
                <w:szCs w:val="24"/>
              </w:rPr>
              <w:t xml:space="preserve">(-) </w:t>
            </w:r>
            <w:r w:rsidR="00605896" w:rsidRPr="00605896">
              <w:rPr>
                <w:rFonts w:ascii="Arial" w:hAnsi="Arial" w:cs="Arial"/>
                <w:sz w:val="20"/>
                <w:szCs w:val="20"/>
              </w:rPr>
              <w:t>11.3</w:t>
            </w:r>
          </w:p>
        </w:tc>
      </w:tr>
      <w:tr w:rsidR="002333E8" w14:paraId="1B6B4894" w14:textId="77777777" w:rsidTr="006333AA">
        <w:trPr>
          <w:trHeight w:val="340"/>
          <w:jc w:val="center"/>
        </w:trPr>
        <w:tc>
          <w:tcPr>
            <w:tcW w:w="1644" w:type="dxa"/>
            <w:tcBorders>
              <w:top w:val="nil"/>
              <w:bottom w:val="single" w:sz="4" w:space="0" w:color="auto"/>
              <w:right w:val="single" w:sz="4" w:space="0" w:color="auto"/>
            </w:tcBorders>
            <w:vAlign w:val="center"/>
          </w:tcPr>
          <w:p w14:paraId="723135E0" w14:textId="77777777" w:rsidR="002333E8" w:rsidRDefault="002333E8" w:rsidP="00605896">
            <w:pPr>
              <w:rPr>
                <w:rFonts w:ascii="Arial" w:hAnsi="Arial" w:cs="Arial"/>
                <w:b/>
                <w:sz w:val="20"/>
                <w:szCs w:val="20"/>
              </w:rPr>
            </w:pPr>
            <w:r>
              <w:rPr>
                <w:rFonts w:ascii="Arial" w:hAnsi="Arial" w:cs="Arial"/>
                <w:b/>
                <w:sz w:val="20"/>
                <w:szCs w:val="20"/>
              </w:rPr>
              <w:t>IGREMSE</w:t>
            </w:r>
          </w:p>
        </w:tc>
        <w:tc>
          <w:tcPr>
            <w:tcW w:w="964" w:type="dxa"/>
            <w:tcBorders>
              <w:top w:val="nil"/>
              <w:left w:val="single" w:sz="4" w:space="0" w:color="auto"/>
              <w:bottom w:val="single" w:sz="4" w:space="0" w:color="auto"/>
              <w:right w:val="single" w:sz="4" w:space="0" w:color="auto"/>
            </w:tcBorders>
            <w:vAlign w:val="center"/>
          </w:tcPr>
          <w:p w14:paraId="64ECC8FC" w14:textId="46AB40C7" w:rsidR="002333E8" w:rsidRPr="00605896" w:rsidRDefault="00605896" w:rsidP="00605896">
            <w:pPr>
              <w:jc w:val="center"/>
              <w:rPr>
                <w:rFonts w:ascii="Arial" w:hAnsi="Arial" w:cs="Arial"/>
                <w:sz w:val="20"/>
                <w:szCs w:val="20"/>
              </w:rPr>
            </w:pPr>
            <w:r>
              <w:rPr>
                <w:rFonts w:ascii="Arial" w:hAnsi="Arial" w:cs="Arial"/>
                <w:sz w:val="20"/>
                <w:szCs w:val="20"/>
              </w:rPr>
              <w:t>106.2</w:t>
            </w:r>
          </w:p>
        </w:tc>
        <w:tc>
          <w:tcPr>
            <w:tcW w:w="1361" w:type="dxa"/>
            <w:tcBorders>
              <w:top w:val="nil"/>
              <w:left w:val="single" w:sz="4" w:space="0" w:color="auto"/>
              <w:bottom w:val="single" w:sz="4" w:space="0" w:color="auto"/>
              <w:right w:val="single" w:sz="4" w:space="0" w:color="auto"/>
            </w:tcBorders>
            <w:vAlign w:val="center"/>
          </w:tcPr>
          <w:p w14:paraId="6AE75A10" w14:textId="03CA1D1E" w:rsidR="002333E8" w:rsidRPr="00605896" w:rsidRDefault="000A060D" w:rsidP="00215017">
            <w:pPr>
              <w:ind w:left="284"/>
              <w:rPr>
                <w:rFonts w:ascii="Arial" w:hAnsi="Arial" w:cs="Arial"/>
                <w:sz w:val="20"/>
                <w:szCs w:val="20"/>
              </w:rPr>
            </w:pPr>
            <w:r>
              <w:rPr>
                <w:rFonts w:ascii="Arial" w:hAnsi="Arial" w:cs="Arial"/>
                <w:sz w:val="20"/>
                <w:szCs w:val="20"/>
              </w:rPr>
              <w:t xml:space="preserve">  </w:t>
            </w:r>
            <w:r w:rsidR="00215017">
              <w:rPr>
                <w:rFonts w:ascii="Arial" w:hAnsi="Arial" w:cs="Arial"/>
                <w:sz w:val="20"/>
                <w:szCs w:val="20"/>
              </w:rPr>
              <w:t xml:space="preserve">    </w:t>
            </w:r>
            <w:r w:rsidR="00605896">
              <w:rPr>
                <w:rFonts w:ascii="Arial" w:hAnsi="Arial" w:cs="Arial"/>
                <w:sz w:val="20"/>
                <w:szCs w:val="20"/>
              </w:rPr>
              <w:t>1.0</w:t>
            </w:r>
          </w:p>
        </w:tc>
        <w:tc>
          <w:tcPr>
            <w:tcW w:w="1474" w:type="dxa"/>
            <w:tcBorders>
              <w:top w:val="nil"/>
              <w:left w:val="single" w:sz="4" w:space="0" w:color="auto"/>
              <w:bottom w:val="single" w:sz="4" w:space="0" w:color="auto"/>
            </w:tcBorders>
            <w:vAlign w:val="center"/>
          </w:tcPr>
          <w:p w14:paraId="487714F1" w14:textId="5FE31C5F" w:rsidR="00605896" w:rsidRPr="00605896" w:rsidRDefault="000A060D" w:rsidP="000A060D">
            <w:pPr>
              <w:ind w:left="227"/>
              <w:rPr>
                <w:rFonts w:ascii="Arial" w:hAnsi="Arial" w:cs="Arial"/>
                <w:sz w:val="20"/>
                <w:szCs w:val="20"/>
              </w:rPr>
            </w:pPr>
            <w:r>
              <w:rPr>
                <w:rFonts w:ascii="Arial" w:hAnsi="Arial" w:cs="Arial"/>
                <w:sz w:val="24"/>
                <w:szCs w:val="24"/>
              </w:rPr>
              <w:t xml:space="preserve">(-)   </w:t>
            </w:r>
            <w:r w:rsidR="00605896">
              <w:rPr>
                <w:rFonts w:ascii="Arial" w:hAnsi="Arial" w:cs="Arial"/>
                <w:sz w:val="20"/>
                <w:szCs w:val="20"/>
              </w:rPr>
              <w:t>4.7</w:t>
            </w:r>
          </w:p>
        </w:tc>
      </w:tr>
    </w:tbl>
    <w:p w14:paraId="7DCC263C" w14:textId="77777777" w:rsidR="002333E8" w:rsidRDefault="002333E8" w:rsidP="009A7101">
      <w:pPr>
        <w:spacing w:after="0" w:line="240" w:lineRule="auto"/>
        <w:ind w:left="1701" w:right="992"/>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60FD088" w14:textId="57BFD968" w:rsidR="002333E8" w:rsidRDefault="002333E8" w:rsidP="009A7101">
      <w:pPr>
        <w:spacing w:after="0" w:line="240" w:lineRule="auto"/>
        <w:jc w:val="both"/>
        <w:rPr>
          <w:rFonts w:ascii="Arial" w:hAnsi="Arial" w:cs="Arial"/>
          <w:sz w:val="24"/>
          <w:szCs w:val="24"/>
        </w:rPr>
      </w:pPr>
    </w:p>
    <w:p w14:paraId="1D002C82" w14:textId="3A86D51A" w:rsidR="00F47EF4" w:rsidRDefault="00F47EF4" w:rsidP="009A7101">
      <w:pPr>
        <w:spacing w:after="0" w:line="240" w:lineRule="auto"/>
        <w:jc w:val="both"/>
        <w:rPr>
          <w:rFonts w:ascii="Arial" w:hAnsi="Arial" w:cs="Arial"/>
          <w:sz w:val="24"/>
          <w:szCs w:val="24"/>
        </w:rPr>
      </w:pPr>
      <w:r w:rsidRPr="009C7842">
        <w:rPr>
          <w:rFonts w:ascii="Arial" w:hAnsi="Arial" w:cs="Arial"/>
          <w:sz w:val="24"/>
          <w:szCs w:val="24"/>
        </w:rPr>
        <w:t>De acuerdo con la serie estadística disponible,</w:t>
      </w:r>
      <w:r w:rsidR="005F53CA" w:rsidRPr="009C7842">
        <w:rPr>
          <w:rFonts w:ascii="Arial" w:hAnsi="Arial" w:cs="Arial"/>
          <w:sz w:val="24"/>
          <w:szCs w:val="24"/>
        </w:rPr>
        <w:t xml:space="preserve"> el IGPOSE</w:t>
      </w:r>
      <w:r w:rsidRPr="009C7842">
        <w:rPr>
          <w:rFonts w:ascii="Arial" w:hAnsi="Arial" w:cs="Arial"/>
          <w:sz w:val="24"/>
          <w:szCs w:val="24"/>
        </w:rPr>
        <w:t xml:space="preserve"> </w:t>
      </w:r>
      <w:r w:rsidR="005F53CA" w:rsidRPr="009C7842">
        <w:rPr>
          <w:rFonts w:ascii="Arial" w:hAnsi="Arial" w:cs="Arial"/>
          <w:sz w:val="24"/>
          <w:szCs w:val="24"/>
        </w:rPr>
        <w:t>presenta</w:t>
      </w:r>
      <w:r w:rsidRPr="009C7842">
        <w:rPr>
          <w:rFonts w:ascii="Arial" w:hAnsi="Arial" w:cs="Arial"/>
          <w:sz w:val="24"/>
          <w:szCs w:val="24"/>
        </w:rPr>
        <w:t xml:space="preserve"> variaciones anuales negativas en </w:t>
      </w:r>
      <w:r w:rsidR="00475B6C" w:rsidRPr="009C7842">
        <w:rPr>
          <w:rFonts w:ascii="Arial" w:hAnsi="Arial" w:cs="Arial"/>
          <w:sz w:val="24"/>
          <w:szCs w:val="24"/>
        </w:rPr>
        <w:t>los</w:t>
      </w:r>
      <w:r w:rsidRPr="009C7842">
        <w:rPr>
          <w:rFonts w:ascii="Arial" w:hAnsi="Arial" w:cs="Arial"/>
          <w:sz w:val="24"/>
          <w:szCs w:val="24"/>
        </w:rPr>
        <w:t xml:space="preserve"> periodo</w:t>
      </w:r>
      <w:r w:rsidR="00475B6C" w:rsidRPr="009C7842">
        <w:rPr>
          <w:rFonts w:ascii="Arial" w:hAnsi="Arial" w:cs="Arial"/>
          <w:sz w:val="24"/>
          <w:szCs w:val="24"/>
        </w:rPr>
        <w:t>s</w:t>
      </w:r>
      <w:r w:rsidRPr="009C7842">
        <w:rPr>
          <w:rFonts w:ascii="Arial" w:hAnsi="Arial" w:cs="Arial"/>
          <w:sz w:val="24"/>
          <w:szCs w:val="24"/>
        </w:rPr>
        <w:t xml:space="preserve"> de enero de 2009 a marzo de 2010</w:t>
      </w:r>
      <w:r w:rsidR="00E57F6D" w:rsidRPr="009C7842">
        <w:rPr>
          <w:rFonts w:ascii="Arial" w:hAnsi="Arial" w:cs="Arial"/>
          <w:sz w:val="24"/>
          <w:szCs w:val="24"/>
        </w:rPr>
        <w:t xml:space="preserve"> y </w:t>
      </w:r>
      <w:r w:rsidR="00475B6C" w:rsidRPr="009C7842">
        <w:rPr>
          <w:rFonts w:ascii="Arial" w:hAnsi="Arial" w:cs="Arial"/>
          <w:sz w:val="24"/>
          <w:szCs w:val="24"/>
        </w:rPr>
        <w:t>de</w:t>
      </w:r>
      <w:r w:rsidR="00E57F6D" w:rsidRPr="009C7842">
        <w:rPr>
          <w:rFonts w:ascii="Arial" w:hAnsi="Arial" w:cs="Arial"/>
          <w:sz w:val="24"/>
          <w:szCs w:val="24"/>
        </w:rPr>
        <w:t xml:space="preserve"> diciembre de 2019</w:t>
      </w:r>
      <w:r w:rsidR="00141E52" w:rsidRPr="009C7842">
        <w:rPr>
          <w:rFonts w:ascii="Arial" w:hAnsi="Arial" w:cs="Arial"/>
          <w:sz w:val="24"/>
          <w:szCs w:val="24"/>
        </w:rPr>
        <w:t xml:space="preserve"> </w:t>
      </w:r>
      <w:r w:rsidR="00106607" w:rsidRPr="009C7842">
        <w:rPr>
          <w:rFonts w:ascii="Arial" w:hAnsi="Arial" w:cs="Arial"/>
          <w:sz w:val="24"/>
          <w:szCs w:val="24"/>
        </w:rPr>
        <w:t>hasta</w:t>
      </w:r>
      <w:r w:rsidR="00475B6C" w:rsidRPr="009C7842">
        <w:rPr>
          <w:rFonts w:ascii="Arial" w:hAnsi="Arial" w:cs="Arial"/>
          <w:sz w:val="24"/>
          <w:szCs w:val="24"/>
        </w:rPr>
        <w:t xml:space="preserve"> </w:t>
      </w:r>
      <w:r w:rsidR="005F53CA" w:rsidRPr="009C7842">
        <w:rPr>
          <w:rFonts w:ascii="Arial" w:hAnsi="Arial" w:cs="Arial"/>
          <w:sz w:val="24"/>
          <w:szCs w:val="24"/>
        </w:rPr>
        <w:t>mayo</w:t>
      </w:r>
      <w:r w:rsidR="00141E52" w:rsidRPr="009C7842">
        <w:rPr>
          <w:rFonts w:ascii="Arial" w:hAnsi="Arial" w:cs="Arial"/>
          <w:sz w:val="24"/>
          <w:szCs w:val="24"/>
        </w:rPr>
        <w:t xml:space="preserve"> de 2020</w:t>
      </w:r>
      <w:r w:rsidRPr="009C7842">
        <w:rPr>
          <w:rFonts w:ascii="Arial" w:hAnsi="Arial" w:cs="Arial"/>
          <w:sz w:val="24"/>
          <w:szCs w:val="24"/>
        </w:rPr>
        <w:t>. En</w:t>
      </w:r>
      <w:r w:rsidR="00E57F6D" w:rsidRPr="009C7842">
        <w:rPr>
          <w:rFonts w:ascii="Arial" w:hAnsi="Arial" w:cs="Arial"/>
          <w:sz w:val="24"/>
          <w:szCs w:val="24"/>
        </w:rPr>
        <w:t xml:space="preserve"> el periodo de</w:t>
      </w:r>
      <w:r w:rsidRPr="009C7842">
        <w:rPr>
          <w:rFonts w:ascii="Arial" w:hAnsi="Arial" w:cs="Arial"/>
          <w:sz w:val="24"/>
          <w:szCs w:val="24"/>
        </w:rPr>
        <w:t xml:space="preserve"> abril de 2010</w:t>
      </w:r>
      <w:r w:rsidR="00E57F6D" w:rsidRPr="009C7842">
        <w:rPr>
          <w:rFonts w:ascii="Arial" w:hAnsi="Arial" w:cs="Arial"/>
          <w:sz w:val="24"/>
          <w:szCs w:val="24"/>
        </w:rPr>
        <w:t xml:space="preserve"> a noviembre de 2019</w:t>
      </w:r>
      <w:r w:rsidRPr="009C7842">
        <w:rPr>
          <w:rFonts w:ascii="Arial" w:hAnsi="Arial" w:cs="Arial"/>
          <w:sz w:val="24"/>
          <w:szCs w:val="24"/>
        </w:rPr>
        <w:t xml:space="preserve"> se han presentado variaciones anuales positivas</w:t>
      </w:r>
      <w:r w:rsidR="00DF7052" w:rsidRPr="009C7842">
        <w:rPr>
          <w:rFonts w:ascii="Arial" w:hAnsi="Arial" w:cs="Arial"/>
          <w:sz w:val="24"/>
          <w:szCs w:val="24"/>
        </w:rPr>
        <w:t>.</w:t>
      </w:r>
    </w:p>
    <w:p w14:paraId="2AB84BAC" w14:textId="3F6EB61B" w:rsidR="00DF7052" w:rsidRDefault="00DF7052" w:rsidP="009A7101">
      <w:pPr>
        <w:spacing w:after="0" w:line="240" w:lineRule="auto"/>
        <w:jc w:val="both"/>
        <w:rPr>
          <w:rFonts w:ascii="Arial" w:hAnsi="Arial" w:cs="Arial"/>
          <w:sz w:val="24"/>
          <w:szCs w:val="24"/>
        </w:rPr>
      </w:pPr>
    </w:p>
    <w:p w14:paraId="2614A563" w14:textId="6669A47B" w:rsidR="00080208" w:rsidRDefault="009B1F75" w:rsidP="009A7101">
      <w:pPr>
        <w:spacing w:after="0" w:line="240" w:lineRule="auto"/>
        <w:jc w:val="both"/>
        <w:rPr>
          <w:rFonts w:ascii="Arial" w:hAnsi="Arial" w:cs="Arial"/>
          <w:b/>
          <w:sz w:val="20"/>
          <w:szCs w:val="20"/>
        </w:rPr>
      </w:pPr>
      <w:r w:rsidRPr="001A108E">
        <w:rPr>
          <w:rFonts w:ascii="Arial" w:hAnsi="Arial" w:cs="Arial"/>
          <w:sz w:val="24"/>
          <w:szCs w:val="24"/>
        </w:rPr>
        <w:t>El nivel más elevado para</w:t>
      </w:r>
      <w:r>
        <w:rPr>
          <w:rFonts w:ascii="Arial" w:hAnsi="Arial" w:cs="Arial"/>
          <w:sz w:val="24"/>
          <w:szCs w:val="24"/>
        </w:rPr>
        <w:t xml:space="preserve"> el</w:t>
      </w:r>
      <w:r w:rsidRPr="001A108E">
        <w:rPr>
          <w:rFonts w:ascii="Arial" w:hAnsi="Arial" w:cs="Arial"/>
          <w:sz w:val="24"/>
          <w:szCs w:val="24"/>
        </w:rPr>
        <w:t xml:space="preserve"> IGPOSE es el registrado en mayo de 2019, con 11</w:t>
      </w:r>
      <w:r w:rsidR="00E30028">
        <w:rPr>
          <w:rFonts w:ascii="Arial" w:hAnsi="Arial" w:cs="Arial"/>
          <w:sz w:val="24"/>
          <w:szCs w:val="24"/>
        </w:rPr>
        <w:t xml:space="preserve">1.2 </w:t>
      </w:r>
      <w:r w:rsidRPr="001A108E">
        <w:rPr>
          <w:rFonts w:ascii="Arial" w:hAnsi="Arial" w:cs="Arial"/>
          <w:sz w:val="24"/>
          <w:szCs w:val="24"/>
        </w:rPr>
        <w:t>puntos.</w:t>
      </w:r>
      <w:r w:rsidR="00080208">
        <w:rPr>
          <w:rFonts w:ascii="Arial" w:hAnsi="Arial" w:cs="Arial"/>
          <w:b/>
          <w:sz w:val="20"/>
          <w:szCs w:val="20"/>
        </w:rPr>
        <w:br w:type="page"/>
      </w:r>
    </w:p>
    <w:p w14:paraId="12AB99EA" w14:textId="008474ED" w:rsidR="0066650D" w:rsidRPr="00D0286C" w:rsidRDefault="005F53CA" w:rsidP="009A7101">
      <w:pPr>
        <w:spacing w:after="0" w:line="240" w:lineRule="auto"/>
        <w:jc w:val="center"/>
        <w:rPr>
          <w:rFonts w:ascii="Arial" w:hAnsi="Arial" w:cs="Arial"/>
          <w:b/>
          <w:sz w:val="20"/>
          <w:szCs w:val="20"/>
        </w:rPr>
      </w:pPr>
      <w:r>
        <w:rPr>
          <w:rFonts w:ascii="Arial" w:hAnsi="Arial" w:cs="Arial"/>
          <w:b/>
          <w:sz w:val="20"/>
          <w:szCs w:val="20"/>
        </w:rPr>
        <w:lastRenderedPageBreak/>
        <w:t xml:space="preserve">Cuadro </w:t>
      </w:r>
      <w:r w:rsidR="003B4B50">
        <w:rPr>
          <w:rFonts w:ascii="Arial" w:hAnsi="Arial" w:cs="Arial"/>
          <w:b/>
          <w:sz w:val="20"/>
          <w:szCs w:val="20"/>
        </w:rPr>
        <w:t>6</w:t>
      </w:r>
    </w:p>
    <w:p w14:paraId="5C3C52E3" w14:textId="77777777" w:rsidR="0066650D" w:rsidRPr="00D0286C" w:rsidRDefault="0066650D" w:rsidP="009A7101">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1144C71A" w14:textId="0FE1E5CA" w:rsidR="0066650D" w:rsidRPr="00D0286C" w:rsidRDefault="0066650D" w:rsidP="009A7101">
      <w:pPr>
        <w:spacing w:after="0" w:line="240" w:lineRule="auto"/>
        <w:jc w:val="center"/>
        <w:rPr>
          <w:rFonts w:ascii="Arial" w:hAnsi="Arial" w:cs="Arial"/>
          <w:b/>
          <w:sz w:val="20"/>
          <w:szCs w:val="20"/>
        </w:rPr>
      </w:pPr>
      <w:r>
        <w:rPr>
          <w:rFonts w:ascii="Arial" w:hAnsi="Arial" w:cs="Arial"/>
          <w:b/>
          <w:sz w:val="20"/>
          <w:szCs w:val="20"/>
        </w:rPr>
        <w:t xml:space="preserve">ENERO DE 2008 – </w:t>
      </w:r>
      <w:r w:rsidR="005F53CA">
        <w:rPr>
          <w:rFonts w:ascii="Arial" w:hAnsi="Arial" w:cs="Arial"/>
          <w:b/>
          <w:sz w:val="20"/>
          <w:szCs w:val="20"/>
        </w:rPr>
        <w:t>MAYO</w:t>
      </w:r>
      <w:r>
        <w:rPr>
          <w:rFonts w:ascii="Arial" w:hAnsi="Arial" w:cs="Arial"/>
          <w:b/>
          <w:sz w:val="20"/>
          <w:szCs w:val="20"/>
        </w:rPr>
        <w:t xml:space="preserve"> DE 2020</w:t>
      </w:r>
    </w:p>
    <w:p w14:paraId="1696F4DC" w14:textId="77777777" w:rsidR="0066650D" w:rsidRPr="00D0286C" w:rsidRDefault="0066650D" w:rsidP="009A7101">
      <w:pPr>
        <w:spacing w:after="0" w:line="240" w:lineRule="auto"/>
        <w:jc w:val="center"/>
        <w:rPr>
          <w:rFonts w:ascii="Arial" w:hAnsi="Arial" w:cs="Arial"/>
          <w:b/>
          <w:sz w:val="20"/>
          <w:szCs w:val="20"/>
        </w:rPr>
      </w:pPr>
      <w:r>
        <w:rPr>
          <w:rFonts w:ascii="Arial" w:hAnsi="Arial" w:cs="Arial"/>
          <w:b/>
          <w:sz w:val="20"/>
          <w:szCs w:val="20"/>
        </w:rPr>
        <w:t>CIFRAS ORIGINALES</w:t>
      </w:r>
    </w:p>
    <w:p w14:paraId="383C492E" w14:textId="05026B8B" w:rsidR="0066650D" w:rsidRDefault="0066650D"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7"/>
        <w:gridCol w:w="659"/>
        <w:gridCol w:w="659"/>
        <w:gridCol w:w="659"/>
        <w:gridCol w:w="659"/>
        <w:gridCol w:w="659"/>
        <w:gridCol w:w="659"/>
        <w:gridCol w:w="659"/>
        <w:gridCol w:w="659"/>
        <w:gridCol w:w="659"/>
        <w:gridCol w:w="659"/>
        <w:gridCol w:w="667"/>
      </w:tblGrid>
      <w:tr w:rsidR="00965A2F" w:rsidRPr="00965A2F" w14:paraId="156AE6D9" w14:textId="77777777" w:rsidTr="00965A2F">
        <w:trPr>
          <w:trHeight w:val="360"/>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0EDC0B7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Año</w:t>
            </w:r>
          </w:p>
        </w:tc>
        <w:tc>
          <w:tcPr>
            <w:tcW w:w="796"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2AAF927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Índices y Variación Anual</w:t>
            </w:r>
          </w:p>
        </w:tc>
        <w:tc>
          <w:tcPr>
            <w:tcW w:w="7924"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2C92C3B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Mes</w:t>
            </w:r>
          </w:p>
        </w:tc>
      </w:tr>
      <w:tr w:rsidR="00965A2F" w:rsidRPr="00965A2F" w14:paraId="06A82488" w14:textId="77777777" w:rsidTr="00965A2F">
        <w:trPr>
          <w:trHeight w:val="360"/>
        </w:trPr>
        <w:tc>
          <w:tcPr>
            <w:tcW w:w="660" w:type="dxa"/>
            <w:vMerge/>
            <w:tcBorders>
              <w:top w:val="single" w:sz="4" w:space="0" w:color="auto"/>
              <w:left w:val="single" w:sz="4" w:space="0" w:color="auto"/>
              <w:bottom w:val="single" w:sz="4" w:space="0" w:color="000000"/>
              <w:right w:val="nil"/>
            </w:tcBorders>
            <w:vAlign w:val="center"/>
            <w:hideMark/>
          </w:tcPr>
          <w:p w14:paraId="4126E27B"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vMerge/>
            <w:tcBorders>
              <w:top w:val="single" w:sz="4" w:space="0" w:color="auto"/>
              <w:left w:val="single" w:sz="4" w:space="0" w:color="auto"/>
              <w:bottom w:val="single" w:sz="4" w:space="0" w:color="000000"/>
              <w:right w:val="single" w:sz="4" w:space="0" w:color="auto"/>
            </w:tcBorders>
            <w:vAlign w:val="center"/>
            <w:hideMark/>
          </w:tcPr>
          <w:p w14:paraId="0BCB65BF"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667" w:type="dxa"/>
            <w:tcBorders>
              <w:top w:val="nil"/>
              <w:left w:val="nil"/>
              <w:bottom w:val="single" w:sz="4" w:space="0" w:color="auto"/>
              <w:right w:val="single" w:sz="4" w:space="0" w:color="auto"/>
            </w:tcBorders>
            <w:shd w:val="clear" w:color="000000" w:fill="C4D79B"/>
            <w:noWrap/>
            <w:vAlign w:val="center"/>
            <w:hideMark/>
          </w:tcPr>
          <w:p w14:paraId="150B1AC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Ene</w:t>
            </w:r>
          </w:p>
        </w:tc>
        <w:tc>
          <w:tcPr>
            <w:tcW w:w="659" w:type="dxa"/>
            <w:tcBorders>
              <w:top w:val="nil"/>
              <w:left w:val="nil"/>
              <w:bottom w:val="single" w:sz="4" w:space="0" w:color="auto"/>
              <w:right w:val="single" w:sz="4" w:space="0" w:color="auto"/>
            </w:tcBorders>
            <w:shd w:val="clear" w:color="000000" w:fill="C4D79B"/>
            <w:noWrap/>
            <w:vAlign w:val="center"/>
            <w:hideMark/>
          </w:tcPr>
          <w:p w14:paraId="660F9F6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006250F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56C7D4F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4B41D00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36D6DC5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6BD08F4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3B14CF0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proofErr w:type="spellStart"/>
            <w:r w:rsidRPr="00965A2F">
              <w:rPr>
                <w:rFonts w:ascii="Arial" w:eastAsia="Times New Roman" w:hAnsi="Arial" w:cs="Arial"/>
                <w:color w:val="000000"/>
                <w:sz w:val="16"/>
                <w:szCs w:val="16"/>
                <w:lang w:eastAsia="es-MX"/>
              </w:rPr>
              <w:t>Ago</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28567FA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proofErr w:type="spellStart"/>
            <w:r w:rsidRPr="00965A2F">
              <w:rPr>
                <w:rFonts w:ascii="Arial" w:eastAsia="Times New Roman" w:hAnsi="Arial" w:cs="Arial"/>
                <w:color w:val="000000"/>
                <w:sz w:val="16"/>
                <w:szCs w:val="16"/>
                <w:lang w:eastAsia="es-MX"/>
              </w:rPr>
              <w:t>Sep</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196B1FA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3DAA0D2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Nov</w:t>
            </w:r>
          </w:p>
        </w:tc>
        <w:tc>
          <w:tcPr>
            <w:tcW w:w="667" w:type="dxa"/>
            <w:tcBorders>
              <w:top w:val="nil"/>
              <w:left w:val="nil"/>
              <w:bottom w:val="single" w:sz="4" w:space="0" w:color="auto"/>
              <w:right w:val="single" w:sz="4" w:space="0" w:color="auto"/>
            </w:tcBorders>
            <w:shd w:val="clear" w:color="000000" w:fill="C4D79B"/>
            <w:noWrap/>
            <w:vAlign w:val="center"/>
            <w:hideMark/>
          </w:tcPr>
          <w:p w14:paraId="3FC86A7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Dic</w:t>
            </w:r>
          </w:p>
        </w:tc>
      </w:tr>
      <w:tr w:rsidR="00965A2F" w:rsidRPr="00965A2F" w14:paraId="3666CDC3" w14:textId="77777777" w:rsidTr="00965A2F">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7B8E20B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2008</w:t>
            </w:r>
          </w:p>
        </w:tc>
        <w:tc>
          <w:tcPr>
            <w:tcW w:w="796" w:type="dxa"/>
            <w:tcBorders>
              <w:top w:val="nil"/>
              <w:left w:val="nil"/>
              <w:bottom w:val="nil"/>
              <w:right w:val="single" w:sz="4" w:space="0" w:color="auto"/>
            </w:tcBorders>
            <w:shd w:val="clear" w:color="auto" w:fill="auto"/>
            <w:noWrap/>
            <w:vAlign w:val="center"/>
            <w:hideMark/>
          </w:tcPr>
          <w:p w14:paraId="1689E5D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43446A5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32AF51C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0AE153E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015B99A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100.2</w:t>
            </w:r>
          </w:p>
        </w:tc>
        <w:tc>
          <w:tcPr>
            <w:tcW w:w="659" w:type="dxa"/>
            <w:tcBorders>
              <w:top w:val="nil"/>
              <w:left w:val="nil"/>
              <w:bottom w:val="nil"/>
              <w:right w:val="nil"/>
            </w:tcBorders>
            <w:shd w:val="clear" w:color="000000" w:fill="C4D79B"/>
            <w:noWrap/>
            <w:vAlign w:val="center"/>
            <w:hideMark/>
          </w:tcPr>
          <w:p w14:paraId="3221ACD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100.2</w:t>
            </w:r>
          </w:p>
        </w:tc>
        <w:tc>
          <w:tcPr>
            <w:tcW w:w="659" w:type="dxa"/>
            <w:tcBorders>
              <w:top w:val="nil"/>
              <w:left w:val="nil"/>
              <w:bottom w:val="nil"/>
              <w:right w:val="nil"/>
            </w:tcBorders>
            <w:shd w:val="clear" w:color="auto" w:fill="auto"/>
            <w:noWrap/>
            <w:vAlign w:val="center"/>
            <w:hideMark/>
          </w:tcPr>
          <w:p w14:paraId="50F0E83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450A1E4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99.3</w:t>
            </w:r>
          </w:p>
        </w:tc>
        <w:tc>
          <w:tcPr>
            <w:tcW w:w="659" w:type="dxa"/>
            <w:tcBorders>
              <w:top w:val="nil"/>
              <w:left w:val="nil"/>
              <w:bottom w:val="nil"/>
              <w:right w:val="nil"/>
            </w:tcBorders>
            <w:shd w:val="clear" w:color="auto" w:fill="auto"/>
            <w:noWrap/>
            <w:vAlign w:val="center"/>
            <w:hideMark/>
          </w:tcPr>
          <w:p w14:paraId="3037545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55AA83D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98.8</w:t>
            </w:r>
          </w:p>
        </w:tc>
        <w:tc>
          <w:tcPr>
            <w:tcW w:w="659" w:type="dxa"/>
            <w:tcBorders>
              <w:top w:val="nil"/>
              <w:left w:val="nil"/>
              <w:bottom w:val="nil"/>
              <w:right w:val="nil"/>
            </w:tcBorders>
            <w:shd w:val="clear" w:color="auto" w:fill="auto"/>
            <w:noWrap/>
            <w:vAlign w:val="center"/>
            <w:hideMark/>
          </w:tcPr>
          <w:p w14:paraId="098F9AF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98.9</w:t>
            </w:r>
          </w:p>
        </w:tc>
        <w:tc>
          <w:tcPr>
            <w:tcW w:w="659" w:type="dxa"/>
            <w:tcBorders>
              <w:top w:val="nil"/>
              <w:left w:val="nil"/>
              <w:bottom w:val="nil"/>
              <w:right w:val="nil"/>
            </w:tcBorders>
            <w:shd w:val="clear" w:color="auto" w:fill="auto"/>
            <w:noWrap/>
            <w:vAlign w:val="center"/>
            <w:hideMark/>
          </w:tcPr>
          <w:p w14:paraId="65394F8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98.1</w:t>
            </w:r>
          </w:p>
        </w:tc>
        <w:tc>
          <w:tcPr>
            <w:tcW w:w="667" w:type="dxa"/>
            <w:tcBorders>
              <w:top w:val="nil"/>
              <w:left w:val="nil"/>
              <w:bottom w:val="nil"/>
              <w:right w:val="single" w:sz="4" w:space="0" w:color="auto"/>
            </w:tcBorders>
            <w:shd w:val="clear" w:color="auto" w:fill="auto"/>
            <w:noWrap/>
            <w:vAlign w:val="center"/>
            <w:hideMark/>
          </w:tcPr>
          <w:p w14:paraId="62AD88D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98.4</w:t>
            </w:r>
          </w:p>
        </w:tc>
      </w:tr>
      <w:tr w:rsidR="00965A2F" w:rsidRPr="00965A2F" w14:paraId="485BC960" w14:textId="77777777" w:rsidTr="00965A2F">
        <w:trPr>
          <w:trHeight w:val="222"/>
        </w:trPr>
        <w:tc>
          <w:tcPr>
            <w:tcW w:w="660" w:type="dxa"/>
            <w:vMerge/>
            <w:tcBorders>
              <w:top w:val="nil"/>
              <w:left w:val="single" w:sz="4" w:space="0" w:color="auto"/>
              <w:bottom w:val="single" w:sz="4" w:space="0" w:color="000000"/>
              <w:right w:val="nil"/>
            </w:tcBorders>
            <w:vAlign w:val="center"/>
            <w:hideMark/>
          </w:tcPr>
          <w:p w14:paraId="20F073C7"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43966D2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7CE5BB5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451F55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73CFB1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97A8DC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1D9F04D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88A2A6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789EAB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0FE4FF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74E764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081C101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7A2A9E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c>
          <w:tcPr>
            <w:tcW w:w="667" w:type="dxa"/>
            <w:tcBorders>
              <w:top w:val="nil"/>
              <w:left w:val="nil"/>
              <w:bottom w:val="single" w:sz="4" w:space="0" w:color="auto"/>
              <w:right w:val="single" w:sz="4" w:space="0" w:color="auto"/>
            </w:tcBorders>
            <w:shd w:val="clear" w:color="auto" w:fill="auto"/>
            <w:noWrap/>
            <w:vAlign w:val="center"/>
            <w:hideMark/>
          </w:tcPr>
          <w:p w14:paraId="765C274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w:t>
            </w:r>
          </w:p>
        </w:tc>
      </w:tr>
      <w:tr w:rsidR="00965A2F" w:rsidRPr="00965A2F" w14:paraId="166B1FFD"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449480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2009</w:t>
            </w:r>
          </w:p>
        </w:tc>
        <w:tc>
          <w:tcPr>
            <w:tcW w:w="796" w:type="dxa"/>
            <w:tcBorders>
              <w:top w:val="nil"/>
              <w:left w:val="nil"/>
              <w:bottom w:val="nil"/>
              <w:right w:val="single" w:sz="4" w:space="0" w:color="auto"/>
            </w:tcBorders>
            <w:shd w:val="clear" w:color="auto" w:fill="auto"/>
            <w:noWrap/>
            <w:vAlign w:val="center"/>
            <w:hideMark/>
          </w:tcPr>
          <w:p w14:paraId="0A5C504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1280FF6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95.7</w:t>
            </w:r>
          </w:p>
        </w:tc>
        <w:tc>
          <w:tcPr>
            <w:tcW w:w="659" w:type="dxa"/>
            <w:tcBorders>
              <w:top w:val="nil"/>
              <w:left w:val="nil"/>
              <w:bottom w:val="nil"/>
              <w:right w:val="nil"/>
            </w:tcBorders>
            <w:shd w:val="clear" w:color="auto" w:fill="auto"/>
            <w:noWrap/>
            <w:vAlign w:val="center"/>
            <w:hideMark/>
          </w:tcPr>
          <w:p w14:paraId="79D1CD3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00BA411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95.0</w:t>
            </w:r>
          </w:p>
        </w:tc>
        <w:tc>
          <w:tcPr>
            <w:tcW w:w="659" w:type="dxa"/>
            <w:tcBorders>
              <w:top w:val="nil"/>
              <w:left w:val="nil"/>
              <w:bottom w:val="nil"/>
              <w:right w:val="nil"/>
            </w:tcBorders>
            <w:shd w:val="clear" w:color="auto" w:fill="auto"/>
            <w:noWrap/>
            <w:vAlign w:val="center"/>
            <w:hideMark/>
          </w:tcPr>
          <w:p w14:paraId="046023A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94.4</w:t>
            </w:r>
          </w:p>
        </w:tc>
        <w:tc>
          <w:tcPr>
            <w:tcW w:w="659" w:type="dxa"/>
            <w:tcBorders>
              <w:top w:val="nil"/>
              <w:left w:val="nil"/>
              <w:bottom w:val="nil"/>
              <w:right w:val="nil"/>
            </w:tcBorders>
            <w:shd w:val="clear" w:color="000000" w:fill="C4D79B"/>
            <w:noWrap/>
            <w:vAlign w:val="center"/>
            <w:hideMark/>
          </w:tcPr>
          <w:p w14:paraId="77440FF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09253D5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74AF45F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93.8</w:t>
            </w:r>
          </w:p>
        </w:tc>
        <w:tc>
          <w:tcPr>
            <w:tcW w:w="659" w:type="dxa"/>
            <w:tcBorders>
              <w:top w:val="nil"/>
              <w:left w:val="nil"/>
              <w:bottom w:val="nil"/>
              <w:right w:val="nil"/>
            </w:tcBorders>
            <w:shd w:val="clear" w:color="auto" w:fill="auto"/>
            <w:noWrap/>
            <w:vAlign w:val="center"/>
            <w:hideMark/>
          </w:tcPr>
          <w:p w14:paraId="031CDFC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05C1289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94.4</w:t>
            </w:r>
          </w:p>
        </w:tc>
        <w:tc>
          <w:tcPr>
            <w:tcW w:w="659" w:type="dxa"/>
            <w:tcBorders>
              <w:top w:val="nil"/>
              <w:left w:val="nil"/>
              <w:bottom w:val="nil"/>
              <w:right w:val="nil"/>
            </w:tcBorders>
            <w:shd w:val="clear" w:color="auto" w:fill="auto"/>
            <w:noWrap/>
            <w:vAlign w:val="center"/>
            <w:hideMark/>
          </w:tcPr>
          <w:p w14:paraId="5E3DE54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95.0</w:t>
            </w:r>
          </w:p>
        </w:tc>
        <w:tc>
          <w:tcPr>
            <w:tcW w:w="659" w:type="dxa"/>
            <w:tcBorders>
              <w:top w:val="nil"/>
              <w:left w:val="nil"/>
              <w:bottom w:val="nil"/>
              <w:right w:val="nil"/>
            </w:tcBorders>
            <w:shd w:val="clear" w:color="auto" w:fill="auto"/>
            <w:noWrap/>
            <w:vAlign w:val="center"/>
            <w:hideMark/>
          </w:tcPr>
          <w:p w14:paraId="07925BE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95.2</w:t>
            </w:r>
          </w:p>
        </w:tc>
        <w:tc>
          <w:tcPr>
            <w:tcW w:w="667" w:type="dxa"/>
            <w:tcBorders>
              <w:top w:val="nil"/>
              <w:left w:val="nil"/>
              <w:bottom w:val="nil"/>
              <w:right w:val="single" w:sz="4" w:space="0" w:color="auto"/>
            </w:tcBorders>
            <w:shd w:val="clear" w:color="auto" w:fill="auto"/>
            <w:noWrap/>
            <w:vAlign w:val="center"/>
            <w:hideMark/>
          </w:tcPr>
          <w:p w14:paraId="14DDA76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95.8</w:t>
            </w:r>
          </w:p>
        </w:tc>
      </w:tr>
      <w:tr w:rsidR="00965A2F" w:rsidRPr="00965A2F" w14:paraId="6C8FCEE2"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6B6E808"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51F03A7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07FF027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-4.2</w:t>
            </w:r>
          </w:p>
        </w:tc>
        <w:tc>
          <w:tcPr>
            <w:tcW w:w="659" w:type="dxa"/>
            <w:tcBorders>
              <w:top w:val="nil"/>
              <w:left w:val="nil"/>
              <w:bottom w:val="nil"/>
              <w:right w:val="nil"/>
            </w:tcBorders>
            <w:shd w:val="clear" w:color="auto" w:fill="auto"/>
            <w:noWrap/>
            <w:vAlign w:val="center"/>
            <w:hideMark/>
          </w:tcPr>
          <w:p w14:paraId="5D0DEA3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79DF242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-5.4</w:t>
            </w:r>
          </w:p>
        </w:tc>
        <w:tc>
          <w:tcPr>
            <w:tcW w:w="659" w:type="dxa"/>
            <w:tcBorders>
              <w:top w:val="nil"/>
              <w:left w:val="nil"/>
              <w:bottom w:val="nil"/>
              <w:right w:val="nil"/>
            </w:tcBorders>
            <w:shd w:val="clear" w:color="auto" w:fill="auto"/>
            <w:noWrap/>
            <w:vAlign w:val="center"/>
            <w:hideMark/>
          </w:tcPr>
          <w:p w14:paraId="007B0D1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000000" w:fill="C4D79B"/>
            <w:noWrap/>
            <w:vAlign w:val="center"/>
            <w:hideMark/>
          </w:tcPr>
          <w:p w14:paraId="0BB2F1A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-6.3</w:t>
            </w:r>
          </w:p>
        </w:tc>
        <w:tc>
          <w:tcPr>
            <w:tcW w:w="659" w:type="dxa"/>
            <w:tcBorders>
              <w:top w:val="nil"/>
              <w:left w:val="nil"/>
              <w:bottom w:val="single" w:sz="4" w:space="0" w:color="auto"/>
              <w:right w:val="nil"/>
            </w:tcBorders>
            <w:shd w:val="clear" w:color="auto" w:fill="auto"/>
            <w:noWrap/>
            <w:vAlign w:val="center"/>
            <w:hideMark/>
          </w:tcPr>
          <w:p w14:paraId="6AEE08A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-5.6</w:t>
            </w:r>
          </w:p>
        </w:tc>
        <w:tc>
          <w:tcPr>
            <w:tcW w:w="659" w:type="dxa"/>
            <w:tcBorders>
              <w:top w:val="nil"/>
              <w:left w:val="nil"/>
              <w:bottom w:val="single" w:sz="4" w:space="0" w:color="auto"/>
              <w:right w:val="nil"/>
            </w:tcBorders>
            <w:shd w:val="clear" w:color="auto" w:fill="auto"/>
            <w:noWrap/>
            <w:vAlign w:val="center"/>
            <w:hideMark/>
          </w:tcPr>
          <w:p w14:paraId="48D0059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-5.6</w:t>
            </w:r>
          </w:p>
        </w:tc>
        <w:tc>
          <w:tcPr>
            <w:tcW w:w="659" w:type="dxa"/>
            <w:tcBorders>
              <w:top w:val="nil"/>
              <w:left w:val="nil"/>
              <w:bottom w:val="single" w:sz="4" w:space="0" w:color="auto"/>
              <w:right w:val="nil"/>
            </w:tcBorders>
            <w:shd w:val="clear" w:color="auto" w:fill="auto"/>
            <w:noWrap/>
            <w:vAlign w:val="center"/>
            <w:hideMark/>
          </w:tcPr>
          <w:p w14:paraId="6F7261C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-5.3</w:t>
            </w:r>
          </w:p>
        </w:tc>
        <w:tc>
          <w:tcPr>
            <w:tcW w:w="659" w:type="dxa"/>
            <w:tcBorders>
              <w:top w:val="nil"/>
              <w:left w:val="nil"/>
              <w:bottom w:val="single" w:sz="4" w:space="0" w:color="auto"/>
              <w:right w:val="nil"/>
            </w:tcBorders>
            <w:shd w:val="clear" w:color="auto" w:fill="auto"/>
            <w:noWrap/>
            <w:vAlign w:val="center"/>
            <w:hideMark/>
          </w:tcPr>
          <w:p w14:paraId="121D911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-4.5</w:t>
            </w:r>
          </w:p>
        </w:tc>
        <w:tc>
          <w:tcPr>
            <w:tcW w:w="659" w:type="dxa"/>
            <w:tcBorders>
              <w:top w:val="nil"/>
              <w:left w:val="nil"/>
              <w:bottom w:val="single" w:sz="4" w:space="0" w:color="auto"/>
              <w:right w:val="nil"/>
            </w:tcBorders>
            <w:shd w:val="clear" w:color="auto" w:fill="auto"/>
            <w:noWrap/>
            <w:vAlign w:val="center"/>
            <w:hideMark/>
          </w:tcPr>
          <w:p w14:paraId="135406F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-3.9</w:t>
            </w:r>
          </w:p>
        </w:tc>
        <w:tc>
          <w:tcPr>
            <w:tcW w:w="659" w:type="dxa"/>
            <w:tcBorders>
              <w:top w:val="nil"/>
              <w:left w:val="nil"/>
              <w:bottom w:val="single" w:sz="4" w:space="0" w:color="auto"/>
              <w:right w:val="nil"/>
            </w:tcBorders>
            <w:shd w:val="clear" w:color="auto" w:fill="auto"/>
            <w:noWrap/>
            <w:vAlign w:val="center"/>
            <w:hideMark/>
          </w:tcPr>
          <w:p w14:paraId="199CAD0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-3.0</w:t>
            </w:r>
          </w:p>
        </w:tc>
        <w:tc>
          <w:tcPr>
            <w:tcW w:w="667" w:type="dxa"/>
            <w:tcBorders>
              <w:top w:val="nil"/>
              <w:left w:val="nil"/>
              <w:bottom w:val="single" w:sz="4" w:space="0" w:color="auto"/>
              <w:right w:val="single" w:sz="4" w:space="0" w:color="auto"/>
            </w:tcBorders>
            <w:shd w:val="clear" w:color="auto" w:fill="auto"/>
            <w:noWrap/>
            <w:vAlign w:val="center"/>
            <w:hideMark/>
          </w:tcPr>
          <w:p w14:paraId="2AA73B0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-2.6</w:t>
            </w:r>
          </w:p>
        </w:tc>
      </w:tr>
      <w:tr w:rsidR="00965A2F" w:rsidRPr="00965A2F" w14:paraId="4D5C7E97" w14:textId="77777777" w:rsidTr="00965A2F">
        <w:trPr>
          <w:trHeight w:val="222"/>
        </w:trPr>
        <w:tc>
          <w:tcPr>
            <w:tcW w:w="660" w:type="dxa"/>
            <w:vMerge w:val="restart"/>
            <w:tcBorders>
              <w:top w:val="nil"/>
              <w:left w:val="single" w:sz="4" w:space="0" w:color="auto"/>
              <w:bottom w:val="nil"/>
              <w:right w:val="nil"/>
            </w:tcBorders>
            <w:shd w:val="clear" w:color="auto" w:fill="auto"/>
            <w:noWrap/>
            <w:vAlign w:val="center"/>
            <w:hideMark/>
          </w:tcPr>
          <w:p w14:paraId="6400AA6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2010</w:t>
            </w:r>
          </w:p>
        </w:tc>
        <w:tc>
          <w:tcPr>
            <w:tcW w:w="796" w:type="dxa"/>
            <w:tcBorders>
              <w:top w:val="nil"/>
              <w:left w:val="nil"/>
              <w:bottom w:val="nil"/>
              <w:right w:val="single" w:sz="4" w:space="0" w:color="auto"/>
            </w:tcBorders>
            <w:shd w:val="clear" w:color="auto" w:fill="auto"/>
            <w:noWrap/>
            <w:vAlign w:val="center"/>
            <w:hideMark/>
          </w:tcPr>
          <w:p w14:paraId="0896772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0F65FA6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93.3</w:t>
            </w:r>
          </w:p>
        </w:tc>
        <w:tc>
          <w:tcPr>
            <w:tcW w:w="659" w:type="dxa"/>
            <w:tcBorders>
              <w:top w:val="single" w:sz="4" w:space="0" w:color="auto"/>
              <w:left w:val="nil"/>
              <w:bottom w:val="nil"/>
              <w:right w:val="nil"/>
            </w:tcBorders>
            <w:shd w:val="clear" w:color="auto" w:fill="auto"/>
            <w:noWrap/>
            <w:vAlign w:val="center"/>
            <w:hideMark/>
          </w:tcPr>
          <w:p w14:paraId="5644C03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93.6</w:t>
            </w:r>
          </w:p>
        </w:tc>
        <w:tc>
          <w:tcPr>
            <w:tcW w:w="659" w:type="dxa"/>
            <w:tcBorders>
              <w:top w:val="single" w:sz="4" w:space="0" w:color="auto"/>
              <w:left w:val="nil"/>
              <w:bottom w:val="nil"/>
              <w:right w:val="nil"/>
            </w:tcBorders>
            <w:shd w:val="clear" w:color="auto" w:fill="auto"/>
            <w:noWrap/>
            <w:vAlign w:val="center"/>
            <w:hideMark/>
          </w:tcPr>
          <w:p w14:paraId="269027E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94.5</w:t>
            </w:r>
          </w:p>
        </w:tc>
        <w:tc>
          <w:tcPr>
            <w:tcW w:w="659" w:type="dxa"/>
            <w:tcBorders>
              <w:top w:val="single" w:sz="4" w:space="0" w:color="auto"/>
              <w:left w:val="nil"/>
              <w:bottom w:val="nil"/>
              <w:right w:val="nil"/>
            </w:tcBorders>
            <w:shd w:val="clear" w:color="auto" w:fill="auto"/>
            <w:noWrap/>
            <w:vAlign w:val="center"/>
            <w:hideMark/>
          </w:tcPr>
          <w:p w14:paraId="035680F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94.7</w:t>
            </w:r>
          </w:p>
        </w:tc>
        <w:tc>
          <w:tcPr>
            <w:tcW w:w="659" w:type="dxa"/>
            <w:tcBorders>
              <w:top w:val="single" w:sz="4" w:space="0" w:color="auto"/>
              <w:left w:val="nil"/>
              <w:bottom w:val="nil"/>
              <w:right w:val="nil"/>
            </w:tcBorders>
            <w:shd w:val="clear" w:color="000000" w:fill="C4D79B"/>
            <w:noWrap/>
            <w:vAlign w:val="center"/>
            <w:hideMark/>
          </w:tcPr>
          <w:p w14:paraId="289D326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95.3</w:t>
            </w:r>
          </w:p>
        </w:tc>
        <w:tc>
          <w:tcPr>
            <w:tcW w:w="659" w:type="dxa"/>
            <w:tcBorders>
              <w:top w:val="nil"/>
              <w:left w:val="nil"/>
              <w:bottom w:val="nil"/>
              <w:right w:val="nil"/>
            </w:tcBorders>
            <w:shd w:val="clear" w:color="auto" w:fill="auto"/>
            <w:noWrap/>
            <w:vAlign w:val="center"/>
            <w:hideMark/>
          </w:tcPr>
          <w:p w14:paraId="31A2A01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95.2</w:t>
            </w:r>
          </w:p>
        </w:tc>
        <w:tc>
          <w:tcPr>
            <w:tcW w:w="659" w:type="dxa"/>
            <w:tcBorders>
              <w:top w:val="nil"/>
              <w:left w:val="nil"/>
              <w:bottom w:val="nil"/>
              <w:right w:val="nil"/>
            </w:tcBorders>
            <w:shd w:val="clear" w:color="auto" w:fill="auto"/>
            <w:noWrap/>
            <w:vAlign w:val="center"/>
            <w:hideMark/>
          </w:tcPr>
          <w:p w14:paraId="46E5291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95.5</w:t>
            </w:r>
          </w:p>
        </w:tc>
        <w:tc>
          <w:tcPr>
            <w:tcW w:w="659" w:type="dxa"/>
            <w:tcBorders>
              <w:top w:val="nil"/>
              <w:left w:val="nil"/>
              <w:bottom w:val="nil"/>
              <w:right w:val="nil"/>
            </w:tcBorders>
            <w:shd w:val="clear" w:color="auto" w:fill="auto"/>
            <w:noWrap/>
            <w:vAlign w:val="center"/>
            <w:hideMark/>
          </w:tcPr>
          <w:p w14:paraId="606625C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96.0</w:t>
            </w:r>
          </w:p>
        </w:tc>
        <w:tc>
          <w:tcPr>
            <w:tcW w:w="659" w:type="dxa"/>
            <w:tcBorders>
              <w:top w:val="nil"/>
              <w:left w:val="nil"/>
              <w:bottom w:val="nil"/>
              <w:right w:val="nil"/>
            </w:tcBorders>
            <w:shd w:val="clear" w:color="auto" w:fill="auto"/>
            <w:noWrap/>
            <w:vAlign w:val="center"/>
            <w:hideMark/>
          </w:tcPr>
          <w:p w14:paraId="49C5307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96.1</w:t>
            </w:r>
          </w:p>
        </w:tc>
        <w:tc>
          <w:tcPr>
            <w:tcW w:w="659" w:type="dxa"/>
            <w:tcBorders>
              <w:top w:val="nil"/>
              <w:left w:val="nil"/>
              <w:bottom w:val="nil"/>
              <w:right w:val="nil"/>
            </w:tcBorders>
            <w:shd w:val="clear" w:color="auto" w:fill="auto"/>
            <w:noWrap/>
            <w:vAlign w:val="center"/>
            <w:hideMark/>
          </w:tcPr>
          <w:p w14:paraId="2CE237C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96.7</w:t>
            </w:r>
          </w:p>
        </w:tc>
        <w:tc>
          <w:tcPr>
            <w:tcW w:w="659" w:type="dxa"/>
            <w:tcBorders>
              <w:top w:val="nil"/>
              <w:left w:val="nil"/>
              <w:bottom w:val="nil"/>
              <w:right w:val="nil"/>
            </w:tcBorders>
            <w:shd w:val="clear" w:color="auto" w:fill="auto"/>
            <w:noWrap/>
            <w:vAlign w:val="center"/>
            <w:hideMark/>
          </w:tcPr>
          <w:p w14:paraId="7D81A2C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96.7</w:t>
            </w:r>
          </w:p>
        </w:tc>
        <w:tc>
          <w:tcPr>
            <w:tcW w:w="667" w:type="dxa"/>
            <w:tcBorders>
              <w:top w:val="nil"/>
              <w:left w:val="nil"/>
              <w:bottom w:val="nil"/>
              <w:right w:val="single" w:sz="4" w:space="0" w:color="auto"/>
            </w:tcBorders>
            <w:shd w:val="clear" w:color="auto" w:fill="auto"/>
            <w:noWrap/>
            <w:vAlign w:val="center"/>
            <w:hideMark/>
          </w:tcPr>
          <w:p w14:paraId="714DB66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97.0</w:t>
            </w:r>
          </w:p>
        </w:tc>
      </w:tr>
      <w:tr w:rsidR="00965A2F" w:rsidRPr="00965A2F" w14:paraId="30DC3164" w14:textId="77777777" w:rsidTr="00965A2F">
        <w:trPr>
          <w:trHeight w:val="222"/>
        </w:trPr>
        <w:tc>
          <w:tcPr>
            <w:tcW w:w="660" w:type="dxa"/>
            <w:vMerge/>
            <w:tcBorders>
              <w:top w:val="nil"/>
              <w:left w:val="single" w:sz="4" w:space="0" w:color="auto"/>
              <w:bottom w:val="nil"/>
              <w:right w:val="nil"/>
            </w:tcBorders>
            <w:vAlign w:val="center"/>
            <w:hideMark/>
          </w:tcPr>
          <w:p w14:paraId="70713E98"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437B41F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6A9E2DD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151892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4007037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681CE0D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36E9A40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3C4705F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0BBD025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D0F981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A4BD94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1ADAF73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5D4B004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1.6</w:t>
            </w:r>
          </w:p>
        </w:tc>
        <w:tc>
          <w:tcPr>
            <w:tcW w:w="667" w:type="dxa"/>
            <w:tcBorders>
              <w:top w:val="nil"/>
              <w:left w:val="nil"/>
              <w:bottom w:val="nil"/>
              <w:right w:val="single" w:sz="4" w:space="0" w:color="auto"/>
            </w:tcBorders>
            <w:shd w:val="clear" w:color="auto" w:fill="auto"/>
            <w:noWrap/>
            <w:vAlign w:val="center"/>
            <w:hideMark/>
          </w:tcPr>
          <w:p w14:paraId="2157657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r>
      <w:tr w:rsidR="00965A2F" w:rsidRPr="00965A2F" w14:paraId="35A8029F"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A5F94C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2011</w:t>
            </w:r>
          </w:p>
        </w:tc>
        <w:tc>
          <w:tcPr>
            <w:tcW w:w="796" w:type="dxa"/>
            <w:tcBorders>
              <w:top w:val="single" w:sz="4" w:space="0" w:color="auto"/>
              <w:left w:val="nil"/>
              <w:bottom w:val="nil"/>
              <w:right w:val="single" w:sz="4" w:space="0" w:color="auto"/>
            </w:tcBorders>
            <w:shd w:val="clear" w:color="auto" w:fill="auto"/>
            <w:noWrap/>
            <w:vAlign w:val="center"/>
            <w:hideMark/>
          </w:tcPr>
          <w:p w14:paraId="0FDB932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5A7FDA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95.4</w:t>
            </w:r>
          </w:p>
        </w:tc>
        <w:tc>
          <w:tcPr>
            <w:tcW w:w="659" w:type="dxa"/>
            <w:tcBorders>
              <w:top w:val="single" w:sz="4" w:space="0" w:color="auto"/>
              <w:left w:val="nil"/>
              <w:bottom w:val="nil"/>
              <w:right w:val="nil"/>
            </w:tcBorders>
            <w:shd w:val="clear" w:color="auto" w:fill="auto"/>
            <w:noWrap/>
            <w:vAlign w:val="center"/>
            <w:hideMark/>
          </w:tcPr>
          <w:p w14:paraId="48B9DC8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95.5</w:t>
            </w:r>
          </w:p>
        </w:tc>
        <w:tc>
          <w:tcPr>
            <w:tcW w:w="659" w:type="dxa"/>
            <w:tcBorders>
              <w:top w:val="single" w:sz="4" w:space="0" w:color="auto"/>
              <w:left w:val="nil"/>
              <w:bottom w:val="nil"/>
              <w:right w:val="nil"/>
            </w:tcBorders>
            <w:shd w:val="clear" w:color="auto" w:fill="auto"/>
            <w:noWrap/>
            <w:vAlign w:val="center"/>
            <w:hideMark/>
          </w:tcPr>
          <w:p w14:paraId="1D4D4AF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394169C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000000" w:fill="C4D79B"/>
            <w:noWrap/>
            <w:vAlign w:val="center"/>
            <w:hideMark/>
          </w:tcPr>
          <w:p w14:paraId="1D83C9C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63E123B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97.1</w:t>
            </w:r>
          </w:p>
        </w:tc>
        <w:tc>
          <w:tcPr>
            <w:tcW w:w="659" w:type="dxa"/>
            <w:tcBorders>
              <w:top w:val="single" w:sz="4" w:space="0" w:color="auto"/>
              <w:left w:val="nil"/>
              <w:bottom w:val="nil"/>
              <w:right w:val="nil"/>
            </w:tcBorders>
            <w:shd w:val="clear" w:color="auto" w:fill="auto"/>
            <w:noWrap/>
            <w:vAlign w:val="center"/>
            <w:hideMark/>
          </w:tcPr>
          <w:p w14:paraId="4F23514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96.9</w:t>
            </w:r>
          </w:p>
        </w:tc>
        <w:tc>
          <w:tcPr>
            <w:tcW w:w="659" w:type="dxa"/>
            <w:tcBorders>
              <w:top w:val="single" w:sz="4" w:space="0" w:color="auto"/>
              <w:left w:val="nil"/>
              <w:bottom w:val="nil"/>
              <w:right w:val="nil"/>
            </w:tcBorders>
            <w:shd w:val="clear" w:color="auto" w:fill="auto"/>
            <w:noWrap/>
            <w:vAlign w:val="center"/>
            <w:hideMark/>
          </w:tcPr>
          <w:p w14:paraId="18F22D6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97.2</w:t>
            </w:r>
          </w:p>
        </w:tc>
        <w:tc>
          <w:tcPr>
            <w:tcW w:w="659" w:type="dxa"/>
            <w:tcBorders>
              <w:top w:val="single" w:sz="4" w:space="0" w:color="auto"/>
              <w:left w:val="nil"/>
              <w:bottom w:val="nil"/>
              <w:right w:val="nil"/>
            </w:tcBorders>
            <w:shd w:val="clear" w:color="auto" w:fill="auto"/>
            <w:noWrap/>
            <w:vAlign w:val="center"/>
            <w:hideMark/>
          </w:tcPr>
          <w:p w14:paraId="1DC4474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97.5</w:t>
            </w:r>
          </w:p>
        </w:tc>
        <w:tc>
          <w:tcPr>
            <w:tcW w:w="659" w:type="dxa"/>
            <w:tcBorders>
              <w:top w:val="single" w:sz="4" w:space="0" w:color="auto"/>
              <w:left w:val="nil"/>
              <w:bottom w:val="nil"/>
              <w:right w:val="nil"/>
            </w:tcBorders>
            <w:shd w:val="clear" w:color="auto" w:fill="auto"/>
            <w:noWrap/>
            <w:vAlign w:val="center"/>
            <w:hideMark/>
          </w:tcPr>
          <w:p w14:paraId="0DEFECA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98.0</w:t>
            </w:r>
          </w:p>
        </w:tc>
        <w:tc>
          <w:tcPr>
            <w:tcW w:w="659" w:type="dxa"/>
            <w:tcBorders>
              <w:top w:val="single" w:sz="4" w:space="0" w:color="auto"/>
              <w:left w:val="nil"/>
              <w:bottom w:val="nil"/>
              <w:right w:val="nil"/>
            </w:tcBorders>
            <w:shd w:val="clear" w:color="auto" w:fill="auto"/>
            <w:noWrap/>
            <w:vAlign w:val="center"/>
            <w:hideMark/>
          </w:tcPr>
          <w:p w14:paraId="4856856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97.9</w:t>
            </w:r>
          </w:p>
        </w:tc>
        <w:tc>
          <w:tcPr>
            <w:tcW w:w="667" w:type="dxa"/>
            <w:tcBorders>
              <w:top w:val="single" w:sz="4" w:space="0" w:color="auto"/>
              <w:left w:val="nil"/>
              <w:bottom w:val="nil"/>
              <w:right w:val="single" w:sz="4" w:space="0" w:color="auto"/>
            </w:tcBorders>
            <w:shd w:val="clear" w:color="auto" w:fill="auto"/>
            <w:noWrap/>
            <w:vAlign w:val="center"/>
            <w:hideMark/>
          </w:tcPr>
          <w:p w14:paraId="3A49A0B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98.0</w:t>
            </w:r>
          </w:p>
        </w:tc>
      </w:tr>
      <w:tr w:rsidR="00965A2F" w:rsidRPr="00965A2F" w14:paraId="771F8A53"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9795BB1"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FBF452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37CDD22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6E04C15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477B15C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57FE687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000000" w:fill="C4D79B"/>
            <w:noWrap/>
            <w:vAlign w:val="center"/>
            <w:hideMark/>
          </w:tcPr>
          <w:p w14:paraId="55F9EDB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7021CC4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5BA6226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0F835B4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3D51AF0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01B4592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7ECD6DE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1.3</w:t>
            </w:r>
          </w:p>
        </w:tc>
        <w:tc>
          <w:tcPr>
            <w:tcW w:w="667" w:type="dxa"/>
            <w:tcBorders>
              <w:top w:val="nil"/>
              <w:left w:val="nil"/>
              <w:bottom w:val="single" w:sz="4" w:space="0" w:color="auto"/>
              <w:right w:val="single" w:sz="4" w:space="0" w:color="auto"/>
            </w:tcBorders>
            <w:shd w:val="clear" w:color="auto" w:fill="auto"/>
            <w:noWrap/>
            <w:vAlign w:val="center"/>
            <w:hideMark/>
          </w:tcPr>
          <w:p w14:paraId="29FD57D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w:t>
            </w:r>
          </w:p>
        </w:tc>
      </w:tr>
      <w:tr w:rsidR="00965A2F" w:rsidRPr="00965A2F" w14:paraId="6A1A4FEC" w14:textId="77777777" w:rsidTr="00965A2F">
        <w:trPr>
          <w:trHeight w:val="222"/>
        </w:trPr>
        <w:tc>
          <w:tcPr>
            <w:tcW w:w="660" w:type="dxa"/>
            <w:vMerge w:val="restart"/>
            <w:tcBorders>
              <w:top w:val="nil"/>
              <w:left w:val="single" w:sz="4" w:space="0" w:color="auto"/>
              <w:bottom w:val="nil"/>
              <w:right w:val="nil"/>
            </w:tcBorders>
            <w:shd w:val="clear" w:color="auto" w:fill="auto"/>
            <w:noWrap/>
            <w:vAlign w:val="center"/>
            <w:hideMark/>
          </w:tcPr>
          <w:p w14:paraId="100A8D5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2012</w:t>
            </w:r>
          </w:p>
        </w:tc>
        <w:tc>
          <w:tcPr>
            <w:tcW w:w="796" w:type="dxa"/>
            <w:tcBorders>
              <w:top w:val="nil"/>
              <w:left w:val="nil"/>
              <w:bottom w:val="nil"/>
              <w:right w:val="single" w:sz="4" w:space="0" w:color="auto"/>
            </w:tcBorders>
            <w:shd w:val="clear" w:color="auto" w:fill="auto"/>
            <w:noWrap/>
            <w:vAlign w:val="center"/>
            <w:hideMark/>
          </w:tcPr>
          <w:p w14:paraId="7FDCE76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58A5EEA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97.5</w:t>
            </w:r>
          </w:p>
        </w:tc>
        <w:tc>
          <w:tcPr>
            <w:tcW w:w="659" w:type="dxa"/>
            <w:tcBorders>
              <w:top w:val="nil"/>
              <w:left w:val="nil"/>
              <w:bottom w:val="nil"/>
              <w:right w:val="nil"/>
            </w:tcBorders>
            <w:shd w:val="clear" w:color="auto" w:fill="auto"/>
            <w:noWrap/>
            <w:vAlign w:val="center"/>
            <w:hideMark/>
          </w:tcPr>
          <w:p w14:paraId="70C131F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97.6</w:t>
            </w:r>
          </w:p>
        </w:tc>
        <w:tc>
          <w:tcPr>
            <w:tcW w:w="659" w:type="dxa"/>
            <w:tcBorders>
              <w:top w:val="nil"/>
              <w:left w:val="nil"/>
              <w:bottom w:val="nil"/>
              <w:right w:val="nil"/>
            </w:tcBorders>
            <w:shd w:val="clear" w:color="auto" w:fill="auto"/>
            <w:noWrap/>
            <w:vAlign w:val="center"/>
            <w:hideMark/>
          </w:tcPr>
          <w:p w14:paraId="3EA5CA0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98.5</w:t>
            </w:r>
          </w:p>
        </w:tc>
        <w:tc>
          <w:tcPr>
            <w:tcW w:w="659" w:type="dxa"/>
            <w:tcBorders>
              <w:top w:val="nil"/>
              <w:left w:val="nil"/>
              <w:bottom w:val="nil"/>
              <w:right w:val="nil"/>
            </w:tcBorders>
            <w:shd w:val="clear" w:color="auto" w:fill="auto"/>
            <w:noWrap/>
            <w:vAlign w:val="center"/>
            <w:hideMark/>
          </w:tcPr>
          <w:p w14:paraId="7943987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98.3</w:t>
            </w:r>
          </w:p>
        </w:tc>
        <w:tc>
          <w:tcPr>
            <w:tcW w:w="659" w:type="dxa"/>
            <w:tcBorders>
              <w:top w:val="nil"/>
              <w:left w:val="nil"/>
              <w:bottom w:val="nil"/>
              <w:right w:val="nil"/>
            </w:tcBorders>
            <w:shd w:val="clear" w:color="000000" w:fill="C4D79B"/>
            <w:noWrap/>
            <w:vAlign w:val="center"/>
            <w:hideMark/>
          </w:tcPr>
          <w:p w14:paraId="313C58E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98.9</w:t>
            </w:r>
          </w:p>
        </w:tc>
        <w:tc>
          <w:tcPr>
            <w:tcW w:w="659" w:type="dxa"/>
            <w:tcBorders>
              <w:top w:val="nil"/>
              <w:left w:val="nil"/>
              <w:bottom w:val="nil"/>
              <w:right w:val="nil"/>
            </w:tcBorders>
            <w:shd w:val="clear" w:color="auto" w:fill="auto"/>
            <w:noWrap/>
            <w:vAlign w:val="center"/>
            <w:hideMark/>
          </w:tcPr>
          <w:p w14:paraId="732C84B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0DEB592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99.2</w:t>
            </w:r>
          </w:p>
        </w:tc>
        <w:tc>
          <w:tcPr>
            <w:tcW w:w="659" w:type="dxa"/>
            <w:tcBorders>
              <w:top w:val="nil"/>
              <w:left w:val="nil"/>
              <w:bottom w:val="nil"/>
              <w:right w:val="nil"/>
            </w:tcBorders>
            <w:shd w:val="clear" w:color="auto" w:fill="auto"/>
            <w:noWrap/>
            <w:vAlign w:val="center"/>
            <w:hideMark/>
          </w:tcPr>
          <w:p w14:paraId="18C8523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5807A78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38B3D1A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99.9</w:t>
            </w:r>
          </w:p>
        </w:tc>
        <w:tc>
          <w:tcPr>
            <w:tcW w:w="659" w:type="dxa"/>
            <w:tcBorders>
              <w:top w:val="nil"/>
              <w:left w:val="nil"/>
              <w:bottom w:val="nil"/>
              <w:right w:val="nil"/>
            </w:tcBorders>
            <w:shd w:val="clear" w:color="auto" w:fill="auto"/>
            <w:noWrap/>
            <w:vAlign w:val="center"/>
            <w:hideMark/>
          </w:tcPr>
          <w:p w14:paraId="657F7A3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99.8</w:t>
            </w:r>
          </w:p>
        </w:tc>
        <w:tc>
          <w:tcPr>
            <w:tcW w:w="667" w:type="dxa"/>
            <w:tcBorders>
              <w:top w:val="nil"/>
              <w:left w:val="nil"/>
              <w:bottom w:val="nil"/>
              <w:right w:val="single" w:sz="4" w:space="0" w:color="auto"/>
            </w:tcBorders>
            <w:shd w:val="clear" w:color="auto" w:fill="auto"/>
            <w:noWrap/>
            <w:vAlign w:val="center"/>
            <w:hideMark/>
          </w:tcPr>
          <w:p w14:paraId="66807BC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100.0</w:t>
            </w:r>
          </w:p>
        </w:tc>
      </w:tr>
      <w:tr w:rsidR="00965A2F" w:rsidRPr="00965A2F" w14:paraId="2F4E506A" w14:textId="77777777" w:rsidTr="00965A2F">
        <w:trPr>
          <w:trHeight w:val="222"/>
        </w:trPr>
        <w:tc>
          <w:tcPr>
            <w:tcW w:w="660" w:type="dxa"/>
            <w:vMerge/>
            <w:tcBorders>
              <w:top w:val="nil"/>
              <w:left w:val="single" w:sz="4" w:space="0" w:color="auto"/>
              <w:bottom w:val="nil"/>
              <w:right w:val="nil"/>
            </w:tcBorders>
            <w:vAlign w:val="center"/>
            <w:hideMark/>
          </w:tcPr>
          <w:p w14:paraId="0E78F285"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50FC8D5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03C819B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2E8EDDF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39E622D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4CD2C72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000000" w:fill="C4D79B"/>
            <w:noWrap/>
            <w:vAlign w:val="center"/>
            <w:hideMark/>
          </w:tcPr>
          <w:p w14:paraId="4D2FF0F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433C625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7E94797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2103D0D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2A6FE4C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21A89F3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5CF1545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67" w:type="dxa"/>
            <w:tcBorders>
              <w:top w:val="nil"/>
              <w:left w:val="nil"/>
              <w:bottom w:val="nil"/>
              <w:right w:val="single" w:sz="4" w:space="0" w:color="auto"/>
            </w:tcBorders>
            <w:shd w:val="clear" w:color="auto" w:fill="auto"/>
            <w:noWrap/>
            <w:vAlign w:val="center"/>
            <w:hideMark/>
          </w:tcPr>
          <w:p w14:paraId="313DEA3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r>
      <w:tr w:rsidR="00965A2F" w:rsidRPr="00965A2F" w14:paraId="7FA3035E"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A6FBA9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2013</w:t>
            </w:r>
          </w:p>
        </w:tc>
        <w:tc>
          <w:tcPr>
            <w:tcW w:w="796" w:type="dxa"/>
            <w:tcBorders>
              <w:top w:val="single" w:sz="4" w:space="0" w:color="auto"/>
              <w:left w:val="nil"/>
              <w:bottom w:val="nil"/>
              <w:right w:val="single" w:sz="4" w:space="0" w:color="auto"/>
            </w:tcBorders>
            <w:shd w:val="clear" w:color="auto" w:fill="auto"/>
            <w:noWrap/>
            <w:vAlign w:val="center"/>
            <w:hideMark/>
          </w:tcPr>
          <w:p w14:paraId="5B5602A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0DB0ABA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auto" w:fill="auto"/>
            <w:noWrap/>
            <w:vAlign w:val="center"/>
            <w:hideMark/>
          </w:tcPr>
          <w:p w14:paraId="4DB6814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99.0</w:t>
            </w:r>
          </w:p>
        </w:tc>
        <w:tc>
          <w:tcPr>
            <w:tcW w:w="659" w:type="dxa"/>
            <w:tcBorders>
              <w:top w:val="single" w:sz="4" w:space="0" w:color="auto"/>
              <w:left w:val="nil"/>
              <w:bottom w:val="nil"/>
              <w:right w:val="nil"/>
            </w:tcBorders>
            <w:shd w:val="clear" w:color="auto" w:fill="auto"/>
            <w:noWrap/>
            <w:vAlign w:val="center"/>
            <w:hideMark/>
          </w:tcPr>
          <w:p w14:paraId="6D8A8FE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99.5</w:t>
            </w:r>
          </w:p>
        </w:tc>
        <w:tc>
          <w:tcPr>
            <w:tcW w:w="659" w:type="dxa"/>
            <w:tcBorders>
              <w:top w:val="single" w:sz="4" w:space="0" w:color="auto"/>
              <w:left w:val="nil"/>
              <w:bottom w:val="nil"/>
              <w:right w:val="nil"/>
            </w:tcBorders>
            <w:shd w:val="clear" w:color="auto" w:fill="auto"/>
            <w:noWrap/>
            <w:vAlign w:val="center"/>
            <w:hideMark/>
          </w:tcPr>
          <w:p w14:paraId="77BF8E9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99.7</w:t>
            </w:r>
          </w:p>
        </w:tc>
        <w:tc>
          <w:tcPr>
            <w:tcW w:w="659" w:type="dxa"/>
            <w:tcBorders>
              <w:top w:val="single" w:sz="4" w:space="0" w:color="auto"/>
              <w:left w:val="nil"/>
              <w:bottom w:val="nil"/>
              <w:right w:val="nil"/>
            </w:tcBorders>
            <w:shd w:val="clear" w:color="000000" w:fill="C4D79B"/>
            <w:noWrap/>
            <w:vAlign w:val="center"/>
            <w:hideMark/>
          </w:tcPr>
          <w:p w14:paraId="0ACD686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052B30E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64FEEC1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22B3618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100.4</w:t>
            </w:r>
          </w:p>
        </w:tc>
        <w:tc>
          <w:tcPr>
            <w:tcW w:w="659" w:type="dxa"/>
            <w:tcBorders>
              <w:top w:val="single" w:sz="4" w:space="0" w:color="auto"/>
              <w:left w:val="nil"/>
              <w:bottom w:val="nil"/>
              <w:right w:val="nil"/>
            </w:tcBorders>
            <w:shd w:val="clear" w:color="auto" w:fill="auto"/>
            <w:noWrap/>
            <w:vAlign w:val="center"/>
            <w:hideMark/>
          </w:tcPr>
          <w:p w14:paraId="56B2577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12D1F94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100.6</w:t>
            </w:r>
          </w:p>
        </w:tc>
        <w:tc>
          <w:tcPr>
            <w:tcW w:w="659" w:type="dxa"/>
            <w:tcBorders>
              <w:top w:val="single" w:sz="4" w:space="0" w:color="auto"/>
              <w:left w:val="nil"/>
              <w:bottom w:val="nil"/>
              <w:right w:val="nil"/>
            </w:tcBorders>
            <w:shd w:val="clear" w:color="auto" w:fill="auto"/>
            <w:noWrap/>
            <w:vAlign w:val="center"/>
            <w:hideMark/>
          </w:tcPr>
          <w:p w14:paraId="1C55B1A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100.8</w:t>
            </w:r>
          </w:p>
        </w:tc>
        <w:tc>
          <w:tcPr>
            <w:tcW w:w="667" w:type="dxa"/>
            <w:tcBorders>
              <w:top w:val="single" w:sz="4" w:space="0" w:color="auto"/>
              <w:left w:val="nil"/>
              <w:bottom w:val="nil"/>
              <w:right w:val="single" w:sz="4" w:space="0" w:color="auto"/>
            </w:tcBorders>
            <w:shd w:val="clear" w:color="auto" w:fill="auto"/>
            <w:noWrap/>
            <w:vAlign w:val="center"/>
            <w:hideMark/>
          </w:tcPr>
          <w:p w14:paraId="1E8C18E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100.7</w:t>
            </w:r>
          </w:p>
        </w:tc>
      </w:tr>
      <w:tr w:rsidR="00965A2F" w:rsidRPr="00965A2F" w14:paraId="7098D9E6"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BC51D9E"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440E029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68869D5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0F500DA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0D292FE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001EFE5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000000" w:fill="C4D79B"/>
            <w:noWrap/>
            <w:vAlign w:val="center"/>
            <w:hideMark/>
          </w:tcPr>
          <w:p w14:paraId="4010388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4954921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4C7573C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0.9</w:t>
            </w:r>
          </w:p>
        </w:tc>
        <w:tc>
          <w:tcPr>
            <w:tcW w:w="659" w:type="dxa"/>
            <w:tcBorders>
              <w:top w:val="nil"/>
              <w:left w:val="nil"/>
              <w:bottom w:val="single" w:sz="4" w:space="0" w:color="auto"/>
              <w:right w:val="nil"/>
            </w:tcBorders>
            <w:shd w:val="clear" w:color="auto" w:fill="auto"/>
            <w:noWrap/>
            <w:vAlign w:val="center"/>
            <w:hideMark/>
          </w:tcPr>
          <w:p w14:paraId="50E7FAC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6E8B86F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auto" w:fill="auto"/>
            <w:noWrap/>
            <w:vAlign w:val="center"/>
            <w:hideMark/>
          </w:tcPr>
          <w:p w14:paraId="79C4BAA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0B3A1A5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w:t>
            </w:r>
          </w:p>
        </w:tc>
        <w:tc>
          <w:tcPr>
            <w:tcW w:w="667" w:type="dxa"/>
            <w:tcBorders>
              <w:top w:val="nil"/>
              <w:left w:val="nil"/>
              <w:bottom w:val="single" w:sz="4" w:space="0" w:color="auto"/>
              <w:right w:val="single" w:sz="4" w:space="0" w:color="auto"/>
            </w:tcBorders>
            <w:shd w:val="clear" w:color="auto" w:fill="auto"/>
            <w:noWrap/>
            <w:vAlign w:val="center"/>
            <w:hideMark/>
          </w:tcPr>
          <w:p w14:paraId="4F11954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0.7</w:t>
            </w:r>
          </w:p>
        </w:tc>
      </w:tr>
      <w:tr w:rsidR="00965A2F" w:rsidRPr="00965A2F" w14:paraId="78251181" w14:textId="77777777" w:rsidTr="00965A2F">
        <w:trPr>
          <w:trHeight w:val="222"/>
        </w:trPr>
        <w:tc>
          <w:tcPr>
            <w:tcW w:w="660" w:type="dxa"/>
            <w:vMerge w:val="restart"/>
            <w:tcBorders>
              <w:top w:val="nil"/>
              <w:left w:val="single" w:sz="4" w:space="0" w:color="auto"/>
              <w:bottom w:val="nil"/>
              <w:right w:val="nil"/>
            </w:tcBorders>
            <w:shd w:val="clear" w:color="auto" w:fill="auto"/>
            <w:noWrap/>
            <w:vAlign w:val="center"/>
            <w:hideMark/>
          </w:tcPr>
          <w:p w14:paraId="32EC383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2014</w:t>
            </w:r>
          </w:p>
        </w:tc>
        <w:tc>
          <w:tcPr>
            <w:tcW w:w="796" w:type="dxa"/>
            <w:tcBorders>
              <w:top w:val="nil"/>
              <w:left w:val="nil"/>
              <w:bottom w:val="nil"/>
              <w:right w:val="single" w:sz="4" w:space="0" w:color="auto"/>
            </w:tcBorders>
            <w:shd w:val="clear" w:color="auto" w:fill="auto"/>
            <w:noWrap/>
            <w:vAlign w:val="center"/>
            <w:hideMark/>
          </w:tcPr>
          <w:p w14:paraId="2B35E3A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4D6B950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3340DDB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5A86D42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100.5</w:t>
            </w:r>
          </w:p>
        </w:tc>
        <w:tc>
          <w:tcPr>
            <w:tcW w:w="659" w:type="dxa"/>
            <w:tcBorders>
              <w:top w:val="nil"/>
              <w:left w:val="nil"/>
              <w:bottom w:val="nil"/>
              <w:right w:val="nil"/>
            </w:tcBorders>
            <w:shd w:val="clear" w:color="auto" w:fill="auto"/>
            <w:noWrap/>
            <w:vAlign w:val="center"/>
            <w:hideMark/>
          </w:tcPr>
          <w:p w14:paraId="0186B79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101.1</w:t>
            </w:r>
          </w:p>
        </w:tc>
        <w:tc>
          <w:tcPr>
            <w:tcW w:w="659" w:type="dxa"/>
            <w:tcBorders>
              <w:top w:val="nil"/>
              <w:left w:val="nil"/>
              <w:bottom w:val="nil"/>
              <w:right w:val="nil"/>
            </w:tcBorders>
            <w:shd w:val="clear" w:color="000000" w:fill="C4D79B"/>
            <w:noWrap/>
            <w:vAlign w:val="center"/>
            <w:hideMark/>
          </w:tcPr>
          <w:p w14:paraId="283EBFC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101.5</w:t>
            </w:r>
          </w:p>
        </w:tc>
        <w:tc>
          <w:tcPr>
            <w:tcW w:w="659" w:type="dxa"/>
            <w:tcBorders>
              <w:top w:val="nil"/>
              <w:left w:val="nil"/>
              <w:bottom w:val="nil"/>
              <w:right w:val="nil"/>
            </w:tcBorders>
            <w:shd w:val="clear" w:color="auto" w:fill="auto"/>
            <w:noWrap/>
            <w:vAlign w:val="center"/>
            <w:hideMark/>
          </w:tcPr>
          <w:p w14:paraId="0A50028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101.3</w:t>
            </w:r>
          </w:p>
        </w:tc>
        <w:tc>
          <w:tcPr>
            <w:tcW w:w="659" w:type="dxa"/>
            <w:tcBorders>
              <w:top w:val="nil"/>
              <w:left w:val="nil"/>
              <w:bottom w:val="nil"/>
              <w:right w:val="nil"/>
            </w:tcBorders>
            <w:shd w:val="clear" w:color="auto" w:fill="auto"/>
            <w:noWrap/>
            <w:vAlign w:val="center"/>
            <w:hideMark/>
          </w:tcPr>
          <w:p w14:paraId="3A7E7E4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101.4</w:t>
            </w:r>
          </w:p>
        </w:tc>
        <w:tc>
          <w:tcPr>
            <w:tcW w:w="659" w:type="dxa"/>
            <w:tcBorders>
              <w:top w:val="nil"/>
              <w:left w:val="nil"/>
              <w:bottom w:val="nil"/>
              <w:right w:val="nil"/>
            </w:tcBorders>
            <w:shd w:val="clear" w:color="auto" w:fill="auto"/>
            <w:noWrap/>
            <w:vAlign w:val="center"/>
            <w:hideMark/>
          </w:tcPr>
          <w:p w14:paraId="21BE471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101.7</w:t>
            </w:r>
          </w:p>
        </w:tc>
        <w:tc>
          <w:tcPr>
            <w:tcW w:w="659" w:type="dxa"/>
            <w:tcBorders>
              <w:top w:val="nil"/>
              <w:left w:val="nil"/>
              <w:bottom w:val="nil"/>
              <w:right w:val="nil"/>
            </w:tcBorders>
            <w:shd w:val="clear" w:color="auto" w:fill="auto"/>
            <w:noWrap/>
            <w:vAlign w:val="center"/>
            <w:hideMark/>
          </w:tcPr>
          <w:p w14:paraId="1BB9F37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101.7</w:t>
            </w:r>
          </w:p>
        </w:tc>
        <w:tc>
          <w:tcPr>
            <w:tcW w:w="659" w:type="dxa"/>
            <w:tcBorders>
              <w:top w:val="nil"/>
              <w:left w:val="nil"/>
              <w:bottom w:val="nil"/>
              <w:right w:val="nil"/>
            </w:tcBorders>
            <w:shd w:val="clear" w:color="auto" w:fill="auto"/>
            <w:noWrap/>
            <w:vAlign w:val="center"/>
            <w:hideMark/>
          </w:tcPr>
          <w:p w14:paraId="47BD888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101.8</w:t>
            </w:r>
          </w:p>
        </w:tc>
        <w:tc>
          <w:tcPr>
            <w:tcW w:w="659" w:type="dxa"/>
            <w:tcBorders>
              <w:top w:val="nil"/>
              <w:left w:val="nil"/>
              <w:bottom w:val="nil"/>
              <w:right w:val="nil"/>
            </w:tcBorders>
            <w:shd w:val="clear" w:color="auto" w:fill="auto"/>
            <w:noWrap/>
            <w:vAlign w:val="center"/>
            <w:hideMark/>
          </w:tcPr>
          <w:p w14:paraId="4D2B5F4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102.5</w:t>
            </w:r>
          </w:p>
        </w:tc>
        <w:tc>
          <w:tcPr>
            <w:tcW w:w="667" w:type="dxa"/>
            <w:tcBorders>
              <w:top w:val="nil"/>
              <w:left w:val="nil"/>
              <w:bottom w:val="nil"/>
              <w:right w:val="single" w:sz="4" w:space="0" w:color="auto"/>
            </w:tcBorders>
            <w:shd w:val="clear" w:color="auto" w:fill="auto"/>
            <w:noWrap/>
            <w:vAlign w:val="center"/>
            <w:hideMark/>
          </w:tcPr>
          <w:p w14:paraId="13F34ED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102.4</w:t>
            </w:r>
          </w:p>
        </w:tc>
      </w:tr>
      <w:tr w:rsidR="00965A2F" w:rsidRPr="00965A2F" w14:paraId="4D0E58DB" w14:textId="77777777" w:rsidTr="00965A2F">
        <w:trPr>
          <w:trHeight w:val="222"/>
        </w:trPr>
        <w:tc>
          <w:tcPr>
            <w:tcW w:w="660" w:type="dxa"/>
            <w:vMerge/>
            <w:tcBorders>
              <w:top w:val="nil"/>
              <w:left w:val="single" w:sz="4" w:space="0" w:color="auto"/>
              <w:bottom w:val="nil"/>
              <w:right w:val="nil"/>
            </w:tcBorders>
            <w:vAlign w:val="center"/>
            <w:hideMark/>
          </w:tcPr>
          <w:p w14:paraId="411D7BEC"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2327E28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4C2A2E0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0935C73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6F27A98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5F9F43C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000000" w:fill="C4D79B"/>
            <w:noWrap/>
            <w:vAlign w:val="center"/>
            <w:hideMark/>
          </w:tcPr>
          <w:p w14:paraId="7BF8423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7E11542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79D5648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0A7DA61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1158C81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16012C7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4613B2B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1.7</w:t>
            </w:r>
          </w:p>
        </w:tc>
        <w:tc>
          <w:tcPr>
            <w:tcW w:w="667" w:type="dxa"/>
            <w:tcBorders>
              <w:top w:val="nil"/>
              <w:left w:val="nil"/>
              <w:bottom w:val="nil"/>
              <w:right w:val="single" w:sz="4" w:space="0" w:color="auto"/>
            </w:tcBorders>
            <w:shd w:val="clear" w:color="auto" w:fill="auto"/>
            <w:noWrap/>
            <w:vAlign w:val="center"/>
            <w:hideMark/>
          </w:tcPr>
          <w:p w14:paraId="7CBBD60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1.7</w:t>
            </w:r>
          </w:p>
        </w:tc>
      </w:tr>
      <w:tr w:rsidR="00965A2F" w:rsidRPr="00965A2F" w14:paraId="1ABF0DA3"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A7397B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2015</w:t>
            </w:r>
          </w:p>
        </w:tc>
        <w:tc>
          <w:tcPr>
            <w:tcW w:w="796" w:type="dxa"/>
            <w:tcBorders>
              <w:top w:val="single" w:sz="4" w:space="0" w:color="auto"/>
              <w:left w:val="nil"/>
              <w:bottom w:val="nil"/>
              <w:right w:val="single" w:sz="4" w:space="0" w:color="auto"/>
            </w:tcBorders>
            <w:shd w:val="clear" w:color="auto" w:fill="auto"/>
            <w:noWrap/>
            <w:vAlign w:val="center"/>
            <w:hideMark/>
          </w:tcPr>
          <w:p w14:paraId="7F8FE5E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4E739F0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102.3</w:t>
            </w:r>
          </w:p>
        </w:tc>
        <w:tc>
          <w:tcPr>
            <w:tcW w:w="659" w:type="dxa"/>
            <w:tcBorders>
              <w:top w:val="single" w:sz="4" w:space="0" w:color="auto"/>
              <w:left w:val="nil"/>
              <w:bottom w:val="nil"/>
              <w:right w:val="nil"/>
            </w:tcBorders>
            <w:shd w:val="clear" w:color="auto" w:fill="auto"/>
            <w:noWrap/>
            <w:vAlign w:val="center"/>
            <w:hideMark/>
          </w:tcPr>
          <w:p w14:paraId="44A83D0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103.0</w:t>
            </w:r>
          </w:p>
        </w:tc>
        <w:tc>
          <w:tcPr>
            <w:tcW w:w="659" w:type="dxa"/>
            <w:tcBorders>
              <w:top w:val="single" w:sz="4" w:space="0" w:color="auto"/>
              <w:left w:val="nil"/>
              <w:bottom w:val="nil"/>
              <w:right w:val="nil"/>
            </w:tcBorders>
            <w:shd w:val="clear" w:color="auto" w:fill="auto"/>
            <w:noWrap/>
            <w:vAlign w:val="center"/>
            <w:hideMark/>
          </w:tcPr>
          <w:p w14:paraId="053A614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102.9</w:t>
            </w:r>
          </w:p>
        </w:tc>
        <w:tc>
          <w:tcPr>
            <w:tcW w:w="659" w:type="dxa"/>
            <w:tcBorders>
              <w:top w:val="single" w:sz="4" w:space="0" w:color="auto"/>
              <w:left w:val="nil"/>
              <w:bottom w:val="nil"/>
              <w:right w:val="nil"/>
            </w:tcBorders>
            <w:shd w:val="clear" w:color="auto" w:fill="auto"/>
            <w:noWrap/>
            <w:vAlign w:val="center"/>
            <w:hideMark/>
          </w:tcPr>
          <w:p w14:paraId="2BB2C6E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000000" w:fill="C4D79B"/>
            <w:noWrap/>
            <w:vAlign w:val="center"/>
            <w:hideMark/>
          </w:tcPr>
          <w:p w14:paraId="0486155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103.5</w:t>
            </w:r>
          </w:p>
        </w:tc>
        <w:tc>
          <w:tcPr>
            <w:tcW w:w="659" w:type="dxa"/>
            <w:tcBorders>
              <w:top w:val="single" w:sz="4" w:space="0" w:color="auto"/>
              <w:left w:val="nil"/>
              <w:bottom w:val="nil"/>
              <w:right w:val="nil"/>
            </w:tcBorders>
            <w:shd w:val="clear" w:color="auto" w:fill="auto"/>
            <w:noWrap/>
            <w:vAlign w:val="center"/>
            <w:hideMark/>
          </w:tcPr>
          <w:p w14:paraId="26EC862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5AE2D20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4A9FD37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708091A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104.3</w:t>
            </w:r>
          </w:p>
        </w:tc>
        <w:tc>
          <w:tcPr>
            <w:tcW w:w="659" w:type="dxa"/>
            <w:tcBorders>
              <w:top w:val="single" w:sz="4" w:space="0" w:color="auto"/>
              <w:left w:val="nil"/>
              <w:bottom w:val="nil"/>
              <w:right w:val="nil"/>
            </w:tcBorders>
            <w:shd w:val="clear" w:color="auto" w:fill="auto"/>
            <w:noWrap/>
            <w:vAlign w:val="center"/>
            <w:hideMark/>
          </w:tcPr>
          <w:p w14:paraId="0F5FFB6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703C422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105.0</w:t>
            </w:r>
          </w:p>
        </w:tc>
        <w:tc>
          <w:tcPr>
            <w:tcW w:w="667" w:type="dxa"/>
            <w:tcBorders>
              <w:top w:val="single" w:sz="4" w:space="0" w:color="auto"/>
              <w:left w:val="nil"/>
              <w:bottom w:val="nil"/>
              <w:right w:val="single" w:sz="4" w:space="0" w:color="auto"/>
            </w:tcBorders>
            <w:shd w:val="clear" w:color="auto" w:fill="auto"/>
            <w:noWrap/>
            <w:vAlign w:val="center"/>
            <w:hideMark/>
          </w:tcPr>
          <w:p w14:paraId="52C2EB0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104.9</w:t>
            </w:r>
          </w:p>
        </w:tc>
      </w:tr>
      <w:tr w:rsidR="00965A2F" w:rsidRPr="00965A2F" w14:paraId="7B6B5FFE"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E7AF27E"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3DB5A22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7C1B0FA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3534772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38CCB66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207EDBC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000000" w:fill="C4D79B"/>
            <w:noWrap/>
            <w:vAlign w:val="center"/>
            <w:hideMark/>
          </w:tcPr>
          <w:p w14:paraId="3DC1F78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55428DA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2.7</w:t>
            </w:r>
          </w:p>
        </w:tc>
        <w:tc>
          <w:tcPr>
            <w:tcW w:w="659" w:type="dxa"/>
            <w:tcBorders>
              <w:top w:val="nil"/>
              <w:left w:val="nil"/>
              <w:bottom w:val="single" w:sz="4" w:space="0" w:color="auto"/>
              <w:right w:val="nil"/>
            </w:tcBorders>
            <w:shd w:val="clear" w:color="auto" w:fill="auto"/>
            <w:noWrap/>
            <w:vAlign w:val="center"/>
            <w:hideMark/>
          </w:tcPr>
          <w:p w14:paraId="7541FB3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7F4E5C5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7C3A6CC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686BADB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auto" w:fill="auto"/>
            <w:noWrap/>
            <w:vAlign w:val="center"/>
            <w:hideMark/>
          </w:tcPr>
          <w:p w14:paraId="05F316F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2.5</w:t>
            </w:r>
          </w:p>
        </w:tc>
        <w:tc>
          <w:tcPr>
            <w:tcW w:w="667" w:type="dxa"/>
            <w:tcBorders>
              <w:top w:val="nil"/>
              <w:left w:val="nil"/>
              <w:bottom w:val="single" w:sz="4" w:space="0" w:color="auto"/>
              <w:right w:val="single" w:sz="4" w:space="0" w:color="auto"/>
            </w:tcBorders>
            <w:shd w:val="clear" w:color="auto" w:fill="auto"/>
            <w:noWrap/>
            <w:vAlign w:val="center"/>
            <w:hideMark/>
          </w:tcPr>
          <w:p w14:paraId="59C526B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2.5</w:t>
            </w:r>
          </w:p>
        </w:tc>
      </w:tr>
      <w:tr w:rsidR="00965A2F" w:rsidRPr="00965A2F" w14:paraId="727CCC1E" w14:textId="77777777" w:rsidTr="00965A2F">
        <w:trPr>
          <w:trHeight w:val="222"/>
        </w:trPr>
        <w:tc>
          <w:tcPr>
            <w:tcW w:w="660" w:type="dxa"/>
            <w:vMerge w:val="restart"/>
            <w:tcBorders>
              <w:top w:val="nil"/>
              <w:left w:val="single" w:sz="4" w:space="0" w:color="auto"/>
              <w:bottom w:val="nil"/>
              <w:right w:val="nil"/>
            </w:tcBorders>
            <w:shd w:val="clear" w:color="auto" w:fill="auto"/>
            <w:noWrap/>
            <w:vAlign w:val="center"/>
            <w:hideMark/>
          </w:tcPr>
          <w:p w14:paraId="614E9CD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2016</w:t>
            </w:r>
          </w:p>
        </w:tc>
        <w:tc>
          <w:tcPr>
            <w:tcW w:w="796" w:type="dxa"/>
            <w:tcBorders>
              <w:top w:val="nil"/>
              <w:left w:val="nil"/>
              <w:bottom w:val="nil"/>
              <w:right w:val="single" w:sz="4" w:space="0" w:color="auto"/>
            </w:tcBorders>
            <w:shd w:val="clear" w:color="auto" w:fill="auto"/>
            <w:noWrap/>
            <w:vAlign w:val="center"/>
            <w:hideMark/>
          </w:tcPr>
          <w:p w14:paraId="1FE3D0D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01CF1E0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104.6</w:t>
            </w:r>
          </w:p>
        </w:tc>
        <w:tc>
          <w:tcPr>
            <w:tcW w:w="659" w:type="dxa"/>
            <w:tcBorders>
              <w:top w:val="nil"/>
              <w:left w:val="nil"/>
              <w:bottom w:val="nil"/>
              <w:right w:val="nil"/>
            </w:tcBorders>
            <w:shd w:val="clear" w:color="auto" w:fill="auto"/>
            <w:noWrap/>
            <w:vAlign w:val="center"/>
            <w:hideMark/>
          </w:tcPr>
          <w:p w14:paraId="01BE965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104.6</w:t>
            </w:r>
          </w:p>
        </w:tc>
        <w:tc>
          <w:tcPr>
            <w:tcW w:w="659" w:type="dxa"/>
            <w:tcBorders>
              <w:top w:val="nil"/>
              <w:left w:val="nil"/>
              <w:bottom w:val="nil"/>
              <w:right w:val="nil"/>
            </w:tcBorders>
            <w:shd w:val="clear" w:color="auto" w:fill="auto"/>
            <w:noWrap/>
            <w:vAlign w:val="center"/>
            <w:hideMark/>
          </w:tcPr>
          <w:p w14:paraId="0799F46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105.0</w:t>
            </w:r>
          </w:p>
        </w:tc>
        <w:tc>
          <w:tcPr>
            <w:tcW w:w="659" w:type="dxa"/>
            <w:tcBorders>
              <w:top w:val="nil"/>
              <w:left w:val="nil"/>
              <w:bottom w:val="nil"/>
              <w:right w:val="nil"/>
            </w:tcBorders>
            <w:shd w:val="clear" w:color="auto" w:fill="auto"/>
            <w:noWrap/>
            <w:vAlign w:val="center"/>
            <w:hideMark/>
          </w:tcPr>
          <w:p w14:paraId="3842D74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105.3</w:t>
            </w:r>
          </w:p>
        </w:tc>
        <w:tc>
          <w:tcPr>
            <w:tcW w:w="659" w:type="dxa"/>
            <w:tcBorders>
              <w:top w:val="nil"/>
              <w:left w:val="nil"/>
              <w:bottom w:val="nil"/>
              <w:right w:val="nil"/>
            </w:tcBorders>
            <w:shd w:val="clear" w:color="000000" w:fill="C4D79B"/>
            <w:noWrap/>
            <w:vAlign w:val="center"/>
            <w:hideMark/>
          </w:tcPr>
          <w:p w14:paraId="7748ACC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3A191F9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70DDC0D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063BE1E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106.0</w:t>
            </w:r>
          </w:p>
        </w:tc>
        <w:tc>
          <w:tcPr>
            <w:tcW w:w="659" w:type="dxa"/>
            <w:tcBorders>
              <w:top w:val="nil"/>
              <w:left w:val="nil"/>
              <w:bottom w:val="nil"/>
              <w:right w:val="nil"/>
            </w:tcBorders>
            <w:shd w:val="clear" w:color="auto" w:fill="auto"/>
            <w:noWrap/>
            <w:vAlign w:val="center"/>
            <w:hideMark/>
          </w:tcPr>
          <w:p w14:paraId="4256470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106.3</w:t>
            </w:r>
          </w:p>
        </w:tc>
        <w:tc>
          <w:tcPr>
            <w:tcW w:w="659" w:type="dxa"/>
            <w:tcBorders>
              <w:top w:val="nil"/>
              <w:left w:val="nil"/>
              <w:bottom w:val="nil"/>
              <w:right w:val="nil"/>
            </w:tcBorders>
            <w:shd w:val="clear" w:color="auto" w:fill="auto"/>
            <w:noWrap/>
            <w:vAlign w:val="center"/>
            <w:hideMark/>
          </w:tcPr>
          <w:p w14:paraId="02F0289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106.7</w:t>
            </w:r>
          </w:p>
        </w:tc>
        <w:tc>
          <w:tcPr>
            <w:tcW w:w="659" w:type="dxa"/>
            <w:tcBorders>
              <w:top w:val="nil"/>
              <w:left w:val="nil"/>
              <w:bottom w:val="nil"/>
              <w:right w:val="nil"/>
            </w:tcBorders>
            <w:shd w:val="clear" w:color="auto" w:fill="auto"/>
            <w:noWrap/>
            <w:vAlign w:val="center"/>
            <w:hideMark/>
          </w:tcPr>
          <w:p w14:paraId="5252208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107.1</w:t>
            </w:r>
          </w:p>
        </w:tc>
        <w:tc>
          <w:tcPr>
            <w:tcW w:w="667" w:type="dxa"/>
            <w:tcBorders>
              <w:top w:val="nil"/>
              <w:left w:val="nil"/>
              <w:bottom w:val="nil"/>
              <w:right w:val="single" w:sz="4" w:space="0" w:color="auto"/>
            </w:tcBorders>
            <w:shd w:val="clear" w:color="auto" w:fill="auto"/>
            <w:noWrap/>
            <w:vAlign w:val="center"/>
            <w:hideMark/>
          </w:tcPr>
          <w:p w14:paraId="33B644D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106.8</w:t>
            </w:r>
          </w:p>
        </w:tc>
      </w:tr>
      <w:tr w:rsidR="00965A2F" w:rsidRPr="00965A2F" w14:paraId="7B3D45CA" w14:textId="77777777" w:rsidTr="00965A2F">
        <w:trPr>
          <w:trHeight w:val="222"/>
        </w:trPr>
        <w:tc>
          <w:tcPr>
            <w:tcW w:w="660" w:type="dxa"/>
            <w:vMerge/>
            <w:tcBorders>
              <w:top w:val="nil"/>
              <w:left w:val="single" w:sz="4" w:space="0" w:color="auto"/>
              <w:bottom w:val="nil"/>
              <w:right w:val="nil"/>
            </w:tcBorders>
            <w:vAlign w:val="center"/>
            <w:hideMark/>
          </w:tcPr>
          <w:p w14:paraId="38AF8213"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401DF16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57C23EA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51EB594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4CCCB7E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64B730B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000000" w:fill="C4D79B"/>
            <w:noWrap/>
            <w:vAlign w:val="center"/>
            <w:hideMark/>
          </w:tcPr>
          <w:p w14:paraId="62D3DD1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4D6106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533F1C3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372A9F8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793702A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4E6E20E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71F216F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c>
          <w:tcPr>
            <w:tcW w:w="667" w:type="dxa"/>
            <w:tcBorders>
              <w:top w:val="nil"/>
              <w:left w:val="nil"/>
              <w:bottom w:val="nil"/>
              <w:right w:val="single" w:sz="4" w:space="0" w:color="auto"/>
            </w:tcBorders>
            <w:shd w:val="clear" w:color="auto" w:fill="auto"/>
            <w:noWrap/>
            <w:vAlign w:val="center"/>
            <w:hideMark/>
          </w:tcPr>
          <w:p w14:paraId="6F67C6A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1.8</w:t>
            </w:r>
          </w:p>
        </w:tc>
      </w:tr>
      <w:tr w:rsidR="00965A2F" w:rsidRPr="00965A2F" w14:paraId="2C9E20DF"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8AB551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2017</w:t>
            </w:r>
          </w:p>
        </w:tc>
        <w:tc>
          <w:tcPr>
            <w:tcW w:w="796" w:type="dxa"/>
            <w:tcBorders>
              <w:top w:val="single" w:sz="4" w:space="0" w:color="auto"/>
              <w:left w:val="nil"/>
              <w:bottom w:val="nil"/>
              <w:right w:val="single" w:sz="4" w:space="0" w:color="auto"/>
            </w:tcBorders>
            <w:shd w:val="clear" w:color="auto" w:fill="auto"/>
            <w:noWrap/>
            <w:vAlign w:val="center"/>
            <w:hideMark/>
          </w:tcPr>
          <w:p w14:paraId="5FEC0CD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DB4E0C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auto" w:fill="auto"/>
            <w:noWrap/>
            <w:vAlign w:val="center"/>
            <w:hideMark/>
          </w:tcPr>
          <w:p w14:paraId="1F20223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106.9</w:t>
            </w:r>
          </w:p>
        </w:tc>
        <w:tc>
          <w:tcPr>
            <w:tcW w:w="659" w:type="dxa"/>
            <w:tcBorders>
              <w:top w:val="single" w:sz="4" w:space="0" w:color="auto"/>
              <w:left w:val="nil"/>
              <w:bottom w:val="nil"/>
              <w:right w:val="nil"/>
            </w:tcBorders>
            <w:shd w:val="clear" w:color="auto" w:fill="auto"/>
            <w:noWrap/>
            <w:vAlign w:val="center"/>
            <w:hideMark/>
          </w:tcPr>
          <w:p w14:paraId="2ECE400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107.2</w:t>
            </w:r>
          </w:p>
        </w:tc>
        <w:tc>
          <w:tcPr>
            <w:tcW w:w="659" w:type="dxa"/>
            <w:tcBorders>
              <w:top w:val="single" w:sz="4" w:space="0" w:color="auto"/>
              <w:left w:val="nil"/>
              <w:bottom w:val="nil"/>
              <w:right w:val="nil"/>
            </w:tcBorders>
            <w:shd w:val="clear" w:color="auto" w:fill="auto"/>
            <w:noWrap/>
            <w:vAlign w:val="center"/>
            <w:hideMark/>
          </w:tcPr>
          <w:p w14:paraId="397AF30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107.2</w:t>
            </w:r>
          </w:p>
        </w:tc>
        <w:tc>
          <w:tcPr>
            <w:tcW w:w="659" w:type="dxa"/>
            <w:tcBorders>
              <w:top w:val="single" w:sz="4" w:space="0" w:color="auto"/>
              <w:left w:val="nil"/>
              <w:bottom w:val="nil"/>
              <w:right w:val="nil"/>
            </w:tcBorders>
            <w:shd w:val="clear" w:color="000000" w:fill="C4D79B"/>
            <w:noWrap/>
            <w:vAlign w:val="center"/>
            <w:hideMark/>
          </w:tcPr>
          <w:p w14:paraId="3CCB47D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107.7</w:t>
            </w:r>
          </w:p>
        </w:tc>
        <w:tc>
          <w:tcPr>
            <w:tcW w:w="659" w:type="dxa"/>
            <w:tcBorders>
              <w:top w:val="single" w:sz="4" w:space="0" w:color="auto"/>
              <w:left w:val="nil"/>
              <w:bottom w:val="nil"/>
              <w:right w:val="nil"/>
            </w:tcBorders>
            <w:shd w:val="clear" w:color="auto" w:fill="auto"/>
            <w:noWrap/>
            <w:vAlign w:val="center"/>
            <w:hideMark/>
          </w:tcPr>
          <w:p w14:paraId="5D90B2B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107.8</w:t>
            </w:r>
          </w:p>
        </w:tc>
        <w:tc>
          <w:tcPr>
            <w:tcW w:w="659" w:type="dxa"/>
            <w:tcBorders>
              <w:top w:val="single" w:sz="4" w:space="0" w:color="auto"/>
              <w:left w:val="nil"/>
              <w:bottom w:val="nil"/>
              <w:right w:val="nil"/>
            </w:tcBorders>
            <w:shd w:val="clear" w:color="auto" w:fill="auto"/>
            <w:noWrap/>
            <w:vAlign w:val="center"/>
            <w:hideMark/>
          </w:tcPr>
          <w:p w14:paraId="1324F09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108.2</w:t>
            </w:r>
          </w:p>
        </w:tc>
        <w:tc>
          <w:tcPr>
            <w:tcW w:w="659" w:type="dxa"/>
            <w:tcBorders>
              <w:top w:val="single" w:sz="4" w:space="0" w:color="auto"/>
              <w:left w:val="nil"/>
              <w:bottom w:val="nil"/>
              <w:right w:val="nil"/>
            </w:tcBorders>
            <w:shd w:val="clear" w:color="auto" w:fill="auto"/>
            <w:noWrap/>
            <w:vAlign w:val="center"/>
            <w:hideMark/>
          </w:tcPr>
          <w:p w14:paraId="0B2FCAF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43896ED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108.5</w:t>
            </w:r>
          </w:p>
        </w:tc>
        <w:tc>
          <w:tcPr>
            <w:tcW w:w="659" w:type="dxa"/>
            <w:tcBorders>
              <w:top w:val="single" w:sz="4" w:space="0" w:color="auto"/>
              <w:left w:val="nil"/>
              <w:bottom w:val="nil"/>
              <w:right w:val="nil"/>
            </w:tcBorders>
            <w:shd w:val="clear" w:color="auto" w:fill="auto"/>
            <w:noWrap/>
            <w:vAlign w:val="center"/>
            <w:hideMark/>
          </w:tcPr>
          <w:p w14:paraId="0A6D3E0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1BF0DD1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109.0</w:t>
            </w:r>
          </w:p>
        </w:tc>
        <w:tc>
          <w:tcPr>
            <w:tcW w:w="667" w:type="dxa"/>
            <w:tcBorders>
              <w:top w:val="single" w:sz="4" w:space="0" w:color="auto"/>
              <w:left w:val="nil"/>
              <w:bottom w:val="nil"/>
              <w:right w:val="single" w:sz="4" w:space="0" w:color="auto"/>
            </w:tcBorders>
            <w:shd w:val="clear" w:color="auto" w:fill="auto"/>
            <w:noWrap/>
            <w:vAlign w:val="center"/>
            <w:hideMark/>
          </w:tcPr>
          <w:p w14:paraId="025FB48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109.1</w:t>
            </w:r>
          </w:p>
        </w:tc>
      </w:tr>
      <w:tr w:rsidR="00965A2F" w:rsidRPr="00965A2F" w14:paraId="4077BF53"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95FE5D4"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7F00C62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5BC006E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1.7</w:t>
            </w:r>
          </w:p>
        </w:tc>
        <w:tc>
          <w:tcPr>
            <w:tcW w:w="659" w:type="dxa"/>
            <w:tcBorders>
              <w:top w:val="nil"/>
              <w:left w:val="nil"/>
              <w:bottom w:val="single" w:sz="4" w:space="0" w:color="auto"/>
              <w:right w:val="nil"/>
            </w:tcBorders>
            <w:shd w:val="clear" w:color="auto" w:fill="auto"/>
            <w:noWrap/>
            <w:vAlign w:val="center"/>
            <w:hideMark/>
          </w:tcPr>
          <w:p w14:paraId="70D6130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5FA3D89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2BB900C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000000" w:fill="C4D79B"/>
            <w:noWrap/>
            <w:vAlign w:val="center"/>
            <w:hideMark/>
          </w:tcPr>
          <w:p w14:paraId="735FD00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3DBC481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7B25EF4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auto" w:fill="auto"/>
            <w:noWrap/>
            <w:vAlign w:val="center"/>
            <w:hideMark/>
          </w:tcPr>
          <w:p w14:paraId="7959194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6A2AE81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0B16C8F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0427B8C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1.7</w:t>
            </w:r>
          </w:p>
        </w:tc>
        <w:tc>
          <w:tcPr>
            <w:tcW w:w="667" w:type="dxa"/>
            <w:tcBorders>
              <w:top w:val="nil"/>
              <w:left w:val="nil"/>
              <w:bottom w:val="single" w:sz="4" w:space="0" w:color="auto"/>
              <w:right w:val="single" w:sz="4" w:space="0" w:color="auto"/>
            </w:tcBorders>
            <w:shd w:val="clear" w:color="auto" w:fill="auto"/>
            <w:noWrap/>
            <w:vAlign w:val="center"/>
            <w:hideMark/>
          </w:tcPr>
          <w:p w14:paraId="02E9052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2.2</w:t>
            </w:r>
          </w:p>
        </w:tc>
      </w:tr>
      <w:tr w:rsidR="00965A2F" w:rsidRPr="00965A2F" w14:paraId="3998A8C6"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CF3AD4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2018</w:t>
            </w:r>
          </w:p>
        </w:tc>
        <w:tc>
          <w:tcPr>
            <w:tcW w:w="796" w:type="dxa"/>
            <w:tcBorders>
              <w:top w:val="nil"/>
              <w:left w:val="nil"/>
              <w:bottom w:val="nil"/>
              <w:right w:val="single" w:sz="4" w:space="0" w:color="auto"/>
            </w:tcBorders>
            <w:shd w:val="clear" w:color="auto" w:fill="auto"/>
            <w:noWrap/>
            <w:vAlign w:val="center"/>
            <w:hideMark/>
          </w:tcPr>
          <w:p w14:paraId="3B4BF46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6BED062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109.1</w:t>
            </w:r>
          </w:p>
        </w:tc>
        <w:tc>
          <w:tcPr>
            <w:tcW w:w="659" w:type="dxa"/>
            <w:tcBorders>
              <w:top w:val="nil"/>
              <w:left w:val="nil"/>
              <w:bottom w:val="nil"/>
              <w:right w:val="nil"/>
            </w:tcBorders>
            <w:shd w:val="clear" w:color="auto" w:fill="auto"/>
            <w:noWrap/>
            <w:vAlign w:val="center"/>
            <w:hideMark/>
          </w:tcPr>
          <w:p w14:paraId="7F1249C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109.3</w:t>
            </w:r>
          </w:p>
        </w:tc>
        <w:tc>
          <w:tcPr>
            <w:tcW w:w="659" w:type="dxa"/>
            <w:tcBorders>
              <w:top w:val="nil"/>
              <w:left w:val="nil"/>
              <w:bottom w:val="nil"/>
              <w:right w:val="nil"/>
            </w:tcBorders>
            <w:shd w:val="clear" w:color="auto" w:fill="auto"/>
            <w:noWrap/>
            <w:vAlign w:val="center"/>
            <w:hideMark/>
          </w:tcPr>
          <w:p w14:paraId="7BA647D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109.7</w:t>
            </w:r>
          </w:p>
        </w:tc>
        <w:tc>
          <w:tcPr>
            <w:tcW w:w="659" w:type="dxa"/>
            <w:tcBorders>
              <w:top w:val="nil"/>
              <w:left w:val="nil"/>
              <w:bottom w:val="nil"/>
              <w:right w:val="nil"/>
            </w:tcBorders>
            <w:shd w:val="clear" w:color="auto" w:fill="auto"/>
            <w:noWrap/>
            <w:vAlign w:val="center"/>
            <w:hideMark/>
          </w:tcPr>
          <w:p w14:paraId="351FD60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000000" w:fill="C4D79B"/>
            <w:noWrap/>
            <w:vAlign w:val="center"/>
            <w:hideMark/>
          </w:tcPr>
          <w:p w14:paraId="2161D3C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110.2</w:t>
            </w:r>
          </w:p>
        </w:tc>
        <w:tc>
          <w:tcPr>
            <w:tcW w:w="659" w:type="dxa"/>
            <w:tcBorders>
              <w:top w:val="nil"/>
              <w:left w:val="nil"/>
              <w:bottom w:val="nil"/>
              <w:right w:val="nil"/>
            </w:tcBorders>
            <w:shd w:val="clear" w:color="auto" w:fill="auto"/>
            <w:noWrap/>
            <w:vAlign w:val="center"/>
            <w:hideMark/>
          </w:tcPr>
          <w:p w14:paraId="41067D5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3102683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4464CD0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6A19CD6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7AEA803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114507C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110.5</w:t>
            </w:r>
          </w:p>
        </w:tc>
        <w:tc>
          <w:tcPr>
            <w:tcW w:w="667" w:type="dxa"/>
            <w:tcBorders>
              <w:top w:val="nil"/>
              <w:left w:val="nil"/>
              <w:bottom w:val="nil"/>
              <w:right w:val="single" w:sz="4" w:space="0" w:color="auto"/>
            </w:tcBorders>
            <w:shd w:val="clear" w:color="auto" w:fill="auto"/>
            <w:noWrap/>
            <w:vAlign w:val="center"/>
            <w:hideMark/>
          </w:tcPr>
          <w:p w14:paraId="20495D9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110.5</w:t>
            </w:r>
          </w:p>
        </w:tc>
      </w:tr>
      <w:tr w:rsidR="00965A2F" w:rsidRPr="00965A2F" w14:paraId="32E1AB47"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08F86E0"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D361C2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6FE23F9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55AF15C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38E3E99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1A84D4F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000000" w:fill="C4D79B"/>
            <w:noWrap/>
            <w:vAlign w:val="center"/>
            <w:hideMark/>
          </w:tcPr>
          <w:p w14:paraId="74EBE24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185474A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auto" w:fill="auto"/>
            <w:noWrap/>
            <w:vAlign w:val="center"/>
            <w:hideMark/>
          </w:tcPr>
          <w:p w14:paraId="7B0B8FE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1.5</w:t>
            </w:r>
          </w:p>
        </w:tc>
        <w:tc>
          <w:tcPr>
            <w:tcW w:w="659" w:type="dxa"/>
            <w:tcBorders>
              <w:top w:val="nil"/>
              <w:left w:val="nil"/>
              <w:bottom w:val="single" w:sz="4" w:space="0" w:color="auto"/>
              <w:right w:val="nil"/>
            </w:tcBorders>
            <w:shd w:val="clear" w:color="auto" w:fill="auto"/>
            <w:noWrap/>
            <w:vAlign w:val="center"/>
            <w:hideMark/>
          </w:tcPr>
          <w:p w14:paraId="059D0A2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749A733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64432660"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7F24149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1.4</w:t>
            </w:r>
          </w:p>
        </w:tc>
        <w:tc>
          <w:tcPr>
            <w:tcW w:w="667" w:type="dxa"/>
            <w:tcBorders>
              <w:top w:val="nil"/>
              <w:left w:val="nil"/>
              <w:bottom w:val="single" w:sz="4" w:space="0" w:color="auto"/>
              <w:right w:val="single" w:sz="4" w:space="0" w:color="auto"/>
            </w:tcBorders>
            <w:shd w:val="clear" w:color="auto" w:fill="auto"/>
            <w:noWrap/>
            <w:vAlign w:val="center"/>
            <w:hideMark/>
          </w:tcPr>
          <w:p w14:paraId="26374F1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1.3</w:t>
            </w:r>
          </w:p>
        </w:tc>
      </w:tr>
      <w:tr w:rsidR="00965A2F" w:rsidRPr="00965A2F" w14:paraId="5A310710"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67483A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2019</w:t>
            </w:r>
          </w:p>
        </w:tc>
        <w:tc>
          <w:tcPr>
            <w:tcW w:w="796" w:type="dxa"/>
            <w:tcBorders>
              <w:top w:val="nil"/>
              <w:left w:val="nil"/>
              <w:bottom w:val="nil"/>
              <w:right w:val="single" w:sz="4" w:space="0" w:color="auto"/>
            </w:tcBorders>
            <w:shd w:val="clear" w:color="auto" w:fill="auto"/>
            <w:noWrap/>
            <w:vAlign w:val="center"/>
            <w:hideMark/>
          </w:tcPr>
          <w:p w14:paraId="0EEC8F9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44D647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109.9</w:t>
            </w:r>
          </w:p>
        </w:tc>
        <w:tc>
          <w:tcPr>
            <w:tcW w:w="659" w:type="dxa"/>
            <w:tcBorders>
              <w:top w:val="nil"/>
              <w:left w:val="nil"/>
              <w:bottom w:val="nil"/>
              <w:right w:val="nil"/>
            </w:tcBorders>
            <w:shd w:val="clear" w:color="auto" w:fill="auto"/>
            <w:noWrap/>
            <w:vAlign w:val="center"/>
            <w:hideMark/>
          </w:tcPr>
          <w:p w14:paraId="4814873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5695371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110.3</w:t>
            </w:r>
          </w:p>
        </w:tc>
        <w:tc>
          <w:tcPr>
            <w:tcW w:w="659" w:type="dxa"/>
            <w:tcBorders>
              <w:top w:val="nil"/>
              <w:left w:val="nil"/>
              <w:bottom w:val="nil"/>
              <w:right w:val="nil"/>
            </w:tcBorders>
            <w:shd w:val="clear" w:color="auto" w:fill="auto"/>
            <w:noWrap/>
            <w:vAlign w:val="center"/>
            <w:hideMark/>
          </w:tcPr>
          <w:p w14:paraId="356EE72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000000" w:fill="C4D79B"/>
            <w:noWrap/>
            <w:vAlign w:val="center"/>
            <w:hideMark/>
          </w:tcPr>
          <w:p w14:paraId="7AA600A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111.2</w:t>
            </w:r>
          </w:p>
        </w:tc>
        <w:tc>
          <w:tcPr>
            <w:tcW w:w="659" w:type="dxa"/>
            <w:tcBorders>
              <w:top w:val="nil"/>
              <w:left w:val="nil"/>
              <w:bottom w:val="nil"/>
              <w:right w:val="nil"/>
            </w:tcBorders>
            <w:shd w:val="clear" w:color="auto" w:fill="auto"/>
            <w:noWrap/>
            <w:vAlign w:val="center"/>
            <w:hideMark/>
          </w:tcPr>
          <w:p w14:paraId="4D73154D"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53050BB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110.2</w:t>
            </w:r>
          </w:p>
        </w:tc>
        <w:tc>
          <w:tcPr>
            <w:tcW w:w="659" w:type="dxa"/>
            <w:tcBorders>
              <w:top w:val="nil"/>
              <w:left w:val="nil"/>
              <w:bottom w:val="nil"/>
              <w:right w:val="nil"/>
            </w:tcBorders>
            <w:shd w:val="clear" w:color="auto" w:fill="auto"/>
            <w:noWrap/>
            <w:vAlign w:val="center"/>
            <w:hideMark/>
          </w:tcPr>
          <w:p w14:paraId="039EE55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110.5</w:t>
            </w:r>
          </w:p>
        </w:tc>
        <w:tc>
          <w:tcPr>
            <w:tcW w:w="659" w:type="dxa"/>
            <w:tcBorders>
              <w:top w:val="nil"/>
              <w:left w:val="nil"/>
              <w:bottom w:val="nil"/>
              <w:right w:val="nil"/>
            </w:tcBorders>
            <w:shd w:val="clear" w:color="auto" w:fill="auto"/>
            <w:noWrap/>
            <w:vAlign w:val="center"/>
            <w:hideMark/>
          </w:tcPr>
          <w:p w14:paraId="01D0F22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47E5A65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110.3</w:t>
            </w:r>
          </w:p>
        </w:tc>
        <w:tc>
          <w:tcPr>
            <w:tcW w:w="659" w:type="dxa"/>
            <w:tcBorders>
              <w:top w:val="nil"/>
              <w:left w:val="nil"/>
              <w:bottom w:val="nil"/>
              <w:right w:val="nil"/>
            </w:tcBorders>
            <w:shd w:val="clear" w:color="auto" w:fill="auto"/>
            <w:noWrap/>
            <w:vAlign w:val="center"/>
            <w:hideMark/>
          </w:tcPr>
          <w:p w14:paraId="502A527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110.5</w:t>
            </w:r>
          </w:p>
        </w:tc>
        <w:tc>
          <w:tcPr>
            <w:tcW w:w="667" w:type="dxa"/>
            <w:tcBorders>
              <w:top w:val="nil"/>
              <w:left w:val="nil"/>
              <w:bottom w:val="nil"/>
              <w:right w:val="single" w:sz="4" w:space="0" w:color="auto"/>
            </w:tcBorders>
            <w:shd w:val="clear" w:color="auto" w:fill="auto"/>
            <w:noWrap/>
            <w:vAlign w:val="center"/>
            <w:hideMark/>
          </w:tcPr>
          <w:p w14:paraId="02AA4BF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110.1</w:t>
            </w:r>
          </w:p>
        </w:tc>
      </w:tr>
      <w:tr w:rsidR="00965A2F" w:rsidRPr="00965A2F" w14:paraId="17A15CEC"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5E8E3D5"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727925E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2CAF688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auto" w:fill="auto"/>
            <w:noWrap/>
            <w:vAlign w:val="center"/>
            <w:hideMark/>
          </w:tcPr>
          <w:p w14:paraId="604AE96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34E9CC4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0.5</w:t>
            </w:r>
          </w:p>
        </w:tc>
        <w:tc>
          <w:tcPr>
            <w:tcW w:w="659" w:type="dxa"/>
            <w:tcBorders>
              <w:top w:val="nil"/>
              <w:left w:val="nil"/>
              <w:bottom w:val="single" w:sz="4" w:space="0" w:color="auto"/>
              <w:right w:val="nil"/>
            </w:tcBorders>
            <w:shd w:val="clear" w:color="auto" w:fill="auto"/>
            <w:noWrap/>
            <w:vAlign w:val="center"/>
            <w:hideMark/>
          </w:tcPr>
          <w:p w14:paraId="084E4C7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0.6</w:t>
            </w:r>
          </w:p>
        </w:tc>
        <w:tc>
          <w:tcPr>
            <w:tcW w:w="659" w:type="dxa"/>
            <w:tcBorders>
              <w:top w:val="nil"/>
              <w:left w:val="nil"/>
              <w:bottom w:val="single" w:sz="4" w:space="0" w:color="auto"/>
              <w:right w:val="nil"/>
            </w:tcBorders>
            <w:shd w:val="clear" w:color="000000" w:fill="C4D79B"/>
            <w:noWrap/>
            <w:vAlign w:val="center"/>
            <w:hideMark/>
          </w:tcPr>
          <w:p w14:paraId="3ED7F2B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0.9</w:t>
            </w:r>
          </w:p>
        </w:tc>
        <w:tc>
          <w:tcPr>
            <w:tcW w:w="659" w:type="dxa"/>
            <w:tcBorders>
              <w:top w:val="nil"/>
              <w:left w:val="nil"/>
              <w:bottom w:val="single" w:sz="4" w:space="0" w:color="auto"/>
              <w:right w:val="nil"/>
            </w:tcBorders>
            <w:shd w:val="clear" w:color="auto" w:fill="auto"/>
            <w:noWrap/>
            <w:vAlign w:val="center"/>
            <w:hideMark/>
          </w:tcPr>
          <w:p w14:paraId="7D87BBA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0.5</w:t>
            </w:r>
          </w:p>
        </w:tc>
        <w:tc>
          <w:tcPr>
            <w:tcW w:w="659" w:type="dxa"/>
            <w:tcBorders>
              <w:top w:val="nil"/>
              <w:left w:val="nil"/>
              <w:bottom w:val="single" w:sz="4" w:space="0" w:color="auto"/>
              <w:right w:val="nil"/>
            </w:tcBorders>
            <w:shd w:val="clear" w:color="auto" w:fill="auto"/>
            <w:noWrap/>
            <w:vAlign w:val="center"/>
            <w:hideMark/>
          </w:tcPr>
          <w:p w14:paraId="5B381AE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126D640B"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09A3B61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0.3</w:t>
            </w:r>
          </w:p>
        </w:tc>
        <w:tc>
          <w:tcPr>
            <w:tcW w:w="659" w:type="dxa"/>
            <w:tcBorders>
              <w:top w:val="nil"/>
              <w:left w:val="nil"/>
              <w:bottom w:val="single" w:sz="4" w:space="0" w:color="auto"/>
              <w:right w:val="nil"/>
            </w:tcBorders>
            <w:shd w:val="clear" w:color="auto" w:fill="auto"/>
            <w:noWrap/>
            <w:vAlign w:val="center"/>
            <w:hideMark/>
          </w:tcPr>
          <w:p w14:paraId="688D5DC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0.1</w:t>
            </w:r>
          </w:p>
        </w:tc>
        <w:tc>
          <w:tcPr>
            <w:tcW w:w="659" w:type="dxa"/>
            <w:tcBorders>
              <w:top w:val="nil"/>
              <w:left w:val="nil"/>
              <w:bottom w:val="single" w:sz="4" w:space="0" w:color="auto"/>
              <w:right w:val="nil"/>
            </w:tcBorders>
            <w:shd w:val="clear" w:color="auto" w:fill="auto"/>
            <w:noWrap/>
            <w:vAlign w:val="center"/>
            <w:hideMark/>
          </w:tcPr>
          <w:p w14:paraId="1252A74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0.0</w:t>
            </w:r>
          </w:p>
        </w:tc>
        <w:tc>
          <w:tcPr>
            <w:tcW w:w="667" w:type="dxa"/>
            <w:tcBorders>
              <w:top w:val="nil"/>
              <w:left w:val="nil"/>
              <w:bottom w:val="single" w:sz="4" w:space="0" w:color="auto"/>
              <w:right w:val="single" w:sz="4" w:space="0" w:color="auto"/>
            </w:tcBorders>
            <w:shd w:val="clear" w:color="auto" w:fill="auto"/>
            <w:noWrap/>
            <w:vAlign w:val="center"/>
            <w:hideMark/>
          </w:tcPr>
          <w:p w14:paraId="07E92E4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-0.4</w:t>
            </w:r>
          </w:p>
        </w:tc>
      </w:tr>
      <w:tr w:rsidR="00965A2F" w:rsidRPr="00965A2F" w14:paraId="3203B98C" w14:textId="77777777" w:rsidTr="00965A2F">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4767844"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2020</w:t>
            </w:r>
          </w:p>
        </w:tc>
        <w:tc>
          <w:tcPr>
            <w:tcW w:w="796" w:type="dxa"/>
            <w:tcBorders>
              <w:top w:val="nil"/>
              <w:left w:val="nil"/>
              <w:bottom w:val="nil"/>
              <w:right w:val="single" w:sz="4" w:space="0" w:color="auto"/>
            </w:tcBorders>
            <w:shd w:val="clear" w:color="auto" w:fill="auto"/>
            <w:noWrap/>
            <w:vAlign w:val="center"/>
            <w:hideMark/>
          </w:tcPr>
          <w:p w14:paraId="6FF09AD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C706D7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0025305A"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2DBC9B6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109.0</w:t>
            </w:r>
          </w:p>
        </w:tc>
        <w:tc>
          <w:tcPr>
            <w:tcW w:w="659" w:type="dxa"/>
            <w:tcBorders>
              <w:top w:val="nil"/>
              <w:left w:val="nil"/>
              <w:bottom w:val="nil"/>
              <w:right w:val="nil"/>
            </w:tcBorders>
            <w:shd w:val="clear" w:color="auto" w:fill="auto"/>
            <w:noWrap/>
            <w:vAlign w:val="center"/>
            <w:hideMark/>
          </w:tcPr>
          <w:p w14:paraId="37A191E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105.1</w:t>
            </w:r>
          </w:p>
        </w:tc>
        <w:tc>
          <w:tcPr>
            <w:tcW w:w="659" w:type="dxa"/>
            <w:tcBorders>
              <w:top w:val="nil"/>
              <w:left w:val="nil"/>
              <w:bottom w:val="nil"/>
              <w:right w:val="nil"/>
            </w:tcBorders>
            <w:shd w:val="clear" w:color="000000" w:fill="C4D79B"/>
            <w:noWrap/>
            <w:vAlign w:val="center"/>
            <w:hideMark/>
          </w:tcPr>
          <w:p w14:paraId="4C6860C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103.6</w:t>
            </w:r>
          </w:p>
        </w:tc>
        <w:tc>
          <w:tcPr>
            <w:tcW w:w="659" w:type="dxa"/>
            <w:tcBorders>
              <w:top w:val="nil"/>
              <w:left w:val="nil"/>
              <w:bottom w:val="nil"/>
              <w:right w:val="nil"/>
            </w:tcBorders>
            <w:shd w:val="clear" w:color="auto" w:fill="auto"/>
            <w:noWrap/>
            <w:vAlign w:val="center"/>
            <w:hideMark/>
          </w:tcPr>
          <w:p w14:paraId="5B5696A7"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23DE5A0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242FFAA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5FAFE98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7A9DD7F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14734AB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67" w:type="dxa"/>
            <w:tcBorders>
              <w:top w:val="nil"/>
              <w:left w:val="nil"/>
              <w:bottom w:val="nil"/>
              <w:right w:val="single" w:sz="4" w:space="0" w:color="auto"/>
            </w:tcBorders>
            <w:shd w:val="clear" w:color="auto" w:fill="auto"/>
            <w:noWrap/>
            <w:vAlign w:val="center"/>
            <w:hideMark/>
          </w:tcPr>
          <w:p w14:paraId="26053D0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r>
      <w:tr w:rsidR="00965A2F" w:rsidRPr="00965A2F" w14:paraId="04E8141E" w14:textId="77777777" w:rsidTr="00965A2F">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3F1EE93" w14:textId="77777777" w:rsidR="00965A2F" w:rsidRPr="00965A2F" w:rsidRDefault="00965A2F" w:rsidP="00965A2F">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35A5885"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3C0294FF"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-0.3</w:t>
            </w:r>
          </w:p>
        </w:tc>
        <w:tc>
          <w:tcPr>
            <w:tcW w:w="659" w:type="dxa"/>
            <w:tcBorders>
              <w:top w:val="nil"/>
              <w:left w:val="nil"/>
              <w:bottom w:val="single" w:sz="4" w:space="0" w:color="auto"/>
              <w:right w:val="nil"/>
            </w:tcBorders>
            <w:shd w:val="clear" w:color="auto" w:fill="auto"/>
            <w:noWrap/>
            <w:vAlign w:val="center"/>
            <w:hideMark/>
          </w:tcPr>
          <w:p w14:paraId="4A1ADAB2"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0344B343"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7D9DC79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-4.8</w:t>
            </w:r>
          </w:p>
        </w:tc>
        <w:tc>
          <w:tcPr>
            <w:tcW w:w="659" w:type="dxa"/>
            <w:tcBorders>
              <w:top w:val="nil"/>
              <w:left w:val="nil"/>
              <w:bottom w:val="single" w:sz="4" w:space="0" w:color="auto"/>
              <w:right w:val="nil"/>
            </w:tcBorders>
            <w:shd w:val="clear" w:color="000000" w:fill="C4D79B"/>
            <w:noWrap/>
            <w:vAlign w:val="center"/>
            <w:hideMark/>
          </w:tcPr>
          <w:p w14:paraId="28FEB2D1"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-6.9</w:t>
            </w:r>
          </w:p>
        </w:tc>
        <w:tc>
          <w:tcPr>
            <w:tcW w:w="659" w:type="dxa"/>
            <w:tcBorders>
              <w:top w:val="nil"/>
              <w:left w:val="nil"/>
              <w:bottom w:val="single" w:sz="4" w:space="0" w:color="auto"/>
              <w:right w:val="nil"/>
            </w:tcBorders>
            <w:shd w:val="clear" w:color="auto" w:fill="auto"/>
            <w:noWrap/>
            <w:vAlign w:val="center"/>
            <w:hideMark/>
          </w:tcPr>
          <w:p w14:paraId="4E1EC6E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DC26B7C"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76A2316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474E8048"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99C1CCE"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509CBB9"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c>
          <w:tcPr>
            <w:tcW w:w="667" w:type="dxa"/>
            <w:tcBorders>
              <w:top w:val="nil"/>
              <w:left w:val="nil"/>
              <w:bottom w:val="single" w:sz="4" w:space="0" w:color="auto"/>
              <w:right w:val="single" w:sz="4" w:space="0" w:color="auto"/>
            </w:tcBorders>
            <w:shd w:val="clear" w:color="auto" w:fill="auto"/>
            <w:noWrap/>
            <w:vAlign w:val="center"/>
            <w:hideMark/>
          </w:tcPr>
          <w:p w14:paraId="43D95D96" w14:textId="77777777" w:rsidR="00965A2F" w:rsidRPr="00965A2F" w:rsidRDefault="00965A2F" w:rsidP="00965A2F">
            <w:pPr>
              <w:spacing w:after="0" w:line="240" w:lineRule="auto"/>
              <w:jc w:val="center"/>
              <w:rPr>
                <w:rFonts w:ascii="Arial" w:eastAsia="Times New Roman" w:hAnsi="Arial" w:cs="Arial"/>
                <w:color w:val="000000"/>
                <w:sz w:val="16"/>
                <w:szCs w:val="16"/>
                <w:lang w:eastAsia="es-MX"/>
              </w:rPr>
            </w:pPr>
            <w:r w:rsidRPr="00965A2F">
              <w:rPr>
                <w:rFonts w:ascii="Arial" w:eastAsia="Times New Roman" w:hAnsi="Arial" w:cs="Arial"/>
                <w:color w:val="000000"/>
                <w:sz w:val="16"/>
                <w:szCs w:val="16"/>
                <w:lang w:eastAsia="es-MX"/>
              </w:rPr>
              <w:t> </w:t>
            </w:r>
          </w:p>
        </w:tc>
      </w:tr>
    </w:tbl>
    <w:p w14:paraId="5D6D51F8" w14:textId="3AC7B295" w:rsidR="00F47EF4" w:rsidRDefault="00F47EF4" w:rsidP="009A7101">
      <w:pPr>
        <w:spacing w:after="0" w:line="240" w:lineRule="auto"/>
        <w:jc w:val="both"/>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A0F2773" w14:textId="68E23498" w:rsidR="00695139" w:rsidRDefault="00695139" w:rsidP="009A7101">
      <w:pPr>
        <w:spacing w:after="0" w:line="240" w:lineRule="auto"/>
        <w:jc w:val="both"/>
        <w:rPr>
          <w:rFonts w:ascii="Arial" w:hAnsi="Arial" w:cs="Arial"/>
          <w:b/>
          <w:sz w:val="24"/>
          <w:szCs w:val="24"/>
        </w:rPr>
      </w:pPr>
    </w:p>
    <w:p w14:paraId="4908AC78" w14:textId="77777777" w:rsidR="00CA6300" w:rsidRPr="00695139" w:rsidRDefault="00CA6300" w:rsidP="009A7101">
      <w:pPr>
        <w:spacing w:after="0" w:line="240" w:lineRule="auto"/>
        <w:jc w:val="both"/>
        <w:rPr>
          <w:rFonts w:ascii="Arial" w:hAnsi="Arial" w:cs="Arial"/>
          <w:b/>
          <w:sz w:val="24"/>
          <w:szCs w:val="24"/>
        </w:rPr>
      </w:pPr>
    </w:p>
    <w:p w14:paraId="629FBC88" w14:textId="034DEB3D" w:rsidR="00F26904" w:rsidRPr="00695139" w:rsidRDefault="00F26904" w:rsidP="009A7101">
      <w:pPr>
        <w:spacing w:after="0" w:line="240" w:lineRule="auto"/>
        <w:jc w:val="both"/>
        <w:rPr>
          <w:rFonts w:ascii="Arial" w:hAnsi="Arial" w:cs="Arial"/>
          <w:sz w:val="24"/>
          <w:szCs w:val="24"/>
        </w:rPr>
      </w:pPr>
      <w:r w:rsidRPr="00695139">
        <w:rPr>
          <w:rFonts w:ascii="Arial" w:hAnsi="Arial" w:cs="Arial"/>
          <w:sz w:val="24"/>
          <w:szCs w:val="24"/>
        </w:rPr>
        <w:t xml:space="preserve">El IGRESE presenta variaciones anuales negativas en los periodos de enero de 2009 a </w:t>
      </w:r>
      <w:r w:rsidR="00852962">
        <w:rPr>
          <w:rFonts w:ascii="Arial" w:hAnsi="Arial" w:cs="Arial"/>
          <w:sz w:val="24"/>
          <w:szCs w:val="24"/>
        </w:rPr>
        <w:t>febrero</w:t>
      </w:r>
      <w:r w:rsidRPr="00695139">
        <w:rPr>
          <w:rFonts w:ascii="Arial" w:hAnsi="Arial" w:cs="Arial"/>
          <w:sz w:val="24"/>
          <w:szCs w:val="24"/>
        </w:rPr>
        <w:t xml:space="preserve"> de 2010</w:t>
      </w:r>
      <w:r w:rsidR="00852962">
        <w:rPr>
          <w:rFonts w:ascii="Arial" w:hAnsi="Arial" w:cs="Arial"/>
          <w:sz w:val="24"/>
          <w:szCs w:val="24"/>
        </w:rPr>
        <w:t xml:space="preserve">, septiembre de 2012 y 2017, diciembre de 2017 </w:t>
      </w:r>
      <w:r w:rsidRPr="00695139">
        <w:rPr>
          <w:rFonts w:ascii="Arial" w:hAnsi="Arial" w:cs="Arial"/>
          <w:sz w:val="24"/>
          <w:szCs w:val="24"/>
        </w:rPr>
        <w:t xml:space="preserve">y de </w:t>
      </w:r>
      <w:r w:rsidR="00852962">
        <w:rPr>
          <w:rFonts w:ascii="Arial" w:hAnsi="Arial" w:cs="Arial"/>
          <w:sz w:val="24"/>
          <w:szCs w:val="24"/>
        </w:rPr>
        <w:t xml:space="preserve">marzo </w:t>
      </w:r>
      <w:r w:rsidRPr="00695139">
        <w:rPr>
          <w:rFonts w:ascii="Arial" w:hAnsi="Arial" w:cs="Arial"/>
          <w:sz w:val="24"/>
          <w:szCs w:val="24"/>
        </w:rPr>
        <w:t xml:space="preserve">hasta mayo de 2020. En </w:t>
      </w:r>
      <w:r w:rsidR="00852962">
        <w:rPr>
          <w:rFonts w:ascii="Arial" w:hAnsi="Arial" w:cs="Arial"/>
          <w:sz w:val="24"/>
          <w:szCs w:val="24"/>
        </w:rPr>
        <w:t>los</w:t>
      </w:r>
      <w:r w:rsidRPr="00695139">
        <w:rPr>
          <w:rFonts w:ascii="Arial" w:hAnsi="Arial" w:cs="Arial"/>
          <w:sz w:val="24"/>
          <w:szCs w:val="24"/>
        </w:rPr>
        <w:t xml:space="preserve"> periodo</w:t>
      </w:r>
      <w:r w:rsidR="00852962">
        <w:rPr>
          <w:rFonts w:ascii="Arial" w:hAnsi="Arial" w:cs="Arial"/>
          <w:sz w:val="24"/>
          <w:szCs w:val="24"/>
        </w:rPr>
        <w:t>s</w:t>
      </w:r>
      <w:r w:rsidRPr="00695139">
        <w:rPr>
          <w:rFonts w:ascii="Arial" w:hAnsi="Arial" w:cs="Arial"/>
          <w:sz w:val="24"/>
          <w:szCs w:val="24"/>
        </w:rPr>
        <w:t xml:space="preserve"> de </w:t>
      </w:r>
      <w:r w:rsidR="00852962">
        <w:rPr>
          <w:rFonts w:ascii="Arial" w:hAnsi="Arial" w:cs="Arial"/>
          <w:sz w:val="24"/>
          <w:szCs w:val="24"/>
        </w:rPr>
        <w:t>marzo</w:t>
      </w:r>
      <w:r w:rsidRPr="00695139">
        <w:rPr>
          <w:rFonts w:ascii="Arial" w:hAnsi="Arial" w:cs="Arial"/>
          <w:sz w:val="24"/>
          <w:szCs w:val="24"/>
        </w:rPr>
        <w:t xml:space="preserve"> de 2010 </w:t>
      </w:r>
      <w:r w:rsidR="00852962">
        <w:rPr>
          <w:rFonts w:ascii="Arial" w:hAnsi="Arial" w:cs="Arial"/>
          <w:sz w:val="24"/>
          <w:szCs w:val="24"/>
        </w:rPr>
        <w:t>hasta</w:t>
      </w:r>
      <w:r w:rsidRPr="00695139">
        <w:rPr>
          <w:rFonts w:ascii="Arial" w:hAnsi="Arial" w:cs="Arial"/>
          <w:sz w:val="24"/>
          <w:szCs w:val="24"/>
        </w:rPr>
        <w:t xml:space="preserve"> </w:t>
      </w:r>
      <w:r w:rsidR="00852962">
        <w:rPr>
          <w:rFonts w:ascii="Arial" w:hAnsi="Arial" w:cs="Arial"/>
          <w:sz w:val="24"/>
          <w:szCs w:val="24"/>
        </w:rPr>
        <w:t>agosto de 2012, de octubre de 2012 a agosto de 2017, octubre y noviembre de 2017 y de enero de 2018 a febrero de 2020</w:t>
      </w:r>
      <w:r w:rsidRPr="00695139">
        <w:rPr>
          <w:rFonts w:ascii="Arial" w:hAnsi="Arial" w:cs="Arial"/>
          <w:sz w:val="24"/>
          <w:szCs w:val="24"/>
        </w:rPr>
        <w:t xml:space="preserve"> se han presentado variaciones anuales positivas.</w:t>
      </w:r>
    </w:p>
    <w:p w14:paraId="2510ABAA" w14:textId="2CA0452A" w:rsidR="00F26904" w:rsidRDefault="00F26904" w:rsidP="009A7101">
      <w:pPr>
        <w:spacing w:after="0" w:line="240" w:lineRule="auto"/>
        <w:jc w:val="both"/>
        <w:rPr>
          <w:rFonts w:ascii="Arial" w:hAnsi="Arial" w:cs="Arial"/>
          <w:sz w:val="24"/>
          <w:szCs w:val="24"/>
        </w:rPr>
      </w:pPr>
    </w:p>
    <w:p w14:paraId="6A7520AC" w14:textId="3EAC9192" w:rsidR="00080208" w:rsidRPr="009B1F75" w:rsidRDefault="009B1F75" w:rsidP="009A7101">
      <w:pPr>
        <w:spacing w:after="0" w:line="240" w:lineRule="auto"/>
        <w:jc w:val="both"/>
        <w:rPr>
          <w:rFonts w:ascii="Arial" w:hAnsi="Arial" w:cs="Arial"/>
          <w:sz w:val="24"/>
          <w:szCs w:val="24"/>
        </w:rPr>
      </w:pPr>
      <w:r w:rsidRPr="001A108E">
        <w:rPr>
          <w:rFonts w:ascii="Arial" w:hAnsi="Arial" w:cs="Arial"/>
          <w:sz w:val="24"/>
          <w:szCs w:val="24"/>
        </w:rPr>
        <w:t xml:space="preserve">El nivel más elevado para </w:t>
      </w:r>
      <w:r>
        <w:rPr>
          <w:rFonts w:ascii="Arial" w:hAnsi="Arial" w:cs="Arial"/>
          <w:sz w:val="24"/>
          <w:szCs w:val="24"/>
        </w:rPr>
        <w:t xml:space="preserve">el </w:t>
      </w:r>
      <w:r w:rsidRPr="001A108E">
        <w:rPr>
          <w:rFonts w:ascii="Arial" w:hAnsi="Arial" w:cs="Arial"/>
          <w:sz w:val="24"/>
          <w:szCs w:val="24"/>
        </w:rPr>
        <w:t>IG</w:t>
      </w:r>
      <w:r>
        <w:rPr>
          <w:rFonts w:ascii="Arial" w:hAnsi="Arial" w:cs="Arial"/>
          <w:sz w:val="24"/>
          <w:szCs w:val="24"/>
        </w:rPr>
        <w:t>RE</w:t>
      </w:r>
      <w:r w:rsidRPr="001A108E">
        <w:rPr>
          <w:rFonts w:ascii="Arial" w:hAnsi="Arial" w:cs="Arial"/>
          <w:sz w:val="24"/>
          <w:szCs w:val="24"/>
        </w:rPr>
        <w:t xml:space="preserve">SE es el registrado en </w:t>
      </w:r>
      <w:r>
        <w:rPr>
          <w:rFonts w:ascii="Arial" w:hAnsi="Arial" w:cs="Arial"/>
          <w:sz w:val="24"/>
          <w:szCs w:val="24"/>
        </w:rPr>
        <w:t>diciembre</w:t>
      </w:r>
      <w:r w:rsidRPr="001A108E">
        <w:rPr>
          <w:rFonts w:ascii="Arial" w:hAnsi="Arial" w:cs="Arial"/>
          <w:sz w:val="24"/>
          <w:szCs w:val="24"/>
        </w:rPr>
        <w:t xml:space="preserve"> de 2019, con 1</w:t>
      </w:r>
      <w:r>
        <w:rPr>
          <w:rFonts w:ascii="Arial" w:hAnsi="Arial" w:cs="Arial"/>
          <w:sz w:val="24"/>
          <w:szCs w:val="24"/>
        </w:rPr>
        <w:t>4</w:t>
      </w:r>
      <w:r w:rsidR="00852962">
        <w:rPr>
          <w:rFonts w:ascii="Arial" w:hAnsi="Arial" w:cs="Arial"/>
          <w:sz w:val="24"/>
          <w:szCs w:val="24"/>
        </w:rPr>
        <w:t>0</w:t>
      </w:r>
      <w:r>
        <w:rPr>
          <w:rFonts w:ascii="Arial" w:hAnsi="Arial" w:cs="Arial"/>
          <w:sz w:val="24"/>
          <w:szCs w:val="24"/>
        </w:rPr>
        <w:t>.6</w:t>
      </w:r>
      <w:r w:rsidRPr="001A108E">
        <w:rPr>
          <w:rFonts w:ascii="Arial" w:hAnsi="Arial" w:cs="Arial"/>
          <w:sz w:val="24"/>
          <w:szCs w:val="24"/>
        </w:rPr>
        <w:t xml:space="preserve"> puntos.</w:t>
      </w:r>
      <w:r w:rsidR="00080208">
        <w:rPr>
          <w:rFonts w:ascii="Arial" w:hAnsi="Arial" w:cs="Arial"/>
          <w:b/>
          <w:sz w:val="20"/>
          <w:szCs w:val="20"/>
        </w:rPr>
        <w:br w:type="page"/>
      </w:r>
    </w:p>
    <w:p w14:paraId="28F65A60" w14:textId="4C6670C6" w:rsidR="00F26904" w:rsidRPr="00D0286C" w:rsidRDefault="003B4B50" w:rsidP="009A7101">
      <w:pPr>
        <w:spacing w:after="0" w:line="240" w:lineRule="auto"/>
        <w:jc w:val="center"/>
        <w:rPr>
          <w:rFonts w:ascii="Arial" w:hAnsi="Arial" w:cs="Arial"/>
          <w:b/>
          <w:sz w:val="20"/>
          <w:szCs w:val="20"/>
        </w:rPr>
      </w:pPr>
      <w:r>
        <w:rPr>
          <w:rFonts w:ascii="Arial" w:hAnsi="Arial" w:cs="Arial"/>
          <w:b/>
          <w:sz w:val="20"/>
          <w:szCs w:val="20"/>
        </w:rPr>
        <w:lastRenderedPageBreak/>
        <w:t>Cuadro 7</w:t>
      </w:r>
    </w:p>
    <w:p w14:paraId="0DF5EF77" w14:textId="489E0D3B" w:rsidR="00F26904" w:rsidRPr="00D0286C" w:rsidRDefault="00F26904" w:rsidP="009A7101">
      <w:pPr>
        <w:spacing w:after="0" w:line="240" w:lineRule="auto"/>
        <w:jc w:val="center"/>
        <w:rPr>
          <w:rFonts w:ascii="Arial" w:hAnsi="Arial" w:cs="Arial"/>
          <w:b/>
          <w:sz w:val="20"/>
          <w:szCs w:val="20"/>
        </w:rPr>
      </w:pPr>
      <w:r w:rsidRPr="00D0286C">
        <w:rPr>
          <w:rFonts w:ascii="Arial" w:hAnsi="Arial" w:cs="Arial"/>
          <w:b/>
          <w:sz w:val="20"/>
          <w:szCs w:val="20"/>
        </w:rPr>
        <w:t xml:space="preserve">ÍNDICE GLOBAL DE </w:t>
      </w:r>
      <w:r>
        <w:rPr>
          <w:rFonts w:ascii="Arial" w:hAnsi="Arial" w:cs="Arial"/>
          <w:b/>
          <w:sz w:val="20"/>
          <w:szCs w:val="20"/>
        </w:rPr>
        <w:t>REMUNERACIONES</w:t>
      </w:r>
      <w:r w:rsidRPr="00D0286C">
        <w:rPr>
          <w:rFonts w:ascii="Arial" w:hAnsi="Arial" w:cs="Arial"/>
          <w:b/>
          <w:sz w:val="20"/>
          <w:szCs w:val="20"/>
        </w:rPr>
        <w:t xml:space="preserve"> DE LOS SECTORES ECONÓMICOS</w:t>
      </w:r>
    </w:p>
    <w:p w14:paraId="2EF072DC" w14:textId="77777777" w:rsidR="00F26904" w:rsidRPr="00D0286C" w:rsidRDefault="00F26904" w:rsidP="009A7101">
      <w:pPr>
        <w:spacing w:after="0" w:line="240" w:lineRule="auto"/>
        <w:jc w:val="center"/>
        <w:rPr>
          <w:rFonts w:ascii="Arial" w:hAnsi="Arial" w:cs="Arial"/>
          <w:b/>
          <w:sz w:val="20"/>
          <w:szCs w:val="20"/>
        </w:rPr>
      </w:pPr>
      <w:r>
        <w:rPr>
          <w:rFonts w:ascii="Arial" w:hAnsi="Arial" w:cs="Arial"/>
          <w:b/>
          <w:sz w:val="20"/>
          <w:szCs w:val="20"/>
        </w:rPr>
        <w:t>ENERO DE 2008 – MAYO DE 2020</w:t>
      </w:r>
    </w:p>
    <w:p w14:paraId="59733876" w14:textId="77777777" w:rsidR="00F26904" w:rsidRPr="00D0286C" w:rsidRDefault="00F26904" w:rsidP="009A7101">
      <w:pPr>
        <w:spacing w:after="0" w:line="240" w:lineRule="auto"/>
        <w:jc w:val="center"/>
        <w:rPr>
          <w:rFonts w:ascii="Arial" w:hAnsi="Arial" w:cs="Arial"/>
          <w:b/>
          <w:sz w:val="20"/>
          <w:szCs w:val="20"/>
        </w:rPr>
      </w:pPr>
      <w:r>
        <w:rPr>
          <w:rFonts w:ascii="Arial" w:hAnsi="Arial" w:cs="Arial"/>
          <w:b/>
          <w:sz w:val="20"/>
          <w:szCs w:val="20"/>
        </w:rPr>
        <w:t>CIFRAS ORIGINALES</w:t>
      </w:r>
    </w:p>
    <w:p w14:paraId="3449FF34" w14:textId="372D0B1E" w:rsidR="00F26904" w:rsidRDefault="00F26904"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8"/>
        <w:gridCol w:w="808"/>
        <w:gridCol w:w="669"/>
        <w:gridCol w:w="660"/>
        <w:gridCol w:w="659"/>
        <w:gridCol w:w="659"/>
        <w:gridCol w:w="659"/>
        <w:gridCol w:w="659"/>
        <w:gridCol w:w="659"/>
        <w:gridCol w:w="659"/>
        <w:gridCol w:w="659"/>
        <w:gridCol w:w="659"/>
        <w:gridCol w:w="659"/>
        <w:gridCol w:w="668"/>
      </w:tblGrid>
      <w:tr w:rsidR="00852962" w:rsidRPr="00852962" w14:paraId="588B9A69" w14:textId="77777777" w:rsidTr="00852962">
        <w:trPr>
          <w:trHeight w:val="360"/>
        </w:trPr>
        <w:tc>
          <w:tcPr>
            <w:tcW w:w="668"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3C312BC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Año</w:t>
            </w:r>
          </w:p>
        </w:tc>
        <w:tc>
          <w:tcPr>
            <w:tcW w:w="784"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4568EB4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Índices y Variación Anual</w:t>
            </w:r>
          </w:p>
        </w:tc>
        <w:tc>
          <w:tcPr>
            <w:tcW w:w="7928"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6517AE6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Mes</w:t>
            </w:r>
          </w:p>
        </w:tc>
      </w:tr>
      <w:tr w:rsidR="00852962" w:rsidRPr="00852962" w14:paraId="2E73532A" w14:textId="77777777" w:rsidTr="00852962">
        <w:trPr>
          <w:trHeight w:val="360"/>
        </w:trPr>
        <w:tc>
          <w:tcPr>
            <w:tcW w:w="668" w:type="dxa"/>
            <w:vMerge/>
            <w:tcBorders>
              <w:top w:val="single" w:sz="4" w:space="0" w:color="auto"/>
              <w:left w:val="single" w:sz="4" w:space="0" w:color="auto"/>
              <w:bottom w:val="single" w:sz="4" w:space="0" w:color="000000"/>
              <w:right w:val="nil"/>
            </w:tcBorders>
            <w:vAlign w:val="center"/>
            <w:hideMark/>
          </w:tcPr>
          <w:p w14:paraId="7EAF8FEC"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vMerge/>
            <w:tcBorders>
              <w:top w:val="single" w:sz="4" w:space="0" w:color="auto"/>
              <w:left w:val="single" w:sz="4" w:space="0" w:color="auto"/>
              <w:bottom w:val="single" w:sz="4" w:space="0" w:color="000000"/>
              <w:right w:val="single" w:sz="4" w:space="0" w:color="auto"/>
            </w:tcBorders>
            <w:vAlign w:val="center"/>
            <w:hideMark/>
          </w:tcPr>
          <w:p w14:paraId="30315283"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669" w:type="dxa"/>
            <w:tcBorders>
              <w:top w:val="nil"/>
              <w:left w:val="nil"/>
              <w:bottom w:val="single" w:sz="4" w:space="0" w:color="auto"/>
              <w:right w:val="single" w:sz="4" w:space="0" w:color="auto"/>
            </w:tcBorders>
            <w:shd w:val="clear" w:color="000000" w:fill="C4D79B"/>
            <w:noWrap/>
            <w:vAlign w:val="center"/>
            <w:hideMark/>
          </w:tcPr>
          <w:p w14:paraId="6F37362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3424F90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0971E4B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715F5D1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7284740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5E63536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23839F2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0B7DD4B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proofErr w:type="spellStart"/>
            <w:r w:rsidRPr="00852962">
              <w:rPr>
                <w:rFonts w:ascii="Arial" w:eastAsia="Times New Roman" w:hAnsi="Arial" w:cs="Arial"/>
                <w:color w:val="000000"/>
                <w:sz w:val="16"/>
                <w:szCs w:val="16"/>
                <w:lang w:eastAsia="es-MX"/>
              </w:rPr>
              <w:t>Ago</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75555A3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proofErr w:type="spellStart"/>
            <w:r w:rsidRPr="00852962">
              <w:rPr>
                <w:rFonts w:ascii="Arial" w:eastAsia="Times New Roman" w:hAnsi="Arial" w:cs="Arial"/>
                <w:color w:val="000000"/>
                <w:sz w:val="16"/>
                <w:szCs w:val="16"/>
                <w:lang w:eastAsia="es-MX"/>
              </w:rPr>
              <w:t>Sep</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66741BD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0F5C27B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Nov</w:t>
            </w:r>
          </w:p>
        </w:tc>
        <w:tc>
          <w:tcPr>
            <w:tcW w:w="668" w:type="dxa"/>
            <w:tcBorders>
              <w:top w:val="nil"/>
              <w:left w:val="nil"/>
              <w:bottom w:val="single" w:sz="4" w:space="0" w:color="auto"/>
              <w:right w:val="single" w:sz="4" w:space="0" w:color="auto"/>
            </w:tcBorders>
            <w:shd w:val="clear" w:color="000000" w:fill="C4D79B"/>
            <w:noWrap/>
            <w:vAlign w:val="center"/>
            <w:hideMark/>
          </w:tcPr>
          <w:p w14:paraId="5D6CB54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Dic</w:t>
            </w:r>
          </w:p>
        </w:tc>
      </w:tr>
      <w:tr w:rsidR="00852962" w:rsidRPr="00852962" w14:paraId="051B9CAC" w14:textId="77777777" w:rsidTr="00852962">
        <w:trPr>
          <w:trHeight w:val="222"/>
        </w:trPr>
        <w:tc>
          <w:tcPr>
            <w:tcW w:w="668" w:type="dxa"/>
            <w:vMerge w:val="restart"/>
            <w:tcBorders>
              <w:top w:val="nil"/>
              <w:left w:val="single" w:sz="4" w:space="0" w:color="auto"/>
              <w:bottom w:val="single" w:sz="4" w:space="0" w:color="000000"/>
              <w:right w:val="nil"/>
            </w:tcBorders>
            <w:shd w:val="clear" w:color="auto" w:fill="auto"/>
            <w:noWrap/>
            <w:vAlign w:val="center"/>
            <w:hideMark/>
          </w:tcPr>
          <w:p w14:paraId="194A3B1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2008</w:t>
            </w:r>
          </w:p>
        </w:tc>
        <w:tc>
          <w:tcPr>
            <w:tcW w:w="784" w:type="dxa"/>
            <w:tcBorders>
              <w:top w:val="nil"/>
              <w:left w:val="nil"/>
              <w:bottom w:val="nil"/>
              <w:right w:val="single" w:sz="4" w:space="0" w:color="auto"/>
            </w:tcBorders>
            <w:shd w:val="clear" w:color="auto" w:fill="auto"/>
            <w:noWrap/>
            <w:vAlign w:val="center"/>
            <w:hideMark/>
          </w:tcPr>
          <w:p w14:paraId="4FC9AA1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auto" w:fill="auto"/>
            <w:noWrap/>
            <w:vAlign w:val="center"/>
            <w:hideMark/>
          </w:tcPr>
          <w:p w14:paraId="068FDC5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94.6</w:t>
            </w:r>
          </w:p>
        </w:tc>
        <w:tc>
          <w:tcPr>
            <w:tcW w:w="660" w:type="dxa"/>
            <w:tcBorders>
              <w:top w:val="nil"/>
              <w:left w:val="nil"/>
              <w:bottom w:val="nil"/>
              <w:right w:val="nil"/>
            </w:tcBorders>
            <w:shd w:val="clear" w:color="auto" w:fill="auto"/>
            <w:noWrap/>
            <w:vAlign w:val="center"/>
            <w:hideMark/>
          </w:tcPr>
          <w:p w14:paraId="5804220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94.7</w:t>
            </w:r>
          </w:p>
        </w:tc>
        <w:tc>
          <w:tcPr>
            <w:tcW w:w="659" w:type="dxa"/>
            <w:tcBorders>
              <w:top w:val="nil"/>
              <w:left w:val="nil"/>
              <w:bottom w:val="nil"/>
              <w:right w:val="nil"/>
            </w:tcBorders>
            <w:shd w:val="clear" w:color="auto" w:fill="auto"/>
            <w:noWrap/>
            <w:vAlign w:val="center"/>
            <w:hideMark/>
          </w:tcPr>
          <w:p w14:paraId="319B855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97.0</w:t>
            </w:r>
          </w:p>
        </w:tc>
        <w:tc>
          <w:tcPr>
            <w:tcW w:w="659" w:type="dxa"/>
            <w:tcBorders>
              <w:top w:val="nil"/>
              <w:left w:val="nil"/>
              <w:bottom w:val="nil"/>
              <w:right w:val="nil"/>
            </w:tcBorders>
            <w:shd w:val="clear" w:color="auto" w:fill="auto"/>
            <w:noWrap/>
            <w:vAlign w:val="center"/>
            <w:hideMark/>
          </w:tcPr>
          <w:p w14:paraId="3657706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97.7</w:t>
            </w:r>
          </w:p>
        </w:tc>
        <w:tc>
          <w:tcPr>
            <w:tcW w:w="659" w:type="dxa"/>
            <w:tcBorders>
              <w:top w:val="nil"/>
              <w:left w:val="nil"/>
              <w:bottom w:val="nil"/>
              <w:right w:val="nil"/>
            </w:tcBorders>
            <w:shd w:val="clear" w:color="000000" w:fill="C4D79B"/>
            <w:noWrap/>
            <w:vAlign w:val="center"/>
            <w:hideMark/>
          </w:tcPr>
          <w:p w14:paraId="537F63A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104.5</w:t>
            </w:r>
          </w:p>
        </w:tc>
        <w:tc>
          <w:tcPr>
            <w:tcW w:w="659" w:type="dxa"/>
            <w:tcBorders>
              <w:top w:val="nil"/>
              <w:left w:val="nil"/>
              <w:bottom w:val="nil"/>
              <w:right w:val="nil"/>
            </w:tcBorders>
            <w:shd w:val="clear" w:color="auto" w:fill="auto"/>
            <w:noWrap/>
            <w:vAlign w:val="center"/>
            <w:hideMark/>
          </w:tcPr>
          <w:p w14:paraId="591DCCE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96.5</w:t>
            </w:r>
          </w:p>
        </w:tc>
        <w:tc>
          <w:tcPr>
            <w:tcW w:w="659" w:type="dxa"/>
            <w:tcBorders>
              <w:top w:val="nil"/>
              <w:left w:val="nil"/>
              <w:bottom w:val="nil"/>
              <w:right w:val="nil"/>
            </w:tcBorders>
            <w:shd w:val="clear" w:color="auto" w:fill="auto"/>
            <w:noWrap/>
            <w:vAlign w:val="center"/>
            <w:hideMark/>
          </w:tcPr>
          <w:p w14:paraId="674AF40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95.9</w:t>
            </w:r>
          </w:p>
        </w:tc>
        <w:tc>
          <w:tcPr>
            <w:tcW w:w="659" w:type="dxa"/>
            <w:tcBorders>
              <w:top w:val="nil"/>
              <w:left w:val="nil"/>
              <w:bottom w:val="nil"/>
              <w:right w:val="nil"/>
            </w:tcBorders>
            <w:shd w:val="clear" w:color="auto" w:fill="auto"/>
            <w:noWrap/>
            <w:vAlign w:val="center"/>
            <w:hideMark/>
          </w:tcPr>
          <w:p w14:paraId="418104F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0DA84FB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93.8</w:t>
            </w:r>
          </w:p>
        </w:tc>
        <w:tc>
          <w:tcPr>
            <w:tcW w:w="659" w:type="dxa"/>
            <w:tcBorders>
              <w:top w:val="nil"/>
              <w:left w:val="nil"/>
              <w:bottom w:val="nil"/>
              <w:right w:val="nil"/>
            </w:tcBorders>
            <w:shd w:val="clear" w:color="auto" w:fill="auto"/>
            <w:noWrap/>
            <w:vAlign w:val="center"/>
            <w:hideMark/>
          </w:tcPr>
          <w:p w14:paraId="0D0642F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97.3</w:t>
            </w:r>
          </w:p>
        </w:tc>
        <w:tc>
          <w:tcPr>
            <w:tcW w:w="659" w:type="dxa"/>
            <w:tcBorders>
              <w:top w:val="nil"/>
              <w:left w:val="nil"/>
              <w:bottom w:val="nil"/>
              <w:right w:val="nil"/>
            </w:tcBorders>
            <w:shd w:val="clear" w:color="auto" w:fill="auto"/>
            <w:noWrap/>
            <w:vAlign w:val="center"/>
            <w:hideMark/>
          </w:tcPr>
          <w:p w14:paraId="44430B3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92.1</w:t>
            </w:r>
          </w:p>
        </w:tc>
        <w:tc>
          <w:tcPr>
            <w:tcW w:w="668" w:type="dxa"/>
            <w:tcBorders>
              <w:top w:val="nil"/>
              <w:left w:val="nil"/>
              <w:bottom w:val="nil"/>
              <w:right w:val="single" w:sz="4" w:space="0" w:color="auto"/>
            </w:tcBorders>
            <w:shd w:val="clear" w:color="auto" w:fill="auto"/>
            <w:noWrap/>
            <w:vAlign w:val="center"/>
            <w:hideMark/>
          </w:tcPr>
          <w:p w14:paraId="5B130E6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117.3</w:t>
            </w:r>
          </w:p>
        </w:tc>
      </w:tr>
      <w:tr w:rsidR="00852962" w:rsidRPr="00852962" w14:paraId="67DA96EE" w14:textId="77777777" w:rsidTr="00852962">
        <w:trPr>
          <w:trHeight w:val="222"/>
        </w:trPr>
        <w:tc>
          <w:tcPr>
            <w:tcW w:w="668" w:type="dxa"/>
            <w:vMerge/>
            <w:tcBorders>
              <w:top w:val="nil"/>
              <w:left w:val="single" w:sz="4" w:space="0" w:color="auto"/>
              <w:bottom w:val="single" w:sz="4" w:space="0" w:color="000000"/>
              <w:right w:val="nil"/>
            </w:tcBorders>
            <w:vAlign w:val="center"/>
            <w:hideMark/>
          </w:tcPr>
          <w:p w14:paraId="0F562883"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775CDBA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4063094E" w14:textId="2C08E76C"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268D060" w14:textId="5C334DAA"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A0EC0F2" w14:textId="06E98D64"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30D0E75" w14:textId="77C577E2"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46F072CC" w14:textId="780D98F3"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170E337" w14:textId="16B91A90"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2C9660F" w14:textId="576A04AD"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35D2650" w14:textId="1826DBDA"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793B53C" w14:textId="0455EA61"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89CA778" w14:textId="1EEAF3C2"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0CD19D49" w14:textId="5A815212"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68" w:type="dxa"/>
            <w:tcBorders>
              <w:top w:val="nil"/>
              <w:left w:val="nil"/>
              <w:bottom w:val="single" w:sz="4" w:space="0" w:color="auto"/>
              <w:right w:val="single" w:sz="4" w:space="0" w:color="auto"/>
            </w:tcBorders>
            <w:shd w:val="clear" w:color="auto" w:fill="auto"/>
            <w:noWrap/>
            <w:vAlign w:val="center"/>
            <w:hideMark/>
          </w:tcPr>
          <w:p w14:paraId="608BA234" w14:textId="1971B8FD" w:rsidR="00852962" w:rsidRPr="00852962" w:rsidRDefault="00852962" w:rsidP="008529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r>
      <w:tr w:rsidR="00852962" w:rsidRPr="00852962" w14:paraId="72447744"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7DD13D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2009</w:t>
            </w:r>
          </w:p>
        </w:tc>
        <w:tc>
          <w:tcPr>
            <w:tcW w:w="784" w:type="dxa"/>
            <w:tcBorders>
              <w:top w:val="nil"/>
              <w:left w:val="nil"/>
              <w:bottom w:val="nil"/>
              <w:right w:val="single" w:sz="4" w:space="0" w:color="auto"/>
            </w:tcBorders>
            <w:shd w:val="clear" w:color="auto" w:fill="auto"/>
            <w:noWrap/>
            <w:vAlign w:val="center"/>
            <w:hideMark/>
          </w:tcPr>
          <w:p w14:paraId="074EB76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auto" w:fill="auto"/>
            <w:noWrap/>
            <w:vAlign w:val="center"/>
            <w:hideMark/>
          </w:tcPr>
          <w:p w14:paraId="71DDFEB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89.9</w:t>
            </w:r>
          </w:p>
        </w:tc>
        <w:tc>
          <w:tcPr>
            <w:tcW w:w="660" w:type="dxa"/>
            <w:tcBorders>
              <w:top w:val="nil"/>
              <w:left w:val="nil"/>
              <w:bottom w:val="nil"/>
              <w:right w:val="nil"/>
            </w:tcBorders>
            <w:shd w:val="clear" w:color="auto" w:fill="auto"/>
            <w:noWrap/>
            <w:vAlign w:val="center"/>
            <w:hideMark/>
          </w:tcPr>
          <w:p w14:paraId="6C82BE8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87.7</w:t>
            </w:r>
          </w:p>
        </w:tc>
        <w:tc>
          <w:tcPr>
            <w:tcW w:w="659" w:type="dxa"/>
            <w:tcBorders>
              <w:top w:val="nil"/>
              <w:left w:val="nil"/>
              <w:bottom w:val="nil"/>
              <w:right w:val="nil"/>
            </w:tcBorders>
            <w:shd w:val="clear" w:color="auto" w:fill="auto"/>
            <w:noWrap/>
            <w:vAlign w:val="center"/>
            <w:hideMark/>
          </w:tcPr>
          <w:p w14:paraId="6ED5070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90.9</w:t>
            </w:r>
          </w:p>
        </w:tc>
        <w:tc>
          <w:tcPr>
            <w:tcW w:w="659" w:type="dxa"/>
            <w:tcBorders>
              <w:top w:val="nil"/>
              <w:left w:val="nil"/>
              <w:bottom w:val="nil"/>
              <w:right w:val="nil"/>
            </w:tcBorders>
            <w:shd w:val="clear" w:color="auto" w:fill="auto"/>
            <w:noWrap/>
            <w:vAlign w:val="center"/>
            <w:hideMark/>
          </w:tcPr>
          <w:p w14:paraId="7D7C8A3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90.6</w:t>
            </w:r>
          </w:p>
        </w:tc>
        <w:tc>
          <w:tcPr>
            <w:tcW w:w="659" w:type="dxa"/>
            <w:tcBorders>
              <w:top w:val="nil"/>
              <w:left w:val="nil"/>
              <w:bottom w:val="nil"/>
              <w:right w:val="nil"/>
            </w:tcBorders>
            <w:shd w:val="clear" w:color="000000" w:fill="C4D79B"/>
            <w:noWrap/>
            <w:vAlign w:val="center"/>
            <w:hideMark/>
          </w:tcPr>
          <w:p w14:paraId="2DCF29A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7F7D1AF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89.2</w:t>
            </w:r>
          </w:p>
        </w:tc>
        <w:tc>
          <w:tcPr>
            <w:tcW w:w="659" w:type="dxa"/>
            <w:tcBorders>
              <w:top w:val="nil"/>
              <w:left w:val="nil"/>
              <w:bottom w:val="nil"/>
              <w:right w:val="nil"/>
            </w:tcBorders>
            <w:shd w:val="clear" w:color="auto" w:fill="auto"/>
            <w:noWrap/>
            <w:vAlign w:val="center"/>
            <w:hideMark/>
          </w:tcPr>
          <w:p w14:paraId="7D80843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90.4</w:t>
            </w:r>
          </w:p>
        </w:tc>
        <w:tc>
          <w:tcPr>
            <w:tcW w:w="659" w:type="dxa"/>
            <w:tcBorders>
              <w:top w:val="nil"/>
              <w:left w:val="nil"/>
              <w:bottom w:val="nil"/>
              <w:right w:val="nil"/>
            </w:tcBorders>
            <w:shd w:val="clear" w:color="auto" w:fill="auto"/>
            <w:noWrap/>
            <w:vAlign w:val="center"/>
            <w:hideMark/>
          </w:tcPr>
          <w:p w14:paraId="465E2AF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88.1</w:t>
            </w:r>
          </w:p>
        </w:tc>
        <w:tc>
          <w:tcPr>
            <w:tcW w:w="659" w:type="dxa"/>
            <w:tcBorders>
              <w:top w:val="nil"/>
              <w:left w:val="nil"/>
              <w:bottom w:val="nil"/>
              <w:right w:val="nil"/>
            </w:tcBorders>
            <w:shd w:val="clear" w:color="auto" w:fill="auto"/>
            <w:noWrap/>
            <w:vAlign w:val="center"/>
            <w:hideMark/>
          </w:tcPr>
          <w:p w14:paraId="25A2597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88.9</w:t>
            </w:r>
          </w:p>
        </w:tc>
        <w:tc>
          <w:tcPr>
            <w:tcW w:w="659" w:type="dxa"/>
            <w:tcBorders>
              <w:top w:val="nil"/>
              <w:left w:val="nil"/>
              <w:bottom w:val="nil"/>
              <w:right w:val="nil"/>
            </w:tcBorders>
            <w:shd w:val="clear" w:color="auto" w:fill="auto"/>
            <w:noWrap/>
            <w:vAlign w:val="center"/>
            <w:hideMark/>
          </w:tcPr>
          <w:p w14:paraId="604ECBA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91.7</w:t>
            </w:r>
          </w:p>
        </w:tc>
        <w:tc>
          <w:tcPr>
            <w:tcW w:w="659" w:type="dxa"/>
            <w:tcBorders>
              <w:top w:val="nil"/>
              <w:left w:val="nil"/>
              <w:bottom w:val="nil"/>
              <w:right w:val="nil"/>
            </w:tcBorders>
            <w:shd w:val="clear" w:color="auto" w:fill="auto"/>
            <w:noWrap/>
            <w:vAlign w:val="center"/>
            <w:hideMark/>
          </w:tcPr>
          <w:p w14:paraId="49E7799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89.0</w:t>
            </w:r>
          </w:p>
        </w:tc>
        <w:tc>
          <w:tcPr>
            <w:tcW w:w="668" w:type="dxa"/>
            <w:tcBorders>
              <w:top w:val="nil"/>
              <w:left w:val="nil"/>
              <w:bottom w:val="nil"/>
              <w:right w:val="single" w:sz="4" w:space="0" w:color="auto"/>
            </w:tcBorders>
            <w:shd w:val="clear" w:color="auto" w:fill="auto"/>
            <w:noWrap/>
            <w:vAlign w:val="center"/>
            <w:hideMark/>
          </w:tcPr>
          <w:p w14:paraId="5030915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113.3</w:t>
            </w:r>
          </w:p>
        </w:tc>
      </w:tr>
      <w:tr w:rsidR="00852962" w:rsidRPr="00852962" w14:paraId="5A276250"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7A0628A"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6EF1254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342F997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-5.0</w:t>
            </w:r>
          </w:p>
        </w:tc>
        <w:tc>
          <w:tcPr>
            <w:tcW w:w="660" w:type="dxa"/>
            <w:tcBorders>
              <w:top w:val="nil"/>
              <w:left w:val="nil"/>
              <w:bottom w:val="nil"/>
              <w:right w:val="nil"/>
            </w:tcBorders>
            <w:shd w:val="clear" w:color="auto" w:fill="auto"/>
            <w:noWrap/>
            <w:vAlign w:val="center"/>
            <w:hideMark/>
          </w:tcPr>
          <w:p w14:paraId="211E41B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-7.4</w:t>
            </w:r>
          </w:p>
        </w:tc>
        <w:tc>
          <w:tcPr>
            <w:tcW w:w="659" w:type="dxa"/>
            <w:tcBorders>
              <w:top w:val="nil"/>
              <w:left w:val="nil"/>
              <w:bottom w:val="single" w:sz="4" w:space="0" w:color="auto"/>
              <w:right w:val="nil"/>
            </w:tcBorders>
            <w:shd w:val="clear" w:color="auto" w:fill="auto"/>
            <w:noWrap/>
            <w:vAlign w:val="center"/>
            <w:hideMark/>
          </w:tcPr>
          <w:p w14:paraId="20CBF62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-6.3</w:t>
            </w:r>
          </w:p>
        </w:tc>
        <w:tc>
          <w:tcPr>
            <w:tcW w:w="659" w:type="dxa"/>
            <w:tcBorders>
              <w:top w:val="nil"/>
              <w:left w:val="nil"/>
              <w:bottom w:val="single" w:sz="4" w:space="0" w:color="auto"/>
              <w:right w:val="nil"/>
            </w:tcBorders>
            <w:shd w:val="clear" w:color="auto" w:fill="auto"/>
            <w:noWrap/>
            <w:vAlign w:val="center"/>
            <w:hideMark/>
          </w:tcPr>
          <w:p w14:paraId="4BAE120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-7.3</w:t>
            </w:r>
          </w:p>
        </w:tc>
        <w:tc>
          <w:tcPr>
            <w:tcW w:w="659" w:type="dxa"/>
            <w:tcBorders>
              <w:top w:val="nil"/>
              <w:left w:val="nil"/>
              <w:bottom w:val="nil"/>
              <w:right w:val="nil"/>
            </w:tcBorders>
            <w:shd w:val="clear" w:color="000000" w:fill="C4D79B"/>
            <w:noWrap/>
            <w:vAlign w:val="center"/>
            <w:hideMark/>
          </w:tcPr>
          <w:p w14:paraId="6FF564C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-9.2</w:t>
            </w:r>
          </w:p>
        </w:tc>
        <w:tc>
          <w:tcPr>
            <w:tcW w:w="659" w:type="dxa"/>
            <w:tcBorders>
              <w:top w:val="nil"/>
              <w:left w:val="nil"/>
              <w:bottom w:val="single" w:sz="4" w:space="0" w:color="auto"/>
              <w:right w:val="nil"/>
            </w:tcBorders>
            <w:shd w:val="clear" w:color="auto" w:fill="auto"/>
            <w:noWrap/>
            <w:vAlign w:val="center"/>
            <w:hideMark/>
          </w:tcPr>
          <w:p w14:paraId="34295F1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-7.6</w:t>
            </w:r>
          </w:p>
        </w:tc>
        <w:tc>
          <w:tcPr>
            <w:tcW w:w="659" w:type="dxa"/>
            <w:tcBorders>
              <w:top w:val="nil"/>
              <w:left w:val="nil"/>
              <w:bottom w:val="single" w:sz="4" w:space="0" w:color="auto"/>
              <w:right w:val="nil"/>
            </w:tcBorders>
            <w:shd w:val="clear" w:color="auto" w:fill="auto"/>
            <w:noWrap/>
            <w:vAlign w:val="center"/>
            <w:hideMark/>
          </w:tcPr>
          <w:p w14:paraId="32320C5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-5.8</w:t>
            </w:r>
          </w:p>
        </w:tc>
        <w:tc>
          <w:tcPr>
            <w:tcW w:w="659" w:type="dxa"/>
            <w:tcBorders>
              <w:top w:val="nil"/>
              <w:left w:val="nil"/>
              <w:bottom w:val="single" w:sz="4" w:space="0" w:color="auto"/>
              <w:right w:val="nil"/>
            </w:tcBorders>
            <w:shd w:val="clear" w:color="auto" w:fill="auto"/>
            <w:noWrap/>
            <w:vAlign w:val="center"/>
            <w:hideMark/>
          </w:tcPr>
          <w:p w14:paraId="4510194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-7.2</w:t>
            </w:r>
          </w:p>
        </w:tc>
        <w:tc>
          <w:tcPr>
            <w:tcW w:w="659" w:type="dxa"/>
            <w:tcBorders>
              <w:top w:val="nil"/>
              <w:left w:val="nil"/>
              <w:bottom w:val="single" w:sz="4" w:space="0" w:color="auto"/>
              <w:right w:val="nil"/>
            </w:tcBorders>
            <w:shd w:val="clear" w:color="auto" w:fill="auto"/>
            <w:noWrap/>
            <w:vAlign w:val="center"/>
            <w:hideMark/>
          </w:tcPr>
          <w:p w14:paraId="15A7ABE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-5.2</w:t>
            </w:r>
          </w:p>
        </w:tc>
        <w:tc>
          <w:tcPr>
            <w:tcW w:w="659" w:type="dxa"/>
            <w:tcBorders>
              <w:top w:val="nil"/>
              <w:left w:val="nil"/>
              <w:bottom w:val="single" w:sz="4" w:space="0" w:color="auto"/>
              <w:right w:val="nil"/>
            </w:tcBorders>
            <w:shd w:val="clear" w:color="auto" w:fill="auto"/>
            <w:noWrap/>
            <w:vAlign w:val="center"/>
            <w:hideMark/>
          </w:tcPr>
          <w:p w14:paraId="5C7AFD0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-5.8</w:t>
            </w:r>
          </w:p>
        </w:tc>
        <w:tc>
          <w:tcPr>
            <w:tcW w:w="659" w:type="dxa"/>
            <w:tcBorders>
              <w:top w:val="nil"/>
              <w:left w:val="nil"/>
              <w:bottom w:val="single" w:sz="4" w:space="0" w:color="auto"/>
              <w:right w:val="nil"/>
            </w:tcBorders>
            <w:shd w:val="clear" w:color="auto" w:fill="auto"/>
            <w:noWrap/>
            <w:vAlign w:val="center"/>
            <w:hideMark/>
          </w:tcPr>
          <w:p w14:paraId="754A119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-3.4</w:t>
            </w:r>
          </w:p>
        </w:tc>
        <w:tc>
          <w:tcPr>
            <w:tcW w:w="668" w:type="dxa"/>
            <w:tcBorders>
              <w:top w:val="nil"/>
              <w:left w:val="nil"/>
              <w:bottom w:val="single" w:sz="4" w:space="0" w:color="auto"/>
              <w:right w:val="single" w:sz="4" w:space="0" w:color="auto"/>
            </w:tcBorders>
            <w:shd w:val="clear" w:color="auto" w:fill="auto"/>
            <w:noWrap/>
            <w:vAlign w:val="center"/>
            <w:hideMark/>
          </w:tcPr>
          <w:p w14:paraId="3592C1F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-3.4</w:t>
            </w:r>
          </w:p>
        </w:tc>
      </w:tr>
      <w:tr w:rsidR="00852962" w:rsidRPr="00852962" w14:paraId="52FCFCBC" w14:textId="77777777" w:rsidTr="00852962">
        <w:trPr>
          <w:trHeight w:val="222"/>
        </w:trPr>
        <w:tc>
          <w:tcPr>
            <w:tcW w:w="668" w:type="dxa"/>
            <w:vMerge w:val="restart"/>
            <w:tcBorders>
              <w:top w:val="nil"/>
              <w:left w:val="single" w:sz="4" w:space="0" w:color="auto"/>
              <w:bottom w:val="nil"/>
              <w:right w:val="nil"/>
            </w:tcBorders>
            <w:shd w:val="clear" w:color="auto" w:fill="auto"/>
            <w:noWrap/>
            <w:vAlign w:val="center"/>
            <w:hideMark/>
          </w:tcPr>
          <w:p w14:paraId="33F38B8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2010</w:t>
            </w:r>
          </w:p>
        </w:tc>
        <w:tc>
          <w:tcPr>
            <w:tcW w:w="784" w:type="dxa"/>
            <w:tcBorders>
              <w:top w:val="nil"/>
              <w:left w:val="nil"/>
              <w:bottom w:val="nil"/>
              <w:right w:val="single" w:sz="4" w:space="0" w:color="auto"/>
            </w:tcBorders>
            <w:shd w:val="clear" w:color="auto" w:fill="auto"/>
            <w:noWrap/>
            <w:vAlign w:val="center"/>
            <w:hideMark/>
          </w:tcPr>
          <w:p w14:paraId="213B91A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0550946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87.5</w:t>
            </w:r>
          </w:p>
        </w:tc>
        <w:tc>
          <w:tcPr>
            <w:tcW w:w="660" w:type="dxa"/>
            <w:tcBorders>
              <w:top w:val="single" w:sz="4" w:space="0" w:color="auto"/>
              <w:left w:val="nil"/>
              <w:bottom w:val="nil"/>
              <w:right w:val="nil"/>
            </w:tcBorders>
            <w:shd w:val="clear" w:color="auto" w:fill="auto"/>
            <w:noWrap/>
            <w:vAlign w:val="center"/>
            <w:hideMark/>
          </w:tcPr>
          <w:p w14:paraId="7F5B201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86.6</w:t>
            </w:r>
          </w:p>
        </w:tc>
        <w:tc>
          <w:tcPr>
            <w:tcW w:w="659" w:type="dxa"/>
            <w:tcBorders>
              <w:top w:val="nil"/>
              <w:left w:val="nil"/>
              <w:bottom w:val="nil"/>
              <w:right w:val="nil"/>
            </w:tcBorders>
            <w:shd w:val="clear" w:color="auto" w:fill="auto"/>
            <w:noWrap/>
            <w:vAlign w:val="center"/>
            <w:hideMark/>
          </w:tcPr>
          <w:p w14:paraId="65EB144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91.9</w:t>
            </w:r>
          </w:p>
        </w:tc>
        <w:tc>
          <w:tcPr>
            <w:tcW w:w="659" w:type="dxa"/>
            <w:tcBorders>
              <w:top w:val="nil"/>
              <w:left w:val="nil"/>
              <w:bottom w:val="nil"/>
              <w:right w:val="nil"/>
            </w:tcBorders>
            <w:shd w:val="clear" w:color="auto" w:fill="auto"/>
            <w:noWrap/>
            <w:vAlign w:val="center"/>
            <w:hideMark/>
          </w:tcPr>
          <w:p w14:paraId="0675E6C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90.8</w:t>
            </w:r>
          </w:p>
        </w:tc>
        <w:tc>
          <w:tcPr>
            <w:tcW w:w="659" w:type="dxa"/>
            <w:tcBorders>
              <w:top w:val="single" w:sz="4" w:space="0" w:color="auto"/>
              <w:left w:val="nil"/>
              <w:bottom w:val="nil"/>
              <w:right w:val="nil"/>
            </w:tcBorders>
            <w:shd w:val="clear" w:color="000000" w:fill="C4D79B"/>
            <w:noWrap/>
            <w:vAlign w:val="center"/>
            <w:hideMark/>
          </w:tcPr>
          <w:p w14:paraId="7423F56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95.8</w:t>
            </w:r>
          </w:p>
        </w:tc>
        <w:tc>
          <w:tcPr>
            <w:tcW w:w="659" w:type="dxa"/>
            <w:tcBorders>
              <w:top w:val="nil"/>
              <w:left w:val="nil"/>
              <w:bottom w:val="nil"/>
              <w:right w:val="nil"/>
            </w:tcBorders>
            <w:shd w:val="clear" w:color="auto" w:fill="auto"/>
            <w:noWrap/>
            <w:vAlign w:val="center"/>
            <w:hideMark/>
          </w:tcPr>
          <w:p w14:paraId="228958D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91.7</w:t>
            </w:r>
          </w:p>
        </w:tc>
        <w:tc>
          <w:tcPr>
            <w:tcW w:w="659" w:type="dxa"/>
            <w:tcBorders>
              <w:top w:val="nil"/>
              <w:left w:val="nil"/>
              <w:bottom w:val="nil"/>
              <w:right w:val="nil"/>
            </w:tcBorders>
            <w:shd w:val="clear" w:color="auto" w:fill="auto"/>
            <w:noWrap/>
            <w:vAlign w:val="center"/>
            <w:hideMark/>
          </w:tcPr>
          <w:p w14:paraId="0A21F86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93.0</w:t>
            </w:r>
          </w:p>
        </w:tc>
        <w:tc>
          <w:tcPr>
            <w:tcW w:w="659" w:type="dxa"/>
            <w:tcBorders>
              <w:top w:val="nil"/>
              <w:left w:val="nil"/>
              <w:bottom w:val="nil"/>
              <w:right w:val="nil"/>
            </w:tcBorders>
            <w:shd w:val="clear" w:color="auto" w:fill="auto"/>
            <w:noWrap/>
            <w:vAlign w:val="center"/>
            <w:hideMark/>
          </w:tcPr>
          <w:p w14:paraId="5443B8D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91.5</w:t>
            </w:r>
          </w:p>
        </w:tc>
        <w:tc>
          <w:tcPr>
            <w:tcW w:w="659" w:type="dxa"/>
            <w:tcBorders>
              <w:top w:val="nil"/>
              <w:left w:val="nil"/>
              <w:bottom w:val="nil"/>
              <w:right w:val="nil"/>
            </w:tcBorders>
            <w:shd w:val="clear" w:color="auto" w:fill="auto"/>
            <w:noWrap/>
            <w:vAlign w:val="center"/>
            <w:hideMark/>
          </w:tcPr>
          <w:p w14:paraId="45173B7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91.8</w:t>
            </w:r>
          </w:p>
        </w:tc>
        <w:tc>
          <w:tcPr>
            <w:tcW w:w="659" w:type="dxa"/>
            <w:tcBorders>
              <w:top w:val="nil"/>
              <w:left w:val="nil"/>
              <w:bottom w:val="nil"/>
              <w:right w:val="nil"/>
            </w:tcBorders>
            <w:shd w:val="clear" w:color="auto" w:fill="auto"/>
            <w:noWrap/>
            <w:vAlign w:val="center"/>
            <w:hideMark/>
          </w:tcPr>
          <w:p w14:paraId="27512DE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92.1</w:t>
            </w:r>
          </w:p>
        </w:tc>
        <w:tc>
          <w:tcPr>
            <w:tcW w:w="659" w:type="dxa"/>
            <w:tcBorders>
              <w:top w:val="nil"/>
              <w:left w:val="nil"/>
              <w:bottom w:val="nil"/>
              <w:right w:val="nil"/>
            </w:tcBorders>
            <w:shd w:val="clear" w:color="auto" w:fill="auto"/>
            <w:noWrap/>
            <w:vAlign w:val="center"/>
            <w:hideMark/>
          </w:tcPr>
          <w:p w14:paraId="7059EEE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90.5</w:t>
            </w:r>
          </w:p>
        </w:tc>
        <w:tc>
          <w:tcPr>
            <w:tcW w:w="668" w:type="dxa"/>
            <w:tcBorders>
              <w:top w:val="nil"/>
              <w:left w:val="nil"/>
              <w:bottom w:val="nil"/>
              <w:right w:val="single" w:sz="4" w:space="0" w:color="auto"/>
            </w:tcBorders>
            <w:shd w:val="clear" w:color="auto" w:fill="auto"/>
            <w:noWrap/>
            <w:vAlign w:val="center"/>
            <w:hideMark/>
          </w:tcPr>
          <w:p w14:paraId="452FB9F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113.8</w:t>
            </w:r>
          </w:p>
        </w:tc>
      </w:tr>
      <w:tr w:rsidR="00852962" w:rsidRPr="00852962" w14:paraId="6C93B418" w14:textId="77777777" w:rsidTr="00852962">
        <w:trPr>
          <w:trHeight w:val="222"/>
        </w:trPr>
        <w:tc>
          <w:tcPr>
            <w:tcW w:w="668" w:type="dxa"/>
            <w:vMerge/>
            <w:tcBorders>
              <w:top w:val="nil"/>
              <w:left w:val="single" w:sz="4" w:space="0" w:color="auto"/>
              <w:bottom w:val="nil"/>
              <w:right w:val="nil"/>
            </w:tcBorders>
            <w:vAlign w:val="center"/>
            <w:hideMark/>
          </w:tcPr>
          <w:p w14:paraId="4E789C40"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40F28E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54A1F89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64CAB9A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5041451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73043BC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0476128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40B127E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6754632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2.9</w:t>
            </w:r>
          </w:p>
        </w:tc>
        <w:tc>
          <w:tcPr>
            <w:tcW w:w="659" w:type="dxa"/>
            <w:tcBorders>
              <w:top w:val="nil"/>
              <w:left w:val="nil"/>
              <w:bottom w:val="nil"/>
              <w:right w:val="nil"/>
            </w:tcBorders>
            <w:shd w:val="clear" w:color="auto" w:fill="auto"/>
            <w:noWrap/>
            <w:vAlign w:val="center"/>
            <w:hideMark/>
          </w:tcPr>
          <w:p w14:paraId="2B6C4BF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3.8</w:t>
            </w:r>
          </w:p>
        </w:tc>
        <w:tc>
          <w:tcPr>
            <w:tcW w:w="659" w:type="dxa"/>
            <w:tcBorders>
              <w:top w:val="nil"/>
              <w:left w:val="nil"/>
              <w:bottom w:val="nil"/>
              <w:right w:val="nil"/>
            </w:tcBorders>
            <w:shd w:val="clear" w:color="auto" w:fill="auto"/>
            <w:noWrap/>
            <w:vAlign w:val="center"/>
            <w:hideMark/>
          </w:tcPr>
          <w:p w14:paraId="74AA640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3.3</w:t>
            </w:r>
          </w:p>
        </w:tc>
        <w:tc>
          <w:tcPr>
            <w:tcW w:w="659" w:type="dxa"/>
            <w:tcBorders>
              <w:top w:val="nil"/>
              <w:left w:val="nil"/>
              <w:bottom w:val="nil"/>
              <w:right w:val="nil"/>
            </w:tcBorders>
            <w:shd w:val="clear" w:color="auto" w:fill="auto"/>
            <w:noWrap/>
            <w:vAlign w:val="center"/>
            <w:hideMark/>
          </w:tcPr>
          <w:p w14:paraId="47CBFD3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77BEFCE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1.7</w:t>
            </w:r>
          </w:p>
        </w:tc>
        <w:tc>
          <w:tcPr>
            <w:tcW w:w="668" w:type="dxa"/>
            <w:tcBorders>
              <w:top w:val="nil"/>
              <w:left w:val="nil"/>
              <w:bottom w:val="nil"/>
              <w:right w:val="single" w:sz="4" w:space="0" w:color="auto"/>
            </w:tcBorders>
            <w:shd w:val="clear" w:color="auto" w:fill="auto"/>
            <w:noWrap/>
            <w:vAlign w:val="center"/>
            <w:hideMark/>
          </w:tcPr>
          <w:p w14:paraId="74F816E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0.4</w:t>
            </w:r>
          </w:p>
        </w:tc>
      </w:tr>
      <w:tr w:rsidR="00852962" w:rsidRPr="00852962" w14:paraId="4076C1D4"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970F99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2011</w:t>
            </w:r>
          </w:p>
        </w:tc>
        <w:tc>
          <w:tcPr>
            <w:tcW w:w="784" w:type="dxa"/>
            <w:tcBorders>
              <w:top w:val="single" w:sz="4" w:space="0" w:color="auto"/>
              <w:left w:val="nil"/>
              <w:bottom w:val="nil"/>
              <w:right w:val="single" w:sz="4" w:space="0" w:color="auto"/>
            </w:tcBorders>
            <w:shd w:val="clear" w:color="auto" w:fill="auto"/>
            <w:noWrap/>
            <w:vAlign w:val="center"/>
            <w:hideMark/>
          </w:tcPr>
          <w:p w14:paraId="7E25412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76420AE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89.3</w:t>
            </w:r>
          </w:p>
        </w:tc>
        <w:tc>
          <w:tcPr>
            <w:tcW w:w="660" w:type="dxa"/>
            <w:tcBorders>
              <w:top w:val="single" w:sz="4" w:space="0" w:color="auto"/>
              <w:left w:val="nil"/>
              <w:bottom w:val="nil"/>
              <w:right w:val="nil"/>
            </w:tcBorders>
            <w:shd w:val="clear" w:color="auto" w:fill="auto"/>
            <w:noWrap/>
            <w:vAlign w:val="center"/>
            <w:hideMark/>
          </w:tcPr>
          <w:p w14:paraId="5EAA0D1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88.2</w:t>
            </w:r>
          </w:p>
        </w:tc>
        <w:tc>
          <w:tcPr>
            <w:tcW w:w="659" w:type="dxa"/>
            <w:tcBorders>
              <w:top w:val="single" w:sz="4" w:space="0" w:color="auto"/>
              <w:left w:val="nil"/>
              <w:bottom w:val="nil"/>
              <w:right w:val="nil"/>
            </w:tcBorders>
            <w:shd w:val="clear" w:color="auto" w:fill="auto"/>
            <w:noWrap/>
            <w:vAlign w:val="center"/>
            <w:hideMark/>
          </w:tcPr>
          <w:p w14:paraId="3CC6552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94.2</w:t>
            </w:r>
          </w:p>
        </w:tc>
        <w:tc>
          <w:tcPr>
            <w:tcW w:w="659" w:type="dxa"/>
            <w:tcBorders>
              <w:top w:val="single" w:sz="4" w:space="0" w:color="auto"/>
              <w:left w:val="nil"/>
              <w:bottom w:val="nil"/>
              <w:right w:val="nil"/>
            </w:tcBorders>
            <w:shd w:val="clear" w:color="auto" w:fill="auto"/>
            <w:noWrap/>
            <w:vAlign w:val="center"/>
            <w:hideMark/>
          </w:tcPr>
          <w:p w14:paraId="1FBE5CF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92.1</w:t>
            </w:r>
          </w:p>
        </w:tc>
        <w:tc>
          <w:tcPr>
            <w:tcW w:w="659" w:type="dxa"/>
            <w:tcBorders>
              <w:top w:val="single" w:sz="4" w:space="0" w:color="auto"/>
              <w:left w:val="nil"/>
              <w:bottom w:val="nil"/>
              <w:right w:val="nil"/>
            </w:tcBorders>
            <w:shd w:val="clear" w:color="000000" w:fill="C4D79B"/>
            <w:noWrap/>
            <w:vAlign w:val="center"/>
            <w:hideMark/>
          </w:tcPr>
          <w:p w14:paraId="650048D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98.0</w:t>
            </w:r>
          </w:p>
        </w:tc>
        <w:tc>
          <w:tcPr>
            <w:tcW w:w="659" w:type="dxa"/>
            <w:tcBorders>
              <w:top w:val="single" w:sz="4" w:space="0" w:color="auto"/>
              <w:left w:val="nil"/>
              <w:bottom w:val="nil"/>
              <w:right w:val="nil"/>
            </w:tcBorders>
            <w:shd w:val="clear" w:color="auto" w:fill="auto"/>
            <w:noWrap/>
            <w:vAlign w:val="center"/>
            <w:hideMark/>
          </w:tcPr>
          <w:p w14:paraId="56F832C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94.9</w:t>
            </w:r>
          </w:p>
        </w:tc>
        <w:tc>
          <w:tcPr>
            <w:tcW w:w="659" w:type="dxa"/>
            <w:tcBorders>
              <w:top w:val="single" w:sz="4" w:space="0" w:color="auto"/>
              <w:left w:val="nil"/>
              <w:bottom w:val="nil"/>
              <w:right w:val="nil"/>
            </w:tcBorders>
            <w:shd w:val="clear" w:color="auto" w:fill="auto"/>
            <w:noWrap/>
            <w:vAlign w:val="center"/>
            <w:hideMark/>
          </w:tcPr>
          <w:p w14:paraId="0AC0FD1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93.3</w:t>
            </w:r>
          </w:p>
        </w:tc>
        <w:tc>
          <w:tcPr>
            <w:tcW w:w="659" w:type="dxa"/>
            <w:tcBorders>
              <w:top w:val="single" w:sz="4" w:space="0" w:color="auto"/>
              <w:left w:val="nil"/>
              <w:bottom w:val="nil"/>
              <w:right w:val="nil"/>
            </w:tcBorders>
            <w:shd w:val="clear" w:color="auto" w:fill="auto"/>
            <w:noWrap/>
            <w:vAlign w:val="center"/>
            <w:hideMark/>
          </w:tcPr>
          <w:p w14:paraId="28BA64C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94.3</w:t>
            </w:r>
          </w:p>
        </w:tc>
        <w:tc>
          <w:tcPr>
            <w:tcW w:w="659" w:type="dxa"/>
            <w:tcBorders>
              <w:top w:val="single" w:sz="4" w:space="0" w:color="auto"/>
              <w:left w:val="nil"/>
              <w:bottom w:val="nil"/>
              <w:right w:val="nil"/>
            </w:tcBorders>
            <w:shd w:val="clear" w:color="auto" w:fill="auto"/>
            <w:noWrap/>
            <w:vAlign w:val="center"/>
            <w:hideMark/>
          </w:tcPr>
          <w:p w14:paraId="11B8DEB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95.0</w:t>
            </w:r>
          </w:p>
        </w:tc>
        <w:tc>
          <w:tcPr>
            <w:tcW w:w="659" w:type="dxa"/>
            <w:tcBorders>
              <w:top w:val="single" w:sz="4" w:space="0" w:color="auto"/>
              <w:left w:val="nil"/>
              <w:bottom w:val="nil"/>
              <w:right w:val="nil"/>
            </w:tcBorders>
            <w:shd w:val="clear" w:color="auto" w:fill="auto"/>
            <w:noWrap/>
            <w:vAlign w:val="center"/>
            <w:hideMark/>
          </w:tcPr>
          <w:p w14:paraId="7C44E3B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94.5</w:t>
            </w:r>
          </w:p>
        </w:tc>
        <w:tc>
          <w:tcPr>
            <w:tcW w:w="659" w:type="dxa"/>
            <w:tcBorders>
              <w:top w:val="single" w:sz="4" w:space="0" w:color="auto"/>
              <w:left w:val="nil"/>
              <w:bottom w:val="nil"/>
              <w:right w:val="nil"/>
            </w:tcBorders>
            <w:shd w:val="clear" w:color="auto" w:fill="auto"/>
            <w:noWrap/>
            <w:vAlign w:val="center"/>
            <w:hideMark/>
          </w:tcPr>
          <w:p w14:paraId="79E0465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93.9</w:t>
            </w:r>
          </w:p>
        </w:tc>
        <w:tc>
          <w:tcPr>
            <w:tcW w:w="668" w:type="dxa"/>
            <w:tcBorders>
              <w:top w:val="single" w:sz="4" w:space="0" w:color="auto"/>
              <w:left w:val="nil"/>
              <w:bottom w:val="nil"/>
              <w:right w:val="single" w:sz="4" w:space="0" w:color="auto"/>
            </w:tcBorders>
            <w:shd w:val="clear" w:color="auto" w:fill="auto"/>
            <w:noWrap/>
            <w:vAlign w:val="center"/>
            <w:hideMark/>
          </w:tcPr>
          <w:p w14:paraId="2BF711E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114.9</w:t>
            </w:r>
          </w:p>
        </w:tc>
      </w:tr>
      <w:tr w:rsidR="00852962" w:rsidRPr="00852962" w14:paraId="7226B82D"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26F6C5F9"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6415A0C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2CC5921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32814A4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auto" w:fill="auto"/>
            <w:noWrap/>
            <w:vAlign w:val="center"/>
            <w:hideMark/>
          </w:tcPr>
          <w:p w14:paraId="250A5C4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1983FB1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1.5</w:t>
            </w:r>
          </w:p>
        </w:tc>
        <w:tc>
          <w:tcPr>
            <w:tcW w:w="659" w:type="dxa"/>
            <w:tcBorders>
              <w:top w:val="nil"/>
              <w:left w:val="nil"/>
              <w:bottom w:val="single" w:sz="4" w:space="0" w:color="auto"/>
              <w:right w:val="nil"/>
            </w:tcBorders>
            <w:shd w:val="clear" w:color="000000" w:fill="C4D79B"/>
            <w:noWrap/>
            <w:vAlign w:val="center"/>
            <w:hideMark/>
          </w:tcPr>
          <w:p w14:paraId="7745A57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45EA5BF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3.5</w:t>
            </w:r>
          </w:p>
        </w:tc>
        <w:tc>
          <w:tcPr>
            <w:tcW w:w="659" w:type="dxa"/>
            <w:tcBorders>
              <w:top w:val="nil"/>
              <w:left w:val="nil"/>
              <w:bottom w:val="single" w:sz="4" w:space="0" w:color="auto"/>
              <w:right w:val="nil"/>
            </w:tcBorders>
            <w:shd w:val="clear" w:color="auto" w:fill="auto"/>
            <w:noWrap/>
            <w:vAlign w:val="center"/>
            <w:hideMark/>
          </w:tcPr>
          <w:p w14:paraId="4AD7DFF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56B6CAA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auto" w:fill="auto"/>
            <w:noWrap/>
            <w:vAlign w:val="center"/>
            <w:hideMark/>
          </w:tcPr>
          <w:p w14:paraId="3D89926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3.4</w:t>
            </w:r>
          </w:p>
        </w:tc>
        <w:tc>
          <w:tcPr>
            <w:tcW w:w="659" w:type="dxa"/>
            <w:tcBorders>
              <w:top w:val="nil"/>
              <w:left w:val="nil"/>
              <w:bottom w:val="single" w:sz="4" w:space="0" w:color="auto"/>
              <w:right w:val="nil"/>
            </w:tcBorders>
            <w:shd w:val="clear" w:color="auto" w:fill="auto"/>
            <w:noWrap/>
            <w:vAlign w:val="center"/>
            <w:hideMark/>
          </w:tcPr>
          <w:p w14:paraId="61C17D0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56E6AE6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3.8</w:t>
            </w:r>
          </w:p>
        </w:tc>
        <w:tc>
          <w:tcPr>
            <w:tcW w:w="668" w:type="dxa"/>
            <w:tcBorders>
              <w:top w:val="nil"/>
              <w:left w:val="nil"/>
              <w:bottom w:val="single" w:sz="4" w:space="0" w:color="auto"/>
              <w:right w:val="single" w:sz="4" w:space="0" w:color="auto"/>
            </w:tcBorders>
            <w:shd w:val="clear" w:color="auto" w:fill="auto"/>
            <w:noWrap/>
            <w:vAlign w:val="center"/>
            <w:hideMark/>
          </w:tcPr>
          <w:p w14:paraId="6ABD104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w:t>
            </w:r>
          </w:p>
        </w:tc>
      </w:tr>
      <w:tr w:rsidR="00852962" w:rsidRPr="00852962" w14:paraId="23C4BAB2" w14:textId="77777777" w:rsidTr="00852962">
        <w:trPr>
          <w:trHeight w:val="222"/>
        </w:trPr>
        <w:tc>
          <w:tcPr>
            <w:tcW w:w="668" w:type="dxa"/>
            <w:vMerge w:val="restart"/>
            <w:tcBorders>
              <w:top w:val="nil"/>
              <w:left w:val="single" w:sz="4" w:space="0" w:color="auto"/>
              <w:bottom w:val="nil"/>
              <w:right w:val="nil"/>
            </w:tcBorders>
            <w:shd w:val="clear" w:color="auto" w:fill="auto"/>
            <w:noWrap/>
            <w:vAlign w:val="center"/>
            <w:hideMark/>
          </w:tcPr>
          <w:p w14:paraId="5274999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2012</w:t>
            </w:r>
          </w:p>
        </w:tc>
        <w:tc>
          <w:tcPr>
            <w:tcW w:w="784" w:type="dxa"/>
            <w:tcBorders>
              <w:top w:val="nil"/>
              <w:left w:val="nil"/>
              <w:bottom w:val="nil"/>
              <w:right w:val="single" w:sz="4" w:space="0" w:color="auto"/>
            </w:tcBorders>
            <w:shd w:val="clear" w:color="auto" w:fill="auto"/>
            <w:noWrap/>
            <w:vAlign w:val="center"/>
            <w:hideMark/>
          </w:tcPr>
          <w:p w14:paraId="5E364B9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auto" w:fill="auto"/>
            <w:noWrap/>
            <w:vAlign w:val="center"/>
            <w:hideMark/>
          </w:tcPr>
          <w:p w14:paraId="63FED01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92.4</w:t>
            </w:r>
          </w:p>
        </w:tc>
        <w:tc>
          <w:tcPr>
            <w:tcW w:w="660" w:type="dxa"/>
            <w:tcBorders>
              <w:top w:val="nil"/>
              <w:left w:val="nil"/>
              <w:bottom w:val="nil"/>
              <w:right w:val="nil"/>
            </w:tcBorders>
            <w:shd w:val="clear" w:color="auto" w:fill="auto"/>
            <w:noWrap/>
            <w:vAlign w:val="center"/>
            <w:hideMark/>
          </w:tcPr>
          <w:p w14:paraId="41822CA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92.3</w:t>
            </w:r>
          </w:p>
        </w:tc>
        <w:tc>
          <w:tcPr>
            <w:tcW w:w="659" w:type="dxa"/>
            <w:tcBorders>
              <w:top w:val="nil"/>
              <w:left w:val="nil"/>
              <w:bottom w:val="nil"/>
              <w:right w:val="nil"/>
            </w:tcBorders>
            <w:shd w:val="clear" w:color="auto" w:fill="auto"/>
            <w:noWrap/>
            <w:vAlign w:val="center"/>
            <w:hideMark/>
          </w:tcPr>
          <w:p w14:paraId="39F870F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97.2</w:t>
            </w:r>
          </w:p>
        </w:tc>
        <w:tc>
          <w:tcPr>
            <w:tcW w:w="659" w:type="dxa"/>
            <w:tcBorders>
              <w:top w:val="nil"/>
              <w:left w:val="nil"/>
              <w:bottom w:val="nil"/>
              <w:right w:val="nil"/>
            </w:tcBorders>
            <w:shd w:val="clear" w:color="auto" w:fill="auto"/>
            <w:noWrap/>
            <w:vAlign w:val="center"/>
            <w:hideMark/>
          </w:tcPr>
          <w:p w14:paraId="0B1198B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96.1</w:t>
            </w:r>
          </w:p>
        </w:tc>
        <w:tc>
          <w:tcPr>
            <w:tcW w:w="659" w:type="dxa"/>
            <w:tcBorders>
              <w:top w:val="nil"/>
              <w:left w:val="nil"/>
              <w:bottom w:val="nil"/>
              <w:right w:val="nil"/>
            </w:tcBorders>
            <w:shd w:val="clear" w:color="000000" w:fill="C4D79B"/>
            <w:noWrap/>
            <w:vAlign w:val="center"/>
            <w:hideMark/>
          </w:tcPr>
          <w:p w14:paraId="3D1C125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100.7</w:t>
            </w:r>
          </w:p>
        </w:tc>
        <w:tc>
          <w:tcPr>
            <w:tcW w:w="659" w:type="dxa"/>
            <w:tcBorders>
              <w:top w:val="nil"/>
              <w:left w:val="nil"/>
              <w:bottom w:val="nil"/>
              <w:right w:val="nil"/>
            </w:tcBorders>
            <w:shd w:val="clear" w:color="auto" w:fill="auto"/>
            <w:noWrap/>
            <w:vAlign w:val="center"/>
            <w:hideMark/>
          </w:tcPr>
          <w:p w14:paraId="78F8BBD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96.8</w:t>
            </w:r>
          </w:p>
        </w:tc>
        <w:tc>
          <w:tcPr>
            <w:tcW w:w="659" w:type="dxa"/>
            <w:tcBorders>
              <w:top w:val="nil"/>
              <w:left w:val="nil"/>
              <w:bottom w:val="nil"/>
              <w:right w:val="nil"/>
            </w:tcBorders>
            <w:shd w:val="clear" w:color="auto" w:fill="auto"/>
            <w:noWrap/>
            <w:vAlign w:val="center"/>
            <w:hideMark/>
          </w:tcPr>
          <w:p w14:paraId="794A38C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96.0</w:t>
            </w:r>
          </w:p>
        </w:tc>
        <w:tc>
          <w:tcPr>
            <w:tcW w:w="659" w:type="dxa"/>
            <w:tcBorders>
              <w:top w:val="nil"/>
              <w:left w:val="nil"/>
              <w:bottom w:val="nil"/>
              <w:right w:val="nil"/>
            </w:tcBorders>
            <w:shd w:val="clear" w:color="auto" w:fill="auto"/>
            <w:noWrap/>
            <w:vAlign w:val="center"/>
            <w:hideMark/>
          </w:tcPr>
          <w:p w14:paraId="2F724F0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97.3</w:t>
            </w:r>
          </w:p>
        </w:tc>
        <w:tc>
          <w:tcPr>
            <w:tcW w:w="659" w:type="dxa"/>
            <w:tcBorders>
              <w:top w:val="nil"/>
              <w:left w:val="nil"/>
              <w:bottom w:val="nil"/>
              <w:right w:val="nil"/>
            </w:tcBorders>
            <w:shd w:val="clear" w:color="auto" w:fill="auto"/>
            <w:noWrap/>
            <w:vAlign w:val="center"/>
            <w:hideMark/>
          </w:tcPr>
          <w:p w14:paraId="4F4E22F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94.8</w:t>
            </w:r>
          </w:p>
        </w:tc>
        <w:tc>
          <w:tcPr>
            <w:tcW w:w="659" w:type="dxa"/>
            <w:tcBorders>
              <w:top w:val="nil"/>
              <w:left w:val="nil"/>
              <w:bottom w:val="nil"/>
              <w:right w:val="nil"/>
            </w:tcBorders>
            <w:shd w:val="clear" w:color="auto" w:fill="auto"/>
            <w:noWrap/>
            <w:vAlign w:val="center"/>
            <w:hideMark/>
          </w:tcPr>
          <w:p w14:paraId="03A1629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96.4</w:t>
            </w:r>
          </w:p>
        </w:tc>
        <w:tc>
          <w:tcPr>
            <w:tcW w:w="659" w:type="dxa"/>
            <w:tcBorders>
              <w:top w:val="nil"/>
              <w:left w:val="nil"/>
              <w:bottom w:val="nil"/>
              <w:right w:val="nil"/>
            </w:tcBorders>
            <w:shd w:val="clear" w:color="auto" w:fill="auto"/>
            <w:noWrap/>
            <w:vAlign w:val="center"/>
            <w:hideMark/>
          </w:tcPr>
          <w:p w14:paraId="6150C99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97.1</w:t>
            </w:r>
          </w:p>
        </w:tc>
        <w:tc>
          <w:tcPr>
            <w:tcW w:w="668" w:type="dxa"/>
            <w:tcBorders>
              <w:top w:val="nil"/>
              <w:left w:val="nil"/>
              <w:bottom w:val="nil"/>
              <w:right w:val="single" w:sz="4" w:space="0" w:color="auto"/>
            </w:tcBorders>
            <w:shd w:val="clear" w:color="auto" w:fill="auto"/>
            <w:noWrap/>
            <w:vAlign w:val="center"/>
            <w:hideMark/>
          </w:tcPr>
          <w:p w14:paraId="7351CA2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116.6</w:t>
            </w:r>
          </w:p>
        </w:tc>
      </w:tr>
      <w:tr w:rsidR="00852962" w:rsidRPr="00852962" w14:paraId="7B46A95F" w14:textId="77777777" w:rsidTr="00852962">
        <w:trPr>
          <w:trHeight w:val="222"/>
        </w:trPr>
        <w:tc>
          <w:tcPr>
            <w:tcW w:w="668" w:type="dxa"/>
            <w:vMerge/>
            <w:tcBorders>
              <w:top w:val="nil"/>
              <w:left w:val="single" w:sz="4" w:space="0" w:color="auto"/>
              <w:bottom w:val="nil"/>
              <w:right w:val="nil"/>
            </w:tcBorders>
            <w:vAlign w:val="center"/>
            <w:hideMark/>
          </w:tcPr>
          <w:p w14:paraId="4D3AFCA1"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6AFA8EA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293F27D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3.5</w:t>
            </w:r>
          </w:p>
        </w:tc>
        <w:tc>
          <w:tcPr>
            <w:tcW w:w="660" w:type="dxa"/>
            <w:tcBorders>
              <w:top w:val="nil"/>
              <w:left w:val="nil"/>
              <w:bottom w:val="nil"/>
              <w:right w:val="nil"/>
            </w:tcBorders>
            <w:shd w:val="clear" w:color="auto" w:fill="auto"/>
            <w:noWrap/>
            <w:vAlign w:val="center"/>
            <w:hideMark/>
          </w:tcPr>
          <w:p w14:paraId="76E7F2C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4.7</w:t>
            </w:r>
          </w:p>
        </w:tc>
        <w:tc>
          <w:tcPr>
            <w:tcW w:w="659" w:type="dxa"/>
            <w:tcBorders>
              <w:top w:val="nil"/>
              <w:left w:val="nil"/>
              <w:bottom w:val="nil"/>
              <w:right w:val="nil"/>
            </w:tcBorders>
            <w:shd w:val="clear" w:color="auto" w:fill="auto"/>
            <w:noWrap/>
            <w:vAlign w:val="center"/>
            <w:hideMark/>
          </w:tcPr>
          <w:p w14:paraId="3B59219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3.2</w:t>
            </w:r>
          </w:p>
        </w:tc>
        <w:tc>
          <w:tcPr>
            <w:tcW w:w="659" w:type="dxa"/>
            <w:tcBorders>
              <w:top w:val="nil"/>
              <w:left w:val="nil"/>
              <w:bottom w:val="nil"/>
              <w:right w:val="nil"/>
            </w:tcBorders>
            <w:shd w:val="clear" w:color="auto" w:fill="auto"/>
            <w:noWrap/>
            <w:vAlign w:val="center"/>
            <w:hideMark/>
          </w:tcPr>
          <w:p w14:paraId="656B912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4.3</w:t>
            </w:r>
          </w:p>
        </w:tc>
        <w:tc>
          <w:tcPr>
            <w:tcW w:w="659" w:type="dxa"/>
            <w:tcBorders>
              <w:top w:val="nil"/>
              <w:left w:val="nil"/>
              <w:bottom w:val="nil"/>
              <w:right w:val="nil"/>
            </w:tcBorders>
            <w:shd w:val="clear" w:color="000000" w:fill="C4D79B"/>
            <w:noWrap/>
            <w:vAlign w:val="center"/>
            <w:hideMark/>
          </w:tcPr>
          <w:p w14:paraId="6AAB539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49B28EF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62235BA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018082F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3.2</w:t>
            </w:r>
          </w:p>
        </w:tc>
        <w:tc>
          <w:tcPr>
            <w:tcW w:w="659" w:type="dxa"/>
            <w:tcBorders>
              <w:top w:val="nil"/>
              <w:left w:val="nil"/>
              <w:bottom w:val="nil"/>
              <w:right w:val="nil"/>
            </w:tcBorders>
            <w:shd w:val="clear" w:color="auto" w:fill="auto"/>
            <w:noWrap/>
            <w:vAlign w:val="center"/>
            <w:hideMark/>
          </w:tcPr>
          <w:p w14:paraId="3A2D216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0669CC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2B9913A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3.4</w:t>
            </w:r>
          </w:p>
        </w:tc>
        <w:tc>
          <w:tcPr>
            <w:tcW w:w="668" w:type="dxa"/>
            <w:tcBorders>
              <w:top w:val="nil"/>
              <w:left w:val="nil"/>
              <w:bottom w:val="nil"/>
              <w:right w:val="single" w:sz="4" w:space="0" w:color="auto"/>
            </w:tcBorders>
            <w:shd w:val="clear" w:color="auto" w:fill="auto"/>
            <w:noWrap/>
            <w:vAlign w:val="center"/>
            <w:hideMark/>
          </w:tcPr>
          <w:p w14:paraId="2A93984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1.4</w:t>
            </w:r>
          </w:p>
        </w:tc>
      </w:tr>
      <w:tr w:rsidR="00852962" w:rsidRPr="00852962" w14:paraId="39B695CC"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0DC94D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2013</w:t>
            </w:r>
          </w:p>
        </w:tc>
        <w:tc>
          <w:tcPr>
            <w:tcW w:w="784" w:type="dxa"/>
            <w:tcBorders>
              <w:top w:val="single" w:sz="4" w:space="0" w:color="auto"/>
              <w:left w:val="nil"/>
              <w:bottom w:val="nil"/>
              <w:right w:val="single" w:sz="4" w:space="0" w:color="auto"/>
            </w:tcBorders>
            <w:shd w:val="clear" w:color="auto" w:fill="auto"/>
            <w:noWrap/>
            <w:vAlign w:val="center"/>
            <w:hideMark/>
          </w:tcPr>
          <w:p w14:paraId="0946517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69B05B3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2DA8E33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93.5</w:t>
            </w:r>
          </w:p>
        </w:tc>
        <w:tc>
          <w:tcPr>
            <w:tcW w:w="659" w:type="dxa"/>
            <w:tcBorders>
              <w:top w:val="single" w:sz="4" w:space="0" w:color="auto"/>
              <w:left w:val="nil"/>
              <w:bottom w:val="nil"/>
              <w:right w:val="nil"/>
            </w:tcBorders>
            <w:shd w:val="clear" w:color="auto" w:fill="auto"/>
            <w:noWrap/>
            <w:vAlign w:val="center"/>
            <w:hideMark/>
          </w:tcPr>
          <w:p w14:paraId="432092D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97.2</w:t>
            </w:r>
          </w:p>
        </w:tc>
        <w:tc>
          <w:tcPr>
            <w:tcW w:w="659" w:type="dxa"/>
            <w:tcBorders>
              <w:top w:val="single" w:sz="4" w:space="0" w:color="auto"/>
              <w:left w:val="nil"/>
              <w:bottom w:val="nil"/>
              <w:right w:val="nil"/>
            </w:tcBorders>
            <w:shd w:val="clear" w:color="auto" w:fill="auto"/>
            <w:noWrap/>
            <w:vAlign w:val="center"/>
            <w:hideMark/>
          </w:tcPr>
          <w:p w14:paraId="53ADF2E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98.1</w:t>
            </w:r>
          </w:p>
        </w:tc>
        <w:tc>
          <w:tcPr>
            <w:tcW w:w="659" w:type="dxa"/>
            <w:tcBorders>
              <w:top w:val="single" w:sz="4" w:space="0" w:color="auto"/>
              <w:left w:val="nil"/>
              <w:bottom w:val="nil"/>
              <w:right w:val="nil"/>
            </w:tcBorders>
            <w:shd w:val="clear" w:color="000000" w:fill="C4D79B"/>
            <w:noWrap/>
            <w:vAlign w:val="center"/>
            <w:hideMark/>
          </w:tcPr>
          <w:p w14:paraId="534BAB7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103.4</w:t>
            </w:r>
          </w:p>
        </w:tc>
        <w:tc>
          <w:tcPr>
            <w:tcW w:w="659" w:type="dxa"/>
            <w:tcBorders>
              <w:top w:val="single" w:sz="4" w:space="0" w:color="auto"/>
              <w:left w:val="nil"/>
              <w:bottom w:val="nil"/>
              <w:right w:val="nil"/>
            </w:tcBorders>
            <w:shd w:val="clear" w:color="auto" w:fill="auto"/>
            <w:noWrap/>
            <w:vAlign w:val="center"/>
            <w:hideMark/>
          </w:tcPr>
          <w:p w14:paraId="18FD7BC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98.1</w:t>
            </w:r>
          </w:p>
        </w:tc>
        <w:tc>
          <w:tcPr>
            <w:tcW w:w="659" w:type="dxa"/>
            <w:tcBorders>
              <w:top w:val="single" w:sz="4" w:space="0" w:color="auto"/>
              <w:left w:val="nil"/>
              <w:bottom w:val="nil"/>
              <w:right w:val="nil"/>
            </w:tcBorders>
            <w:shd w:val="clear" w:color="auto" w:fill="auto"/>
            <w:noWrap/>
            <w:vAlign w:val="center"/>
            <w:hideMark/>
          </w:tcPr>
          <w:p w14:paraId="4F83283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98.8</w:t>
            </w:r>
          </w:p>
        </w:tc>
        <w:tc>
          <w:tcPr>
            <w:tcW w:w="659" w:type="dxa"/>
            <w:tcBorders>
              <w:top w:val="single" w:sz="4" w:space="0" w:color="auto"/>
              <w:left w:val="nil"/>
              <w:bottom w:val="nil"/>
              <w:right w:val="nil"/>
            </w:tcBorders>
            <w:shd w:val="clear" w:color="auto" w:fill="auto"/>
            <w:noWrap/>
            <w:vAlign w:val="center"/>
            <w:hideMark/>
          </w:tcPr>
          <w:p w14:paraId="75AA770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27A6535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auto" w:fill="auto"/>
            <w:noWrap/>
            <w:vAlign w:val="center"/>
            <w:hideMark/>
          </w:tcPr>
          <w:p w14:paraId="32D70E6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99.6</w:t>
            </w:r>
          </w:p>
        </w:tc>
        <w:tc>
          <w:tcPr>
            <w:tcW w:w="659" w:type="dxa"/>
            <w:tcBorders>
              <w:top w:val="single" w:sz="4" w:space="0" w:color="auto"/>
              <w:left w:val="nil"/>
              <w:bottom w:val="nil"/>
              <w:right w:val="nil"/>
            </w:tcBorders>
            <w:shd w:val="clear" w:color="auto" w:fill="auto"/>
            <w:noWrap/>
            <w:vAlign w:val="center"/>
            <w:hideMark/>
          </w:tcPr>
          <w:p w14:paraId="7F4FBC2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98.7</w:t>
            </w:r>
          </w:p>
        </w:tc>
        <w:tc>
          <w:tcPr>
            <w:tcW w:w="668" w:type="dxa"/>
            <w:tcBorders>
              <w:top w:val="single" w:sz="4" w:space="0" w:color="auto"/>
              <w:left w:val="nil"/>
              <w:bottom w:val="nil"/>
              <w:right w:val="single" w:sz="4" w:space="0" w:color="auto"/>
            </w:tcBorders>
            <w:shd w:val="clear" w:color="auto" w:fill="auto"/>
            <w:noWrap/>
            <w:vAlign w:val="center"/>
            <w:hideMark/>
          </w:tcPr>
          <w:p w14:paraId="30F1723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119.2</w:t>
            </w:r>
          </w:p>
        </w:tc>
      </w:tr>
      <w:tr w:rsidR="00852962" w:rsidRPr="00852962" w14:paraId="39055779"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2C9D7E57"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3104912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1741F5F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5.1</w:t>
            </w:r>
          </w:p>
        </w:tc>
        <w:tc>
          <w:tcPr>
            <w:tcW w:w="660" w:type="dxa"/>
            <w:tcBorders>
              <w:top w:val="nil"/>
              <w:left w:val="nil"/>
              <w:bottom w:val="single" w:sz="4" w:space="0" w:color="auto"/>
              <w:right w:val="nil"/>
            </w:tcBorders>
            <w:shd w:val="clear" w:color="auto" w:fill="auto"/>
            <w:noWrap/>
            <w:vAlign w:val="center"/>
            <w:hideMark/>
          </w:tcPr>
          <w:p w14:paraId="5886BCC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4406192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0.0</w:t>
            </w:r>
          </w:p>
        </w:tc>
        <w:tc>
          <w:tcPr>
            <w:tcW w:w="659" w:type="dxa"/>
            <w:tcBorders>
              <w:top w:val="nil"/>
              <w:left w:val="nil"/>
              <w:bottom w:val="single" w:sz="4" w:space="0" w:color="auto"/>
              <w:right w:val="nil"/>
            </w:tcBorders>
            <w:shd w:val="clear" w:color="auto" w:fill="auto"/>
            <w:noWrap/>
            <w:vAlign w:val="center"/>
            <w:hideMark/>
          </w:tcPr>
          <w:p w14:paraId="38FEEF3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000000" w:fill="C4D79B"/>
            <w:noWrap/>
            <w:vAlign w:val="center"/>
            <w:hideMark/>
          </w:tcPr>
          <w:p w14:paraId="272BDDD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2.8</w:t>
            </w:r>
          </w:p>
        </w:tc>
        <w:tc>
          <w:tcPr>
            <w:tcW w:w="659" w:type="dxa"/>
            <w:tcBorders>
              <w:top w:val="nil"/>
              <w:left w:val="nil"/>
              <w:bottom w:val="single" w:sz="4" w:space="0" w:color="auto"/>
              <w:right w:val="nil"/>
            </w:tcBorders>
            <w:shd w:val="clear" w:color="auto" w:fill="auto"/>
            <w:noWrap/>
            <w:vAlign w:val="center"/>
            <w:hideMark/>
          </w:tcPr>
          <w:p w14:paraId="58EB025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4AC566A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2.9</w:t>
            </w:r>
          </w:p>
        </w:tc>
        <w:tc>
          <w:tcPr>
            <w:tcW w:w="659" w:type="dxa"/>
            <w:tcBorders>
              <w:top w:val="nil"/>
              <w:left w:val="nil"/>
              <w:bottom w:val="single" w:sz="4" w:space="0" w:color="auto"/>
              <w:right w:val="nil"/>
            </w:tcBorders>
            <w:shd w:val="clear" w:color="auto" w:fill="auto"/>
            <w:noWrap/>
            <w:vAlign w:val="center"/>
            <w:hideMark/>
          </w:tcPr>
          <w:p w14:paraId="1200AEA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3F37F74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61175A9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3.4</w:t>
            </w:r>
          </w:p>
        </w:tc>
        <w:tc>
          <w:tcPr>
            <w:tcW w:w="659" w:type="dxa"/>
            <w:tcBorders>
              <w:top w:val="nil"/>
              <w:left w:val="nil"/>
              <w:bottom w:val="single" w:sz="4" w:space="0" w:color="auto"/>
              <w:right w:val="nil"/>
            </w:tcBorders>
            <w:shd w:val="clear" w:color="auto" w:fill="auto"/>
            <w:noWrap/>
            <w:vAlign w:val="center"/>
            <w:hideMark/>
          </w:tcPr>
          <w:p w14:paraId="57FBBC0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1.7</w:t>
            </w:r>
          </w:p>
        </w:tc>
        <w:tc>
          <w:tcPr>
            <w:tcW w:w="668" w:type="dxa"/>
            <w:tcBorders>
              <w:top w:val="nil"/>
              <w:left w:val="nil"/>
              <w:bottom w:val="single" w:sz="4" w:space="0" w:color="auto"/>
              <w:right w:val="single" w:sz="4" w:space="0" w:color="auto"/>
            </w:tcBorders>
            <w:shd w:val="clear" w:color="auto" w:fill="auto"/>
            <w:noWrap/>
            <w:vAlign w:val="center"/>
            <w:hideMark/>
          </w:tcPr>
          <w:p w14:paraId="6F6962E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2.3</w:t>
            </w:r>
          </w:p>
        </w:tc>
      </w:tr>
      <w:tr w:rsidR="00852962" w:rsidRPr="00852962" w14:paraId="7CE3BCD2" w14:textId="77777777" w:rsidTr="00852962">
        <w:trPr>
          <w:trHeight w:val="222"/>
        </w:trPr>
        <w:tc>
          <w:tcPr>
            <w:tcW w:w="668" w:type="dxa"/>
            <w:vMerge w:val="restart"/>
            <w:tcBorders>
              <w:top w:val="nil"/>
              <w:left w:val="single" w:sz="4" w:space="0" w:color="auto"/>
              <w:bottom w:val="nil"/>
              <w:right w:val="nil"/>
            </w:tcBorders>
            <w:shd w:val="clear" w:color="auto" w:fill="auto"/>
            <w:noWrap/>
            <w:vAlign w:val="center"/>
            <w:hideMark/>
          </w:tcPr>
          <w:p w14:paraId="1CF97F1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2014</w:t>
            </w:r>
          </w:p>
        </w:tc>
        <w:tc>
          <w:tcPr>
            <w:tcW w:w="784" w:type="dxa"/>
            <w:tcBorders>
              <w:top w:val="nil"/>
              <w:left w:val="nil"/>
              <w:bottom w:val="nil"/>
              <w:right w:val="single" w:sz="4" w:space="0" w:color="auto"/>
            </w:tcBorders>
            <w:shd w:val="clear" w:color="auto" w:fill="auto"/>
            <w:noWrap/>
            <w:vAlign w:val="center"/>
            <w:hideMark/>
          </w:tcPr>
          <w:p w14:paraId="2A8E8AA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auto" w:fill="auto"/>
            <w:noWrap/>
            <w:vAlign w:val="center"/>
            <w:hideMark/>
          </w:tcPr>
          <w:p w14:paraId="3969D99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98.0</w:t>
            </w:r>
          </w:p>
        </w:tc>
        <w:tc>
          <w:tcPr>
            <w:tcW w:w="660" w:type="dxa"/>
            <w:tcBorders>
              <w:top w:val="nil"/>
              <w:left w:val="nil"/>
              <w:bottom w:val="nil"/>
              <w:right w:val="nil"/>
            </w:tcBorders>
            <w:shd w:val="clear" w:color="auto" w:fill="auto"/>
            <w:noWrap/>
            <w:vAlign w:val="center"/>
            <w:hideMark/>
          </w:tcPr>
          <w:p w14:paraId="2CCD8D8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95.1</w:t>
            </w:r>
          </w:p>
        </w:tc>
        <w:tc>
          <w:tcPr>
            <w:tcW w:w="659" w:type="dxa"/>
            <w:tcBorders>
              <w:top w:val="nil"/>
              <w:left w:val="nil"/>
              <w:bottom w:val="nil"/>
              <w:right w:val="nil"/>
            </w:tcBorders>
            <w:shd w:val="clear" w:color="auto" w:fill="auto"/>
            <w:noWrap/>
            <w:vAlign w:val="center"/>
            <w:hideMark/>
          </w:tcPr>
          <w:p w14:paraId="64BAA6A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99.3</w:t>
            </w:r>
          </w:p>
        </w:tc>
        <w:tc>
          <w:tcPr>
            <w:tcW w:w="659" w:type="dxa"/>
            <w:tcBorders>
              <w:top w:val="nil"/>
              <w:left w:val="nil"/>
              <w:bottom w:val="nil"/>
              <w:right w:val="nil"/>
            </w:tcBorders>
            <w:shd w:val="clear" w:color="auto" w:fill="auto"/>
            <w:noWrap/>
            <w:vAlign w:val="center"/>
            <w:hideMark/>
          </w:tcPr>
          <w:p w14:paraId="6797C96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100.1</w:t>
            </w:r>
          </w:p>
        </w:tc>
        <w:tc>
          <w:tcPr>
            <w:tcW w:w="659" w:type="dxa"/>
            <w:tcBorders>
              <w:top w:val="nil"/>
              <w:left w:val="nil"/>
              <w:bottom w:val="nil"/>
              <w:right w:val="nil"/>
            </w:tcBorders>
            <w:shd w:val="clear" w:color="000000" w:fill="C4D79B"/>
            <w:noWrap/>
            <w:vAlign w:val="center"/>
            <w:hideMark/>
          </w:tcPr>
          <w:p w14:paraId="4517515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105.0</w:t>
            </w:r>
          </w:p>
        </w:tc>
        <w:tc>
          <w:tcPr>
            <w:tcW w:w="659" w:type="dxa"/>
            <w:tcBorders>
              <w:top w:val="nil"/>
              <w:left w:val="nil"/>
              <w:bottom w:val="nil"/>
              <w:right w:val="nil"/>
            </w:tcBorders>
            <w:shd w:val="clear" w:color="auto" w:fill="auto"/>
            <w:noWrap/>
            <w:vAlign w:val="center"/>
            <w:hideMark/>
          </w:tcPr>
          <w:p w14:paraId="2A990C7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100.1</w:t>
            </w:r>
          </w:p>
        </w:tc>
        <w:tc>
          <w:tcPr>
            <w:tcW w:w="659" w:type="dxa"/>
            <w:tcBorders>
              <w:top w:val="nil"/>
              <w:left w:val="nil"/>
              <w:bottom w:val="nil"/>
              <w:right w:val="nil"/>
            </w:tcBorders>
            <w:shd w:val="clear" w:color="auto" w:fill="auto"/>
            <w:noWrap/>
            <w:vAlign w:val="center"/>
            <w:hideMark/>
          </w:tcPr>
          <w:p w14:paraId="4C7F129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101.8</w:t>
            </w:r>
          </w:p>
        </w:tc>
        <w:tc>
          <w:tcPr>
            <w:tcW w:w="659" w:type="dxa"/>
            <w:tcBorders>
              <w:top w:val="nil"/>
              <w:left w:val="nil"/>
              <w:bottom w:val="nil"/>
              <w:right w:val="nil"/>
            </w:tcBorders>
            <w:shd w:val="clear" w:color="auto" w:fill="auto"/>
            <w:noWrap/>
            <w:vAlign w:val="center"/>
            <w:hideMark/>
          </w:tcPr>
          <w:p w14:paraId="41F9B00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22E3EA9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98.6</w:t>
            </w:r>
          </w:p>
        </w:tc>
        <w:tc>
          <w:tcPr>
            <w:tcW w:w="659" w:type="dxa"/>
            <w:tcBorders>
              <w:top w:val="nil"/>
              <w:left w:val="nil"/>
              <w:bottom w:val="nil"/>
              <w:right w:val="nil"/>
            </w:tcBorders>
            <w:shd w:val="clear" w:color="auto" w:fill="auto"/>
            <w:noWrap/>
            <w:vAlign w:val="center"/>
            <w:hideMark/>
          </w:tcPr>
          <w:p w14:paraId="1CAAA29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101.6</w:t>
            </w:r>
          </w:p>
        </w:tc>
        <w:tc>
          <w:tcPr>
            <w:tcW w:w="659" w:type="dxa"/>
            <w:tcBorders>
              <w:top w:val="nil"/>
              <w:left w:val="nil"/>
              <w:bottom w:val="nil"/>
              <w:right w:val="nil"/>
            </w:tcBorders>
            <w:shd w:val="clear" w:color="auto" w:fill="auto"/>
            <w:noWrap/>
            <w:vAlign w:val="center"/>
            <w:hideMark/>
          </w:tcPr>
          <w:p w14:paraId="592BE2C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100.1</w:t>
            </w:r>
          </w:p>
        </w:tc>
        <w:tc>
          <w:tcPr>
            <w:tcW w:w="668" w:type="dxa"/>
            <w:tcBorders>
              <w:top w:val="nil"/>
              <w:left w:val="nil"/>
              <w:bottom w:val="nil"/>
              <w:right w:val="single" w:sz="4" w:space="0" w:color="auto"/>
            </w:tcBorders>
            <w:shd w:val="clear" w:color="auto" w:fill="auto"/>
            <w:noWrap/>
            <w:vAlign w:val="center"/>
            <w:hideMark/>
          </w:tcPr>
          <w:p w14:paraId="03A8C6E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120.7</w:t>
            </w:r>
          </w:p>
        </w:tc>
      </w:tr>
      <w:tr w:rsidR="00852962" w:rsidRPr="00852962" w14:paraId="7953A340" w14:textId="77777777" w:rsidTr="00852962">
        <w:trPr>
          <w:trHeight w:val="222"/>
        </w:trPr>
        <w:tc>
          <w:tcPr>
            <w:tcW w:w="668" w:type="dxa"/>
            <w:vMerge/>
            <w:tcBorders>
              <w:top w:val="nil"/>
              <w:left w:val="single" w:sz="4" w:space="0" w:color="auto"/>
              <w:bottom w:val="nil"/>
              <w:right w:val="nil"/>
            </w:tcBorders>
            <w:vAlign w:val="center"/>
            <w:hideMark/>
          </w:tcPr>
          <w:p w14:paraId="47CFBEDF"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7DA512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5D67D40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733D02D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06A352E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42AFCBA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000000" w:fill="C4D79B"/>
            <w:noWrap/>
            <w:vAlign w:val="center"/>
            <w:hideMark/>
          </w:tcPr>
          <w:p w14:paraId="6D254CF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4B06848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541654E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77C40E6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769D2F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71CE710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7D398C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1.4</w:t>
            </w:r>
          </w:p>
        </w:tc>
        <w:tc>
          <w:tcPr>
            <w:tcW w:w="668" w:type="dxa"/>
            <w:tcBorders>
              <w:top w:val="nil"/>
              <w:left w:val="nil"/>
              <w:bottom w:val="nil"/>
              <w:right w:val="single" w:sz="4" w:space="0" w:color="auto"/>
            </w:tcBorders>
            <w:shd w:val="clear" w:color="auto" w:fill="auto"/>
            <w:noWrap/>
            <w:vAlign w:val="center"/>
            <w:hideMark/>
          </w:tcPr>
          <w:p w14:paraId="2B97CB0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1.2</w:t>
            </w:r>
          </w:p>
        </w:tc>
      </w:tr>
      <w:tr w:rsidR="00852962" w:rsidRPr="00852962" w14:paraId="3B93D853"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8AACFC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2015</w:t>
            </w:r>
          </w:p>
        </w:tc>
        <w:tc>
          <w:tcPr>
            <w:tcW w:w="784" w:type="dxa"/>
            <w:tcBorders>
              <w:top w:val="single" w:sz="4" w:space="0" w:color="auto"/>
              <w:left w:val="nil"/>
              <w:bottom w:val="nil"/>
              <w:right w:val="single" w:sz="4" w:space="0" w:color="auto"/>
            </w:tcBorders>
            <w:shd w:val="clear" w:color="auto" w:fill="auto"/>
            <w:noWrap/>
            <w:vAlign w:val="center"/>
            <w:hideMark/>
          </w:tcPr>
          <w:p w14:paraId="6BF2C78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5BDE9BD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060DF16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98.3</w:t>
            </w:r>
          </w:p>
        </w:tc>
        <w:tc>
          <w:tcPr>
            <w:tcW w:w="659" w:type="dxa"/>
            <w:tcBorders>
              <w:top w:val="single" w:sz="4" w:space="0" w:color="auto"/>
              <w:left w:val="nil"/>
              <w:bottom w:val="nil"/>
              <w:right w:val="nil"/>
            </w:tcBorders>
            <w:shd w:val="clear" w:color="auto" w:fill="auto"/>
            <w:noWrap/>
            <w:vAlign w:val="center"/>
            <w:hideMark/>
          </w:tcPr>
          <w:p w14:paraId="5FF2FC3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102.5</w:t>
            </w:r>
          </w:p>
        </w:tc>
        <w:tc>
          <w:tcPr>
            <w:tcW w:w="659" w:type="dxa"/>
            <w:tcBorders>
              <w:top w:val="single" w:sz="4" w:space="0" w:color="auto"/>
              <w:left w:val="nil"/>
              <w:bottom w:val="nil"/>
              <w:right w:val="nil"/>
            </w:tcBorders>
            <w:shd w:val="clear" w:color="auto" w:fill="auto"/>
            <w:noWrap/>
            <w:vAlign w:val="center"/>
            <w:hideMark/>
          </w:tcPr>
          <w:p w14:paraId="07C3D21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102.8</w:t>
            </w:r>
          </w:p>
        </w:tc>
        <w:tc>
          <w:tcPr>
            <w:tcW w:w="659" w:type="dxa"/>
            <w:tcBorders>
              <w:top w:val="single" w:sz="4" w:space="0" w:color="auto"/>
              <w:left w:val="nil"/>
              <w:bottom w:val="nil"/>
              <w:right w:val="nil"/>
            </w:tcBorders>
            <w:shd w:val="clear" w:color="000000" w:fill="C4D79B"/>
            <w:noWrap/>
            <w:vAlign w:val="center"/>
            <w:hideMark/>
          </w:tcPr>
          <w:p w14:paraId="7E5F374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108.9</w:t>
            </w:r>
          </w:p>
        </w:tc>
        <w:tc>
          <w:tcPr>
            <w:tcW w:w="659" w:type="dxa"/>
            <w:tcBorders>
              <w:top w:val="single" w:sz="4" w:space="0" w:color="auto"/>
              <w:left w:val="nil"/>
              <w:bottom w:val="nil"/>
              <w:right w:val="nil"/>
            </w:tcBorders>
            <w:shd w:val="clear" w:color="auto" w:fill="auto"/>
            <w:noWrap/>
            <w:vAlign w:val="center"/>
            <w:hideMark/>
          </w:tcPr>
          <w:p w14:paraId="25D7D1B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639450B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105.7</w:t>
            </w:r>
          </w:p>
        </w:tc>
        <w:tc>
          <w:tcPr>
            <w:tcW w:w="659" w:type="dxa"/>
            <w:tcBorders>
              <w:top w:val="single" w:sz="4" w:space="0" w:color="auto"/>
              <w:left w:val="nil"/>
              <w:bottom w:val="nil"/>
              <w:right w:val="nil"/>
            </w:tcBorders>
            <w:shd w:val="clear" w:color="auto" w:fill="auto"/>
            <w:noWrap/>
            <w:vAlign w:val="center"/>
            <w:hideMark/>
          </w:tcPr>
          <w:p w14:paraId="4BEA298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102.7</w:t>
            </w:r>
          </w:p>
        </w:tc>
        <w:tc>
          <w:tcPr>
            <w:tcW w:w="659" w:type="dxa"/>
            <w:tcBorders>
              <w:top w:val="single" w:sz="4" w:space="0" w:color="auto"/>
              <w:left w:val="nil"/>
              <w:bottom w:val="nil"/>
              <w:right w:val="nil"/>
            </w:tcBorders>
            <w:shd w:val="clear" w:color="auto" w:fill="auto"/>
            <w:noWrap/>
            <w:vAlign w:val="center"/>
            <w:hideMark/>
          </w:tcPr>
          <w:p w14:paraId="71488CE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102.9</w:t>
            </w:r>
          </w:p>
        </w:tc>
        <w:tc>
          <w:tcPr>
            <w:tcW w:w="659" w:type="dxa"/>
            <w:tcBorders>
              <w:top w:val="single" w:sz="4" w:space="0" w:color="auto"/>
              <w:left w:val="nil"/>
              <w:bottom w:val="nil"/>
              <w:right w:val="nil"/>
            </w:tcBorders>
            <w:shd w:val="clear" w:color="auto" w:fill="auto"/>
            <w:noWrap/>
            <w:vAlign w:val="center"/>
            <w:hideMark/>
          </w:tcPr>
          <w:p w14:paraId="0751E70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105.8</w:t>
            </w:r>
          </w:p>
        </w:tc>
        <w:tc>
          <w:tcPr>
            <w:tcW w:w="659" w:type="dxa"/>
            <w:tcBorders>
              <w:top w:val="single" w:sz="4" w:space="0" w:color="auto"/>
              <w:left w:val="nil"/>
              <w:bottom w:val="nil"/>
              <w:right w:val="nil"/>
            </w:tcBorders>
            <w:shd w:val="clear" w:color="auto" w:fill="auto"/>
            <w:noWrap/>
            <w:vAlign w:val="center"/>
            <w:hideMark/>
          </w:tcPr>
          <w:p w14:paraId="6C1926C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104.7</w:t>
            </w:r>
          </w:p>
        </w:tc>
        <w:tc>
          <w:tcPr>
            <w:tcW w:w="668" w:type="dxa"/>
            <w:tcBorders>
              <w:top w:val="single" w:sz="4" w:space="0" w:color="auto"/>
              <w:left w:val="nil"/>
              <w:bottom w:val="nil"/>
              <w:right w:val="single" w:sz="4" w:space="0" w:color="auto"/>
            </w:tcBorders>
            <w:shd w:val="clear" w:color="auto" w:fill="auto"/>
            <w:noWrap/>
            <w:vAlign w:val="center"/>
            <w:hideMark/>
          </w:tcPr>
          <w:p w14:paraId="1BF25AD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126.0</w:t>
            </w:r>
          </w:p>
        </w:tc>
      </w:tr>
      <w:tr w:rsidR="00852962" w:rsidRPr="00852962" w14:paraId="2F6A3426"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1DEC969"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4AE1922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4AB0567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69F279A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3.3</w:t>
            </w:r>
          </w:p>
        </w:tc>
        <w:tc>
          <w:tcPr>
            <w:tcW w:w="659" w:type="dxa"/>
            <w:tcBorders>
              <w:top w:val="nil"/>
              <w:left w:val="nil"/>
              <w:bottom w:val="single" w:sz="4" w:space="0" w:color="auto"/>
              <w:right w:val="nil"/>
            </w:tcBorders>
            <w:shd w:val="clear" w:color="auto" w:fill="auto"/>
            <w:noWrap/>
            <w:vAlign w:val="center"/>
            <w:hideMark/>
          </w:tcPr>
          <w:p w14:paraId="16312A9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3.3</w:t>
            </w:r>
          </w:p>
        </w:tc>
        <w:tc>
          <w:tcPr>
            <w:tcW w:w="659" w:type="dxa"/>
            <w:tcBorders>
              <w:top w:val="nil"/>
              <w:left w:val="nil"/>
              <w:bottom w:val="single" w:sz="4" w:space="0" w:color="auto"/>
              <w:right w:val="nil"/>
            </w:tcBorders>
            <w:shd w:val="clear" w:color="auto" w:fill="auto"/>
            <w:noWrap/>
            <w:vAlign w:val="center"/>
            <w:hideMark/>
          </w:tcPr>
          <w:p w14:paraId="773BF4E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2.7</w:t>
            </w:r>
          </w:p>
        </w:tc>
        <w:tc>
          <w:tcPr>
            <w:tcW w:w="659" w:type="dxa"/>
            <w:tcBorders>
              <w:top w:val="nil"/>
              <w:left w:val="nil"/>
              <w:bottom w:val="single" w:sz="4" w:space="0" w:color="auto"/>
              <w:right w:val="nil"/>
            </w:tcBorders>
            <w:shd w:val="clear" w:color="000000" w:fill="C4D79B"/>
            <w:noWrap/>
            <w:vAlign w:val="center"/>
            <w:hideMark/>
          </w:tcPr>
          <w:p w14:paraId="522EA95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3.7</w:t>
            </w:r>
          </w:p>
        </w:tc>
        <w:tc>
          <w:tcPr>
            <w:tcW w:w="659" w:type="dxa"/>
            <w:tcBorders>
              <w:top w:val="nil"/>
              <w:left w:val="nil"/>
              <w:bottom w:val="single" w:sz="4" w:space="0" w:color="auto"/>
              <w:right w:val="nil"/>
            </w:tcBorders>
            <w:shd w:val="clear" w:color="auto" w:fill="auto"/>
            <w:noWrap/>
            <w:vAlign w:val="center"/>
            <w:hideMark/>
          </w:tcPr>
          <w:p w14:paraId="632358A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3.7</w:t>
            </w:r>
          </w:p>
        </w:tc>
        <w:tc>
          <w:tcPr>
            <w:tcW w:w="659" w:type="dxa"/>
            <w:tcBorders>
              <w:top w:val="nil"/>
              <w:left w:val="nil"/>
              <w:bottom w:val="single" w:sz="4" w:space="0" w:color="auto"/>
              <w:right w:val="nil"/>
            </w:tcBorders>
            <w:shd w:val="clear" w:color="auto" w:fill="auto"/>
            <w:noWrap/>
            <w:vAlign w:val="center"/>
            <w:hideMark/>
          </w:tcPr>
          <w:p w14:paraId="5E0BF32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3.9</w:t>
            </w:r>
          </w:p>
        </w:tc>
        <w:tc>
          <w:tcPr>
            <w:tcW w:w="659" w:type="dxa"/>
            <w:tcBorders>
              <w:top w:val="nil"/>
              <w:left w:val="nil"/>
              <w:bottom w:val="single" w:sz="4" w:space="0" w:color="auto"/>
              <w:right w:val="nil"/>
            </w:tcBorders>
            <w:shd w:val="clear" w:color="auto" w:fill="auto"/>
            <w:noWrap/>
            <w:vAlign w:val="center"/>
            <w:hideMark/>
          </w:tcPr>
          <w:p w14:paraId="0B7BF0C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3.2</w:t>
            </w:r>
          </w:p>
        </w:tc>
        <w:tc>
          <w:tcPr>
            <w:tcW w:w="659" w:type="dxa"/>
            <w:tcBorders>
              <w:top w:val="nil"/>
              <w:left w:val="nil"/>
              <w:bottom w:val="single" w:sz="4" w:space="0" w:color="auto"/>
              <w:right w:val="nil"/>
            </w:tcBorders>
            <w:shd w:val="clear" w:color="auto" w:fill="auto"/>
            <w:noWrap/>
            <w:vAlign w:val="center"/>
            <w:hideMark/>
          </w:tcPr>
          <w:p w14:paraId="2CD061A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4.4</w:t>
            </w:r>
          </w:p>
        </w:tc>
        <w:tc>
          <w:tcPr>
            <w:tcW w:w="659" w:type="dxa"/>
            <w:tcBorders>
              <w:top w:val="nil"/>
              <w:left w:val="nil"/>
              <w:bottom w:val="single" w:sz="4" w:space="0" w:color="auto"/>
              <w:right w:val="nil"/>
            </w:tcBorders>
            <w:shd w:val="clear" w:color="auto" w:fill="auto"/>
            <w:noWrap/>
            <w:vAlign w:val="center"/>
            <w:hideMark/>
          </w:tcPr>
          <w:p w14:paraId="513E097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4.2</w:t>
            </w:r>
          </w:p>
        </w:tc>
        <w:tc>
          <w:tcPr>
            <w:tcW w:w="659" w:type="dxa"/>
            <w:tcBorders>
              <w:top w:val="nil"/>
              <w:left w:val="nil"/>
              <w:bottom w:val="single" w:sz="4" w:space="0" w:color="auto"/>
              <w:right w:val="nil"/>
            </w:tcBorders>
            <w:shd w:val="clear" w:color="auto" w:fill="auto"/>
            <w:noWrap/>
            <w:vAlign w:val="center"/>
            <w:hideMark/>
          </w:tcPr>
          <w:p w14:paraId="53FE325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4.6</w:t>
            </w:r>
          </w:p>
        </w:tc>
        <w:tc>
          <w:tcPr>
            <w:tcW w:w="668" w:type="dxa"/>
            <w:tcBorders>
              <w:top w:val="nil"/>
              <w:left w:val="nil"/>
              <w:bottom w:val="single" w:sz="4" w:space="0" w:color="auto"/>
              <w:right w:val="single" w:sz="4" w:space="0" w:color="auto"/>
            </w:tcBorders>
            <w:shd w:val="clear" w:color="auto" w:fill="auto"/>
            <w:noWrap/>
            <w:vAlign w:val="center"/>
            <w:hideMark/>
          </w:tcPr>
          <w:p w14:paraId="59DDDCB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4.3</w:t>
            </w:r>
          </w:p>
        </w:tc>
      </w:tr>
      <w:tr w:rsidR="00852962" w:rsidRPr="00852962" w14:paraId="749F953D" w14:textId="77777777" w:rsidTr="00852962">
        <w:trPr>
          <w:trHeight w:val="222"/>
        </w:trPr>
        <w:tc>
          <w:tcPr>
            <w:tcW w:w="668" w:type="dxa"/>
            <w:vMerge w:val="restart"/>
            <w:tcBorders>
              <w:top w:val="nil"/>
              <w:left w:val="single" w:sz="4" w:space="0" w:color="auto"/>
              <w:bottom w:val="nil"/>
              <w:right w:val="nil"/>
            </w:tcBorders>
            <w:shd w:val="clear" w:color="auto" w:fill="auto"/>
            <w:noWrap/>
            <w:vAlign w:val="center"/>
            <w:hideMark/>
          </w:tcPr>
          <w:p w14:paraId="185F687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2016</w:t>
            </w:r>
          </w:p>
        </w:tc>
        <w:tc>
          <w:tcPr>
            <w:tcW w:w="784" w:type="dxa"/>
            <w:tcBorders>
              <w:top w:val="nil"/>
              <w:left w:val="nil"/>
              <w:bottom w:val="nil"/>
              <w:right w:val="single" w:sz="4" w:space="0" w:color="auto"/>
            </w:tcBorders>
            <w:shd w:val="clear" w:color="auto" w:fill="auto"/>
            <w:noWrap/>
            <w:vAlign w:val="center"/>
            <w:hideMark/>
          </w:tcPr>
          <w:p w14:paraId="1F36EB0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auto" w:fill="auto"/>
            <w:noWrap/>
            <w:vAlign w:val="center"/>
            <w:hideMark/>
          </w:tcPr>
          <w:p w14:paraId="18E350E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102.2</w:t>
            </w:r>
          </w:p>
        </w:tc>
        <w:tc>
          <w:tcPr>
            <w:tcW w:w="660" w:type="dxa"/>
            <w:tcBorders>
              <w:top w:val="nil"/>
              <w:left w:val="nil"/>
              <w:bottom w:val="nil"/>
              <w:right w:val="nil"/>
            </w:tcBorders>
            <w:shd w:val="clear" w:color="auto" w:fill="auto"/>
            <w:noWrap/>
            <w:vAlign w:val="center"/>
            <w:hideMark/>
          </w:tcPr>
          <w:p w14:paraId="63A43E5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102.2</w:t>
            </w:r>
          </w:p>
        </w:tc>
        <w:tc>
          <w:tcPr>
            <w:tcW w:w="659" w:type="dxa"/>
            <w:tcBorders>
              <w:top w:val="nil"/>
              <w:left w:val="nil"/>
              <w:bottom w:val="nil"/>
              <w:right w:val="nil"/>
            </w:tcBorders>
            <w:shd w:val="clear" w:color="auto" w:fill="auto"/>
            <w:noWrap/>
            <w:vAlign w:val="center"/>
            <w:hideMark/>
          </w:tcPr>
          <w:p w14:paraId="2EF913F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108.4</w:t>
            </w:r>
          </w:p>
        </w:tc>
        <w:tc>
          <w:tcPr>
            <w:tcW w:w="659" w:type="dxa"/>
            <w:tcBorders>
              <w:top w:val="nil"/>
              <w:left w:val="nil"/>
              <w:bottom w:val="nil"/>
              <w:right w:val="nil"/>
            </w:tcBorders>
            <w:shd w:val="clear" w:color="auto" w:fill="auto"/>
            <w:noWrap/>
            <w:vAlign w:val="center"/>
            <w:hideMark/>
          </w:tcPr>
          <w:p w14:paraId="248065B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106.4</w:t>
            </w:r>
          </w:p>
        </w:tc>
        <w:tc>
          <w:tcPr>
            <w:tcW w:w="659" w:type="dxa"/>
            <w:tcBorders>
              <w:top w:val="nil"/>
              <w:left w:val="nil"/>
              <w:bottom w:val="nil"/>
              <w:right w:val="nil"/>
            </w:tcBorders>
            <w:shd w:val="clear" w:color="000000" w:fill="C4D79B"/>
            <w:noWrap/>
            <w:vAlign w:val="center"/>
            <w:hideMark/>
          </w:tcPr>
          <w:p w14:paraId="6CCBF08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112.9</w:t>
            </w:r>
          </w:p>
        </w:tc>
        <w:tc>
          <w:tcPr>
            <w:tcW w:w="659" w:type="dxa"/>
            <w:tcBorders>
              <w:top w:val="nil"/>
              <w:left w:val="nil"/>
              <w:bottom w:val="nil"/>
              <w:right w:val="nil"/>
            </w:tcBorders>
            <w:shd w:val="clear" w:color="auto" w:fill="auto"/>
            <w:noWrap/>
            <w:vAlign w:val="center"/>
            <w:hideMark/>
          </w:tcPr>
          <w:p w14:paraId="66D7685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70CA069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108.4</w:t>
            </w:r>
          </w:p>
        </w:tc>
        <w:tc>
          <w:tcPr>
            <w:tcW w:w="659" w:type="dxa"/>
            <w:tcBorders>
              <w:top w:val="nil"/>
              <w:left w:val="nil"/>
              <w:bottom w:val="nil"/>
              <w:right w:val="nil"/>
            </w:tcBorders>
            <w:shd w:val="clear" w:color="auto" w:fill="auto"/>
            <w:noWrap/>
            <w:vAlign w:val="center"/>
            <w:hideMark/>
          </w:tcPr>
          <w:p w14:paraId="116C229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108.5</w:t>
            </w:r>
          </w:p>
        </w:tc>
        <w:tc>
          <w:tcPr>
            <w:tcW w:w="659" w:type="dxa"/>
            <w:tcBorders>
              <w:top w:val="nil"/>
              <w:left w:val="nil"/>
              <w:bottom w:val="nil"/>
              <w:right w:val="nil"/>
            </w:tcBorders>
            <w:shd w:val="clear" w:color="auto" w:fill="auto"/>
            <w:noWrap/>
            <w:vAlign w:val="center"/>
            <w:hideMark/>
          </w:tcPr>
          <w:p w14:paraId="7C78541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2F3E267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107.8</w:t>
            </w:r>
          </w:p>
        </w:tc>
        <w:tc>
          <w:tcPr>
            <w:tcW w:w="659" w:type="dxa"/>
            <w:tcBorders>
              <w:top w:val="nil"/>
              <w:left w:val="nil"/>
              <w:bottom w:val="nil"/>
              <w:right w:val="nil"/>
            </w:tcBorders>
            <w:shd w:val="clear" w:color="auto" w:fill="auto"/>
            <w:noWrap/>
            <w:vAlign w:val="center"/>
            <w:hideMark/>
          </w:tcPr>
          <w:p w14:paraId="7E5724E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108.4</w:t>
            </w:r>
          </w:p>
        </w:tc>
        <w:tc>
          <w:tcPr>
            <w:tcW w:w="668" w:type="dxa"/>
            <w:tcBorders>
              <w:top w:val="nil"/>
              <w:left w:val="nil"/>
              <w:bottom w:val="nil"/>
              <w:right w:val="single" w:sz="4" w:space="0" w:color="auto"/>
            </w:tcBorders>
            <w:shd w:val="clear" w:color="auto" w:fill="auto"/>
            <w:noWrap/>
            <w:vAlign w:val="center"/>
            <w:hideMark/>
          </w:tcPr>
          <w:p w14:paraId="702FCB8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132.0</w:t>
            </w:r>
          </w:p>
        </w:tc>
      </w:tr>
      <w:tr w:rsidR="00852962" w:rsidRPr="00852962" w14:paraId="12E72BE7" w14:textId="77777777" w:rsidTr="00852962">
        <w:trPr>
          <w:trHeight w:val="222"/>
        </w:trPr>
        <w:tc>
          <w:tcPr>
            <w:tcW w:w="668" w:type="dxa"/>
            <w:vMerge/>
            <w:tcBorders>
              <w:top w:val="nil"/>
              <w:left w:val="single" w:sz="4" w:space="0" w:color="auto"/>
              <w:bottom w:val="nil"/>
              <w:right w:val="nil"/>
            </w:tcBorders>
            <w:vAlign w:val="center"/>
            <w:hideMark/>
          </w:tcPr>
          <w:p w14:paraId="292D42F7"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486ED6A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5F2E4F4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2.8</w:t>
            </w:r>
          </w:p>
        </w:tc>
        <w:tc>
          <w:tcPr>
            <w:tcW w:w="660" w:type="dxa"/>
            <w:tcBorders>
              <w:top w:val="nil"/>
              <w:left w:val="nil"/>
              <w:bottom w:val="nil"/>
              <w:right w:val="nil"/>
            </w:tcBorders>
            <w:shd w:val="clear" w:color="auto" w:fill="auto"/>
            <w:noWrap/>
            <w:vAlign w:val="center"/>
            <w:hideMark/>
          </w:tcPr>
          <w:p w14:paraId="0EA3A1D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4.0</w:t>
            </w:r>
          </w:p>
        </w:tc>
        <w:tc>
          <w:tcPr>
            <w:tcW w:w="659" w:type="dxa"/>
            <w:tcBorders>
              <w:top w:val="nil"/>
              <w:left w:val="nil"/>
              <w:bottom w:val="nil"/>
              <w:right w:val="nil"/>
            </w:tcBorders>
            <w:shd w:val="clear" w:color="auto" w:fill="auto"/>
            <w:noWrap/>
            <w:vAlign w:val="center"/>
            <w:hideMark/>
          </w:tcPr>
          <w:p w14:paraId="3683BF0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5.8</w:t>
            </w:r>
          </w:p>
        </w:tc>
        <w:tc>
          <w:tcPr>
            <w:tcW w:w="659" w:type="dxa"/>
            <w:tcBorders>
              <w:top w:val="nil"/>
              <w:left w:val="nil"/>
              <w:bottom w:val="nil"/>
              <w:right w:val="nil"/>
            </w:tcBorders>
            <w:shd w:val="clear" w:color="auto" w:fill="auto"/>
            <w:noWrap/>
            <w:vAlign w:val="center"/>
            <w:hideMark/>
          </w:tcPr>
          <w:p w14:paraId="7743F27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3.5</w:t>
            </w:r>
          </w:p>
        </w:tc>
        <w:tc>
          <w:tcPr>
            <w:tcW w:w="659" w:type="dxa"/>
            <w:tcBorders>
              <w:top w:val="nil"/>
              <w:left w:val="nil"/>
              <w:bottom w:val="nil"/>
              <w:right w:val="nil"/>
            </w:tcBorders>
            <w:shd w:val="clear" w:color="000000" w:fill="C4D79B"/>
            <w:noWrap/>
            <w:vAlign w:val="center"/>
            <w:hideMark/>
          </w:tcPr>
          <w:p w14:paraId="04B99C4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3.6</w:t>
            </w:r>
          </w:p>
        </w:tc>
        <w:tc>
          <w:tcPr>
            <w:tcW w:w="659" w:type="dxa"/>
            <w:tcBorders>
              <w:top w:val="nil"/>
              <w:left w:val="nil"/>
              <w:bottom w:val="nil"/>
              <w:right w:val="nil"/>
            </w:tcBorders>
            <w:shd w:val="clear" w:color="auto" w:fill="auto"/>
            <w:noWrap/>
            <w:vAlign w:val="center"/>
            <w:hideMark/>
          </w:tcPr>
          <w:p w14:paraId="5FADB3C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25D78F0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5997957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274D51A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6.5</w:t>
            </w:r>
          </w:p>
        </w:tc>
        <w:tc>
          <w:tcPr>
            <w:tcW w:w="659" w:type="dxa"/>
            <w:tcBorders>
              <w:top w:val="nil"/>
              <w:left w:val="nil"/>
              <w:bottom w:val="nil"/>
              <w:right w:val="nil"/>
            </w:tcBorders>
            <w:shd w:val="clear" w:color="auto" w:fill="auto"/>
            <w:noWrap/>
            <w:vAlign w:val="center"/>
            <w:hideMark/>
          </w:tcPr>
          <w:p w14:paraId="5C42CE6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9F4677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3.5</w:t>
            </w:r>
          </w:p>
        </w:tc>
        <w:tc>
          <w:tcPr>
            <w:tcW w:w="668" w:type="dxa"/>
            <w:tcBorders>
              <w:top w:val="nil"/>
              <w:left w:val="nil"/>
              <w:bottom w:val="nil"/>
              <w:right w:val="single" w:sz="4" w:space="0" w:color="auto"/>
            </w:tcBorders>
            <w:shd w:val="clear" w:color="auto" w:fill="auto"/>
            <w:noWrap/>
            <w:vAlign w:val="center"/>
            <w:hideMark/>
          </w:tcPr>
          <w:p w14:paraId="0031D5E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4.8</w:t>
            </w:r>
          </w:p>
        </w:tc>
      </w:tr>
      <w:tr w:rsidR="00852962" w:rsidRPr="00852962" w14:paraId="623D81E4"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98BE68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2017</w:t>
            </w:r>
          </w:p>
        </w:tc>
        <w:tc>
          <w:tcPr>
            <w:tcW w:w="784" w:type="dxa"/>
            <w:tcBorders>
              <w:top w:val="single" w:sz="4" w:space="0" w:color="auto"/>
              <w:left w:val="nil"/>
              <w:bottom w:val="nil"/>
              <w:right w:val="single" w:sz="4" w:space="0" w:color="auto"/>
            </w:tcBorders>
            <w:shd w:val="clear" w:color="auto" w:fill="auto"/>
            <w:noWrap/>
            <w:vAlign w:val="center"/>
            <w:hideMark/>
          </w:tcPr>
          <w:p w14:paraId="1716C3C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5F6272D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5EDC034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3977D4C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111.5</w:t>
            </w:r>
          </w:p>
        </w:tc>
        <w:tc>
          <w:tcPr>
            <w:tcW w:w="659" w:type="dxa"/>
            <w:tcBorders>
              <w:top w:val="single" w:sz="4" w:space="0" w:color="auto"/>
              <w:left w:val="nil"/>
              <w:bottom w:val="nil"/>
              <w:right w:val="nil"/>
            </w:tcBorders>
            <w:shd w:val="clear" w:color="auto" w:fill="auto"/>
            <w:noWrap/>
            <w:vAlign w:val="center"/>
            <w:hideMark/>
          </w:tcPr>
          <w:p w14:paraId="452B93E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107.5</w:t>
            </w:r>
          </w:p>
        </w:tc>
        <w:tc>
          <w:tcPr>
            <w:tcW w:w="659" w:type="dxa"/>
            <w:tcBorders>
              <w:top w:val="single" w:sz="4" w:space="0" w:color="auto"/>
              <w:left w:val="nil"/>
              <w:bottom w:val="nil"/>
              <w:right w:val="nil"/>
            </w:tcBorders>
            <w:shd w:val="clear" w:color="000000" w:fill="C4D79B"/>
            <w:noWrap/>
            <w:vAlign w:val="center"/>
            <w:hideMark/>
          </w:tcPr>
          <w:p w14:paraId="33D650E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115.3</w:t>
            </w:r>
          </w:p>
        </w:tc>
        <w:tc>
          <w:tcPr>
            <w:tcW w:w="659" w:type="dxa"/>
            <w:tcBorders>
              <w:top w:val="single" w:sz="4" w:space="0" w:color="auto"/>
              <w:left w:val="nil"/>
              <w:bottom w:val="nil"/>
              <w:right w:val="nil"/>
            </w:tcBorders>
            <w:shd w:val="clear" w:color="auto" w:fill="auto"/>
            <w:noWrap/>
            <w:vAlign w:val="center"/>
            <w:hideMark/>
          </w:tcPr>
          <w:p w14:paraId="3FE9652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111.5</w:t>
            </w:r>
          </w:p>
        </w:tc>
        <w:tc>
          <w:tcPr>
            <w:tcW w:w="659" w:type="dxa"/>
            <w:tcBorders>
              <w:top w:val="single" w:sz="4" w:space="0" w:color="auto"/>
              <w:left w:val="nil"/>
              <w:bottom w:val="nil"/>
              <w:right w:val="nil"/>
            </w:tcBorders>
            <w:shd w:val="clear" w:color="auto" w:fill="auto"/>
            <w:noWrap/>
            <w:vAlign w:val="center"/>
            <w:hideMark/>
          </w:tcPr>
          <w:p w14:paraId="77DBA4A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108.4</w:t>
            </w:r>
          </w:p>
        </w:tc>
        <w:tc>
          <w:tcPr>
            <w:tcW w:w="659" w:type="dxa"/>
            <w:tcBorders>
              <w:top w:val="single" w:sz="4" w:space="0" w:color="auto"/>
              <w:left w:val="nil"/>
              <w:bottom w:val="nil"/>
              <w:right w:val="nil"/>
            </w:tcBorders>
            <w:shd w:val="clear" w:color="auto" w:fill="auto"/>
            <w:noWrap/>
            <w:vAlign w:val="center"/>
            <w:hideMark/>
          </w:tcPr>
          <w:p w14:paraId="40494A3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110.7</w:t>
            </w:r>
          </w:p>
        </w:tc>
        <w:tc>
          <w:tcPr>
            <w:tcW w:w="659" w:type="dxa"/>
            <w:tcBorders>
              <w:top w:val="single" w:sz="4" w:space="0" w:color="auto"/>
              <w:left w:val="nil"/>
              <w:bottom w:val="nil"/>
              <w:right w:val="nil"/>
            </w:tcBorders>
            <w:shd w:val="clear" w:color="auto" w:fill="auto"/>
            <w:noWrap/>
            <w:vAlign w:val="center"/>
            <w:hideMark/>
          </w:tcPr>
          <w:p w14:paraId="56B0802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4C3090F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109.3</w:t>
            </w:r>
          </w:p>
        </w:tc>
        <w:tc>
          <w:tcPr>
            <w:tcW w:w="659" w:type="dxa"/>
            <w:tcBorders>
              <w:top w:val="single" w:sz="4" w:space="0" w:color="auto"/>
              <w:left w:val="nil"/>
              <w:bottom w:val="nil"/>
              <w:right w:val="nil"/>
            </w:tcBorders>
            <w:shd w:val="clear" w:color="auto" w:fill="auto"/>
            <w:noWrap/>
            <w:vAlign w:val="center"/>
            <w:hideMark/>
          </w:tcPr>
          <w:p w14:paraId="7E36FE5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111.3</w:t>
            </w:r>
          </w:p>
        </w:tc>
        <w:tc>
          <w:tcPr>
            <w:tcW w:w="668" w:type="dxa"/>
            <w:tcBorders>
              <w:top w:val="single" w:sz="4" w:space="0" w:color="auto"/>
              <w:left w:val="nil"/>
              <w:bottom w:val="nil"/>
              <w:right w:val="single" w:sz="4" w:space="0" w:color="auto"/>
            </w:tcBorders>
            <w:shd w:val="clear" w:color="auto" w:fill="auto"/>
            <w:noWrap/>
            <w:vAlign w:val="center"/>
            <w:hideMark/>
          </w:tcPr>
          <w:p w14:paraId="1EC7636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131.9</w:t>
            </w:r>
          </w:p>
        </w:tc>
      </w:tr>
      <w:tr w:rsidR="00852962" w:rsidRPr="00852962" w14:paraId="347E55BF"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6CAD045B"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448D12E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731B7E9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00D429B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1.5</w:t>
            </w:r>
          </w:p>
        </w:tc>
        <w:tc>
          <w:tcPr>
            <w:tcW w:w="659" w:type="dxa"/>
            <w:tcBorders>
              <w:top w:val="nil"/>
              <w:left w:val="nil"/>
              <w:bottom w:val="single" w:sz="4" w:space="0" w:color="auto"/>
              <w:right w:val="nil"/>
            </w:tcBorders>
            <w:shd w:val="clear" w:color="auto" w:fill="auto"/>
            <w:noWrap/>
            <w:vAlign w:val="center"/>
            <w:hideMark/>
          </w:tcPr>
          <w:p w14:paraId="6650460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2.8</w:t>
            </w:r>
          </w:p>
        </w:tc>
        <w:tc>
          <w:tcPr>
            <w:tcW w:w="659" w:type="dxa"/>
            <w:tcBorders>
              <w:top w:val="nil"/>
              <w:left w:val="nil"/>
              <w:bottom w:val="single" w:sz="4" w:space="0" w:color="auto"/>
              <w:right w:val="nil"/>
            </w:tcBorders>
            <w:shd w:val="clear" w:color="auto" w:fill="auto"/>
            <w:noWrap/>
            <w:vAlign w:val="center"/>
            <w:hideMark/>
          </w:tcPr>
          <w:p w14:paraId="309BC63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000000" w:fill="C4D79B"/>
            <w:noWrap/>
            <w:vAlign w:val="center"/>
            <w:hideMark/>
          </w:tcPr>
          <w:p w14:paraId="630F6C4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61BA43F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1.7</w:t>
            </w:r>
          </w:p>
        </w:tc>
        <w:tc>
          <w:tcPr>
            <w:tcW w:w="659" w:type="dxa"/>
            <w:tcBorders>
              <w:top w:val="nil"/>
              <w:left w:val="nil"/>
              <w:bottom w:val="single" w:sz="4" w:space="0" w:color="auto"/>
              <w:right w:val="nil"/>
            </w:tcBorders>
            <w:shd w:val="clear" w:color="auto" w:fill="auto"/>
            <w:noWrap/>
            <w:vAlign w:val="center"/>
            <w:hideMark/>
          </w:tcPr>
          <w:p w14:paraId="41CD9EC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0.1</w:t>
            </w:r>
          </w:p>
        </w:tc>
        <w:tc>
          <w:tcPr>
            <w:tcW w:w="659" w:type="dxa"/>
            <w:tcBorders>
              <w:top w:val="nil"/>
              <w:left w:val="nil"/>
              <w:bottom w:val="single" w:sz="4" w:space="0" w:color="auto"/>
              <w:right w:val="nil"/>
            </w:tcBorders>
            <w:shd w:val="clear" w:color="auto" w:fill="auto"/>
            <w:noWrap/>
            <w:vAlign w:val="center"/>
            <w:hideMark/>
          </w:tcPr>
          <w:p w14:paraId="0851793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38A4C21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23B60D2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1A223D4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2.7</w:t>
            </w:r>
          </w:p>
        </w:tc>
        <w:tc>
          <w:tcPr>
            <w:tcW w:w="668" w:type="dxa"/>
            <w:tcBorders>
              <w:top w:val="nil"/>
              <w:left w:val="nil"/>
              <w:bottom w:val="single" w:sz="4" w:space="0" w:color="auto"/>
              <w:right w:val="single" w:sz="4" w:space="0" w:color="auto"/>
            </w:tcBorders>
            <w:shd w:val="clear" w:color="auto" w:fill="auto"/>
            <w:noWrap/>
            <w:vAlign w:val="center"/>
            <w:hideMark/>
          </w:tcPr>
          <w:p w14:paraId="2E95663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-0.1</w:t>
            </w:r>
          </w:p>
        </w:tc>
      </w:tr>
      <w:tr w:rsidR="00852962" w:rsidRPr="00852962" w14:paraId="317F0034"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DAC421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2018</w:t>
            </w:r>
          </w:p>
        </w:tc>
        <w:tc>
          <w:tcPr>
            <w:tcW w:w="784" w:type="dxa"/>
            <w:tcBorders>
              <w:top w:val="nil"/>
              <w:left w:val="nil"/>
              <w:bottom w:val="nil"/>
              <w:right w:val="single" w:sz="4" w:space="0" w:color="auto"/>
            </w:tcBorders>
            <w:shd w:val="clear" w:color="auto" w:fill="auto"/>
            <w:noWrap/>
            <w:vAlign w:val="center"/>
            <w:hideMark/>
          </w:tcPr>
          <w:p w14:paraId="04709E6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6F79059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107.0</w:t>
            </w:r>
          </w:p>
        </w:tc>
        <w:tc>
          <w:tcPr>
            <w:tcW w:w="660" w:type="dxa"/>
            <w:tcBorders>
              <w:top w:val="nil"/>
              <w:left w:val="nil"/>
              <w:bottom w:val="nil"/>
              <w:right w:val="nil"/>
            </w:tcBorders>
            <w:shd w:val="clear" w:color="auto" w:fill="auto"/>
            <w:noWrap/>
            <w:vAlign w:val="center"/>
            <w:hideMark/>
          </w:tcPr>
          <w:p w14:paraId="10D96D7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106.9</w:t>
            </w:r>
          </w:p>
        </w:tc>
        <w:tc>
          <w:tcPr>
            <w:tcW w:w="659" w:type="dxa"/>
            <w:tcBorders>
              <w:top w:val="nil"/>
              <w:left w:val="nil"/>
              <w:bottom w:val="nil"/>
              <w:right w:val="nil"/>
            </w:tcBorders>
            <w:shd w:val="clear" w:color="auto" w:fill="auto"/>
            <w:noWrap/>
            <w:vAlign w:val="center"/>
            <w:hideMark/>
          </w:tcPr>
          <w:p w14:paraId="00486963"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114.1</w:t>
            </w:r>
          </w:p>
        </w:tc>
        <w:tc>
          <w:tcPr>
            <w:tcW w:w="659" w:type="dxa"/>
            <w:tcBorders>
              <w:top w:val="nil"/>
              <w:left w:val="nil"/>
              <w:bottom w:val="nil"/>
              <w:right w:val="nil"/>
            </w:tcBorders>
            <w:shd w:val="clear" w:color="auto" w:fill="auto"/>
            <w:noWrap/>
            <w:vAlign w:val="center"/>
            <w:hideMark/>
          </w:tcPr>
          <w:p w14:paraId="74FFAC9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112.0</w:t>
            </w:r>
          </w:p>
        </w:tc>
        <w:tc>
          <w:tcPr>
            <w:tcW w:w="659" w:type="dxa"/>
            <w:tcBorders>
              <w:top w:val="nil"/>
              <w:left w:val="nil"/>
              <w:bottom w:val="nil"/>
              <w:right w:val="nil"/>
            </w:tcBorders>
            <w:shd w:val="clear" w:color="000000" w:fill="C4D79B"/>
            <w:noWrap/>
            <w:vAlign w:val="center"/>
            <w:hideMark/>
          </w:tcPr>
          <w:p w14:paraId="0F8C19F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120.4</w:t>
            </w:r>
          </w:p>
        </w:tc>
        <w:tc>
          <w:tcPr>
            <w:tcW w:w="659" w:type="dxa"/>
            <w:tcBorders>
              <w:top w:val="nil"/>
              <w:left w:val="nil"/>
              <w:bottom w:val="nil"/>
              <w:right w:val="nil"/>
            </w:tcBorders>
            <w:shd w:val="clear" w:color="auto" w:fill="auto"/>
            <w:noWrap/>
            <w:vAlign w:val="center"/>
            <w:hideMark/>
          </w:tcPr>
          <w:p w14:paraId="0CCCA7C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113.9</w:t>
            </w:r>
          </w:p>
        </w:tc>
        <w:tc>
          <w:tcPr>
            <w:tcW w:w="659" w:type="dxa"/>
            <w:tcBorders>
              <w:top w:val="nil"/>
              <w:left w:val="nil"/>
              <w:bottom w:val="nil"/>
              <w:right w:val="nil"/>
            </w:tcBorders>
            <w:shd w:val="clear" w:color="auto" w:fill="auto"/>
            <w:noWrap/>
            <w:vAlign w:val="center"/>
            <w:hideMark/>
          </w:tcPr>
          <w:p w14:paraId="224DDDC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112.4</w:t>
            </w:r>
          </w:p>
        </w:tc>
        <w:tc>
          <w:tcPr>
            <w:tcW w:w="659" w:type="dxa"/>
            <w:tcBorders>
              <w:top w:val="nil"/>
              <w:left w:val="nil"/>
              <w:bottom w:val="nil"/>
              <w:right w:val="nil"/>
            </w:tcBorders>
            <w:shd w:val="clear" w:color="auto" w:fill="auto"/>
            <w:noWrap/>
            <w:vAlign w:val="center"/>
            <w:hideMark/>
          </w:tcPr>
          <w:p w14:paraId="2041FCA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115.3</w:t>
            </w:r>
          </w:p>
        </w:tc>
        <w:tc>
          <w:tcPr>
            <w:tcW w:w="659" w:type="dxa"/>
            <w:tcBorders>
              <w:top w:val="nil"/>
              <w:left w:val="nil"/>
              <w:bottom w:val="nil"/>
              <w:right w:val="nil"/>
            </w:tcBorders>
            <w:shd w:val="clear" w:color="auto" w:fill="auto"/>
            <w:noWrap/>
            <w:vAlign w:val="center"/>
            <w:hideMark/>
          </w:tcPr>
          <w:p w14:paraId="1E855E1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111.0</w:t>
            </w:r>
          </w:p>
        </w:tc>
        <w:tc>
          <w:tcPr>
            <w:tcW w:w="659" w:type="dxa"/>
            <w:tcBorders>
              <w:top w:val="nil"/>
              <w:left w:val="nil"/>
              <w:bottom w:val="nil"/>
              <w:right w:val="nil"/>
            </w:tcBorders>
            <w:shd w:val="clear" w:color="auto" w:fill="auto"/>
            <w:noWrap/>
            <w:vAlign w:val="center"/>
            <w:hideMark/>
          </w:tcPr>
          <w:p w14:paraId="7D777BA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113.0</w:t>
            </w:r>
          </w:p>
        </w:tc>
        <w:tc>
          <w:tcPr>
            <w:tcW w:w="659" w:type="dxa"/>
            <w:tcBorders>
              <w:top w:val="nil"/>
              <w:left w:val="nil"/>
              <w:bottom w:val="nil"/>
              <w:right w:val="nil"/>
            </w:tcBorders>
            <w:shd w:val="clear" w:color="auto" w:fill="auto"/>
            <w:noWrap/>
            <w:vAlign w:val="center"/>
            <w:hideMark/>
          </w:tcPr>
          <w:p w14:paraId="6BCEE98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115.1</w:t>
            </w:r>
          </w:p>
        </w:tc>
        <w:tc>
          <w:tcPr>
            <w:tcW w:w="668" w:type="dxa"/>
            <w:tcBorders>
              <w:top w:val="nil"/>
              <w:left w:val="nil"/>
              <w:bottom w:val="nil"/>
              <w:right w:val="single" w:sz="4" w:space="0" w:color="auto"/>
            </w:tcBorders>
            <w:shd w:val="clear" w:color="auto" w:fill="auto"/>
            <w:noWrap/>
            <w:vAlign w:val="center"/>
            <w:hideMark/>
          </w:tcPr>
          <w:p w14:paraId="7BE23E5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135.6</w:t>
            </w:r>
          </w:p>
        </w:tc>
      </w:tr>
      <w:tr w:rsidR="00852962" w:rsidRPr="00852962" w14:paraId="76D734F6"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03787F4"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1D679D4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2B091CD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17A3FD2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auto" w:fill="auto"/>
            <w:noWrap/>
            <w:vAlign w:val="center"/>
            <w:hideMark/>
          </w:tcPr>
          <w:p w14:paraId="0932CE7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auto" w:fill="auto"/>
            <w:noWrap/>
            <w:vAlign w:val="center"/>
            <w:hideMark/>
          </w:tcPr>
          <w:p w14:paraId="7D270E7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4.2</w:t>
            </w:r>
          </w:p>
        </w:tc>
        <w:tc>
          <w:tcPr>
            <w:tcW w:w="659" w:type="dxa"/>
            <w:tcBorders>
              <w:top w:val="nil"/>
              <w:left w:val="nil"/>
              <w:bottom w:val="single" w:sz="4" w:space="0" w:color="auto"/>
              <w:right w:val="nil"/>
            </w:tcBorders>
            <w:shd w:val="clear" w:color="000000" w:fill="C4D79B"/>
            <w:noWrap/>
            <w:vAlign w:val="center"/>
            <w:hideMark/>
          </w:tcPr>
          <w:p w14:paraId="5E6281E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4.4</w:t>
            </w:r>
          </w:p>
        </w:tc>
        <w:tc>
          <w:tcPr>
            <w:tcW w:w="659" w:type="dxa"/>
            <w:tcBorders>
              <w:top w:val="nil"/>
              <w:left w:val="nil"/>
              <w:bottom w:val="single" w:sz="4" w:space="0" w:color="auto"/>
              <w:right w:val="nil"/>
            </w:tcBorders>
            <w:shd w:val="clear" w:color="auto" w:fill="auto"/>
            <w:noWrap/>
            <w:vAlign w:val="center"/>
            <w:hideMark/>
          </w:tcPr>
          <w:p w14:paraId="041F892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48DDD3D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3.6</w:t>
            </w:r>
          </w:p>
        </w:tc>
        <w:tc>
          <w:tcPr>
            <w:tcW w:w="659" w:type="dxa"/>
            <w:tcBorders>
              <w:top w:val="nil"/>
              <w:left w:val="nil"/>
              <w:bottom w:val="single" w:sz="4" w:space="0" w:color="auto"/>
              <w:right w:val="nil"/>
            </w:tcBorders>
            <w:shd w:val="clear" w:color="auto" w:fill="auto"/>
            <w:noWrap/>
            <w:vAlign w:val="center"/>
            <w:hideMark/>
          </w:tcPr>
          <w:p w14:paraId="0114D92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4.2</w:t>
            </w:r>
          </w:p>
        </w:tc>
        <w:tc>
          <w:tcPr>
            <w:tcW w:w="659" w:type="dxa"/>
            <w:tcBorders>
              <w:top w:val="nil"/>
              <w:left w:val="nil"/>
              <w:bottom w:val="single" w:sz="4" w:space="0" w:color="auto"/>
              <w:right w:val="nil"/>
            </w:tcBorders>
            <w:shd w:val="clear" w:color="auto" w:fill="auto"/>
            <w:noWrap/>
            <w:vAlign w:val="center"/>
            <w:hideMark/>
          </w:tcPr>
          <w:p w14:paraId="17DBF5F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6C7849D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3.4</w:t>
            </w:r>
          </w:p>
        </w:tc>
        <w:tc>
          <w:tcPr>
            <w:tcW w:w="659" w:type="dxa"/>
            <w:tcBorders>
              <w:top w:val="nil"/>
              <w:left w:val="nil"/>
              <w:bottom w:val="single" w:sz="4" w:space="0" w:color="auto"/>
              <w:right w:val="nil"/>
            </w:tcBorders>
            <w:shd w:val="clear" w:color="auto" w:fill="auto"/>
            <w:noWrap/>
            <w:vAlign w:val="center"/>
            <w:hideMark/>
          </w:tcPr>
          <w:p w14:paraId="5DB6AB0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3.5</w:t>
            </w:r>
          </w:p>
        </w:tc>
        <w:tc>
          <w:tcPr>
            <w:tcW w:w="668" w:type="dxa"/>
            <w:tcBorders>
              <w:top w:val="nil"/>
              <w:left w:val="nil"/>
              <w:bottom w:val="single" w:sz="4" w:space="0" w:color="auto"/>
              <w:right w:val="single" w:sz="4" w:space="0" w:color="auto"/>
            </w:tcBorders>
            <w:shd w:val="clear" w:color="auto" w:fill="auto"/>
            <w:noWrap/>
            <w:vAlign w:val="center"/>
            <w:hideMark/>
          </w:tcPr>
          <w:p w14:paraId="43CBA71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2.8</w:t>
            </w:r>
          </w:p>
        </w:tc>
      </w:tr>
      <w:tr w:rsidR="00852962" w:rsidRPr="00852962" w14:paraId="1C7AC323"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917C65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2019</w:t>
            </w:r>
          </w:p>
        </w:tc>
        <w:tc>
          <w:tcPr>
            <w:tcW w:w="784" w:type="dxa"/>
            <w:tcBorders>
              <w:top w:val="nil"/>
              <w:left w:val="nil"/>
              <w:bottom w:val="nil"/>
              <w:right w:val="single" w:sz="4" w:space="0" w:color="auto"/>
            </w:tcBorders>
            <w:shd w:val="clear" w:color="auto" w:fill="auto"/>
            <w:noWrap/>
            <w:vAlign w:val="center"/>
            <w:hideMark/>
          </w:tcPr>
          <w:p w14:paraId="6021C78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0AEFAB6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111.5</w:t>
            </w:r>
          </w:p>
        </w:tc>
        <w:tc>
          <w:tcPr>
            <w:tcW w:w="660" w:type="dxa"/>
            <w:tcBorders>
              <w:top w:val="nil"/>
              <w:left w:val="nil"/>
              <w:bottom w:val="nil"/>
              <w:right w:val="nil"/>
            </w:tcBorders>
            <w:shd w:val="clear" w:color="auto" w:fill="auto"/>
            <w:noWrap/>
            <w:vAlign w:val="center"/>
            <w:hideMark/>
          </w:tcPr>
          <w:p w14:paraId="278E8A5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110.9</w:t>
            </w:r>
          </w:p>
        </w:tc>
        <w:tc>
          <w:tcPr>
            <w:tcW w:w="659" w:type="dxa"/>
            <w:tcBorders>
              <w:top w:val="nil"/>
              <w:left w:val="nil"/>
              <w:bottom w:val="nil"/>
              <w:right w:val="nil"/>
            </w:tcBorders>
            <w:shd w:val="clear" w:color="auto" w:fill="auto"/>
            <w:noWrap/>
            <w:vAlign w:val="center"/>
            <w:hideMark/>
          </w:tcPr>
          <w:p w14:paraId="225D3CB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116.3</w:t>
            </w:r>
          </w:p>
        </w:tc>
        <w:tc>
          <w:tcPr>
            <w:tcW w:w="659" w:type="dxa"/>
            <w:tcBorders>
              <w:top w:val="nil"/>
              <w:left w:val="nil"/>
              <w:bottom w:val="nil"/>
              <w:right w:val="nil"/>
            </w:tcBorders>
            <w:shd w:val="clear" w:color="auto" w:fill="auto"/>
            <w:noWrap/>
            <w:vAlign w:val="center"/>
            <w:hideMark/>
          </w:tcPr>
          <w:p w14:paraId="6DEEF28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115.4</w:t>
            </w:r>
          </w:p>
        </w:tc>
        <w:tc>
          <w:tcPr>
            <w:tcW w:w="659" w:type="dxa"/>
            <w:tcBorders>
              <w:top w:val="nil"/>
              <w:left w:val="nil"/>
              <w:bottom w:val="nil"/>
              <w:right w:val="nil"/>
            </w:tcBorders>
            <w:shd w:val="clear" w:color="000000" w:fill="C4D79B"/>
            <w:noWrap/>
            <w:vAlign w:val="center"/>
            <w:hideMark/>
          </w:tcPr>
          <w:p w14:paraId="02DBDC4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123.9</w:t>
            </w:r>
          </w:p>
        </w:tc>
        <w:tc>
          <w:tcPr>
            <w:tcW w:w="659" w:type="dxa"/>
            <w:tcBorders>
              <w:top w:val="nil"/>
              <w:left w:val="nil"/>
              <w:bottom w:val="nil"/>
              <w:right w:val="nil"/>
            </w:tcBorders>
            <w:shd w:val="clear" w:color="auto" w:fill="auto"/>
            <w:noWrap/>
            <w:vAlign w:val="center"/>
            <w:hideMark/>
          </w:tcPr>
          <w:p w14:paraId="479F17C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115.2</w:t>
            </w:r>
          </w:p>
        </w:tc>
        <w:tc>
          <w:tcPr>
            <w:tcW w:w="659" w:type="dxa"/>
            <w:tcBorders>
              <w:top w:val="nil"/>
              <w:left w:val="nil"/>
              <w:bottom w:val="nil"/>
              <w:right w:val="nil"/>
            </w:tcBorders>
            <w:shd w:val="clear" w:color="auto" w:fill="auto"/>
            <w:noWrap/>
            <w:vAlign w:val="center"/>
            <w:hideMark/>
          </w:tcPr>
          <w:p w14:paraId="3D5F90F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115.0</w:t>
            </w:r>
          </w:p>
        </w:tc>
        <w:tc>
          <w:tcPr>
            <w:tcW w:w="659" w:type="dxa"/>
            <w:tcBorders>
              <w:top w:val="nil"/>
              <w:left w:val="nil"/>
              <w:bottom w:val="nil"/>
              <w:right w:val="nil"/>
            </w:tcBorders>
            <w:shd w:val="clear" w:color="auto" w:fill="auto"/>
            <w:noWrap/>
            <w:vAlign w:val="center"/>
            <w:hideMark/>
          </w:tcPr>
          <w:p w14:paraId="164977F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117.8</w:t>
            </w:r>
          </w:p>
        </w:tc>
        <w:tc>
          <w:tcPr>
            <w:tcW w:w="659" w:type="dxa"/>
            <w:tcBorders>
              <w:top w:val="nil"/>
              <w:left w:val="nil"/>
              <w:bottom w:val="nil"/>
              <w:right w:val="nil"/>
            </w:tcBorders>
            <w:shd w:val="clear" w:color="auto" w:fill="auto"/>
            <w:noWrap/>
            <w:vAlign w:val="center"/>
            <w:hideMark/>
          </w:tcPr>
          <w:p w14:paraId="1B8C6B4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115.2</w:t>
            </w:r>
          </w:p>
        </w:tc>
        <w:tc>
          <w:tcPr>
            <w:tcW w:w="659" w:type="dxa"/>
            <w:tcBorders>
              <w:top w:val="nil"/>
              <w:left w:val="nil"/>
              <w:bottom w:val="nil"/>
              <w:right w:val="nil"/>
            </w:tcBorders>
            <w:shd w:val="clear" w:color="auto" w:fill="auto"/>
            <w:noWrap/>
            <w:vAlign w:val="center"/>
            <w:hideMark/>
          </w:tcPr>
          <w:p w14:paraId="74FCDBE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117.6</w:t>
            </w:r>
          </w:p>
        </w:tc>
        <w:tc>
          <w:tcPr>
            <w:tcW w:w="659" w:type="dxa"/>
            <w:tcBorders>
              <w:top w:val="nil"/>
              <w:left w:val="nil"/>
              <w:bottom w:val="nil"/>
              <w:right w:val="nil"/>
            </w:tcBorders>
            <w:shd w:val="clear" w:color="auto" w:fill="auto"/>
            <w:noWrap/>
            <w:vAlign w:val="center"/>
            <w:hideMark/>
          </w:tcPr>
          <w:p w14:paraId="238E48C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116.8</w:t>
            </w:r>
          </w:p>
        </w:tc>
        <w:tc>
          <w:tcPr>
            <w:tcW w:w="668" w:type="dxa"/>
            <w:tcBorders>
              <w:top w:val="nil"/>
              <w:left w:val="nil"/>
              <w:bottom w:val="nil"/>
              <w:right w:val="single" w:sz="4" w:space="0" w:color="auto"/>
            </w:tcBorders>
            <w:shd w:val="clear" w:color="auto" w:fill="auto"/>
            <w:noWrap/>
            <w:vAlign w:val="center"/>
            <w:hideMark/>
          </w:tcPr>
          <w:p w14:paraId="248BA662"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140.6</w:t>
            </w:r>
          </w:p>
        </w:tc>
      </w:tr>
      <w:tr w:rsidR="00852962" w:rsidRPr="00852962" w14:paraId="61931B4F"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2C9CDEC5"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191B093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3D3DD1D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4.1</w:t>
            </w:r>
          </w:p>
        </w:tc>
        <w:tc>
          <w:tcPr>
            <w:tcW w:w="660" w:type="dxa"/>
            <w:tcBorders>
              <w:top w:val="nil"/>
              <w:left w:val="nil"/>
              <w:bottom w:val="single" w:sz="4" w:space="0" w:color="auto"/>
              <w:right w:val="nil"/>
            </w:tcBorders>
            <w:shd w:val="clear" w:color="auto" w:fill="auto"/>
            <w:noWrap/>
            <w:vAlign w:val="center"/>
            <w:hideMark/>
          </w:tcPr>
          <w:p w14:paraId="07A8ABF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3.8</w:t>
            </w:r>
          </w:p>
        </w:tc>
        <w:tc>
          <w:tcPr>
            <w:tcW w:w="659" w:type="dxa"/>
            <w:tcBorders>
              <w:top w:val="nil"/>
              <w:left w:val="nil"/>
              <w:bottom w:val="single" w:sz="4" w:space="0" w:color="auto"/>
              <w:right w:val="nil"/>
            </w:tcBorders>
            <w:shd w:val="clear" w:color="auto" w:fill="auto"/>
            <w:noWrap/>
            <w:vAlign w:val="center"/>
            <w:hideMark/>
          </w:tcPr>
          <w:p w14:paraId="6CD990F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719B786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000000" w:fill="C4D79B"/>
            <w:noWrap/>
            <w:vAlign w:val="center"/>
            <w:hideMark/>
          </w:tcPr>
          <w:p w14:paraId="7467AAA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2.9</w:t>
            </w:r>
          </w:p>
        </w:tc>
        <w:tc>
          <w:tcPr>
            <w:tcW w:w="659" w:type="dxa"/>
            <w:tcBorders>
              <w:top w:val="nil"/>
              <w:left w:val="nil"/>
              <w:bottom w:val="single" w:sz="4" w:space="0" w:color="auto"/>
              <w:right w:val="nil"/>
            </w:tcBorders>
            <w:shd w:val="clear" w:color="auto" w:fill="auto"/>
            <w:noWrap/>
            <w:vAlign w:val="center"/>
            <w:hideMark/>
          </w:tcPr>
          <w:p w14:paraId="480B171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w:t>
            </w:r>
          </w:p>
        </w:tc>
        <w:tc>
          <w:tcPr>
            <w:tcW w:w="659" w:type="dxa"/>
            <w:tcBorders>
              <w:top w:val="nil"/>
              <w:left w:val="nil"/>
              <w:bottom w:val="single" w:sz="4" w:space="0" w:color="auto"/>
              <w:right w:val="nil"/>
            </w:tcBorders>
            <w:shd w:val="clear" w:color="auto" w:fill="auto"/>
            <w:noWrap/>
            <w:vAlign w:val="center"/>
            <w:hideMark/>
          </w:tcPr>
          <w:p w14:paraId="6C81DDBD"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4D249CB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109BDDB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3.8</w:t>
            </w:r>
          </w:p>
        </w:tc>
        <w:tc>
          <w:tcPr>
            <w:tcW w:w="659" w:type="dxa"/>
            <w:tcBorders>
              <w:top w:val="nil"/>
              <w:left w:val="nil"/>
              <w:bottom w:val="single" w:sz="4" w:space="0" w:color="auto"/>
              <w:right w:val="nil"/>
            </w:tcBorders>
            <w:shd w:val="clear" w:color="auto" w:fill="auto"/>
            <w:noWrap/>
            <w:vAlign w:val="center"/>
            <w:hideMark/>
          </w:tcPr>
          <w:p w14:paraId="469462E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4.1</w:t>
            </w:r>
          </w:p>
        </w:tc>
        <w:tc>
          <w:tcPr>
            <w:tcW w:w="659" w:type="dxa"/>
            <w:tcBorders>
              <w:top w:val="nil"/>
              <w:left w:val="nil"/>
              <w:bottom w:val="single" w:sz="4" w:space="0" w:color="auto"/>
              <w:right w:val="nil"/>
            </w:tcBorders>
            <w:shd w:val="clear" w:color="auto" w:fill="auto"/>
            <w:noWrap/>
            <w:vAlign w:val="center"/>
            <w:hideMark/>
          </w:tcPr>
          <w:p w14:paraId="45A434E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1.4</w:t>
            </w:r>
          </w:p>
        </w:tc>
        <w:tc>
          <w:tcPr>
            <w:tcW w:w="668" w:type="dxa"/>
            <w:tcBorders>
              <w:top w:val="nil"/>
              <w:left w:val="nil"/>
              <w:bottom w:val="single" w:sz="4" w:space="0" w:color="auto"/>
              <w:right w:val="single" w:sz="4" w:space="0" w:color="auto"/>
            </w:tcBorders>
            <w:shd w:val="clear" w:color="auto" w:fill="auto"/>
            <w:noWrap/>
            <w:vAlign w:val="center"/>
            <w:hideMark/>
          </w:tcPr>
          <w:p w14:paraId="478F5A9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3.7</w:t>
            </w:r>
          </w:p>
        </w:tc>
      </w:tr>
      <w:tr w:rsidR="00852962" w:rsidRPr="00852962" w14:paraId="3BA15CCA" w14:textId="77777777" w:rsidTr="00852962">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38B985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2020</w:t>
            </w:r>
          </w:p>
        </w:tc>
        <w:tc>
          <w:tcPr>
            <w:tcW w:w="784" w:type="dxa"/>
            <w:tcBorders>
              <w:top w:val="nil"/>
              <w:left w:val="nil"/>
              <w:bottom w:val="nil"/>
              <w:right w:val="single" w:sz="4" w:space="0" w:color="auto"/>
            </w:tcBorders>
            <w:shd w:val="clear" w:color="auto" w:fill="auto"/>
            <w:noWrap/>
            <w:vAlign w:val="center"/>
            <w:hideMark/>
          </w:tcPr>
          <w:p w14:paraId="7D6017FF"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6A857C0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116.0</w:t>
            </w:r>
          </w:p>
        </w:tc>
        <w:tc>
          <w:tcPr>
            <w:tcW w:w="660" w:type="dxa"/>
            <w:tcBorders>
              <w:top w:val="nil"/>
              <w:left w:val="nil"/>
              <w:bottom w:val="nil"/>
              <w:right w:val="nil"/>
            </w:tcBorders>
            <w:shd w:val="clear" w:color="auto" w:fill="auto"/>
            <w:noWrap/>
            <w:vAlign w:val="center"/>
            <w:hideMark/>
          </w:tcPr>
          <w:p w14:paraId="1DF43C6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113.2</w:t>
            </w:r>
          </w:p>
        </w:tc>
        <w:tc>
          <w:tcPr>
            <w:tcW w:w="659" w:type="dxa"/>
            <w:tcBorders>
              <w:top w:val="nil"/>
              <w:left w:val="nil"/>
              <w:bottom w:val="nil"/>
              <w:right w:val="nil"/>
            </w:tcBorders>
            <w:shd w:val="clear" w:color="auto" w:fill="auto"/>
            <w:noWrap/>
            <w:vAlign w:val="center"/>
            <w:hideMark/>
          </w:tcPr>
          <w:p w14:paraId="3DBE6B8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115.1</w:t>
            </w:r>
          </w:p>
        </w:tc>
        <w:tc>
          <w:tcPr>
            <w:tcW w:w="659" w:type="dxa"/>
            <w:tcBorders>
              <w:top w:val="nil"/>
              <w:left w:val="nil"/>
              <w:bottom w:val="nil"/>
              <w:right w:val="nil"/>
            </w:tcBorders>
            <w:shd w:val="clear" w:color="auto" w:fill="auto"/>
            <w:noWrap/>
            <w:vAlign w:val="center"/>
            <w:hideMark/>
          </w:tcPr>
          <w:p w14:paraId="4D2EE1C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110.5</w:t>
            </w:r>
          </w:p>
        </w:tc>
        <w:tc>
          <w:tcPr>
            <w:tcW w:w="659" w:type="dxa"/>
            <w:tcBorders>
              <w:top w:val="nil"/>
              <w:left w:val="nil"/>
              <w:bottom w:val="nil"/>
              <w:right w:val="nil"/>
            </w:tcBorders>
            <w:shd w:val="clear" w:color="000000" w:fill="C4D79B"/>
            <w:noWrap/>
            <w:vAlign w:val="center"/>
            <w:hideMark/>
          </w:tcPr>
          <w:p w14:paraId="1A990FD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109.9</w:t>
            </w:r>
          </w:p>
        </w:tc>
        <w:tc>
          <w:tcPr>
            <w:tcW w:w="659" w:type="dxa"/>
            <w:tcBorders>
              <w:top w:val="nil"/>
              <w:left w:val="nil"/>
              <w:bottom w:val="nil"/>
              <w:right w:val="nil"/>
            </w:tcBorders>
            <w:shd w:val="clear" w:color="auto" w:fill="auto"/>
            <w:noWrap/>
            <w:vAlign w:val="center"/>
            <w:hideMark/>
          </w:tcPr>
          <w:p w14:paraId="7D01CF4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4979894B"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5694EC91"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2A446D3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1E1E981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16BDA4A4"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68" w:type="dxa"/>
            <w:tcBorders>
              <w:top w:val="nil"/>
              <w:left w:val="nil"/>
              <w:bottom w:val="nil"/>
              <w:right w:val="single" w:sz="4" w:space="0" w:color="auto"/>
            </w:tcBorders>
            <w:shd w:val="clear" w:color="auto" w:fill="auto"/>
            <w:noWrap/>
            <w:vAlign w:val="center"/>
            <w:hideMark/>
          </w:tcPr>
          <w:p w14:paraId="0461EBD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r>
      <w:tr w:rsidR="00852962" w:rsidRPr="00852962" w14:paraId="0AFF0351" w14:textId="77777777" w:rsidTr="00852962">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8718860" w14:textId="77777777" w:rsidR="00852962" w:rsidRPr="00852962" w:rsidRDefault="00852962" w:rsidP="00852962">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7689A04A"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18D739C9"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4.1</w:t>
            </w:r>
          </w:p>
        </w:tc>
        <w:tc>
          <w:tcPr>
            <w:tcW w:w="660" w:type="dxa"/>
            <w:tcBorders>
              <w:top w:val="nil"/>
              <w:left w:val="nil"/>
              <w:bottom w:val="single" w:sz="4" w:space="0" w:color="auto"/>
              <w:right w:val="nil"/>
            </w:tcBorders>
            <w:shd w:val="clear" w:color="auto" w:fill="auto"/>
            <w:noWrap/>
            <w:vAlign w:val="center"/>
            <w:hideMark/>
          </w:tcPr>
          <w:p w14:paraId="13D09416"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43CDCF1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w:t>
            </w:r>
          </w:p>
        </w:tc>
        <w:tc>
          <w:tcPr>
            <w:tcW w:w="659" w:type="dxa"/>
            <w:tcBorders>
              <w:top w:val="nil"/>
              <w:left w:val="nil"/>
              <w:bottom w:val="single" w:sz="4" w:space="0" w:color="auto"/>
              <w:right w:val="nil"/>
            </w:tcBorders>
            <w:shd w:val="clear" w:color="auto" w:fill="auto"/>
            <w:noWrap/>
            <w:vAlign w:val="center"/>
            <w:hideMark/>
          </w:tcPr>
          <w:p w14:paraId="498E303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-4.2</w:t>
            </w:r>
          </w:p>
        </w:tc>
        <w:tc>
          <w:tcPr>
            <w:tcW w:w="659" w:type="dxa"/>
            <w:tcBorders>
              <w:top w:val="nil"/>
              <w:left w:val="nil"/>
              <w:bottom w:val="single" w:sz="4" w:space="0" w:color="auto"/>
              <w:right w:val="nil"/>
            </w:tcBorders>
            <w:shd w:val="clear" w:color="000000" w:fill="C4D79B"/>
            <w:noWrap/>
            <w:vAlign w:val="center"/>
            <w:hideMark/>
          </w:tcPr>
          <w:p w14:paraId="6EDCBB25"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-11.3</w:t>
            </w:r>
          </w:p>
        </w:tc>
        <w:tc>
          <w:tcPr>
            <w:tcW w:w="659" w:type="dxa"/>
            <w:tcBorders>
              <w:top w:val="nil"/>
              <w:left w:val="nil"/>
              <w:bottom w:val="single" w:sz="4" w:space="0" w:color="auto"/>
              <w:right w:val="nil"/>
            </w:tcBorders>
            <w:shd w:val="clear" w:color="auto" w:fill="auto"/>
            <w:noWrap/>
            <w:vAlign w:val="center"/>
            <w:hideMark/>
          </w:tcPr>
          <w:p w14:paraId="25045C6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335891F0"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7E36D77"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1AEB60C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2ED4188"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72F7ECEC"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c>
          <w:tcPr>
            <w:tcW w:w="668" w:type="dxa"/>
            <w:tcBorders>
              <w:top w:val="nil"/>
              <w:left w:val="nil"/>
              <w:bottom w:val="single" w:sz="4" w:space="0" w:color="auto"/>
              <w:right w:val="single" w:sz="4" w:space="0" w:color="auto"/>
            </w:tcBorders>
            <w:shd w:val="clear" w:color="auto" w:fill="auto"/>
            <w:noWrap/>
            <w:vAlign w:val="center"/>
            <w:hideMark/>
          </w:tcPr>
          <w:p w14:paraId="2C4916DE" w14:textId="77777777" w:rsidR="00852962" w:rsidRPr="00852962" w:rsidRDefault="00852962" w:rsidP="00852962">
            <w:pPr>
              <w:spacing w:after="0" w:line="240" w:lineRule="auto"/>
              <w:jc w:val="center"/>
              <w:rPr>
                <w:rFonts w:ascii="Arial" w:eastAsia="Times New Roman" w:hAnsi="Arial" w:cs="Arial"/>
                <w:color w:val="000000"/>
                <w:sz w:val="16"/>
                <w:szCs w:val="16"/>
                <w:lang w:eastAsia="es-MX"/>
              </w:rPr>
            </w:pPr>
            <w:r w:rsidRPr="00852962">
              <w:rPr>
                <w:rFonts w:ascii="Arial" w:eastAsia="Times New Roman" w:hAnsi="Arial" w:cs="Arial"/>
                <w:color w:val="000000"/>
                <w:sz w:val="16"/>
                <w:szCs w:val="16"/>
                <w:lang w:eastAsia="es-MX"/>
              </w:rPr>
              <w:t> </w:t>
            </w:r>
          </w:p>
        </w:tc>
      </w:tr>
    </w:tbl>
    <w:p w14:paraId="5898A9AE" w14:textId="11B88E20" w:rsidR="00F26904" w:rsidRDefault="00F26904" w:rsidP="009A7101">
      <w:pPr>
        <w:spacing w:after="0" w:line="240" w:lineRule="auto"/>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3B26873" w14:textId="32D1FC65" w:rsidR="00F26904" w:rsidRDefault="00F26904" w:rsidP="009A7101">
      <w:pPr>
        <w:spacing w:after="0" w:line="240" w:lineRule="auto"/>
        <w:jc w:val="both"/>
        <w:rPr>
          <w:rFonts w:ascii="Arial" w:hAnsi="Arial" w:cs="Arial"/>
          <w:sz w:val="24"/>
          <w:szCs w:val="24"/>
        </w:rPr>
      </w:pPr>
    </w:p>
    <w:p w14:paraId="57DBD5C3" w14:textId="09DC9B1B" w:rsidR="009B1F75" w:rsidRDefault="009B1F75" w:rsidP="009A7101">
      <w:pPr>
        <w:spacing w:after="0" w:line="240" w:lineRule="auto"/>
        <w:jc w:val="both"/>
        <w:rPr>
          <w:rFonts w:ascii="Arial" w:hAnsi="Arial" w:cs="Arial"/>
          <w:sz w:val="24"/>
          <w:szCs w:val="24"/>
        </w:rPr>
      </w:pPr>
    </w:p>
    <w:p w14:paraId="34E05570" w14:textId="0E3FD283" w:rsidR="00080208" w:rsidRPr="009B1F75" w:rsidRDefault="009B1F75" w:rsidP="009A7101">
      <w:pPr>
        <w:spacing w:after="0" w:line="240" w:lineRule="auto"/>
        <w:jc w:val="both"/>
        <w:rPr>
          <w:rFonts w:ascii="Arial" w:hAnsi="Arial" w:cs="Arial"/>
          <w:sz w:val="24"/>
          <w:szCs w:val="24"/>
        </w:rPr>
      </w:pPr>
      <w:r w:rsidRPr="001A108E">
        <w:rPr>
          <w:rFonts w:ascii="Arial" w:hAnsi="Arial" w:cs="Arial"/>
          <w:sz w:val="24"/>
          <w:szCs w:val="24"/>
        </w:rPr>
        <w:t>El nivel más elevado para</w:t>
      </w:r>
      <w:r>
        <w:rPr>
          <w:rFonts w:ascii="Arial" w:hAnsi="Arial" w:cs="Arial"/>
          <w:sz w:val="24"/>
          <w:szCs w:val="24"/>
        </w:rPr>
        <w:t xml:space="preserve"> el</w:t>
      </w:r>
      <w:r w:rsidRPr="001A108E">
        <w:rPr>
          <w:rFonts w:ascii="Arial" w:hAnsi="Arial" w:cs="Arial"/>
          <w:sz w:val="24"/>
          <w:szCs w:val="24"/>
        </w:rPr>
        <w:t xml:space="preserve"> IG</w:t>
      </w:r>
      <w:r>
        <w:rPr>
          <w:rFonts w:ascii="Arial" w:hAnsi="Arial" w:cs="Arial"/>
          <w:sz w:val="24"/>
          <w:szCs w:val="24"/>
        </w:rPr>
        <w:t>REM</w:t>
      </w:r>
      <w:r w:rsidRPr="001A108E">
        <w:rPr>
          <w:rFonts w:ascii="Arial" w:hAnsi="Arial" w:cs="Arial"/>
          <w:sz w:val="24"/>
          <w:szCs w:val="24"/>
        </w:rPr>
        <w:t xml:space="preserve">SE es el registrado en </w:t>
      </w:r>
      <w:r>
        <w:rPr>
          <w:rFonts w:ascii="Arial" w:hAnsi="Arial" w:cs="Arial"/>
          <w:sz w:val="24"/>
          <w:szCs w:val="24"/>
        </w:rPr>
        <w:t xml:space="preserve">diciembre de </w:t>
      </w:r>
      <w:r w:rsidRPr="001A108E">
        <w:rPr>
          <w:rFonts w:ascii="Arial" w:hAnsi="Arial" w:cs="Arial"/>
          <w:sz w:val="24"/>
          <w:szCs w:val="24"/>
        </w:rPr>
        <w:t>2019, con 1</w:t>
      </w:r>
      <w:r>
        <w:rPr>
          <w:rFonts w:ascii="Arial" w:hAnsi="Arial" w:cs="Arial"/>
          <w:sz w:val="24"/>
          <w:szCs w:val="24"/>
        </w:rPr>
        <w:t>2</w:t>
      </w:r>
      <w:r w:rsidR="00CA6300">
        <w:rPr>
          <w:rFonts w:ascii="Arial" w:hAnsi="Arial" w:cs="Arial"/>
          <w:sz w:val="24"/>
          <w:szCs w:val="24"/>
        </w:rPr>
        <w:t>7.7</w:t>
      </w:r>
      <w:r w:rsidRPr="001A108E">
        <w:rPr>
          <w:rFonts w:ascii="Arial" w:hAnsi="Arial" w:cs="Arial"/>
          <w:sz w:val="24"/>
          <w:szCs w:val="24"/>
        </w:rPr>
        <w:t xml:space="preserve"> puntos.</w:t>
      </w:r>
      <w:r w:rsidR="00080208">
        <w:rPr>
          <w:rFonts w:ascii="Arial" w:hAnsi="Arial" w:cs="Arial"/>
          <w:b/>
          <w:sz w:val="20"/>
          <w:szCs w:val="20"/>
        </w:rPr>
        <w:br w:type="page"/>
      </w:r>
    </w:p>
    <w:p w14:paraId="705B125E" w14:textId="53D8CCAB" w:rsidR="00A82B00" w:rsidRPr="00D0286C" w:rsidRDefault="003B4B50" w:rsidP="009A7101">
      <w:pPr>
        <w:spacing w:after="0" w:line="240" w:lineRule="auto"/>
        <w:jc w:val="center"/>
        <w:rPr>
          <w:rFonts w:ascii="Arial" w:hAnsi="Arial" w:cs="Arial"/>
          <w:b/>
          <w:sz w:val="20"/>
          <w:szCs w:val="20"/>
        </w:rPr>
      </w:pPr>
      <w:r>
        <w:rPr>
          <w:rFonts w:ascii="Arial" w:hAnsi="Arial" w:cs="Arial"/>
          <w:b/>
          <w:sz w:val="20"/>
          <w:szCs w:val="20"/>
        </w:rPr>
        <w:lastRenderedPageBreak/>
        <w:t>Cuadro 8</w:t>
      </w:r>
    </w:p>
    <w:p w14:paraId="70DCA392" w14:textId="4A932464" w:rsidR="00A82B00" w:rsidRPr="00D0286C" w:rsidRDefault="00A82B00" w:rsidP="009A7101">
      <w:pPr>
        <w:spacing w:after="0" w:line="240" w:lineRule="auto"/>
        <w:ind w:left="-284" w:right="-660"/>
        <w:jc w:val="center"/>
        <w:rPr>
          <w:rFonts w:ascii="Arial" w:hAnsi="Arial" w:cs="Arial"/>
          <w:b/>
          <w:sz w:val="20"/>
          <w:szCs w:val="20"/>
        </w:rPr>
      </w:pPr>
      <w:r w:rsidRPr="00D0286C">
        <w:rPr>
          <w:rFonts w:ascii="Arial" w:hAnsi="Arial" w:cs="Arial"/>
          <w:b/>
          <w:sz w:val="20"/>
          <w:szCs w:val="20"/>
        </w:rPr>
        <w:t xml:space="preserve">ÍNDICE GLOBAL DE </w:t>
      </w:r>
      <w:r>
        <w:rPr>
          <w:rFonts w:ascii="Arial" w:hAnsi="Arial" w:cs="Arial"/>
          <w:b/>
          <w:sz w:val="20"/>
          <w:szCs w:val="20"/>
        </w:rPr>
        <w:t>REMUNERACIONES</w:t>
      </w:r>
      <w:r w:rsidRPr="00D0286C">
        <w:rPr>
          <w:rFonts w:ascii="Arial" w:hAnsi="Arial" w:cs="Arial"/>
          <w:b/>
          <w:sz w:val="20"/>
          <w:szCs w:val="20"/>
        </w:rPr>
        <w:t xml:space="preserve"> </w:t>
      </w:r>
      <w:r>
        <w:rPr>
          <w:rFonts w:ascii="Arial" w:hAnsi="Arial" w:cs="Arial"/>
          <w:b/>
          <w:sz w:val="20"/>
          <w:szCs w:val="20"/>
        </w:rPr>
        <w:t xml:space="preserve">MEDIAS REALES </w:t>
      </w:r>
      <w:r w:rsidRPr="00D0286C">
        <w:rPr>
          <w:rFonts w:ascii="Arial" w:hAnsi="Arial" w:cs="Arial"/>
          <w:b/>
          <w:sz w:val="20"/>
          <w:szCs w:val="20"/>
        </w:rPr>
        <w:t>DE LOS SECTORES ECONÓMICOS</w:t>
      </w:r>
    </w:p>
    <w:p w14:paraId="5B7C08F4" w14:textId="77777777" w:rsidR="00A82B00" w:rsidRPr="00D0286C" w:rsidRDefault="00A82B00" w:rsidP="009A7101">
      <w:pPr>
        <w:spacing w:after="0" w:line="240" w:lineRule="auto"/>
        <w:jc w:val="center"/>
        <w:rPr>
          <w:rFonts w:ascii="Arial" w:hAnsi="Arial" w:cs="Arial"/>
          <w:b/>
          <w:sz w:val="20"/>
          <w:szCs w:val="20"/>
        </w:rPr>
      </w:pPr>
      <w:r>
        <w:rPr>
          <w:rFonts w:ascii="Arial" w:hAnsi="Arial" w:cs="Arial"/>
          <w:b/>
          <w:sz w:val="20"/>
          <w:szCs w:val="20"/>
        </w:rPr>
        <w:t>ENERO DE 2008 – MAYO DE 2020</w:t>
      </w:r>
    </w:p>
    <w:p w14:paraId="40706EA7" w14:textId="77777777" w:rsidR="00A82B00" w:rsidRPr="00D0286C" w:rsidRDefault="00A82B00" w:rsidP="009A7101">
      <w:pPr>
        <w:spacing w:after="0" w:line="240" w:lineRule="auto"/>
        <w:jc w:val="center"/>
        <w:rPr>
          <w:rFonts w:ascii="Arial" w:hAnsi="Arial" w:cs="Arial"/>
          <w:b/>
          <w:sz w:val="20"/>
          <w:szCs w:val="20"/>
        </w:rPr>
      </w:pPr>
      <w:r>
        <w:rPr>
          <w:rFonts w:ascii="Arial" w:hAnsi="Arial" w:cs="Arial"/>
          <w:b/>
          <w:sz w:val="20"/>
          <w:szCs w:val="20"/>
        </w:rPr>
        <w:t>CIFRAS ORIGINALES</w:t>
      </w:r>
    </w:p>
    <w:p w14:paraId="3451D9BB" w14:textId="76998E8F" w:rsidR="00A82B00" w:rsidRDefault="00A82B00"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CA6300" w:rsidRPr="00CA6300" w14:paraId="1D785CD4" w14:textId="77777777" w:rsidTr="00CA6300">
        <w:trPr>
          <w:trHeight w:val="360"/>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1DA58F0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Año</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736BB83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Índices y Variación Anual</w:t>
            </w:r>
          </w:p>
        </w:tc>
        <w:tc>
          <w:tcPr>
            <w:tcW w:w="7920"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0687A95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Mes</w:t>
            </w:r>
          </w:p>
        </w:tc>
      </w:tr>
      <w:tr w:rsidR="00CA6300" w:rsidRPr="00CA6300" w14:paraId="7038AA64" w14:textId="77777777" w:rsidTr="00CA6300">
        <w:trPr>
          <w:trHeight w:val="360"/>
        </w:trPr>
        <w:tc>
          <w:tcPr>
            <w:tcW w:w="660" w:type="dxa"/>
            <w:vMerge/>
            <w:tcBorders>
              <w:top w:val="single" w:sz="4" w:space="0" w:color="auto"/>
              <w:left w:val="single" w:sz="4" w:space="0" w:color="auto"/>
              <w:bottom w:val="single" w:sz="4" w:space="0" w:color="000000"/>
              <w:right w:val="nil"/>
            </w:tcBorders>
            <w:vAlign w:val="center"/>
            <w:hideMark/>
          </w:tcPr>
          <w:p w14:paraId="2D8DEBE9"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38A01AA5"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712AECF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16D2262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170DD52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08B7C54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0D1771B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5772FD5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716D7D0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10620C2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proofErr w:type="spellStart"/>
            <w:r w:rsidRPr="00CA6300">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1C79C86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proofErr w:type="spellStart"/>
            <w:r w:rsidRPr="00CA6300">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070AF2A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4A0B266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4" w:space="0" w:color="auto"/>
            </w:tcBorders>
            <w:shd w:val="clear" w:color="000000" w:fill="C4D79B"/>
            <w:noWrap/>
            <w:vAlign w:val="center"/>
            <w:hideMark/>
          </w:tcPr>
          <w:p w14:paraId="28CD8A2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Dic</w:t>
            </w:r>
          </w:p>
        </w:tc>
      </w:tr>
      <w:tr w:rsidR="00CA6300" w:rsidRPr="00CA6300" w14:paraId="7FC47153" w14:textId="77777777" w:rsidTr="00CA6300">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48EDA41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5FBC86E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E8F49F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94.8</w:t>
            </w:r>
          </w:p>
        </w:tc>
        <w:tc>
          <w:tcPr>
            <w:tcW w:w="660" w:type="dxa"/>
            <w:tcBorders>
              <w:top w:val="nil"/>
              <w:left w:val="nil"/>
              <w:bottom w:val="nil"/>
              <w:right w:val="nil"/>
            </w:tcBorders>
            <w:shd w:val="clear" w:color="auto" w:fill="auto"/>
            <w:noWrap/>
            <w:vAlign w:val="center"/>
            <w:hideMark/>
          </w:tcPr>
          <w:p w14:paraId="3A16707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94.8</w:t>
            </w:r>
          </w:p>
        </w:tc>
        <w:tc>
          <w:tcPr>
            <w:tcW w:w="660" w:type="dxa"/>
            <w:tcBorders>
              <w:top w:val="nil"/>
              <w:left w:val="nil"/>
              <w:bottom w:val="nil"/>
              <w:right w:val="nil"/>
            </w:tcBorders>
            <w:shd w:val="clear" w:color="auto" w:fill="auto"/>
            <w:noWrap/>
            <w:vAlign w:val="center"/>
            <w:hideMark/>
          </w:tcPr>
          <w:p w14:paraId="09E53AE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3A10A5A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000000" w:fill="C4D79B"/>
            <w:noWrap/>
            <w:vAlign w:val="center"/>
            <w:hideMark/>
          </w:tcPr>
          <w:p w14:paraId="2BB0B2D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34C8D50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96.7</w:t>
            </w:r>
          </w:p>
        </w:tc>
        <w:tc>
          <w:tcPr>
            <w:tcW w:w="660" w:type="dxa"/>
            <w:tcBorders>
              <w:top w:val="nil"/>
              <w:left w:val="nil"/>
              <w:bottom w:val="nil"/>
              <w:right w:val="nil"/>
            </w:tcBorders>
            <w:shd w:val="clear" w:color="auto" w:fill="auto"/>
            <w:noWrap/>
            <w:vAlign w:val="center"/>
            <w:hideMark/>
          </w:tcPr>
          <w:p w14:paraId="17A0D32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0FD1F4D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95.4</w:t>
            </w:r>
          </w:p>
        </w:tc>
        <w:tc>
          <w:tcPr>
            <w:tcW w:w="660" w:type="dxa"/>
            <w:tcBorders>
              <w:top w:val="nil"/>
              <w:left w:val="nil"/>
              <w:bottom w:val="nil"/>
              <w:right w:val="nil"/>
            </w:tcBorders>
            <w:shd w:val="clear" w:color="auto" w:fill="auto"/>
            <w:noWrap/>
            <w:vAlign w:val="center"/>
            <w:hideMark/>
          </w:tcPr>
          <w:p w14:paraId="04AB666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3E84460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737F2E6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93.9</w:t>
            </w:r>
          </w:p>
        </w:tc>
        <w:tc>
          <w:tcPr>
            <w:tcW w:w="660" w:type="dxa"/>
            <w:tcBorders>
              <w:top w:val="nil"/>
              <w:left w:val="nil"/>
              <w:bottom w:val="nil"/>
              <w:right w:val="single" w:sz="4" w:space="0" w:color="auto"/>
            </w:tcBorders>
            <w:shd w:val="clear" w:color="auto" w:fill="auto"/>
            <w:noWrap/>
            <w:vAlign w:val="center"/>
            <w:hideMark/>
          </w:tcPr>
          <w:p w14:paraId="7123A6D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119.2</w:t>
            </w:r>
          </w:p>
        </w:tc>
      </w:tr>
      <w:tr w:rsidR="00CA6300" w:rsidRPr="00CA6300" w14:paraId="7DA2ECC1" w14:textId="77777777" w:rsidTr="00CA6300">
        <w:trPr>
          <w:trHeight w:val="222"/>
        </w:trPr>
        <w:tc>
          <w:tcPr>
            <w:tcW w:w="660" w:type="dxa"/>
            <w:vMerge/>
            <w:tcBorders>
              <w:top w:val="nil"/>
              <w:left w:val="single" w:sz="4" w:space="0" w:color="auto"/>
              <w:bottom w:val="single" w:sz="4" w:space="0" w:color="000000"/>
              <w:right w:val="nil"/>
            </w:tcBorders>
            <w:vAlign w:val="center"/>
            <w:hideMark/>
          </w:tcPr>
          <w:p w14:paraId="2E3C7AA9"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13A627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7E0242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CD6E8F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BB449E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E8444F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7357737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CF5F9C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37CBEE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3B596B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864A82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894A62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9B818C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069AD9D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w:t>
            </w:r>
          </w:p>
        </w:tc>
      </w:tr>
      <w:tr w:rsidR="00CA6300" w:rsidRPr="00CA6300" w14:paraId="16D37221"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E61B36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352C6A0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03EC993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26BF74F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92.4</w:t>
            </w:r>
          </w:p>
        </w:tc>
        <w:tc>
          <w:tcPr>
            <w:tcW w:w="660" w:type="dxa"/>
            <w:tcBorders>
              <w:top w:val="nil"/>
              <w:left w:val="nil"/>
              <w:bottom w:val="nil"/>
              <w:right w:val="nil"/>
            </w:tcBorders>
            <w:shd w:val="clear" w:color="auto" w:fill="auto"/>
            <w:noWrap/>
            <w:vAlign w:val="center"/>
            <w:hideMark/>
          </w:tcPr>
          <w:p w14:paraId="19F68C8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95.7</w:t>
            </w:r>
          </w:p>
        </w:tc>
        <w:tc>
          <w:tcPr>
            <w:tcW w:w="660" w:type="dxa"/>
            <w:tcBorders>
              <w:top w:val="nil"/>
              <w:left w:val="nil"/>
              <w:bottom w:val="nil"/>
              <w:right w:val="nil"/>
            </w:tcBorders>
            <w:shd w:val="clear" w:color="auto" w:fill="auto"/>
            <w:noWrap/>
            <w:vAlign w:val="center"/>
            <w:hideMark/>
          </w:tcPr>
          <w:p w14:paraId="227A19B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95.9</w:t>
            </w:r>
          </w:p>
        </w:tc>
        <w:tc>
          <w:tcPr>
            <w:tcW w:w="660" w:type="dxa"/>
            <w:tcBorders>
              <w:top w:val="nil"/>
              <w:left w:val="nil"/>
              <w:bottom w:val="nil"/>
              <w:right w:val="nil"/>
            </w:tcBorders>
            <w:shd w:val="clear" w:color="000000" w:fill="C4D79B"/>
            <w:noWrap/>
            <w:vAlign w:val="center"/>
            <w:hideMark/>
          </w:tcPr>
          <w:p w14:paraId="4139794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54EEF6B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6E7C3E8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96.4</w:t>
            </w:r>
          </w:p>
        </w:tc>
        <w:tc>
          <w:tcPr>
            <w:tcW w:w="660" w:type="dxa"/>
            <w:tcBorders>
              <w:top w:val="nil"/>
              <w:left w:val="nil"/>
              <w:bottom w:val="nil"/>
              <w:right w:val="nil"/>
            </w:tcBorders>
            <w:shd w:val="clear" w:color="auto" w:fill="auto"/>
            <w:noWrap/>
            <w:vAlign w:val="center"/>
            <w:hideMark/>
          </w:tcPr>
          <w:p w14:paraId="2F77654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93.6</w:t>
            </w:r>
          </w:p>
        </w:tc>
        <w:tc>
          <w:tcPr>
            <w:tcW w:w="660" w:type="dxa"/>
            <w:tcBorders>
              <w:top w:val="nil"/>
              <w:left w:val="nil"/>
              <w:bottom w:val="nil"/>
              <w:right w:val="nil"/>
            </w:tcBorders>
            <w:shd w:val="clear" w:color="auto" w:fill="auto"/>
            <w:noWrap/>
            <w:vAlign w:val="center"/>
            <w:hideMark/>
          </w:tcPr>
          <w:p w14:paraId="12765E3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94.1</w:t>
            </w:r>
          </w:p>
        </w:tc>
        <w:tc>
          <w:tcPr>
            <w:tcW w:w="660" w:type="dxa"/>
            <w:tcBorders>
              <w:top w:val="nil"/>
              <w:left w:val="nil"/>
              <w:bottom w:val="nil"/>
              <w:right w:val="nil"/>
            </w:tcBorders>
            <w:shd w:val="clear" w:color="auto" w:fill="auto"/>
            <w:noWrap/>
            <w:vAlign w:val="center"/>
            <w:hideMark/>
          </w:tcPr>
          <w:p w14:paraId="620A427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96.5</w:t>
            </w:r>
          </w:p>
        </w:tc>
        <w:tc>
          <w:tcPr>
            <w:tcW w:w="660" w:type="dxa"/>
            <w:tcBorders>
              <w:top w:val="nil"/>
              <w:left w:val="nil"/>
              <w:bottom w:val="nil"/>
              <w:right w:val="nil"/>
            </w:tcBorders>
            <w:shd w:val="clear" w:color="auto" w:fill="auto"/>
            <w:noWrap/>
            <w:vAlign w:val="center"/>
            <w:hideMark/>
          </w:tcPr>
          <w:p w14:paraId="3EA5D10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93.6</w:t>
            </w:r>
          </w:p>
        </w:tc>
        <w:tc>
          <w:tcPr>
            <w:tcW w:w="660" w:type="dxa"/>
            <w:tcBorders>
              <w:top w:val="nil"/>
              <w:left w:val="nil"/>
              <w:bottom w:val="nil"/>
              <w:right w:val="single" w:sz="4" w:space="0" w:color="auto"/>
            </w:tcBorders>
            <w:shd w:val="clear" w:color="auto" w:fill="auto"/>
            <w:noWrap/>
            <w:vAlign w:val="center"/>
            <w:hideMark/>
          </w:tcPr>
          <w:p w14:paraId="7A512A5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118.3</w:t>
            </w:r>
          </w:p>
        </w:tc>
      </w:tr>
      <w:tr w:rsidR="00CA6300" w:rsidRPr="00CA6300" w14:paraId="0A4F1070"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8CE19F4"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5C687C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C54750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5F195D4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6B1D978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694A411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000000" w:fill="C4D79B"/>
            <w:noWrap/>
            <w:vAlign w:val="center"/>
            <w:hideMark/>
          </w:tcPr>
          <w:p w14:paraId="60AF50A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-3.1</w:t>
            </w:r>
          </w:p>
        </w:tc>
        <w:tc>
          <w:tcPr>
            <w:tcW w:w="660" w:type="dxa"/>
            <w:tcBorders>
              <w:top w:val="nil"/>
              <w:left w:val="nil"/>
              <w:bottom w:val="single" w:sz="4" w:space="0" w:color="auto"/>
              <w:right w:val="nil"/>
            </w:tcBorders>
            <w:shd w:val="clear" w:color="auto" w:fill="auto"/>
            <w:noWrap/>
            <w:vAlign w:val="center"/>
            <w:hideMark/>
          </w:tcPr>
          <w:p w14:paraId="40B57C2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0D6865B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7913FCB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0ED3F33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742772D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286E138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-0.4</w:t>
            </w:r>
          </w:p>
        </w:tc>
        <w:tc>
          <w:tcPr>
            <w:tcW w:w="660" w:type="dxa"/>
            <w:tcBorders>
              <w:top w:val="nil"/>
              <w:left w:val="nil"/>
              <w:bottom w:val="single" w:sz="4" w:space="0" w:color="auto"/>
              <w:right w:val="single" w:sz="4" w:space="0" w:color="auto"/>
            </w:tcBorders>
            <w:shd w:val="clear" w:color="auto" w:fill="auto"/>
            <w:noWrap/>
            <w:vAlign w:val="center"/>
            <w:hideMark/>
          </w:tcPr>
          <w:p w14:paraId="21EFDF1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r>
      <w:tr w:rsidR="00CA6300" w:rsidRPr="00CA6300" w14:paraId="1132DF2D" w14:textId="77777777" w:rsidTr="00CA6300">
        <w:trPr>
          <w:trHeight w:val="222"/>
        </w:trPr>
        <w:tc>
          <w:tcPr>
            <w:tcW w:w="660" w:type="dxa"/>
            <w:vMerge w:val="restart"/>
            <w:tcBorders>
              <w:top w:val="nil"/>
              <w:left w:val="single" w:sz="4" w:space="0" w:color="auto"/>
              <w:bottom w:val="nil"/>
              <w:right w:val="nil"/>
            </w:tcBorders>
            <w:shd w:val="clear" w:color="auto" w:fill="auto"/>
            <w:noWrap/>
            <w:vAlign w:val="center"/>
            <w:hideMark/>
          </w:tcPr>
          <w:p w14:paraId="1636554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3D73692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F95D28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93.8</w:t>
            </w:r>
          </w:p>
        </w:tc>
        <w:tc>
          <w:tcPr>
            <w:tcW w:w="660" w:type="dxa"/>
            <w:tcBorders>
              <w:top w:val="single" w:sz="4" w:space="0" w:color="auto"/>
              <w:left w:val="nil"/>
              <w:bottom w:val="nil"/>
              <w:right w:val="nil"/>
            </w:tcBorders>
            <w:shd w:val="clear" w:color="auto" w:fill="auto"/>
            <w:noWrap/>
            <w:vAlign w:val="center"/>
            <w:hideMark/>
          </w:tcPr>
          <w:p w14:paraId="01B9C12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92.6</w:t>
            </w:r>
          </w:p>
        </w:tc>
        <w:tc>
          <w:tcPr>
            <w:tcW w:w="660" w:type="dxa"/>
            <w:tcBorders>
              <w:top w:val="single" w:sz="4" w:space="0" w:color="auto"/>
              <w:left w:val="nil"/>
              <w:bottom w:val="nil"/>
              <w:right w:val="nil"/>
            </w:tcBorders>
            <w:shd w:val="clear" w:color="auto" w:fill="auto"/>
            <w:noWrap/>
            <w:vAlign w:val="center"/>
            <w:hideMark/>
          </w:tcPr>
          <w:p w14:paraId="4E34060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97.2</w:t>
            </w:r>
          </w:p>
        </w:tc>
        <w:tc>
          <w:tcPr>
            <w:tcW w:w="660" w:type="dxa"/>
            <w:tcBorders>
              <w:top w:val="nil"/>
              <w:left w:val="nil"/>
              <w:bottom w:val="nil"/>
              <w:right w:val="nil"/>
            </w:tcBorders>
            <w:shd w:val="clear" w:color="auto" w:fill="auto"/>
            <w:noWrap/>
            <w:vAlign w:val="center"/>
            <w:hideMark/>
          </w:tcPr>
          <w:p w14:paraId="3CD7327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95.9</w:t>
            </w:r>
          </w:p>
        </w:tc>
        <w:tc>
          <w:tcPr>
            <w:tcW w:w="660" w:type="dxa"/>
            <w:tcBorders>
              <w:top w:val="single" w:sz="4" w:space="0" w:color="auto"/>
              <w:left w:val="nil"/>
              <w:bottom w:val="nil"/>
              <w:right w:val="nil"/>
            </w:tcBorders>
            <w:shd w:val="clear" w:color="000000" w:fill="C4D79B"/>
            <w:noWrap/>
            <w:vAlign w:val="center"/>
            <w:hideMark/>
          </w:tcPr>
          <w:p w14:paraId="26B8423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100.5</w:t>
            </w:r>
          </w:p>
        </w:tc>
        <w:tc>
          <w:tcPr>
            <w:tcW w:w="660" w:type="dxa"/>
            <w:tcBorders>
              <w:top w:val="nil"/>
              <w:left w:val="nil"/>
              <w:bottom w:val="nil"/>
              <w:right w:val="nil"/>
            </w:tcBorders>
            <w:shd w:val="clear" w:color="auto" w:fill="auto"/>
            <w:noWrap/>
            <w:vAlign w:val="center"/>
            <w:hideMark/>
          </w:tcPr>
          <w:p w14:paraId="05D043C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96.2</w:t>
            </w:r>
          </w:p>
        </w:tc>
        <w:tc>
          <w:tcPr>
            <w:tcW w:w="660" w:type="dxa"/>
            <w:tcBorders>
              <w:top w:val="nil"/>
              <w:left w:val="nil"/>
              <w:bottom w:val="nil"/>
              <w:right w:val="nil"/>
            </w:tcBorders>
            <w:shd w:val="clear" w:color="auto" w:fill="auto"/>
            <w:noWrap/>
            <w:vAlign w:val="center"/>
            <w:hideMark/>
          </w:tcPr>
          <w:p w14:paraId="21C49A9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97.3</w:t>
            </w:r>
          </w:p>
        </w:tc>
        <w:tc>
          <w:tcPr>
            <w:tcW w:w="660" w:type="dxa"/>
            <w:tcBorders>
              <w:top w:val="nil"/>
              <w:left w:val="nil"/>
              <w:bottom w:val="nil"/>
              <w:right w:val="nil"/>
            </w:tcBorders>
            <w:shd w:val="clear" w:color="auto" w:fill="auto"/>
            <w:noWrap/>
            <w:vAlign w:val="center"/>
            <w:hideMark/>
          </w:tcPr>
          <w:p w14:paraId="0E6C157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95.4</w:t>
            </w:r>
          </w:p>
        </w:tc>
        <w:tc>
          <w:tcPr>
            <w:tcW w:w="660" w:type="dxa"/>
            <w:tcBorders>
              <w:top w:val="nil"/>
              <w:left w:val="nil"/>
              <w:bottom w:val="nil"/>
              <w:right w:val="nil"/>
            </w:tcBorders>
            <w:shd w:val="clear" w:color="auto" w:fill="auto"/>
            <w:noWrap/>
            <w:vAlign w:val="center"/>
            <w:hideMark/>
          </w:tcPr>
          <w:p w14:paraId="637F171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95.5</w:t>
            </w:r>
          </w:p>
        </w:tc>
        <w:tc>
          <w:tcPr>
            <w:tcW w:w="660" w:type="dxa"/>
            <w:tcBorders>
              <w:top w:val="nil"/>
              <w:left w:val="nil"/>
              <w:bottom w:val="nil"/>
              <w:right w:val="nil"/>
            </w:tcBorders>
            <w:shd w:val="clear" w:color="auto" w:fill="auto"/>
            <w:noWrap/>
            <w:vAlign w:val="center"/>
            <w:hideMark/>
          </w:tcPr>
          <w:p w14:paraId="1DA5D06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7D38F3B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93.6</w:t>
            </w:r>
          </w:p>
        </w:tc>
        <w:tc>
          <w:tcPr>
            <w:tcW w:w="660" w:type="dxa"/>
            <w:tcBorders>
              <w:top w:val="nil"/>
              <w:left w:val="nil"/>
              <w:bottom w:val="nil"/>
              <w:right w:val="single" w:sz="4" w:space="0" w:color="auto"/>
            </w:tcBorders>
            <w:shd w:val="clear" w:color="auto" w:fill="auto"/>
            <w:noWrap/>
            <w:vAlign w:val="center"/>
            <w:hideMark/>
          </w:tcPr>
          <w:p w14:paraId="0CEA3D0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117.3</w:t>
            </w:r>
          </w:p>
        </w:tc>
      </w:tr>
      <w:tr w:rsidR="00CA6300" w:rsidRPr="00CA6300" w14:paraId="43CDB8CA" w14:textId="77777777" w:rsidTr="00CA6300">
        <w:trPr>
          <w:trHeight w:val="222"/>
        </w:trPr>
        <w:tc>
          <w:tcPr>
            <w:tcW w:w="660" w:type="dxa"/>
            <w:vMerge/>
            <w:tcBorders>
              <w:top w:val="nil"/>
              <w:left w:val="single" w:sz="4" w:space="0" w:color="auto"/>
              <w:bottom w:val="nil"/>
              <w:right w:val="nil"/>
            </w:tcBorders>
            <w:vAlign w:val="center"/>
            <w:hideMark/>
          </w:tcPr>
          <w:p w14:paraId="67A88156"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6769EB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FB4214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C6DAD9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6A9129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3F3AB5B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4A5A3AA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288ADE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50832D5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3700B1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C66A56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8E4732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F21857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540AF7B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r>
      <w:tr w:rsidR="00CA6300" w:rsidRPr="00CA6300" w14:paraId="4CE11DB4"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636F5A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2011</w:t>
            </w:r>
          </w:p>
        </w:tc>
        <w:tc>
          <w:tcPr>
            <w:tcW w:w="800" w:type="dxa"/>
            <w:tcBorders>
              <w:top w:val="single" w:sz="4" w:space="0" w:color="auto"/>
              <w:left w:val="nil"/>
              <w:bottom w:val="nil"/>
              <w:right w:val="single" w:sz="4" w:space="0" w:color="auto"/>
            </w:tcBorders>
            <w:shd w:val="clear" w:color="auto" w:fill="auto"/>
            <w:noWrap/>
            <w:vAlign w:val="center"/>
            <w:hideMark/>
          </w:tcPr>
          <w:p w14:paraId="457ABA1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0420DE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93.6</w:t>
            </w:r>
          </w:p>
        </w:tc>
        <w:tc>
          <w:tcPr>
            <w:tcW w:w="660" w:type="dxa"/>
            <w:tcBorders>
              <w:top w:val="single" w:sz="4" w:space="0" w:color="auto"/>
              <w:left w:val="nil"/>
              <w:bottom w:val="nil"/>
              <w:right w:val="nil"/>
            </w:tcBorders>
            <w:shd w:val="clear" w:color="auto" w:fill="auto"/>
            <w:noWrap/>
            <w:vAlign w:val="center"/>
            <w:hideMark/>
          </w:tcPr>
          <w:p w14:paraId="511D037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92.4</w:t>
            </w:r>
          </w:p>
        </w:tc>
        <w:tc>
          <w:tcPr>
            <w:tcW w:w="660" w:type="dxa"/>
            <w:tcBorders>
              <w:top w:val="single" w:sz="4" w:space="0" w:color="auto"/>
              <w:left w:val="nil"/>
              <w:bottom w:val="nil"/>
              <w:right w:val="nil"/>
            </w:tcBorders>
            <w:shd w:val="clear" w:color="auto" w:fill="auto"/>
            <w:noWrap/>
            <w:vAlign w:val="center"/>
            <w:hideMark/>
          </w:tcPr>
          <w:p w14:paraId="611A687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4D2733B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95.6</w:t>
            </w:r>
          </w:p>
        </w:tc>
        <w:tc>
          <w:tcPr>
            <w:tcW w:w="660" w:type="dxa"/>
            <w:tcBorders>
              <w:top w:val="single" w:sz="4" w:space="0" w:color="auto"/>
              <w:left w:val="nil"/>
              <w:bottom w:val="nil"/>
              <w:right w:val="nil"/>
            </w:tcBorders>
            <w:shd w:val="clear" w:color="000000" w:fill="C4D79B"/>
            <w:noWrap/>
            <w:vAlign w:val="center"/>
            <w:hideMark/>
          </w:tcPr>
          <w:p w14:paraId="73F8B99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101.4</w:t>
            </w:r>
          </w:p>
        </w:tc>
        <w:tc>
          <w:tcPr>
            <w:tcW w:w="660" w:type="dxa"/>
            <w:tcBorders>
              <w:top w:val="single" w:sz="4" w:space="0" w:color="auto"/>
              <w:left w:val="nil"/>
              <w:bottom w:val="nil"/>
              <w:right w:val="nil"/>
            </w:tcBorders>
            <w:shd w:val="clear" w:color="auto" w:fill="auto"/>
            <w:noWrap/>
            <w:vAlign w:val="center"/>
            <w:hideMark/>
          </w:tcPr>
          <w:p w14:paraId="27F3DCB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51667D9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63ECFD6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15C1E8F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97.4</w:t>
            </w:r>
          </w:p>
        </w:tc>
        <w:tc>
          <w:tcPr>
            <w:tcW w:w="660" w:type="dxa"/>
            <w:tcBorders>
              <w:top w:val="single" w:sz="4" w:space="0" w:color="auto"/>
              <w:left w:val="nil"/>
              <w:bottom w:val="nil"/>
              <w:right w:val="nil"/>
            </w:tcBorders>
            <w:shd w:val="clear" w:color="auto" w:fill="auto"/>
            <w:noWrap/>
            <w:vAlign w:val="center"/>
            <w:hideMark/>
          </w:tcPr>
          <w:p w14:paraId="4B139E2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4AA633A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95.9</w:t>
            </w:r>
          </w:p>
        </w:tc>
        <w:tc>
          <w:tcPr>
            <w:tcW w:w="660" w:type="dxa"/>
            <w:tcBorders>
              <w:top w:val="single" w:sz="4" w:space="0" w:color="auto"/>
              <w:left w:val="nil"/>
              <w:bottom w:val="nil"/>
              <w:right w:val="single" w:sz="4" w:space="0" w:color="auto"/>
            </w:tcBorders>
            <w:shd w:val="clear" w:color="auto" w:fill="auto"/>
            <w:noWrap/>
            <w:vAlign w:val="center"/>
            <w:hideMark/>
          </w:tcPr>
          <w:p w14:paraId="6517609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117.2</w:t>
            </w:r>
          </w:p>
        </w:tc>
      </w:tr>
      <w:tr w:rsidR="00CA6300" w:rsidRPr="00CA6300" w14:paraId="1E1641FC"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33D599B"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3A379A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17E0C1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5BA3098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18B14FD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550E19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000000" w:fill="C4D79B"/>
            <w:noWrap/>
            <w:vAlign w:val="center"/>
            <w:hideMark/>
          </w:tcPr>
          <w:p w14:paraId="6AEA582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3B45DB1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01F3D1D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01C6B51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3F1E413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06B8061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5CCE2D8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4" w:space="0" w:color="auto"/>
            </w:tcBorders>
            <w:shd w:val="clear" w:color="auto" w:fill="auto"/>
            <w:noWrap/>
            <w:vAlign w:val="center"/>
            <w:hideMark/>
          </w:tcPr>
          <w:p w14:paraId="6CB6062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-0.1</w:t>
            </w:r>
          </w:p>
        </w:tc>
      </w:tr>
      <w:tr w:rsidR="00CA6300" w:rsidRPr="00CA6300" w14:paraId="3D97C002" w14:textId="77777777" w:rsidTr="00CA6300">
        <w:trPr>
          <w:trHeight w:val="222"/>
        </w:trPr>
        <w:tc>
          <w:tcPr>
            <w:tcW w:w="660" w:type="dxa"/>
            <w:vMerge w:val="restart"/>
            <w:tcBorders>
              <w:top w:val="nil"/>
              <w:left w:val="single" w:sz="4" w:space="0" w:color="auto"/>
              <w:bottom w:val="nil"/>
              <w:right w:val="nil"/>
            </w:tcBorders>
            <w:shd w:val="clear" w:color="auto" w:fill="auto"/>
            <w:noWrap/>
            <w:vAlign w:val="center"/>
            <w:hideMark/>
          </w:tcPr>
          <w:p w14:paraId="56EE2F4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0A994CC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362343C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01EC598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94.6</w:t>
            </w:r>
          </w:p>
        </w:tc>
        <w:tc>
          <w:tcPr>
            <w:tcW w:w="660" w:type="dxa"/>
            <w:tcBorders>
              <w:top w:val="nil"/>
              <w:left w:val="nil"/>
              <w:bottom w:val="nil"/>
              <w:right w:val="nil"/>
            </w:tcBorders>
            <w:shd w:val="clear" w:color="auto" w:fill="auto"/>
            <w:noWrap/>
            <w:vAlign w:val="center"/>
            <w:hideMark/>
          </w:tcPr>
          <w:p w14:paraId="63334BE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98.7</w:t>
            </w:r>
          </w:p>
        </w:tc>
        <w:tc>
          <w:tcPr>
            <w:tcW w:w="660" w:type="dxa"/>
            <w:tcBorders>
              <w:top w:val="nil"/>
              <w:left w:val="nil"/>
              <w:bottom w:val="nil"/>
              <w:right w:val="nil"/>
            </w:tcBorders>
            <w:shd w:val="clear" w:color="auto" w:fill="auto"/>
            <w:noWrap/>
            <w:vAlign w:val="center"/>
            <w:hideMark/>
          </w:tcPr>
          <w:p w14:paraId="41F4088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000000" w:fill="C4D79B"/>
            <w:noWrap/>
            <w:vAlign w:val="center"/>
            <w:hideMark/>
          </w:tcPr>
          <w:p w14:paraId="49F72C0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2A62043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97.4</w:t>
            </w:r>
          </w:p>
        </w:tc>
        <w:tc>
          <w:tcPr>
            <w:tcW w:w="660" w:type="dxa"/>
            <w:tcBorders>
              <w:top w:val="nil"/>
              <w:left w:val="nil"/>
              <w:bottom w:val="nil"/>
              <w:right w:val="nil"/>
            </w:tcBorders>
            <w:shd w:val="clear" w:color="auto" w:fill="auto"/>
            <w:noWrap/>
            <w:vAlign w:val="center"/>
            <w:hideMark/>
          </w:tcPr>
          <w:p w14:paraId="0D48270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96.8</w:t>
            </w:r>
          </w:p>
        </w:tc>
        <w:tc>
          <w:tcPr>
            <w:tcW w:w="660" w:type="dxa"/>
            <w:tcBorders>
              <w:top w:val="nil"/>
              <w:left w:val="nil"/>
              <w:bottom w:val="nil"/>
              <w:right w:val="nil"/>
            </w:tcBorders>
            <w:shd w:val="clear" w:color="auto" w:fill="auto"/>
            <w:noWrap/>
            <w:vAlign w:val="center"/>
            <w:hideMark/>
          </w:tcPr>
          <w:p w14:paraId="240E96E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98.0</w:t>
            </w:r>
          </w:p>
        </w:tc>
        <w:tc>
          <w:tcPr>
            <w:tcW w:w="660" w:type="dxa"/>
            <w:tcBorders>
              <w:top w:val="nil"/>
              <w:left w:val="nil"/>
              <w:bottom w:val="nil"/>
              <w:right w:val="nil"/>
            </w:tcBorders>
            <w:shd w:val="clear" w:color="auto" w:fill="auto"/>
            <w:noWrap/>
            <w:vAlign w:val="center"/>
            <w:hideMark/>
          </w:tcPr>
          <w:p w14:paraId="5EC007D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95.2</w:t>
            </w:r>
          </w:p>
        </w:tc>
        <w:tc>
          <w:tcPr>
            <w:tcW w:w="660" w:type="dxa"/>
            <w:tcBorders>
              <w:top w:val="nil"/>
              <w:left w:val="nil"/>
              <w:bottom w:val="nil"/>
              <w:right w:val="nil"/>
            </w:tcBorders>
            <w:shd w:val="clear" w:color="auto" w:fill="auto"/>
            <w:noWrap/>
            <w:vAlign w:val="center"/>
            <w:hideMark/>
          </w:tcPr>
          <w:p w14:paraId="07F8A5F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96.5</w:t>
            </w:r>
          </w:p>
        </w:tc>
        <w:tc>
          <w:tcPr>
            <w:tcW w:w="660" w:type="dxa"/>
            <w:tcBorders>
              <w:top w:val="nil"/>
              <w:left w:val="nil"/>
              <w:bottom w:val="nil"/>
              <w:right w:val="nil"/>
            </w:tcBorders>
            <w:shd w:val="clear" w:color="auto" w:fill="auto"/>
            <w:noWrap/>
            <w:vAlign w:val="center"/>
            <w:hideMark/>
          </w:tcPr>
          <w:p w14:paraId="69046BD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97.3</w:t>
            </w:r>
          </w:p>
        </w:tc>
        <w:tc>
          <w:tcPr>
            <w:tcW w:w="660" w:type="dxa"/>
            <w:tcBorders>
              <w:top w:val="nil"/>
              <w:left w:val="nil"/>
              <w:bottom w:val="nil"/>
              <w:right w:val="single" w:sz="4" w:space="0" w:color="auto"/>
            </w:tcBorders>
            <w:shd w:val="clear" w:color="auto" w:fill="auto"/>
            <w:noWrap/>
            <w:vAlign w:val="center"/>
            <w:hideMark/>
          </w:tcPr>
          <w:p w14:paraId="69AA194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116.6</w:t>
            </w:r>
          </w:p>
        </w:tc>
      </w:tr>
      <w:tr w:rsidR="00CA6300" w:rsidRPr="00CA6300" w14:paraId="0FD1749C" w14:textId="77777777" w:rsidTr="00CA6300">
        <w:trPr>
          <w:trHeight w:val="222"/>
        </w:trPr>
        <w:tc>
          <w:tcPr>
            <w:tcW w:w="660" w:type="dxa"/>
            <w:vMerge/>
            <w:tcBorders>
              <w:top w:val="nil"/>
              <w:left w:val="single" w:sz="4" w:space="0" w:color="auto"/>
              <w:bottom w:val="nil"/>
              <w:right w:val="nil"/>
            </w:tcBorders>
            <w:vAlign w:val="center"/>
            <w:hideMark/>
          </w:tcPr>
          <w:p w14:paraId="01ADEE10"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8928D6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947FEC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A066FB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43F81F5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20D7030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000000" w:fill="C4D79B"/>
            <w:noWrap/>
            <w:vAlign w:val="center"/>
            <w:hideMark/>
          </w:tcPr>
          <w:p w14:paraId="739B124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F18401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05FDBE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884A23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1350A5C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7F56EC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DA7C92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1.4</w:t>
            </w:r>
          </w:p>
        </w:tc>
        <w:tc>
          <w:tcPr>
            <w:tcW w:w="660" w:type="dxa"/>
            <w:tcBorders>
              <w:top w:val="nil"/>
              <w:left w:val="nil"/>
              <w:bottom w:val="nil"/>
              <w:right w:val="single" w:sz="4" w:space="0" w:color="auto"/>
            </w:tcBorders>
            <w:shd w:val="clear" w:color="auto" w:fill="auto"/>
            <w:noWrap/>
            <w:vAlign w:val="center"/>
            <w:hideMark/>
          </w:tcPr>
          <w:p w14:paraId="68DD60A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-0.5</w:t>
            </w:r>
          </w:p>
        </w:tc>
      </w:tr>
      <w:tr w:rsidR="00CA6300" w:rsidRPr="00CA6300" w14:paraId="71EA63D3"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1732FE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2013</w:t>
            </w:r>
          </w:p>
        </w:tc>
        <w:tc>
          <w:tcPr>
            <w:tcW w:w="800" w:type="dxa"/>
            <w:tcBorders>
              <w:top w:val="single" w:sz="4" w:space="0" w:color="auto"/>
              <w:left w:val="nil"/>
              <w:bottom w:val="nil"/>
              <w:right w:val="single" w:sz="4" w:space="0" w:color="auto"/>
            </w:tcBorders>
            <w:shd w:val="clear" w:color="auto" w:fill="auto"/>
            <w:noWrap/>
            <w:vAlign w:val="center"/>
            <w:hideMark/>
          </w:tcPr>
          <w:p w14:paraId="6B01A9B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9D830B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auto" w:fill="auto"/>
            <w:noWrap/>
            <w:vAlign w:val="center"/>
            <w:hideMark/>
          </w:tcPr>
          <w:p w14:paraId="35D28E1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94.5</w:t>
            </w:r>
          </w:p>
        </w:tc>
        <w:tc>
          <w:tcPr>
            <w:tcW w:w="660" w:type="dxa"/>
            <w:tcBorders>
              <w:top w:val="single" w:sz="4" w:space="0" w:color="auto"/>
              <w:left w:val="nil"/>
              <w:bottom w:val="nil"/>
              <w:right w:val="nil"/>
            </w:tcBorders>
            <w:shd w:val="clear" w:color="auto" w:fill="auto"/>
            <w:noWrap/>
            <w:vAlign w:val="center"/>
            <w:hideMark/>
          </w:tcPr>
          <w:p w14:paraId="69A2C50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246C825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000000" w:fill="C4D79B"/>
            <w:noWrap/>
            <w:vAlign w:val="center"/>
            <w:hideMark/>
          </w:tcPr>
          <w:p w14:paraId="71D2232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259C0C5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6E92A98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0B7F12F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98.8</w:t>
            </w:r>
          </w:p>
        </w:tc>
        <w:tc>
          <w:tcPr>
            <w:tcW w:w="660" w:type="dxa"/>
            <w:tcBorders>
              <w:top w:val="single" w:sz="4" w:space="0" w:color="auto"/>
              <w:left w:val="nil"/>
              <w:bottom w:val="nil"/>
              <w:right w:val="nil"/>
            </w:tcBorders>
            <w:shd w:val="clear" w:color="auto" w:fill="auto"/>
            <w:noWrap/>
            <w:vAlign w:val="center"/>
            <w:hideMark/>
          </w:tcPr>
          <w:p w14:paraId="25073CB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21B0E7B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1AB50F0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97.9</w:t>
            </w:r>
          </w:p>
        </w:tc>
        <w:tc>
          <w:tcPr>
            <w:tcW w:w="660" w:type="dxa"/>
            <w:tcBorders>
              <w:top w:val="single" w:sz="4" w:space="0" w:color="auto"/>
              <w:left w:val="nil"/>
              <w:bottom w:val="nil"/>
              <w:right w:val="single" w:sz="4" w:space="0" w:color="auto"/>
            </w:tcBorders>
            <w:shd w:val="clear" w:color="auto" w:fill="auto"/>
            <w:noWrap/>
            <w:vAlign w:val="center"/>
            <w:hideMark/>
          </w:tcPr>
          <w:p w14:paraId="2F0F1D7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118.4</w:t>
            </w:r>
          </w:p>
        </w:tc>
      </w:tr>
      <w:tr w:rsidR="00CA6300" w:rsidRPr="00CA6300" w14:paraId="65521A23"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80490AF"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22F6D4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0811A1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3.8</w:t>
            </w:r>
          </w:p>
        </w:tc>
        <w:tc>
          <w:tcPr>
            <w:tcW w:w="660" w:type="dxa"/>
            <w:tcBorders>
              <w:top w:val="nil"/>
              <w:left w:val="nil"/>
              <w:bottom w:val="single" w:sz="4" w:space="0" w:color="auto"/>
              <w:right w:val="nil"/>
            </w:tcBorders>
            <w:shd w:val="clear" w:color="auto" w:fill="auto"/>
            <w:noWrap/>
            <w:vAlign w:val="center"/>
            <w:hideMark/>
          </w:tcPr>
          <w:p w14:paraId="13D376D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3282172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43BFFEB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000000" w:fill="C4D79B"/>
            <w:noWrap/>
            <w:vAlign w:val="center"/>
            <w:hideMark/>
          </w:tcPr>
          <w:p w14:paraId="379BF63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7540A0B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4B62BAC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25A3B7D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14D157C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3E21338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1AC196E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single" w:sz="4" w:space="0" w:color="auto"/>
            </w:tcBorders>
            <w:shd w:val="clear" w:color="auto" w:fill="auto"/>
            <w:noWrap/>
            <w:vAlign w:val="center"/>
            <w:hideMark/>
          </w:tcPr>
          <w:p w14:paraId="0FC7213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1.6</w:t>
            </w:r>
          </w:p>
        </w:tc>
      </w:tr>
      <w:tr w:rsidR="00CA6300" w:rsidRPr="00CA6300" w14:paraId="51F0798D" w14:textId="77777777" w:rsidTr="00CA6300">
        <w:trPr>
          <w:trHeight w:val="222"/>
        </w:trPr>
        <w:tc>
          <w:tcPr>
            <w:tcW w:w="660" w:type="dxa"/>
            <w:vMerge w:val="restart"/>
            <w:tcBorders>
              <w:top w:val="nil"/>
              <w:left w:val="single" w:sz="4" w:space="0" w:color="auto"/>
              <w:bottom w:val="nil"/>
              <w:right w:val="nil"/>
            </w:tcBorders>
            <w:shd w:val="clear" w:color="auto" w:fill="auto"/>
            <w:noWrap/>
            <w:vAlign w:val="center"/>
            <w:hideMark/>
          </w:tcPr>
          <w:p w14:paraId="19C1A4C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34DB4DF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C4BF21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auto" w:fill="auto"/>
            <w:noWrap/>
            <w:vAlign w:val="center"/>
            <w:hideMark/>
          </w:tcPr>
          <w:p w14:paraId="6893875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7EBC01C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0D9CFBB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99.0</w:t>
            </w:r>
          </w:p>
        </w:tc>
        <w:tc>
          <w:tcPr>
            <w:tcW w:w="660" w:type="dxa"/>
            <w:tcBorders>
              <w:top w:val="nil"/>
              <w:left w:val="nil"/>
              <w:bottom w:val="nil"/>
              <w:right w:val="nil"/>
            </w:tcBorders>
            <w:shd w:val="clear" w:color="000000" w:fill="C4D79B"/>
            <w:noWrap/>
            <w:vAlign w:val="center"/>
            <w:hideMark/>
          </w:tcPr>
          <w:p w14:paraId="5A71A62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103.5</w:t>
            </w:r>
          </w:p>
        </w:tc>
        <w:tc>
          <w:tcPr>
            <w:tcW w:w="660" w:type="dxa"/>
            <w:tcBorders>
              <w:top w:val="nil"/>
              <w:left w:val="nil"/>
              <w:bottom w:val="nil"/>
              <w:right w:val="nil"/>
            </w:tcBorders>
            <w:shd w:val="clear" w:color="auto" w:fill="auto"/>
            <w:noWrap/>
            <w:vAlign w:val="center"/>
            <w:hideMark/>
          </w:tcPr>
          <w:p w14:paraId="5500C82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1A0AE4F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2EFEDA6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97.8</w:t>
            </w:r>
          </w:p>
        </w:tc>
        <w:tc>
          <w:tcPr>
            <w:tcW w:w="660" w:type="dxa"/>
            <w:tcBorders>
              <w:top w:val="nil"/>
              <w:left w:val="nil"/>
              <w:bottom w:val="nil"/>
              <w:right w:val="nil"/>
            </w:tcBorders>
            <w:shd w:val="clear" w:color="auto" w:fill="auto"/>
            <w:noWrap/>
            <w:vAlign w:val="center"/>
            <w:hideMark/>
          </w:tcPr>
          <w:p w14:paraId="020D993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97.0</w:t>
            </w:r>
          </w:p>
        </w:tc>
        <w:tc>
          <w:tcPr>
            <w:tcW w:w="660" w:type="dxa"/>
            <w:tcBorders>
              <w:top w:val="nil"/>
              <w:left w:val="nil"/>
              <w:bottom w:val="nil"/>
              <w:right w:val="nil"/>
            </w:tcBorders>
            <w:shd w:val="clear" w:color="auto" w:fill="auto"/>
            <w:noWrap/>
            <w:vAlign w:val="center"/>
            <w:hideMark/>
          </w:tcPr>
          <w:p w14:paraId="5EBC30E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74AD81F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nil"/>
              <w:left w:val="nil"/>
              <w:bottom w:val="nil"/>
              <w:right w:val="single" w:sz="4" w:space="0" w:color="auto"/>
            </w:tcBorders>
            <w:shd w:val="clear" w:color="auto" w:fill="auto"/>
            <w:noWrap/>
            <w:vAlign w:val="center"/>
            <w:hideMark/>
          </w:tcPr>
          <w:p w14:paraId="3F5F9C0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117.9</w:t>
            </w:r>
          </w:p>
        </w:tc>
      </w:tr>
      <w:tr w:rsidR="00CA6300" w:rsidRPr="00CA6300" w14:paraId="2777D676" w14:textId="77777777" w:rsidTr="00CA6300">
        <w:trPr>
          <w:trHeight w:val="222"/>
        </w:trPr>
        <w:tc>
          <w:tcPr>
            <w:tcW w:w="660" w:type="dxa"/>
            <w:vMerge/>
            <w:tcBorders>
              <w:top w:val="nil"/>
              <w:left w:val="single" w:sz="4" w:space="0" w:color="auto"/>
              <w:bottom w:val="nil"/>
              <w:right w:val="nil"/>
            </w:tcBorders>
            <w:vAlign w:val="center"/>
            <w:hideMark/>
          </w:tcPr>
          <w:p w14:paraId="1173EFFD"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7CA879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FC16F8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5AE11BB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8F0E46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1C76B0E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000000" w:fill="C4D79B"/>
            <w:noWrap/>
            <w:vAlign w:val="center"/>
            <w:hideMark/>
          </w:tcPr>
          <w:p w14:paraId="106DB9A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C7821C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07B558B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5318400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45C986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F4F245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2A32330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62DBDB4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-0.4</w:t>
            </w:r>
          </w:p>
        </w:tc>
      </w:tr>
      <w:tr w:rsidR="00CA6300" w:rsidRPr="00CA6300" w14:paraId="2EED1FBF"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B6B320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2015</w:t>
            </w:r>
          </w:p>
        </w:tc>
        <w:tc>
          <w:tcPr>
            <w:tcW w:w="800" w:type="dxa"/>
            <w:tcBorders>
              <w:top w:val="single" w:sz="4" w:space="0" w:color="auto"/>
              <w:left w:val="nil"/>
              <w:bottom w:val="nil"/>
              <w:right w:val="single" w:sz="4" w:space="0" w:color="auto"/>
            </w:tcBorders>
            <w:shd w:val="clear" w:color="auto" w:fill="auto"/>
            <w:noWrap/>
            <w:vAlign w:val="center"/>
            <w:hideMark/>
          </w:tcPr>
          <w:p w14:paraId="1A6B031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663882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036B8D2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95.5</w:t>
            </w:r>
          </w:p>
        </w:tc>
        <w:tc>
          <w:tcPr>
            <w:tcW w:w="660" w:type="dxa"/>
            <w:tcBorders>
              <w:top w:val="single" w:sz="4" w:space="0" w:color="auto"/>
              <w:left w:val="nil"/>
              <w:bottom w:val="nil"/>
              <w:right w:val="nil"/>
            </w:tcBorders>
            <w:shd w:val="clear" w:color="auto" w:fill="auto"/>
            <w:noWrap/>
            <w:vAlign w:val="center"/>
            <w:hideMark/>
          </w:tcPr>
          <w:p w14:paraId="5013A9A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99.6</w:t>
            </w:r>
          </w:p>
        </w:tc>
        <w:tc>
          <w:tcPr>
            <w:tcW w:w="660" w:type="dxa"/>
            <w:tcBorders>
              <w:top w:val="single" w:sz="4" w:space="0" w:color="auto"/>
              <w:left w:val="nil"/>
              <w:bottom w:val="nil"/>
              <w:right w:val="nil"/>
            </w:tcBorders>
            <w:shd w:val="clear" w:color="auto" w:fill="auto"/>
            <w:noWrap/>
            <w:vAlign w:val="center"/>
            <w:hideMark/>
          </w:tcPr>
          <w:p w14:paraId="1D5F346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000000" w:fill="C4D79B"/>
            <w:noWrap/>
            <w:vAlign w:val="center"/>
            <w:hideMark/>
          </w:tcPr>
          <w:p w14:paraId="6869D54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105.3</w:t>
            </w:r>
          </w:p>
        </w:tc>
        <w:tc>
          <w:tcPr>
            <w:tcW w:w="660" w:type="dxa"/>
            <w:tcBorders>
              <w:top w:val="single" w:sz="4" w:space="0" w:color="auto"/>
              <w:left w:val="nil"/>
              <w:bottom w:val="nil"/>
              <w:right w:val="nil"/>
            </w:tcBorders>
            <w:shd w:val="clear" w:color="auto" w:fill="auto"/>
            <w:noWrap/>
            <w:vAlign w:val="center"/>
            <w:hideMark/>
          </w:tcPr>
          <w:p w14:paraId="3F28667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0BF0340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101.7</w:t>
            </w:r>
          </w:p>
        </w:tc>
        <w:tc>
          <w:tcPr>
            <w:tcW w:w="660" w:type="dxa"/>
            <w:tcBorders>
              <w:top w:val="single" w:sz="4" w:space="0" w:color="auto"/>
              <w:left w:val="nil"/>
              <w:bottom w:val="nil"/>
              <w:right w:val="nil"/>
            </w:tcBorders>
            <w:shd w:val="clear" w:color="auto" w:fill="auto"/>
            <w:noWrap/>
            <w:vAlign w:val="center"/>
            <w:hideMark/>
          </w:tcPr>
          <w:p w14:paraId="1909DFD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2ADD246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00C97EF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4D17DE5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99.7</w:t>
            </w:r>
          </w:p>
        </w:tc>
        <w:tc>
          <w:tcPr>
            <w:tcW w:w="660" w:type="dxa"/>
            <w:tcBorders>
              <w:top w:val="single" w:sz="4" w:space="0" w:color="auto"/>
              <w:left w:val="nil"/>
              <w:bottom w:val="nil"/>
              <w:right w:val="single" w:sz="4" w:space="0" w:color="auto"/>
            </w:tcBorders>
            <w:shd w:val="clear" w:color="auto" w:fill="auto"/>
            <w:noWrap/>
            <w:vAlign w:val="center"/>
            <w:hideMark/>
          </w:tcPr>
          <w:p w14:paraId="27BA3E1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120.1</w:t>
            </w:r>
          </w:p>
        </w:tc>
      </w:tr>
      <w:tr w:rsidR="00CA6300" w:rsidRPr="00CA6300" w14:paraId="40297246"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9E7B3FB"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8F09CF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1C2A87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13C4C26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7E63C57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549B0EF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000000" w:fill="C4D79B"/>
            <w:noWrap/>
            <w:vAlign w:val="center"/>
            <w:hideMark/>
          </w:tcPr>
          <w:p w14:paraId="5B9AF8E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634C369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7DD8572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6F93D0B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14BA4DF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4A4D44E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11596C2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2.1</w:t>
            </w:r>
          </w:p>
        </w:tc>
        <w:tc>
          <w:tcPr>
            <w:tcW w:w="660" w:type="dxa"/>
            <w:tcBorders>
              <w:top w:val="nil"/>
              <w:left w:val="nil"/>
              <w:bottom w:val="single" w:sz="4" w:space="0" w:color="auto"/>
              <w:right w:val="single" w:sz="4" w:space="0" w:color="auto"/>
            </w:tcBorders>
            <w:shd w:val="clear" w:color="auto" w:fill="auto"/>
            <w:noWrap/>
            <w:vAlign w:val="center"/>
            <w:hideMark/>
          </w:tcPr>
          <w:p w14:paraId="2E95B40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1.8</w:t>
            </w:r>
          </w:p>
        </w:tc>
      </w:tr>
      <w:tr w:rsidR="00CA6300" w:rsidRPr="00CA6300" w14:paraId="265CCA23" w14:textId="77777777" w:rsidTr="00CA6300">
        <w:trPr>
          <w:trHeight w:val="222"/>
        </w:trPr>
        <w:tc>
          <w:tcPr>
            <w:tcW w:w="660" w:type="dxa"/>
            <w:vMerge w:val="restart"/>
            <w:tcBorders>
              <w:top w:val="nil"/>
              <w:left w:val="single" w:sz="4" w:space="0" w:color="auto"/>
              <w:bottom w:val="nil"/>
              <w:right w:val="nil"/>
            </w:tcBorders>
            <w:shd w:val="clear" w:color="auto" w:fill="auto"/>
            <w:noWrap/>
            <w:vAlign w:val="center"/>
            <w:hideMark/>
          </w:tcPr>
          <w:p w14:paraId="1111C49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71AEC00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80A703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auto" w:fill="auto"/>
            <w:noWrap/>
            <w:vAlign w:val="center"/>
            <w:hideMark/>
          </w:tcPr>
          <w:p w14:paraId="2380B2F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auto" w:fill="auto"/>
            <w:noWrap/>
            <w:vAlign w:val="center"/>
            <w:hideMark/>
          </w:tcPr>
          <w:p w14:paraId="1B5DBF2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103.2</w:t>
            </w:r>
          </w:p>
        </w:tc>
        <w:tc>
          <w:tcPr>
            <w:tcW w:w="660" w:type="dxa"/>
            <w:tcBorders>
              <w:top w:val="nil"/>
              <w:left w:val="nil"/>
              <w:bottom w:val="nil"/>
              <w:right w:val="nil"/>
            </w:tcBorders>
            <w:shd w:val="clear" w:color="auto" w:fill="auto"/>
            <w:noWrap/>
            <w:vAlign w:val="center"/>
            <w:hideMark/>
          </w:tcPr>
          <w:p w14:paraId="767A77A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000000" w:fill="C4D79B"/>
            <w:noWrap/>
            <w:vAlign w:val="center"/>
            <w:hideMark/>
          </w:tcPr>
          <w:p w14:paraId="534D4EF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106.9</w:t>
            </w:r>
          </w:p>
        </w:tc>
        <w:tc>
          <w:tcPr>
            <w:tcW w:w="660" w:type="dxa"/>
            <w:tcBorders>
              <w:top w:val="nil"/>
              <w:left w:val="nil"/>
              <w:bottom w:val="nil"/>
              <w:right w:val="nil"/>
            </w:tcBorders>
            <w:shd w:val="clear" w:color="auto" w:fill="auto"/>
            <w:noWrap/>
            <w:vAlign w:val="center"/>
            <w:hideMark/>
          </w:tcPr>
          <w:p w14:paraId="57DBE33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103.8</w:t>
            </w:r>
          </w:p>
        </w:tc>
        <w:tc>
          <w:tcPr>
            <w:tcW w:w="660" w:type="dxa"/>
            <w:tcBorders>
              <w:top w:val="nil"/>
              <w:left w:val="nil"/>
              <w:bottom w:val="nil"/>
              <w:right w:val="nil"/>
            </w:tcBorders>
            <w:shd w:val="clear" w:color="auto" w:fill="auto"/>
            <w:noWrap/>
            <w:vAlign w:val="center"/>
            <w:hideMark/>
          </w:tcPr>
          <w:p w14:paraId="29A80A9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102.6</w:t>
            </w:r>
          </w:p>
        </w:tc>
        <w:tc>
          <w:tcPr>
            <w:tcW w:w="660" w:type="dxa"/>
            <w:tcBorders>
              <w:top w:val="nil"/>
              <w:left w:val="nil"/>
              <w:bottom w:val="nil"/>
              <w:right w:val="nil"/>
            </w:tcBorders>
            <w:shd w:val="clear" w:color="auto" w:fill="auto"/>
            <w:noWrap/>
            <w:vAlign w:val="center"/>
            <w:hideMark/>
          </w:tcPr>
          <w:p w14:paraId="2EAA643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102.3</w:t>
            </w:r>
          </w:p>
        </w:tc>
        <w:tc>
          <w:tcPr>
            <w:tcW w:w="660" w:type="dxa"/>
            <w:tcBorders>
              <w:top w:val="nil"/>
              <w:left w:val="nil"/>
              <w:bottom w:val="nil"/>
              <w:right w:val="nil"/>
            </w:tcBorders>
            <w:shd w:val="clear" w:color="auto" w:fill="auto"/>
            <w:noWrap/>
            <w:vAlign w:val="center"/>
            <w:hideMark/>
          </w:tcPr>
          <w:p w14:paraId="59D3A8B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103.1</w:t>
            </w:r>
          </w:p>
        </w:tc>
        <w:tc>
          <w:tcPr>
            <w:tcW w:w="660" w:type="dxa"/>
            <w:tcBorders>
              <w:top w:val="nil"/>
              <w:left w:val="nil"/>
              <w:bottom w:val="nil"/>
              <w:right w:val="nil"/>
            </w:tcBorders>
            <w:shd w:val="clear" w:color="auto" w:fill="auto"/>
            <w:noWrap/>
            <w:vAlign w:val="center"/>
            <w:hideMark/>
          </w:tcPr>
          <w:p w14:paraId="27FD1FD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34BA87D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101.2</w:t>
            </w:r>
          </w:p>
        </w:tc>
        <w:tc>
          <w:tcPr>
            <w:tcW w:w="660" w:type="dxa"/>
            <w:tcBorders>
              <w:top w:val="nil"/>
              <w:left w:val="nil"/>
              <w:bottom w:val="nil"/>
              <w:right w:val="single" w:sz="4" w:space="0" w:color="auto"/>
            </w:tcBorders>
            <w:shd w:val="clear" w:color="auto" w:fill="auto"/>
            <w:noWrap/>
            <w:vAlign w:val="center"/>
            <w:hideMark/>
          </w:tcPr>
          <w:p w14:paraId="72FB1B8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123.6</w:t>
            </w:r>
          </w:p>
        </w:tc>
      </w:tr>
      <w:tr w:rsidR="00CA6300" w:rsidRPr="00CA6300" w14:paraId="60BA8145" w14:textId="77777777" w:rsidTr="00CA6300">
        <w:trPr>
          <w:trHeight w:val="222"/>
        </w:trPr>
        <w:tc>
          <w:tcPr>
            <w:tcW w:w="660" w:type="dxa"/>
            <w:vMerge/>
            <w:tcBorders>
              <w:top w:val="nil"/>
              <w:left w:val="single" w:sz="4" w:space="0" w:color="auto"/>
              <w:bottom w:val="nil"/>
              <w:right w:val="nil"/>
            </w:tcBorders>
            <w:vAlign w:val="center"/>
            <w:hideMark/>
          </w:tcPr>
          <w:p w14:paraId="50C3795B"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6136D5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255FE1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8028D3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34EFE89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3.7</w:t>
            </w:r>
          </w:p>
        </w:tc>
        <w:tc>
          <w:tcPr>
            <w:tcW w:w="660" w:type="dxa"/>
            <w:tcBorders>
              <w:top w:val="nil"/>
              <w:left w:val="nil"/>
              <w:bottom w:val="nil"/>
              <w:right w:val="nil"/>
            </w:tcBorders>
            <w:shd w:val="clear" w:color="auto" w:fill="auto"/>
            <w:noWrap/>
            <w:vAlign w:val="center"/>
            <w:hideMark/>
          </w:tcPr>
          <w:p w14:paraId="72BAEDD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000000" w:fill="C4D79B"/>
            <w:noWrap/>
            <w:vAlign w:val="center"/>
            <w:hideMark/>
          </w:tcPr>
          <w:p w14:paraId="0843ADD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77115C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4.1</w:t>
            </w:r>
          </w:p>
        </w:tc>
        <w:tc>
          <w:tcPr>
            <w:tcW w:w="660" w:type="dxa"/>
            <w:tcBorders>
              <w:top w:val="nil"/>
              <w:left w:val="nil"/>
              <w:bottom w:val="nil"/>
              <w:right w:val="nil"/>
            </w:tcBorders>
            <w:shd w:val="clear" w:color="auto" w:fill="auto"/>
            <w:noWrap/>
            <w:vAlign w:val="center"/>
            <w:hideMark/>
          </w:tcPr>
          <w:p w14:paraId="385E4D9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14D4485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3.6</w:t>
            </w:r>
          </w:p>
        </w:tc>
        <w:tc>
          <w:tcPr>
            <w:tcW w:w="660" w:type="dxa"/>
            <w:tcBorders>
              <w:top w:val="nil"/>
              <w:left w:val="nil"/>
              <w:bottom w:val="nil"/>
              <w:right w:val="nil"/>
            </w:tcBorders>
            <w:shd w:val="clear" w:color="auto" w:fill="auto"/>
            <w:noWrap/>
            <w:vAlign w:val="center"/>
            <w:hideMark/>
          </w:tcPr>
          <w:p w14:paraId="2EE8164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18ACB35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468AD8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2ED5F23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3.0</w:t>
            </w:r>
          </w:p>
        </w:tc>
      </w:tr>
      <w:tr w:rsidR="00CA6300" w:rsidRPr="00CA6300" w14:paraId="7EF33CA1"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DFE2AF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2017</w:t>
            </w:r>
          </w:p>
        </w:tc>
        <w:tc>
          <w:tcPr>
            <w:tcW w:w="800" w:type="dxa"/>
            <w:tcBorders>
              <w:top w:val="single" w:sz="4" w:space="0" w:color="auto"/>
              <w:left w:val="nil"/>
              <w:bottom w:val="nil"/>
              <w:right w:val="single" w:sz="4" w:space="0" w:color="auto"/>
            </w:tcBorders>
            <w:shd w:val="clear" w:color="auto" w:fill="auto"/>
            <w:noWrap/>
            <w:vAlign w:val="center"/>
            <w:hideMark/>
          </w:tcPr>
          <w:p w14:paraId="4AC39CC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D623DC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4CE80F8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7DA9400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610B3CE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000000" w:fill="C4D79B"/>
            <w:noWrap/>
            <w:vAlign w:val="center"/>
            <w:hideMark/>
          </w:tcPr>
          <w:p w14:paraId="072BCE9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107.1</w:t>
            </w:r>
          </w:p>
        </w:tc>
        <w:tc>
          <w:tcPr>
            <w:tcW w:w="660" w:type="dxa"/>
            <w:tcBorders>
              <w:top w:val="single" w:sz="4" w:space="0" w:color="auto"/>
              <w:left w:val="nil"/>
              <w:bottom w:val="nil"/>
              <w:right w:val="nil"/>
            </w:tcBorders>
            <w:shd w:val="clear" w:color="auto" w:fill="auto"/>
            <w:noWrap/>
            <w:vAlign w:val="center"/>
            <w:hideMark/>
          </w:tcPr>
          <w:p w14:paraId="36A0856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472B0D3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auto" w:fill="auto"/>
            <w:noWrap/>
            <w:vAlign w:val="center"/>
            <w:hideMark/>
          </w:tcPr>
          <w:p w14:paraId="59A6214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101.8</w:t>
            </w:r>
          </w:p>
        </w:tc>
        <w:tc>
          <w:tcPr>
            <w:tcW w:w="660" w:type="dxa"/>
            <w:tcBorders>
              <w:top w:val="single" w:sz="4" w:space="0" w:color="auto"/>
              <w:left w:val="nil"/>
              <w:bottom w:val="nil"/>
              <w:right w:val="nil"/>
            </w:tcBorders>
            <w:shd w:val="clear" w:color="auto" w:fill="auto"/>
            <w:noWrap/>
            <w:vAlign w:val="center"/>
            <w:hideMark/>
          </w:tcPr>
          <w:p w14:paraId="5556E8F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023465F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auto" w:fill="auto"/>
            <w:noWrap/>
            <w:vAlign w:val="center"/>
            <w:hideMark/>
          </w:tcPr>
          <w:p w14:paraId="2F37549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102.1</w:t>
            </w:r>
          </w:p>
        </w:tc>
        <w:tc>
          <w:tcPr>
            <w:tcW w:w="660" w:type="dxa"/>
            <w:tcBorders>
              <w:top w:val="single" w:sz="4" w:space="0" w:color="auto"/>
              <w:left w:val="nil"/>
              <w:bottom w:val="nil"/>
              <w:right w:val="single" w:sz="4" w:space="0" w:color="auto"/>
            </w:tcBorders>
            <w:shd w:val="clear" w:color="auto" w:fill="auto"/>
            <w:noWrap/>
            <w:vAlign w:val="center"/>
            <w:hideMark/>
          </w:tcPr>
          <w:p w14:paraId="78B6269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120.9</w:t>
            </w:r>
          </w:p>
        </w:tc>
      </w:tr>
      <w:tr w:rsidR="00CA6300" w:rsidRPr="00CA6300" w14:paraId="6E46E6BD"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469DB4E"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C0F320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DFFFA1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1029DE0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3138A49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650FF99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000000" w:fill="C4D79B"/>
            <w:noWrap/>
            <w:vAlign w:val="center"/>
            <w:hideMark/>
          </w:tcPr>
          <w:p w14:paraId="30E71EE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2D993FD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B33C0B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3B7659D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46609FA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-2.8</w:t>
            </w:r>
          </w:p>
        </w:tc>
        <w:tc>
          <w:tcPr>
            <w:tcW w:w="660" w:type="dxa"/>
            <w:tcBorders>
              <w:top w:val="nil"/>
              <w:left w:val="nil"/>
              <w:bottom w:val="single" w:sz="4" w:space="0" w:color="auto"/>
              <w:right w:val="nil"/>
            </w:tcBorders>
            <w:shd w:val="clear" w:color="auto" w:fill="auto"/>
            <w:noWrap/>
            <w:vAlign w:val="center"/>
            <w:hideMark/>
          </w:tcPr>
          <w:p w14:paraId="03D8FB9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3638C5B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0.9</w:t>
            </w:r>
          </w:p>
        </w:tc>
        <w:tc>
          <w:tcPr>
            <w:tcW w:w="660" w:type="dxa"/>
            <w:tcBorders>
              <w:top w:val="nil"/>
              <w:left w:val="nil"/>
              <w:bottom w:val="single" w:sz="4" w:space="0" w:color="auto"/>
              <w:right w:val="single" w:sz="4" w:space="0" w:color="auto"/>
            </w:tcBorders>
            <w:shd w:val="clear" w:color="auto" w:fill="auto"/>
            <w:noWrap/>
            <w:vAlign w:val="center"/>
            <w:hideMark/>
          </w:tcPr>
          <w:p w14:paraId="3B05F2F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-2.2</w:t>
            </w:r>
          </w:p>
        </w:tc>
      </w:tr>
      <w:tr w:rsidR="00CA6300" w:rsidRPr="00CA6300" w14:paraId="5E36B118"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10EC7E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1F181B2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AD7458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98.2</w:t>
            </w:r>
          </w:p>
        </w:tc>
        <w:tc>
          <w:tcPr>
            <w:tcW w:w="660" w:type="dxa"/>
            <w:tcBorders>
              <w:top w:val="nil"/>
              <w:left w:val="nil"/>
              <w:bottom w:val="nil"/>
              <w:right w:val="nil"/>
            </w:tcBorders>
            <w:shd w:val="clear" w:color="auto" w:fill="auto"/>
            <w:noWrap/>
            <w:vAlign w:val="center"/>
            <w:hideMark/>
          </w:tcPr>
          <w:p w14:paraId="2F93C82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97.8</w:t>
            </w:r>
          </w:p>
        </w:tc>
        <w:tc>
          <w:tcPr>
            <w:tcW w:w="660" w:type="dxa"/>
            <w:tcBorders>
              <w:top w:val="nil"/>
              <w:left w:val="nil"/>
              <w:bottom w:val="nil"/>
              <w:right w:val="nil"/>
            </w:tcBorders>
            <w:shd w:val="clear" w:color="auto" w:fill="auto"/>
            <w:noWrap/>
            <w:vAlign w:val="center"/>
            <w:hideMark/>
          </w:tcPr>
          <w:p w14:paraId="537348B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104.0</w:t>
            </w:r>
          </w:p>
        </w:tc>
        <w:tc>
          <w:tcPr>
            <w:tcW w:w="660" w:type="dxa"/>
            <w:tcBorders>
              <w:top w:val="nil"/>
              <w:left w:val="nil"/>
              <w:bottom w:val="nil"/>
              <w:right w:val="nil"/>
            </w:tcBorders>
            <w:shd w:val="clear" w:color="auto" w:fill="auto"/>
            <w:noWrap/>
            <w:vAlign w:val="center"/>
            <w:hideMark/>
          </w:tcPr>
          <w:p w14:paraId="08B9F45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102.0</w:t>
            </w:r>
          </w:p>
        </w:tc>
        <w:tc>
          <w:tcPr>
            <w:tcW w:w="660" w:type="dxa"/>
            <w:tcBorders>
              <w:top w:val="nil"/>
              <w:left w:val="nil"/>
              <w:bottom w:val="nil"/>
              <w:right w:val="nil"/>
            </w:tcBorders>
            <w:shd w:val="clear" w:color="000000" w:fill="C4D79B"/>
            <w:noWrap/>
            <w:vAlign w:val="center"/>
            <w:hideMark/>
          </w:tcPr>
          <w:p w14:paraId="60E08A1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109.3</w:t>
            </w:r>
          </w:p>
        </w:tc>
        <w:tc>
          <w:tcPr>
            <w:tcW w:w="660" w:type="dxa"/>
            <w:tcBorders>
              <w:top w:val="nil"/>
              <w:left w:val="nil"/>
              <w:bottom w:val="nil"/>
              <w:right w:val="nil"/>
            </w:tcBorders>
            <w:shd w:val="clear" w:color="auto" w:fill="auto"/>
            <w:noWrap/>
            <w:vAlign w:val="center"/>
            <w:hideMark/>
          </w:tcPr>
          <w:p w14:paraId="211EB3A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103.7</w:t>
            </w:r>
          </w:p>
        </w:tc>
        <w:tc>
          <w:tcPr>
            <w:tcW w:w="660" w:type="dxa"/>
            <w:tcBorders>
              <w:top w:val="nil"/>
              <w:left w:val="nil"/>
              <w:bottom w:val="nil"/>
              <w:right w:val="nil"/>
            </w:tcBorders>
            <w:shd w:val="clear" w:color="auto" w:fill="auto"/>
            <w:noWrap/>
            <w:vAlign w:val="center"/>
            <w:hideMark/>
          </w:tcPr>
          <w:p w14:paraId="31DEEDF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102.4</w:t>
            </w:r>
          </w:p>
        </w:tc>
        <w:tc>
          <w:tcPr>
            <w:tcW w:w="660" w:type="dxa"/>
            <w:tcBorders>
              <w:top w:val="nil"/>
              <w:left w:val="nil"/>
              <w:bottom w:val="nil"/>
              <w:right w:val="nil"/>
            </w:tcBorders>
            <w:shd w:val="clear" w:color="auto" w:fill="auto"/>
            <w:noWrap/>
            <w:vAlign w:val="center"/>
            <w:hideMark/>
          </w:tcPr>
          <w:p w14:paraId="505B6CC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104.8</w:t>
            </w:r>
          </w:p>
        </w:tc>
        <w:tc>
          <w:tcPr>
            <w:tcW w:w="660" w:type="dxa"/>
            <w:tcBorders>
              <w:top w:val="nil"/>
              <w:left w:val="nil"/>
              <w:bottom w:val="nil"/>
              <w:right w:val="nil"/>
            </w:tcBorders>
            <w:shd w:val="clear" w:color="auto" w:fill="auto"/>
            <w:noWrap/>
            <w:vAlign w:val="center"/>
            <w:hideMark/>
          </w:tcPr>
          <w:p w14:paraId="5E68DE8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101.0</w:t>
            </w:r>
          </w:p>
        </w:tc>
        <w:tc>
          <w:tcPr>
            <w:tcW w:w="660" w:type="dxa"/>
            <w:tcBorders>
              <w:top w:val="nil"/>
              <w:left w:val="nil"/>
              <w:bottom w:val="nil"/>
              <w:right w:val="nil"/>
            </w:tcBorders>
            <w:shd w:val="clear" w:color="auto" w:fill="auto"/>
            <w:noWrap/>
            <w:vAlign w:val="center"/>
            <w:hideMark/>
          </w:tcPr>
          <w:p w14:paraId="782E429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102.6</w:t>
            </w:r>
          </w:p>
        </w:tc>
        <w:tc>
          <w:tcPr>
            <w:tcW w:w="660" w:type="dxa"/>
            <w:tcBorders>
              <w:top w:val="nil"/>
              <w:left w:val="nil"/>
              <w:bottom w:val="nil"/>
              <w:right w:val="nil"/>
            </w:tcBorders>
            <w:shd w:val="clear" w:color="auto" w:fill="auto"/>
            <w:noWrap/>
            <w:vAlign w:val="center"/>
            <w:hideMark/>
          </w:tcPr>
          <w:p w14:paraId="21BCF79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104.1</w:t>
            </w:r>
          </w:p>
        </w:tc>
        <w:tc>
          <w:tcPr>
            <w:tcW w:w="660" w:type="dxa"/>
            <w:tcBorders>
              <w:top w:val="nil"/>
              <w:left w:val="nil"/>
              <w:bottom w:val="nil"/>
              <w:right w:val="single" w:sz="4" w:space="0" w:color="auto"/>
            </w:tcBorders>
            <w:shd w:val="clear" w:color="auto" w:fill="auto"/>
            <w:noWrap/>
            <w:vAlign w:val="center"/>
            <w:hideMark/>
          </w:tcPr>
          <w:p w14:paraId="69723A6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122.7</w:t>
            </w:r>
          </w:p>
        </w:tc>
      </w:tr>
      <w:tr w:rsidR="00CA6300" w:rsidRPr="00CA6300" w14:paraId="61E972F1"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334CA58"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B438FF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9F8178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3DAC8E5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1FDD348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0434531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000000" w:fill="C4D79B"/>
            <w:noWrap/>
            <w:vAlign w:val="center"/>
            <w:hideMark/>
          </w:tcPr>
          <w:p w14:paraId="666385F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317704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053B574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5090A99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3.0</w:t>
            </w:r>
          </w:p>
        </w:tc>
        <w:tc>
          <w:tcPr>
            <w:tcW w:w="660" w:type="dxa"/>
            <w:tcBorders>
              <w:top w:val="nil"/>
              <w:left w:val="nil"/>
              <w:bottom w:val="single" w:sz="4" w:space="0" w:color="auto"/>
              <w:right w:val="nil"/>
            </w:tcBorders>
            <w:shd w:val="clear" w:color="auto" w:fill="auto"/>
            <w:noWrap/>
            <w:vAlign w:val="center"/>
            <w:hideMark/>
          </w:tcPr>
          <w:p w14:paraId="58C7F64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0A3FE08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F947F1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w:t>
            </w:r>
          </w:p>
        </w:tc>
        <w:tc>
          <w:tcPr>
            <w:tcW w:w="660" w:type="dxa"/>
            <w:tcBorders>
              <w:top w:val="nil"/>
              <w:left w:val="nil"/>
              <w:bottom w:val="single" w:sz="4" w:space="0" w:color="auto"/>
              <w:right w:val="single" w:sz="4" w:space="0" w:color="auto"/>
            </w:tcBorders>
            <w:shd w:val="clear" w:color="auto" w:fill="auto"/>
            <w:noWrap/>
            <w:vAlign w:val="center"/>
            <w:hideMark/>
          </w:tcPr>
          <w:p w14:paraId="0EDD7BF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1.5</w:t>
            </w:r>
          </w:p>
        </w:tc>
      </w:tr>
      <w:tr w:rsidR="00CA6300" w:rsidRPr="00CA6300" w14:paraId="257CE0A9"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3EB7AF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0BD83EE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1F1E51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auto" w:fill="auto"/>
            <w:noWrap/>
            <w:vAlign w:val="center"/>
            <w:hideMark/>
          </w:tcPr>
          <w:p w14:paraId="37EF17B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100.5</w:t>
            </w:r>
          </w:p>
        </w:tc>
        <w:tc>
          <w:tcPr>
            <w:tcW w:w="660" w:type="dxa"/>
            <w:tcBorders>
              <w:top w:val="nil"/>
              <w:left w:val="nil"/>
              <w:bottom w:val="nil"/>
              <w:right w:val="nil"/>
            </w:tcBorders>
            <w:shd w:val="clear" w:color="auto" w:fill="auto"/>
            <w:noWrap/>
            <w:vAlign w:val="center"/>
            <w:hideMark/>
          </w:tcPr>
          <w:p w14:paraId="6A6CEE2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105.5</w:t>
            </w:r>
          </w:p>
        </w:tc>
        <w:tc>
          <w:tcPr>
            <w:tcW w:w="660" w:type="dxa"/>
            <w:tcBorders>
              <w:top w:val="nil"/>
              <w:left w:val="nil"/>
              <w:bottom w:val="nil"/>
              <w:right w:val="nil"/>
            </w:tcBorders>
            <w:shd w:val="clear" w:color="auto" w:fill="auto"/>
            <w:noWrap/>
            <w:vAlign w:val="center"/>
            <w:hideMark/>
          </w:tcPr>
          <w:p w14:paraId="6FF9C4A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104.5</w:t>
            </w:r>
          </w:p>
        </w:tc>
        <w:tc>
          <w:tcPr>
            <w:tcW w:w="660" w:type="dxa"/>
            <w:tcBorders>
              <w:top w:val="nil"/>
              <w:left w:val="nil"/>
              <w:bottom w:val="nil"/>
              <w:right w:val="nil"/>
            </w:tcBorders>
            <w:shd w:val="clear" w:color="000000" w:fill="C4D79B"/>
            <w:noWrap/>
            <w:vAlign w:val="center"/>
            <w:hideMark/>
          </w:tcPr>
          <w:p w14:paraId="5BFB37F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111.4</w:t>
            </w:r>
          </w:p>
        </w:tc>
        <w:tc>
          <w:tcPr>
            <w:tcW w:w="660" w:type="dxa"/>
            <w:tcBorders>
              <w:top w:val="nil"/>
              <w:left w:val="nil"/>
              <w:bottom w:val="nil"/>
              <w:right w:val="nil"/>
            </w:tcBorders>
            <w:shd w:val="clear" w:color="auto" w:fill="auto"/>
            <w:noWrap/>
            <w:vAlign w:val="center"/>
            <w:hideMark/>
          </w:tcPr>
          <w:p w14:paraId="4F9F59E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2F488B7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0D1C50C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106.6</w:t>
            </w:r>
          </w:p>
        </w:tc>
        <w:tc>
          <w:tcPr>
            <w:tcW w:w="660" w:type="dxa"/>
            <w:tcBorders>
              <w:top w:val="nil"/>
              <w:left w:val="nil"/>
              <w:bottom w:val="nil"/>
              <w:right w:val="nil"/>
            </w:tcBorders>
            <w:shd w:val="clear" w:color="auto" w:fill="auto"/>
            <w:noWrap/>
            <w:vAlign w:val="center"/>
            <w:hideMark/>
          </w:tcPr>
          <w:p w14:paraId="1254446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45D1EAC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auto" w:fill="auto"/>
            <w:noWrap/>
            <w:vAlign w:val="center"/>
            <w:hideMark/>
          </w:tcPr>
          <w:p w14:paraId="2128C4B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105.7</w:t>
            </w:r>
          </w:p>
        </w:tc>
        <w:tc>
          <w:tcPr>
            <w:tcW w:w="660" w:type="dxa"/>
            <w:tcBorders>
              <w:top w:val="nil"/>
              <w:left w:val="nil"/>
              <w:bottom w:val="nil"/>
              <w:right w:val="single" w:sz="4" w:space="0" w:color="auto"/>
            </w:tcBorders>
            <w:shd w:val="clear" w:color="auto" w:fill="auto"/>
            <w:noWrap/>
            <w:vAlign w:val="center"/>
            <w:hideMark/>
          </w:tcPr>
          <w:p w14:paraId="340E591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127.7</w:t>
            </w:r>
          </w:p>
        </w:tc>
      </w:tr>
      <w:tr w:rsidR="00CA6300" w:rsidRPr="00CA6300" w14:paraId="5120B944"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2C37F4C"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0F7608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D3ECD5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3.3</w:t>
            </w:r>
          </w:p>
        </w:tc>
        <w:tc>
          <w:tcPr>
            <w:tcW w:w="660" w:type="dxa"/>
            <w:tcBorders>
              <w:top w:val="nil"/>
              <w:left w:val="nil"/>
              <w:bottom w:val="single" w:sz="4" w:space="0" w:color="auto"/>
              <w:right w:val="nil"/>
            </w:tcBorders>
            <w:shd w:val="clear" w:color="auto" w:fill="auto"/>
            <w:noWrap/>
            <w:vAlign w:val="center"/>
            <w:hideMark/>
          </w:tcPr>
          <w:p w14:paraId="3D57980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6471460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689928F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000000" w:fill="C4D79B"/>
            <w:noWrap/>
            <w:vAlign w:val="center"/>
            <w:hideMark/>
          </w:tcPr>
          <w:p w14:paraId="56C4F66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5D2CA3A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148E40C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30575A8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2239814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3.5</w:t>
            </w:r>
          </w:p>
        </w:tc>
        <w:tc>
          <w:tcPr>
            <w:tcW w:w="660" w:type="dxa"/>
            <w:tcBorders>
              <w:top w:val="nil"/>
              <w:left w:val="nil"/>
              <w:bottom w:val="single" w:sz="4" w:space="0" w:color="auto"/>
              <w:right w:val="nil"/>
            </w:tcBorders>
            <w:shd w:val="clear" w:color="auto" w:fill="auto"/>
            <w:noWrap/>
            <w:vAlign w:val="center"/>
            <w:hideMark/>
          </w:tcPr>
          <w:p w14:paraId="13225C0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3.9</w:t>
            </w:r>
          </w:p>
        </w:tc>
        <w:tc>
          <w:tcPr>
            <w:tcW w:w="660" w:type="dxa"/>
            <w:tcBorders>
              <w:top w:val="nil"/>
              <w:left w:val="nil"/>
              <w:bottom w:val="single" w:sz="4" w:space="0" w:color="auto"/>
              <w:right w:val="nil"/>
            </w:tcBorders>
            <w:shd w:val="clear" w:color="auto" w:fill="auto"/>
            <w:noWrap/>
            <w:vAlign w:val="center"/>
            <w:hideMark/>
          </w:tcPr>
          <w:p w14:paraId="2830AE4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1.5</w:t>
            </w:r>
          </w:p>
        </w:tc>
        <w:tc>
          <w:tcPr>
            <w:tcW w:w="660" w:type="dxa"/>
            <w:tcBorders>
              <w:top w:val="nil"/>
              <w:left w:val="nil"/>
              <w:bottom w:val="single" w:sz="4" w:space="0" w:color="auto"/>
              <w:right w:val="single" w:sz="4" w:space="0" w:color="auto"/>
            </w:tcBorders>
            <w:shd w:val="clear" w:color="auto" w:fill="auto"/>
            <w:noWrap/>
            <w:vAlign w:val="center"/>
            <w:hideMark/>
          </w:tcPr>
          <w:p w14:paraId="6E9B267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4.0</w:t>
            </w:r>
          </w:p>
        </w:tc>
      </w:tr>
      <w:tr w:rsidR="00CA6300" w:rsidRPr="00CA6300" w14:paraId="031A61F4" w14:textId="77777777" w:rsidTr="00CA6300">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F704B8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2020</w:t>
            </w:r>
          </w:p>
        </w:tc>
        <w:tc>
          <w:tcPr>
            <w:tcW w:w="800" w:type="dxa"/>
            <w:tcBorders>
              <w:top w:val="nil"/>
              <w:left w:val="nil"/>
              <w:bottom w:val="nil"/>
              <w:right w:val="single" w:sz="4" w:space="0" w:color="auto"/>
            </w:tcBorders>
            <w:shd w:val="clear" w:color="auto" w:fill="auto"/>
            <w:noWrap/>
            <w:vAlign w:val="center"/>
            <w:hideMark/>
          </w:tcPr>
          <w:p w14:paraId="420E747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F973EA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105.9</w:t>
            </w:r>
          </w:p>
        </w:tc>
        <w:tc>
          <w:tcPr>
            <w:tcW w:w="660" w:type="dxa"/>
            <w:tcBorders>
              <w:top w:val="nil"/>
              <w:left w:val="nil"/>
              <w:bottom w:val="nil"/>
              <w:right w:val="nil"/>
            </w:tcBorders>
            <w:shd w:val="clear" w:color="auto" w:fill="auto"/>
            <w:noWrap/>
            <w:vAlign w:val="center"/>
            <w:hideMark/>
          </w:tcPr>
          <w:p w14:paraId="284BF18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103.3</w:t>
            </w:r>
          </w:p>
        </w:tc>
        <w:tc>
          <w:tcPr>
            <w:tcW w:w="660" w:type="dxa"/>
            <w:tcBorders>
              <w:top w:val="nil"/>
              <w:left w:val="nil"/>
              <w:bottom w:val="nil"/>
              <w:right w:val="nil"/>
            </w:tcBorders>
            <w:shd w:val="clear" w:color="auto" w:fill="auto"/>
            <w:noWrap/>
            <w:vAlign w:val="center"/>
            <w:hideMark/>
          </w:tcPr>
          <w:p w14:paraId="047C8B01"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38ED4E20"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105.1</w:t>
            </w:r>
          </w:p>
        </w:tc>
        <w:tc>
          <w:tcPr>
            <w:tcW w:w="660" w:type="dxa"/>
            <w:tcBorders>
              <w:top w:val="nil"/>
              <w:left w:val="nil"/>
              <w:bottom w:val="nil"/>
              <w:right w:val="nil"/>
            </w:tcBorders>
            <w:shd w:val="clear" w:color="000000" w:fill="C4D79B"/>
            <w:noWrap/>
            <w:vAlign w:val="center"/>
            <w:hideMark/>
          </w:tcPr>
          <w:p w14:paraId="02DAF446"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106.2</w:t>
            </w:r>
          </w:p>
        </w:tc>
        <w:tc>
          <w:tcPr>
            <w:tcW w:w="660" w:type="dxa"/>
            <w:tcBorders>
              <w:top w:val="nil"/>
              <w:left w:val="nil"/>
              <w:bottom w:val="nil"/>
              <w:right w:val="nil"/>
            </w:tcBorders>
            <w:shd w:val="clear" w:color="auto" w:fill="auto"/>
            <w:noWrap/>
            <w:vAlign w:val="center"/>
            <w:hideMark/>
          </w:tcPr>
          <w:p w14:paraId="24D9E252"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55CC22CE"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1360207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69CA30B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0CBC0B97"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2515664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nil"/>
              <w:right w:val="single" w:sz="4" w:space="0" w:color="auto"/>
            </w:tcBorders>
            <w:shd w:val="clear" w:color="auto" w:fill="auto"/>
            <w:noWrap/>
            <w:vAlign w:val="center"/>
            <w:hideMark/>
          </w:tcPr>
          <w:p w14:paraId="4101F4D5"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r>
      <w:tr w:rsidR="00CA6300" w:rsidRPr="00CA6300" w14:paraId="618D1D60" w14:textId="77777777" w:rsidTr="00CA6300">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62C8790" w14:textId="77777777" w:rsidR="00CA6300" w:rsidRPr="00CA6300" w:rsidRDefault="00CA6300" w:rsidP="00CA6300">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5596274"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122BD08"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4.4</w:t>
            </w:r>
          </w:p>
        </w:tc>
        <w:tc>
          <w:tcPr>
            <w:tcW w:w="660" w:type="dxa"/>
            <w:tcBorders>
              <w:top w:val="nil"/>
              <w:left w:val="nil"/>
              <w:bottom w:val="single" w:sz="4" w:space="0" w:color="auto"/>
              <w:right w:val="nil"/>
            </w:tcBorders>
            <w:shd w:val="clear" w:color="auto" w:fill="auto"/>
            <w:noWrap/>
            <w:vAlign w:val="center"/>
            <w:hideMark/>
          </w:tcPr>
          <w:p w14:paraId="4CBA9AE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2.8</w:t>
            </w:r>
          </w:p>
        </w:tc>
        <w:tc>
          <w:tcPr>
            <w:tcW w:w="660" w:type="dxa"/>
            <w:tcBorders>
              <w:top w:val="nil"/>
              <w:left w:val="nil"/>
              <w:bottom w:val="single" w:sz="4" w:space="0" w:color="auto"/>
              <w:right w:val="nil"/>
            </w:tcBorders>
            <w:shd w:val="clear" w:color="auto" w:fill="auto"/>
            <w:noWrap/>
            <w:vAlign w:val="center"/>
            <w:hideMark/>
          </w:tcPr>
          <w:p w14:paraId="2DD6205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0AA42DFC"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000000" w:fill="C4D79B"/>
            <w:noWrap/>
            <w:vAlign w:val="center"/>
            <w:hideMark/>
          </w:tcPr>
          <w:p w14:paraId="5784D7BD"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-4.7</w:t>
            </w:r>
          </w:p>
        </w:tc>
        <w:tc>
          <w:tcPr>
            <w:tcW w:w="660" w:type="dxa"/>
            <w:tcBorders>
              <w:top w:val="nil"/>
              <w:left w:val="nil"/>
              <w:bottom w:val="single" w:sz="4" w:space="0" w:color="auto"/>
              <w:right w:val="nil"/>
            </w:tcBorders>
            <w:shd w:val="clear" w:color="auto" w:fill="auto"/>
            <w:noWrap/>
            <w:vAlign w:val="center"/>
            <w:hideMark/>
          </w:tcPr>
          <w:p w14:paraId="1E555A89"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4B7EEA53"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5EF0409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41EB349A"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774DDDE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014788BF"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3055AAFB" w14:textId="77777777" w:rsidR="00CA6300" w:rsidRPr="00CA6300" w:rsidRDefault="00CA6300" w:rsidP="00CA6300">
            <w:pPr>
              <w:spacing w:after="0" w:line="240" w:lineRule="auto"/>
              <w:jc w:val="center"/>
              <w:rPr>
                <w:rFonts w:ascii="Arial" w:eastAsia="Times New Roman" w:hAnsi="Arial" w:cs="Arial"/>
                <w:color w:val="000000"/>
                <w:sz w:val="16"/>
                <w:szCs w:val="16"/>
                <w:lang w:eastAsia="es-MX"/>
              </w:rPr>
            </w:pPr>
            <w:r w:rsidRPr="00CA6300">
              <w:rPr>
                <w:rFonts w:ascii="Arial" w:eastAsia="Times New Roman" w:hAnsi="Arial" w:cs="Arial"/>
                <w:color w:val="000000"/>
                <w:sz w:val="16"/>
                <w:szCs w:val="16"/>
                <w:lang w:eastAsia="es-MX"/>
              </w:rPr>
              <w:t> </w:t>
            </w:r>
          </w:p>
        </w:tc>
      </w:tr>
    </w:tbl>
    <w:p w14:paraId="758E318C" w14:textId="39DA656E" w:rsidR="00A82B00" w:rsidRDefault="00A82B00" w:rsidP="009A7101">
      <w:pPr>
        <w:spacing w:after="0" w:line="240" w:lineRule="auto"/>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B0FB793" w14:textId="30C6A1EC" w:rsidR="00A82B00" w:rsidRDefault="00A82B00" w:rsidP="009A7101">
      <w:pPr>
        <w:spacing w:after="0" w:line="240" w:lineRule="auto"/>
        <w:jc w:val="both"/>
        <w:rPr>
          <w:rFonts w:ascii="Arial" w:hAnsi="Arial" w:cs="Arial"/>
          <w:sz w:val="24"/>
          <w:szCs w:val="24"/>
        </w:rPr>
      </w:pPr>
    </w:p>
    <w:p w14:paraId="4F3EAEBA" w14:textId="77777777" w:rsidR="00CA6300" w:rsidRDefault="00CA6300" w:rsidP="009A7101">
      <w:pPr>
        <w:spacing w:after="0" w:line="240" w:lineRule="auto"/>
        <w:jc w:val="both"/>
        <w:rPr>
          <w:rFonts w:ascii="Arial" w:hAnsi="Arial" w:cs="Arial"/>
          <w:sz w:val="24"/>
          <w:szCs w:val="24"/>
        </w:rPr>
      </w:pPr>
    </w:p>
    <w:p w14:paraId="444CD845" w14:textId="7F7606C7" w:rsidR="00F47EF4" w:rsidRDefault="008C2E9B" w:rsidP="009A7101">
      <w:pPr>
        <w:spacing w:after="0" w:line="240" w:lineRule="auto"/>
        <w:jc w:val="both"/>
        <w:rPr>
          <w:rFonts w:ascii="Arial" w:hAnsi="Arial" w:cs="Arial"/>
          <w:sz w:val="24"/>
          <w:szCs w:val="24"/>
        </w:rPr>
      </w:pPr>
      <w:r w:rsidRPr="00B04E92">
        <w:rPr>
          <w:rFonts w:ascii="Arial" w:hAnsi="Arial" w:cs="Arial"/>
          <w:sz w:val="24"/>
          <w:szCs w:val="24"/>
        </w:rPr>
        <w:t xml:space="preserve">En </w:t>
      </w:r>
      <w:r w:rsidR="00E51667" w:rsidRPr="00B04E92">
        <w:rPr>
          <w:rFonts w:ascii="Arial" w:hAnsi="Arial" w:cs="Arial"/>
          <w:sz w:val="24"/>
          <w:szCs w:val="24"/>
        </w:rPr>
        <w:t>mayo</w:t>
      </w:r>
      <w:r w:rsidRPr="00B04E92">
        <w:rPr>
          <w:rFonts w:ascii="Arial" w:hAnsi="Arial" w:cs="Arial"/>
          <w:sz w:val="24"/>
          <w:szCs w:val="24"/>
        </w:rPr>
        <w:t xml:space="preserve"> de 2020</w:t>
      </w:r>
      <w:r w:rsidR="00E51667" w:rsidRPr="00B04E92">
        <w:rPr>
          <w:rFonts w:ascii="Arial" w:hAnsi="Arial" w:cs="Arial"/>
          <w:sz w:val="24"/>
          <w:szCs w:val="24"/>
        </w:rPr>
        <w:t>, el IGPOSE</w:t>
      </w:r>
      <w:r w:rsidRPr="00B04E92">
        <w:rPr>
          <w:rFonts w:ascii="Arial" w:hAnsi="Arial" w:cs="Arial"/>
          <w:sz w:val="24"/>
          <w:szCs w:val="24"/>
        </w:rPr>
        <w:t xml:space="preserve"> registró una variación anual acumulada de </w:t>
      </w:r>
      <w:r w:rsidR="00215017">
        <w:rPr>
          <w:rFonts w:ascii="Arial" w:hAnsi="Arial" w:cs="Arial"/>
          <w:sz w:val="24"/>
          <w:szCs w:val="24"/>
        </w:rPr>
        <w:t>(-)</w:t>
      </w:r>
      <w:r w:rsidR="00BE0426">
        <w:rPr>
          <w:rFonts w:ascii="Arial" w:hAnsi="Arial" w:cs="Arial"/>
          <w:sz w:val="24"/>
          <w:szCs w:val="24"/>
        </w:rPr>
        <w:t>2</w:t>
      </w:r>
      <w:r w:rsidRPr="00B04E92">
        <w:rPr>
          <w:rFonts w:ascii="Arial" w:hAnsi="Arial" w:cs="Arial"/>
          <w:sz w:val="24"/>
          <w:szCs w:val="24"/>
        </w:rPr>
        <w:t>.</w:t>
      </w:r>
      <w:r w:rsidR="00D02588" w:rsidRPr="00B04E92">
        <w:rPr>
          <w:rFonts w:ascii="Arial" w:hAnsi="Arial" w:cs="Arial"/>
          <w:sz w:val="24"/>
          <w:szCs w:val="24"/>
        </w:rPr>
        <w:t>8</w:t>
      </w:r>
      <w:r w:rsidR="009B1F75">
        <w:rPr>
          <w:rFonts w:ascii="Arial" w:hAnsi="Arial" w:cs="Arial"/>
          <w:sz w:val="24"/>
          <w:szCs w:val="24"/>
        </w:rPr>
        <w:t xml:space="preserve">%, </w:t>
      </w:r>
      <w:r w:rsidR="00E05277">
        <w:rPr>
          <w:rFonts w:ascii="Arial" w:hAnsi="Arial" w:cs="Arial"/>
          <w:sz w:val="24"/>
          <w:szCs w:val="24"/>
        </w:rPr>
        <w:t xml:space="preserve">por su parte, </w:t>
      </w:r>
      <w:r w:rsidR="009B1F75">
        <w:rPr>
          <w:rFonts w:ascii="Arial" w:hAnsi="Arial" w:cs="Arial"/>
          <w:sz w:val="24"/>
          <w:szCs w:val="24"/>
        </w:rPr>
        <w:t>el IGRE</w:t>
      </w:r>
      <w:r w:rsidR="00E05277">
        <w:rPr>
          <w:rFonts w:ascii="Arial" w:hAnsi="Arial" w:cs="Arial"/>
          <w:sz w:val="24"/>
          <w:szCs w:val="24"/>
        </w:rPr>
        <w:t xml:space="preserve">SE presentó una disminución de </w:t>
      </w:r>
      <w:r w:rsidR="00215017">
        <w:rPr>
          <w:rFonts w:ascii="Arial" w:hAnsi="Arial" w:cs="Arial"/>
          <w:sz w:val="24"/>
          <w:szCs w:val="24"/>
        </w:rPr>
        <w:t>(-)</w:t>
      </w:r>
      <w:r w:rsidR="00BE0426">
        <w:rPr>
          <w:rFonts w:ascii="Arial" w:hAnsi="Arial" w:cs="Arial"/>
          <w:sz w:val="24"/>
          <w:szCs w:val="24"/>
        </w:rPr>
        <w:t>2.3</w:t>
      </w:r>
      <w:r w:rsidR="009B1F75">
        <w:rPr>
          <w:rFonts w:ascii="Arial" w:hAnsi="Arial" w:cs="Arial"/>
          <w:sz w:val="24"/>
          <w:szCs w:val="24"/>
        </w:rPr>
        <w:t xml:space="preserve">% en comparación con el año previo y el IGREMSE </w:t>
      </w:r>
      <w:r w:rsidR="00BE0426">
        <w:rPr>
          <w:rFonts w:ascii="Arial" w:hAnsi="Arial" w:cs="Arial"/>
          <w:sz w:val="24"/>
          <w:szCs w:val="24"/>
        </w:rPr>
        <w:t>increment</w:t>
      </w:r>
      <w:r w:rsidR="00215017">
        <w:rPr>
          <w:rFonts w:ascii="Arial" w:hAnsi="Arial" w:cs="Arial"/>
          <w:sz w:val="24"/>
          <w:szCs w:val="24"/>
        </w:rPr>
        <w:t>ó</w:t>
      </w:r>
      <w:r w:rsidR="00BE0426">
        <w:rPr>
          <w:rFonts w:ascii="Arial" w:hAnsi="Arial" w:cs="Arial"/>
          <w:sz w:val="24"/>
          <w:szCs w:val="24"/>
        </w:rPr>
        <w:t xml:space="preserve"> 0.5</w:t>
      </w:r>
      <w:r w:rsidR="009B1F75">
        <w:rPr>
          <w:rFonts w:ascii="Arial" w:hAnsi="Arial" w:cs="Arial"/>
          <w:sz w:val="24"/>
          <w:szCs w:val="24"/>
        </w:rPr>
        <w:t xml:space="preserve"> por ciento.</w:t>
      </w:r>
    </w:p>
    <w:p w14:paraId="79334B44" w14:textId="69527E34" w:rsidR="00834A83" w:rsidRDefault="00834A83" w:rsidP="009A7101">
      <w:pPr>
        <w:spacing w:after="0" w:line="240" w:lineRule="auto"/>
        <w:jc w:val="both"/>
        <w:rPr>
          <w:rFonts w:ascii="Arial" w:hAnsi="Arial" w:cs="Arial"/>
          <w:sz w:val="24"/>
          <w:szCs w:val="24"/>
        </w:rPr>
      </w:pPr>
    </w:p>
    <w:p w14:paraId="6E133738" w14:textId="7E98BC9E" w:rsidR="00B04E92" w:rsidRPr="00B04E92" w:rsidRDefault="00B04E92" w:rsidP="009A7101">
      <w:pPr>
        <w:spacing w:after="0" w:line="240" w:lineRule="auto"/>
        <w:jc w:val="both"/>
        <w:rPr>
          <w:rFonts w:ascii="Arial" w:hAnsi="Arial" w:cs="Arial"/>
          <w:sz w:val="24"/>
          <w:szCs w:val="24"/>
        </w:rPr>
      </w:pPr>
      <w:r w:rsidRPr="00B04E92">
        <w:rPr>
          <w:rFonts w:ascii="Arial" w:hAnsi="Arial" w:cs="Arial"/>
          <w:sz w:val="24"/>
          <w:szCs w:val="24"/>
        </w:rPr>
        <w:t xml:space="preserve">Para </w:t>
      </w:r>
      <w:r w:rsidR="00F64119">
        <w:rPr>
          <w:rFonts w:ascii="Arial" w:hAnsi="Arial" w:cs="Arial"/>
          <w:sz w:val="24"/>
          <w:szCs w:val="24"/>
        </w:rPr>
        <w:t xml:space="preserve">el </w:t>
      </w:r>
      <w:r w:rsidRPr="00B04E92">
        <w:rPr>
          <w:rFonts w:ascii="Arial" w:hAnsi="Arial" w:cs="Arial"/>
          <w:sz w:val="24"/>
          <w:szCs w:val="24"/>
        </w:rPr>
        <w:t xml:space="preserve">IGPOSE la variación anual acumulada al mes de mayo reporta su nivel máximo en 2018 con 2.4% y su nivel </w:t>
      </w:r>
      <w:r w:rsidR="00E05277">
        <w:rPr>
          <w:rFonts w:ascii="Arial" w:hAnsi="Arial" w:cs="Arial"/>
          <w:sz w:val="24"/>
          <w:szCs w:val="24"/>
        </w:rPr>
        <w:t xml:space="preserve">mínimo en </w:t>
      </w:r>
      <w:r w:rsidR="00211CCC">
        <w:rPr>
          <w:rFonts w:ascii="Arial" w:hAnsi="Arial" w:cs="Arial"/>
          <w:sz w:val="24"/>
          <w:szCs w:val="24"/>
        </w:rPr>
        <w:t xml:space="preserve">2009 con </w:t>
      </w:r>
      <w:r w:rsidR="00215017">
        <w:rPr>
          <w:rFonts w:ascii="Arial" w:hAnsi="Arial" w:cs="Arial"/>
          <w:sz w:val="24"/>
          <w:szCs w:val="24"/>
        </w:rPr>
        <w:t>(-)</w:t>
      </w:r>
      <w:r w:rsidR="00211CCC">
        <w:rPr>
          <w:rFonts w:ascii="Arial" w:hAnsi="Arial" w:cs="Arial"/>
          <w:sz w:val="24"/>
          <w:szCs w:val="24"/>
        </w:rPr>
        <w:t>5.3</w:t>
      </w:r>
      <w:r w:rsidR="00E05277">
        <w:rPr>
          <w:rFonts w:ascii="Arial" w:hAnsi="Arial" w:cs="Arial"/>
          <w:sz w:val="24"/>
          <w:szCs w:val="24"/>
        </w:rPr>
        <w:t>% por ciento</w:t>
      </w:r>
      <w:r w:rsidRPr="00B04E92">
        <w:rPr>
          <w:rFonts w:ascii="Arial" w:hAnsi="Arial" w:cs="Arial"/>
          <w:sz w:val="24"/>
          <w:szCs w:val="24"/>
        </w:rPr>
        <w:t>.</w:t>
      </w:r>
    </w:p>
    <w:p w14:paraId="1CEBDCB4" w14:textId="70932907" w:rsidR="00B04E92" w:rsidRPr="00B04E92" w:rsidRDefault="00B04E92" w:rsidP="009A7101">
      <w:pPr>
        <w:spacing w:after="0" w:line="240" w:lineRule="auto"/>
        <w:jc w:val="both"/>
        <w:rPr>
          <w:rFonts w:ascii="Arial" w:hAnsi="Arial" w:cs="Arial"/>
          <w:sz w:val="24"/>
          <w:szCs w:val="24"/>
        </w:rPr>
      </w:pPr>
    </w:p>
    <w:p w14:paraId="029C40C8" w14:textId="2155B6A1" w:rsidR="00B04E92" w:rsidRDefault="00B04E92" w:rsidP="009A7101">
      <w:pPr>
        <w:spacing w:after="0" w:line="240" w:lineRule="auto"/>
        <w:jc w:val="both"/>
        <w:rPr>
          <w:rFonts w:ascii="Arial" w:hAnsi="Arial" w:cs="Arial"/>
          <w:sz w:val="24"/>
          <w:szCs w:val="24"/>
        </w:rPr>
      </w:pPr>
      <w:r w:rsidRPr="00B04E92">
        <w:rPr>
          <w:rFonts w:ascii="Arial" w:hAnsi="Arial" w:cs="Arial"/>
          <w:sz w:val="24"/>
          <w:szCs w:val="24"/>
        </w:rPr>
        <w:t xml:space="preserve">El </w:t>
      </w:r>
      <w:r>
        <w:rPr>
          <w:rFonts w:ascii="Arial" w:hAnsi="Arial" w:cs="Arial"/>
          <w:sz w:val="24"/>
          <w:szCs w:val="24"/>
        </w:rPr>
        <w:t xml:space="preserve">nivel máximo de la </w:t>
      </w:r>
      <w:r w:rsidRPr="00B04E92">
        <w:rPr>
          <w:rFonts w:ascii="Arial" w:hAnsi="Arial" w:cs="Arial"/>
          <w:sz w:val="24"/>
          <w:szCs w:val="24"/>
        </w:rPr>
        <w:t>variación anual acumulada al mes de mayo</w:t>
      </w:r>
      <w:r>
        <w:rPr>
          <w:rFonts w:ascii="Arial" w:hAnsi="Arial" w:cs="Arial"/>
          <w:sz w:val="24"/>
          <w:szCs w:val="24"/>
        </w:rPr>
        <w:t xml:space="preserve"> del IGRESE es</w:t>
      </w:r>
      <w:r w:rsidRPr="00B04E92">
        <w:rPr>
          <w:rFonts w:ascii="Arial" w:hAnsi="Arial" w:cs="Arial"/>
          <w:sz w:val="24"/>
          <w:szCs w:val="24"/>
        </w:rPr>
        <w:t xml:space="preserve"> </w:t>
      </w:r>
      <w:r w:rsidR="00E26950">
        <w:rPr>
          <w:rFonts w:ascii="Arial" w:hAnsi="Arial" w:cs="Arial"/>
          <w:sz w:val="24"/>
          <w:szCs w:val="24"/>
        </w:rPr>
        <w:t xml:space="preserve">5.7% </w:t>
      </w:r>
      <w:r w:rsidRPr="00B04E92">
        <w:rPr>
          <w:rFonts w:ascii="Arial" w:hAnsi="Arial" w:cs="Arial"/>
          <w:sz w:val="24"/>
          <w:szCs w:val="24"/>
        </w:rPr>
        <w:t xml:space="preserve">en 2012 y su nivel </w:t>
      </w:r>
      <w:r w:rsidR="00211CCC">
        <w:rPr>
          <w:rFonts w:ascii="Arial" w:hAnsi="Arial" w:cs="Arial"/>
          <w:sz w:val="24"/>
          <w:szCs w:val="24"/>
        </w:rPr>
        <w:t xml:space="preserve">mínimo </w:t>
      </w:r>
      <w:r w:rsidR="00E26950">
        <w:rPr>
          <w:rFonts w:ascii="Arial" w:hAnsi="Arial" w:cs="Arial"/>
          <w:sz w:val="24"/>
          <w:szCs w:val="24"/>
        </w:rPr>
        <w:t xml:space="preserve">es (-)7.1% </w:t>
      </w:r>
      <w:r w:rsidR="00211CCC">
        <w:rPr>
          <w:rFonts w:ascii="Arial" w:hAnsi="Arial" w:cs="Arial"/>
          <w:sz w:val="24"/>
          <w:szCs w:val="24"/>
        </w:rPr>
        <w:t>en 2009</w:t>
      </w:r>
      <w:r w:rsidR="00E26950">
        <w:rPr>
          <w:rFonts w:ascii="Arial" w:hAnsi="Arial" w:cs="Arial"/>
          <w:sz w:val="24"/>
          <w:szCs w:val="24"/>
        </w:rPr>
        <w:t>.</w:t>
      </w:r>
    </w:p>
    <w:p w14:paraId="5899F3E1" w14:textId="6F3E3AA2" w:rsidR="00B04E92" w:rsidRDefault="00B04E92" w:rsidP="009A7101">
      <w:pPr>
        <w:spacing w:after="0" w:line="240" w:lineRule="auto"/>
        <w:jc w:val="both"/>
        <w:rPr>
          <w:rFonts w:ascii="Arial" w:hAnsi="Arial" w:cs="Arial"/>
          <w:sz w:val="24"/>
          <w:szCs w:val="24"/>
        </w:rPr>
      </w:pPr>
    </w:p>
    <w:p w14:paraId="1BF7FBE9" w14:textId="61612B8E" w:rsidR="00E05277" w:rsidRDefault="00B04E92" w:rsidP="009A7101">
      <w:pPr>
        <w:spacing w:after="0" w:line="240" w:lineRule="auto"/>
        <w:jc w:val="both"/>
        <w:rPr>
          <w:rFonts w:ascii="Arial" w:hAnsi="Arial" w:cs="Arial"/>
          <w:sz w:val="24"/>
          <w:szCs w:val="24"/>
        </w:rPr>
      </w:pPr>
      <w:r w:rsidRPr="00B04E92">
        <w:rPr>
          <w:rFonts w:ascii="Arial" w:hAnsi="Arial" w:cs="Arial"/>
          <w:sz w:val="24"/>
          <w:szCs w:val="24"/>
        </w:rPr>
        <w:t xml:space="preserve">Para </w:t>
      </w:r>
      <w:r w:rsidR="00F64119">
        <w:rPr>
          <w:rFonts w:ascii="Arial" w:hAnsi="Arial" w:cs="Arial"/>
          <w:sz w:val="24"/>
          <w:szCs w:val="24"/>
        </w:rPr>
        <w:t xml:space="preserve">el </w:t>
      </w:r>
      <w:r w:rsidRPr="00B04E92">
        <w:rPr>
          <w:rFonts w:ascii="Arial" w:hAnsi="Arial" w:cs="Arial"/>
          <w:sz w:val="24"/>
          <w:szCs w:val="24"/>
        </w:rPr>
        <w:t>IG</w:t>
      </w:r>
      <w:r w:rsidR="004B1DE5">
        <w:rPr>
          <w:rFonts w:ascii="Arial" w:hAnsi="Arial" w:cs="Arial"/>
          <w:sz w:val="24"/>
          <w:szCs w:val="24"/>
        </w:rPr>
        <w:t>REM</w:t>
      </w:r>
      <w:r w:rsidRPr="00B04E92">
        <w:rPr>
          <w:rFonts w:ascii="Arial" w:hAnsi="Arial" w:cs="Arial"/>
          <w:sz w:val="24"/>
          <w:szCs w:val="24"/>
        </w:rPr>
        <w:t>SE la variación anual acumulada al mes de mayo r</w:t>
      </w:r>
      <w:r w:rsidR="00E26950">
        <w:rPr>
          <w:rFonts w:ascii="Arial" w:hAnsi="Arial" w:cs="Arial"/>
          <w:sz w:val="24"/>
          <w:szCs w:val="24"/>
        </w:rPr>
        <w:t>eporta su nivel máximo en</w:t>
      </w:r>
      <w:r w:rsidRPr="00B04E92">
        <w:rPr>
          <w:rFonts w:ascii="Arial" w:hAnsi="Arial" w:cs="Arial"/>
          <w:sz w:val="24"/>
          <w:szCs w:val="24"/>
        </w:rPr>
        <w:t xml:space="preserve"> 201</w:t>
      </w:r>
      <w:r w:rsidR="004B1DE5">
        <w:rPr>
          <w:rFonts w:ascii="Arial" w:hAnsi="Arial" w:cs="Arial"/>
          <w:sz w:val="24"/>
          <w:szCs w:val="24"/>
        </w:rPr>
        <w:t>9</w:t>
      </w:r>
      <w:r w:rsidRPr="00B04E92">
        <w:rPr>
          <w:rFonts w:ascii="Arial" w:hAnsi="Arial" w:cs="Arial"/>
          <w:sz w:val="24"/>
          <w:szCs w:val="24"/>
        </w:rPr>
        <w:t xml:space="preserve"> con 2.</w:t>
      </w:r>
      <w:r w:rsidR="00211CCC">
        <w:rPr>
          <w:rFonts w:ascii="Arial" w:hAnsi="Arial" w:cs="Arial"/>
          <w:sz w:val="24"/>
          <w:szCs w:val="24"/>
        </w:rPr>
        <w:t>4</w:t>
      </w:r>
      <w:r w:rsidRPr="00B04E92">
        <w:rPr>
          <w:rFonts w:ascii="Arial" w:hAnsi="Arial" w:cs="Arial"/>
          <w:sz w:val="24"/>
          <w:szCs w:val="24"/>
        </w:rPr>
        <w:t xml:space="preserve">% y su nivel mínimo en 2009 con </w:t>
      </w:r>
      <w:r w:rsidR="00215017">
        <w:rPr>
          <w:rFonts w:ascii="Arial" w:hAnsi="Arial" w:cs="Arial"/>
          <w:sz w:val="24"/>
          <w:szCs w:val="24"/>
        </w:rPr>
        <w:t>(-)</w:t>
      </w:r>
      <w:r w:rsidR="00211CCC">
        <w:rPr>
          <w:rFonts w:ascii="Arial" w:hAnsi="Arial" w:cs="Arial"/>
          <w:sz w:val="24"/>
          <w:szCs w:val="24"/>
        </w:rPr>
        <w:t>1.9</w:t>
      </w:r>
      <w:r w:rsidR="00E05277">
        <w:rPr>
          <w:rFonts w:ascii="Arial" w:hAnsi="Arial" w:cs="Arial"/>
          <w:sz w:val="24"/>
          <w:szCs w:val="24"/>
        </w:rPr>
        <w:t xml:space="preserve"> por ciento.</w:t>
      </w:r>
    </w:p>
    <w:p w14:paraId="5DEB19A5" w14:textId="7EFAE5C5" w:rsidR="00B04E92" w:rsidRDefault="00B04E92" w:rsidP="009A7101">
      <w:pPr>
        <w:spacing w:after="0" w:line="240" w:lineRule="auto"/>
        <w:jc w:val="both"/>
        <w:rPr>
          <w:rFonts w:ascii="Arial" w:hAnsi="Arial" w:cs="Arial"/>
          <w:sz w:val="24"/>
          <w:szCs w:val="24"/>
        </w:rPr>
      </w:pPr>
    </w:p>
    <w:p w14:paraId="7A4DBAE3" w14:textId="77777777" w:rsidR="00E26950" w:rsidRPr="00B04E92" w:rsidRDefault="00E26950" w:rsidP="009A7101">
      <w:pPr>
        <w:spacing w:after="0" w:line="240" w:lineRule="auto"/>
        <w:jc w:val="both"/>
        <w:rPr>
          <w:rFonts w:ascii="Arial" w:hAnsi="Arial" w:cs="Arial"/>
          <w:sz w:val="24"/>
          <w:szCs w:val="24"/>
        </w:rPr>
      </w:pPr>
    </w:p>
    <w:p w14:paraId="27654DC1" w14:textId="796AE521" w:rsidR="00F47EF4" w:rsidRPr="00EA6AA9" w:rsidRDefault="003B4B50"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2</w:t>
      </w:r>
    </w:p>
    <w:p w14:paraId="56F31457" w14:textId="79A5967E" w:rsidR="00F47EF4" w:rsidRPr="008F6828" w:rsidRDefault="00F47EF4"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001C66">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DE</w:t>
      </w:r>
      <w:r w:rsidR="00AD255A">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L</w:t>
      </w:r>
      <w:r w:rsidR="00AD255A">
        <w:rPr>
          <w:rFonts w:ascii="Arial" w:eastAsia="Times New Roman" w:hAnsi="Arial" w:cs="Arial"/>
          <w:b/>
          <w:bCs/>
          <w:color w:val="000000"/>
          <w:sz w:val="20"/>
          <w:szCs w:val="20"/>
          <w:lang w:eastAsia="es-MX"/>
        </w:rPr>
        <w:t>OS</w:t>
      </w:r>
      <w:r>
        <w:rPr>
          <w:rFonts w:ascii="Arial" w:eastAsia="Times New Roman" w:hAnsi="Arial" w:cs="Arial"/>
          <w:b/>
          <w:bCs/>
          <w:color w:val="000000"/>
          <w:sz w:val="20"/>
          <w:szCs w:val="20"/>
          <w:lang w:eastAsia="es-MX"/>
        </w:rPr>
        <w:t xml:space="preserve"> </w:t>
      </w:r>
      <w:r w:rsidRPr="008F6828">
        <w:rPr>
          <w:rFonts w:ascii="Arial" w:eastAsia="Times New Roman" w:hAnsi="Arial" w:cs="Arial"/>
          <w:b/>
          <w:bCs/>
          <w:color w:val="000000"/>
          <w:sz w:val="20"/>
          <w:szCs w:val="20"/>
          <w:lang w:eastAsia="es-MX"/>
        </w:rPr>
        <w:t>ÍNDICE</w:t>
      </w:r>
      <w:r w:rsidR="00AD255A">
        <w:rPr>
          <w:rFonts w:ascii="Arial" w:eastAsia="Times New Roman" w:hAnsi="Arial" w:cs="Arial"/>
          <w:b/>
          <w:bCs/>
          <w:color w:val="000000"/>
          <w:sz w:val="20"/>
          <w:szCs w:val="20"/>
          <w:lang w:eastAsia="es-MX"/>
        </w:rPr>
        <w:t>S</w:t>
      </w:r>
      <w:r w:rsidRPr="008F6828">
        <w:rPr>
          <w:rFonts w:ascii="Arial" w:eastAsia="Times New Roman" w:hAnsi="Arial" w:cs="Arial"/>
          <w:b/>
          <w:bCs/>
          <w:color w:val="000000"/>
          <w:sz w:val="20"/>
          <w:szCs w:val="20"/>
          <w:lang w:eastAsia="es-MX"/>
        </w:rPr>
        <w:t xml:space="preserve"> GLOBAL</w:t>
      </w:r>
      <w:r w:rsidR="00AD255A">
        <w:rPr>
          <w:rFonts w:ascii="Arial" w:eastAsia="Times New Roman" w:hAnsi="Arial" w:cs="Arial"/>
          <w:b/>
          <w:bCs/>
          <w:color w:val="000000"/>
          <w:sz w:val="20"/>
          <w:szCs w:val="20"/>
          <w:lang w:eastAsia="es-MX"/>
        </w:rPr>
        <w:t>ES</w:t>
      </w:r>
      <w:r w:rsidRPr="008F6828">
        <w:rPr>
          <w:rFonts w:ascii="Arial" w:eastAsia="Times New Roman" w:hAnsi="Arial" w:cs="Arial"/>
          <w:b/>
          <w:bCs/>
          <w:color w:val="000000"/>
          <w:sz w:val="20"/>
          <w:szCs w:val="20"/>
          <w:lang w:eastAsia="es-MX"/>
        </w:rPr>
        <w:t xml:space="preserve"> DE PERSONAL </w:t>
      </w:r>
      <w:r w:rsidR="00AD255A">
        <w:rPr>
          <w:rFonts w:ascii="Arial" w:eastAsia="Times New Roman" w:hAnsi="Arial" w:cs="Arial"/>
          <w:b/>
          <w:bCs/>
          <w:color w:val="000000"/>
          <w:sz w:val="20"/>
          <w:szCs w:val="20"/>
          <w:lang w:eastAsia="es-MX"/>
        </w:rPr>
        <w:t xml:space="preserve">Y REMUNERACIONES </w:t>
      </w: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490992FB" w:rsidR="00E06B67" w:rsidRDefault="00613685"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PERIODO ENERO</w:t>
      </w:r>
      <w:r w:rsidR="001F3452">
        <w:rPr>
          <w:rFonts w:ascii="Arial" w:eastAsia="Times New Roman" w:hAnsi="Arial" w:cs="Arial"/>
          <w:b/>
          <w:bCs/>
          <w:color w:val="000000"/>
          <w:sz w:val="20"/>
          <w:szCs w:val="20"/>
          <w:lang w:eastAsia="es-MX"/>
        </w:rPr>
        <w:t xml:space="preserve"> </w:t>
      </w:r>
      <w:r w:rsidR="00001C66">
        <w:rPr>
          <w:rFonts w:ascii="Arial" w:eastAsia="Times New Roman" w:hAnsi="Arial" w:cs="Arial"/>
          <w:b/>
          <w:bCs/>
          <w:color w:val="000000"/>
          <w:sz w:val="20"/>
          <w:szCs w:val="20"/>
          <w:lang w:eastAsia="es-MX"/>
        </w:rPr>
        <w:t>-</w:t>
      </w:r>
      <w:r w:rsidR="001F3452">
        <w:rPr>
          <w:rFonts w:ascii="Arial" w:eastAsia="Times New Roman" w:hAnsi="Arial" w:cs="Arial"/>
          <w:b/>
          <w:bCs/>
          <w:color w:val="000000"/>
          <w:sz w:val="20"/>
          <w:szCs w:val="20"/>
          <w:lang w:eastAsia="es-MX"/>
        </w:rPr>
        <w:t xml:space="preserve"> </w:t>
      </w:r>
      <w:r w:rsidR="00E51667">
        <w:rPr>
          <w:rFonts w:ascii="Arial" w:eastAsia="Times New Roman" w:hAnsi="Arial" w:cs="Arial"/>
          <w:b/>
          <w:bCs/>
          <w:color w:val="000000"/>
          <w:sz w:val="20"/>
          <w:szCs w:val="20"/>
          <w:lang w:eastAsia="es-MX"/>
        </w:rPr>
        <w:t>MAYO</w:t>
      </w:r>
    </w:p>
    <w:p w14:paraId="71B95360" w14:textId="36C087D1" w:rsidR="00DB284A" w:rsidRDefault="00DF7052"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138AB678" w14:textId="33FBA931" w:rsidR="00582FC5" w:rsidRDefault="00CF7524" w:rsidP="009A7101">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3439C321" wp14:editId="52E4D674">
            <wp:extent cx="5612130" cy="2880000"/>
            <wp:effectExtent l="0" t="0" r="7620" b="1587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ED9EEE1" w14:textId="77777777" w:rsidR="00F47EF4" w:rsidRPr="001E3013" w:rsidRDefault="00DB284A" w:rsidP="009A7101">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36EFFD60" w14:textId="77777777" w:rsidR="0031539F" w:rsidRDefault="0031539F" w:rsidP="009A7101">
      <w:pPr>
        <w:spacing w:after="0" w:line="240" w:lineRule="auto"/>
        <w:jc w:val="both"/>
        <w:rPr>
          <w:rFonts w:ascii="Arial" w:hAnsi="Arial" w:cs="Arial"/>
          <w:sz w:val="24"/>
          <w:szCs w:val="24"/>
        </w:rPr>
      </w:pPr>
    </w:p>
    <w:p w14:paraId="0FD5A5A3" w14:textId="24AF6210" w:rsidR="004E2EA6" w:rsidRDefault="004E2EA6" w:rsidP="009A7101">
      <w:pPr>
        <w:spacing w:after="0" w:line="240" w:lineRule="auto"/>
        <w:ind w:right="49"/>
        <w:jc w:val="both"/>
        <w:rPr>
          <w:rFonts w:ascii="Arial" w:hAnsi="Arial" w:cs="Arial"/>
          <w:sz w:val="24"/>
          <w:szCs w:val="24"/>
        </w:rPr>
      </w:pPr>
      <w:r>
        <w:rPr>
          <w:rFonts w:ascii="Arial" w:hAnsi="Arial" w:cs="Arial"/>
          <w:sz w:val="24"/>
          <w:szCs w:val="24"/>
        </w:rPr>
        <w:t>La publicación de los Índices Globales de Personal y Remuneraciones de los Sectores Económicos se realiza en apego a las fechas que se encuentran publicadas en el Calendario de difusión de información estadística, geográfica y de Interés Nacional del INEGI.</w:t>
      </w:r>
    </w:p>
    <w:p w14:paraId="124022A1" w14:textId="77777777" w:rsidR="004E2EA6" w:rsidRDefault="004E2EA6" w:rsidP="009A7101">
      <w:pPr>
        <w:spacing w:after="0" w:line="240" w:lineRule="auto"/>
        <w:ind w:left="-567" w:right="49"/>
        <w:jc w:val="both"/>
        <w:rPr>
          <w:rFonts w:ascii="Arial" w:hAnsi="Arial" w:cs="Arial"/>
          <w:sz w:val="24"/>
          <w:szCs w:val="24"/>
        </w:rPr>
      </w:pPr>
    </w:p>
    <w:p w14:paraId="417D27BF" w14:textId="0ADF6FA8"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La difusión de los Índices Globales de Personal y Remuneraciones de los Sectores Económicos de se realiza a través de la página del INEGI (</w:t>
      </w:r>
      <w:hyperlink r:id="rId25" w:history="1">
        <w:r w:rsidR="004F21A6" w:rsidRPr="0037326E">
          <w:rPr>
            <w:rStyle w:val="Hipervnculo"/>
            <w:rFonts w:ascii="Arial" w:hAnsi="Arial" w:cs="Arial"/>
            <w:sz w:val="24"/>
            <w:szCs w:val="24"/>
          </w:rPr>
          <w:t>www.inegi.org.mx</w:t>
        </w:r>
      </w:hyperlink>
      <w:r w:rsidRPr="002657D3">
        <w:rPr>
          <w:rFonts w:ascii="Arial" w:hAnsi="Arial" w:cs="Arial"/>
          <w:sz w:val="24"/>
          <w:szCs w:val="24"/>
        </w:rPr>
        <w:t>), en las secciones siguientes:</w:t>
      </w:r>
    </w:p>
    <w:p w14:paraId="796A9922" w14:textId="77777777" w:rsidR="004E2EA6" w:rsidRPr="002657D3" w:rsidRDefault="004E2EA6" w:rsidP="009A7101">
      <w:pPr>
        <w:spacing w:after="0" w:line="240" w:lineRule="auto"/>
        <w:ind w:left="-567" w:right="49"/>
        <w:jc w:val="both"/>
        <w:rPr>
          <w:rFonts w:ascii="Arial" w:hAnsi="Arial" w:cs="Arial"/>
          <w:sz w:val="24"/>
          <w:szCs w:val="24"/>
        </w:rPr>
      </w:pPr>
    </w:p>
    <w:p w14:paraId="0981A9E3" w14:textId="77777777"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Tema:</w:t>
      </w:r>
    </w:p>
    <w:p w14:paraId="4E5F18BE" w14:textId="77777777" w:rsidR="004E2EA6" w:rsidRPr="002657D3" w:rsidRDefault="004E2EA6" w:rsidP="009A7101">
      <w:pPr>
        <w:spacing w:after="0" w:line="240" w:lineRule="auto"/>
        <w:ind w:right="49"/>
        <w:jc w:val="both"/>
        <w:rPr>
          <w:rFonts w:ascii="Arial" w:hAnsi="Arial" w:cs="Arial"/>
          <w:sz w:val="24"/>
          <w:szCs w:val="24"/>
        </w:rPr>
      </w:pPr>
    </w:p>
    <w:p w14:paraId="31452277" w14:textId="6BE3D389" w:rsidR="004E2EA6" w:rsidRPr="006333AA" w:rsidRDefault="004E2EA6" w:rsidP="009A7101">
      <w:pPr>
        <w:spacing w:after="0" w:line="240" w:lineRule="auto"/>
        <w:ind w:right="49"/>
        <w:jc w:val="both"/>
        <w:rPr>
          <w:rFonts w:ascii="Arial" w:hAnsi="Arial" w:cs="Arial"/>
          <w:sz w:val="24"/>
          <w:szCs w:val="24"/>
        </w:rPr>
      </w:pPr>
      <w:r w:rsidRPr="006333AA">
        <w:rPr>
          <w:rFonts w:ascii="Arial" w:hAnsi="Arial" w:cs="Arial"/>
          <w:sz w:val="24"/>
          <w:szCs w:val="24"/>
        </w:rPr>
        <w:t xml:space="preserve">IGPOSE: </w:t>
      </w:r>
      <w:hyperlink r:id="rId26" w:history="1">
        <w:r w:rsidR="008628B7" w:rsidRPr="006333AA">
          <w:rPr>
            <w:rStyle w:val="Hipervnculo"/>
            <w:rFonts w:ascii="Arial" w:hAnsi="Arial" w:cs="Arial"/>
            <w:sz w:val="24"/>
            <w:szCs w:val="24"/>
          </w:rPr>
          <w:t>www.inegi.org.mx/temas/personalo/</w:t>
        </w:r>
      </w:hyperlink>
    </w:p>
    <w:p w14:paraId="44480938" w14:textId="3D8A92E0"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 xml:space="preserve">IGRESE: </w:t>
      </w:r>
      <w:hyperlink r:id="rId27" w:history="1">
        <w:r w:rsidR="008628B7" w:rsidRPr="00444A76">
          <w:rPr>
            <w:rStyle w:val="Hipervnculo"/>
            <w:rFonts w:ascii="Arial" w:hAnsi="Arial" w:cs="Arial"/>
            <w:sz w:val="24"/>
            <w:szCs w:val="24"/>
          </w:rPr>
          <w:t>www.inegi.org.mx/temas/remuneraciones/</w:t>
        </w:r>
      </w:hyperlink>
    </w:p>
    <w:p w14:paraId="1A9688F4" w14:textId="1E7A651B" w:rsidR="004E2EA6" w:rsidRPr="004E2EA6" w:rsidRDefault="004E2EA6" w:rsidP="009A7101">
      <w:pPr>
        <w:spacing w:after="0" w:line="240" w:lineRule="auto"/>
        <w:ind w:right="49"/>
        <w:jc w:val="both"/>
        <w:rPr>
          <w:rFonts w:ascii="Arial" w:hAnsi="Arial" w:cs="Arial"/>
          <w:sz w:val="24"/>
          <w:szCs w:val="24"/>
        </w:rPr>
      </w:pPr>
      <w:r w:rsidRPr="004E2EA6">
        <w:rPr>
          <w:rFonts w:ascii="Arial" w:hAnsi="Arial" w:cs="Arial"/>
          <w:sz w:val="24"/>
          <w:szCs w:val="24"/>
        </w:rPr>
        <w:t xml:space="preserve">IGREMSE: </w:t>
      </w:r>
      <w:hyperlink r:id="rId28" w:history="1">
        <w:r w:rsidR="008628B7" w:rsidRPr="00444A76">
          <w:rPr>
            <w:rStyle w:val="Hipervnculo"/>
            <w:rFonts w:ascii="Arial" w:hAnsi="Arial" w:cs="Arial"/>
            <w:sz w:val="24"/>
            <w:szCs w:val="24"/>
          </w:rPr>
          <w:t>www.inegi.org.mx/temas/remuneracionesmr/</w:t>
        </w:r>
      </w:hyperlink>
    </w:p>
    <w:p w14:paraId="1C10C9CA" w14:textId="77777777" w:rsidR="004E2EA6" w:rsidRPr="004E2EA6" w:rsidRDefault="004E2EA6" w:rsidP="009A7101">
      <w:pPr>
        <w:spacing w:after="0" w:line="240" w:lineRule="auto"/>
        <w:ind w:right="49"/>
        <w:jc w:val="both"/>
        <w:rPr>
          <w:rFonts w:ascii="Arial" w:hAnsi="Arial" w:cs="Arial"/>
          <w:sz w:val="24"/>
          <w:szCs w:val="24"/>
        </w:rPr>
      </w:pPr>
    </w:p>
    <w:p w14:paraId="4B1A195B" w14:textId="77777777"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Programa:</w:t>
      </w:r>
    </w:p>
    <w:p w14:paraId="434BA322" w14:textId="77777777" w:rsidR="004E2EA6" w:rsidRPr="002657D3" w:rsidRDefault="004E2EA6" w:rsidP="009A7101">
      <w:pPr>
        <w:spacing w:after="0" w:line="240" w:lineRule="auto"/>
        <w:ind w:right="49"/>
        <w:jc w:val="both"/>
        <w:rPr>
          <w:rFonts w:ascii="Arial" w:hAnsi="Arial" w:cs="Arial"/>
          <w:sz w:val="24"/>
          <w:szCs w:val="24"/>
        </w:rPr>
      </w:pPr>
    </w:p>
    <w:p w14:paraId="47BE187B" w14:textId="0202372F" w:rsidR="004E2EA6" w:rsidRPr="00590A2C" w:rsidRDefault="004E2EA6" w:rsidP="009A7101">
      <w:pPr>
        <w:spacing w:after="0" w:line="240" w:lineRule="auto"/>
        <w:ind w:right="49"/>
        <w:jc w:val="both"/>
        <w:rPr>
          <w:rFonts w:ascii="Arial" w:hAnsi="Arial" w:cs="Arial"/>
          <w:sz w:val="24"/>
          <w:szCs w:val="24"/>
        </w:rPr>
      </w:pPr>
      <w:r w:rsidRPr="00590A2C">
        <w:rPr>
          <w:rFonts w:ascii="Arial" w:hAnsi="Arial" w:cs="Arial"/>
          <w:sz w:val="24"/>
          <w:szCs w:val="24"/>
        </w:rPr>
        <w:t xml:space="preserve">IGPOSE: </w:t>
      </w:r>
      <w:hyperlink r:id="rId29" w:history="1">
        <w:r w:rsidR="00BE3D17" w:rsidRPr="00590A2C">
          <w:rPr>
            <w:rStyle w:val="Hipervnculo"/>
            <w:rFonts w:ascii="Arial" w:hAnsi="Arial" w:cs="Arial"/>
            <w:sz w:val="24"/>
            <w:szCs w:val="24"/>
          </w:rPr>
          <w:t>www.inegi.org.mx/programas/igpose/2013/</w:t>
        </w:r>
      </w:hyperlink>
    </w:p>
    <w:p w14:paraId="62BE0B4F" w14:textId="0D34F227"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 xml:space="preserve">IGRESE: </w:t>
      </w:r>
      <w:hyperlink r:id="rId30" w:history="1">
        <w:r w:rsidR="00BE3D17" w:rsidRPr="004121CB">
          <w:rPr>
            <w:rStyle w:val="Hipervnculo"/>
            <w:rFonts w:ascii="Arial" w:hAnsi="Arial" w:cs="Arial"/>
            <w:sz w:val="24"/>
            <w:szCs w:val="24"/>
          </w:rPr>
          <w:t>www.inegi.org.mx/programas/igrese/2013/</w:t>
        </w:r>
      </w:hyperlink>
    </w:p>
    <w:p w14:paraId="2FC4D3BB" w14:textId="7E6FB98E" w:rsidR="004E2EA6" w:rsidRPr="00F348E5" w:rsidRDefault="004E2EA6" w:rsidP="009A7101">
      <w:pPr>
        <w:spacing w:after="0" w:line="240" w:lineRule="auto"/>
        <w:ind w:right="49"/>
        <w:jc w:val="both"/>
        <w:rPr>
          <w:rFonts w:ascii="Arial" w:hAnsi="Arial" w:cs="Arial"/>
          <w:sz w:val="24"/>
          <w:szCs w:val="24"/>
        </w:rPr>
      </w:pPr>
      <w:r w:rsidRPr="00F348E5">
        <w:rPr>
          <w:rFonts w:ascii="Arial" w:hAnsi="Arial" w:cs="Arial"/>
          <w:sz w:val="24"/>
          <w:szCs w:val="24"/>
        </w:rPr>
        <w:t xml:space="preserve">IGREMSE: </w:t>
      </w:r>
      <w:hyperlink r:id="rId31" w:history="1">
        <w:r w:rsidR="00BE3D17" w:rsidRPr="004121CB">
          <w:rPr>
            <w:rStyle w:val="Hipervnculo"/>
            <w:rFonts w:ascii="Arial" w:hAnsi="Arial" w:cs="Arial"/>
            <w:sz w:val="24"/>
            <w:szCs w:val="24"/>
          </w:rPr>
          <w:t>www.inegi.org.mx/programas/igremse/2013/</w:t>
        </w:r>
      </w:hyperlink>
    </w:p>
    <w:p w14:paraId="2CFB7457" w14:textId="77777777" w:rsidR="004E2EA6" w:rsidRPr="00F348E5" w:rsidRDefault="004E2EA6" w:rsidP="009A7101">
      <w:pPr>
        <w:spacing w:after="0" w:line="240" w:lineRule="auto"/>
        <w:ind w:right="49"/>
        <w:jc w:val="both"/>
        <w:rPr>
          <w:rFonts w:ascii="Arial" w:hAnsi="Arial" w:cs="Arial"/>
          <w:sz w:val="24"/>
          <w:szCs w:val="24"/>
        </w:rPr>
      </w:pPr>
    </w:p>
    <w:p w14:paraId="6928C649" w14:textId="0821FFD8" w:rsidR="004E2EA6"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 xml:space="preserve">Banco de Información Económica (BIE): </w:t>
      </w:r>
      <w:hyperlink r:id="rId32" w:history="1">
        <w:r w:rsidRPr="00B76935">
          <w:rPr>
            <w:rStyle w:val="Hipervnculo"/>
            <w:rFonts w:ascii="Arial" w:hAnsi="Arial" w:cs="Arial"/>
            <w:sz w:val="24"/>
            <w:szCs w:val="24"/>
          </w:rPr>
          <w:t>www.inegi.org.mx/sistemas/bie/</w:t>
        </w:r>
      </w:hyperlink>
      <w:r>
        <w:rPr>
          <w:rFonts w:ascii="Arial" w:hAnsi="Arial" w:cs="Arial"/>
          <w:sz w:val="24"/>
          <w:szCs w:val="24"/>
        </w:rPr>
        <w:br w:type="page"/>
      </w:r>
    </w:p>
    <w:p w14:paraId="2D348995" w14:textId="77777777" w:rsidR="00F47EF4" w:rsidRPr="00FE3F13" w:rsidRDefault="00F47EF4" w:rsidP="009A7101">
      <w:pPr>
        <w:spacing w:after="0" w:line="240" w:lineRule="auto"/>
        <w:ind w:left="709" w:hanging="709"/>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9A7101">
      <w:pPr>
        <w:spacing w:after="0" w:line="240" w:lineRule="auto"/>
        <w:jc w:val="both"/>
        <w:rPr>
          <w:rFonts w:ascii="Arial" w:hAnsi="Arial" w:cs="Arial"/>
          <w:sz w:val="24"/>
          <w:szCs w:val="24"/>
        </w:rPr>
      </w:pPr>
    </w:p>
    <w:p w14:paraId="2AA4ECF4" w14:textId="77777777" w:rsidR="00F47EF4" w:rsidRDefault="00F47EF4" w:rsidP="009A7101">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9A7101">
      <w:pPr>
        <w:spacing w:after="0" w:line="240" w:lineRule="auto"/>
        <w:jc w:val="both"/>
        <w:rPr>
          <w:rFonts w:ascii="Arial" w:hAnsi="Arial" w:cs="Arial"/>
          <w:sz w:val="24"/>
          <w:szCs w:val="24"/>
        </w:rPr>
      </w:pPr>
    </w:p>
    <w:p w14:paraId="20DECD02" w14:textId="77777777" w:rsidR="00F47EF4" w:rsidRDefault="00F47EF4" w:rsidP="009A7101">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9A7101">
      <w:pPr>
        <w:spacing w:after="0" w:line="240" w:lineRule="auto"/>
        <w:jc w:val="both"/>
        <w:rPr>
          <w:rFonts w:ascii="Arial" w:hAnsi="Arial" w:cs="Arial"/>
          <w:sz w:val="24"/>
          <w:szCs w:val="24"/>
        </w:rPr>
      </w:pPr>
    </w:p>
    <w:p w14:paraId="1EA7D3F3" w14:textId="5103BDD9" w:rsidR="00F47EF4" w:rsidRDefault="00F47EF4" w:rsidP="009A7101">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w:t>
      </w:r>
      <w:r w:rsidR="002E388B">
        <w:rPr>
          <w:rFonts w:ascii="Arial" w:hAnsi="Arial" w:cs="Arial"/>
          <w:sz w:val="24"/>
          <w:szCs w:val="24"/>
        </w:rPr>
        <w:t xml:space="preserve"> </w:t>
      </w:r>
      <w:r>
        <w:rPr>
          <w:rFonts w:ascii="Arial" w:hAnsi="Arial" w:cs="Arial"/>
          <w:sz w:val="24"/>
          <w:szCs w:val="24"/>
        </w:rPr>
        <w:t>l</w:t>
      </w:r>
      <w:r w:rsidR="002E388B">
        <w:rPr>
          <w:rFonts w:ascii="Arial" w:hAnsi="Arial" w:cs="Arial"/>
          <w:sz w:val="24"/>
          <w:szCs w:val="24"/>
        </w:rPr>
        <w:t>os Índices Globales de Personal y Remuneraciones de los Sectores Económicos (IGP</w:t>
      </w:r>
      <w:r w:rsidR="00AF21E8">
        <w:rPr>
          <w:rFonts w:ascii="Arial" w:hAnsi="Arial" w:cs="Arial"/>
          <w:sz w:val="24"/>
          <w:szCs w:val="24"/>
        </w:rPr>
        <w:t>E</w:t>
      </w:r>
      <w:r w:rsidR="002E388B">
        <w:rPr>
          <w:rFonts w:ascii="Arial" w:hAnsi="Arial" w:cs="Arial"/>
          <w:sz w:val="24"/>
          <w:szCs w:val="24"/>
        </w:rPr>
        <w:t>RSE).</w:t>
      </w:r>
    </w:p>
    <w:p w14:paraId="277AD3AA" w14:textId="77777777" w:rsidR="00F47EF4" w:rsidRDefault="00F47EF4" w:rsidP="009A7101">
      <w:pPr>
        <w:spacing w:after="0" w:line="240" w:lineRule="auto"/>
        <w:jc w:val="both"/>
        <w:rPr>
          <w:rFonts w:ascii="Arial" w:hAnsi="Arial" w:cs="Arial"/>
          <w:b/>
          <w:sz w:val="24"/>
          <w:szCs w:val="24"/>
        </w:rPr>
      </w:pPr>
    </w:p>
    <w:p w14:paraId="2E16F80D" w14:textId="1A11AFCA" w:rsidR="00F47EF4" w:rsidRPr="00796A52" w:rsidRDefault="00F47EF4" w:rsidP="009A7101">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w:t>
      </w:r>
      <w:r w:rsidR="00723F03">
        <w:rPr>
          <w:rFonts w:ascii="Arial" w:hAnsi="Arial" w:cs="Arial"/>
          <w:b/>
          <w:sz w:val="24"/>
          <w:szCs w:val="24"/>
        </w:rPr>
        <w:t xml:space="preserve"> </w:t>
      </w:r>
      <w:r>
        <w:rPr>
          <w:rFonts w:ascii="Arial" w:hAnsi="Arial" w:cs="Arial"/>
          <w:b/>
          <w:sz w:val="24"/>
          <w:szCs w:val="24"/>
        </w:rPr>
        <w:t>l</w:t>
      </w:r>
      <w:r w:rsidR="00723F03">
        <w:rPr>
          <w:rFonts w:ascii="Arial" w:hAnsi="Arial" w:cs="Arial"/>
          <w:b/>
          <w:sz w:val="24"/>
          <w:szCs w:val="24"/>
        </w:rPr>
        <w:t>os</w:t>
      </w:r>
      <w:r>
        <w:rPr>
          <w:rFonts w:ascii="Arial" w:hAnsi="Arial" w:cs="Arial"/>
          <w:b/>
          <w:sz w:val="24"/>
          <w:szCs w:val="24"/>
        </w:rPr>
        <w:t xml:space="preserve"> índice</w:t>
      </w:r>
      <w:r w:rsidR="00723F03">
        <w:rPr>
          <w:rFonts w:ascii="Arial" w:hAnsi="Arial" w:cs="Arial"/>
          <w:b/>
          <w:sz w:val="24"/>
          <w:szCs w:val="24"/>
        </w:rPr>
        <w:t>s</w:t>
      </w:r>
      <w:r>
        <w:rPr>
          <w:rFonts w:ascii="Arial" w:hAnsi="Arial" w:cs="Arial"/>
          <w:b/>
          <w:sz w:val="24"/>
          <w:szCs w:val="24"/>
        </w:rPr>
        <w:t>.</w:t>
      </w:r>
    </w:p>
    <w:p w14:paraId="4236D5A7" w14:textId="77777777" w:rsidR="00F47EF4" w:rsidRDefault="00F47EF4" w:rsidP="009A7101">
      <w:pPr>
        <w:spacing w:after="0" w:line="240" w:lineRule="auto"/>
        <w:jc w:val="both"/>
        <w:rPr>
          <w:rFonts w:ascii="Arial" w:hAnsi="Arial" w:cs="Arial"/>
          <w:sz w:val="24"/>
          <w:szCs w:val="24"/>
        </w:rPr>
      </w:pPr>
    </w:p>
    <w:p w14:paraId="474FD085" w14:textId="118BC812" w:rsidR="002E388B" w:rsidRDefault="00723F03" w:rsidP="009A7101">
      <w:pPr>
        <w:spacing w:after="0" w:line="240" w:lineRule="auto"/>
        <w:jc w:val="both"/>
        <w:rPr>
          <w:rFonts w:ascii="Arial" w:hAnsi="Arial" w:cs="Arial"/>
          <w:sz w:val="24"/>
          <w:szCs w:val="24"/>
        </w:rPr>
      </w:pPr>
      <w:r>
        <w:rPr>
          <w:rFonts w:ascii="Arial" w:hAnsi="Arial" w:cs="Arial"/>
          <w:sz w:val="24"/>
          <w:szCs w:val="24"/>
        </w:rPr>
        <w:t xml:space="preserve">Los Censos Económicos 2014 </w:t>
      </w:r>
      <w:r w:rsidR="002E388B" w:rsidRPr="002E388B">
        <w:rPr>
          <w:rFonts w:ascii="Arial" w:hAnsi="Arial" w:cs="Arial"/>
          <w:sz w:val="24"/>
          <w:szCs w:val="24"/>
        </w:rPr>
        <w:t>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w:t>
      </w:r>
    </w:p>
    <w:p w14:paraId="17DAE973" w14:textId="77777777" w:rsidR="002E388B" w:rsidRPr="002E388B" w:rsidRDefault="002E388B" w:rsidP="009A7101">
      <w:pPr>
        <w:spacing w:after="0" w:line="240" w:lineRule="auto"/>
        <w:jc w:val="both"/>
        <w:rPr>
          <w:rFonts w:ascii="Arial" w:hAnsi="Arial" w:cs="Arial"/>
          <w:sz w:val="24"/>
          <w:szCs w:val="24"/>
        </w:rPr>
      </w:pPr>
    </w:p>
    <w:p w14:paraId="162DDA11" w14:textId="31049F07" w:rsidR="00F47EF4" w:rsidRDefault="002E388B" w:rsidP="009A7101">
      <w:pPr>
        <w:spacing w:after="0" w:line="240" w:lineRule="auto"/>
        <w:jc w:val="both"/>
        <w:rPr>
          <w:rFonts w:ascii="Arial" w:hAnsi="Arial" w:cs="Arial"/>
          <w:sz w:val="24"/>
          <w:szCs w:val="24"/>
        </w:rPr>
      </w:pPr>
      <w:r w:rsidRPr="002E388B">
        <w:rPr>
          <w:rFonts w:ascii="Arial" w:hAnsi="Arial" w:cs="Arial"/>
          <w:sz w:val="24"/>
          <w:szCs w:val="24"/>
        </w:rPr>
        <w:t>En concordancia con lo anterior, nueve de cada diez personas ocupadas son reportadas por unidades económicas de los cinco sectores señalados, lo que representa un poco más de 19 millones de personas en todo el país de acuerdo con los datos de los Censos Económicos</w:t>
      </w:r>
      <w:r w:rsidR="00723F03">
        <w:rPr>
          <w:rFonts w:ascii="Arial" w:hAnsi="Arial" w:cs="Arial"/>
          <w:sz w:val="24"/>
          <w:szCs w:val="24"/>
        </w:rPr>
        <w:t xml:space="preserve"> 2014</w:t>
      </w:r>
      <w:r w:rsidRPr="002E388B">
        <w:rPr>
          <w:rFonts w:ascii="Arial" w:hAnsi="Arial" w:cs="Arial"/>
          <w:sz w:val="24"/>
          <w:szCs w:val="24"/>
        </w:rPr>
        <w:t>.</w:t>
      </w:r>
      <w:r w:rsidR="00F47EF4">
        <w:rPr>
          <w:rFonts w:ascii="Arial" w:hAnsi="Arial" w:cs="Arial"/>
          <w:sz w:val="24"/>
          <w:szCs w:val="24"/>
        </w:rPr>
        <w:t xml:space="preserve"> </w:t>
      </w:r>
    </w:p>
    <w:p w14:paraId="78136DE7" w14:textId="11D491A6" w:rsidR="00F47EF4" w:rsidRDefault="00F47EF4" w:rsidP="009A7101">
      <w:pPr>
        <w:spacing w:after="0" w:line="240" w:lineRule="auto"/>
        <w:jc w:val="both"/>
        <w:rPr>
          <w:rFonts w:ascii="Arial" w:hAnsi="Arial" w:cs="Arial"/>
          <w:sz w:val="24"/>
          <w:szCs w:val="24"/>
        </w:rPr>
      </w:pPr>
    </w:p>
    <w:p w14:paraId="22E44880" w14:textId="35B2569F" w:rsidR="002E388B" w:rsidRDefault="002E388B" w:rsidP="009A7101">
      <w:pPr>
        <w:spacing w:after="0" w:line="240" w:lineRule="auto"/>
        <w:jc w:val="both"/>
        <w:rPr>
          <w:rFonts w:ascii="Arial" w:hAnsi="Arial" w:cs="Arial"/>
          <w:sz w:val="24"/>
          <w:szCs w:val="24"/>
        </w:rPr>
      </w:pPr>
      <w:r w:rsidRPr="002E388B">
        <w:rPr>
          <w:rFonts w:ascii="Arial" w:hAnsi="Arial" w:cs="Arial"/>
          <w:sz w:val="24"/>
          <w:szCs w:val="24"/>
        </w:rPr>
        <w:t>Por su parte, la masa salarial total, compuesta por las remuneraciones pagadas al personal dependiente de la razón y los pagos al personal no dependiente de la razón social de los mismos sectores implicados en el cálculo del IGRESE representan el 82.0% del total que reportaron los Censos Económicos 2014.</w:t>
      </w:r>
    </w:p>
    <w:p w14:paraId="5A6BACA4" w14:textId="77777777" w:rsidR="002E388B" w:rsidRDefault="002E388B" w:rsidP="009A7101">
      <w:pPr>
        <w:spacing w:after="0" w:line="240" w:lineRule="auto"/>
        <w:jc w:val="both"/>
        <w:rPr>
          <w:rFonts w:ascii="Arial" w:hAnsi="Arial" w:cs="Arial"/>
          <w:sz w:val="24"/>
          <w:szCs w:val="24"/>
        </w:rPr>
      </w:pPr>
    </w:p>
    <w:p w14:paraId="4044CD17" w14:textId="47B014C9" w:rsidR="00E32994" w:rsidRDefault="00F47EF4" w:rsidP="009A7101">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 xml:space="preserve">de las encuestas económicas (Encuesta Nacional de Empresas Constructoras, Encuesta Mensual de </w:t>
      </w:r>
      <w:r w:rsidRPr="005236CD">
        <w:rPr>
          <w:rFonts w:ascii="Arial" w:hAnsi="Arial" w:cs="Arial"/>
          <w:sz w:val="24"/>
          <w:szCs w:val="24"/>
        </w:rPr>
        <w:lastRenderedPageBreak/>
        <w:t>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w:t>
      </w:r>
      <w:r w:rsidR="00723F03">
        <w:rPr>
          <w:rFonts w:ascii="Arial" w:hAnsi="Arial" w:cs="Arial"/>
          <w:sz w:val="24"/>
          <w:szCs w:val="24"/>
        </w:rPr>
        <w:t xml:space="preserve"> los </w:t>
      </w:r>
      <w:r w:rsidR="00E32994">
        <w:rPr>
          <w:rFonts w:ascii="Arial" w:hAnsi="Arial" w:cs="Arial"/>
          <w:sz w:val="24"/>
          <w:szCs w:val="24"/>
        </w:rPr>
        <w:t>índices globales</w:t>
      </w:r>
      <w:r w:rsidR="00EA1B0E">
        <w:rPr>
          <w:rFonts w:ascii="Arial" w:hAnsi="Arial" w:cs="Arial"/>
          <w:sz w:val="24"/>
          <w:szCs w:val="24"/>
        </w:rPr>
        <w:t>, se tiene una cobertura del 80</w:t>
      </w:r>
      <w:r>
        <w:rPr>
          <w:rFonts w:ascii="Arial" w:hAnsi="Arial" w:cs="Arial"/>
          <w:sz w:val="24"/>
          <w:szCs w:val="24"/>
        </w:rPr>
        <w:t xml:space="preserve">.0% en relación con el total de personas ocupadas </w:t>
      </w:r>
      <w:r w:rsidR="00E32994">
        <w:rPr>
          <w:rFonts w:ascii="Arial" w:hAnsi="Arial" w:cs="Arial"/>
          <w:sz w:val="24"/>
          <w:szCs w:val="24"/>
        </w:rPr>
        <w:t xml:space="preserve">y del 91.0% en relación a la masa salarial, </w:t>
      </w:r>
      <w:r>
        <w:rPr>
          <w:rFonts w:ascii="Arial" w:hAnsi="Arial" w:cs="Arial"/>
          <w:sz w:val="24"/>
          <w:szCs w:val="24"/>
        </w:rPr>
        <w:t>que reportan los C</w:t>
      </w:r>
      <w:r w:rsidRPr="007F130F">
        <w:rPr>
          <w:rFonts w:ascii="Arial" w:hAnsi="Arial" w:cs="Arial"/>
          <w:sz w:val="24"/>
          <w:szCs w:val="24"/>
        </w:rPr>
        <w:t xml:space="preserve">ensos Económicos </w:t>
      </w:r>
      <w:r>
        <w:rPr>
          <w:rFonts w:ascii="Arial" w:hAnsi="Arial" w:cs="Arial"/>
          <w:sz w:val="24"/>
          <w:szCs w:val="24"/>
        </w:rPr>
        <w:t xml:space="preserve">para tales sectores. </w:t>
      </w:r>
    </w:p>
    <w:p w14:paraId="18808201" w14:textId="77777777" w:rsidR="00E32994" w:rsidRDefault="00E32994" w:rsidP="009A7101">
      <w:pPr>
        <w:spacing w:after="0" w:line="240" w:lineRule="auto"/>
        <w:jc w:val="both"/>
        <w:rPr>
          <w:rFonts w:ascii="Arial" w:hAnsi="Arial" w:cs="Arial"/>
          <w:sz w:val="24"/>
          <w:szCs w:val="24"/>
        </w:rPr>
      </w:pPr>
    </w:p>
    <w:p w14:paraId="7CD96575" w14:textId="77777777" w:rsidR="00F47EF4" w:rsidRPr="00796A52" w:rsidRDefault="00F47EF4" w:rsidP="009A7101">
      <w:pPr>
        <w:spacing w:after="0" w:line="240" w:lineRule="auto"/>
        <w:jc w:val="both"/>
        <w:rPr>
          <w:rFonts w:ascii="Arial" w:hAnsi="Arial" w:cs="Arial"/>
          <w:b/>
          <w:sz w:val="24"/>
          <w:szCs w:val="24"/>
        </w:rPr>
      </w:pPr>
      <w:r w:rsidRPr="00796A52">
        <w:rPr>
          <w:rFonts w:ascii="Arial" w:hAnsi="Arial" w:cs="Arial"/>
          <w:b/>
          <w:sz w:val="24"/>
          <w:szCs w:val="24"/>
        </w:rPr>
        <w:t>Fuentes de Información</w:t>
      </w:r>
      <w:r>
        <w:rPr>
          <w:rFonts w:ascii="Arial" w:hAnsi="Arial" w:cs="Arial"/>
          <w:b/>
          <w:sz w:val="24"/>
          <w:szCs w:val="24"/>
        </w:rPr>
        <w:t>.</w:t>
      </w:r>
    </w:p>
    <w:p w14:paraId="3B1641B9" w14:textId="77777777" w:rsidR="00F47EF4" w:rsidRDefault="00F47EF4" w:rsidP="009A7101">
      <w:pPr>
        <w:spacing w:after="0" w:line="240" w:lineRule="auto"/>
        <w:jc w:val="both"/>
        <w:rPr>
          <w:rFonts w:ascii="Arial" w:hAnsi="Arial" w:cs="Arial"/>
          <w:sz w:val="24"/>
          <w:szCs w:val="24"/>
        </w:rPr>
      </w:pPr>
    </w:p>
    <w:p w14:paraId="5FE438BC" w14:textId="3669AE56" w:rsidR="00744974" w:rsidRDefault="002C71C3" w:rsidP="009A7101">
      <w:pPr>
        <w:spacing w:after="0" w:line="240" w:lineRule="auto"/>
        <w:jc w:val="both"/>
        <w:rPr>
          <w:rFonts w:ascii="Arial" w:hAnsi="Arial" w:cs="Arial"/>
          <w:sz w:val="24"/>
          <w:szCs w:val="24"/>
        </w:rPr>
      </w:pPr>
      <w:r w:rsidRPr="002C71C3">
        <w:rPr>
          <w:rFonts w:ascii="Arial" w:hAnsi="Arial" w:cs="Arial"/>
          <w:sz w:val="24"/>
          <w:szCs w:val="24"/>
        </w:rPr>
        <w:t xml:space="preserve">El </w:t>
      </w:r>
      <w:r>
        <w:rPr>
          <w:rFonts w:ascii="Arial" w:hAnsi="Arial" w:cs="Arial"/>
          <w:sz w:val="24"/>
          <w:szCs w:val="24"/>
        </w:rPr>
        <w:t>IGPOSE e IGRESE</w:t>
      </w:r>
      <w:r w:rsidRPr="002C71C3">
        <w:rPr>
          <w:rFonts w:ascii="Arial" w:hAnsi="Arial" w:cs="Arial"/>
          <w:sz w:val="24"/>
          <w:szCs w:val="24"/>
        </w:rPr>
        <w:t xml:space="preserve"> utilizan como insumo principal</w:t>
      </w:r>
      <w:r w:rsidR="00C52C2C">
        <w:rPr>
          <w:rFonts w:ascii="Arial" w:hAnsi="Arial" w:cs="Arial"/>
          <w:sz w:val="24"/>
          <w:szCs w:val="24"/>
        </w:rPr>
        <w:t>,</w:t>
      </w:r>
      <w:r w:rsidRPr="002C71C3">
        <w:rPr>
          <w:rFonts w:ascii="Arial" w:hAnsi="Arial" w:cs="Arial"/>
          <w:sz w:val="24"/>
          <w:szCs w:val="24"/>
        </w:rPr>
        <w:t xml:space="preserve"> para su generación</w:t>
      </w:r>
      <w:r w:rsidR="00C52C2C">
        <w:rPr>
          <w:rFonts w:ascii="Arial" w:hAnsi="Arial" w:cs="Arial"/>
          <w:sz w:val="24"/>
          <w:szCs w:val="24"/>
        </w:rPr>
        <w:t>,</w:t>
      </w:r>
      <w:r w:rsidRPr="002C71C3">
        <w:rPr>
          <w:rFonts w:ascii="Arial" w:hAnsi="Arial" w:cs="Arial"/>
          <w:sz w:val="24"/>
          <w:szCs w:val="24"/>
        </w:rPr>
        <w:t xml:space="preserve"> la información proveniente de las Encuestas Económicas Nacionales</w:t>
      </w:r>
      <w:r w:rsidR="00047D22">
        <w:rPr>
          <w:rFonts w:ascii="Arial" w:hAnsi="Arial" w:cs="Arial"/>
          <w:sz w:val="24"/>
          <w:szCs w:val="24"/>
        </w:rPr>
        <w:t xml:space="preserve"> </w:t>
      </w:r>
    </w:p>
    <w:p w14:paraId="51617F07" w14:textId="77777777" w:rsidR="00047D22" w:rsidRDefault="00047D22" w:rsidP="009A7101">
      <w:pPr>
        <w:spacing w:after="0" w:line="240" w:lineRule="auto"/>
        <w:jc w:val="both"/>
        <w:rPr>
          <w:rFonts w:ascii="Arial" w:hAnsi="Arial" w:cs="Arial"/>
          <w:sz w:val="24"/>
          <w:szCs w:val="24"/>
        </w:rPr>
      </w:pPr>
    </w:p>
    <w:p w14:paraId="24531D9D" w14:textId="31C6F409" w:rsidR="00047D22" w:rsidRDefault="00047D22" w:rsidP="009A7101">
      <w:pPr>
        <w:spacing w:after="0" w:line="240" w:lineRule="auto"/>
        <w:jc w:val="both"/>
        <w:rPr>
          <w:rFonts w:ascii="Arial" w:hAnsi="Arial" w:cs="Arial"/>
          <w:sz w:val="24"/>
          <w:szCs w:val="24"/>
        </w:rPr>
      </w:pPr>
      <w:r>
        <w:rPr>
          <w:rFonts w:ascii="Arial" w:hAnsi="Arial" w:cs="Arial"/>
          <w:sz w:val="24"/>
          <w:szCs w:val="24"/>
        </w:rPr>
        <w:t xml:space="preserve">A </w:t>
      </w:r>
      <w:r w:rsidR="00404186">
        <w:rPr>
          <w:rFonts w:ascii="Arial" w:hAnsi="Arial" w:cs="Arial"/>
          <w:sz w:val="24"/>
          <w:szCs w:val="24"/>
        </w:rPr>
        <w:t>continuación,</w:t>
      </w:r>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9A7101">
      <w:pPr>
        <w:spacing w:after="0" w:line="240" w:lineRule="auto"/>
        <w:jc w:val="both"/>
        <w:rPr>
          <w:rFonts w:ascii="Arial" w:hAnsi="Arial" w:cs="Arial"/>
          <w:sz w:val="24"/>
          <w:szCs w:val="24"/>
        </w:rPr>
      </w:pPr>
    </w:p>
    <w:p w14:paraId="6155F34C" w14:textId="77777777" w:rsidR="00F47EF4" w:rsidRDefault="00F47EF4" w:rsidP="009A7101">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9A7101">
      <w:pPr>
        <w:spacing w:after="0" w:line="240" w:lineRule="auto"/>
        <w:jc w:val="both"/>
        <w:rPr>
          <w:rFonts w:ascii="Arial" w:hAnsi="Arial" w:cs="Arial"/>
          <w:sz w:val="24"/>
          <w:szCs w:val="24"/>
        </w:rPr>
      </w:pPr>
    </w:p>
    <w:p w14:paraId="3BC88B56" w14:textId="77777777" w:rsidR="00F47EF4" w:rsidRDefault="00F47EF4" w:rsidP="009A710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9A7101">
      <w:pPr>
        <w:spacing w:after="0" w:line="240" w:lineRule="auto"/>
        <w:jc w:val="both"/>
        <w:rPr>
          <w:rFonts w:ascii="Arial" w:hAnsi="Arial" w:cs="Arial"/>
          <w:sz w:val="24"/>
          <w:szCs w:val="24"/>
        </w:rPr>
      </w:pPr>
    </w:p>
    <w:p w14:paraId="775B3C84" w14:textId="77777777" w:rsidR="00F47EF4" w:rsidRDefault="00F47EF4" w:rsidP="009A7101">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9A7101">
      <w:pPr>
        <w:spacing w:after="0" w:line="240" w:lineRule="auto"/>
        <w:jc w:val="both"/>
        <w:rPr>
          <w:rFonts w:ascii="Arial" w:hAnsi="Arial" w:cs="Arial"/>
          <w:sz w:val="24"/>
          <w:szCs w:val="24"/>
        </w:rPr>
      </w:pPr>
    </w:p>
    <w:p w14:paraId="293AB89F" w14:textId="77777777" w:rsidR="00F47EF4" w:rsidRDefault="00BD5A29" w:rsidP="009A7101">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9A7101">
      <w:pPr>
        <w:spacing w:after="0" w:line="240" w:lineRule="auto"/>
        <w:jc w:val="both"/>
        <w:rPr>
          <w:rFonts w:ascii="Arial" w:hAnsi="Arial" w:cs="Arial"/>
          <w:sz w:val="24"/>
          <w:szCs w:val="24"/>
        </w:rPr>
      </w:pPr>
    </w:p>
    <w:p w14:paraId="697EF479" w14:textId="77777777" w:rsidR="00F47EF4" w:rsidRDefault="00F47EF4" w:rsidP="009A7101">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9A7101">
      <w:pPr>
        <w:spacing w:after="0" w:line="240" w:lineRule="auto"/>
        <w:jc w:val="both"/>
        <w:rPr>
          <w:rFonts w:ascii="Arial" w:hAnsi="Arial" w:cs="Arial"/>
          <w:sz w:val="24"/>
          <w:szCs w:val="24"/>
        </w:rPr>
      </w:pPr>
    </w:p>
    <w:p w14:paraId="2C0F894C" w14:textId="77777777" w:rsidR="00F47EF4" w:rsidRDefault="00F47EF4" w:rsidP="009A7101">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9A7101">
      <w:pPr>
        <w:spacing w:after="0" w:line="240" w:lineRule="auto"/>
        <w:jc w:val="both"/>
        <w:rPr>
          <w:rFonts w:ascii="Arial" w:hAnsi="Arial" w:cs="Arial"/>
          <w:b/>
          <w:sz w:val="24"/>
          <w:szCs w:val="24"/>
        </w:rPr>
      </w:pPr>
    </w:p>
    <w:p w14:paraId="506C28D1" w14:textId="77777777" w:rsidR="00F47EF4" w:rsidRDefault="00F47EF4" w:rsidP="009A7101">
      <w:pPr>
        <w:spacing w:after="0" w:line="240" w:lineRule="auto"/>
        <w:jc w:val="both"/>
        <w:rPr>
          <w:rFonts w:ascii="Arial" w:hAnsi="Arial" w:cs="Arial"/>
          <w:sz w:val="24"/>
          <w:szCs w:val="24"/>
        </w:rPr>
      </w:pPr>
      <w:r w:rsidRPr="009036FA">
        <w:rPr>
          <w:rFonts w:ascii="Arial" w:hAnsi="Arial" w:cs="Arial"/>
          <w:b/>
          <w:sz w:val="24"/>
          <w:szCs w:val="24"/>
        </w:rPr>
        <w:lastRenderedPageBreak/>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9A7101">
      <w:pPr>
        <w:spacing w:after="0" w:line="240" w:lineRule="auto"/>
        <w:jc w:val="both"/>
        <w:rPr>
          <w:rFonts w:ascii="Arial" w:hAnsi="Arial" w:cs="Arial"/>
          <w:sz w:val="24"/>
          <w:szCs w:val="24"/>
        </w:rPr>
      </w:pPr>
    </w:p>
    <w:p w14:paraId="5D564B88" w14:textId="727DBBBC" w:rsidR="00F47EF4" w:rsidRDefault="00F47EF4" w:rsidP="009A7101">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C9810A2" w14:textId="77777777" w:rsidR="002C71C3" w:rsidRPr="00623833" w:rsidRDefault="002C71C3" w:rsidP="009A7101">
      <w:pPr>
        <w:spacing w:after="0" w:line="240" w:lineRule="auto"/>
        <w:jc w:val="both"/>
        <w:rPr>
          <w:rFonts w:ascii="Arial" w:hAnsi="Arial" w:cs="Arial"/>
          <w:sz w:val="24"/>
          <w:szCs w:val="24"/>
        </w:rPr>
      </w:pPr>
    </w:p>
    <w:p w14:paraId="529C8662" w14:textId="77777777" w:rsidR="00F47EF4" w:rsidRDefault="00F47EF4" w:rsidP="009A7101">
      <w:pPr>
        <w:spacing w:after="0" w:line="240" w:lineRule="auto"/>
        <w:jc w:val="both"/>
        <w:rPr>
          <w:rFonts w:ascii="Arial" w:hAnsi="Arial" w:cs="Arial"/>
          <w:sz w:val="24"/>
          <w:szCs w:val="24"/>
        </w:rPr>
      </w:pPr>
      <w:r w:rsidRPr="009036FA">
        <w:rPr>
          <w:rFonts w:ascii="Arial" w:hAnsi="Arial" w:cs="Arial"/>
          <w:b/>
          <w:sz w:val="24"/>
          <w:szCs w:val="24"/>
        </w:rPr>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9A7101">
      <w:pPr>
        <w:spacing w:after="0" w:line="240" w:lineRule="auto"/>
        <w:jc w:val="both"/>
        <w:rPr>
          <w:rFonts w:ascii="Arial" w:hAnsi="Arial" w:cs="Arial"/>
          <w:sz w:val="24"/>
          <w:szCs w:val="24"/>
        </w:rPr>
      </w:pPr>
    </w:p>
    <w:p w14:paraId="71810DA0" w14:textId="7F507DF2" w:rsidR="00F47EF4" w:rsidRDefault="004E1C76" w:rsidP="009A7101">
      <w:pPr>
        <w:spacing w:after="0" w:line="240" w:lineRule="auto"/>
        <w:jc w:val="both"/>
        <w:rPr>
          <w:rFonts w:ascii="Arial" w:hAnsi="Arial" w:cs="Arial"/>
          <w:b/>
          <w:sz w:val="24"/>
          <w:szCs w:val="24"/>
        </w:rPr>
      </w:pPr>
      <w:r w:rsidRPr="004E1C76">
        <w:rPr>
          <w:rFonts w:ascii="Arial" w:hAnsi="Arial" w:cs="Arial"/>
          <w:b/>
          <w:sz w:val="24"/>
          <w:szCs w:val="24"/>
        </w:rPr>
        <w:t>Cálculo de los Índices Globales de Personal y Remuneraciones de los Sectores Económicos (IGPERSE)</w:t>
      </w:r>
      <w:r w:rsidR="00F47EF4">
        <w:rPr>
          <w:rFonts w:ascii="Arial" w:hAnsi="Arial" w:cs="Arial"/>
          <w:b/>
          <w:sz w:val="24"/>
          <w:szCs w:val="24"/>
        </w:rPr>
        <w:t>.</w:t>
      </w:r>
    </w:p>
    <w:p w14:paraId="7EF497AD" w14:textId="77777777" w:rsidR="00F47EF4" w:rsidRDefault="00F47EF4" w:rsidP="009A7101">
      <w:pPr>
        <w:spacing w:after="0" w:line="240" w:lineRule="auto"/>
        <w:jc w:val="both"/>
        <w:rPr>
          <w:rFonts w:ascii="Arial" w:hAnsi="Arial" w:cs="Arial"/>
          <w:b/>
          <w:sz w:val="24"/>
          <w:szCs w:val="24"/>
        </w:rPr>
      </w:pPr>
    </w:p>
    <w:p w14:paraId="086BBF10" w14:textId="22E99923" w:rsidR="00F47EF4" w:rsidRDefault="00C52C2C" w:rsidP="009A7101">
      <w:pPr>
        <w:spacing w:after="0" w:line="240" w:lineRule="auto"/>
        <w:jc w:val="both"/>
        <w:rPr>
          <w:rFonts w:ascii="Arial" w:hAnsi="Arial" w:cs="Arial"/>
          <w:sz w:val="24"/>
          <w:szCs w:val="24"/>
        </w:rPr>
      </w:pPr>
      <w:r>
        <w:rPr>
          <w:rFonts w:ascii="Arial" w:hAnsi="Arial" w:cs="Arial"/>
          <w:sz w:val="24"/>
          <w:szCs w:val="24"/>
        </w:rPr>
        <w:t>Para el cálculo de los índices g</w:t>
      </w:r>
      <w:r w:rsidR="00A33DDF" w:rsidRPr="00A33DDF">
        <w:rPr>
          <w:rFonts w:ascii="Arial" w:hAnsi="Arial" w:cs="Arial"/>
          <w:sz w:val="24"/>
          <w:szCs w:val="24"/>
        </w:rPr>
        <w:t>lobales se utiliza el personal ocupado total con sus respectivas remuneraciones o pagos</w:t>
      </w:r>
      <w:r w:rsidR="00A33DDF">
        <w:rPr>
          <w:rFonts w:ascii="Arial" w:hAnsi="Arial" w:cs="Arial"/>
          <w:sz w:val="24"/>
          <w:szCs w:val="24"/>
        </w:rPr>
        <w:t>.</w:t>
      </w:r>
    </w:p>
    <w:p w14:paraId="288D7BFE" w14:textId="77777777" w:rsidR="00F47EF4" w:rsidRDefault="00F47EF4" w:rsidP="009A7101">
      <w:pPr>
        <w:spacing w:after="0" w:line="240" w:lineRule="auto"/>
        <w:jc w:val="both"/>
        <w:rPr>
          <w:rFonts w:ascii="Arial" w:hAnsi="Arial" w:cs="Arial"/>
          <w:sz w:val="24"/>
          <w:szCs w:val="24"/>
        </w:rPr>
      </w:pPr>
    </w:p>
    <w:p w14:paraId="56DA7512" w14:textId="1FCC2D49" w:rsidR="00F47EF4" w:rsidRDefault="00F47EF4" w:rsidP="009A7101">
      <w:pPr>
        <w:spacing w:after="0" w:line="240" w:lineRule="auto"/>
        <w:jc w:val="both"/>
        <w:rPr>
          <w:rFonts w:ascii="Arial" w:hAnsi="Arial" w:cs="Arial"/>
          <w:sz w:val="24"/>
          <w:szCs w:val="24"/>
        </w:rPr>
      </w:pPr>
      <w:r w:rsidRPr="002616F6">
        <w:rPr>
          <w:rFonts w:ascii="Arial" w:hAnsi="Arial" w:cs="Arial"/>
          <w:sz w:val="24"/>
          <w:szCs w:val="24"/>
        </w:rPr>
        <w:t xml:space="preserve">Una vez que se cuenta con el personal ocupado </w:t>
      </w:r>
      <w:r w:rsidR="00A33DDF">
        <w:rPr>
          <w:rFonts w:ascii="Arial" w:hAnsi="Arial" w:cs="Arial"/>
          <w:sz w:val="24"/>
          <w:szCs w:val="24"/>
        </w:rPr>
        <w:t xml:space="preserve">y la masa salarial </w:t>
      </w:r>
      <w:r w:rsidRPr="002616F6">
        <w:rPr>
          <w:rFonts w:ascii="Arial" w:hAnsi="Arial" w:cs="Arial"/>
          <w:sz w:val="24"/>
          <w:szCs w:val="24"/>
        </w:rPr>
        <w:t>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realiza el proceso de integración de las fuentes, para así contar con el insumo principal requerido en la generación de</w:t>
      </w:r>
      <w:r w:rsidR="00D91FCB">
        <w:rPr>
          <w:rFonts w:ascii="Arial" w:hAnsi="Arial" w:cs="Arial"/>
          <w:sz w:val="24"/>
          <w:szCs w:val="24"/>
        </w:rPr>
        <w:t xml:space="preserve"> </w:t>
      </w:r>
      <w:r>
        <w:rPr>
          <w:rFonts w:ascii="Arial" w:hAnsi="Arial" w:cs="Arial"/>
          <w:sz w:val="24"/>
          <w:szCs w:val="24"/>
        </w:rPr>
        <w:t>l</w:t>
      </w:r>
      <w:r w:rsidR="00D91FCB">
        <w:rPr>
          <w:rFonts w:ascii="Arial" w:hAnsi="Arial" w:cs="Arial"/>
          <w:sz w:val="24"/>
          <w:szCs w:val="24"/>
        </w:rPr>
        <w:t>os índices.</w:t>
      </w:r>
    </w:p>
    <w:p w14:paraId="15CA1D6A" w14:textId="77777777" w:rsidR="00F47EF4" w:rsidRPr="007F130F" w:rsidRDefault="00F47EF4" w:rsidP="009A7101">
      <w:pPr>
        <w:spacing w:after="0" w:line="240" w:lineRule="auto"/>
        <w:jc w:val="both"/>
        <w:rPr>
          <w:rFonts w:ascii="Arial" w:hAnsi="Arial" w:cs="Arial"/>
          <w:sz w:val="24"/>
          <w:szCs w:val="24"/>
        </w:rPr>
      </w:pPr>
    </w:p>
    <w:p w14:paraId="05D7383D" w14:textId="77777777" w:rsidR="00F47EF4" w:rsidRPr="007F130F" w:rsidRDefault="00F47EF4" w:rsidP="009A7101">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6FEE6D7F" w:rsidR="00F47EF4" w:rsidRDefault="00F47EF4" w:rsidP="009A7101">
      <w:pPr>
        <w:spacing w:after="0" w:line="240" w:lineRule="auto"/>
        <w:jc w:val="both"/>
        <w:rPr>
          <w:rFonts w:ascii="Arial" w:hAnsi="Arial" w:cs="Arial"/>
          <w:b/>
          <w:sz w:val="24"/>
          <w:szCs w:val="24"/>
        </w:rPr>
      </w:pPr>
    </w:p>
    <w:p w14:paraId="17FDC788" w14:textId="610E7C31" w:rsidR="004A1A27" w:rsidRDefault="004A1A27" w:rsidP="009A7101">
      <w:pPr>
        <w:spacing w:after="0" w:line="240" w:lineRule="auto"/>
        <w:jc w:val="both"/>
        <w:rPr>
          <w:rFonts w:ascii="Arial" w:hAnsi="Arial" w:cs="Arial"/>
          <w:sz w:val="24"/>
          <w:szCs w:val="24"/>
        </w:rPr>
      </w:pPr>
      <w:r>
        <w:rPr>
          <w:rFonts w:ascii="Arial" w:hAnsi="Arial" w:cs="Arial"/>
          <w:sz w:val="24"/>
          <w:szCs w:val="24"/>
        </w:rPr>
        <w:t xml:space="preserve">Para el IGPOSE </w:t>
      </w:r>
      <w:r w:rsidR="00C52C2C">
        <w:rPr>
          <w:rFonts w:ascii="Arial" w:hAnsi="Arial" w:cs="Arial"/>
          <w:sz w:val="24"/>
          <w:szCs w:val="24"/>
        </w:rPr>
        <w:t>e</w:t>
      </w:r>
      <w:r>
        <w:rPr>
          <w:rFonts w:ascii="Arial" w:hAnsi="Arial" w:cs="Arial"/>
          <w:sz w:val="24"/>
          <w:szCs w:val="24"/>
        </w:rPr>
        <w:t xml:space="preserve"> IGRESE se calculan índices simples de los sectores económicos, después se realiza una ponderación en función a su representatividad del Valor Agregado Censal Bruto y finalmente los índices globales se obtienen por sumatoria.</w:t>
      </w:r>
    </w:p>
    <w:p w14:paraId="2522F06B" w14:textId="77777777" w:rsidR="004A1A27" w:rsidRDefault="004A1A27" w:rsidP="009A7101">
      <w:pPr>
        <w:spacing w:after="0" w:line="240" w:lineRule="auto"/>
        <w:jc w:val="both"/>
        <w:rPr>
          <w:rFonts w:ascii="Arial" w:hAnsi="Arial" w:cs="Arial"/>
          <w:sz w:val="24"/>
          <w:szCs w:val="24"/>
        </w:rPr>
      </w:pPr>
    </w:p>
    <w:p w14:paraId="5CE7959C" w14:textId="0B5B2B72" w:rsidR="004A1A27" w:rsidRDefault="004A1A27" w:rsidP="009A7101">
      <w:pPr>
        <w:spacing w:after="0" w:line="240" w:lineRule="auto"/>
        <w:jc w:val="both"/>
        <w:rPr>
          <w:rFonts w:ascii="Arial" w:hAnsi="Arial" w:cs="Arial"/>
          <w:sz w:val="24"/>
          <w:szCs w:val="24"/>
        </w:rPr>
      </w:pPr>
      <w:r>
        <w:rPr>
          <w:rFonts w:ascii="Arial" w:hAnsi="Arial" w:cs="Arial"/>
          <w:sz w:val="24"/>
          <w:szCs w:val="24"/>
        </w:rPr>
        <w:t>Por otra parte, el IGREMSE se calcula</w:t>
      </w:r>
      <w:r w:rsidRPr="004A1A27">
        <w:rPr>
          <w:rFonts w:ascii="Arial" w:hAnsi="Arial" w:cs="Arial"/>
          <w:sz w:val="24"/>
          <w:szCs w:val="24"/>
        </w:rPr>
        <w:t xml:space="preserve"> mediante el cociente del IGRESE e IGPOSE</w:t>
      </w:r>
      <w:r>
        <w:rPr>
          <w:rFonts w:ascii="Arial" w:hAnsi="Arial" w:cs="Arial"/>
          <w:sz w:val="24"/>
          <w:szCs w:val="24"/>
        </w:rPr>
        <w:t>.</w:t>
      </w:r>
    </w:p>
    <w:p w14:paraId="439E76F3" w14:textId="31462D82" w:rsidR="004A1A27" w:rsidRDefault="004A1A27" w:rsidP="009A7101">
      <w:pPr>
        <w:spacing w:after="0" w:line="240" w:lineRule="auto"/>
        <w:jc w:val="both"/>
        <w:rPr>
          <w:rFonts w:ascii="Arial" w:hAnsi="Arial" w:cs="Arial"/>
          <w:sz w:val="24"/>
          <w:szCs w:val="24"/>
        </w:rPr>
      </w:pPr>
    </w:p>
    <w:p w14:paraId="20486294" w14:textId="51017157" w:rsidR="002540A9" w:rsidRDefault="004A1A27" w:rsidP="00C52C2C">
      <w:pPr>
        <w:spacing w:after="0" w:line="240" w:lineRule="auto"/>
        <w:jc w:val="both"/>
        <w:rPr>
          <w:rFonts w:ascii="Arial" w:hAnsi="Arial" w:cs="Arial"/>
          <w:sz w:val="24"/>
          <w:szCs w:val="24"/>
        </w:rPr>
      </w:pPr>
      <w:r>
        <w:rPr>
          <w:rFonts w:ascii="Arial" w:hAnsi="Arial" w:cs="Arial"/>
          <w:sz w:val="24"/>
          <w:szCs w:val="24"/>
        </w:rPr>
        <w:t xml:space="preserve">Para más detalles sobre el cálculo de los indicadores, se encuentra a su disposición la </w:t>
      </w:r>
      <w:r w:rsidRPr="004A1A27">
        <w:rPr>
          <w:rFonts w:ascii="Arial" w:hAnsi="Arial" w:cs="Arial"/>
          <w:i/>
          <w:sz w:val="24"/>
          <w:szCs w:val="24"/>
        </w:rPr>
        <w:t>Síntesis Metodológica de los Índices Globales de Personal y Remuneraciones de los Sectores Económicos (IGPERSE). Año Base 2013</w:t>
      </w:r>
      <w:r>
        <w:rPr>
          <w:rFonts w:ascii="Arial" w:hAnsi="Arial" w:cs="Arial"/>
          <w:i/>
          <w:sz w:val="24"/>
          <w:szCs w:val="24"/>
        </w:rPr>
        <w:t>,</w:t>
      </w:r>
      <w:r>
        <w:rPr>
          <w:rFonts w:ascii="Arial" w:hAnsi="Arial" w:cs="Arial"/>
          <w:sz w:val="24"/>
          <w:szCs w:val="24"/>
        </w:rPr>
        <w:t xml:space="preserve"> en la página del INEGI </w:t>
      </w:r>
      <w:r w:rsidR="00065571">
        <w:rPr>
          <w:rFonts w:ascii="Arial" w:hAnsi="Arial" w:cs="Arial"/>
          <w:sz w:val="24"/>
          <w:szCs w:val="24"/>
        </w:rPr>
        <w:t>(</w:t>
      </w:r>
      <w:hyperlink r:id="rId33" w:history="1">
        <w:r w:rsidR="00065571" w:rsidRPr="00545FA8">
          <w:rPr>
            <w:rStyle w:val="Hipervnculo"/>
            <w:rFonts w:ascii="Arial" w:hAnsi="Arial" w:cs="Arial"/>
            <w:sz w:val="24"/>
            <w:szCs w:val="24"/>
          </w:rPr>
          <w:t>www.inegi.org.mx</w:t>
        </w:r>
      </w:hyperlink>
      <w:r w:rsidR="00065571">
        <w:rPr>
          <w:rFonts w:ascii="Arial" w:hAnsi="Arial" w:cs="Arial"/>
          <w:sz w:val="24"/>
          <w:szCs w:val="24"/>
        </w:rPr>
        <w:t xml:space="preserve">). </w:t>
      </w:r>
    </w:p>
    <w:p w14:paraId="2884D3EB" w14:textId="6638F30A" w:rsidR="00C52C2C" w:rsidRDefault="00C52C2C" w:rsidP="00C52C2C">
      <w:pPr>
        <w:spacing w:after="0" w:line="240" w:lineRule="auto"/>
        <w:jc w:val="both"/>
        <w:rPr>
          <w:rFonts w:ascii="Arial" w:hAnsi="Arial" w:cs="Arial"/>
          <w:sz w:val="24"/>
          <w:szCs w:val="24"/>
        </w:rPr>
      </w:pPr>
    </w:p>
    <w:p w14:paraId="31D0BAEC" w14:textId="003620BC" w:rsidR="00C52C2C" w:rsidRDefault="00C52C2C" w:rsidP="00C52C2C">
      <w:pPr>
        <w:spacing w:after="0" w:line="240" w:lineRule="auto"/>
        <w:jc w:val="both"/>
        <w:rPr>
          <w:rFonts w:ascii="Arial" w:hAnsi="Arial" w:cs="Arial"/>
          <w:sz w:val="24"/>
          <w:szCs w:val="24"/>
        </w:rPr>
      </w:pPr>
    </w:p>
    <w:p w14:paraId="3B8E2F79" w14:textId="0E236C78" w:rsidR="00C52C2C" w:rsidRPr="00C52C2C" w:rsidRDefault="00C52C2C" w:rsidP="00C52C2C">
      <w:pPr>
        <w:spacing w:after="0" w:line="240" w:lineRule="auto"/>
        <w:jc w:val="both"/>
        <w:rPr>
          <w:rFonts w:ascii="Arial" w:hAnsi="Arial" w:cs="Arial"/>
          <w:sz w:val="24"/>
          <w:szCs w:val="24"/>
        </w:rPr>
      </w:pPr>
    </w:p>
    <w:p w14:paraId="52BCCB3D" w14:textId="473630AF" w:rsidR="00F47EF4" w:rsidRPr="006B3DC5" w:rsidRDefault="00F47EF4" w:rsidP="009A7101">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sectPr w:rsidR="00F47EF4" w:rsidRPr="006B3DC5" w:rsidSect="00F47EF4">
      <w:headerReference w:type="default" r:id="rId34"/>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C429C" w14:textId="77777777" w:rsidR="001F1E4C" w:rsidRDefault="001F1E4C" w:rsidP="00F47EF4">
      <w:pPr>
        <w:spacing w:after="0" w:line="240" w:lineRule="auto"/>
      </w:pPr>
      <w:r>
        <w:separator/>
      </w:r>
    </w:p>
  </w:endnote>
  <w:endnote w:type="continuationSeparator" w:id="0">
    <w:p w14:paraId="4A5D65BF" w14:textId="77777777" w:rsidR="001F1E4C" w:rsidRDefault="001F1E4C"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74C" w14:textId="77777777" w:rsidR="00256D5D" w:rsidRPr="00F47EF4" w:rsidRDefault="00256D5D"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FBCE3" w14:textId="77777777" w:rsidR="001F1E4C" w:rsidRDefault="001F1E4C" w:rsidP="00F47EF4">
      <w:pPr>
        <w:spacing w:after="0" w:line="240" w:lineRule="auto"/>
      </w:pPr>
      <w:r>
        <w:separator/>
      </w:r>
    </w:p>
  </w:footnote>
  <w:footnote w:type="continuationSeparator" w:id="0">
    <w:p w14:paraId="630EF8B7" w14:textId="77777777" w:rsidR="001F1E4C" w:rsidRDefault="001F1E4C" w:rsidP="00F47EF4">
      <w:pPr>
        <w:spacing w:after="0" w:line="240" w:lineRule="auto"/>
      </w:pPr>
      <w:r>
        <w:continuationSeparator/>
      </w:r>
    </w:p>
  </w:footnote>
  <w:footnote w:id="1">
    <w:p w14:paraId="77A6FF92" w14:textId="77777777" w:rsidR="00256D5D" w:rsidRDefault="00256D5D"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326A64BB" w:rsidR="00256D5D" w:rsidRPr="008735DC" w:rsidRDefault="00256D5D" w:rsidP="00F47EF4">
      <w:pPr>
        <w:pStyle w:val="Textonotapie"/>
        <w:rPr>
          <w:sz w:val="18"/>
        </w:rPr>
      </w:pPr>
      <w:r>
        <w:rPr>
          <w:rStyle w:val="Refdenotaalpie"/>
        </w:rPr>
        <w:footnoteRef/>
      </w:r>
      <w:r>
        <w:t xml:space="preserve"> </w:t>
      </w:r>
      <w:r w:rsidRPr="008735DC">
        <w:rPr>
          <w:sz w:val="18"/>
        </w:rPr>
        <w:t xml:space="preserve">La nota técnica y los principales resultados se encuentran en: </w:t>
      </w:r>
      <w:hyperlink r:id="rId2" w:history="1">
        <w:r w:rsidRPr="0018539D">
          <w:rPr>
            <w:rStyle w:val="Hipervnculo"/>
            <w:sz w:val="18"/>
          </w:rPr>
          <w:t>https://www.bls.gov/news.release/empsit.toc.htm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E910" w14:textId="402C0CEC" w:rsidR="00256D5D" w:rsidRPr="00FE1C98" w:rsidRDefault="00256D5D" w:rsidP="001C2F07">
    <w:pPr>
      <w:pStyle w:val="Encabezado"/>
      <w:tabs>
        <w:tab w:val="clear" w:pos="4419"/>
        <w:tab w:val="clear" w:pos="8838"/>
      </w:tabs>
      <w:ind w:left="-567" w:right="-518"/>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FF14E87">
          <wp:simplePos x="0" y="0"/>
          <wp:positionH relativeFrom="margin">
            <wp:posOffset>-280035</wp:posOffset>
          </wp:positionH>
          <wp:positionV relativeFrom="margin">
            <wp:posOffset>-855980</wp:posOffset>
          </wp:positionV>
          <wp:extent cx="687070" cy="7143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67256E">
      <w:rPr>
        <w:rFonts w:ascii="Arial" w:hAnsi="Arial"/>
        <w:b/>
        <w:color w:val="002060"/>
        <w:sz w:val="24"/>
      </w:rPr>
      <w:t>3</w:t>
    </w:r>
    <w:r w:rsidR="00CB2C2F">
      <w:rPr>
        <w:rFonts w:ascii="Arial" w:hAnsi="Arial"/>
        <w:b/>
        <w:color w:val="002060"/>
        <w:sz w:val="24"/>
      </w:rPr>
      <w:t>82</w:t>
    </w:r>
    <w:r>
      <w:rPr>
        <w:rFonts w:ascii="Arial" w:hAnsi="Arial"/>
        <w:b/>
        <w:color w:val="002060"/>
        <w:sz w:val="24"/>
      </w:rPr>
      <w:t>/20</w:t>
    </w:r>
  </w:p>
  <w:p w14:paraId="2CD30D1D" w14:textId="672488EA" w:rsidR="00256D5D" w:rsidRPr="00FE1C98" w:rsidRDefault="00256D5D" w:rsidP="001C2F07">
    <w:pPr>
      <w:pStyle w:val="Encabezado"/>
      <w:tabs>
        <w:tab w:val="clear" w:pos="4419"/>
        <w:tab w:val="clear" w:pos="8838"/>
      </w:tabs>
      <w:ind w:left="-567" w:right="-518"/>
      <w:jc w:val="right"/>
      <w:rPr>
        <w:rFonts w:ascii="Arial" w:hAnsi="Arial"/>
        <w:b/>
        <w:color w:val="002060"/>
        <w:sz w:val="26"/>
        <w:lang w:val="pt-BR"/>
      </w:rPr>
    </w:pPr>
    <w:r>
      <w:rPr>
        <w:rFonts w:ascii="Arial" w:hAnsi="Arial"/>
        <w:b/>
        <w:color w:val="002060"/>
        <w:sz w:val="26"/>
        <w:lang w:val="pt-BR"/>
      </w:rPr>
      <w:t xml:space="preserve">31 DE </w:t>
    </w:r>
    <w:r>
      <w:rPr>
        <w:rFonts w:ascii="Arial" w:hAnsi="Arial"/>
        <w:b/>
        <w:color w:val="002060"/>
        <w:sz w:val="26"/>
      </w:rPr>
      <w:t>JULIO</w:t>
    </w:r>
    <w:r>
      <w:rPr>
        <w:rFonts w:ascii="Arial" w:hAnsi="Arial"/>
        <w:b/>
        <w:color w:val="002060"/>
        <w:sz w:val="26"/>
        <w:lang w:val="pt-BR"/>
      </w:rPr>
      <w:t xml:space="preserve"> DE 2020</w:t>
    </w:r>
  </w:p>
  <w:p w14:paraId="37AAE681" w14:textId="76903DE0" w:rsidR="00256D5D" w:rsidRPr="00FE1C98" w:rsidRDefault="00256D5D" w:rsidP="001C2F07">
    <w:pPr>
      <w:pStyle w:val="Encabezado"/>
      <w:tabs>
        <w:tab w:val="clear" w:pos="4419"/>
        <w:tab w:val="clear" w:pos="8838"/>
      </w:tabs>
      <w:ind w:left="-567" w:right="-518"/>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4F3458">
      <w:rPr>
        <w:rFonts w:ascii="Arial" w:hAnsi="Arial"/>
        <w:b/>
        <w:noProof/>
        <w:color w:val="002060"/>
        <w:sz w:val="24"/>
      </w:rPr>
      <w:t>1</w:t>
    </w:r>
    <w:r w:rsidRPr="00FE1C98">
      <w:rPr>
        <w:rFonts w:ascii="Arial" w:hAnsi="Arial"/>
        <w:b/>
        <w:color w:val="002060"/>
        <w:sz w:val="24"/>
      </w:rPr>
      <w:fldChar w:fldCharType="end"/>
    </w:r>
    <w:r w:rsidRPr="00FE1C98">
      <w:rPr>
        <w:rFonts w:ascii="Arial" w:hAnsi="Arial"/>
        <w:b/>
        <w:color w:val="002060"/>
        <w:sz w:val="24"/>
      </w:rPr>
      <w:t>/</w:t>
    </w:r>
    <w:r>
      <w:rPr>
        <w:rFonts w:ascii="Arial" w:hAnsi="Arial"/>
        <w:b/>
        <w:color w:val="002060"/>
        <w:sz w:val="24"/>
      </w:rPr>
      <w:fldChar w:fldCharType="begin"/>
    </w:r>
    <w:r>
      <w:rPr>
        <w:rFonts w:ascii="Arial" w:hAnsi="Arial"/>
        <w:b/>
        <w:color w:val="002060"/>
        <w:sz w:val="24"/>
      </w:rPr>
      <w:instrText xml:space="preserve"> PAGEREF  FinComunicado \# "0" \* Arabic \p  \* MERGEFORMAT </w:instrText>
    </w:r>
    <w:r>
      <w:rPr>
        <w:rFonts w:ascii="Arial" w:hAnsi="Arial"/>
        <w:b/>
        <w:color w:val="002060"/>
        <w:sz w:val="24"/>
      </w:rPr>
      <w:fldChar w:fldCharType="separate"/>
    </w:r>
    <w:r w:rsidR="00D74C75">
      <w:rPr>
        <w:rFonts w:ascii="Arial" w:hAnsi="Arial"/>
        <w:b/>
        <w:noProof/>
        <w:color w:val="002060"/>
        <w:sz w:val="24"/>
      </w:rPr>
      <w:t>2</w:t>
    </w:r>
    <w:r>
      <w:rPr>
        <w:rFonts w:ascii="Arial" w:hAnsi="Arial"/>
        <w:b/>
        <w:color w:val="002060"/>
        <w:sz w:val="24"/>
      </w:rPr>
      <w:fldChar w:fldCharType="end"/>
    </w:r>
  </w:p>
  <w:p w14:paraId="3259BBF4" w14:textId="77777777" w:rsidR="00256D5D" w:rsidRDefault="00256D5D"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FF6" w14:textId="77777777" w:rsidR="00256D5D" w:rsidRPr="00FE1C98" w:rsidRDefault="00256D5D"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256D5D" w:rsidRDefault="00256D5D"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activeWritingStyle w:appName="MSWord" w:lang="es-ES_tradnl" w:vendorID="64" w:dllVersion="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1C66"/>
    <w:rsid w:val="00007DE5"/>
    <w:rsid w:val="00010C88"/>
    <w:rsid w:val="000114F6"/>
    <w:rsid w:val="00014502"/>
    <w:rsid w:val="00016CC4"/>
    <w:rsid w:val="00020FB5"/>
    <w:rsid w:val="00021D00"/>
    <w:rsid w:val="00042FFC"/>
    <w:rsid w:val="00047D22"/>
    <w:rsid w:val="00050B7B"/>
    <w:rsid w:val="00051BCE"/>
    <w:rsid w:val="000520E2"/>
    <w:rsid w:val="0005283F"/>
    <w:rsid w:val="00054764"/>
    <w:rsid w:val="00065571"/>
    <w:rsid w:val="000667A9"/>
    <w:rsid w:val="00067436"/>
    <w:rsid w:val="0007414A"/>
    <w:rsid w:val="000761DA"/>
    <w:rsid w:val="00076274"/>
    <w:rsid w:val="00080208"/>
    <w:rsid w:val="000831E0"/>
    <w:rsid w:val="000872E3"/>
    <w:rsid w:val="000874F5"/>
    <w:rsid w:val="00095707"/>
    <w:rsid w:val="000A060D"/>
    <w:rsid w:val="000A3186"/>
    <w:rsid w:val="000A3A4E"/>
    <w:rsid w:val="000A7799"/>
    <w:rsid w:val="000B1661"/>
    <w:rsid w:val="000C640C"/>
    <w:rsid w:val="000D23CE"/>
    <w:rsid w:val="000D3F10"/>
    <w:rsid w:val="000E5366"/>
    <w:rsid w:val="000F394E"/>
    <w:rsid w:val="000F3BA6"/>
    <w:rsid w:val="00100E6F"/>
    <w:rsid w:val="00103473"/>
    <w:rsid w:val="0010465A"/>
    <w:rsid w:val="001050E2"/>
    <w:rsid w:val="00106607"/>
    <w:rsid w:val="00115F95"/>
    <w:rsid w:val="00123ABF"/>
    <w:rsid w:val="00127C38"/>
    <w:rsid w:val="00137F03"/>
    <w:rsid w:val="0014062A"/>
    <w:rsid w:val="00141E52"/>
    <w:rsid w:val="00142E0B"/>
    <w:rsid w:val="00143561"/>
    <w:rsid w:val="00150D25"/>
    <w:rsid w:val="001547FE"/>
    <w:rsid w:val="0016449D"/>
    <w:rsid w:val="001645BD"/>
    <w:rsid w:val="0016491D"/>
    <w:rsid w:val="00166F0E"/>
    <w:rsid w:val="00176B7E"/>
    <w:rsid w:val="00186814"/>
    <w:rsid w:val="001877BA"/>
    <w:rsid w:val="0019186C"/>
    <w:rsid w:val="00193E31"/>
    <w:rsid w:val="0019467D"/>
    <w:rsid w:val="00195891"/>
    <w:rsid w:val="001A108E"/>
    <w:rsid w:val="001A3337"/>
    <w:rsid w:val="001A5436"/>
    <w:rsid w:val="001B154D"/>
    <w:rsid w:val="001B7E3C"/>
    <w:rsid w:val="001C05BA"/>
    <w:rsid w:val="001C2F07"/>
    <w:rsid w:val="001D05A8"/>
    <w:rsid w:val="001D0E74"/>
    <w:rsid w:val="001D1371"/>
    <w:rsid w:val="001D2B49"/>
    <w:rsid w:val="001D7393"/>
    <w:rsid w:val="001E2B26"/>
    <w:rsid w:val="001E628B"/>
    <w:rsid w:val="001E6323"/>
    <w:rsid w:val="001F1E4C"/>
    <w:rsid w:val="001F3452"/>
    <w:rsid w:val="0020064E"/>
    <w:rsid w:val="002028C7"/>
    <w:rsid w:val="00205D19"/>
    <w:rsid w:val="002077F8"/>
    <w:rsid w:val="00211CCC"/>
    <w:rsid w:val="0021228C"/>
    <w:rsid w:val="0021293B"/>
    <w:rsid w:val="00215017"/>
    <w:rsid w:val="00217220"/>
    <w:rsid w:val="002204A9"/>
    <w:rsid w:val="0022201E"/>
    <w:rsid w:val="002224C7"/>
    <w:rsid w:val="002252E4"/>
    <w:rsid w:val="00225872"/>
    <w:rsid w:val="00227F2D"/>
    <w:rsid w:val="00233250"/>
    <w:rsid w:val="002333E8"/>
    <w:rsid w:val="00245BF8"/>
    <w:rsid w:val="00247B2D"/>
    <w:rsid w:val="002540A9"/>
    <w:rsid w:val="00256D5D"/>
    <w:rsid w:val="00256E5A"/>
    <w:rsid w:val="002657D3"/>
    <w:rsid w:val="002713F0"/>
    <w:rsid w:val="0027244E"/>
    <w:rsid w:val="00273F9B"/>
    <w:rsid w:val="00283D84"/>
    <w:rsid w:val="00287488"/>
    <w:rsid w:val="00290078"/>
    <w:rsid w:val="002938EA"/>
    <w:rsid w:val="0029689D"/>
    <w:rsid w:val="002A1D18"/>
    <w:rsid w:val="002B272A"/>
    <w:rsid w:val="002B5D3C"/>
    <w:rsid w:val="002B6900"/>
    <w:rsid w:val="002C71C3"/>
    <w:rsid w:val="002D6B8A"/>
    <w:rsid w:val="002E0853"/>
    <w:rsid w:val="002E2FF3"/>
    <w:rsid w:val="002E388B"/>
    <w:rsid w:val="002F46A6"/>
    <w:rsid w:val="002F7309"/>
    <w:rsid w:val="0031277A"/>
    <w:rsid w:val="0031493D"/>
    <w:rsid w:val="0031539F"/>
    <w:rsid w:val="00317C6E"/>
    <w:rsid w:val="0032136C"/>
    <w:rsid w:val="0032308A"/>
    <w:rsid w:val="00325858"/>
    <w:rsid w:val="00326641"/>
    <w:rsid w:val="00331651"/>
    <w:rsid w:val="00333234"/>
    <w:rsid w:val="003444E4"/>
    <w:rsid w:val="003566BC"/>
    <w:rsid w:val="0035757A"/>
    <w:rsid w:val="00360633"/>
    <w:rsid w:val="003654EE"/>
    <w:rsid w:val="00372047"/>
    <w:rsid w:val="00373A26"/>
    <w:rsid w:val="00373B4C"/>
    <w:rsid w:val="003861E3"/>
    <w:rsid w:val="003A3762"/>
    <w:rsid w:val="003A5817"/>
    <w:rsid w:val="003B31E7"/>
    <w:rsid w:val="003B4B50"/>
    <w:rsid w:val="003D2FB5"/>
    <w:rsid w:val="003D6D26"/>
    <w:rsid w:val="003D79AF"/>
    <w:rsid w:val="003E6257"/>
    <w:rsid w:val="003F04B5"/>
    <w:rsid w:val="003F2424"/>
    <w:rsid w:val="00400914"/>
    <w:rsid w:val="00404186"/>
    <w:rsid w:val="00411F9D"/>
    <w:rsid w:val="004146C7"/>
    <w:rsid w:val="00417011"/>
    <w:rsid w:val="00424A1F"/>
    <w:rsid w:val="00432749"/>
    <w:rsid w:val="00434C12"/>
    <w:rsid w:val="00435C9F"/>
    <w:rsid w:val="0045183E"/>
    <w:rsid w:val="004536CE"/>
    <w:rsid w:val="0045406A"/>
    <w:rsid w:val="00457556"/>
    <w:rsid w:val="00460EBE"/>
    <w:rsid w:val="00466274"/>
    <w:rsid w:val="00474ADE"/>
    <w:rsid w:val="00475B6C"/>
    <w:rsid w:val="00482554"/>
    <w:rsid w:val="004832D1"/>
    <w:rsid w:val="00492EEF"/>
    <w:rsid w:val="004A0B12"/>
    <w:rsid w:val="004A130B"/>
    <w:rsid w:val="004A1A27"/>
    <w:rsid w:val="004A2BFD"/>
    <w:rsid w:val="004A4CD8"/>
    <w:rsid w:val="004A6509"/>
    <w:rsid w:val="004A6821"/>
    <w:rsid w:val="004B1DE5"/>
    <w:rsid w:val="004B7609"/>
    <w:rsid w:val="004B7765"/>
    <w:rsid w:val="004B7932"/>
    <w:rsid w:val="004C4B21"/>
    <w:rsid w:val="004D3B48"/>
    <w:rsid w:val="004D66FF"/>
    <w:rsid w:val="004E1C76"/>
    <w:rsid w:val="004E2EA6"/>
    <w:rsid w:val="004E654C"/>
    <w:rsid w:val="004E7B4B"/>
    <w:rsid w:val="004F0CF0"/>
    <w:rsid w:val="004F21A6"/>
    <w:rsid w:val="004F2981"/>
    <w:rsid w:val="004F3458"/>
    <w:rsid w:val="004F6ABE"/>
    <w:rsid w:val="0050031D"/>
    <w:rsid w:val="00513E6C"/>
    <w:rsid w:val="00523D1C"/>
    <w:rsid w:val="005266DC"/>
    <w:rsid w:val="00531084"/>
    <w:rsid w:val="00532FAA"/>
    <w:rsid w:val="005334B8"/>
    <w:rsid w:val="00542DAE"/>
    <w:rsid w:val="00544C7B"/>
    <w:rsid w:val="00550CE4"/>
    <w:rsid w:val="005519E0"/>
    <w:rsid w:val="0055365B"/>
    <w:rsid w:val="00566AFB"/>
    <w:rsid w:val="0057210D"/>
    <w:rsid w:val="00573600"/>
    <w:rsid w:val="00577051"/>
    <w:rsid w:val="00582FC5"/>
    <w:rsid w:val="00587626"/>
    <w:rsid w:val="00590A2C"/>
    <w:rsid w:val="00593E43"/>
    <w:rsid w:val="005A154B"/>
    <w:rsid w:val="005A6196"/>
    <w:rsid w:val="005C5817"/>
    <w:rsid w:val="005C6401"/>
    <w:rsid w:val="005C7BD0"/>
    <w:rsid w:val="005C7C09"/>
    <w:rsid w:val="005E152C"/>
    <w:rsid w:val="005E19C4"/>
    <w:rsid w:val="005E5AA4"/>
    <w:rsid w:val="005F16C9"/>
    <w:rsid w:val="005F1ACD"/>
    <w:rsid w:val="005F3983"/>
    <w:rsid w:val="005F53CA"/>
    <w:rsid w:val="005F6572"/>
    <w:rsid w:val="006053CF"/>
    <w:rsid w:val="00605896"/>
    <w:rsid w:val="00605B88"/>
    <w:rsid w:val="00606F10"/>
    <w:rsid w:val="00610D26"/>
    <w:rsid w:val="00613685"/>
    <w:rsid w:val="00620273"/>
    <w:rsid w:val="006209C8"/>
    <w:rsid w:val="00623083"/>
    <w:rsid w:val="00623833"/>
    <w:rsid w:val="0062753C"/>
    <w:rsid w:val="006333AA"/>
    <w:rsid w:val="00633F0D"/>
    <w:rsid w:val="006407D9"/>
    <w:rsid w:val="00646BAB"/>
    <w:rsid w:val="006502D0"/>
    <w:rsid w:val="0065129E"/>
    <w:rsid w:val="006542EA"/>
    <w:rsid w:val="00654BA3"/>
    <w:rsid w:val="00664E67"/>
    <w:rsid w:val="0066629A"/>
    <w:rsid w:val="0066650D"/>
    <w:rsid w:val="00670214"/>
    <w:rsid w:val="0067256E"/>
    <w:rsid w:val="00674757"/>
    <w:rsid w:val="00680F04"/>
    <w:rsid w:val="0069160E"/>
    <w:rsid w:val="006923AF"/>
    <w:rsid w:val="00695139"/>
    <w:rsid w:val="006A4442"/>
    <w:rsid w:val="006A5C88"/>
    <w:rsid w:val="006B1C4F"/>
    <w:rsid w:val="006C0F8D"/>
    <w:rsid w:val="006C1163"/>
    <w:rsid w:val="006C6C23"/>
    <w:rsid w:val="006C7020"/>
    <w:rsid w:val="006D13CB"/>
    <w:rsid w:val="006D7BF6"/>
    <w:rsid w:val="006D7CAF"/>
    <w:rsid w:val="006E056D"/>
    <w:rsid w:val="006E348F"/>
    <w:rsid w:val="006E59F8"/>
    <w:rsid w:val="006F57EA"/>
    <w:rsid w:val="006F761C"/>
    <w:rsid w:val="00706727"/>
    <w:rsid w:val="00706DDC"/>
    <w:rsid w:val="0071019C"/>
    <w:rsid w:val="00716760"/>
    <w:rsid w:val="00717844"/>
    <w:rsid w:val="007214F0"/>
    <w:rsid w:val="00723C6C"/>
    <w:rsid w:val="00723F03"/>
    <w:rsid w:val="007265DD"/>
    <w:rsid w:val="00726A25"/>
    <w:rsid w:val="0073060C"/>
    <w:rsid w:val="007339B0"/>
    <w:rsid w:val="00737750"/>
    <w:rsid w:val="00737B2E"/>
    <w:rsid w:val="00742195"/>
    <w:rsid w:val="00744974"/>
    <w:rsid w:val="00750ABF"/>
    <w:rsid w:val="007547AE"/>
    <w:rsid w:val="007553E1"/>
    <w:rsid w:val="00761940"/>
    <w:rsid w:val="00766867"/>
    <w:rsid w:val="00767EF3"/>
    <w:rsid w:val="007708C3"/>
    <w:rsid w:val="00772B0D"/>
    <w:rsid w:val="00773612"/>
    <w:rsid w:val="00775CC5"/>
    <w:rsid w:val="00782876"/>
    <w:rsid w:val="007828B7"/>
    <w:rsid w:val="00786EB2"/>
    <w:rsid w:val="007908C9"/>
    <w:rsid w:val="007A43EA"/>
    <w:rsid w:val="007A76B2"/>
    <w:rsid w:val="007B03E0"/>
    <w:rsid w:val="007B49F7"/>
    <w:rsid w:val="007B6043"/>
    <w:rsid w:val="007C6797"/>
    <w:rsid w:val="007D0EC2"/>
    <w:rsid w:val="007D587F"/>
    <w:rsid w:val="007D639B"/>
    <w:rsid w:val="007D74F7"/>
    <w:rsid w:val="007E10D9"/>
    <w:rsid w:val="007E74A9"/>
    <w:rsid w:val="007F2AE1"/>
    <w:rsid w:val="0080211A"/>
    <w:rsid w:val="00802D65"/>
    <w:rsid w:val="00803348"/>
    <w:rsid w:val="008166AD"/>
    <w:rsid w:val="00821560"/>
    <w:rsid w:val="00822010"/>
    <w:rsid w:val="0082210E"/>
    <w:rsid w:val="00822DF4"/>
    <w:rsid w:val="00831A50"/>
    <w:rsid w:val="00834A83"/>
    <w:rsid w:val="00836C62"/>
    <w:rsid w:val="008506DB"/>
    <w:rsid w:val="00852962"/>
    <w:rsid w:val="0085509C"/>
    <w:rsid w:val="008610EF"/>
    <w:rsid w:val="008628B7"/>
    <w:rsid w:val="00862D6B"/>
    <w:rsid w:val="008705DD"/>
    <w:rsid w:val="00872F50"/>
    <w:rsid w:val="0087388D"/>
    <w:rsid w:val="00874864"/>
    <w:rsid w:val="00880312"/>
    <w:rsid w:val="00881319"/>
    <w:rsid w:val="00885048"/>
    <w:rsid w:val="00890DDC"/>
    <w:rsid w:val="0089369A"/>
    <w:rsid w:val="00895579"/>
    <w:rsid w:val="00897CA3"/>
    <w:rsid w:val="008A3A61"/>
    <w:rsid w:val="008B0399"/>
    <w:rsid w:val="008B17F0"/>
    <w:rsid w:val="008B36F0"/>
    <w:rsid w:val="008B392B"/>
    <w:rsid w:val="008B75FB"/>
    <w:rsid w:val="008C1355"/>
    <w:rsid w:val="008C2BFD"/>
    <w:rsid w:val="008C2E9B"/>
    <w:rsid w:val="008C4B21"/>
    <w:rsid w:val="008C698D"/>
    <w:rsid w:val="008D59F4"/>
    <w:rsid w:val="008E0470"/>
    <w:rsid w:val="008E07DE"/>
    <w:rsid w:val="008E0E59"/>
    <w:rsid w:val="008E0EB7"/>
    <w:rsid w:val="008E3533"/>
    <w:rsid w:val="008F08F8"/>
    <w:rsid w:val="008F5B2C"/>
    <w:rsid w:val="0090138F"/>
    <w:rsid w:val="009018C0"/>
    <w:rsid w:val="00902FEC"/>
    <w:rsid w:val="00905092"/>
    <w:rsid w:val="00912BC2"/>
    <w:rsid w:val="00912C62"/>
    <w:rsid w:val="00915E9E"/>
    <w:rsid w:val="00915EAD"/>
    <w:rsid w:val="00916238"/>
    <w:rsid w:val="00917604"/>
    <w:rsid w:val="00921097"/>
    <w:rsid w:val="0092743A"/>
    <w:rsid w:val="009349ED"/>
    <w:rsid w:val="009376C1"/>
    <w:rsid w:val="00940237"/>
    <w:rsid w:val="009470B9"/>
    <w:rsid w:val="00952205"/>
    <w:rsid w:val="00954CE1"/>
    <w:rsid w:val="0095717C"/>
    <w:rsid w:val="00964B6B"/>
    <w:rsid w:val="00965A2F"/>
    <w:rsid w:val="00974C9A"/>
    <w:rsid w:val="00975852"/>
    <w:rsid w:val="00985F98"/>
    <w:rsid w:val="00986657"/>
    <w:rsid w:val="00986762"/>
    <w:rsid w:val="00997161"/>
    <w:rsid w:val="009A103D"/>
    <w:rsid w:val="009A3E7A"/>
    <w:rsid w:val="009A7101"/>
    <w:rsid w:val="009B029C"/>
    <w:rsid w:val="009B1F75"/>
    <w:rsid w:val="009B2285"/>
    <w:rsid w:val="009B4496"/>
    <w:rsid w:val="009C029E"/>
    <w:rsid w:val="009C27DF"/>
    <w:rsid w:val="009C283D"/>
    <w:rsid w:val="009C2DDA"/>
    <w:rsid w:val="009C725E"/>
    <w:rsid w:val="009C7842"/>
    <w:rsid w:val="009F2E57"/>
    <w:rsid w:val="009F6A02"/>
    <w:rsid w:val="009F7FF0"/>
    <w:rsid w:val="00A0356E"/>
    <w:rsid w:val="00A07CEA"/>
    <w:rsid w:val="00A106CD"/>
    <w:rsid w:val="00A12553"/>
    <w:rsid w:val="00A12836"/>
    <w:rsid w:val="00A15878"/>
    <w:rsid w:val="00A15E2C"/>
    <w:rsid w:val="00A2691F"/>
    <w:rsid w:val="00A33DDF"/>
    <w:rsid w:val="00A349ED"/>
    <w:rsid w:val="00A413B4"/>
    <w:rsid w:val="00A474C2"/>
    <w:rsid w:val="00A4775E"/>
    <w:rsid w:val="00A53939"/>
    <w:rsid w:val="00A540B2"/>
    <w:rsid w:val="00A5523F"/>
    <w:rsid w:val="00A61FC9"/>
    <w:rsid w:val="00A738F7"/>
    <w:rsid w:val="00A745D3"/>
    <w:rsid w:val="00A75BA6"/>
    <w:rsid w:val="00A82B00"/>
    <w:rsid w:val="00A927A7"/>
    <w:rsid w:val="00AB1F60"/>
    <w:rsid w:val="00AB532E"/>
    <w:rsid w:val="00AB6293"/>
    <w:rsid w:val="00AC08D0"/>
    <w:rsid w:val="00AC19EB"/>
    <w:rsid w:val="00AD1D88"/>
    <w:rsid w:val="00AD255A"/>
    <w:rsid w:val="00AD37AB"/>
    <w:rsid w:val="00AD39F9"/>
    <w:rsid w:val="00AE05A4"/>
    <w:rsid w:val="00AE5F72"/>
    <w:rsid w:val="00AE7389"/>
    <w:rsid w:val="00AE7AAC"/>
    <w:rsid w:val="00AF21E8"/>
    <w:rsid w:val="00AF5895"/>
    <w:rsid w:val="00AF6C42"/>
    <w:rsid w:val="00B00B6F"/>
    <w:rsid w:val="00B04E92"/>
    <w:rsid w:val="00B10FF7"/>
    <w:rsid w:val="00B2292D"/>
    <w:rsid w:val="00B2791A"/>
    <w:rsid w:val="00B3030B"/>
    <w:rsid w:val="00B35569"/>
    <w:rsid w:val="00B36026"/>
    <w:rsid w:val="00B43431"/>
    <w:rsid w:val="00B46A38"/>
    <w:rsid w:val="00B51735"/>
    <w:rsid w:val="00B5324A"/>
    <w:rsid w:val="00B5558D"/>
    <w:rsid w:val="00B57054"/>
    <w:rsid w:val="00B633B6"/>
    <w:rsid w:val="00B74A58"/>
    <w:rsid w:val="00B755E4"/>
    <w:rsid w:val="00B763A1"/>
    <w:rsid w:val="00B819F2"/>
    <w:rsid w:val="00B844A3"/>
    <w:rsid w:val="00B87F96"/>
    <w:rsid w:val="00B906AF"/>
    <w:rsid w:val="00B91861"/>
    <w:rsid w:val="00B938CA"/>
    <w:rsid w:val="00BA034C"/>
    <w:rsid w:val="00BA3352"/>
    <w:rsid w:val="00BA40B4"/>
    <w:rsid w:val="00BA4128"/>
    <w:rsid w:val="00BA67A8"/>
    <w:rsid w:val="00BA6E95"/>
    <w:rsid w:val="00BA7D24"/>
    <w:rsid w:val="00BB1A7D"/>
    <w:rsid w:val="00BB2950"/>
    <w:rsid w:val="00BC736E"/>
    <w:rsid w:val="00BD1E10"/>
    <w:rsid w:val="00BD416C"/>
    <w:rsid w:val="00BD5A29"/>
    <w:rsid w:val="00BE0426"/>
    <w:rsid w:val="00BE3074"/>
    <w:rsid w:val="00BE3D17"/>
    <w:rsid w:val="00BE628B"/>
    <w:rsid w:val="00BE7C97"/>
    <w:rsid w:val="00BF5FA8"/>
    <w:rsid w:val="00BF614F"/>
    <w:rsid w:val="00C01248"/>
    <w:rsid w:val="00C019B6"/>
    <w:rsid w:val="00C064E0"/>
    <w:rsid w:val="00C06712"/>
    <w:rsid w:val="00C1287D"/>
    <w:rsid w:val="00C131A5"/>
    <w:rsid w:val="00C171B6"/>
    <w:rsid w:val="00C2419D"/>
    <w:rsid w:val="00C24EE8"/>
    <w:rsid w:val="00C2566F"/>
    <w:rsid w:val="00C42711"/>
    <w:rsid w:val="00C52C2C"/>
    <w:rsid w:val="00C53D64"/>
    <w:rsid w:val="00C567C7"/>
    <w:rsid w:val="00C57876"/>
    <w:rsid w:val="00C60C87"/>
    <w:rsid w:val="00C618C5"/>
    <w:rsid w:val="00C64878"/>
    <w:rsid w:val="00C65A94"/>
    <w:rsid w:val="00C66BB5"/>
    <w:rsid w:val="00C7007D"/>
    <w:rsid w:val="00C72BB9"/>
    <w:rsid w:val="00C733BF"/>
    <w:rsid w:val="00C76A37"/>
    <w:rsid w:val="00C819EC"/>
    <w:rsid w:val="00C821E2"/>
    <w:rsid w:val="00C84140"/>
    <w:rsid w:val="00C86485"/>
    <w:rsid w:val="00C8741C"/>
    <w:rsid w:val="00C91122"/>
    <w:rsid w:val="00C92A42"/>
    <w:rsid w:val="00C949F2"/>
    <w:rsid w:val="00C96014"/>
    <w:rsid w:val="00CA0C5A"/>
    <w:rsid w:val="00CA56A0"/>
    <w:rsid w:val="00CA6300"/>
    <w:rsid w:val="00CA7124"/>
    <w:rsid w:val="00CB160A"/>
    <w:rsid w:val="00CB1AB6"/>
    <w:rsid w:val="00CB2C2F"/>
    <w:rsid w:val="00CB72DF"/>
    <w:rsid w:val="00CC1307"/>
    <w:rsid w:val="00CD1E62"/>
    <w:rsid w:val="00CD5ECF"/>
    <w:rsid w:val="00CD7DE4"/>
    <w:rsid w:val="00CE2F37"/>
    <w:rsid w:val="00CF2AD8"/>
    <w:rsid w:val="00CF2BB6"/>
    <w:rsid w:val="00CF2D87"/>
    <w:rsid w:val="00CF7524"/>
    <w:rsid w:val="00D00388"/>
    <w:rsid w:val="00D00E18"/>
    <w:rsid w:val="00D02588"/>
    <w:rsid w:val="00D22C48"/>
    <w:rsid w:val="00D231CE"/>
    <w:rsid w:val="00D23BCF"/>
    <w:rsid w:val="00D24B74"/>
    <w:rsid w:val="00D3464A"/>
    <w:rsid w:val="00D354DB"/>
    <w:rsid w:val="00D47D52"/>
    <w:rsid w:val="00D5183A"/>
    <w:rsid w:val="00D51BB4"/>
    <w:rsid w:val="00D55928"/>
    <w:rsid w:val="00D662B9"/>
    <w:rsid w:val="00D67714"/>
    <w:rsid w:val="00D67751"/>
    <w:rsid w:val="00D70A9F"/>
    <w:rsid w:val="00D73B5B"/>
    <w:rsid w:val="00D741E2"/>
    <w:rsid w:val="00D74C35"/>
    <w:rsid w:val="00D74C75"/>
    <w:rsid w:val="00D837E3"/>
    <w:rsid w:val="00D83F5B"/>
    <w:rsid w:val="00D8620E"/>
    <w:rsid w:val="00D91FCB"/>
    <w:rsid w:val="00D933EE"/>
    <w:rsid w:val="00D938D9"/>
    <w:rsid w:val="00D96CC6"/>
    <w:rsid w:val="00D97DE6"/>
    <w:rsid w:val="00DA1180"/>
    <w:rsid w:val="00DA42D7"/>
    <w:rsid w:val="00DA51D9"/>
    <w:rsid w:val="00DB284A"/>
    <w:rsid w:val="00DB761A"/>
    <w:rsid w:val="00DC0B97"/>
    <w:rsid w:val="00DC1FE0"/>
    <w:rsid w:val="00DC5507"/>
    <w:rsid w:val="00DC554A"/>
    <w:rsid w:val="00DD208D"/>
    <w:rsid w:val="00DD362B"/>
    <w:rsid w:val="00DF2556"/>
    <w:rsid w:val="00DF7052"/>
    <w:rsid w:val="00E010B1"/>
    <w:rsid w:val="00E02538"/>
    <w:rsid w:val="00E05277"/>
    <w:rsid w:val="00E054E9"/>
    <w:rsid w:val="00E06B67"/>
    <w:rsid w:val="00E13A8E"/>
    <w:rsid w:val="00E14CC2"/>
    <w:rsid w:val="00E26950"/>
    <w:rsid w:val="00E30028"/>
    <w:rsid w:val="00E322AD"/>
    <w:rsid w:val="00E32994"/>
    <w:rsid w:val="00E4621D"/>
    <w:rsid w:val="00E4761C"/>
    <w:rsid w:val="00E51667"/>
    <w:rsid w:val="00E570FF"/>
    <w:rsid w:val="00E57F6D"/>
    <w:rsid w:val="00E61F07"/>
    <w:rsid w:val="00E62221"/>
    <w:rsid w:val="00E63A0A"/>
    <w:rsid w:val="00E73CD1"/>
    <w:rsid w:val="00E76F78"/>
    <w:rsid w:val="00E8036B"/>
    <w:rsid w:val="00E90513"/>
    <w:rsid w:val="00E96309"/>
    <w:rsid w:val="00EA1596"/>
    <w:rsid w:val="00EA1B0E"/>
    <w:rsid w:val="00EA2CAB"/>
    <w:rsid w:val="00EB60D3"/>
    <w:rsid w:val="00ED7339"/>
    <w:rsid w:val="00EE5B65"/>
    <w:rsid w:val="00EF109D"/>
    <w:rsid w:val="00EF1B1D"/>
    <w:rsid w:val="00F00845"/>
    <w:rsid w:val="00F0217A"/>
    <w:rsid w:val="00F15EA9"/>
    <w:rsid w:val="00F1622E"/>
    <w:rsid w:val="00F16295"/>
    <w:rsid w:val="00F1718D"/>
    <w:rsid w:val="00F2023F"/>
    <w:rsid w:val="00F22DA1"/>
    <w:rsid w:val="00F26340"/>
    <w:rsid w:val="00F26904"/>
    <w:rsid w:val="00F27373"/>
    <w:rsid w:val="00F324DA"/>
    <w:rsid w:val="00F348E5"/>
    <w:rsid w:val="00F45E07"/>
    <w:rsid w:val="00F47EF4"/>
    <w:rsid w:val="00F51051"/>
    <w:rsid w:val="00F53AFF"/>
    <w:rsid w:val="00F6099C"/>
    <w:rsid w:val="00F61231"/>
    <w:rsid w:val="00F64119"/>
    <w:rsid w:val="00F67857"/>
    <w:rsid w:val="00F72D26"/>
    <w:rsid w:val="00F74959"/>
    <w:rsid w:val="00F75CC3"/>
    <w:rsid w:val="00F76B93"/>
    <w:rsid w:val="00F76CAE"/>
    <w:rsid w:val="00F85E92"/>
    <w:rsid w:val="00F919B6"/>
    <w:rsid w:val="00F92CAE"/>
    <w:rsid w:val="00F978DA"/>
    <w:rsid w:val="00FA3650"/>
    <w:rsid w:val="00FA45F6"/>
    <w:rsid w:val="00FB0181"/>
    <w:rsid w:val="00FB6042"/>
    <w:rsid w:val="00FC35FC"/>
    <w:rsid w:val="00FC409C"/>
    <w:rsid w:val="00FC6A70"/>
    <w:rsid w:val="00FC7AC9"/>
    <w:rsid w:val="00FD1D6A"/>
    <w:rsid w:val="00FD34FF"/>
    <w:rsid w:val="00FE15BC"/>
    <w:rsid w:val="00FE3EB5"/>
    <w:rsid w:val="00FF1C71"/>
    <w:rsid w:val="00FF42EB"/>
    <w:rsid w:val="00FF44E6"/>
    <w:rsid w:val="00FF57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9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 w:type="paragraph" w:customStyle="1" w:styleId="p0">
    <w:name w:val="p0"/>
    <w:basedOn w:val="Normal"/>
    <w:rsid w:val="00C86485"/>
    <w:pPr>
      <w:keepLines/>
      <w:widowControl w:val="0"/>
      <w:spacing w:before="240" w:after="0" w:line="240" w:lineRule="auto"/>
      <w:jc w:val="both"/>
    </w:pPr>
    <w:rPr>
      <w:rFonts w:ascii="Arial" w:eastAsia="Times New Roman" w:hAnsi="Arial" w:cs="Times New Roman"/>
      <w:snapToGrid w:val="0"/>
      <w:color w:val="0000FF"/>
      <w:sz w:val="24"/>
      <w:szCs w:val="20"/>
      <w:lang w:val="es-ES_tradnl" w:eastAsia="es-ES"/>
    </w:rPr>
  </w:style>
  <w:style w:type="character" w:customStyle="1" w:styleId="Mencinsinresolver3">
    <w:name w:val="Mención sin resolver3"/>
    <w:basedOn w:val="Fuentedeprrafopredeter"/>
    <w:uiPriority w:val="99"/>
    <w:semiHidden/>
    <w:unhideWhenUsed/>
    <w:rsid w:val="00E8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67849283">
      <w:bodyDiv w:val="1"/>
      <w:marLeft w:val="0"/>
      <w:marRight w:val="0"/>
      <w:marTop w:val="0"/>
      <w:marBottom w:val="0"/>
      <w:divBdr>
        <w:top w:val="none" w:sz="0" w:space="0" w:color="auto"/>
        <w:left w:val="none" w:sz="0" w:space="0" w:color="auto"/>
        <w:bottom w:val="none" w:sz="0" w:space="0" w:color="auto"/>
        <w:right w:val="none" w:sz="0" w:space="0" w:color="auto"/>
      </w:divBdr>
    </w:div>
    <w:div w:id="129174961">
      <w:bodyDiv w:val="1"/>
      <w:marLeft w:val="0"/>
      <w:marRight w:val="0"/>
      <w:marTop w:val="0"/>
      <w:marBottom w:val="0"/>
      <w:divBdr>
        <w:top w:val="none" w:sz="0" w:space="0" w:color="auto"/>
        <w:left w:val="none" w:sz="0" w:space="0" w:color="auto"/>
        <w:bottom w:val="none" w:sz="0" w:space="0" w:color="auto"/>
        <w:right w:val="none" w:sz="0" w:space="0" w:color="auto"/>
      </w:divBdr>
    </w:div>
    <w:div w:id="131948312">
      <w:bodyDiv w:val="1"/>
      <w:marLeft w:val="0"/>
      <w:marRight w:val="0"/>
      <w:marTop w:val="0"/>
      <w:marBottom w:val="0"/>
      <w:divBdr>
        <w:top w:val="none" w:sz="0" w:space="0" w:color="auto"/>
        <w:left w:val="none" w:sz="0" w:space="0" w:color="auto"/>
        <w:bottom w:val="none" w:sz="0" w:space="0" w:color="auto"/>
        <w:right w:val="none" w:sz="0" w:space="0" w:color="auto"/>
      </w:divBdr>
    </w:div>
    <w:div w:id="175652973">
      <w:bodyDiv w:val="1"/>
      <w:marLeft w:val="0"/>
      <w:marRight w:val="0"/>
      <w:marTop w:val="0"/>
      <w:marBottom w:val="0"/>
      <w:divBdr>
        <w:top w:val="none" w:sz="0" w:space="0" w:color="auto"/>
        <w:left w:val="none" w:sz="0" w:space="0" w:color="auto"/>
        <w:bottom w:val="none" w:sz="0" w:space="0" w:color="auto"/>
        <w:right w:val="none" w:sz="0" w:space="0" w:color="auto"/>
      </w:divBdr>
    </w:div>
    <w:div w:id="201215377">
      <w:bodyDiv w:val="1"/>
      <w:marLeft w:val="0"/>
      <w:marRight w:val="0"/>
      <w:marTop w:val="0"/>
      <w:marBottom w:val="0"/>
      <w:divBdr>
        <w:top w:val="none" w:sz="0" w:space="0" w:color="auto"/>
        <w:left w:val="none" w:sz="0" w:space="0" w:color="auto"/>
        <w:bottom w:val="none" w:sz="0" w:space="0" w:color="auto"/>
        <w:right w:val="none" w:sz="0" w:space="0" w:color="auto"/>
      </w:divBdr>
    </w:div>
    <w:div w:id="206184193">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01562628">
      <w:bodyDiv w:val="1"/>
      <w:marLeft w:val="0"/>
      <w:marRight w:val="0"/>
      <w:marTop w:val="0"/>
      <w:marBottom w:val="0"/>
      <w:divBdr>
        <w:top w:val="none" w:sz="0" w:space="0" w:color="auto"/>
        <w:left w:val="none" w:sz="0" w:space="0" w:color="auto"/>
        <w:bottom w:val="none" w:sz="0" w:space="0" w:color="auto"/>
        <w:right w:val="none" w:sz="0" w:space="0" w:color="auto"/>
      </w:divBdr>
    </w:div>
    <w:div w:id="427194128">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582110277">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698044205">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23454687">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89586674">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92543706">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050835815">
      <w:bodyDiv w:val="1"/>
      <w:marLeft w:val="0"/>
      <w:marRight w:val="0"/>
      <w:marTop w:val="0"/>
      <w:marBottom w:val="0"/>
      <w:divBdr>
        <w:top w:val="none" w:sz="0" w:space="0" w:color="auto"/>
        <w:left w:val="none" w:sz="0" w:space="0" w:color="auto"/>
        <w:bottom w:val="none" w:sz="0" w:space="0" w:color="auto"/>
        <w:right w:val="none" w:sz="0" w:space="0" w:color="auto"/>
      </w:divBdr>
    </w:div>
    <w:div w:id="1064985407">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5830031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174757010">
      <w:bodyDiv w:val="1"/>
      <w:marLeft w:val="0"/>
      <w:marRight w:val="0"/>
      <w:marTop w:val="0"/>
      <w:marBottom w:val="0"/>
      <w:divBdr>
        <w:top w:val="none" w:sz="0" w:space="0" w:color="auto"/>
        <w:left w:val="none" w:sz="0" w:space="0" w:color="auto"/>
        <w:bottom w:val="none" w:sz="0" w:space="0" w:color="auto"/>
        <w:right w:val="none" w:sz="0" w:space="0" w:color="auto"/>
      </w:divBdr>
    </w:div>
    <w:div w:id="1240867414">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1275013">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351492163">
      <w:bodyDiv w:val="1"/>
      <w:marLeft w:val="0"/>
      <w:marRight w:val="0"/>
      <w:marTop w:val="0"/>
      <w:marBottom w:val="0"/>
      <w:divBdr>
        <w:top w:val="none" w:sz="0" w:space="0" w:color="auto"/>
        <w:left w:val="none" w:sz="0" w:space="0" w:color="auto"/>
        <w:bottom w:val="none" w:sz="0" w:space="0" w:color="auto"/>
        <w:right w:val="none" w:sz="0" w:space="0" w:color="auto"/>
      </w:divBdr>
    </w:div>
    <w:div w:id="1380665513">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79937415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24737958">
      <w:bodyDiv w:val="1"/>
      <w:marLeft w:val="0"/>
      <w:marRight w:val="0"/>
      <w:marTop w:val="0"/>
      <w:marBottom w:val="0"/>
      <w:divBdr>
        <w:top w:val="none" w:sz="0" w:space="0" w:color="auto"/>
        <w:left w:val="none" w:sz="0" w:space="0" w:color="auto"/>
        <w:bottom w:val="none" w:sz="0" w:space="0" w:color="auto"/>
        <w:right w:val="none" w:sz="0" w:space="0" w:color="auto"/>
      </w:divBdr>
    </w:div>
    <w:div w:id="1833372063">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2086289">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18325322">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hyperlink" Target="http://www.inegi.org.mx/temas/personalo/"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yperlink" Target="http://www.inegi.org.mx" TargetMode="External"/><Relationship Id="rId33"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www.inegi.org.mx/programas/igpos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3.xml"/><Relationship Id="rId32"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2.xml"/><Relationship Id="rId28" Type="http://schemas.openxmlformats.org/officeDocument/2006/relationships/hyperlink" Target="http://www.inegi.org.mx/temas/remuneracionesmr/" TargetMode="External"/><Relationship Id="rId36" Type="http://schemas.openxmlformats.org/officeDocument/2006/relationships/theme" Target="theme/theme1.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www.inegi.org.mx/programas/igremse/2013/" TargetMode="External"/><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hyperlink" Target="http://www.inegi.org.mx/temas/remuneraciones/" TargetMode="External"/><Relationship Id="rId30" Type="http://schemas.openxmlformats.org/officeDocument/2006/relationships/hyperlink" Target="http://www.inegi.org.mx/programas/igrese/2013/" TargetMode="External"/><Relationship Id="rId35" Type="http://schemas.openxmlformats.org/officeDocument/2006/relationships/fontTable" Target="fontTable.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mpsit.toc.htm" TargetMode="External"/><Relationship Id="rId1" Type="http://schemas.openxmlformats.org/officeDocument/2006/relationships/hyperlink" Target="http://www.beta.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uarios\ismael.barcenas\Escritorio\IGPRSE%202013\IGPERSE%20Mayo%202020\Graficas%20comunicado.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suarios\ismael.barcenas\Escritorio\IGPRSE%202013\IGPERSE%20Mayo%202020\Graficas%20comunicado.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D:\Usuarios\ismael.barcenas\Escritorio\IGPRSE%202013\IGPERSE%20Mayo%202020\Graficas%20comunic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'Tendencia-ciclo'!$C$3</c:f>
              <c:strCache>
                <c:ptCount val="1"/>
                <c:pt idx="0">
                  <c:v>IGPOSE</c:v>
                </c:pt>
              </c:strCache>
            </c:strRef>
          </c:tx>
          <c:spPr>
            <a:ln w="28575" cap="rnd">
              <a:solidFill>
                <a:srgbClr val="A9D18E"/>
              </a:solidFill>
              <a:round/>
            </a:ln>
            <a:effectLst/>
          </c:spPr>
          <c:marker>
            <c:symbol val="none"/>
          </c:marker>
          <c:cat>
            <c:multiLvlStrRef>
              <c:f>'Tendencia-ciclo'!$A$6:$B$154</c:f>
              <c:multiLvlStrCache>
                <c:ptCount val="1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'Tendencia-ciclo'!$C$6:$C$154</c:f>
              <c:numCache>
                <c:formatCode>0.0</c:formatCode>
                <c:ptCount val="149"/>
                <c:pt idx="0">
                  <c:v>100.901147714327</c:v>
                </c:pt>
                <c:pt idx="1">
                  <c:v>100.858132362487</c:v>
                </c:pt>
                <c:pt idx="2">
                  <c:v>100.749274876874</c:v>
                </c:pt>
                <c:pt idx="3">
                  <c:v>100.562831343939</c:v>
                </c:pt>
                <c:pt idx="4">
                  <c:v>100.28201142807001</c:v>
                </c:pt>
                <c:pt idx="5">
                  <c:v>99.913971926974199</c:v>
                </c:pt>
                <c:pt idx="6">
                  <c:v>99.519895749178602</c:v>
                </c:pt>
                <c:pt idx="7">
                  <c:v>99.076716842798106</c:v>
                </c:pt>
                <c:pt idx="8">
                  <c:v>98.573640054696796</c:v>
                </c:pt>
                <c:pt idx="9">
                  <c:v>98.037141501274604</c:v>
                </c:pt>
                <c:pt idx="10">
                  <c:v>97.503099341754805</c:v>
                </c:pt>
                <c:pt idx="11">
                  <c:v>96.986365397124601</c:v>
                </c:pt>
                <c:pt idx="12">
                  <c:v>96.461398885080399</c:v>
                </c:pt>
                <c:pt idx="13">
                  <c:v>95.908005897795704</c:v>
                </c:pt>
                <c:pt idx="14">
                  <c:v>95.361463016752396</c:v>
                </c:pt>
                <c:pt idx="15">
                  <c:v>94.859953686698205</c:v>
                </c:pt>
                <c:pt idx="16">
                  <c:v>94.449519145278202</c:v>
                </c:pt>
                <c:pt idx="17">
                  <c:v>94.152315152633406</c:v>
                </c:pt>
                <c:pt idx="18">
                  <c:v>93.9844121137983</c:v>
                </c:pt>
                <c:pt idx="19">
                  <c:v>93.971442704467293</c:v>
                </c:pt>
                <c:pt idx="20">
                  <c:v>94.089155797703498</c:v>
                </c:pt>
                <c:pt idx="21">
                  <c:v>94.261786956860803</c:v>
                </c:pt>
                <c:pt idx="22">
                  <c:v>94.404498800993196</c:v>
                </c:pt>
                <c:pt idx="23">
                  <c:v>94.483638167315306</c:v>
                </c:pt>
                <c:pt idx="24">
                  <c:v>94.536709791419199</c:v>
                </c:pt>
                <c:pt idx="25">
                  <c:v>94.637026238948394</c:v>
                </c:pt>
                <c:pt idx="26">
                  <c:v>94.818608223814095</c:v>
                </c:pt>
                <c:pt idx="27">
                  <c:v>95.058467377522007</c:v>
                </c:pt>
                <c:pt idx="28">
                  <c:v>95.293671749507695</c:v>
                </c:pt>
                <c:pt idx="29">
                  <c:v>95.485053191085896</c:v>
                </c:pt>
                <c:pt idx="30">
                  <c:v>95.626188018380802</c:v>
                </c:pt>
                <c:pt idx="31">
                  <c:v>95.745416996534104</c:v>
                </c:pt>
                <c:pt idx="32">
                  <c:v>95.877479676953399</c:v>
                </c:pt>
                <c:pt idx="33">
                  <c:v>96.017863098721605</c:v>
                </c:pt>
                <c:pt idx="34">
                  <c:v>96.138765171190499</c:v>
                </c:pt>
                <c:pt idx="35">
                  <c:v>96.243518876371496</c:v>
                </c:pt>
                <c:pt idx="36">
                  <c:v>96.352952250744096</c:v>
                </c:pt>
                <c:pt idx="37">
                  <c:v>96.462097732819402</c:v>
                </c:pt>
                <c:pt idx="38">
                  <c:v>96.565649164068802</c:v>
                </c:pt>
                <c:pt idx="39">
                  <c:v>96.656782683693805</c:v>
                </c:pt>
                <c:pt idx="40">
                  <c:v>96.728740174469607</c:v>
                </c:pt>
                <c:pt idx="41">
                  <c:v>96.804226026037696</c:v>
                </c:pt>
                <c:pt idx="42">
                  <c:v>96.924769034415405</c:v>
                </c:pt>
                <c:pt idx="43">
                  <c:v>97.078024658417405</c:v>
                </c:pt>
                <c:pt idx="44">
                  <c:v>97.228908603295494</c:v>
                </c:pt>
                <c:pt idx="45">
                  <c:v>97.394789223755197</c:v>
                </c:pt>
                <c:pt idx="46">
                  <c:v>97.611146435418107</c:v>
                </c:pt>
                <c:pt idx="47">
                  <c:v>97.884430106509498</c:v>
                </c:pt>
                <c:pt idx="48">
                  <c:v>98.176274381969407</c:v>
                </c:pt>
                <c:pt idx="49">
                  <c:v>98.424105543948897</c:v>
                </c:pt>
                <c:pt idx="50">
                  <c:v>98.606990971122997</c:v>
                </c:pt>
                <c:pt idx="51">
                  <c:v>98.756022759987005</c:v>
                </c:pt>
                <c:pt idx="52">
                  <c:v>98.904362930906103</c:v>
                </c:pt>
                <c:pt idx="53">
                  <c:v>99.052537738073198</c:v>
                </c:pt>
                <c:pt idx="54">
                  <c:v>99.181842377912602</c:v>
                </c:pt>
                <c:pt idx="55">
                  <c:v>99.276856883462401</c:v>
                </c:pt>
                <c:pt idx="56">
                  <c:v>99.358640667052796</c:v>
                </c:pt>
                <c:pt idx="57">
                  <c:v>99.437581508650297</c:v>
                </c:pt>
                <c:pt idx="58">
                  <c:v>99.493028781302499</c:v>
                </c:pt>
                <c:pt idx="59">
                  <c:v>99.508670535176506</c:v>
                </c:pt>
                <c:pt idx="60">
                  <c:v>99.520856828520195</c:v>
                </c:pt>
                <c:pt idx="61">
                  <c:v>99.578225968128706</c:v>
                </c:pt>
                <c:pt idx="62">
                  <c:v>99.678785908981197</c:v>
                </c:pt>
                <c:pt idx="63">
                  <c:v>99.793657833810499</c:v>
                </c:pt>
                <c:pt idx="64">
                  <c:v>99.904288354142807</c:v>
                </c:pt>
                <c:pt idx="65">
                  <c:v>99.995589330014099</c:v>
                </c:pt>
                <c:pt idx="66">
                  <c:v>100.08638045530201</c:v>
                </c:pt>
                <c:pt idx="67">
                  <c:v>100.182802618791</c:v>
                </c:pt>
                <c:pt idx="68">
                  <c:v>100.275935744338</c:v>
                </c:pt>
                <c:pt idx="69">
                  <c:v>100.357978527668</c:v>
                </c:pt>
                <c:pt idx="70">
                  <c:v>100.452863610328</c:v>
                </c:pt>
                <c:pt idx="71">
                  <c:v>100.578216609967</c:v>
                </c:pt>
                <c:pt idx="72">
                  <c:v>100.723993008253</c:v>
                </c:pt>
                <c:pt idx="73">
                  <c:v>100.879830266704</c:v>
                </c:pt>
                <c:pt idx="74">
                  <c:v>101.02548262359601</c:v>
                </c:pt>
                <c:pt idx="75">
                  <c:v>101.141056431037</c:v>
                </c:pt>
                <c:pt idx="76">
                  <c:v>101.224313130882</c:v>
                </c:pt>
                <c:pt idx="77">
                  <c:v>101.30465799847801</c:v>
                </c:pt>
                <c:pt idx="78">
                  <c:v>101.38141874471999</c:v>
                </c:pt>
                <c:pt idx="79">
                  <c:v>101.48334800319</c:v>
                </c:pt>
                <c:pt idx="80">
                  <c:v>101.62705352783</c:v>
                </c:pt>
                <c:pt idx="81">
                  <c:v>101.82004731956999</c:v>
                </c:pt>
                <c:pt idx="82">
                  <c:v>102.071296000248</c:v>
                </c:pt>
                <c:pt idx="83">
                  <c:v>102.36940237768</c:v>
                </c:pt>
                <c:pt idx="84">
                  <c:v>102.67113225303</c:v>
                </c:pt>
                <c:pt idx="85">
                  <c:v>102.929801200336</c:v>
                </c:pt>
                <c:pt idx="86">
                  <c:v>103.13417804021999</c:v>
                </c:pt>
                <c:pt idx="87">
                  <c:v>103.318909846639</c:v>
                </c:pt>
                <c:pt idx="88">
                  <c:v>103.511006051539</c:v>
                </c:pt>
                <c:pt idx="89">
                  <c:v>103.72303036711</c:v>
                </c:pt>
                <c:pt idx="90">
                  <c:v>103.948839323695</c:v>
                </c:pt>
                <c:pt idx="91">
                  <c:v>104.172761657329</c:v>
                </c:pt>
                <c:pt idx="92">
                  <c:v>104.381389690943</c:v>
                </c:pt>
                <c:pt idx="93">
                  <c:v>104.569040974305</c:v>
                </c:pt>
                <c:pt idx="94">
                  <c:v>104.726391312613</c:v>
                </c:pt>
                <c:pt idx="95">
                  <c:v>104.839642632969</c:v>
                </c:pt>
                <c:pt idx="96">
                  <c:v>104.923259292539</c:v>
                </c:pt>
                <c:pt idx="97">
                  <c:v>105.012871799048</c:v>
                </c:pt>
                <c:pt idx="98">
                  <c:v>105.134916470844</c:v>
                </c:pt>
                <c:pt idx="99">
                  <c:v>105.276183995238</c:v>
                </c:pt>
                <c:pt idx="100">
                  <c:v>105.421339167659</c:v>
                </c:pt>
                <c:pt idx="101">
                  <c:v>105.569863599315</c:v>
                </c:pt>
                <c:pt idx="102">
                  <c:v>105.74483889682701</c:v>
                </c:pt>
                <c:pt idx="103">
                  <c:v>105.980136854276</c:v>
                </c:pt>
                <c:pt idx="104">
                  <c:v>106.249496646778</c:v>
                </c:pt>
                <c:pt idx="105">
                  <c:v>106.487561995633</c:v>
                </c:pt>
                <c:pt idx="106">
                  <c:v>106.65918677706399</c:v>
                </c:pt>
                <c:pt idx="107">
                  <c:v>106.788893896286</c:v>
                </c:pt>
                <c:pt idx="108">
                  <c:v>106.918747550449</c:v>
                </c:pt>
                <c:pt idx="109">
                  <c:v>107.059903581483</c:v>
                </c:pt>
                <c:pt idx="110">
                  <c:v>107.203121421322</c:v>
                </c:pt>
                <c:pt idx="111">
                  <c:v>107.369944456919</c:v>
                </c:pt>
                <c:pt idx="112">
                  <c:v>107.59701648908499</c:v>
                </c:pt>
                <c:pt idx="113">
                  <c:v>107.89938486617299</c:v>
                </c:pt>
                <c:pt idx="114">
                  <c:v>108.21967826967</c:v>
                </c:pt>
                <c:pt idx="115">
                  <c:v>108.466158491687</c:v>
                </c:pt>
                <c:pt idx="116">
                  <c:v>108.605689215463</c:v>
                </c:pt>
                <c:pt idx="117">
                  <c:v>108.70955575961599</c:v>
                </c:pt>
                <c:pt idx="118">
                  <c:v>108.84668545335001</c:v>
                </c:pt>
                <c:pt idx="119">
                  <c:v>109.05299792476799</c:v>
                </c:pt>
                <c:pt idx="120">
                  <c:v>109.307793962641</c:v>
                </c:pt>
                <c:pt idx="121">
                  <c:v>109.549428616318</c:v>
                </c:pt>
                <c:pt idx="122">
                  <c:v>109.73181655358999</c:v>
                </c:pt>
                <c:pt idx="123">
                  <c:v>109.840676393888</c:v>
                </c:pt>
                <c:pt idx="124">
                  <c:v>109.888232145796</c:v>
                </c:pt>
                <c:pt idx="125">
                  <c:v>109.89882980615801</c:v>
                </c:pt>
                <c:pt idx="126">
                  <c:v>109.901413483159</c:v>
                </c:pt>
                <c:pt idx="127">
                  <c:v>109.926487989796</c:v>
                </c:pt>
                <c:pt idx="128">
                  <c:v>109.98911988182699</c:v>
                </c:pt>
                <c:pt idx="129">
                  <c:v>110.078330245762</c:v>
                </c:pt>
                <c:pt idx="130">
                  <c:v>110.181706849459</c:v>
                </c:pt>
                <c:pt idx="131">
                  <c:v>110.27851061294101</c:v>
                </c:pt>
                <c:pt idx="132">
                  <c:v>110.354814858862</c:v>
                </c:pt>
                <c:pt idx="133">
                  <c:v>110.415646232688</c:v>
                </c:pt>
                <c:pt idx="134">
                  <c:v>110.471078368977</c:v>
                </c:pt>
                <c:pt idx="135">
                  <c:v>110.51382358768799</c:v>
                </c:pt>
                <c:pt idx="136">
                  <c:v>110.528843243963</c:v>
                </c:pt>
                <c:pt idx="137">
                  <c:v>110.50438505918299</c:v>
                </c:pt>
                <c:pt idx="138">
                  <c:v>110.45532310793899</c:v>
                </c:pt>
                <c:pt idx="139">
                  <c:v>110.38721380070299</c:v>
                </c:pt>
                <c:pt idx="140">
                  <c:v>110.308464903303</c:v>
                </c:pt>
                <c:pt idx="141">
                  <c:v>110.22232520417499</c:v>
                </c:pt>
                <c:pt idx="142">
                  <c:v>110.123782295301</c:v>
                </c:pt>
                <c:pt idx="143">
                  <c:v>109.983824491657</c:v>
                </c:pt>
                <c:pt idx="144">
                  <c:v>109.786667190204</c:v>
                </c:pt>
                <c:pt idx="145">
                  <c:v>109.553850626844</c:v>
                </c:pt>
                <c:pt idx="146">
                  <c:v>109.322360899656</c:v>
                </c:pt>
                <c:pt idx="147">
                  <c:v>109.125660397258</c:v>
                </c:pt>
                <c:pt idx="148">
                  <c:v>108.97495151707901</c:v>
                </c:pt>
              </c:numCache>
            </c:numRef>
          </c:val>
          <c:smooth val="0"/>
          <c:extLst>
            <c:ext xmlns:c16="http://schemas.microsoft.com/office/drawing/2014/chart" uri="{C3380CC4-5D6E-409C-BE32-E72D297353CC}">
              <c16:uniqueId val="{00000000-C032-42E2-B5A0-6167EAC4F6FC}"/>
            </c:ext>
          </c:extLst>
        </c:ser>
        <c:ser>
          <c:idx val="1"/>
          <c:order val="1"/>
          <c:tx>
            <c:strRef>
              <c:f>'Tendencia-ciclo'!$E$3</c:f>
              <c:strCache>
                <c:ptCount val="1"/>
                <c:pt idx="0">
                  <c:v>IGRESE</c:v>
                </c:pt>
              </c:strCache>
            </c:strRef>
          </c:tx>
          <c:spPr>
            <a:ln w="28575" cap="rnd">
              <a:solidFill>
                <a:srgbClr val="8FAADC"/>
              </a:solidFill>
              <a:round/>
            </a:ln>
            <a:effectLst/>
          </c:spPr>
          <c:marker>
            <c:symbol val="none"/>
          </c:marker>
          <c:cat>
            <c:multiLvlStrRef>
              <c:f>'Tendencia-ciclo'!$A$6:$B$154</c:f>
              <c:multiLvlStrCache>
                <c:ptCount val="1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'Tendencia-ciclo'!$E$6:$E$154</c:f>
              <c:numCache>
                <c:formatCode>#,##0.0</c:formatCode>
                <c:ptCount val="149"/>
                <c:pt idx="0">
                  <c:v>99.342461427486398</c:v>
                </c:pt>
                <c:pt idx="1">
                  <c:v>99.519535071911505</c:v>
                </c:pt>
                <c:pt idx="2">
                  <c:v>99.609678619055003</c:v>
                </c:pt>
                <c:pt idx="3">
                  <c:v>99.609087271264698</c:v>
                </c:pt>
                <c:pt idx="4">
                  <c:v>99.404889439821801</c:v>
                </c:pt>
                <c:pt idx="5">
                  <c:v>98.875745257331104</c:v>
                </c:pt>
                <c:pt idx="6">
                  <c:v>98.1767160345577</c:v>
                </c:pt>
                <c:pt idx="7">
                  <c:v>97.416103582147798</c:v>
                </c:pt>
                <c:pt idx="8">
                  <c:v>96.752877627534801</c:v>
                </c:pt>
                <c:pt idx="9">
                  <c:v>96.109908198112095</c:v>
                </c:pt>
                <c:pt idx="10">
                  <c:v>95.413206979810596</c:v>
                </c:pt>
                <c:pt idx="11">
                  <c:v>94.652228365654906</c:v>
                </c:pt>
                <c:pt idx="12">
                  <c:v>93.842513119669803</c:v>
                </c:pt>
                <c:pt idx="13">
                  <c:v>93.079157366527099</c:v>
                </c:pt>
                <c:pt idx="14">
                  <c:v>92.432297860350701</c:v>
                </c:pt>
                <c:pt idx="15">
                  <c:v>91.868593608332503</c:v>
                </c:pt>
                <c:pt idx="16">
                  <c:v>91.378002342653602</c:v>
                </c:pt>
                <c:pt idx="17">
                  <c:v>91.003547073140894</c:v>
                </c:pt>
                <c:pt idx="18">
                  <c:v>90.835136876461803</c:v>
                </c:pt>
                <c:pt idx="19">
                  <c:v>90.916353468299903</c:v>
                </c:pt>
                <c:pt idx="20">
                  <c:v>91.183562837457103</c:v>
                </c:pt>
                <c:pt idx="21">
                  <c:v>91.530141776682001</c:v>
                </c:pt>
                <c:pt idx="22">
                  <c:v>91.770519449893001</c:v>
                </c:pt>
                <c:pt idx="23">
                  <c:v>91.912770690085097</c:v>
                </c:pt>
                <c:pt idx="24">
                  <c:v>92.056845229296997</c:v>
                </c:pt>
                <c:pt idx="25">
                  <c:v>92.281618268716699</c:v>
                </c:pt>
                <c:pt idx="26">
                  <c:v>92.543866323174598</c:v>
                </c:pt>
                <c:pt idx="27">
                  <c:v>92.828685468510002</c:v>
                </c:pt>
                <c:pt idx="28">
                  <c:v>93.128929638180793</c:v>
                </c:pt>
                <c:pt idx="29">
                  <c:v>93.408058674556102</c:v>
                </c:pt>
                <c:pt idx="30">
                  <c:v>93.6030131464248</c:v>
                </c:pt>
                <c:pt idx="31">
                  <c:v>93.649454163611594</c:v>
                </c:pt>
                <c:pt idx="32">
                  <c:v>93.527886107469001</c:v>
                </c:pt>
                <c:pt idx="33">
                  <c:v>93.447276384053893</c:v>
                </c:pt>
                <c:pt idx="34">
                  <c:v>93.478286255039805</c:v>
                </c:pt>
                <c:pt idx="35">
                  <c:v>93.650428484270805</c:v>
                </c:pt>
                <c:pt idx="36">
                  <c:v>93.8230787805917</c:v>
                </c:pt>
                <c:pt idx="37">
                  <c:v>93.979490104782201</c:v>
                </c:pt>
                <c:pt idx="38">
                  <c:v>94.209566840371807</c:v>
                </c:pt>
                <c:pt idx="39">
                  <c:v>94.517151360384503</c:v>
                </c:pt>
                <c:pt idx="40">
                  <c:v>94.870039776459507</c:v>
                </c:pt>
                <c:pt idx="41">
                  <c:v>95.214092955938398</c:v>
                </c:pt>
                <c:pt idx="42">
                  <c:v>95.550503221495504</c:v>
                </c:pt>
                <c:pt idx="43">
                  <c:v>95.913427349444405</c:v>
                </c:pt>
                <c:pt idx="44">
                  <c:v>96.220282557242001</c:v>
                </c:pt>
                <c:pt idx="45">
                  <c:v>96.446837732428605</c:v>
                </c:pt>
                <c:pt idx="46">
                  <c:v>96.613608395298698</c:v>
                </c:pt>
                <c:pt idx="47">
                  <c:v>96.812155112972206</c:v>
                </c:pt>
                <c:pt idx="48">
                  <c:v>97.147538927924501</c:v>
                </c:pt>
                <c:pt idx="49">
                  <c:v>97.483210555651098</c:v>
                </c:pt>
                <c:pt idx="50">
                  <c:v>97.699784611697197</c:v>
                </c:pt>
                <c:pt idx="51">
                  <c:v>97.767219235410806</c:v>
                </c:pt>
                <c:pt idx="52">
                  <c:v>97.730564669420801</c:v>
                </c:pt>
                <c:pt idx="53">
                  <c:v>97.716605165260006</c:v>
                </c:pt>
                <c:pt idx="54">
                  <c:v>97.766137742070299</c:v>
                </c:pt>
                <c:pt idx="55">
                  <c:v>97.832983681289207</c:v>
                </c:pt>
                <c:pt idx="56">
                  <c:v>97.940149977414293</c:v>
                </c:pt>
                <c:pt idx="57">
                  <c:v>98.095745901240505</c:v>
                </c:pt>
                <c:pt idx="58">
                  <c:v>98.362316337152293</c:v>
                </c:pt>
                <c:pt idx="59">
                  <c:v>98.627310147576793</c:v>
                </c:pt>
                <c:pt idx="60">
                  <c:v>98.864657750740506</c:v>
                </c:pt>
                <c:pt idx="61">
                  <c:v>99.020263532608297</c:v>
                </c:pt>
                <c:pt idx="62">
                  <c:v>99.108436625690203</c:v>
                </c:pt>
                <c:pt idx="63">
                  <c:v>99.225651386157693</c:v>
                </c:pt>
                <c:pt idx="64">
                  <c:v>99.434103679456101</c:v>
                </c:pt>
                <c:pt idx="65">
                  <c:v>99.6732587727696</c:v>
                </c:pt>
                <c:pt idx="66">
                  <c:v>99.884703832845105</c:v>
                </c:pt>
                <c:pt idx="67">
                  <c:v>100.061915044694</c:v>
                </c:pt>
                <c:pt idx="68">
                  <c:v>100.26605927499099</c:v>
                </c:pt>
                <c:pt idx="69">
                  <c:v>100.50680456492</c:v>
                </c:pt>
                <c:pt idx="70">
                  <c:v>100.759590589044</c:v>
                </c:pt>
                <c:pt idx="71">
                  <c:v>100.92620054221599</c:v>
                </c:pt>
                <c:pt idx="72">
                  <c:v>100.998797666195</c:v>
                </c:pt>
                <c:pt idx="73">
                  <c:v>101.01109640187801</c:v>
                </c:pt>
                <c:pt idx="74">
                  <c:v>101.03266070362</c:v>
                </c:pt>
                <c:pt idx="75">
                  <c:v>101.134652351962</c:v>
                </c:pt>
                <c:pt idx="76">
                  <c:v>101.31735007985399</c:v>
                </c:pt>
                <c:pt idx="77">
                  <c:v>101.489462735077</c:v>
                </c:pt>
                <c:pt idx="78">
                  <c:v>101.583712480317</c:v>
                </c:pt>
                <c:pt idx="79">
                  <c:v>101.696342733954</c:v>
                </c:pt>
                <c:pt idx="80">
                  <c:v>101.823049197655</c:v>
                </c:pt>
                <c:pt idx="81">
                  <c:v>101.992671905321</c:v>
                </c:pt>
                <c:pt idx="82">
                  <c:v>102.306098115415</c:v>
                </c:pt>
                <c:pt idx="83">
                  <c:v>102.763259353658</c:v>
                </c:pt>
                <c:pt idx="84">
                  <c:v>103.230044289546</c:v>
                </c:pt>
                <c:pt idx="85">
                  <c:v>103.66253632640201</c:v>
                </c:pt>
                <c:pt idx="86">
                  <c:v>104.030462605716</c:v>
                </c:pt>
                <c:pt idx="87">
                  <c:v>104.346054724506</c:v>
                </c:pt>
                <c:pt idx="88">
                  <c:v>104.60990352851201</c:v>
                </c:pt>
                <c:pt idx="89">
                  <c:v>104.902841302163</c:v>
                </c:pt>
                <c:pt idx="90">
                  <c:v>105.23415518846799</c:v>
                </c:pt>
                <c:pt idx="91">
                  <c:v>105.61523487765599</c:v>
                </c:pt>
                <c:pt idx="92">
                  <c:v>106.067462511741</c:v>
                </c:pt>
                <c:pt idx="93">
                  <c:v>106.53247652651</c:v>
                </c:pt>
                <c:pt idx="94">
                  <c:v>106.93626648674901</c:v>
                </c:pt>
                <c:pt idx="95">
                  <c:v>107.291705578614</c:v>
                </c:pt>
                <c:pt idx="96">
                  <c:v>107.62461235744701</c:v>
                </c:pt>
                <c:pt idx="97">
                  <c:v>108.01292129589901</c:v>
                </c:pt>
                <c:pt idx="98">
                  <c:v>108.44713742896</c:v>
                </c:pt>
                <c:pt idx="99">
                  <c:v>108.87617026941599</c:v>
                </c:pt>
                <c:pt idx="100">
                  <c:v>109.28625125037</c:v>
                </c:pt>
                <c:pt idx="101">
                  <c:v>109.71392953588899</c:v>
                </c:pt>
                <c:pt idx="102">
                  <c:v>110.14328627594401</c:v>
                </c:pt>
                <c:pt idx="103">
                  <c:v>110.445262668319</c:v>
                </c:pt>
                <c:pt idx="104">
                  <c:v>110.62631769545</c:v>
                </c:pt>
                <c:pt idx="105">
                  <c:v>110.73682769983699</c:v>
                </c:pt>
                <c:pt idx="106">
                  <c:v>110.790587735144</c:v>
                </c:pt>
                <c:pt idx="107">
                  <c:v>110.817894604834</c:v>
                </c:pt>
                <c:pt idx="108">
                  <c:v>110.796620865363</c:v>
                </c:pt>
                <c:pt idx="109">
                  <c:v>110.73153288855499</c:v>
                </c:pt>
                <c:pt idx="110">
                  <c:v>110.68583186225899</c:v>
                </c:pt>
                <c:pt idx="111">
                  <c:v>110.740163166361</c:v>
                </c:pt>
                <c:pt idx="112">
                  <c:v>110.904304363355</c:v>
                </c:pt>
                <c:pt idx="113">
                  <c:v>111.110538256624</c:v>
                </c:pt>
                <c:pt idx="114">
                  <c:v>111.34100142050001</c:v>
                </c:pt>
                <c:pt idx="115">
                  <c:v>111.592078408679</c:v>
                </c:pt>
                <c:pt idx="116">
                  <c:v>111.842153371946</c:v>
                </c:pt>
                <c:pt idx="117">
                  <c:v>112.058124129446</c:v>
                </c:pt>
                <c:pt idx="118">
                  <c:v>112.18759742308301</c:v>
                </c:pt>
                <c:pt idx="119">
                  <c:v>112.31231264715299</c:v>
                </c:pt>
                <c:pt idx="120">
                  <c:v>112.60391951149001</c:v>
                </c:pt>
                <c:pt idx="121">
                  <c:v>113.12512147306001</c:v>
                </c:pt>
                <c:pt idx="122">
                  <c:v>113.803336812035</c:v>
                </c:pt>
                <c:pt idx="123">
                  <c:v>114.47128192648999</c:v>
                </c:pt>
                <c:pt idx="124">
                  <c:v>114.97167698276699</c:v>
                </c:pt>
                <c:pt idx="125">
                  <c:v>115.23148139874699</c:v>
                </c:pt>
                <c:pt idx="126">
                  <c:v>115.270457523771</c:v>
                </c:pt>
                <c:pt idx="127">
                  <c:v>115.247825990002</c:v>
                </c:pt>
                <c:pt idx="128">
                  <c:v>115.26002486742701</c:v>
                </c:pt>
                <c:pt idx="129">
                  <c:v>115.36399209128901</c:v>
                </c:pt>
                <c:pt idx="130">
                  <c:v>115.62493338805</c:v>
                </c:pt>
                <c:pt idx="131">
                  <c:v>116.02148889679501</c:v>
                </c:pt>
                <c:pt idx="132">
                  <c:v>116.510100856894</c:v>
                </c:pt>
                <c:pt idx="133">
                  <c:v>117.00873829797899</c:v>
                </c:pt>
                <c:pt idx="134">
                  <c:v>117.428290960675</c:v>
                </c:pt>
                <c:pt idx="135">
                  <c:v>117.652120835407</c:v>
                </c:pt>
                <c:pt idx="136">
                  <c:v>117.70586087288</c:v>
                </c:pt>
                <c:pt idx="137">
                  <c:v>117.783561584494</c:v>
                </c:pt>
                <c:pt idx="138">
                  <c:v>118.011154534688</c:v>
                </c:pt>
                <c:pt idx="139">
                  <c:v>118.35167854937301</c:v>
                </c:pt>
                <c:pt idx="140">
                  <c:v>118.72833397247901</c:v>
                </c:pt>
                <c:pt idx="141">
                  <c:v>119.046690821091</c:v>
                </c:pt>
                <c:pt idx="142">
                  <c:v>119.258645985911</c:v>
                </c:pt>
                <c:pt idx="143">
                  <c:v>119.31688685111099</c:v>
                </c:pt>
                <c:pt idx="144">
                  <c:v>119.17084770661999</c:v>
                </c:pt>
                <c:pt idx="145">
                  <c:v>118.816114406379</c:v>
                </c:pt>
                <c:pt idx="146">
                  <c:v>118.362516918254</c:v>
                </c:pt>
                <c:pt idx="147">
                  <c:v>117.979672315898</c:v>
                </c:pt>
                <c:pt idx="148">
                  <c:v>117.808340564863</c:v>
                </c:pt>
              </c:numCache>
            </c:numRef>
          </c:val>
          <c:smooth val="0"/>
          <c:extLst>
            <c:ext xmlns:c16="http://schemas.microsoft.com/office/drawing/2014/chart" uri="{C3380CC4-5D6E-409C-BE32-E72D297353CC}">
              <c16:uniqueId val="{00000001-C032-42E2-B5A0-6167EAC4F6FC}"/>
            </c:ext>
          </c:extLst>
        </c:ser>
        <c:ser>
          <c:idx val="2"/>
          <c:order val="2"/>
          <c:tx>
            <c:strRef>
              <c:f>'Tendencia-ciclo'!$G$3</c:f>
              <c:strCache>
                <c:ptCount val="1"/>
                <c:pt idx="0">
                  <c:v>IGREMSE</c:v>
                </c:pt>
              </c:strCache>
            </c:strRef>
          </c:tx>
          <c:spPr>
            <a:ln w="28575" cap="rnd">
              <a:solidFill>
                <a:srgbClr val="BFBFBF"/>
              </a:solidFill>
              <a:round/>
            </a:ln>
            <a:effectLst/>
          </c:spPr>
          <c:marker>
            <c:symbol val="none"/>
          </c:marker>
          <c:cat>
            <c:multiLvlStrRef>
              <c:f>'Tendencia-ciclo'!$A$6:$B$154</c:f>
              <c:multiLvlStrCache>
                <c:ptCount val="1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'Tendencia-ciclo'!$G$6:$G$154</c:f>
              <c:numCache>
                <c:formatCode>#,##0.0</c:formatCode>
                <c:ptCount val="149"/>
                <c:pt idx="0">
                  <c:v>98.832821877900798</c:v>
                </c:pt>
                <c:pt idx="1">
                  <c:v>98.925204813241393</c:v>
                </c:pt>
                <c:pt idx="2">
                  <c:v>98.987777652875593</c:v>
                </c:pt>
                <c:pt idx="3">
                  <c:v>99.008807259657502</c:v>
                </c:pt>
                <c:pt idx="4">
                  <c:v>98.953702347341803</c:v>
                </c:pt>
                <c:pt idx="5">
                  <c:v>98.817249484969807</c:v>
                </c:pt>
                <c:pt idx="6">
                  <c:v>98.628962213888599</c:v>
                </c:pt>
                <c:pt idx="7">
                  <c:v>98.425608190884006</c:v>
                </c:pt>
                <c:pt idx="8">
                  <c:v>98.243150094879496</c:v>
                </c:pt>
                <c:pt idx="9">
                  <c:v>98.079138920290603</c:v>
                </c:pt>
                <c:pt idx="10">
                  <c:v>97.920236817548698</c:v>
                </c:pt>
                <c:pt idx="11">
                  <c:v>97.738160956693804</c:v>
                </c:pt>
                <c:pt idx="12">
                  <c:v>97.535547497918401</c:v>
                </c:pt>
                <c:pt idx="13">
                  <c:v>97.331662694187699</c:v>
                </c:pt>
                <c:pt idx="14">
                  <c:v>97.136052899632801</c:v>
                </c:pt>
                <c:pt idx="15">
                  <c:v>96.966096201926703</c:v>
                </c:pt>
                <c:pt idx="16">
                  <c:v>96.8404536826081</c:v>
                </c:pt>
                <c:pt idx="17">
                  <c:v>96.750084799344805</c:v>
                </c:pt>
                <c:pt idx="18">
                  <c:v>96.721360374348706</c:v>
                </c:pt>
                <c:pt idx="19">
                  <c:v>96.792463451748205</c:v>
                </c:pt>
                <c:pt idx="20">
                  <c:v>96.957980959892694</c:v>
                </c:pt>
                <c:pt idx="21">
                  <c:v>97.189127532295103</c:v>
                </c:pt>
                <c:pt idx="22">
                  <c:v>97.439216066913602</c:v>
                </c:pt>
                <c:pt idx="23">
                  <c:v>97.641809885009295</c:v>
                </c:pt>
                <c:pt idx="24">
                  <c:v>97.751502948168095</c:v>
                </c:pt>
                <c:pt idx="25">
                  <c:v>97.792633710269399</c:v>
                </c:pt>
                <c:pt idx="26">
                  <c:v>97.8059565702806</c:v>
                </c:pt>
                <c:pt idx="27">
                  <c:v>97.828546217220605</c:v>
                </c:pt>
                <c:pt idx="28">
                  <c:v>97.859913775344594</c:v>
                </c:pt>
                <c:pt idx="29">
                  <c:v>97.878397880498397</c:v>
                </c:pt>
                <c:pt idx="30">
                  <c:v>97.841529435968795</c:v>
                </c:pt>
                <c:pt idx="31">
                  <c:v>97.716277660920696</c:v>
                </c:pt>
                <c:pt idx="32">
                  <c:v>97.517413622494203</c:v>
                </c:pt>
                <c:pt idx="33">
                  <c:v>97.313839911116702</c:v>
                </c:pt>
                <c:pt idx="34">
                  <c:v>97.155608727464895</c:v>
                </c:pt>
                <c:pt idx="35">
                  <c:v>97.114857784094198</c:v>
                </c:pt>
                <c:pt idx="36">
                  <c:v>97.221139208498201</c:v>
                </c:pt>
                <c:pt idx="37">
                  <c:v>97.428835524404207</c:v>
                </c:pt>
                <c:pt idx="38">
                  <c:v>97.681897289549198</c:v>
                </c:pt>
                <c:pt idx="39">
                  <c:v>97.943878183704399</c:v>
                </c:pt>
                <c:pt idx="40">
                  <c:v>98.193408671631403</c:v>
                </c:pt>
                <c:pt idx="41">
                  <c:v>98.424364258707001</c:v>
                </c:pt>
                <c:pt idx="42">
                  <c:v>98.630990926809801</c:v>
                </c:pt>
                <c:pt idx="43">
                  <c:v>98.797761987434896</c:v>
                </c:pt>
                <c:pt idx="44">
                  <c:v>98.924443647859405</c:v>
                </c:pt>
                <c:pt idx="45">
                  <c:v>99.013747853038794</c:v>
                </c:pt>
                <c:pt idx="46">
                  <c:v>99.078429538966304</c:v>
                </c:pt>
                <c:pt idx="47">
                  <c:v>99.124674890263904</c:v>
                </c:pt>
                <c:pt idx="48">
                  <c:v>99.132399499239099</c:v>
                </c:pt>
                <c:pt idx="49">
                  <c:v>99.101212823091203</c:v>
                </c:pt>
                <c:pt idx="50">
                  <c:v>99.025253643809805</c:v>
                </c:pt>
                <c:pt idx="51">
                  <c:v>98.909152893352697</c:v>
                </c:pt>
                <c:pt idx="52">
                  <c:v>98.774087767711706</c:v>
                </c:pt>
                <c:pt idx="53">
                  <c:v>98.651102118204093</c:v>
                </c:pt>
                <c:pt idx="54">
                  <c:v>98.566926044601303</c:v>
                </c:pt>
                <c:pt idx="55">
                  <c:v>98.541085015890303</c:v>
                </c:pt>
                <c:pt idx="56">
                  <c:v>98.592327549236998</c:v>
                </c:pt>
                <c:pt idx="57">
                  <c:v>98.689852947030303</c:v>
                </c:pt>
                <c:pt idx="58">
                  <c:v>98.823788296082498</c:v>
                </c:pt>
                <c:pt idx="59">
                  <c:v>98.963356565755802</c:v>
                </c:pt>
                <c:pt idx="60">
                  <c:v>99.103497363066097</c:v>
                </c:pt>
                <c:pt idx="61">
                  <c:v>99.233479600753896</c:v>
                </c:pt>
                <c:pt idx="62">
                  <c:v>99.366441083190495</c:v>
                </c:pt>
                <c:pt idx="63">
                  <c:v>99.4949021443189</c:v>
                </c:pt>
                <c:pt idx="64">
                  <c:v>99.618415928417093</c:v>
                </c:pt>
                <c:pt idx="65">
                  <c:v>99.742276677132395</c:v>
                </c:pt>
                <c:pt idx="66">
                  <c:v>99.862988366147803</c:v>
                </c:pt>
                <c:pt idx="67">
                  <c:v>99.988793097422004</c:v>
                </c:pt>
                <c:pt idx="68">
                  <c:v>100.097079043626</c:v>
                </c:pt>
                <c:pt idx="69">
                  <c:v>100.173555510216</c:v>
                </c:pt>
                <c:pt idx="70">
                  <c:v>100.23469888869199</c:v>
                </c:pt>
                <c:pt idx="71">
                  <c:v>100.270140206625</c:v>
                </c:pt>
                <c:pt idx="72">
                  <c:v>100.286148165103</c:v>
                </c:pt>
                <c:pt idx="73">
                  <c:v>100.276207084635</c:v>
                </c:pt>
                <c:pt idx="74">
                  <c:v>100.247368103889</c:v>
                </c:pt>
                <c:pt idx="75">
                  <c:v>100.206579698345</c:v>
                </c:pt>
                <c:pt idx="76">
                  <c:v>100.161701769885</c:v>
                </c:pt>
                <c:pt idx="77">
                  <c:v>100.124674899968</c:v>
                </c:pt>
                <c:pt idx="78">
                  <c:v>100.098794787706</c:v>
                </c:pt>
                <c:pt idx="79">
                  <c:v>100.092200385331</c:v>
                </c:pt>
                <c:pt idx="80">
                  <c:v>100.12465596040001</c:v>
                </c:pt>
                <c:pt idx="81">
                  <c:v>100.207613028105</c:v>
                </c:pt>
                <c:pt idx="82">
                  <c:v>100.304081724645</c:v>
                </c:pt>
                <c:pt idx="83">
                  <c:v>100.39883259055399</c:v>
                </c:pt>
                <c:pt idx="84">
                  <c:v>100.48576333317899</c:v>
                </c:pt>
                <c:pt idx="85">
                  <c:v>100.572694645794</c:v>
                </c:pt>
                <c:pt idx="86">
                  <c:v>100.673038490219</c:v>
                </c:pt>
                <c:pt idx="87">
                  <c:v>100.793791571277</c:v>
                </c:pt>
                <c:pt idx="88">
                  <c:v>100.937676211632</c:v>
                </c:pt>
                <c:pt idx="89">
                  <c:v>101.09945347799299</c:v>
                </c:pt>
                <c:pt idx="90">
                  <c:v>101.281069796289</c:v>
                </c:pt>
                <c:pt idx="91">
                  <c:v>101.471817073222</c:v>
                </c:pt>
                <c:pt idx="92">
                  <c:v>101.65013423215299</c:v>
                </c:pt>
                <c:pt idx="93">
                  <c:v>101.83525505457</c:v>
                </c:pt>
                <c:pt idx="94">
                  <c:v>102.043538949091</c:v>
                </c:pt>
                <c:pt idx="95">
                  <c:v>102.283720342311</c:v>
                </c:pt>
                <c:pt idx="96">
                  <c:v>102.54876093673499</c:v>
                </c:pt>
                <c:pt idx="97">
                  <c:v>102.838846664228</c:v>
                </c:pt>
                <c:pt idx="98">
                  <c:v>103.13386546358601</c:v>
                </c:pt>
                <c:pt idx="99">
                  <c:v>103.443613030672</c:v>
                </c:pt>
                <c:pt idx="100">
                  <c:v>103.74631377010699</c:v>
                </c:pt>
                <c:pt idx="101">
                  <c:v>103.991343436965</c:v>
                </c:pt>
                <c:pt idx="102">
                  <c:v>104.15116780656901</c:v>
                </c:pt>
                <c:pt idx="103">
                  <c:v>104.21246102903</c:v>
                </c:pt>
                <c:pt idx="104">
                  <c:v>104.17953634656</c:v>
                </c:pt>
                <c:pt idx="105">
                  <c:v>104.058204839127</c:v>
                </c:pt>
                <c:pt idx="106">
                  <c:v>103.88188773769799</c:v>
                </c:pt>
                <c:pt idx="107">
                  <c:v>103.698557962889</c:v>
                </c:pt>
                <c:pt idx="108">
                  <c:v>103.54281720392299</c:v>
                </c:pt>
                <c:pt idx="109">
                  <c:v>103.419456508162</c:v>
                </c:pt>
                <c:pt idx="110">
                  <c:v>103.31297762312001</c:v>
                </c:pt>
                <c:pt idx="111">
                  <c:v>103.206833777821</c:v>
                </c:pt>
                <c:pt idx="112">
                  <c:v>103.08766054521099</c:v>
                </c:pt>
                <c:pt idx="113">
                  <c:v>102.994631268147</c:v>
                </c:pt>
                <c:pt idx="114">
                  <c:v>102.940788568757</c:v>
                </c:pt>
                <c:pt idx="115">
                  <c:v>102.92590894851701</c:v>
                </c:pt>
                <c:pt idx="116">
                  <c:v>102.937527226903</c:v>
                </c:pt>
                <c:pt idx="117">
                  <c:v>102.962972254863</c:v>
                </c:pt>
                <c:pt idx="118">
                  <c:v>103.00760262393</c:v>
                </c:pt>
                <c:pt idx="119">
                  <c:v>103.094706205509</c:v>
                </c:pt>
                <c:pt idx="120">
                  <c:v>103.2548565278</c:v>
                </c:pt>
                <c:pt idx="121">
                  <c:v>103.511766822672</c:v>
                </c:pt>
                <c:pt idx="122">
                  <c:v>103.865899487734</c:v>
                </c:pt>
                <c:pt idx="123">
                  <c:v>104.25359141489599</c:v>
                </c:pt>
                <c:pt idx="124">
                  <c:v>104.584652593854</c:v>
                </c:pt>
                <c:pt idx="125">
                  <c:v>104.798538027913</c:v>
                </c:pt>
                <c:pt idx="126">
                  <c:v>104.876956395516</c:v>
                </c:pt>
                <c:pt idx="127">
                  <c:v>104.85540736172101</c:v>
                </c:pt>
                <c:pt idx="128">
                  <c:v>104.788660902403</c:v>
                </c:pt>
                <c:pt idx="129">
                  <c:v>104.76185536872001</c:v>
                </c:pt>
                <c:pt idx="130">
                  <c:v>104.83020634438201</c:v>
                </c:pt>
                <c:pt idx="131">
                  <c:v>105.012886317702</c:v>
                </c:pt>
                <c:pt idx="132">
                  <c:v>105.285241415508</c:v>
                </c:pt>
                <c:pt idx="133">
                  <c:v>105.594257048374</c:v>
                </c:pt>
                <c:pt idx="134">
                  <c:v>105.89044431631</c:v>
                </c:pt>
                <c:pt idx="135">
                  <c:v>106.151474995608</c:v>
                </c:pt>
                <c:pt idx="136">
                  <c:v>106.399607848274</c:v>
                </c:pt>
                <c:pt idx="137">
                  <c:v>106.646333875792</c:v>
                </c:pt>
                <c:pt idx="138">
                  <c:v>106.915481175167</c:v>
                </c:pt>
                <c:pt idx="139">
                  <c:v>107.242795440234</c:v>
                </c:pt>
                <c:pt idx="140">
                  <c:v>107.61795144705</c:v>
                </c:pt>
                <c:pt idx="141">
                  <c:v>107.967011445322</c:v>
                </c:pt>
                <c:pt idx="142">
                  <c:v>108.198684468088</c:v>
                </c:pt>
                <c:pt idx="143">
                  <c:v>108.25690072300701</c:v>
                </c:pt>
                <c:pt idx="144">
                  <c:v>108.13001315268301</c:v>
                </c:pt>
                <c:pt idx="145">
                  <c:v>107.858278784079</c:v>
                </c:pt>
                <c:pt idx="146">
                  <c:v>107.524967963541</c:v>
                </c:pt>
                <c:pt idx="147">
                  <c:v>107.233871108008</c:v>
                </c:pt>
                <c:pt idx="148">
                  <c:v>107.085473071173</c:v>
                </c:pt>
              </c:numCache>
            </c:numRef>
          </c:val>
          <c:smooth val="0"/>
          <c:extLst>
            <c:ext xmlns:c16="http://schemas.microsoft.com/office/drawing/2014/chart" uri="{C3380CC4-5D6E-409C-BE32-E72D297353CC}">
              <c16:uniqueId val="{00000002-C032-42E2-B5A0-6167EAC4F6FC}"/>
            </c:ext>
          </c:extLst>
        </c:ser>
        <c:dLbls>
          <c:showLegendKey val="0"/>
          <c:showVal val="0"/>
          <c:showCatName val="0"/>
          <c:showSerName val="0"/>
          <c:showPercent val="0"/>
          <c:showBubbleSize val="0"/>
        </c:dLbls>
        <c:smooth val="0"/>
        <c:axId val="354340608"/>
        <c:axId val="354334704"/>
      </c:lineChart>
      <c:catAx>
        <c:axId val="3543406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s-MX"/>
          </a:p>
        </c:txPr>
        <c:crossAx val="354334704"/>
        <c:crossesAt val="100"/>
        <c:auto val="1"/>
        <c:lblAlgn val="ctr"/>
        <c:lblOffset val="100"/>
        <c:noMultiLvlLbl val="0"/>
      </c:catAx>
      <c:valAx>
        <c:axId val="354334704"/>
        <c:scaling>
          <c:orientation val="minMax"/>
          <c:min val="80"/>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ln>
                  <a:noFill/>
                </a:ln>
                <a:solidFill>
                  <a:sysClr val="windowText" lastClr="000000"/>
                </a:solidFill>
                <a:latin typeface="+mn-lt"/>
                <a:ea typeface="+mn-ea"/>
                <a:cs typeface="+mn-cs"/>
              </a:defRPr>
            </a:pPr>
            <a:endParaRPr lang="es-MX"/>
          </a:p>
        </c:txPr>
        <c:crossAx val="354340608"/>
        <c:crosses val="autoZero"/>
        <c:crossBetween val="between"/>
      </c:valAx>
      <c:spPr>
        <a:noFill/>
        <a:ln>
          <a:solidFill>
            <a:schemeClr val="tx1">
              <a:lumMod val="50000"/>
              <a:lumOff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b="1">
          <a:solidFill>
            <a:sysClr val="windowText" lastClr="000000"/>
          </a:solidFill>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'Tendencia-ciclo'!$C$3</c:f>
              <c:strCache>
                <c:ptCount val="1"/>
                <c:pt idx="0">
                  <c:v>IGPOSE</c:v>
                </c:pt>
              </c:strCache>
            </c:strRef>
          </c:tx>
          <c:spPr>
            <a:ln w="28575" cap="rnd">
              <a:solidFill>
                <a:srgbClr val="A9D18E"/>
              </a:solidFill>
              <a:round/>
            </a:ln>
            <a:effectLst/>
          </c:spPr>
          <c:marker>
            <c:symbol val="none"/>
          </c:marker>
          <c:cat>
            <c:multiLvlStrRef>
              <c:f>'Tendencia-ciclo'!$A$6:$B$154</c:f>
              <c:multiLvlStrCache>
                <c:ptCount val="1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'Tendencia-ciclo'!$C$6:$C$154</c:f>
              <c:numCache>
                <c:formatCode>0.0</c:formatCode>
                <c:ptCount val="149"/>
                <c:pt idx="0">
                  <c:v>100.901147714327</c:v>
                </c:pt>
                <c:pt idx="1">
                  <c:v>100.858132362487</c:v>
                </c:pt>
                <c:pt idx="2">
                  <c:v>100.749274876874</c:v>
                </c:pt>
                <c:pt idx="3">
                  <c:v>100.562831343939</c:v>
                </c:pt>
                <c:pt idx="4">
                  <c:v>100.28201142807001</c:v>
                </c:pt>
                <c:pt idx="5">
                  <c:v>99.913971926974199</c:v>
                </c:pt>
                <c:pt idx="6">
                  <c:v>99.519895749178602</c:v>
                </c:pt>
                <c:pt idx="7">
                  <c:v>99.076716842798106</c:v>
                </c:pt>
                <c:pt idx="8">
                  <c:v>98.573640054696796</c:v>
                </c:pt>
                <c:pt idx="9">
                  <c:v>98.037141501274604</c:v>
                </c:pt>
                <c:pt idx="10">
                  <c:v>97.503099341754805</c:v>
                </c:pt>
                <c:pt idx="11">
                  <c:v>96.986365397124601</c:v>
                </c:pt>
                <c:pt idx="12">
                  <c:v>96.461398885080399</c:v>
                </c:pt>
                <c:pt idx="13">
                  <c:v>95.908005897795704</c:v>
                </c:pt>
                <c:pt idx="14">
                  <c:v>95.361463016752396</c:v>
                </c:pt>
                <c:pt idx="15">
                  <c:v>94.859953686698205</c:v>
                </c:pt>
                <c:pt idx="16">
                  <c:v>94.449519145278202</c:v>
                </c:pt>
                <c:pt idx="17">
                  <c:v>94.152315152633406</c:v>
                </c:pt>
                <c:pt idx="18">
                  <c:v>93.9844121137983</c:v>
                </c:pt>
                <c:pt idx="19">
                  <c:v>93.971442704467293</c:v>
                </c:pt>
                <c:pt idx="20">
                  <c:v>94.089155797703498</c:v>
                </c:pt>
                <c:pt idx="21">
                  <c:v>94.261786956860803</c:v>
                </c:pt>
                <c:pt idx="22">
                  <c:v>94.404498800993196</c:v>
                </c:pt>
                <c:pt idx="23">
                  <c:v>94.483638167315306</c:v>
                </c:pt>
                <c:pt idx="24">
                  <c:v>94.536709791419199</c:v>
                </c:pt>
                <c:pt idx="25">
                  <c:v>94.637026238948394</c:v>
                </c:pt>
                <c:pt idx="26">
                  <c:v>94.818608223814095</c:v>
                </c:pt>
                <c:pt idx="27">
                  <c:v>95.058467377522007</c:v>
                </c:pt>
                <c:pt idx="28">
                  <c:v>95.293671749507695</c:v>
                </c:pt>
                <c:pt idx="29">
                  <c:v>95.485053191085896</c:v>
                </c:pt>
                <c:pt idx="30">
                  <c:v>95.626188018380802</c:v>
                </c:pt>
                <c:pt idx="31">
                  <c:v>95.745416996534104</c:v>
                </c:pt>
                <c:pt idx="32">
                  <c:v>95.877479676953399</c:v>
                </c:pt>
                <c:pt idx="33">
                  <c:v>96.017863098721605</c:v>
                </c:pt>
                <c:pt idx="34">
                  <c:v>96.138765171190499</c:v>
                </c:pt>
                <c:pt idx="35">
                  <c:v>96.243518876371496</c:v>
                </c:pt>
                <c:pt idx="36">
                  <c:v>96.352952250744096</c:v>
                </c:pt>
                <c:pt idx="37">
                  <c:v>96.462097732819402</c:v>
                </c:pt>
                <c:pt idx="38">
                  <c:v>96.565649164068802</c:v>
                </c:pt>
                <c:pt idx="39">
                  <c:v>96.656782683693805</c:v>
                </c:pt>
                <c:pt idx="40">
                  <c:v>96.728740174469607</c:v>
                </c:pt>
                <c:pt idx="41">
                  <c:v>96.804226026037696</c:v>
                </c:pt>
                <c:pt idx="42">
                  <c:v>96.924769034415405</c:v>
                </c:pt>
                <c:pt idx="43">
                  <c:v>97.078024658417405</c:v>
                </c:pt>
                <c:pt idx="44">
                  <c:v>97.228908603295494</c:v>
                </c:pt>
                <c:pt idx="45">
                  <c:v>97.394789223755197</c:v>
                </c:pt>
                <c:pt idx="46">
                  <c:v>97.611146435418107</c:v>
                </c:pt>
                <c:pt idx="47">
                  <c:v>97.884430106509498</c:v>
                </c:pt>
                <c:pt idx="48">
                  <c:v>98.176274381969407</c:v>
                </c:pt>
                <c:pt idx="49">
                  <c:v>98.424105543948897</c:v>
                </c:pt>
                <c:pt idx="50">
                  <c:v>98.606990971122997</c:v>
                </c:pt>
                <c:pt idx="51">
                  <c:v>98.756022759987005</c:v>
                </c:pt>
                <c:pt idx="52">
                  <c:v>98.904362930906103</c:v>
                </c:pt>
                <c:pt idx="53">
                  <c:v>99.052537738073198</c:v>
                </c:pt>
                <c:pt idx="54">
                  <c:v>99.181842377912602</c:v>
                </c:pt>
                <c:pt idx="55">
                  <c:v>99.276856883462401</c:v>
                </c:pt>
                <c:pt idx="56">
                  <c:v>99.358640667052796</c:v>
                </c:pt>
                <c:pt idx="57">
                  <c:v>99.437581508650297</c:v>
                </c:pt>
                <c:pt idx="58">
                  <c:v>99.493028781302499</c:v>
                </c:pt>
                <c:pt idx="59">
                  <c:v>99.508670535176506</c:v>
                </c:pt>
                <c:pt idx="60">
                  <c:v>99.520856828520195</c:v>
                </c:pt>
                <c:pt idx="61">
                  <c:v>99.578225968128706</c:v>
                </c:pt>
                <c:pt idx="62">
                  <c:v>99.678785908981197</c:v>
                </c:pt>
                <c:pt idx="63">
                  <c:v>99.793657833810499</c:v>
                </c:pt>
                <c:pt idx="64">
                  <c:v>99.904288354142807</c:v>
                </c:pt>
                <c:pt idx="65">
                  <c:v>99.995589330014099</c:v>
                </c:pt>
                <c:pt idx="66">
                  <c:v>100.08638045530201</c:v>
                </c:pt>
                <c:pt idx="67">
                  <c:v>100.182802618791</c:v>
                </c:pt>
                <c:pt idx="68">
                  <c:v>100.275935744338</c:v>
                </c:pt>
                <c:pt idx="69">
                  <c:v>100.357978527668</c:v>
                </c:pt>
                <c:pt idx="70">
                  <c:v>100.452863610328</c:v>
                </c:pt>
                <c:pt idx="71">
                  <c:v>100.578216609967</c:v>
                </c:pt>
                <c:pt idx="72">
                  <c:v>100.723993008253</c:v>
                </c:pt>
                <c:pt idx="73">
                  <c:v>100.879830266704</c:v>
                </c:pt>
                <c:pt idx="74">
                  <c:v>101.02548262359601</c:v>
                </c:pt>
                <c:pt idx="75">
                  <c:v>101.141056431037</c:v>
                </c:pt>
                <c:pt idx="76">
                  <c:v>101.224313130882</c:v>
                </c:pt>
                <c:pt idx="77">
                  <c:v>101.30465799847801</c:v>
                </c:pt>
                <c:pt idx="78">
                  <c:v>101.38141874471999</c:v>
                </c:pt>
                <c:pt idx="79">
                  <c:v>101.48334800319</c:v>
                </c:pt>
                <c:pt idx="80">
                  <c:v>101.62705352783</c:v>
                </c:pt>
                <c:pt idx="81">
                  <c:v>101.82004731956999</c:v>
                </c:pt>
                <c:pt idx="82">
                  <c:v>102.071296000248</c:v>
                </c:pt>
                <c:pt idx="83">
                  <c:v>102.36940237768</c:v>
                </c:pt>
                <c:pt idx="84">
                  <c:v>102.67113225303</c:v>
                </c:pt>
                <c:pt idx="85">
                  <c:v>102.929801200336</c:v>
                </c:pt>
                <c:pt idx="86">
                  <c:v>103.13417804021999</c:v>
                </c:pt>
                <c:pt idx="87">
                  <c:v>103.318909846639</c:v>
                </c:pt>
                <c:pt idx="88">
                  <c:v>103.511006051539</c:v>
                </c:pt>
                <c:pt idx="89">
                  <c:v>103.72303036711</c:v>
                </c:pt>
                <c:pt idx="90">
                  <c:v>103.948839323695</c:v>
                </c:pt>
                <c:pt idx="91">
                  <c:v>104.172761657329</c:v>
                </c:pt>
                <c:pt idx="92">
                  <c:v>104.381389690943</c:v>
                </c:pt>
                <c:pt idx="93">
                  <c:v>104.569040974305</c:v>
                </c:pt>
                <c:pt idx="94">
                  <c:v>104.726391312613</c:v>
                </c:pt>
                <c:pt idx="95">
                  <c:v>104.839642632969</c:v>
                </c:pt>
                <c:pt idx="96">
                  <c:v>104.923259292539</c:v>
                </c:pt>
                <c:pt idx="97">
                  <c:v>105.012871799048</c:v>
                </c:pt>
                <c:pt idx="98">
                  <c:v>105.134916470844</c:v>
                </c:pt>
                <c:pt idx="99">
                  <c:v>105.276183995238</c:v>
                </c:pt>
                <c:pt idx="100">
                  <c:v>105.421339167659</c:v>
                </c:pt>
                <c:pt idx="101">
                  <c:v>105.569863599315</c:v>
                </c:pt>
                <c:pt idx="102">
                  <c:v>105.74483889682701</c:v>
                </c:pt>
                <c:pt idx="103">
                  <c:v>105.980136854276</c:v>
                </c:pt>
                <c:pt idx="104">
                  <c:v>106.249496646778</c:v>
                </c:pt>
                <c:pt idx="105">
                  <c:v>106.487561995633</c:v>
                </c:pt>
                <c:pt idx="106">
                  <c:v>106.65918677706399</c:v>
                </c:pt>
                <c:pt idx="107">
                  <c:v>106.788893896286</c:v>
                </c:pt>
                <c:pt idx="108">
                  <c:v>106.918747550449</c:v>
                </c:pt>
                <c:pt idx="109">
                  <c:v>107.059903581483</c:v>
                </c:pt>
                <c:pt idx="110">
                  <c:v>107.203121421322</c:v>
                </c:pt>
                <c:pt idx="111">
                  <c:v>107.369944456919</c:v>
                </c:pt>
                <c:pt idx="112">
                  <c:v>107.59701648908499</c:v>
                </c:pt>
                <c:pt idx="113">
                  <c:v>107.89938486617299</c:v>
                </c:pt>
                <c:pt idx="114">
                  <c:v>108.21967826967</c:v>
                </c:pt>
                <c:pt idx="115">
                  <c:v>108.466158491687</c:v>
                </c:pt>
                <c:pt idx="116">
                  <c:v>108.605689215463</c:v>
                </c:pt>
                <c:pt idx="117">
                  <c:v>108.70955575961599</c:v>
                </c:pt>
                <c:pt idx="118">
                  <c:v>108.84668545335001</c:v>
                </c:pt>
                <c:pt idx="119">
                  <c:v>109.05299792476799</c:v>
                </c:pt>
                <c:pt idx="120">
                  <c:v>109.307793962641</c:v>
                </c:pt>
                <c:pt idx="121">
                  <c:v>109.549428616318</c:v>
                </c:pt>
                <c:pt idx="122">
                  <c:v>109.73181655358999</c:v>
                </c:pt>
                <c:pt idx="123">
                  <c:v>109.840676393888</c:v>
                </c:pt>
                <c:pt idx="124">
                  <c:v>109.888232145796</c:v>
                </c:pt>
                <c:pt idx="125">
                  <c:v>109.89882980615801</c:v>
                </c:pt>
                <c:pt idx="126">
                  <c:v>109.901413483159</c:v>
                </c:pt>
                <c:pt idx="127">
                  <c:v>109.926487989796</c:v>
                </c:pt>
                <c:pt idx="128">
                  <c:v>109.98911988182699</c:v>
                </c:pt>
                <c:pt idx="129">
                  <c:v>110.078330245762</c:v>
                </c:pt>
                <c:pt idx="130">
                  <c:v>110.181706849459</c:v>
                </c:pt>
                <c:pt idx="131">
                  <c:v>110.27851061294101</c:v>
                </c:pt>
                <c:pt idx="132">
                  <c:v>110.354814858862</c:v>
                </c:pt>
                <c:pt idx="133">
                  <c:v>110.415646232688</c:v>
                </c:pt>
                <c:pt idx="134">
                  <c:v>110.471078368977</c:v>
                </c:pt>
                <c:pt idx="135">
                  <c:v>110.51382358768799</c:v>
                </c:pt>
                <c:pt idx="136">
                  <c:v>110.528843243963</c:v>
                </c:pt>
                <c:pt idx="137">
                  <c:v>110.50438505918299</c:v>
                </c:pt>
                <c:pt idx="138">
                  <c:v>110.45532310793899</c:v>
                </c:pt>
                <c:pt idx="139">
                  <c:v>110.38721380070299</c:v>
                </c:pt>
                <c:pt idx="140">
                  <c:v>110.308464903303</c:v>
                </c:pt>
                <c:pt idx="141">
                  <c:v>110.22232520417499</c:v>
                </c:pt>
                <c:pt idx="142">
                  <c:v>110.123782295301</c:v>
                </c:pt>
                <c:pt idx="143">
                  <c:v>109.983824491657</c:v>
                </c:pt>
                <c:pt idx="144">
                  <c:v>109.786667190204</c:v>
                </c:pt>
                <c:pt idx="145">
                  <c:v>109.553850626844</c:v>
                </c:pt>
                <c:pt idx="146">
                  <c:v>109.322360899656</c:v>
                </c:pt>
                <c:pt idx="147">
                  <c:v>109.125660397258</c:v>
                </c:pt>
                <c:pt idx="148">
                  <c:v>108.97495151707901</c:v>
                </c:pt>
              </c:numCache>
            </c:numRef>
          </c:val>
          <c:smooth val="0"/>
          <c:extLst>
            <c:ext xmlns:c16="http://schemas.microsoft.com/office/drawing/2014/chart" uri="{C3380CC4-5D6E-409C-BE32-E72D297353CC}">
              <c16:uniqueId val="{00000000-C54C-4443-B8EC-365A4B9C5B6C}"/>
            </c:ext>
          </c:extLst>
        </c:ser>
        <c:ser>
          <c:idx val="1"/>
          <c:order val="1"/>
          <c:tx>
            <c:strRef>
              <c:f>'Tendencia-ciclo'!$E$3</c:f>
              <c:strCache>
                <c:ptCount val="1"/>
                <c:pt idx="0">
                  <c:v>IGRESE</c:v>
                </c:pt>
              </c:strCache>
            </c:strRef>
          </c:tx>
          <c:spPr>
            <a:ln w="28575" cap="rnd">
              <a:solidFill>
                <a:srgbClr val="8FAADC"/>
              </a:solidFill>
              <a:round/>
            </a:ln>
            <a:effectLst/>
          </c:spPr>
          <c:marker>
            <c:symbol val="none"/>
          </c:marker>
          <c:cat>
            <c:multiLvlStrRef>
              <c:f>'Tendencia-ciclo'!$A$6:$B$154</c:f>
              <c:multiLvlStrCache>
                <c:ptCount val="1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'Tendencia-ciclo'!$E$6:$E$154</c:f>
              <c:numCache>
                <c:formatCode>#,##0.0</c:formatCode>
                <c:ptCount val="149"/>
                <c:pt idx="0">
                  <c:v>99.342461427486398</c:v>
                </c:pt>
                <c:pt idx="1">
                  <c:v>99.519535071911505</c:v>
                </c:pt>
                <c:pt idx="2">
                  <c:v>99.609678619055003</c:v>
                </c:pt>
                <c:pt idx="3">
                  <c:v>99.609087271264698</c:v>
                </c:pt>
                <c:pt idx="4">
                  <c:v>99.404889439821801</c:v>
                </c:pt>
                <c:pt idx="5">
                  <c:v>98.875745257331104</c:v>
                </c:pt>
                <c:pt idx="6">
                  <c:v>98.1767160345577</c:v>
                </c:pt>
                <c:pt idx="7">
                  <c:v>97.416103582147798</c:v>
                </c:pt>
                <c:pt idx="8">
                  <c:v>96.752877627534801</c:v>
                </c:pt>
                <c:pt idx="9">
                  <c:v>96.109908198112095</c:v>
                </c:pt>
                <c:pt idx="10">
                  <c:v>95.413206979810596</c:v>
                </c:pt>
                <c:pt idx="11">
                  <c:v>94.652228365654906</c:v>
                </c:pt>
                <c:pt idx="12">
                  <c:v>93.842513119669803</c:v>
                </c:pt>
                <c:pt idx="13">
                  <c:v>93.079157366527099</c:v>
                </c:pt>
                <c:pt idx="14">
                  <c:v>92.432297860350701</c:v>
                </c:pt>
                <c:pt idx="15">
                  <c:v>91.868593608332503</c:v>
                </c:pt>
                <c:pt idx="16">
                  <c:v>91.378002342653602</c:v>
                </c:pt>
                <c:pt idx="17">
                  <c:v>91.003547073140894</c:v>
                </c:pt>
                <c:pt idx="18">
                  <c:v>90.835136876461803</c:v>
                </c:pt>
                <c:pt idx="19">
                  <c:v>90.916353468299903</c:v>
                </c:pt>
                <c:pt idx="20">
                  <c:v>91.183562837457103</c:v>
                </c:pt>
                <c:pt idx="21">
                  <c:v>91.530141776682001</c:v>
                </c:pt>
                <c:pt idx="22">
                  <c:v>91.770519449893001</c:v>
                </c:pt>
                <c:pt idx="23">
                  <c:v>91.912770690085097</c:v>
                </c:pt>
                <c:pt idx="24">
                  <c:v>92.056845229296997</c:v>
                </c:pt>
                <c:pt idx="25">
                  <c:v>92.281618268716699</c:v>
                </c:pt>
                <c:pt idx="26">
                  <c:v>92.543866323174598</c:v>
                </c:pt>
                <c:pt idx="27">
                  <c:v>92.828685468510002</c:v>
                </c:pt>
                <c:pt idx="28">
                  <c:v>93.128929638180793</c:v>
                </c:pt>
                <c:pt idx="29">
                  <c:v>93.408058674556102</c:v>
                </c:pt>
                <c:pt idx="30">
                  <c:v>93.6030131464248</c:v>
                </c:pt>
                <c:pt idx="31">
                  <c:v>93.649454163611594</c:v>
                </c:pt>
                <c:pt idx="32">
                  <c:v>93.527886107469001</c:v>
                </c:pt>
                <c:pt idx="33">
                  <c:v>93.447276384053893</c:v>
                </c:pt>
                <c:pt idx="34">
                  <c:v>93.478286255039805</c:v>
                </c:pt>
                <c:pt idx="35">
                  <c:v>93.650428484270805</c:v>
                </c:pt>
                <c:pt idx="36">
                  <c:v>93.8230787805917</c:v>
                </c:pt>
                <c:pt idx="37">
                  <c:v>93.979490104782201</c:v>
                </c:pt>
                <c:pt idx="38">
                  <c:v>94.209566840371807</c:v>
                </c:pt>
                <c:pt idx="39">
                  <c:v>94.517151360384503</c:v>
                </c:pt>
                <c:pt idx="40">
                  <c:v>94.870039776459507</c:v>
                </c:pt>
                <c:pt idx="41">
                  <c:v>95.214092955938398</c:v>
                </c:pt>
                <c:pt idx="42">
                  <c:v>95.550503221495504</c:v>
                </c:pt>
                <c:pt idx="43">
                  <c:v>95.913427349444405</c:v>
                </c:pt>
                <c:pt idx="44">
                  <c:v>96.220282557242001</c:v>
                </c:pt>
                <c:pt idx="45">
                  <c:v>96.446837732428605</c:v>
                </c:pt>
                <c:pt idx="46">
                  <c:v>96.613608395298698</c:v>
                </c:pt>
                <c:pt idx="47">
                  <c:v>96.812155112972206</c:v>
                </c:pt>
                <c:pt idx="48">
                  <c:v>97.147538927924501</c:v>
                </c:pt>
                <c:pt idx="49">
                  <c:v>97.483210555651098</c:v>
                </c:pt>
                <c:pt idx="50">
                  <c:v>97.699784611697197</c:v>
                </c:pt>
                <c:pt idx="51">
                  <c:v>97.767219235410806</c:v>
                </c:pt>
                <c:pt idx="52">
                  <c:v>97.730564669420801</c:v>
                </c:pt>
                <c:pt idx="53">
                  <c:v>97.716605165260006</c:v>
                </c:pt>
                <c:pt idx="54">
                  <c:v>97.766137742070299</c:v>
                </c:pt>
                <c:pt idx="55">
                  <c:v>97.832983681289207</c:v>
                </c:pt>
                <c:pt idx="56">
                  <c:v>97.940149977414293</c:v>
                </c:pt>
                <c:pt idx="57">
                  <c:v>98.095745901240505</c:v>
                </c:pt>
                <c:pt idx="58">
                  <c:v>98.362316337152293</c:v>
                </c:pt>
                <c:pt idx="59">
                  <c:v>98.627310147576793</c:v>
                </c:pt>
                <c:pt idx="60">
                  <c:v>98.864657750740506</c:v>
                </c:pt>
                <c:pt idx="61">
                  <c:v>99.020263532608297</c:v>
                </c:pt>
                <c:pt idx="62">
                  <c:v>99.108436625690203</c:v>
                </c:pt>
                <c:pt idx="63">
                  <c:v>99.225651386157693</c:v>
                </c:pt>
                <c:pt idx="64">
                  <c:v>99.434103679456101</c:v>
                </c:pt>
                <c:pt idx="65">
                  <c:v>99.6732587727696</c:v>
                </c:pt>
                <c:pt idx="66">
                  <c:v>99.884703832845105</c:v>
                </c:pt>
                <c:pt idx="67">
                  <c:v>100.061915044694</c:v>
                </c:pt>
                <c:pt idx="68">
                  <c:v>100.26605927499099</c:v>
                </c:pt>
                <c:pt idx="69">
                  <c:v>100.50680456492</c:v>
                </c:pt>
                <c:pt idx="70">
                  <c:v>100.759590589044</c:v>
                </c:pt>
                <c:pt idx="71">
                  <c:v>100.92620054221599</c:v>
                </c:pt>
                <c:pt idx="72">
                  <c:v>100.998797666195</c:v>
                </c:pt>
                <c:pt idx="73">
                  <c:v>101.01109640187801</c:v>
                </c:pt>
                <c:pt idx="74">
                  <c:v>101.03266070362</c:v>
                </c:pt>
                <c:pt idx="75">
                  <c:v>101.134652351962</c:v>
                </c:pt>
                <c:pt idx="76">
                  <c:v>101.31735007985399</c:v>
                </c:pt>
                <c:pt idx="77">
                  <c:v>101.489462735077</c:v>
                </c:pt>
                <c:pt idx="78">
                  <c:v>101.583712480317</c:v>
                </c:pt>
                <c:pt idx="79">
                  <c:v>101.696342733954</c:v>
                </c:pt>
                <c:pt idx="80">
                  <c:v>101.823049197655</c:v>
                </c:pt>
                <c:pt idx="81">
                  <c:v>101.992671905321</c:v>
                </c:pt>
                <c:pt idx="82">
                  <c:v>102.306098115415</c:v>
                </c:pt>
                <c:pt idx="83">
                  <c:v>102.763259353658</c:v>
                </c:pt>
                <c:pt idx="84">
                  <c:v>103.230044289546</c:v>
                </c:pt>
                <c:pt idx="85">
                  <c:v>103.66253632640201</c:v>
                </c:pt>
                <c:pt idx="86">
                  <c:v>104.030462605716</c:v>
                </c:pt>
                <c:pt idx="87">
                  <c:v>104.346054724506</c:v>
                </c:pt>
                <c:pt idx="88">
                  <c:v>104.60990352851201</c:v>
                </c:pt>
                <c:pt idx="89">
                  <c:v>104.902841302163</c:v>
                </c:pt>
                <c:pt idx="90">
                  <c:v>105.23415518846799</c:v>
                </c:pt>
                <c:pt idx="91">
                  <c:v>105.61523487765599</c:v>
                </c:pt>
                <c:pt idx="92">
                  <c:v>106.067462511741</c:v>
                </c:pt>
                <c:pt idx="93">
                  <c:v>106.53247652651</c:v>
                </c:pt>
                <c:pt idx="94">
                  <c:v>106.93626648674901</c:v>
                </c:pt>
                <c:pt idx="95">
                  <c:v>107.291705578614</c:v>
                </c:pt>
                <c:pt idx="96">
                  <c:v>107.62461235744701</c:v>
                </c:pt>
                <c:pt idx="97">
                  <c:v>108.01292129589901</c:v>
                </c:pt>
                <c:pt idx="98">
                  <c:v>108.44713742896</c:v>
                </c:pt>
                <c:pt idx="99">
                  <c:v>108.87617026941599</c:v>
                </c:pt>
                <c:pt idx="100">
                  <c:v>109.28625125037</c:v>
                </c:pt>
                <c:pt idx="101">
                  <c:v>109.71392953588899</c:v>
                </c:pt>
                <c:pt idx="102">
                  <c:v>110.14328627594401</c:v>
                </c:pt>
                <c:pt idx="103">
                  <c:v>110.445262668319</c:v>
                </c:pt>
                <c:pt idx="104">
                  <c:v>110.62631769545</c:v>
                </c:pt>
                <c:pt idx="105">
                  <c:v>110.73682769983699</c:v>
                </c:pt>
                <c:pt idx="106">
                  <c:v>110.790587735144</c:v>
                </c:pt>
                <c:pt idx="107">
                  <c:v>110.817894604834</c:v>
                </c:pt>
                <c:pt idx="108">
                  <c:v>110.796620865363</c:v>
                </c:pt>
                <c:pt idx="109">
                  <c:v>110.73153288855499</c:v>
                </c:pt>
                <c:pt idx="110">
                  <c:v>110.68583186225899</c:v>
                </c:pt>
                <c:pt idx="111">
                  <c:v>110.740163166361</c:v>
                </c:pt>
                <c:pt idx="112">
                  <c:v>110.904304363355</c:v>
                </c:pt>
                <c:pt idx="113">
                  <c:v>111.110538256624</c:v>
                </c:pt>
                <c:pt idx="114">
                  <c:v>111.34100142050001</c:v>
                </c:pt>
                <c:pt idx="115">
                  <c:v>111.592078408679</c:v>
                </c:pt>
                <c:pt idx="116">
                  <c:v>111.842153371946</c:v>
                </c:pt>
                <c:pt idx="117">
                  <c:v>112.058124129446</c:v>
                </c:pt>
                <c:pt idx="118">
                  <c:v>112.18759742308301</c:v>
                </c:pt>
                <c:pt idx="119">
                  <c:v>112.31231264715299</c:v>
                </c:pt>
                <c:pt idx="120">
                  <c:v>112.60391951149001</c:v>
                </c:pt>
                <c:pt idx="121">
                  <c:v>113.12512147306001</c:v>
                </c:pt>
                <c:pt idx="122">
                  <c:v>113.803336812035</c:v>
                </c:pt>
                <c:pt idx="123">
                  <c:v>114.47128192648999</c:v>
                </c:pt>
                <c:pt idx="124">
                  <c:v>114.97167698276699</c:v>
                </c:pt>
                <c:pt idx="125">
                  <c:v>115.23148139874699</c:v>
                </c:pt>
                <c:pt idx="126">
                  <c:v>115.270457523771</c:v>
                </c:pt>
                <c:pt idx="127">
                  <c:v>115.247825990002</c:v>
                </c:pt>
                <c:pt idx="128">
                  <c:v>115.26002486742701</c:v>
                </c:pt>
                <c:pt idx="129">
                  <c:v>115.36399209128901</c:v>
                </c:pt>
                <c:pt idx="130">
                  <c:v>115.62493338805</c:v>
                </c:pt>
                <c:pt idx="131">
                  <c:v>116.02148889679501</c:v>
                </c:pt>
                <c:pt idx="132">
                  <c:v>116.510100856894</c:v>
                </c:pt>
                <c:pt idx="133">
                  <c:v>117.00873829797899</c:v>
                </c:pt>
                <c:pt idx="134">
                  <c:v>117.428290960675</c:v>
                </c:pt>
                <c:pt idx="135">
                  <c:v>117.652120835407</c:v>
                </c:pt>
                <c:pt idx="136">
                  <c:v>117.70586087288</c:v>
                </c:pt>
                <c:pt idx="137">
                  <c:v>117.783561584494</c:v>
                </c:pt>
                <c:pt idx="138">
                  <c:v>118.011154534688</c:v>
                </c:pt>
                <c:pt idx="139">
                  <c:v>118.35167854937301</c:v>
                </c:pt>
                <c:pt idx="140">
                  <c:v>118.72833397247901</c:v>
                </c:pt>
                <c:pt idx="141">
                  <c:v>119.046690821091</c:v>
                </c:pt>
                <c:pt idx="142">
                  <c:v>119.258645985911</c:v>
                </c:pt>
                <c:pt idx="143">
                  <c:v>119.31688685111099</c:v>
                </c:pt>
                <c:pt idx="144">
                  <c:v>119.17084770661999</c:v>
                </c:pt>
                <c:pt idx="145">
                  <c:v>118.816114406379</c:v>
                </c:pt>
                <c:pt idx="146">
                  <c:v>118.362516918254</c:v>
                </c:pt>
                <c:pt idx="147">
                  <c:v>117.979672315898</c:v>
                </c:pt>
                <c:pt idx="148">
                  <c:v>117.808340564863</c:v>
                </c:pt>
              </c:numCache>
            </c:numRef>
          </c:val>
          <c:smooth val="0"/>
          <c:extLst>
            <c:ext xmlns:c16="http://schemas.microsoft.com/office/drawing/2014/chart" uri="{C3380CC4-5D6E-409C-BE32-E72D297353CC}">
              <c16:uniqueId val="{00000001-C54C-4443-B8EC-365A4B9C5B6C}"/>
            </c:ext>
          </c:extLst>
        </c:ser>
        <c:ser>
          <c:idx val="2"/>
          <c:order val="2"/>
          <c:tx>
            <c:strRef>
              <c:f>'Tendencia-ciclo'!$G$3</c:f>
              <c:strCache>
                <c:ptCount val="1"/>
                <c:pt idx="0">
                  <c:v>IGREMSE</c:v>
                </c:pt>
              </c:strCache>
            </c:strRef>
          </c:tx>
          <c:spPr>
            <a:ln w="28575" cap="rnd">
              <a:solidFill>
                <a:srgbClr val="BFBFBF"/>
              </a:solidFill>
              <a:round/>
            </a:ln>
            <a:effectLst/>
          </c:spPr>
          <c:marker>
            <c:symbol val="none"/>
          </c:marker>
          <c:cat>
            <c:multiLvlStrRef>
              <c:f>'Tendencia-ciclo'!$A$6:$B$154</c:f>
              <c:multiLvlStrCache>
                <c:ptCount val="1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'Tendencia-ciclo'!$G$6:$G$154</c:f>
              <c:numCache>
                <c:formatCode>#,##0.0</c:formatCode>
                <c:ptCount val="149"/>
                <c:pt idx="0">
                  <c:v>98.832821877900798</c:v>
                </c:pt>
                <c:pt idx="1">
                  <c:v>98.925204813241393</c:v>
                </c:pt>
                <c:pt idx="2">
                  <c:v>98.987777652875593</c:v>
                </c:pt>
                <c:pt idx="3">
                  <c:v>99.008807259657502</c:v>
                </c:pt>
                <c:pt idx="4">
                  <c:v>98.953702347341803</c:v>
                </c:pt>
                <c:pt idx="5">
                  <c:v>98.817249484969807</c:v>
                </c:pt>
                <c:pt idx="6">
                  <c:v>98.628962213888599</c:v>
                </c:pt>
                <c:pt idx="7">
                  <c:v>98.425608190884006</c:v>
                </c:pt>
                <c:pt idx="8">
                  <c:v>98.243150094879496</c:v>
                </c:pt>
                <c:pt idx="9">
                  <c:v>98.079138920290603</c:v>
                </c:pt>
                <c:pt idx="10">
                  <c:v>97.920236817548698</c:v>
                </c:pt>
                <c:pt idx="11">
                  <c:v>97.738160956693804</c:v>
                </c:pt>
                <c:pt idx="12">
                  <c:v>97.535547497918401</c:v>
                </c:pt>
                <c:pt idx="13">
                  <c:v>97.331662694187699</c:v>
                </c:pt>
                <c:pt idx="14">
                  <c:v>97.136052899632801</c:v>
                </c:pt>
                <c:pt idx="15">
                  <c:v>96.966096201926703</c:v>
                </c:pt>
                <c:pt idx="16">
                  <c:v>96.8404536826081</c:v>
                </c:pt>
                <c:pt idx="17">
                  <c:v>96.750084799344805</c:v>
                </c:pt>
                <c:pt idx="18">
                  <c:v>96.721360374348706</c:v>
                </c:pt>
                <c:pt idx="19">
                  <c:v>96.792463451748205</c:v>
                </c:pt>
                <c:pt idx="20">
                  <c:v>96.957980959892694</c:v>
                </c:pt>
                <c:pt idx="21">
                  <c:v>97.189127532295103</c:v>
                </c:pt>
                <c:pt idx="22">
                  <c:v>97.439216066913602</c:v>
                </c:pt>
                <c:pt idx="23">
                  <c:v>97.641809885009295</c:v>
                </c:pt>
                <c:pt idx="24">
                  <c:v>97.751502948168095</c:v>
                </c:pt>
                <c:pt idx="25">
                  <c:v>97.792633710269399</c:v>
                </c:pt>
                <c:pt idx="26">
                  <c:v>97.8059565702806</c:v>
                </c:pt>
                <c:pt idx="27">
                  <c:v>97.828546217220605</c:v>
                </c:pt>
                <c:pt idx="28">
                  <c:v>97.859913775344594</c:v>
                </c:pt>
                <c:pt idx="29">
                  <c:v>97.878397880498397</c:v>
                </c:pt>
                <c:pt idx="30">
                  <c:v>97.841529435968795</c:v>
                </c:pt>
                <c:pt idx="31">
                  <c:v>97.716277660920696</c:v>
                </c:pt>
                <c:pt idx="32">
                  <c:v>97.517413622494203</c:v>
                </c:pt>
                <c:pt idx="33">
                  <c:v>97.313839911116702</c:v>
                </c:pt>
                <c:pt idx="34">
                  <c:v>97.155608727464895</c:v>
                </c:pt>
                <c:pt idx="35">
                  <c:v>97.114857784094198</c:v>
                </c:pt>
                <c:pt idx="36">
                  <c:v>97.221139208498201</c:v>
                </c:pt>
                <c:pt idx="37">
                  <c:v>97.428835524404207</c:v>
                </c:pt>
                <c:pt idx="38">
                  <c:v>97.681897289549198</c:v>
                </c:pt>
                <c:pt idx="39">
                  <c:v>97.943878183704399</c:v>
                </c:pt>
                <c:pt idx="40">
                  <c:v>98.193408671631403</c:v>
                </c:pt>
                <c:pt idx="41">
                  <c:v>98.424364258707001</c:v>
                </c:pt>
                <c:pt idx="42">
                  <c:v>98.630990926809801</c:v>
                </c:pt>
                <c:pt idx="43">
                  <c:v>98.797761987434896</c:v>
                </c:pt>
                <c:pt idx="44">
                  <c:v>98.924443647859405</c:v>
                </c:pt>
                <c:pt idx="45">
                  <c:v>99.013747853038794</c:v>
                </c:pt>
                <c:pt idx="46">
                  <c:v>99.078429538966304</c:v>
                </c:pt>
                <c:pt idx="47">
                  <c:v>99.124674890263904</c:v>
                </c:pt>
                <c:pt idx="48">
                  <c:v>99.132399499239099</c:v>
                </c:pt>
                <c:pt idx="49">
                  <c:v>99.101212823091203</c:v>
                </c:pt>
                <c:pt idx="50">
                  <c:v>99.025253643809805</c:v>
                </c:pt>
                <c:pt idx="51">
                  <c:v>98.909152893352697</c:v>
                </c:pt>
                <c:pt idx="52">
                  <c:v>98.774087767711706</c:v>
                </c:pt>
                <c:pt idx="53">
                  <c:v>98.651102118204093</c:v>
                </c:pt>
                <c:pt idx="54">
                  <c:v>98.566926044601303</c:v>
                </c:pt>
                <c:pt idx="55">
                  <c:v>98.541085015890303</c:v>
                </c:pt>
                <c:pt idx="56">
                  <c:v>98.592327549236998</c:v>
                </c:pt>
                <c:pt idx="57">
                  <c:v>98.689852947030303</c:v>
                </c:pt>
                <c:pt idx="58">
                  <c:v>98.823788296082498</c:v>
                </c:pt>
                <c:pt idx="59">
                  <c:v>98.963356565755802</c:v>
                </c:pt>
                <c:pt idx="60">
                  <c:v>99.103497363066097</c:v>
                </c:pt>
                <c:pt idx="61">
                  <c:v>99.233479600753896</c:v>
                </c:pt>
                <c:pt idx="62">
                  <c:v>99.366441083190495</c:v>
                </c:pt>
                <c:pt idx="63">
                  <c:v>99.4949021443189</c:v>
                </c:pt>
                <c:pt idx="64">
                  <c:v>99.618415928417093</c:v>
                </c:pt>
                <c:pt idx="65">
                  <c:v>99.742276677132395</c:v>
                </c:pt>
                <c:pt idx="66">
                  <c:v>99.862988366147803</c:v>
                </c:pt>
                <c:pt idx="67">
                  <c:v>99.988793097422004</c:v>
                </c:pt>
                <c:pt idx="68">
                  <c:v>100.097079043626</c:v>
                </c:pt>
                <c:pt idx="69">
                  <c:v>100.173555510216</c:v>
                </c:pt>
                <c:pt idx="70">
                  <c:v>100.23469888869199</c:v>
                </c:pt>
                <c:pt idx="71">
                  <c:v>100.270140206625</c:v>
                </c:pt>
                <c:pt idx="72">
                  <c:v>100.286148165103</c:v>
                </c:pt>
                <c:pt idx="73">
                  <c:v>100.276207084635</c:v>
                </c:pt>
                <c:pt idx="74">
                  <c:v>100.247368103889</c:v>
                </c:pt>
                <c:pt idx="75">
                  <c:v>100.206579698345</c:v>
                </c:pt>
                <c:pt idx="76">
                  <c:v>100.161701769885</c:v>
                </c:pt>
                <c:pt idx="77">
                  <c:v>100.124674899968</c:v>
                </c:pt>
                <c:pt idx="78">
                  <c:v>100.098794787706</c:v>
                </c:pt>
                <c:pt idx="79">
                  <c:v>100.092200385331</c:v>
                </c:pt>
                <c:pt idx="80">
                  <c:v>100.12465596040001</c:v>
                </c:pt>
                <c:pt idx="81">
                  <c:v>100.207613028105</c:v>
                </c:pt>
                <c:pt idx="82">
                  <c:v>100.304081724645</c:v>
                </c:pt>
                <c:pt idx="83">
                  <c:v>100.39883259055399</c:v>
                </c:pt>
                <c:pt idx="84">
                  <c:v>100.48576333317899</c:v>
                </c:pt>
                <c:pt idx="85">
                  <c:v>100.572694645794</c:v>
                </c:pt>
                <c:pt idx="86">
                  <c:v>100.673038490219</c:v>
                </c:pt>
                <c:pt idx="87">
                  <c:v>100.793791571277</c:v>
                </c:pt>
                <c:pt idx="88">
                  <c:v>100.937676211632</c:v>
                </c:pt>
                <c:pt idx="89">
                  <c:v>101.09945347799299</c:v>
                </c:pt>
                <c:pt idx="90">
                  <c:v>101.281069796289</c:v>
                </c:pt>
                <c:pt idx="91">
                  <c:v>101.471817073222</c:v>
                </c:pt>
                <c:pt idx="92">
                  <c:v>101.65013423215299</c:v>
                </c:pt>
                <c:pt idx="93">
                  <c:v>101.83525505457</c:v>
                </c:pt>
                <c:pt idx="94">
                  <c:v>102.043538949091</c:v>
                </c:pt>
                <c:pt idx="95">
                  <c:v>102.283720342311</c:v>
                </c:pt>
                <c:pt idx="96">
                  <c:v>102.54876093673499</c:v>
                </c:pt>
                <c:pt idx="97">
                  <c:v>102.838846664228</c:v>
                </c:pt>
                <c:pt idx="98">
                  <c:v>103.13386546358601</c:v>
                </c:pt>
                <c:pt idx="99">
                  <c:v>103.443613030672</c:v>
                </c:pt>
                <c:pt idx="100">
                  <c:v>103.74631377010699</c:v>
                </c:pt>
                <c:pt idx="101">
                  <c:v>103.991343436965</c:v>
                </c:pt>
                <c:pt idx="102">
                  <c:v>104.15116780656901</c:v>
                </c:pt>
                <c:pt idx="103">
                  <c:v>104.21246102903</c:v>
                </c:pt>
                <c:pt idx="104">
                  <c:v>104.17953634656</c:v>
                </c:pt>
                <c:pt idx="105">
                  <c:v>104.058204839127</c:v>
                </c:pt>
                <c:pt idx="106">
                  <c:v>103.88188773769799</c:v>
                </c:pt>
                <c:pt idx="107">
                  <c:v>103.698557962889</c:v>
                </c:pt>
                <c:pt idx="108">
                  <c:v>103.54281720392299</c:v>
                </c:pt>
                <c:pt idx="109">
                  <c:v>103.419456508162</c:v>
                </c:pt>
                <c:pt idx="110">
                  <c:v>103.31297762312001</c:v>
                </c:pt>
                <c:pt idx="111">
                  <c:v>103.206833777821</c:v>
                </c:pt>
                <c:pt idx="112">
                  <c:v>103.08766054521099</c:v>
                </c:pt>
                <c:pt idx="113">
                  <c:v>102.994631268147</c:v>
                </c:pt>
                <c:pt idx="114">
                  <c:v>102.940788568757</c:v>
                </c:pt>
                <c:pt idx="115">
                  <c:v>102.92590894851701</c:v>
                </c:pt>
                <c:pt idx="116">
                  <c:v>102.937527226903</c:v>
                </c:pt>
                <c:pt idx="117">
                  <c:v>102.962972254863</c:v>
                </c:pt>
                <c:pt idx="118">
                  <c:v>103.00760262393</c:v>
                </c:pt>
                <c:pt idx="119">
                  <c:v>103.094706205509</c:v>
                </c:pt>
                <c:pt idx="120">
                  <c:v>103.2548565278</c:v>
                </c:pt>
                <c:pt idx="121">
                  <c:v>103.511766822672</c:v>
                </c:pt>
                <c:pt idx="122">
                  <c:v>103.865899487734</c:v>
                </c:pt>
                <c:pt idx="123">
                  <c:v>104.25359141489599</c:v>
                </c:pt>
                <c:pt idx="124">
                  <c:v>104.584652593854</c:v>
                </c:pt>
                <c:pt idx="125">
                  <c:v>104.798538027913</c:v>
                </c:pt>
                <c:pt idx="126">
                  <c:v>104.876956395516</c:v>
                </c:pt>
                <c:pt idx="127">
                  <c:v>104.85540736172101</c:v>
                </c:pt>
                <c:pt idx="128">
                  <c:v>104.788660902403</c:v>
                </c:pt>
                <c:pt idx="129">
                  <c:v>104.76185536872001</c:v>
                </c:pt>
                <c:pt idx="130">
                  <c:v>104.83020634438201</c:v>
                </c:pt>
                <c:pt idx="131">
                  <c:v>105.012886317702</c:v>
                </c:pt>
                <c:pt idx="132">
                  <c:v>105.285241415508</c:v>
                </c:pt>
                <c:pt idx="133">
                  <c:v>105.594257048374</c:v>
                </c:pt>
                <c:pt idx="134">
                  <c:v>105.89044431631</c:v>
                </c:pt>
                <c:pt idx="135">
                  <c:v>106.151474995608</c:v>
                </c:pt>
                <c:pt idx="136">
                  <c:v>106.399607848274</c:v>
                </c:pt>
                <c:pt idx="137">
                  <c:v>106.646333875792</c:v>
                </c:pt>
                <c:pt idx="138">
                  <c:v>106.915481175167</c:v>
                </c:pt>
                <c:pt idx="139">
                  <c:v>107.242795440234</c:v>
                </c:pt>
                <c:pt idx="140">
                  <c:v>107.61795144705</c:v>
                </c:pt>
                <c:pt idx="141">
                  <c:v>107.967011445322</c:v>
                </c:pt>
                <c:pt idx="142">
                  <c:v>108.198684468088</c:v>
                </c:pt>
                <c:pt idx="143">
                  <c:v>108.25690072300701</c:v>
                </c:pt>
                <c:pt idx="144">
                  <c:v>108.13001315268301</c:v>
                </c:pt>
                <c:pt idx="145">
                  <c:v>107.858278784079</c:v>
                </c:pt>
                <c:pt idx="146">
                  <c:v>107.524967963541</c:v>
                </c:pt>
                <c:pt idx="147">
                  <c:v>107.233871108008</c:v>
                </c:pt>
                <c:pt idx="148">
                  <c:v>107.085473071173</c:v>
                </c:pt>
              </c:numCache>
            </c:numRef>
          </c:val>
          <c:smooth val="0"/>
          <c:extLst>
            <c:ext xmlns:c16="http://schemas.microsoft.com/office/drawing/2014/chart" uri="{C3380CC4-5D6E-409C-BE32-E72D297353CC}">
              <c16:uniqueId val="{00000002-C54C-4443-B8EC-365A4B9C5B6C}"/>
            </c:ext>
          </c:extLst>
        </c:ser>
        <c:dLbls>
          <c:showLegendKey val="0"/>
          <c:showVal val="0"/>
          <c:showCatName val="0"/>
          <c:showSerName val="0"/>
          <c:showPercent val="0"/>
          <c:showBubbleSize val="0"/>
        </c:dLbls>
        <c:smooth val="0"/>
        <c:axId val="354340608"/>
        <c:axId val="354334704"/>
      </c:lineChart>
      <c:catAx>
        <c:axId val="3543406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s-MX"/>
          </a:p>
        </c:txPr>
        <c:crossAx val="354334704"/>
        <c:crossesAt val="100"/>
        <c:auto val="1"/>
        <c:lblAlgn val="ctr"/>
        <c:lblOffset val="100"/>
        <c:noMultiLvlLbl val="0"/>
      </c:catAx>
      <c:valAx>
        <c:axId val="354334704"/>
        <c:scaling>
          <c:orientation val="minMax"/>
          <c:min val="80"/>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ln>
                  <a:noFill/>
                </a:ln>
                <a:solidFill>
                  <a:sysClr val="windowText" lastClr="000000"/>
                </a:solidFill>
                <a:latin typeface="+mn-lt"/>
                <a:ea typeface="+mn-ea"/>
                <a:cs typeface="+mn-cs"/>
              </a:defRPr>
            </a:pPr>
            <a:endParaRPr lang="es-MX"/>
          </a:p>
        </c:txPr>
        <c:crossAx val="354340608"/>
        <c:crosses val="autoZero"/>
        <c:crossBetween val="between"/>
      </c:valAx>
      <c:spPr>
        <a:noFill/>
        <a:ln>
          <a:solidFill>
            <a:schemeClr val="tx1">
              <a:lumMod val="50000"/>
              <a:lumOff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b="1">
          <a:solidFill>
            <a:sysClr val="windowText" lastClr="000000"/>
          </a:solidFill>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606567929180842E-2"/>
          <c:y val="0.11788967983072869"/>
          <c:w val="0.92750075076063121"/>
          <c:h val="0.72012248468941387"/>
        </c:manualLayout>
      </c:layout>
      <c:barChart>
        <c:barDir val="col"/>
        <c:grouping val="clustered"/>
        <c:varyColors val="0"/>
        <c:ser>
          <c:idx val="0"/>
          <c:order val="0"/>
          <c:tx>
            <c:strRef>
              <c:f>Hoja1!$A$1</c:f>
              <c:strCache>
                <c:ptCount val="1"/>
                <c:pt idx="0">
                  <c:v>IGPOSE</c:v>
                </c:pt>
              </c:strCache>
            </c:strRef>
          </c:tx>
          <c:spPr>
            <a:solidFill>
              <a:srgbClr val="70AD47">
                <a:lumMod val="60000"/>
                <a:lumOff val="40000"/>
              </a:srgbClr>
            </a:solidFill>
            <a:ln>
              <a:solidFill>
                <a:srgbClr val="70AD47">
                  <a:lumMod val="60000"/>
                  <a:lumOff val="40000"/>
                </a:srgbClr>
              </a:solidFill>
            </a:ln>
            <a:effectLst/>
          </c:spPr>
          <c:invertIfNegative val="0"/>
          <c:dLbls>
            <c:dLbl>
              <c:idx val="0"/>
              <c:layout>
                <c:manualLayout>
                  <c:x val="0"/>
                  <c:y val="8.82028665931650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23-414C-B83D-DBBADA42F63E}"/>
                </c:ext>
              </c:extLst>
            </c:dLbl>
            <c:dLbl>
              <c:idx val="5"/>
              <c:layout>
                <c:manualLayout>
                  <c:x val="0"/>
                  <c:y val="1.7640573318632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23-414C-B83D-DBBADA42F63E}"/>
                </c:ext>
              </c:extLst>
            </c:dLbl>
            <c:dLbl>
              <c:idx val="8"/>
              <c:layout>
                <c:manualLayout>
                  <c:x val="-1.6594814706991437E-16"/>
                  <c:y val="1.7640573318632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23-414C-B83D-DBBADA42F63E}"/>
                </c:ext>
              </c:extLst>
            </c:dLbl>
            <c:dLbl>
              <c:idx val="9"/>
              <c:layout>
                <c:manualLayout>
                  <c:x val="-2.26295541977823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23-414C-B83D-DBBADA42F63E}"/>
                </c:ext>
              </c:extLst>
            </c:dLbl>
            <c:dLbl>
              <c:idx val="11"/>
              <c:layout>
                <c:manualLayout>
                  <c:x val="0"/>
                  <c:y val="-8.82028665931642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123-414C-B83D-DBBADA42F63E}"/>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Hoja1!$A$6:$A$17</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Hoja1!$C$6:$C$17</c:f>
              <c:numCache>
                <c:formatCode>0.0</c:formatCode>
                <c:ptCount val="12"/>
                <c:pt idx="0">
                  <c:v>-5.3197824288517719</c:v>
                </c:pt>
                <c:pt idx="1">
                  <c:v>-0.51286164132609002</c:v>
                </c:pt>
                <c:pt idx="2">
                  <c:v>1.8927324335676676</c:v>
                </c:pt>
                <c:pt idx="3">
                  <c:v>2.2027715780005952</c:v>
                </c:pt>
                <c:pt idx="4">
                  <c:v>1.2359335403068661</c:v>
                </c:pt>
                <c:pt idx="5">
                  <c:v>1.4049674917647748</c:v>
                </c:pt>
                <c:pt idx="6">
                  <c:v>2.1907674234471708</c:v>
                </c:pt>
                <c:pt idx="7">
                  <c:v>1.9672876053696164</c:v>
                </c:pt>
                <c:pt idx="8">
                  <c:v>1.9586596179042459</c:v>
                </c:pt>
                <c:pt idx="9">
                  <c:v>2.3653829271800486</c:v>
                </c:pt>
                <c:pt idx="10">
                  <c:v>0.76634923994578497</c:v>
                </c:pt>
                <c:pt idx="11">
                  <c:v>-2.7976307960300817</c:v>
                </c:pt>
              </c:numCache>
            </c:numRef>
          </c:val>
          <c:extLst>
            <c:ext xmlns:c16="http://schemas.microsoft.com/office/drawing/2014/chart" uri="{C3380CC4-5D6E-409C-BE32-E72D297353CC}">
              <c16:uniqueId val="{00000000-3A05-41FB-B3A9-91820B045269}"/>
            </c:ext>
          </c:extLst>
        </c:ser>
        <c:ser>
          <c:idx val="1"/>
          <c:order val="1"/>
          <c:tx>
            <c:strRef>
              <c:f>Hoja1!$D$1</c:f>
              <c:strCache>
                <c:ptCount val="1"/>
                <c:pt idx="0">
                  <c:v>IGRESE</c:v>
                </c:pt>
              </c:strCache>
            </c:strRef>
          </c:tx>
          <c:spPr>
            <a:solidFill>
              <a:srgbClr val="4472C4">
                <a:lumMod val="60000"/>
                <a:lumOff val="40000"/>
              </a:srgbClr>
            </a:solidFill>
            <a:ln>
              <a:solidFill>
                <a:srgbClr val="4472C4">
                  <a:lumMod val="60000"/>
                  <a:lumOff val="40000"/>
                </a:srgbClr>
              </a:solidFill>
            </a:ln>
            <a:effectLst/>
          </c:spPr>
          <c:invertIfNegative val="0"/>
          <c:dLbls>
            <c:dLbl>
              <c:idx val="1"/>
              <c:layout>
                <c:manualLayout>
                  <c:x val="2.2629554197782097E-3"/>
                  <c:y val="1.3232166265876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23-414C-B83D-DBBADA42F63E}"/>
                </c:ext>
              </c:extLst>
            </c:dLbl>
            <c:dLbl>
              <c:idx val="2"/>
              <c:layout>
                <c:manualLayout>
                  <c:x val="0"/>
                  <c:y val="1.7640573318632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23-414C-B83D-DBBADA42F63E}"/>
                </c:ext>
              </c:extLst>
            </c:dLbl>
            <c:dLbl>
              <c:idx val="8"/>
              <c:layout>
                <c:manualLayout>
                  <c:x val="-8.2974073534957184E-17"/>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23-414C-B83D-DBBADA42F63E}"/>
                </c:ext>
              </c:extLst>
            </c:dLbl>
            <c:dLbl>
              <c:idx val="11"/>
              <c:layout>
                <c:manualLayout>
                  <c:x val="2.2629554197780644E-3"/>
                  <c:y val="4.410143329658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123-414C-B83D-DBBADA42F63E}"/>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Hoja1!$F$6:$F$17</c:f>
              <c:numCache>
                <c:formatCode>0.0</c:formatCode>
                <c:ptCount val="12"/>
                <c:pt idx="0">
                  <c:v>-7.0899891105889239</c:v>
                </c:pt>
                <c:pt idx="1">
                  <c:v>-0.28618007975150794</c:v>
                </c:pt>
                <c:pt idx="2">
                  <c:v>4.5071816637243245E-2</c:v>
                </c:pt>
                <c:pt idx="3">
                  <c:v>5.7270629285690822</c:v>
                </c:pt>
                <c:pt idx="4">
                  <c:v>2.2322808659252846</c:v>
                </c:pt>
                <c:pt idx="5">
                  <c:v>1.6547651884315506</c:v>
                </c:pt>
                <c:pt idx="6">
                  <c:v>2.8952795185856584</c:v>
                </c:pt>
                <c:pt idx="7">
                  <c:v>3.9405085371499338</c:v>
                </c:pt>
                <c:pt idx="8">
                  <c:v>2.051635745858027</c:v>
                </c:pt>
                <c:pt idx="9">
                  <c:v>3.203143846829537</c:v>
                </c:pt>
                <c:pt idx="10">
                  <c:v>3.1395927718883776</c:v>
                </c:pt>
                <c:pt idx="11">
                  <c:v>-2.2952572411239824</c:v>
                </c:pt>
              </c:numCache>
            </c:numRef>
          </c:val>
          <c:extLst>
            <c:ext xmlns:c16="http://schemas.microsoft.com/office/drawing/2014/chart" uri="{C3380CC4-5D6E-409C-BE32-E72D297353CC}">
              <c16:uniqueId val="{00000001-3A05-41FB-B3A9-91820B045269}"/>
            </c:ext>
          </c:extLst>
        </c:ser>
        <c:ser>
          <c:idx val="2"/>
          <c:order val="2"/>
          <c:tx>
            <c:strRef>
              <c:f>Hoja1!$G$1</c:f>
              <c:strCache>
                <c:ptCount val="1"/>
                <c:pt idx="0">
                  <c:v>IGREMSE</c:v>
                </c:pt>
              </c:strCache>
            </c:strRef>
          </c:tx>
          <c:spPr>
            <a:solidFill>
              <a:sysClr val="window" lastClr="FFFFFF">
                <a:lumMod val="75000"/>
              </a:sysClr>
            </a:solidFill>
            <a:ln>
              <a:solidFill>
                <a:sysClr val="window" lastClr="FFFFFF">
                  <a:lumMod val="75000"/>
                </a:sysClr>
              </a:solidFill>
            </a:ln>
            <a:effectLst/>
          </c:spPr>
          <c:invertIfNegative val="0"/>
          <c:dLbls>
            <c:dLbl>
              <c:idx val="2"/>
              <c:layout>
                <c:manualLayout>
                  <c:x val="0"/>
                  <c:y val="-8.82028665931646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23-414C-B83D-DBBADA42F63E}"/>
                </c:ext>
              </c:extLst>
            </c:dLbl>
            <c:dLbl>
              <c:idx val="6"/>
              <c:layout>
                <c:manualLayout>
                  <c:x val="-8.2974073534957184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123-414C-B83D-DBBADA42F63E}"/>
                </c:ext>
              </c:extLst>
            </c:dLbl>
            <c:dLbl>
              <c:idx val="8"/>
              <c:layout>
                <c:manualLayout>
                  <c:x val="-1.6594814706991437E-16"/>
                  <c:y val="1.323042998897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123-414C-B83D-DBBADA42F63E}"/>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Hoja1!$I$6:$I$17</c:f>
              <c:numCache>
                <c:formatCode>0.0</c:formatCode>
                <c:ptCount val="12"/>
                <c:pt idx="0">
                  <c:v>-1.8514345185901449</c:v>
                </c:pt>
                <c:pt idx="1">
                  <c:v>0.19224707819929243</c:v>
                </c:pt>
                <c:pt idx="2">
                  <c:v>0.14021067017782052</c:v>
                </c:pt>
                <c:pt idx="3">
                  <c:v>1.4355112188322305</c:v>
                </c:pt>
                <c:pt idx="4">
                  <c:v>0.98858613723300515</c:v>
                </c:pt>
                <c:pt idx="5">
                  <c:v>0.24655503315496041</c:v>
                </c:pt>
                <c:pt idx="6">
                  <c:v>0.69104678088893756</c:v>
                </c:pt>
                <c:pt idx="7">
                  <c:v>1.9321542826099991</c:v>
                </c:pt>
                <c:pt idx="8">
                  <c:v>9.0404312562064604E-2</c:v>
                </c:pt>
                <c:pt idx="9">
                  <c:v>0.81724255577619864</c:v>
                </c:pt>
                <c:pt idx="10">
                  <c:v>2.3575208082704968</c:v>
                </c:pt>
                <c:pt idx="11">
                  <c:v>0.53853959833123355</c:v>
                </c:pt>
              </c:numCache>
            </c:numRef>
          </c:val>
          <c:extLst>
            <c:ext xmlns:c16="http://schemas.microsoft.com/office/drawing/2014/chart" uri="{C3380CC4-5D6E-409C-BE32-E72D297353CC}">
              <c16:uniqueId val="{00000002-3A05-41FB-B3A9-91820B045269}"/>
            </c:ext>
          </c:extLst>
        </c:ser>
        <c:dLbls>
          <c:showLegendKey val="0"/>
          <c:showVal val="1"/>
          <c:showCatName val="0"/>
          <c:showSerName val="0"/>
          <c:showPercent val="0"/>
          <c:showBubbleSize val="0"/>
        </c:dLbls>
        <c:gapWidth val="85"/>
        <c:axId val="505124952"/>
        <c:axId val="505123312"/>
      </c:barChart>
      <c:catAx>
        <c:axId val="505124952"/>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700" b="1">
          <a:solidFill>
            <a:sysClr val="windowText" lastClr="000000"/>
          </a:solidFill>
          <a:latin typeface="+mn-lt"/>
          <a:cs typeface="Arial" panose="020B0604020202020204" pitchFamily="34" charset="0"/>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0.00363</cdr:y>
    </cdr:from>
    <cdr:to>
      <cdr:x>0.05548</cdr:x>
      <cdr:y>0.0945</cdr:y>
    </cdr:to>
    <cdr:sp macro="" textlink="">
      <cdr:nvSpPr>
        <cdr:cNvPr id="2" name="Rectángulo 1"/>
        <cdr:cNvSpPr/>
      </cdr:nvSpPr>
      <cdr:spPr>
        <a:xfrm xmlns:a="http://schemas.openxmlformats.org/drawingml/2006/main">
          <a:off x="0" y="9525"/>
          <a:ext cx="319525"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10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BC2D-63F9-45B8-B9E9-98E92E15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5115</Words>
  <Characters>28138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13</cp:revision>
  <cp:lastPrinted>2024-01-08T17:36:00Z</cp:lastPrinted>
  <dcterms:created xsi:type="dcterms:W3CDTF">2020-07-29T13:40:00Z</dcterms:created>
  <dcterms:modified xsi:type="dcterms:W3CDTF">2024-01-08T17:36:00Z</dcterms:modified>
</cp:coreProperties>
</file>