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9EE73" w14:textId="77777777" w:rsidR="001B4A8F" w:rsidRDefault="001B4A8F" w:rsidP="001B4A8F">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11392C85" wp14:editId="596D9ED8">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03A9822B" w14:textId="77777777" w:rsidR="001B4A8F" w:rsidRPr="008A2C21" w:rsidRDefault="001B4A8F" w:rsidP="001B4A8F">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92C85"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03A9822B" w14:textId="77777777" w:rsidR="001B4A8F" w:rsidRPr="008A2C21" w:rsidRDefault="001B4A8F" w:rsidP="001B4A8F">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mayo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340DA205" w14:textId="77777777" w:rsidR="001B4A8F" w:rsidRDefault="001B4A8F" w:rsidP="001B4A8F">
      <w:pPr>
        <w:tabs>
          <w:tab w:val="left" w:pos="8789"/>
        </w:tabs>
        <w:ind w:right="51"/>
        <w:jc w:val="center"/>
        <w:rPr>
          <w:b/>
          <w:sz w:val="28"/>
        </w:rPr>
      </w:pPr>
    </w:p>
    <w:p w14:paraId="0A0D7768" w14:textId="77777777" w:rsidR="001B4A8F" w:rsidRDefault="001B4A8F" w:rsidP="001B4A8F">
      <w:pPr>
        <w:pStyle w:val="Textoindependiente"/>
        <w:rPr>
          <w:sz w:val="28"/>
        </w:rPr>
      </w:pPr>
    </w:p>
    <w:p w14:paraId="41AA7F3D" w14:textId="77777777" w:rsidR="001B4A8F" w:rsidRPr="004354AC" w:rsidRDefault="001B4A8F" w:rsidP="001B4A8F">
      <w:pPr>
        <w:pStyle w:val="Textoindependiente"/>
        <w:spacing w:before="120"/>
        <w:rPr>
          <w:sz w:val="28"/>
        </w:rPr>
      </w:pPr>
      <w:r w:rsidRPr="004354AC">
        <w:rPr>
          <w:sz w:val="28"/>
        </w:rPr>
        <w:t>INDICADOR MENSUAL DEL CONSUMO</w:t>
      </w:r>
    </w:p>
    <w:p w14:paraId="44E01250" w14:textId="77777777" w:rsidR="001B4A8F" w:rsidRDefault="001B4A8F" w:rsidP="001B4A8F">
      <w:pPr>
        <w:pStyle w:val="Textoindependiente"/>
        <w:tabs>
          <w:tab w:val="center" w:pos="4420"/>
          <w:tab w:val="left" w:pos="8099"/>
        </w:tabs>
        <w:rPr>
          <w:sz w:val="28"/>
        </w:rPr>
      </w:pPr>
      <w:r w:rsidRPr="004354AC">
        <w:rPr>
          <w:sz w:val="28"/>
        </w:rPr>
        <w:t>PRIVADO EN EL MERCADO INTERIO</w:t>
      </w:r>
      <w:r>
        <w:rPr>
          <w:sz w:val="28"/>
        </w:rPr>
        <w:t>r</w:t>
      </w:r>
      <w:r>
        <w:rPr>
          <w:vertAlign w:val="superscript"/>
        </w:rPr>
        <w:footnoteReference w:id="1"/>
      </w:r>
    </w:p>
    <w:p w14:paraId="632B6805" w14:textId="77777777" w:rsidR="001B4A8F" w:rsidRDefault="001B4A8F" w:rsidP="001B4A8F">
      <w:pPr>
        <w:pStyle w:val="Textoindependiente"/>
        <w:rPr>
          <w:b w:val="0"/>
        </w:rPr>
      </w:pPr>
      <w:r w:rsidRPr="00860E5E">
        <w:rPr>
          <w:sz w:val="28"/>
        </w:rPr>
        <w:t xml:space="preserve">DURANTE </w:t>
      </w:r>
      <w:r>
        <w:rPr>
          <w:sz w:val="28"/>
        </w:rPr>
        <w:t>ENERO</w:t>
      </w:r>
      <w:r w:rsidRPr="00860E5E">
        <w:rPr>
          <w:sz w:val="28"/>
        </w:rPr>
        <w:t xml:space="preserve"> DE 20</w:t>
      </w:r>
      <w:r>
        <w:rPr>
          <w:sz w:val="28"/>
        </w:rPr>
        <w:t>20</w:t>
      </w:r>
    </w:p>
    <w:p w14:paraId="1342634F" w14:textId="77777777" w:rsidR="001B4A8F" w:rsidRPr="003B39A6" w:rsidRDefault="001B4A8F" w:rsidP="001B4A8F">
      <w:pPr>
        <w:jc w:val="center"/>
        <w:rPr>
          <w:b/>
          <w:spacing w:val="25"/>
          <w:szCs w:val="24"/>
        </w:rPr>
      </w:pPr>
      <w:r w:rsidRPr="003B39A6">
        <w:rPr>
          <w:b/>
          <w:i/>
          <w:spacing w:val="25"/>
          <w:szCs w:val="24"/>
        </w:rPr>
        <w:t>(Cifras desestacionalizadas)</w:t>
      </w:r>
    </w:p>
    <w:p w14:paraId="74E878DB" w14:textId="77777777" w:rsidR="001B4A8F" w:rsidRPr="00B31577" w:rsidRDefault="001B4A8F" w:rsidP="001B4A8F">
      <w:pPr>
        <w:pStyle w:val="bullet"/>
        <w:widowControl w:val="0"/>
        <w:tabs>
          <w:tab w:val="clear" w:pos="7939"/>
          <w:tab w:val="left" w:pos="7230"/>
        </w:tabs>
        <w:spacing w:before="480"/>
        <w:ind w:left="0" w:right="-405" w:firstLine="0"/>
        <w:rPr>
          <w:b w:val="0"/>
          <w:bCs/>
          <w:sz w:val="24"/>
          <w:szCs w:val="24"/>
        </w:rPr>
      </w:pPr>
      <w:r w:rsidRPr="00B31577">
        <w:rPr>
          <w:b w:val="0"/>
          <w:bCs/>
          <w:sz w:val="24"/>
          <w:szCs w:val="24"/>
        </w:rPr>
        <w:t>El Indicador Mensual del Consumo Privado en el Mercado Interior (IMCPMI)</w:t>
      </w:r>
      <w:r w:rsidRPr="00B31577">
        <w:rPr>
          <w:b w:val="0"/>
          <w:bCs/>
          <w:sz w:val="24"/>
          <w:szCs w:val="24"/>
          <w:vertAlign w:val="superscript"/>
        </w:rPr>
        <w:footnoteReference w:id="2"/>
      </w:r>
      <w:r w:rsidRPr="00B31577">
        <w:rPr>
          <w:b w:val="0"/>
          <w:bCs/>
          <w:sz w:val="24"/>
          <w:szCs w:val="24"/>
        </w:rPr>
        <w:t xml:space="preserve"> no registró variación durante enero de 2020 frente al mes inmediato anterior, con cifras desestacionalizadas</w:t>
      </w:r>
      <w:r w:rsidRPr="00B31577">
        <w:rPr>
          <w:b w:val="0"/>
          <w:bCs/>
          <w:sz w:val="24"/>
          <w:szCs w:val="24"/>
          <w:vertAlign w:val="superscript"/>
        </w:rPr>
        <w:footnoteReference w:id="3"/>
      </w:r>
      <w:r w:rsidRPr="00B31577">
        <w:rPr>
          <w:b w:val="0"/>
          <w:bCs/>
          <w:sz w:val="24"/>
          <w:szCs w:val="24"/>
        </w:rPr>
        <w:t xml:space="preserve">. </w:t>
      </w:r>
    </w:p>
    <w:p w14:paraId="15715B61" w14:textId="77777777" w:rsidR="001B4A8F" w:rsidRDefault="001B4A8F" w:rsidP="001B4A8F">
      <w:pPr>
        <w:jc w:val="center"/>
        <w:outlineLvl w:val="3"/>
        <w:rPr>
          <w:rFonts w:cs="Arial"/>
          <w:b/>
          <w:smallCaps/>
          <w:sz w:val="22"/>
        </w:rPr>
      </w:pPr>
    </w:p>
    <w:p w14:paraId="38CB486B" w14:textId="77777777" w:rsidR="001B4A8F" w:rsidRDefault="001B4A8F" w:rsidP="001B4A8F">
      <w:pPr>
        <w:spacing w:before="120"/>
        <w:jc w:val="center"/>
        <w:outlineLvl w:val="3"/>
        <w:rPr>
          <w:rFonts w:cs="Arial"/>
          <w:b/>
          <w:smallCaps/>
          <w:sz w:val="22"/>
        </w:rPr>
      </w:pPr>
      <w:r>
        <w:rPr>
          <w:rFonts w:cs="Arial"/>
          <w:b/>
          <w:smallCaps/>
          <w:sz w:val="22"/>
        </w:rPr>
        <w:t xml:space="preserve">Indicador Mensual del Consumo Privado </w:t>
      </w:r>
    </w:p>
    <w:p w14:paraId="69A602D7" w14:textId="77777777" w:rsidR="001B4A8F" w:rsidRDefault="001B4A8F" w:rsidP="001B4A8F">
      <w:pPr>
        <w:jc w:val="center"/>
        <w:outlineLvl w:val="3"/>
        <w:rPr>
          <w:rFonts w:cs="Arial"/>
          <w:b/>
          <w:smallCaps/>
          <w:sz w:val="22"/>
        </w:rPr>
      </w:pPr>
      <w:r>
        <w:rPr>
          <w:rFonts w:cs="Arial"/>
          <w:b/>
          <w:smallCaps/>
          <w:sz w:val="22"/>
        </w:rPr>
        <w:t>en el Mercado Interior a enero</w:t>
      </w:r>
      <w:r w:rsidRPr="004C2706">
        <w:rPr>
          <w:rFonts w:cs="Arial"/>
          <w:b/>
          <w:smallCaps/>
          <w:sz w:val="20"/>
        </w:rPr>
        <w:t xml:space="preserve"> </w:t>
      </w:r>
      <w:r>
        <w:rPr>
          <w:rFonts w:cs="Arial"/>
          <w:b/>
          <w:smallCaps/>
          <w:sz w:val="22"/>
        </w:rPr>
        <w:t>de 2020</w:t>
      </w:r>
    </w:p>
    <w:p w14:paraId="20C7E75F" w14:textId="77777777" w:rsidR="001B4A8F" w:rsidRDefault="001B4A8F" w:rsidP="001B4A8F">
      <w:pPr>
        <w:jc w:val="center"/>
        <w:outlineLvl w:val="3"/>
        <w:rPr>
          <w:rFonts w:cs="Arial"/>
          <w:b/>
          <w:smallCaps/>
          <w:sz w:val="22"/>
        </w:rPr>
      </w:pPr>
      <w:r>
        <w:rPr>
          <w:rFonts w:cs="Arial"/>
          <w:b/>
          <w:smallCaps/>
          <w:sz w:val="22"/>
        </w:rPr>
        <w:t>Series desestacionalizada y de tendencia-ciclo</w:t>
      </w:r>
    </w:p>
    <w:p w14:paraId="3003E541" w14:textId="77777777" w:rsidR="001B4A8F" w:rsidRDefault="001B4A8F" w:rsidP="001B4A8F">
      <w:pPr>
        <w:jc w:val="center"/>
        <w:outlineLvl w:val="3"/>
        <w:rPr>
          <w:rFonts w:cs="Arial"/>
          <w:sz w:val="18"/>
          <w:szCs w:val="18"/>
        </w:rPr>
      </w:pPr>
      <w:r>
        <w:rPr>
          <w:rFonts w:cs="Arial"/>
          <w:smallCaps/>
          <w:sz w:val="18"/>
          <w:szCs w:val="18"/>
        </w:rPr>
        <w:t>(</w:t>
      </w:r>
      <w:r>
        <w:rPr>
          <w:rFonts w:cs="Arial"/>
          <w:sz w:val="18"/>
          <w:szCs w:val="18"/>
        </w:rPr>
        <w:t>Índice base 2013=100)</w:t>
      </w:r>
    </w:p>
    <w:p w14:paraId="207EBBDE" w14:textId="77777777" w:rsidR="001B4A8F" w:rsidRDefault="001B4A8F" w:rsidP="001B4A8F">
      <w:pPr>
        <w:jc w:val="center"/>
        <w:outlineLvl w:val="3"/>
        <w:rPr>
          <w:rFonts w:cs="Arial"/>
          <w:sz w:val="18"/>
          <w:szCs w:val="18"/>
        </w:rPr>
      </w:pPr>
      <w:r>
        <w:rPr>
          <w:noProof/>
          <w:lang w:eastAsia="es-MX"/>
        </w:rPr>
        <w:drawing>
          <wp:inline distT="0" distB="0" distL="0" distR="0" wp14:anchorId="5D739B9C" wp14:editId="37259307">
            <wp:extent cx="4320000" cy="2526212"/>
            <wp:effectExtent l="0" t="0" r="2349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F9F18A" w14:textId="77777777" w:rsidR="001B4A8F" w:rsidRDefault="001B4A8F" w:rsidP="001B4A8F">
      <w:pPr>
        <w:ind w:left="708" w:firstLine="708"/>
      </w:pPr>
      <w:r>
        <w:rPr>
          <w:rFonts w:cs="Arial"/>
          <w:sz w:val="16"/>
        </w:rPr>
        <w:t>Fuente: INEGI.</w:t>
      </w:r>
    </w:p>
    <w:p w14:paraId="67B41652" w14:textId="77777777" w:rsidR="001B4A8F" w:rsidRPr="00C0198E" w:rsidRDefault="001B4A8F" w:rsidP="001B4A8F">
      <w:pPr>
        <w:pStyle w:val="bullet"/>
        <w:widowControl w:val="0"/>
        <w:tabs>
          <w:tab w:val="clear" w:pos="7939"/>
          <w:tab w:val="left" w:pos="7230"/>
        </w:tabs>
        <w:spacing w:before="360"/>
        <w:ind w:left="0" w:right="-405" w:firstLine="0"/>
        <w:rPr>
          <w:b w:val="0"/>
          <w:bCs/>
          <w:sz w:val="24"/>
          <w:szCs w:val="24"/>
        </w:rPr>
      </w:pPr>
      <w:r w:rsidRPr="00C0198E">
        <w:rPr>
          <w:b w:val="0"/>
          <w:bCs/>
          <w:sz w:val="24"/>
          <w:szCs w:val="24"/>
        </w:rPr>
        <w:t>Por componentes, el consumo en Bienes de origen importado aumentó 3.2% y en Bienes y Servicios de origen nacional creció 0.1% en el primer mes del presente año respecto al mes previo, según datos ajustados por estacionalidad.</w:t>
      </w:r>
    </w:p>
    <w:p w14:paraId="02C923CE" w14:textId="77777777" w:rsidR="001B4A8F" w:rsidRDefault="001B4A8F" w:rsidP="001B4A8F">
      <w:pPr>
        <w:pStyle w:val="bullet"/>
        <w:widowControl w:val="0"/>
        <w:tabs>
          <w:tab w:val="clear" w:pos="7939"/>
          <w:tab w:val="left" w:pos="7230"/>
        </w:tabs>
        <w:spacing w:before="360"/>
        <w:ind w:left="0" w:right="-405" w:firstLine="0"/>
        <w:rPr>
          <w:b w:val="0"/>
          <w:sz w:val="24"/>
          <w:szCs w:val="24"/>
        </w:rPr>
      </w:pPr>
    </w:p>
    <w:p w14:paraId="796F4B68" w14:textId="77777777" w:rsidR="001B4A8F" w:rsidRDefault="001B4A8F" w:rsidP="001B4A8F">
      <w:pPr>
        <w:pStyle w:val="bullet"/>
        <w:widowControl w:val="0"/>
        <w:tabs>
          <w:tab w:val="clear" w:pos="7939"/>
          <w:tab w:val="left" w:pos="7230"/>
        </w:tabs>
        <w:spacing w:before="360"/>
        <w:ind w:left="-284" w:right="-547" w:firstLine="0"/>
        <w:rPr>
          <w:b w:val="0"/>
          <w:bCs/>
          <w:sz w:val="24"/>
          <w:szCs w:val="24"/>
        </w:rPr>
      </w:pPr>
    </w:p>
    <w:p w14:paraId="3DACD01E" w14:textId="77777777" w:rsidR="001B4A8F" w:rsidRPr="00F93F5A" w:rsidRDefault="001B4A8F" w:rsidP="00C0198E">
      <w:pPr>
        <w:pStyle w:val="bullet"/>
        <w:widowControl w:val="0"/>
        <w:tabs>
          <w:tab w:val="clear" w:pos="7939"/>
          <w:tab w:val="left" w:pos="7230"/>
        </w:tabs>
        <w:spacing w:before="360"/>
        <w:ind w:left="-142" w:right="-547" w:firstLine="0"/>
        <w:rPr>
          <w:b w:val="0"/>
          <w:bCs/>
          <w:sz w:val="24"/>
          <w:szCs w:val="24"/>
        </w:rPr>
      </w:pPr>
      <w:r w:rsidRPr="00F93F5A">
        <w:rPr>
          <w:b w:val="0"/>
          <w:bCs/>
          <w:sz w:val="24"/>
          <w:szCs w:val="24"/>
        </w:rPr>
        <w:t>En su comparación anual</w:t>
      </w:r>
      <w:r w:rsidRPr="00F93F5A">
        <w:rPr>
          <w:b w:val="0"/>
          <w:bCs/>
          <w:sz w:val="24"/>
          <w:szCs w:val="24"/>
          <w:vertAlign w:val="superscript"/>
        </w:rPr>
        <w:footnoteReference w:id="4"/>
      </w:r>
      <w:r w:rsidRPr="00F93F5A">
        <w:rPr>
          <w:b w:val="0"/>
          <w:bCs/>
          <w:sz w:val="24"/>
          <w:szCs w:val="24"/>
        </w:rPr>
        <w:t>, el IMCPMI mostró un avance real de 0.3% en el mes de referencia. A su interior, los gastos en Bienes de origen importado tuvieron un alza de 1.7% y en Bienes y Servicios nacionales de 0.1% (los gastos en Bienes se incrementaron 1%, en tanto que los de Servicios se redujeron (</w:t>
      </w:r>
      <w:r w:rsidRPr="00F93F5A">
        <w:rPr>
          <w:b w:val="0"/>
          <w:bCs/>
          <w:sz w:val="24"/>
          <w:szCs w:val="24"/>
        </w:rPr>
        <w:noBreakHyphen/>
        <w:t>)0.5%) con relación a los de enero de 2019.</w:t>
      </w:r>
    </w:p>
    <w:p w14:paraId="29B8D8B4" w14:textId="77777777" w:rsidR="001B4A8F" w:rsidRDefault="001B4A8F" w:rsidP="00C0198E">
      <w:pPr>
        <w:pStyle w:val="p0"/>
        <w:spacing w:before="0"/>
        <w:ind w:right="-405"/>
        <w:jc w:val="center"/>
        <w:rPr>
          <w:rFonts w:cs="Arial"/>
          <w:b/>
          <w:smallCaps/>
          <w:color w:val="auto"/>
          <w:sz w:val="22"/>
          <w:szCs w:val="22"/>
        </w:rPr>
      </w:pPr>
    </w:p>
    <w:p w14:paraId="335E4802" w14:textId="77777777" w:rsidR="001B4A8F" w:rsidRDefault="001B4A8F" w:rsidP="001B4A8F">
      <w:pPr>
        <w:pStyle w:val="p0"/>
        <w:spacing w:before="0"/>
        <w:jc w:val="center"/>
        <w:rPr>
          <w:rFonts w:cs="Arial"/>
          <w:b/>
          <w:smallCaps/>
          <w:color w:val="auto"/>
          <w:sz w:val="22"/>
          <w:szCs w:val="22"/>
        </w:rPr>
      </w:pPr>
    </w:p>
    <w:p w14:paraId="42FD4DAB" w14:textId="77777777" w:rsidR="001B4A8F" w:rsidRDefault="001B4A8F" w:rsidP="001B4A8F">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0A9963E7" w14:textId="77777777" w:rsidR="001B4A8F" w:rsidRDefault="001B4A8F" w:rsidP="001B4A8F">
      <w:pPr>
        <w:pStyle w:val="p0"/>
        <w:spacing w:before="0"/>
        <w:jc w:val="center"/>
        <w:rPr>
          <w:rFonts w:cs="Arial"/>
          <w:b/>
          <w:smallCaps/>
          <w:color w:val="auto"/>
          <w:sz w:val="22"/>
          <w:szCs w:val="22"/>
        </w:rPr>
      </w:pPr>
      <w:r>
        <w:rPr>
          <w:rFonts w:cs="Arial"/>
          <w:b/>
          <w:smallCaps/>
          <w:color w:val="auto"/>
          <w:sz w:val="22"/>
          <w:szCs w:val="22"/>
        </w:rPr>
        <w:t>Mercado Interior durante enero de 2020</w:t>
      </w:r>
    </w:p>
    <w:p w14:paraId="399A5309" w14:textId="77777777" w:rsidR="001B4A8F" w:rsidRDefault="001B4A8F" w:rsidP="001B4A8F">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1B4A8F" w14:paraId="1EC4626D" w14:textId="77777777" w:rsidTr="00AF57AB">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707049FF" w14:textId="77777777" w:rsidR="001B4A8F" w:rsidRDefault="001B4A8F" w:rsidP="00AF57AB">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1ED3B1A7" w14:textId="77777777" w:rsidR="001B4A8F" w:rsidRDefault="001B4A8F" w:rsidP="00AF57AB">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3A530A71" w14:textId="77777777" w:rsidR="001B4A8F" w:rsidRDefault="001B4A8F" w:rsidP="00AF57AB">
            <w:pPr>
              <w:pStyle w:val="p0"/>
              <w:keepNext/>
              <w:spacing w:before="60" w:after="60"/>
              <w:jc w:val="center"/>
              <w:rPr>
                <w:rFonts w:cs="Arial"/>
                <w:color w:val="auto"/>
                <w:sz w:val="18"/>
                <w:lang w:val="es-ES"/>
              </w:rPr>
            </w:pPr>
            <w:r>
              <w:rPr>
                <w:rFonts w:cs="Arial"/>
                <w:color w:val="auto"/>
                <w:sz w:val="18"/>
                <w:lang w:val="es-ES"/>
              </w:rPr>
              <w:t>Variación % respecto a igual mes de 2019</w:t>
            </w:r>
          </w:p>
        </w:tc>
      </w:tr>
      <w:tr w:rsidR="001B4A8F" w:rsidRPr="000A3BE7" w14:paraId="07323E25" w14:textId="77777777" w:rsidTr="00AF57AB">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6F00AD1C" w14:textId="77777777" w:rsidR="001B4A8F" w:rsidRDefault="001B4A8F" w:rsidP="00AF57AB">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07FE1040" w14:textId="77777777" w:rsidR="001B4A8F" w:rsidRPr="00F02CE9" w:rsidRDefault="001B4A8F" w:rsidP="00AF57AB">
            <w:pPr>
              <w:tabs>
                <w:tab w:val="left" w:pos="307"/>
                <w:tab w:val="decimal" w:pos="881"/>
              </w:tabs>
              <w:spacing w:before="60" w:after="60"/>
              <w:ind w:right="567"/>
              <w:jc w:val="right"/>
              <w:rPr>
                <w:rFonts w:cs="Arial"/>
                <w:b/>
                <w:sz w:val="18"/>
                <w:u w:val="single"/>
                <w:lang w:val="es-ES" w:eastAsia="en-US"/>
              </w:rPr>
            </w:pPr>
            <w:r w:rsidRPr="00F02CE9">
              <w:rPr>
                <w:rFonts w:cs="Arial"/>
                <w:b/>
                <w:sz w:val="18"/>
                <w:lang w:val="es-ES" w:eastAsia="en-US"/>
              </w:rPr>
              <w:t xml:space="preserve">  </w:t>
            </w:r>
            <w:r w:rsidRPr="00F02CE9">
              <w:rPr>
                <w:rFonts w:cs="Arial"/>
                <w:b/>
                <w:sz w:val="18"/>
                <w:u w:val="single"/>
                <w:lang w:val="es-ES" w:eastAsia="en-US"/>
              </w:rPr>
              <w:t>0.</w:t>
            </w:r>
            <w:r>
              <w:rPr>
                <w:rFonts w:cs="Arial"/>
                <w:b/>
                <w:sz w:val="18"/>
                <w:u w:val="single"/>
                <w:lang w:val="es-ES" w:eastAsia="en-US"/>
              </w:rPr>
              <w:t>0</w:t>
            </w:r>
          </w:p>
        </w:tc>
        <w:tc>
          <w:tcPr>
            <w:tcW w:w="1843" w:type="dxa"/>
            <w:tcBorders>
              <w:top w:val="single" w:sz="8" w:space="0" w:color="404040"/>
              <w:left w:val="single" w:sz="8" w:space="0" w:color="404040"/>
              <w:bottom w:val="nil"/>
              <w:right w:val="double" w:sz="4" w:space="0" w:color="auto"/>
            </w:tcBorders>
            <w:hideMark/>
          </w:tcPr>
          <w:p w14:paraId="38C20B24" w14:textId="77777777" w:rsidR="001B4A8F" w:rsidRPr="00F02CE9" w:rsidRDefault="001B4A8F" w:rsidP="00AF57AB">
            <w:pPr>
              <w:tabs>
                <w:tab w:val="left" w:pos="307"/>
                <w:tab w:val="decimal" w:pos="881"/>
              </w:tabs>
              <w:spacing w:before="60" w:after="60"/>
              <w:ind w:right="624"/>
              <w:jc w:val="right"/>
              <w:rPr>
                <w:rFonts w:cs="Arial"/>
                <w:b/>
                <w:sz w:val="18"/>
                <w:lang w:val="es-ES" w:eastAsia="en-US"/>
              </w:rPr>
            </w:pPr>
            <w:r w:rsidRPr="00F02CE9">
              <w:rPr>
                <w:rFonts w:cs="Arial"/>
                <w:b/>
                <w:sz w:val="18"/>
                <w:lang w:val="es-ES" w:eastAsia="en-US"/>
              </w:rPr>
              <w:t xml:space="preserve">  </w:t>
            </w:r>
            <w:r w:rsidRPr="00F02CE9">
              <w:rPr>
                <w:rFonts w:cs="Arial"/>
                <w:b/>
                <w:sz w:val="18"/>
                <w:u w:val="single"/>
                <w:lang w:val="es-ES" w:eastAsia="en-US"/>
              </w:rPr>
              <w:t>0.</w:t>
            </w:r>
            <w:r>
              <w:rPr>
                <w:rFonts w:cs="Arial"/>
                <w:b/>
                <w:sz w:val="18"/>
                <w:u w:val="single"/>
                <w:lang w:val="es-ES" w:eastAsia="en-US"/>
              </w:rPr>
              <w:t>3</w:t>
            </w:r>
          </w:p>
        </w:tc>
      </w:tr>
      <w:tr w:rsidR="001B4A8F" w:rsidRPr="000A3BE7" w14:paraId="0604EEAA" w14:textId="77777777" w:rsidTr="00AF57AB">
        <w:trPr>
          <w:cantSplit/>
          <w:trHeight w:val="20"/>
          <w:jc w:val="center"/>
        </w:trPr>
        <w:tc>
          <w:tcPr>
            <w:tcW w:w="2834" w:type="dxa"/>
            <w:tcBorders>
              <w:top w:val="nil"/>
              <w:left w:val="double" w:sz="4" w:space="0" w:color="auto"/>
              <w:bottom w:val="nil"/>
              <w:right w:val="single" w:sz="8" w:space="0" w:color="404040"/>
            </w:tcBorders>
            <w:hideMark/>
          </w:tcPr>
          <w:p w14:paraId="2D86D1A8" w14:textId="77777777" w:rsidR="001B4A8F" w:rsidRDefault="001B4A8F" w:rsidP="00AF57AB">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2825E70F" w14:textId="77777777" w:rsidR="001B4A8F" w:rsidRPr="00F02CE9" w:rsidRDefault="001B4A8F" w:rsidP="00AF57AB">
            <w:pPr>
              <w:tabs>
                <w:tab w:val="left" w:pos="307"/>
              </w:tabs>
              <w:spacing w:before="20" w:after="20"/>
              <w:ind w:right="567"/>
              <w:jc w:val="right"/>
              <w:rPr>
                <w:rFonts w:cs="Arial"/>
                <w:b/>
                <w:sz w:val="18"/>
                <w:lang w:val="es-ES" w:eastAsia="en-US"/>
              </w:rPr>
            </w:pPr>
            <w:r w:rsidRPr="00F02CE9">
              <w:rPr>
                <w:rFonts w:cs="Arial"/>
                <w:b/>
                <w:sz w:val="18"/>
                <w:lang w:val="es-ES" w:eastAsia="en-US"/>
              </w:rPr>
              <w:t xml:space="preserve">  0.</w:t>
            </w:r>
            <w:r>
              <w:rPr>
                <w:rFonts w:cs="Arial"/>
                <w:b/>
                <w:sz w:val="18"/>
                <w:lang w:val="es-ES" w:eastAsia="en-US"/>
              </w:rPr>
              <w:t>1</w:t>
            </w:r>
          </w:p>
        </w:tc>
        <w:tc>
          <w:tcPr>
            <w:tcW w:w="1843" w:type="dxa"/>
            <w:tcBorders>
              <w:top w:val="nil"/>
              <w:left w:val="single" w:sz="8" w:space="0" w:color="404040"/>
              <w:bottom w:val="nil"/>
              <w:right w:val="double" w:sz="4" w:space="0" w:color="auto"/>
            </w:tcBorders>
            <w:hideMark/>
          </w:tcPr>
          <w:p w14:paraId="511DF9CC" w14:textId="77777777" w:rsidR="001B4A8F" w:rsidRPr="00F02CE9" w:rsidRDefault="001B4A8F" w:rsidP="00AF57AB">
            <w:pPr>
              <w:tabs>
                <w:tab w:val="left" w:pos="307"/>
                <w:tab w:val="decimal" w:pos="881"/>
              </w:tabs>
              <w:spacing w:before="20" w:after="20"/>
              <w:ind w:right="624"/>
              <w:jc w:val="right"/>
              <w:rPr>
                <w:rFonts w:cs="Arial"/>
                <w:b/>
                <w:sz w:val="18"/>
                <w:lang w:val="es-ES" w:eastAsia="en-US"/>
              </w:rPr>
            </w:pPr>
            <w:r w:rsidRPr="00F02CE9">
              <w:rPr>
                <w:rFonts w:cs="Arial"/>
                <w:b/>
                <w:sz w:val="18"/>
                <w:lang w:val="es-ES" w:eastAsia="en-US"/>
              </w:rPr>
              <w:t xml:space="preserve">    0.</w:t>
            </w:r>
            <w:r>
              <w:rPr>
                <w:rFonts w:cs="Arial"/>
                <w:b/>
                <w:sz w:val="18"/>
                <w:lang w:val="es-ES" w:eastAsia="en-US"/>
              </w:rPr>
              <w:t>1</w:t>
            </w:r>
          </w:p>
        </w:tc>
      </w:tr>
      <w:tr w:rsidR="001B4A8F" w:rsidRPr="000A3BE7" w14:paraId="1DABAE9D" w14:textId="77777777" w:rsidTr="00AF57AB">
        <w:trPr>
          <w:cantSplit/>
          <w:trHeight w:val="20"/>
          <w:jc w:val="center"/>
        </w:trPr>
        <w:tc>
          <w:tcPr>
            <w:tcW w:w="2834" w:type="dxa"/>
            <w:tcBorders>
              <w:top w:val="nil"/>
              <w:left w:val="double" w:sz="4" w:space="0" w:color="auto"/>
              <w:bottom w:val="nil"/>
              <w:right w:val="single" w:sz="8" w:space="0" w:color="404040"/>
            </w:tcBorders>
            <w:hideMark/>
          </w:tcPr>
          <w:p w14:paraId="0644A449" w14:textId="77777777" w:rsidR="001B4A8F" w:rsidRDefault="001B4A8F" w:rsidP="00AF57AB">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125F44A9" w14:textId="77777777" w:rsidR="001B4A8F" w:rsidRPr="00F02CE9" w:rsidRDefault="001B4A8F" w:rsidP="00AF57AB">
            <w:pPr>
              <w:tabs>
                <w:tab w:val="left" w:pos="307"/>
              </w:tabs>
              <w:spacing w:before="60"/>
              <w:ind w:right="567"/>
              <w:jc w:val="right"/>
              <w:rPr>
                <w:rFonts w:cs="Arial"/>
                <w:sz w:val="18"/>
                <w:lang w:val="es-ES" w:eastAsia="en-US"/>
              </w:rPr>
            </w:pPr>
            <w:r w:rsidRPr="00F02CE9">
              <w:rPr>
                <w:rFonts w:cs="Arial"/>
                <w:sz w:val="18"/>
                <w:lang w:val="es-ES" w:eastAsia="en-US"/>
              </w:rPr>
              <w:t xml:space="preserve">  0</w:t>
            </w:r>
            <w:r>
              <w:rPr>
                <w:rFonts w:cs="Arial"/>
                <w:sz w:val="18"/>
                <w:lang w:val="es-ES" w:eastAsia="en-US"/>
              </w:rPr>
              <w:t>.8</w:t>
            </w:r>
          </w:p>
        </w:tc>
        <w:tc>
          <w:tcPr>
            <w:tcW w:w="1843" w:type="dxa"/>
            <w:tcBorders>
              <w:top w:val="nil"/>
              <w:left w:val="single" w:sz="8" w:space="0" w:color="404040"/>
              <w:bottom w:val="nil"/>
              <w:right w:val="double" w:sz="4" w:space="0" w:color="auto"/>
            </w:tcBorders>
            <w:hideMark/>
          </w:tcPr>
          <w:p w14:paraId="6BD9CD73" w14:textId="77777777" w:rsidR="001B4A8F" w:rsidRPr="00F02CE9" w:rsidRDefault="001B4A8F" w:rsidP="00AF57AB">
            <w:pPr>
              <w:tabs>
                <w:tab w:val="left" w:pos="307"/>
                <w:tab w:val="decimal" w:pos="881"/>
              </w:tabs>
              <w:spacing w:before="60"/>
              <w:ind w:right="624"/>
              <w:jc w:val="right"/>
              <w:rPr>
                <w:rFonts w:cs="Arial"/>
                <w:sz w:val="18"/>
                <w:lang w:val="es-ES" w:eastAsia="en-US"/>
              </w:rPr>
            </w:pPr>
            <w:r w:rsidRPr="00F02CE9">
              <w:rPr>
                <w:rFonts w:cs="Arial"/>
                <w:sz w:val="18"/>
                <w:lang w:val="es-ES" w:eastAsia="en-US"/>
              </w:rPr>
              <w:t xml:space="preserve">  </w:t>
            </w:r>
            <w:r>
              <w:rPr>
                <w:rFonts w:cs="Arial"/>
                <w:sz w:val="18"/>
                <w:lang w:val="es-ES" w:eastAsia="en-US"/>
              </w:rPr>
              <w:t>1</w:t>
            </w:r>
            <w:r w:rsidRPr="00F02CE9">
              <w:rPr>
                <w:rFonts w:cs="Arial"/>
                <w:sz w:val="18"/>
                <w:lang w:val="es-ES" w:eastAsia="en-US"/>
              </w:rPr>
              <w:t>.</w:t>
            </w:r>
            <w:r>
              <w:rPr>
                <w:rFonts w:cs="Arial"/>
                <w:sz w:val="18"/>
                <w:lang w:val="es-ES" w:eastAsia="en-US"/>
              </w:rPr>
              <w:t>0</w:t>
            </w:r>
          </w:p>
        </w:tc>
      </w:tr>
      <w:tr w:rsidR="001B4A8F" w:rsidRPr="000A3BE7" w14:paraId="67652AA8" w14:textId="77777777" w:rsidTr="00AF57AB">
        <w:trPr>
          <w:cantSplit/>
          <w:trHeight w:val="20"/>
          <w:jc w:val="center"/>
        </w:trPr>
        <w:tc>
          <w:tcPr>
            <w:tcW w:w="2834" w:type="dxa"/>
            <w:tcBorders>
              <w:top w:val="nil"/>
              <w:left w:val="double" w:sz="4" w:space="0" w:color="auto"/>
              <w:bottom w:val="nil"/>
              <w:right w:val="single" w:sz="8" w:space="0" w:color="404040"/>
            </w:tcBorders>
            <w:hideMark/>
          </w:tcPr>
          <w:p w14:paraId="5E567DFF" w14:textId="77777777" w:rsidR="001B4A8F" w:rsidRDefault="001B4A8F" w:rsidP="00AF57AB">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372C8BFC" w14:textId="77777777" w:rsidR="001B4A8F" w:rsidRPr="00F02CE9" w:rsidRDefault="001B4A8F" w:rsidP="00AF57AB">
            <w:pPr>
              <w:tabs>
                <w:tab w:val="left" w:pos="307"/>
              </w:tabs>
              <w:spacing w:before="60"/>
              <w:ind w:right="567"/>
              <w:jc w:val="right"/>
              <w:rPr>
                <w:rFonts w:cs="Arial"/>
                <w:sz w:val="18"/>
                <w:lang w:val="es-ES" w:eastAsia="en-US"/>
              </w:rPr>
            </w:pPr>
            <w:r w:rsidRPr="00F02CE9">
              <w:rPr>
                <w:rFonts w:cs="Arial"/>
                <w:sz w:val="18"/>
                <w:lang w:val="es-ES" w:eastAsia="en-US"/>
              </w:rPr>
              <w:t>(-</w:t>
            </w:r>
            <w:proofErr w:type="gramStart"/>
            <w:r w:rsidRPr="00F02CE9">
              <w:rPr>
                <w:rFonts w:cs="Arial"/>
                <w:sz w:val="18"/>
                <w:lang w:val="es-ES" w:eastAsia="en-US"/>
              </w:rPr>
              <w:t>)  0</w:t>
            </w:r>
            <w:proofErr w:type="gramEnd"/>
            <w:r w:rsidRPr="00F02CE9">
              <w:rPr>
                <w:rFonts w:cs="Arial"/>
                <w:sz w:val="18"/>
                <w:lang w:val="es-ES" w:eastAsia="en-US"/>
              </w:rPr>
              <w:t>.</w:t>
            </w:r>
            <w:r>
              <w:rPr>
                <w:rFonts w:cs="Arial"/>
                <w:sz w:val="18"/>
                <w:lang w:val="es-ES" w:eastAsia="en-US"/>
              </w:rPr>
              <w:t>7</w:t>
            </w:r>
          </w:p>
        </w:tc>
        <w:tc>
          <w:tcPr>
            <w:tcW w:w="1843" w:type="dxa"/>
            <w:tcBorders>
              <w:top w:val="nil"/>
              <w:left w:val="single" w:sz="8" w:space="0" w:color="404040"/>
              <w:bottom w:val="nil"/>
              <w:right w:val="double" w:sz="4" w:space="0" w:color="auto"/>
            </w:tcBorders>
            <w:hideMark/>
          </w:tcPr>
          <w:p w14:paraId="43030F0C" w14:textId="77777777" w:rsidR="001B4A8F" w:rsidRPr="00F02CE9" w:rsidRDefault="001B4A8F" w:rsidP="00AF57AB">
            <w:pPr>
              <w:tabs>
                <w:tab w:val="left" w:pos="307"/>
                <w:tab w:val="decimal" w:pos="881"/>
              </w:tabs>
              <w:spacing w:before="60"/>
              <w:ind w:right="624"/>
              <w:jc w:val="right"/>
              <w:rPr>
                <w:rFonts w:cs="Arial"/>
                <w:sz w:val="18"/>
                <w:lang w:val="es-ES" w:eastAsia="en-US"/>
              </w:rPr>
            </w:pPr>
            <w:r>
              <w:rPr>
                <w:rFonts w:cs="Arial"/>
                <w:sz w:val="18"/>
                <w:lang w:val="es-ES" w:eastAsia="en-US"/>
              </w:rPr>
              <w:t>(-</w:t>
            </w:r>
            <w:proofErr w:type="gramStart"/>
            <w:r>
              <w:rPr>
                <w:rFonts w:cs="Arial"/>
                <w:sz w:val="18"/>
                <w:lang w:val="es-ES" w:eastAsia="en-US"/>
              </w:rPr>
              <w:t>)</w:t>
            </w:r>
            <w:r w:rsidRPr="00F02CE9">
              <w:rPr>
                <w:rFonts w:cs="Arial"/>
                <w:sz w:val="18"/>
                <w:lang w:val="es-ES" w:eastAsia="en-US"/>
              </w:rPr>
              <w:t xml:space="preserve">  0</w:t>
            </w:r>
            <w:proofErr w:type="gramEnd"/>
            <w:r w:rsidRPr="00F02CE9">
              <w:rPr>
                <w:rFonts w:cs="Arial"/>
                <w:sz w:val="18"/>
                <w:lang w:val="es-ES" w:eastAsia="en-US"/>
              </w:rPr>
              <w:t>.</w:t>
            </w:r>
            <w:r>
              <w:rPr>
                <w:rFonts w:cs="Arial"/>
                <w:sz w:val="18"/>
                <w:lang w:val="es-ES" w:eastAsia="en-US"/>
              </w:rPr>
              <w:t>5</w:t>
            </w:r>
          </w:p>
        </w:tc>
      </w:tr>
      <w:tr w:rsidR="001B4A8F" w:rsidRPr="000A3BE7" w14:paraId="47456B4F" w14:textId="77777777" w:rsidTr="00AF57AB">
        <w:trPr>
          <w:cantSplit/>
          <w:trHeight w:val="20"/>
          <w:jc w:val="center"/>
        </w:trPr>
        <w:tc>
          <w:tcPr>
            <w:tcW w:w="2834" w:type="dxa"/>
            <w:tcBorders>
              <w:top w:val="nil"/>
              <w:left w:val="double" w:sz="4" w:space="0" w:color="auto"/>
              <w:bottom w:val="nil"/>
              <w:right w:val="single" w:sz="8" w:space="0" w:color="404040"/>
            </w:tcBorders>
            <w:hideMark/>
          </w:tcPr>
          <w:p w14:paraId="2F224D11" w14:textId="77777777" w:rsidR="001B4A8F" w:rsidRDefault="001B4A8F" w:rsidP="00AF57AB">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51F35D71" w14:textId="77777777" w:rsidR="001B4A8F" w:rsidRPr="00F02CE9" w:rsidRDefault="001B4A8F" w:rsidP="00AF57AB">
            <w:pPr>
              <w:tabs>
                <w:tab w:val="left" w:pos="307"/>
                <w:tab w:val="decimal" w:pos="881"/>
              </w:tabs>
              <w:spacing w:before="60" w:after="60"/>
              <w:ind w:right="567"/>
              <w:jc w:val="right"/>
              <w:rPr>
                <w:rFonts w:cs="Arial"/>
                <w:b/>
                <w:sz w:val="18"/>
                <w:lang w:val="es-ES" w:eastAsia="en-US"/>
              </w:rPr>
            </w:pPr>
            <w:r w:rsidRPr="00F02CE9">
              <w:rPr>
                <w:rFonts w:cs="Arial"/>
                <w:b/>
                <w:sz w:val="18"/>
                <w:lang w:val="es-ES" w:eastAsia="en-US"/>
              </w:rPr>
              <w:t xml:space="preserve">  </w:t>
            </w:r>
            <w:r>
              <w:rPr>
                <w:rFonts w:cs="Arial"/>
                <w:b/>
                <w:sz w:val="18"/>
                <w:lang w:val="es-ES" w:eastAsia="en-US"/>
              </w:rPr>
              <w:t>3.2</w:t>
            </w:r>
          </w:p>
        </w:tc>
        <w:tc>
          <w:tcPr>
            <w:tcW w:w="1843" w:type="dxa"/>
            <w:tcBorders>
              <w:top w:val="nil"/>
              <w:left w:val="single" w:sz="8" w:space="0" w:color="404040"/>
              <w:bottom w:val="nil"/>
              <w:right w:val="double" w:sz="4" w:space="0" w:color="auto"/>
            </w:tcBorders>
            <w:hideMark/>
          </w:tcPr>
          <w:p w14:paraId="005490D8" w14:textId="77777777" w:rsidR="001B4A8F" w:rsidRPr="00F02CE9" w:rsidRDefault="001B4A8F" w:rsidP="00AF57AB">
            <w:pPr>
              <w:tabs>
                <w:tab w:val="left" w:pos="307"/>
                <w:tab w:val="decimal" w:pos="881"/>
              </w:tabs>
              <w:spacing w:before="60" w:after="60"/>
              <w:ind w:right="624"/>
              <w:jc w:val="right"/>
              <w:rPr>
                <w:rFonts w:cs="Arial"/>
                <w:b/>
                <w:sz w:val="18"/>
                <w:lang w:val="es-ES" w:eastAsia="en-US"/>
              </w:rPr>
            </w:pPr>
            <w:r w:rsidRPr="00F02CE9">
              <w:rPr>
                <w:rFonts w:cs="Arial"/>
                <w:b/>
                <w:sz w:val="18"/>
                <w:lang w:val="es-ES" w:eastAsia="en-US"/>
              </w:rPr>
              <w:t xml:space="preserve">  </w:t>
            </w:r>
            <w:r>
              <w:rPr>
                <w:rFonts w:cs="Arial"/>
                <w:b/>
                <w:sz w:val="18"/>
                <w:lang w:val="es-ES" w:eastAsia="en-US"/>
              </w:rPr>
              <w:t>1.7</w:t>
            </w:r>
            <w:r w:rsidRPr="00F02CE9">
              <w:rPr>
                <w:rFonts w:cs="Arial"/>
                <w:b/>
                <w:sz w:val="18"/>
                <w:lang w:val="es-ES" w:eastAsia="en-US"/>
              </w:rPr>
              <w:t xml:space="preserve"> </w:t>
            </w:r>
          </w:p>
        </w:tc>
      </w:tr>
      <w:tr w:rsidR="001B4A8F" w:rsidRPr="000A3BE7" w14:paraId="12FA3767" w14:textId="77777777" w:rsidTr="00AF57AB">
        <w:trPr>
          <w:cantSplit/>
          <w:trHeight w:val="20"/>
          <w:jc w:val="center"/>
        </w:trPr>
        <w:tc>
          <w:tcPr>
            <w:tcW w:w="2834" w:type="dxa"/>
            <w:tcBorders>
              <w:top w:val="nil"/>
              <w:left w:val="double" w:sz="4" w:space="0" w:color="auto"/>
              <w:bottom w:val="double" w:sz="4" w:space="0" w:color="404040"/>
              <w:right w:val="single" w:sz="8" w:space="0" w:color="404040"/>
            </w:tcBorders>
          </w:tcPr>
          <w:p w14:paraId="4D32A26C" w14:textId="77777777" w:rsidR="001B4A8F" w:rsidRDefault="001B4A8F" w:rsidP="00AF57AB">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2A8DE09A" w14:textId="77777777" w:rsidR="001B4A8F" w:rsidRPr="00F02CE9" w:rsidRDefault="001B4A8F" w:rsidP="00AF57AB">
            <w:pPr>
              <w:tabs>
                <w:tab w:val="left" w:pos="307"/>
                <w:tab w:val="decimal" w:pos="881"/>
              </w:tabs>
              <w:ind w:right="567"/>
              <w:jc w:val="right"/>
              <w:rPr>
                <w:rFonts w:cs="Arial"/>
                <w:sz w:val="18"/>
                <w:lang w:val="es-ES"/>
              </w:rPr>
            </w:pPr>
            <w:r>
              <w:rPr>
                <w:rFonts w:cs="Arial"/>
                <w:sz w:val="18"/>
                <w:lang w:val="es-ES"/>
              </w:rPr>
              <w:t>3.2</w:t>
            </w:r>
          </w:p>
        </w:tc>
        <w:tc>
          <w:tcPr>
            <w:tcW w:w="1843" w:type="dxa"/>
            <w:tcBorders>
              <w:top w:val="nil"/>
              <w:left w:val="single" w:sz="8" w:space="0" w:color="404040"/>
              <w:bottom w:val="double" w:sz="4" w:space="0" w:color="404040"/>
              <w:right w:val="double" w:sz="4" w:space="0" w:color="auto"/>
            </w:tcBorders>
          </w:tcPr>
          <w:p w14:paraId="1FEE45D8" w14:textId="77777777" w:rsidR="001B4A8F" w:rsidRPr="00F02CE9" w:rsidRDefault="001B4A8F" w:rsidP="00AF57AB">
            <w:pPr>
              <w:tabs>
                <w:tab w:val="left" w:pos="307"/>
                <w:tab w:val="decimal" w:pos="881"/>
              </w:tabs>
              <w:ind w:right="624"/>
              <w:jc w:val="right"/>
              <w:rPr>
                <w:rFonts w:cs="Arial"/>
                <w:sz w:val="18"/>
                <w:lang w:val="es-ES"/>
              </w:rPr>
            </w:pPr>
            <w:r w:rsidRPr="00F02CE9">
              <w:rPr>
                <w:rFonts w:cs="Arial"/>
                <w:sz w:val="18"/>
                <w:lang w:val="es-ES"/>
              </w:rPr>
              <w:t xml:space="preserve">  </w:t>
            </w:r>
            <w:r>
              <w:rPr>
                <w:rFonts w:cs="Arial"/>
                <w:sz w:val="18"/>
                <w:lang w:val="es-ES"/>
              </w:rPr>
              <w:t>1.7</w:t>
            </w:r>
          </w:p>
        </w:tc>
      </w:tr>
    </w:tbl>
    <w:p w14:paraId="242C2C48" w14:textId="77777777" w:rsidR="001B4A8F" w:rsidRDefault="001B4A8F" w:rsidP="001B4A8F">
      <w:pPr>
        <w:pStyle w:val="p0"/>
        <w:spacing w:before="0"/>
        <w:ind w:left="1985" w:right="143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4DAB9308" w14:textId="77777777" w:rsidR="001B4A8F" w:rsidRDefault="001B4A8F" w:rsidP="001B4A8F">
      <w:pPr>
        <w:widowControl/>
        <w:ind w:left="1276" w:right="1438"/>
        <w:jc w:val="left"/>
        <w:rPr>
          <w:sz w:val="16"/>
          <w:szCs w:val="16"/>
        </w:rPr>
      </w:pPr>
      <w:r>
        <w:rPr>
          <w:sz w:val="16"/>
          <w:szCs w:val="16"/>
        </w:rPr>
        <w:t>Fuente:    INEGI.</w:t>
      </w:r>
    </w:p>
    <w:p w14:paraId="4A3481AE" w14:textId="77777777" w:rsidR="001B4A8F" w:rsidRDefault="001B4A8F" w:rsidP="001B4A8F">
      <w:pPr>
        <w:widowControl/>
        <w:ind w:left="1276"/>
        <w:jc w:val="left"/>
        <w:rPr>
          <w:b/>
          <w:i/>
        </w:rPr>
      </w:pPr>
    </w:p>
    <w:p w14:paraId="5B5FE001" w14:textId="77777777" w:rsidR="001B4A8F" w:rsidRDefault="001B4A8F" w:rsidP="001B4A8F">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r>
    </w:p>
    <w:p w14:paraId="08216081" w14:textId="77777777" w:rsidR="001B4A8F" w:rsidRDefault="001B4A8F" w:rsidP="001B4A8F">
      <w:pPr>
        <w:pStyle w:val="p01"/>
        <w:keepLines w:val="0"/>
        <w:tabs>
          <w:tab w:val="left" w:pos="3261"/>
        </w:tabs>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037FFC0D" w14:textId="77777777" w:rsidR="001B4A8F" w:rsidRDefault="001B4A8F" w:rsidP="001B4A8F">
      <w:pPr>
        <w:pStyle w:val="p0"/>
        <w:rPr>
          <w:lang w:val="es-ES_tradnl"/>
        </w:rPr>
      </w:pPr>
    </w:p>
    <w:p w14:paraId="5FF52143" w14:textId="77777777" w:rsidR="001B4A8F" w:rsidRDefault="001B4A8F" w:rsidP="001B4A8F">
      <w:pPr>
        <w:pStyle w:val="p0"/>
        <w:rPr>
          <w:lang w:val="es-ES_tradnl"/>
        </w:rPr>
      </w:pPr>
    </w:p>
    <w:p w14:paraId="5A09FD6D" w14:textId="77777777" w:rsidR="001B4A8F" w:rsidRDefault="001B4A8F" w:rsidP="001B4A8F">
      <w:pPr>
        <w:pStyle w:val="p0"/>
        <w:rPr>
          <w:lang w:val="es-ES_tradnl"/>
        </w:rPr>
      </w:pPr>
    </w:p>
    <w:p w14:paraId="4C4C22A0" w14:textId="77777777" w:rsidR="001B4A8F" w:rsidRDefault="001B4A8F" w:rsidP="001B4A8F">
      <w:pPr>
        <w:pStyle w:val="NormalWeb"/>
        <w:spacing w:before="0" w:beforeAutospacing="0" w:after="0" w:afterAutospacing="0"/>
        <w:ind w:left="-426" w:right="-518"/>
        <w:contextualSpacing/>
        <w:jc w:val="center"/>
        <w:rPr>
          <w:sz w:val="22"/>
          <w:szCs w:val="22"/>
        </w:rPr>
      </w:pPr>
    </w:p>
    <w:p w14:paraId="1FD940C6" w14:textId="77777777" w:rsidR="001B4A8F" w:rsidRDefault="001B4A8F" w:rsidP="001B4A8F">
      <w:pPr>
        <w:pStyle w:val="NormalWeb"/>
        <w:spacing w:before="0" w:beforeAutospacing="0" w:after="0" w:afterAutospacing="0"/>
        <w:ind w:left="-426" w:right="-518"/>
        <w:contextualSpacing/>
        <w:jc w:val="center"/>
        <w:rPr>
          <w:sz w:val="22"/>
          <w:szCs w:val="22"/>
        </w:rPr>
      </w:pPr>
    </w:p>
    <w:p w14:paraId="6C96ADF0" w14:textId="77777777" w:rsidR="001B4A8F" w:rsidRPr="001B7045" w:rsidRDefault="001B4A8F" w:rsidP="001B4A8F">
      <w:pPr>
        <w:pStyle w:val="NormalWeb"/>
        <w:spacing w:before="0" w:beforeAutospacing="0" w:after="0" w:afterAutospacing="0"/>
        <w:ind w:left="-426" w:right="-518"/>
        <w:contextualSpacing/>
        <w:jc w:val="center"/>
        <w:rPr>
          <w:sz w:val="22"/>
          <w:szCs w:val="22"/>
        </w:rPr>
      </w:pPr>
      <w:r w:rsidRPr="001B7045">
        <w:rPr>
          <w:sz w:val="22"/>
          <w:szCs w:val="22"/>
        </w:rPr>
        <w:t xml:space="preserve">Para consultas de medios y periodistas, contactar a: </w:t>
      </w:r>
      <w:hyperlink r:id="rId9" w:history="1">
        <w:r w:rsidRPr="001B7045">
          <w:rPr>
            <w:rStyle w:val="Hipervnculo"/>
            <w:sz w:val="22"/>
            <w:szCs w:val="22"/>
          </w:rPr>
          <w:t>comunicacionsocial@inegi.org.mx</w:t>
        </w:r>
      </w:hyperlink>
      <w:r w:rsidRPr="001B7045">
        <w:rPr>
          <w:sz w:val="22"/>
          <w:szCs w:val="22"/>
        </w:rPr>
        <w:t xml:space="preserve"> </w:t>
      </w:r>
    </w:p>
    <w:p w14:paraId="6B9BD15D" w14:textId="77777777" w:rsidR="001B4A8F" w:rsidRPr="001B7045" w:rsidRDefault="001B4A8F" w:rsidP="001B4A8F">
      <w:pPr>
        <w:pStyle w:val="NormalWeb"/>
        <w:spacing w:before="0" w:beforeAutospacing="0" w:after="0" w:afterAutospacing="0"/>
        <w:ind w:left="-426" w:right="-518"/>
        <w:contextualSpacing/>
        <w:jc w:val="center"/>
        <w:rPr>
          <w:sz w:val="22"/>
          <w:szCs w:val="22"/>
        </w:rPr>
      </w:pPr>
      <w:r w:rsidRPr="001B7045">
        <w:rPr>
          <w:sz w:val="22"/>
          <w:szCs w:val="22"/>
        </w:rPr>
        <w:t xml:space="preserve">o llamar al teléfono (55) 52-78-10-00, </w:t>
      </w:r>
      <w:proofErr w:type="spellStart"/>
      <w:r w:rsidRPr="001B7045">
        <w:rPr>
          <w:sz w:val="22"/>
          <w:szCs w:val="22"/>
        </w:rPr>
        <w:t>exts</w:t>
      </w:r>
      <w:proofErr w:type="spellEnd"/>
      <w:r w:rsidRPr="001B7045">
        <w:rPr>
          <w:sz w:val="22"/>
          <w:szCs w:val="22"/>
        </w:rPr>
        <w:t>. 1134, 1260 y 1241.</w:t>
      </w:r>
    </w:p>
    <w:p w14:paraId="53BBBC51" w14:textId="77777777" w:rsidR="001B4A8F" w:rsidRPr="001B7045" w:rsidRDefault="001B4A8F" w:rsidP="001B4A8F">
      <w:pPr>
        <w:ind w:left="-426" w:right="-518"/>
        <w:contextualSpacing/>
        <w:jc w:val="center"/>
        <w:rPr>
          <w:rFonts w:cs="Arial"/>
          <w:sz w:val="22"/>
          <w:szCs w:val="22"/>
        </w:rPr>
      </w:pPr>
    </w:p>
    <w:p w14:paraId="6434600B" w14:textId="77777777" w:rsidR="001B4A8F" w:rsidRPr="001B7045" w:rsidRDefault="001B4A8F" w:rsidP="001B4A8F">
      <w:pPr>
        <w:ind w:left="-426" w:right="-518"/>
        <w:contextualSpacing/>
        <w:jc w:val="center"/>
        <w:rPr>
          <w:rFonts w:cs="Arial"/>
          <w:sz w:val="22"/>
          <w:szCs w:val="22"/>
        </w:rPr>
      </w:pPr>
      <w:r w:rsidRPr="001B7045">
        <w:rPr>
          <w:rFonts w:cs="Arial"/>
          <w:sz w:val="22"/>
          <w:szCs w:val="22"/>
        </w:rPr>
        <w:t xml:space="preserve">Dirección de Atención a Medios / Dirección General Adjunta de Comunicación </w:t>
      </w:r>
    </w:p>
    <w:p w14:paraId="4855600F" w14:textId="77777777" w:rsidR="001B4A8F" w:rsidRPr="00345068" w:rsidRDefault="001B4A8F" w:rsidP="001B4A8F">
      <w:pPr>
        <w:ind w:left="-426" w:right="-518"/>
        <w:contextualSpacing/>
        <w:jc w:val="center"/>
        <w:rPr>
          <w:sz w:val="22"/>
          <w:szCs w:val="22"/>
        </w:rPr>
      </w:pPr>
    </w:p>
    <w:p w14:paraId="0E530608" w14:textId="77777777" w:rsidR="001B4A8F" w:rsidRDefault="001B4A8F" w:rsidP="001B4A8F">
      <w:pPr>
        <w:ind w:left="-425" w:right="-516"/>
        <w:contextualSpacing/>
        <w:jc w:val="center"/>
      </w:pPr>
      <w:r w:rsidRPr="00FF1218">
        <w:rPr>
          <w:noProof/>
          <w:lang w:eastAsia="es-MX"/>
        </w:rPr>
        <w:drawing>
          <wp:inline distT="0" distB="0" distL="0" distR="0" wp14:anchorId="378647D7" wp14:editId="357EC3D8">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B2C0CE9" wp14:editId="43F81F82">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0DDA867" wp14:editId="729239A7">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EBAAB62" wp14:editId="0A4DC837">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650691F6" wp14:editId="481A7C1C">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21B0792" w14:textId="77777777" w:rsidR="001B4A8F" w:rsidRPr="00157C43" w:rsidRDefault="001B4A8F" w:rsidP="001B4A8F">
      <w:pPr>
        <w:pStyle w:val="bullet"/>
        <w:tabs>
          <w:tab w:val="left" w:pos="8789"/>
        </w:tabs>
        <w:spacing w:before="0"/>
        <w:ind w:left="0" w:right="51" w:firstLine="0"/>
        <w:jc w:val="center"/>
        <w:rPr>
          <w:rFonts w:cs="Arial"/>
          <w:szCs w:val="24"/>
        </w:rPr>
        <w:sectPr w:rsidR="001B4A8F"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01FE3B64" w14:textId="131F7645" w:rsidR="001B4A8F" w:rsidRDefault="001B4A8F" w:rsidP="001B4A8F">
      <w:pPr>
        <w:pStyle w:val="Textoindependiente"/>
        <w:spacing w:before="100" w:beforeAutospacing="1" w:after="100" w:afterAutospacing="1"/>
        <w:ind w:left="-284" w:right="335"/>
        <w:contextualSpacing/>
        <w:rPr>
          <w:sz w:val="28"/>
          <w:szCs w:val="28"/>
        </w:rPr>
      </w:pPr>
      <w:r w:rsidRPr="005C75C2">
        <w:rPr>
          <w:sz w:val="28"/>
          <w:szCs w:val="28"/>
        </w:rPr>
        <w:lastRenderedPageBreak/>
        <w:t xml:space="preserve">      </w:t>
      </w:r>
      <w:r w:rsidRPr="008C3CE9">
        <w:rPr>
          <w:sz w:val="28"/>
          <w:szCs w:val="28"/>
        </w:rPr>
        <w:t>nota técnica</w:t>
      </w:r>
    </w:p>
    <w:p w14:paraId="3908E120" w14:textId="77777777" w:rsidR="001B4A8F" w:rsidRDefault="001B4A8F" w:rsidP="001B4A8F">
      <w:pPr>
        <w:pStyle w:val="Textoindependiente"/>
        <w:spacing w:before="100" w:beforeAutospacing="1" w:after="100" w:afterAutospacing="1"/>
        <w:ind w:left="-284" w:right="335"/>
        <w:contextualSpacing/>
        <w:rPr>
          <w:sz w:val="28"/>
          <w:szCs w:val="28"/>
        </w:rPr>
      </w:pPr>
    </w:p>
    <w:p w14:paraId="6A973D61" w14:textId="77777777" w:rsidR="00607F23" w:rsidRPr="004354AC" w:rsidRDefault="00607F23" w:rsidP="0052068C">
      <w:pPr>
        <w:pStyle w:val="Textoindependiente"/>
        <w:spacing w:before="100" w:beforeAutospacing="1"/>
        <w:rPr>
          <w:sz w:val="28"/>
        </w:rPr>
      </w:pPr>
      <w:r w:rsidRPr="004354AC">
        <w:rPr>
          <w:sz w:val="28"/>
        </w:rPr>
        <w:t>INDICADOR MENSUAL DEL CONSUMO</w:t>
      </w:r>
    </w:p>
    <w:p w14:paraId="471A8FE6" w14:textId="77777777" w:rsidR="00607F23" w:rsidRDefault="00607F23" w:rsidP="00607F23">
      <w:pPr>
        <w:pStyle w:val="Textoindependiente"/>
        <w:tabs>
          <w:tab w:val="center" w:pos="4420"/>
          <w:tab w:val="left" w:pos="8099"/>
        </w:tabs>
        <w:rPr>
          <w:sz w:val="28"/>
        </w:rPr>
      </w:pPr>
      <w:r w:rsidRPr="004354AC">
        <w:rPr>
          <w:sz w:val="28"/>
        </w:rPr>
        <w:t>PRIVADO EN EL MERCADO INTERIO</w:t>
      </w:r>
      <w:r>
        <w:rPr>
          <w:sz w:val="28"/>
        </w:rPr>
        <w:t>r</w:t>
      </w:r>
      <w:r>
        <w:rPr>
          <w:vertAlign w:val="superscript"/>
        </w:rPr>
        <w:footnoteReference w:id="5"/>
      </w:r>
    </w:p>
    <w:p w14:paraId="610F4657" w14:textId="0C84B00C" w:rsidR="00607F23" w:rsidRDefault="00607F23" w:rsidP="00607F23">
      <w:pPr>
        <w:pStyle w:val="Textoindependiente"/>
        <w:rPr>
          <w:b w:val="0"/>
        </w:rPr>
      </w:pPr>
      <w:r w:rsidRPr="00860E5E">
        <w:rPr>
          <w:sz w:val="28"/>
        </w:rPr>
        <w:t xml:space="preserve">DURANTE </w:t>
      </w:r>
      <w:r w:rsidR="00864B7E">
        <w:rPr>
          <w:sz w:val="28"/>
        </w:rPr>
        <w:t>E</w:t>
      </w:r>
      <w:r w:rsidR="00EB2CEC">
        <w:rPr>
          <w:sz w:val="28"/>
        </w:rPr>
        <w:t>NERO</w:t>
      </w:r>
      <w:r w:rsidRPr="00860E5E">
        <w:rPr>
          <w:sz w:val="28"/>
        </w:rPr>
        <w:t xml:space="preserve"> DE 20</w:t>
      </w:r>
      <w:r w:rsidR="00EB2CEC">
        <w:rPr>
          <w:sz w:val="28"/>
        </w:rPr>
        <w:t>20</w:t>
      </w:r>
    </w:p>
    <w:p w14:paraId="220A6501" w14:textId="77777777" w:rsidR="00607F23" w:rsidRDefault="00607F23" w:rsidP="00607F23">
      <w:pPr>
        <w:jc w:val="center"/>
        <w:rPr>
          <w:b/>
          <w:spacing w:val="25"/>
          <w:sz w:val="28"/>
        </w:rPr>
      </w:pPr>
      <w:r>
        <w:rPr>
          <w:b/>
          <w:i/>
          <w:spacing w:val="25"/>
        </w:rPr>
        <w:t>(Cifras desestacionalizadas)</w:t>
      </w:r>
    </w:p>
    <w:p w14:paraId="0098765B" w14:textId="77777777" w:rsidR="00D0777B" w:rsidRDefault="00D0777B" w:rsidP="00603623">
      <w:pPr>
        <w:pStyle w:val="p0"/>
        <w:spacing w:before="60"/>
        <w:jc w:val="center"/>
        <w:rPr>
          <w:rFonts w:cs="Arial"/>
          <w:color w:val="auto"/>
          <w:sz w:val="20"/>
          <w:szCs w:val="22"/>
        </w:rPr>
      </w:pPr>
    </w:p>
    <w:p w14:paraId="43AA782C" w14:textId="77777777" w:rsidR="00140D9C" w:rsidRDefault="00140D9C" w:rsidP="0052068C">
      <w:pPr>
        <w:pStyle w:val="Ttulo4"/>
        <w:keepNext w:val="0"/>
        <w:spacing w:before="120"/>
        <w:rPr>
          <w:u w:val="none"/>
        </w:rPr>
      </w:pPr>
      <w:r>
        <w:rPr>
          <w:u w:val="none"/>
        </w:rPr>
        <w:t>Principales Resultados</w:t>
      </w:r>
    </w:p>
    <w:p w14:paraId="7DD1179B" w14:textId="5406CF02" w:rsidR="004C2706" w:rsidRDefault="004C2706" w:rsidP="0052068C">
      <w:pPr>
        <w:spacing w:before="360"/>
      </w:pPr>
      <w:r>
        <w:t xml:space="preserve">Con base en cifras desestacionalizadas, el Indicador Mensual del Consumo Privado en el Mercado Interior (IMCPMI) </w:t>
      </w:r>
      <w:r w:rsidR="00A56148">
        <w:t xml:space="preserve">no presentó variación </w:t>
      </w:r>
      <w:r>
        <w:t xml:space="preserve">durante </w:t>
      </w:r>
      <w:r w:rsidR="00DE07A3">
        <w:t>e</w:t>
      </w:r>
      <w:r w:rsidR="00EB2CEC">
        <w:t>nero</w:t>
      </w:r>
      <w:r>
        <w:t xml:space="preserve"> de 20</w:t>
      </w:r>
      <w:r w:rsidR="00EB2CEC">
        <w:t>20</w:t>
      </w:r>
      <w:r>
        <w:t xml:space="preserve"> con relación al nivel del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2A1950">
      <w:pPr>
        <w:widowControl/>
        <w:jc w:val="center"/>
        <w:rPr>
          <w:rFonts w:cs="Arial"/>
          <w:sz w:val="20"/>
          <w:szCs w:val="22"/>
        </w:rPr>
      </w:pPr>
      <w:r>
        <w:rPr>
          <w:rFonts w:cs="Arial"/>
          <w:sz w:val="20"/>
          <w:szCs w:val="22"/>
        </w:rPr>
        <w:t>Gráfica</w:t>
      </w:r>
      <w:r w:rsidRPr="009A37CD">
        <w:rPr>
          <w:rFonts w:cs="Arial"/>
          <w:sz w:val="20"/>
          <w:szCs w:val="22"/>
        </w:rPr>
        <w:t xml:space="preserve"> 1</w:t>
      </w:r>
    </w:p>
    <w:p w14:paraId="76B7A9C5" w14:textId="77777777" w:rsidR="00140D9C" w:rsidRDefault="00140D9C" w:rsidP="00B920A0">
      <w:pPr>
        <w:jc w:val="center"/>
        <w:outlineLvl w:val="3"/>
        <w:rPr>
          <w:rFonts w:cs="Arial"/>
          <w:b/>
          <w:smallCaps/>
          <w:sz w:val="22"/>
        </w:rPr>
      </w:pPr>
      <w:r>
        <w:rPr>
          <w:rFonts w:cs="Arial"/>
          <w:b/>
          <w:smallCaps/>
          <w:sz w:val="22"/>
        </w:rPr>
        <w:t xml:space="preserve">Indicador Mensual del Consumo Privado </w:t>
      </w:r>
    </w:p>
    <w:p w14:paraId="7EF8D8A2" w14:textId="5B6FFC31" w:rsidR="00140D9C" w:rsidRDefault="00140D9C" w:rsidP="00140D9C">
      <w:pPr>
        <w:jc w:val="center"/>
        <w:outlineLvl w:val="3"/>
        <w:rPr>
          <w:rFonts w:cs="Arial"/>
          <w:b/>
          <w:smallCaps/>
          <w:sz w:val="22"/>
        </w:rPr>
      </w:pPr>
      <w:r>
        <w:rPr>
          <w:rFonts w:cs="Arial"/>
          <w:b/>
          <w:smallCaps/>
          <w:sz w:val="22"/>
        </w:rPr>
        <w:t xml:space="preserve">en el Mercado Interior </w:t>
      </w:r>
      <w:r w:rsidR="005B5BDA">
        <w:rPr>
          <w:rFonts w:cs="Arial"/>
          <w:b/>
          <w:smallCaps/>
          <w:sz w:val="22"/>
        </w:rPr>
        <w:t>a</w:t>
      </w:r>
      <w:r w:rsidR="006B35B5">
        <w:rPr>
          <w:rFonts w:cs="Arial"/>
          <w:b/>
          <w:smallCaps/>
          <w:sz w:val="22"/>
        </w:rPr>
        <w:t xml:space="preserve"> e</w:t>
      </w:r>
      <w:r w:rsidR="00EB2CEC">
        <w:rPr>
          <w:rFonts w:cs="Arial"/>
          <w:b/>
          <w:smallCaps/>
          <w:sz w:val="22"/>
        </w:rPr>
        <w:t>nero</w:t>
      </w:r>
      <w:r w:rsidRPr="004C2706">
        <w:rPr>
          <w:rFonts w:cs="Arial"/>
          <w:b/>
          <w:smallCaps/>
          <w:sz w:val="20"/>
        </w:rPr>
        <w:t xml:space="preserve"> </w:t>
      </w:r>
      <w:r>
        <w:rPr>
          <w:rFonts w:cs="Arial"/>
          <w:b/>
          <w:smallCaps/>
          <w:sz w:val="22"/>
        </w:rPr>
        <w:t>de 20</w:t>
      </w:r>
      <w:r w:rsidR="00EB2CEC">
        <w:rPr>
          <w:rFonts w:cs="Arial"/>
          <w:b/>
          <w:smallCaps/>
          <w:sz w:val="22"/>
        </w:rPr>
        <w:t>20</w:t>
      </w:r>
    </w:p>
    <w:p w14:paraId="2B9BB89D" w14:textId="77777777" w:rsidR="00140D9C" w:rsidRDefault="00140D9C" w:rsidP="00140D9C">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166F65BD" w:rsidR="00140D9C" w:rsidRDefault="001F496E" w:rsidP="00140D9C">
      <w:pPr>
        <w:jc w:val="center"/>
        <w:outlineLvl w:val="3"/>
        <w:rPr>
          <w:rFonts w:cs="Arial"/>
          <w:sz w:val="18"/>
          <w:szCs w:val="18"/>
        </w:rPr>
      </w:pPr>
      <w:r>
        <w:rPr>
          <w:noProof/>
          <w:lang w:eastAsia="es-MX"/>
        </w:rPr>
        <w:drawing>
          <wp:inline distT="0" distB="0" distL="0" distR="0" wp14:anchorId="4A9EAF45" wp14:editId="6D7E9186">
            <wp:extent cx="4320000" cy="2526212"/>
            <wp:effectExtent l="0" t="0" r="23495" b="266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81696">
      <w:pPr>
        <w:ind w:left="708" w:firstLine="708"/>
      </w:pPr>
      <w:r>
        <w:rPr>
          <w:rFonts w:cs="Arial"/>
          <w:sz w:val="16"/>
        </w:rPr>
        <w:t>Fuente: INEGI.</w:t>
      </w:r>
    </w:p>
    <w:p w14:paraId="665DE198" w14:textId="77777777" w:rsidR="002C3239" w:rsidRDefault="002C3239" w:rsidP="002C3239">
      <w:pPr>
        <w:spacing w:before="240"/>
        <w:outlineLvl w:val="3"/>
      </w:pPr>
    </w:p>
    <w:p w14:paraId="435148EA" w14:textId="4D674B58" w:rsidR="004E1F29" w:rsidRDefault="004E1F29" w:rsidP="006234E0">
      <w:pPr>
        <w:spacing w:before="120"/>
      </w:pPr>
      <w:r>
        <w:t>Por componentes, el consumo en Bienes de origen importado aumentó 3.2%</w:t>
      </w:r>
      <w:r w:rsidR="008A1DA9">
        <w:t xml:space="preserve"> y</w:t>
      </w:r>
      <w:r>
        <w:t xml:space="preserve"> en</w:t>
      </w:r>
      <w:r w:rsidRPr="008B51F0">
        <w:t xml:space="preserve"> </w:t>
      </w:r>
      <w:r>
        <w:t xml:space="preserve">Bienes y Servicios de origen nacional </w:t>
      </w:r>
      <w:r w:rsidR="006439FC">
        <w:t>creció</w:t>
      </w:r>
      <w:r w:rsidRPr="00864B7E">
        <w:t xml:space="preserve"> </w:t>
      </w:r>
      <w:r>
        <w:t>0.1% en el primer mes del presente año respecto al mes previo, según datos ajustados por estacionalidad.</w:t>
      </w:r>
    </w:p>
    <w:p w14:paraId="52F7C63C" w14:textId="77777777" w:rsidR="004C2706" w:rsidRPr="001A52A3" w:rsidRDefault="004C2706" w:rsidP="004C2706">
      <w:pPr>
        <w:pStyle w:val="p0"/>
        <w:spacing w:before="0"/>
        <w:jc w:val="center"/>
        <w:rPr>
          <w:color w:val="auto"/>
        </w:rPr>
      </w:pPr>
    </w:p>
    <w:p w14:paraId="067CD453" w14:textId="77777777" w:rsidR="008B3946" w:rsidRDefault="004C2706" w:rsidP="008B3946">
      <w:pPr>
        <w:pStyle w:val="p0"/>
        <w:spacing w:before="0"/>
        <w:jc w:val="center"/>
        <w:rPr>
          <w:rFonts w:cs="Arial"/>
          <w:color w:val="auto"/>
          <w:sz w:val="20"/>
          <w:szCs w:val="22"/>
        </w:rPr>
      </w:pPr>
      <w:r w:rsidRPr="00B920A0">
        <w:rPr>
          <w:rFonts w:cs="Arial"/>
          <w:color w:val="auto"/>
          <w:sz w:val="20"/>
          <w:szCs w:val="22"/>
        </w:rPr>
        <w:lastRenderedPageBreak/>
        <w:t xml:space="preserve">Gráfica </w:t>
      </w:r>
      <w:r>
        <w:rPr>
          <w:rFonts w:cs="Arial"/>
          <w:color w:val="auto"/>
          <w:sz w:val="20"/>
          <w:szCs w:val="22"/>
        </w:rPr>
        <w:t>2</w:t>
      </w:r>
    </w:p>
    <w:p w14:paraId="1EB8A28F" w14:textId="77777777" w:rsidR="001F496E" w:rsidRDefault="001F496E" w:rsidP="001F496E">
      <w:pPr>
        <w:pStyle w:val="p0"/>
        <w:spacing w:before="0"/>
        <w:jc w:val="center"/>
        <w:rPr>
          <w:rFonts w:cs="Arial"/>
          <w:b/>
          <w:smallCaps/>
          <w:color w:val="000000"/>
          <w:sz w:val="22"/>
        </w:rPr>
      </w:pPr>
      <w:r w:rsidRPr="00376D7C">
        <w:rPr>
          <w:rFonts w:cs="Arial"/>
          <w:b/>
          <w:smallCaps/>
          <w:color w:val="000000"/>
          <w:sz w:val="22"/>
        </w:rPr>
        <w:t>Consumo en bienes de origen importado a</w:t>
      </w:r>
      <w:r>
        <w:rPr>
          <w:rFonts w:cs="Arial"/>
          <w:b/>
          <w:smallCaps/>
          <w:color w:val="000000"/>
          <w:sz w:val="22"/>
        </w:rPr>
        <w:t xml:space="preserve"> enero</w:t>
      </w:r>
      <w:r w:rsidRPr="00376D7C">
        <w:rPr>
          <w:rFonts w:cs="Arial"/>
          <w:b/>
          <w:smallCaps/>
          <w:color w:val="000000"/>
          <w:sz w:val="22"/>
        </w:rPr>
        <w:t xml:space="preserve"> de 20</w:t>
      </w:r>
      <w:r>
        <w:rPr>
          <w:rFonts w:cs="Arial"/>
          <w:b/>
          <w:smallCaps/>
          <w:color w:val="000000"/>
          <w:sz w:val="22"/>
        </w:rPr>
        <w:t xml:space="preserve">20 </w:t>
      </w:r>
    </w:p>
    <w:p w14:paraId="1D3B236D"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30FFAD7E" w:rsidR="001A032F" w:rsidRDefault="001F496E" w:rsidP="001A032F">
      <w:pPr>
        <w:jc w:val="center"/>
        <w:rPr>
          <w:rFonts w:cs="Arial"/>
          <w:sz w:val="18"/>
          <w:szCs w:val="18"/>
        </w:rPr>
      </w:pPr>
      <w:r>
        <w:rPr>
          <w:noProof/>
          <w:lang w:eastAsia="es-MX"/>
        </w:rPr>
        <w:drawing>
          <wp:inline distT="0" distB="0" distL="0" distR="0" wp14:anchorId="5BAF980F" wp14:editId="6F518287">
            <wp:extent cx="4320000" cy="2527200"/>
            <wp:effectExtent l="0" t="0" r="23495" b="26035"/>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7F753F23" w14:textId="77777777" w:rsidR="001A032F" w:rsidRDefault="001A032F" w:rsidP="004C2706">
      <w:pPr>
        <w:pStyle w:val="p0"/>
        <w:spacing w:before="0"/>
        <w:jc w:val="center"/>
        <w:rPr>
          <w:rFonts w:cs="Arial"/>
          <w:color w:val="auto"/>
          <w:sz w:val="20"/>
          <w:szCs w:val="22"/>
        </w:rPr>
      </w:pPr>
    </w:p>
    <w:p w14:paraId="50041238" w14:textId="77777777"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7CB8A84" w14:textId="77777777" w:rsidR="001F496E" w:rsidRPr="00376D7C" w:rsidRDefault="001F496E" w:rsidP="001F496E">
      <w:pPr>
        <w:pStyle w:val="p0"/>
        <w:spacing w:before="0"/>
        <w:jc w:val="center"/>
        <w:rPr>
          <w:rFonts w:cs="Arial"/>
          <w:b/>
          <w:smallCaps/>
          <w:color w:val="000000"/>
          <w:sz w:val="22"/>
        </w:rPr>
      </w:pPr>
      <w:r>
        <w:rPr>
          <w:rFonts w:cs="Arial"/>
          <w:b/>
          <w:smallCaps/>
          <w:color w:val="000000"/>
          <w:sz w:val="22"/>
        </w:rPr>
        <w:t>Consumo en bienes y servicios de origen nacional a enero de 2020</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77777777" w:rsidR="001A032F" w:rsidRDefault="001A032F" w:rsidP="001A032F">
      <w:pPr>
        <w:jc w:val="center"/>
        <w:rPr>
          <w:rFonts w:cs="Arial"/>
          <w:sz w:val="18"/>
          <w:szCs w:val="18"/>
        </w:rPr>
      </w:pPr>
      <w:r>
        <w:rPr>
          <w:rFonts w:cs="Arial"/>
          <w:sz w:val="18"/>
          <w:szCs w:val="18"/>
        </w:rPr>
        <w:t>(Índice base 2013=100)</w:t>
      </w:r>
    </w:p>
    <w:p w14:paraId="2D3F74DA" w14:textId="6CA5745E" w:rsidR="001A032F" w:rsidRDefault="001F496E" w:rsidP="001A032F">
      <w:pPr>
        <w:jc w:val="center"/>
        <w:rPr>
          <w:rFonts w:cs="Arial"/>
          <w:sz w:val="18"/>
          <w:szCs w:val="18"/>
        </w:rPr>
      </w:pPr>
      <w:r>
        <w:rPr>
          <w:noProof/>
          <w:lang w:eastAsia="es-MX"/>
        </w:rPr>
        <w:drawing>
          <wp:inline distT="0" distB="0" distL="0" distR="0" wp14:anchorId="226E1ACF" wp14:editId="6E604A60">
            <wp:extent cx="4320000" cy="2527200"/>
            <wp:effectExtent l="0" t="0" r="23495" b="26035"/>
            <wp:docPr id="6" name="Gráfico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5974D785" w14:textId="17037FAD" w:rsidR="00861A2C" w:rsidRDefault="00861A2C" w:rsidP="00CD79EC">
      <w:pPr>
        <w:pStyle w:val="Ttulo4"/>
        <w:keepNext w:val="0"/>
        <w:spacing w:before="0"/>
        <w:rPr>
          <w:u w:val="none"/>
        </w:rPr>
      </w:pPr>
    </w:p>
    <w:p w14:paraId="7C45CC76" w14:textId="77777777" w:rsidR="00E67718" w:rsidRPr="00E67718" w:rsidRDefault="00E67718" w:rsidP="00E67718"/>
    <w:p w14:paraId="186FBD42" w14:textId="77777777" w:rsidR="00B31577" w:rsidRDefault="00B31577" w:rsidP="00CD79EC">
      <w:pPr>
        <w:pStyle w:val="Ttulo4"/>
        <w:keepNext w:val="0"/>
        <w:spacing w:before="0"/>
        <w:rPr>
          <w:u w:val="none"/>
        </w:rPr>
      </w:pPr>
    </w:p>
    <w:p w14:paraId="7ED34A5E" w14:textId="77777777" w:rsidR="00B31577" w:rsidRDefault="00B31577" w:rsidP="00CD79EC">
      <w:pPr>
        <w:pStyle w:val="Ttulo4"/>
        <w:keepNext w:val="0"/>
        <w:spacing w:before="0"/>
        <w:rPr>
          <w:u w:val="none"/>
        </w:rPr>
      </w:pPr>
    </w:p>
    <w:p w14:paraId="4193FCD1" w14:textId="77777777" w:rsidR="00B31577" w:rsidRDefault="00B31577" w:rsidP="00CD79EC">
      <w:pPr>
        <w:pStyle w:val="Ttulo4"/>
        <w:keepNext w:val="0"/>
        <w:spacing w:before="0"/>
        <w:rPr>
          <w:u w:val="none"/>
        </w:rPr>
      </w:pPr>
    </w:p>
    <w:p w14:paraId="4C86B859" w14:textId="77777777" w:rsidR="00B31577" w:rsidRDefault="00B31577" w:rsidP="00CD79EC">
      <w:pPr>
        <w:pStyle w:val="Ttulo4"/>
        <w:keepNext w:val="0"/>
        <w:spacing w:before="0"/>
        <w:rPr>
          <w:u w:val="none"/>
        </w:rPr>
      </w:pPr>
    </w:p>
    <w:p w14:paraId="727CE8C6" w14:textId="6556C314" w:rsidR="00140D9C" w:rsidRDefault="00140D9C" w:rsidP="00CD79EC">
      <w:pPr>
        <w:pStyle w:val="Ttulo4"/>
        <w:keepNext w:val="0"/>
        <w:spacing w:before="0"/>
        <w:rPr>
          <w:u w:val="none"/>
        </w:rPr>
      </w:pPr>
      <w:r>
        <w:rPr>
          <w:u w:val="none"/>
        </w:rPr>
        <w:lastRenderedPageBreak/>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5A417363"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E32FE1">
        <w:rPr>
          <w:rFonts w:cs="Arial"/>
          <w:b/>
          <w:smallCaps/>
          <w:color w:val="auto"/>
          <w:sz w:val="22"/>
          <w:szCs w:val="22"/>
        </w:rPr>
        <w:t>e</w:t>
      </w:r>
      <w:r w:rsidR="00EB2CEC">
        <w:rPr>
          <w:rFonts w:cs="Arial"/>
          <w:b/>
          <w:smallCaps/>
          <w:color w:val="auto"/>
          <w:sz w:val="22"/>
          <w:szCs w:val="22"/>
        </w:rPr>
        <w:t>nero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20</w:t>
      </w:r>
    </w:p>
    <w:p w14:paraId="70145CEB" w14:textId="5222FEC7"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E107F1">
        <w:rPr>
          <w:rFonts w:cs="Arial"/>
          <w:color w:val="auto"/>
          <w:sz w:val="18"/>
        </w:rPr>
        <w:t>mes</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tblGrid>
      <w:tr w:rsidR="00EB2CEC" w14:paraId="1A00475B" w14:textId="77777777" w:rsidTr="00E107F1">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583D8B38" w14:textId="77777777" w:rsidR="00EB2CEC" w:rsidRPr="005756E3" w:rsidRDefault="00EB2CEC" w:rsidP="00813D38">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hideMark/>
          </w:tcPr>
          <w:p w14:paraId="4C12DA41" w14:textId="1C3D9F3B" w:rsidR="00EB2CEC" w:rsidRPr="005756E3" w:rsidRDefault="00EB2CEC" w:rsidP="008340D4">
            <w:pPr>
              <w:pStyle w:val="p0"/>
              <w:keepNext/>
              <w:spacing w:before="120" w:after="120"/>
              <w:jc w:val="center"/>
              <w:rPr>
                <w:rFonts w:cs="Arial"/>
                <w:color w:val="auto"/>
                <w:sz w:val="18"/>
                <w:szCs w:val="18"/>
                <w:lang w:val="es-ES"/>
              </w:rPr>
            </w:pPr>
            <w:r>
              <w:rPr>
                <w:rFonts w:cs="Arial"/>
                <w:color w:val="auto"/>
                <w:sz w:val="18"/>
                <w:szCs w:val="18"/>
                <w:lang w:val="es-ES"/>
              </w:rPr>
              <w:t>Enero</w:t>
            </w:r>
          </w:p>
        </w:tc>
      </w:tr>
      <w:tr w:rsidR="00EB2CEC" w14:paraId="1C3BEDEB" w14:textId="77777777" w:rsidTr="00E107F1">
        <w:trPr>
          <w:cantSplit/>
          <w:trHeight w:val="20"/>
          <w:jc w:val="center"/>
        </w:trPr>
        <w:tc>
          <w:tcPr>
            <w:tcW w:w="3888" w:type="dxa"/>
            <w:tcBorders>
              <w:top w:val="single" w:sz="4" w:space="0" w:color="auto"/>
              <w:left w:val="double" w:sz="4" w:space="0" w:color="auto"/>
              <w:bottom w:val="nil"/>
              <w:right w:val="single" w:sz="6" w:space="0" w:color="auto"/>
            </w:tcBorders>
            <w:hideMark/>
          </w:tcPr>
          <w:p w14:paraId="17BE3432" w14:textId="77777777" w:rsidR="00EB2CEC" w:rsidRDefault="00EB2CEC" w:rsidP="00CF67D4">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double" w:sz="4" w:space="0" w:color="auto"/>
            </w:tcBorders>
            <w:hideMark/>
          </w:tcPr>
          <w:p w14:paraId="76E5163C" w14:textId="5DB88645" w:rsidR="00EB2CEC" w:rsidRPr="009050A8" w:rsidRDefault="00EB2CEC" w:rsidP="0065114D">
            <w:pPr>
              <w:tabs>
                <w:tab w:val="left" w:pos="307"/>
                <w:tab w:val="decimal" w:pos="881"/>
              </w:tabs>
              <w:spacing w:before="120" w:after="60"/>
              <w:ind w:right="510"/>
              <w:jc w:val="right"/>
              <w:rPr>
                <w:rFonts w:cs="Arial"/>
                <w:b/>
                <w:sz w:val="18"/>
                <w:u w:val="single"/>
                <w:lang w:val="es-ES" w:eastAsia="en-US"/>
              </w:rPr>
            </w:pPr>
            <w:r w:rsidRPr="009050A8">
              <w:rPr>
                <w:rFonts w:cs="Arial"/>
                <w:b/>
                <w:sz w:val="18"/>
                <w:lang w:val="es-ES" w:eastAsia="en-US"/>
              </w:rPr>
              <w:t xml:space="preserve">    </w:t>
            </w:r>
            <w:r w:rsidR="006C7BA4">
              <w:rPr>
                <w:rFonts w:cs="Arial"/>
                <w:b/>
                <w:sz w:val="18"/>
                <w:u w:val="single"/>
                <w:lang w:val="es-ES" w:eastAsia="en-US"/>
              </w:rPr>
              <w:t>0</w:t>
            </w:r>
            <w:r>
              <w:rPr>
                <w:rFonts w:cs="Arial"/>
                <w:b/>
                <w:sz w:val="18"/>
                <w:u w:val="single"/>
                <w:lang w:val="es-ES" w:eastAsia="en-US"/>
              </w:rPr>
              <w:t>.2</w:t>
            </w:r>
          </w:p>
        </w:tc>
      </w:tr>
      <w:tr w:rsidR="00EB2CEC" w14:paraId="3DE3153C" w14:textId="77777777" w:rsidTr="00E107F1">
        <w:trPr>
          <w:cantSplit/>
          <w:trHeight w:val="20"/>
          <w:jc w:val="center"/>
        </w:trPr>
        <w:tc>
          <w:tcPr>
            <w:tcW w:w="3888" w:type="dxa"/>
            <w:tcBorders>
              <w:top w:val="nil"/>
              <w:left w:val="double" w:sz="4" w:space="0" w:color="auto"/>
              <w:bottom w:val="nil"/>
              <w:right w:val="single" w:sz="6" w:space="0" w:color="auto"/>
            </w:tcBorders>
            <w:hideMark/>
          </w:tcPr>
          <w:p w14:paraId="4223092B" w14:textId="77777777" w:rsidR="00EB2CEC" w:rsidRDefault="00EB2CEC" w:rsidP="00CF67D4">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double" w:sz="4" w:space="0" w:color="auto"/>
            </w:tcBorders>
            <w:hideMark/>
          </w:tcPr>
          <w:p w14:paraId="55238452" w14:textId="2EBC19C2" w:rsidR="00EB2CEC" w:rsidRPr="009050A8" w:rsidRDefault="00EB2CEC" w:rsidP="0065114D">
            <w:pPr>
              <w:tabs>
                <w:tab w:val="left" w:pos="307"/>
              </w:tabs>
              <w:ind w:right="510"/>
              <w:jc w:val="right"/>
              <w:rPr>
                <w:rFonts w:cs="Arial"/>
                <w:b/>
                <w:sz w:val="18"/>
                <w:lang w:val="es-ES" w:eastAsia="en-US"/>
              </w:rPr>
            </w:pPr>
            <w:r w:rsidRPr="009050A8">
              <w:rPr>
                <w:rFonts w:cs="Arial"/>
                <w:b/>
                <w:sz w:val="18"/>
                <w:lang w:val="es-ES" w:eastAsia="en-US"/>
              </w:rPr>
              <w:t>0.</w:t>
            </w:r>
            <w:r w:rsidR="006C7BA4">
              <w:rPr>
                <w:rFonts w:cs="Arial"/>
                <w:b/>
                <w:sz w:val="18"/>
                <w:lang w:val="es-ES" w:eastAsia="en-US"/>
              </w:rPr>
              <w:t>0</w:t>
            </w:r>
          </w:p>
        </w:tc>
      </w:tr>
      <w:tr w:rsidR="00EB2CEC" w14:paraId="6E2706A3" w14:textId="77777777" w:rsidTr="00E107F1">
        <w:trPr>
          <w:cantSplit/>
          <w:trHeight w:val="20"/>
          <w:jc w:val="center"/>
        </w:trPr>
        <w:tc>
          <w:tcPr>
            <w:tcW w:w="3888" w:type="dxa"/>
            <w:tcBorders>
              <w:top w:val="nil"/>
              <w:left w:val="double" w:sz="4" w:space="0" w:color="auto"/>
              <w:bottom w:val="nil"/>
              <w:right w:val="single" w:sz="6" w:space="0" w:color="auto"/>
            </w:tcBorders>
            <w:hideMark/>
          </w:tcPr>
          <w:p w14:paraId="4BB27D0E" w14:textId="77777777" w:rsidR="00EB2CEC" w:rsidRDefault="00EB2CEC" w:rsidP="00CF67D4">
            <w:pPr>
              <w:pStyle w:val="p0"/>
              <w:spacing w:before="0"/>
              <w:ind w:firstLine="454"/>
              <w:rPr>
                <w:rFonts w:cs="Arial"/>
                <w:color w:val="auto"/>
                <w:sz w:val="18"/>
                <w:lang w:val="es-ES"/>
              </w:rPr>
            </w:pPr>
            <w:r>
              <w:rPr>
                <w:rFonts w:cs="Arial"/>
                <w:color w:val="auto"/>
                <w:sz w:val="18"/>
                <w:lang w:val="es-ES"/>
              </w:rPr>
              <w:t>Bienes</w:t>
            </w:r>
          </w:p>
          <w:p w14:paraId="19746F42" w14:textId="77777777" w:rsidR="00EB2CEC" w:rsidRDefault="00EB2CEC" w:rsidP="00CF67D4">
            <w:pPr>
              <w:pStyle w:val="p0"/>
              <w:spacing w:before="0"/>
              <w:ind w:firstLine="454"/>
              <w:rPr>
                <w:rFonts w:cs="Arial"/>
                <w:color w:val="auto"/>
                <w:sz w:val="18"/>
                <w:lang w:val="es-ES"/>
              </w:rPr>
            </w:pPr>
            <w:r>
              <w:rPr>
                <w:rFonts w:cs="Arial"/>
                <w:color w:val="auto"/>
                <w:sz w:val="18"/>
                <w:lang w:val="es-ES"/>
              </w:rPr>
              <w:t xml:space="preserve">      Duraderos</w:t>
            </w:r>
          </w:p>
          <w:p w14:paraId="22DD0368" w14:textId="77777777" w:rsidR="00EB2CEC" w:rsidRDefault="00EB2CEC" w:rsidP="00CF67D4">
            <w:pPr>
              <w:pStyle w:val="p0"/>
              <w:spacing w:before="0"/>
              <w:ind w:firstLine="454"/>
              <w:rPr>
                <w:rFonts w:cs="Arial"/>
                <w:color w:val="auto"/>
                <w:sz w:val="18"/>
                <w:lang w:val="es-ES"/>
              </w:rPr>
            </w:pPr>
            <w:r>
              <w:rPr>
                <w:rFonts w:cs="Arial"/>
                <w:color w:val="auto"/>
                <w:sz w:val="18"/>
                <w:lang w:val="es-ES"/>
              </w:rPr>
              <w:t xml:space="preserve">      Semi duraderos</w:t>
            </w:r>
          </w:p>
          <w:p w14:paraId="13D86AC0" w14:textId="77777777" w:rsidR="00EB2CEC" w:rsidRDefault="00EB2CEC"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double" w:sz="4" w:space="0" w:color="auto"/>
            </w:tcBorders>
            <w:hideMark/>
          </w:tcPr>
          <w:p w14:paraId="7084038A" w14:textId="64AF2994" w:rsidR="00EB2CEC" w:rsidRPr="009050A8" w:rsidRDefault="00EB2CEC" w:rsidP="00261CC9">
            <w:pPr>
              <w:tabs>
                <w:tab w:val="left" w:pos="307"/>
              </w:tabs>
              <w:ind w:right="510"/>
              <w:jc w:val="right"/>
              <w:rPr>
                <w:rFonts w:cs="Arial"/>
                <w:sz w:val="18"/>
                <w:lang w:val="es-ES" w:eastAsia="en-US"/>
              </w:rPr>
            </w:pPr>
            <w:r w:rsidRPr="009050A8">
              <w:rPr>
                <w:rFonts w:cs="Arial"/>
                <w:sz w:val="18"/>
                <w:lang w:val="es-ES" w:eastAsia="en-US"/>
              </w:rPr>
              <w:t xml:space="preserve">   </w:t>
            </w:r>
            <w:r>
              <w:rPr>
                <w:rFonts w:cs="Arial"/>
                <w:sz w:val="18"/>
                <w:lang w:val="es-ES" w:eastAsia="en-US"/>
              </w:rPr>
              <w:t>0</w:t>
            </w:r>
            <w:r w:rsidRPr="009050A8">
              <w:rPr>
                <w:rFonts w:cs="Arial"/>
                <w:sz w:val="18"/>
                <w:lang w:val="es-ES" w:eastAsia="en-US"/>
              </w:rPr>
              <w:t>.</w:t>
            </w:r>
            <w:r w:rsidR="006C7BA4">
              <w:rPr>
                <w:rFonts w:cs="Arial"/>
                <w:sz w:val="18"/>
                <w:lang w:val="es-ES" w:eastAsia="en-US"/>
              </w:rPr>
              <w:t>7</w:t>
            </w:r>
          </w:p>
          <w:p w14:paraId="1388C364" w14:textId="1F19B5A8" w:rsidR="00EB2CEC" w:rsidRPr="009050A8" w:rsidRDefault="00EB2CEC" w:rsidP="00261CC9">
            <w:pPr>
              <w:tabs>
                <w:tab w:val="left" w:pos="307"/>
              </w:tabs>
              <w:ind w:right="510"/>
              <w:jc w:val="right"/>
              <w:rPr>
                <w:rFonts w:cs="Arial"/>
                <w:sz w:val="18"/>
                <w:lang w:val="es-ES" w:eastAsia="en-US"/>
              </w:rPr>
            </w:pPr>
            <w:r w:rsidRPr="009050A8">
              <w:rPr>
                <w:rFonts w:cs="Arial"/>
                <w:sz w:val="18"/>
                <w:lang w:val="es-ES" w:eastAsia="en-US"/>
              </w:rPr>
              <w:t xml:space="preserve"> </w:t>
            </w:r>
            <w:r>
              <w:rPr>
                <w:rFonts w:cs="Arial"/>
                <w:sz w:val="18"/>
                <w:lang w:val="es-ES" w:eastAsia="en-US"/>
              </w:rPr>
              <w:t xml:space="preserve">  </w:t>
            </w:r>
            <w:r w:rsidRPr="009050A8">
              <w:rPr>
                <w:rFonts w:cs="Arial"/>
                <w:sz w:val="18"/>
                <w:lang w:val="es-ES" w:eastAsia="en-US"/>
              </w:rPr>
              <w:t xml:space="preserve"> </w:t>
            </w:r>
            <w:r w:rsidR="006C7BA4">
              <w:rPr>
                <w:rFonts w:cs="Arial"/>
                <w:sz w:val="18"/>
                <w:lang w:val="es-ES" w:eastAsia="en-US"/>
              </w:rPr>
              <w:t>0</w:t>
            </w:r>
            <w:r w:rsidRPr="009050A8">
              <w:rPr>
                <w:rFonts w:cs="Arial"/>
                <w:sz w:val="18"/>
                <w:lang w:val="es-ES" w:eastAsia="en-US"/>
              </w:rPr>
              <w:t>.</w:t>
            </w:r>
            <w:r w:rsidR="006C7BA4">
              <w:rPr>
                <w:rFonts w:cs="Arial"/>
                <w:sz w:val="18"/>
                <w:lang w:val="es-ES" w:eastAsia="en-US"/>
              </w:rPr>
              <w:t>2</w:t>
            </w:r>
          </w:p>
          <w:p w14:paraId="00BC895B" w14:textId="0D3CCC49" w:rsidR="00EB2CEC" w:rsidRPr="009050A8" w:rsidRDefault="00EB2CEC" w:rsidP="00261CC9">
            <w:pPr>
              <w:tabs>
                <w:tab w:val="left" w:pos="307"/>
              </w:tabs>
              <w:ind w:right="510"/>
              <w:jc w:val="right"/>
              <w:rPr>
                <w:rFonts w:cs="Arial"/>
                <w:sz w:val="18"/>
                <w:lang w:val="es-ES" w:eastAsia="en-US"/>
              </w:rPr>
            </w:pPr>
            <w:r w:rsidRPr="009050A8">
              <w:rPr>
                <w:rFonts w:cs="Arial"/>
                <w:sz w:val="18"/>
                <w:lang w:val="es-ES" w:eastAsia="en-US"/>
              </w:rPr>
              <w:t xml:space="preserve">(-)    </w:t>
            </w:r>
            <w:r>
              <w:rPr>
                <w:rFonts w:cs="Arial"/>
                <w:sz w:val="18"/>
                <w:lang w:val="es-ES" w:eastAsia="en-US"/>
              </w:rPr>
              <w:t>2</w:t>
            </w:r>
            <w:r w:rsidR="006C7BA4">
              <w:rPr>
                <w:rFonts w:cs="Arial"/>
                <w:sz w:val="18"/>
                <w:lang w:val="es-ES" w:eastAsia="en-US"/>
              </w:rPr>
              <w:t>.5</w:t>
            </w:r>
          </w:p>
          <w:p w14:paraId="5BEE1A1C" w14:textId="5A47BE5A" w:rsidR="00EB2CEC" w:rsidRPr="009050A8" w:rsidRDefault="00EB2CEC" w:rsidP="0065114D">
            <w:pPr>
              <w:tabs>
                <w:tab w:val="left" w:pos="307"/>
              </w:tabs>
              <w:ind w:right="510"/>
              <w:jc w:val="right"/>
              <w:rPr>
                <w:rFonts w:cs="Arial"/>
                <w:sz w:val="18"/>
                <w:lang w:val="es-ES" w:eastAsia="en-US"/>
              </w:rPr>
            </w:pPr>
            <w:r w:rsidRPr="009050A8">
              <w:rPr>
                <w:rFonts w:cs="Arial"/>
                <w:sz w:val="18"/>
                <w:lang w:val="es-ES" w:eastAsia="en-US"/>
              </w:rPr>
              <w:t xml:space="preserve">    </w:t>
            </w:r>
            <w:r>
              <w:rPr>
                <w:rFonts w:cs="Arial"/>
                <w:sz w:val="18"/>
                <w:lang w:val="es-ES" w:eastAsia="en-US"/>
              </w:rPr>
              <w:t>1</w:t>
            </w:r>
            <w:r w:rsidRPr="009050A8">
              <w:rPr>
                <w:rFonts w:cs="Arial"/>
                <w:sz w:val="18"/>
                <w:lang w:val="es-ES" w:eastAsia="en-US"/>
              </w:rPr>
              <w:t>.</w:t>
            </w:r>
            <w:r w:rsidR="006C7BA4">
              <w:rPr>
                <w:rFonts w:cs="Arial"/>
                <w:sz w:val="18"/>
                <w:lang w:val="es-ES" w:eastAsia="en-US"/>
              </w:rPr>
              <w:t>3</w:t>
            </w:r>
          </w:p>
        </w:tc>
      </w:tr>
      <w:tr w:rsidR="00EB2CEC" w14:paraId="69B2B4A9" w14:textId="77777777" w:rsidTr="00E107F1">
        <w:trPr>
          <w:cantSplit/>
          <w:trHeight w:val="20"/>
          <w:jc w:val="center"/>
        </w:trPr>
        <w:tc>
          <w:tcPr>
            <w:tcW w:w="3888" w:type="dxa"/>
            <w:tcBorders>
              <w:top w:val="nil"/>
              <w:left w:val="double" w:sz="4" w:space="0" w:color="auto"/>
              <w:bottom w:val="nil"/>
              <w:right w:val="single" w:sz="6" w:space="0" w:color="auto"/>
            </w:tcBorders>
            <w:hideMark/>
          </w:tcPr>
          <w:p w14:paraId="6A367D25" w14:textId="77777777" w:rsidR="00EB2CEC" w:rsidRDefault="00EB2CEC" w:rsidP="00CF67D4">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double" w:sz="4" w:space="0" w:color="auto"/>
            </w:tcBorders>
            <w:hideMark/>
          </w:tcPr>
          <w:p w14:paraId="476BDDDE" w14:textId="1964A9E6" w:rsidR="00EB2CEC" w:rsidRPr="009050A8" w:rsidRDefault="006C7BA4" w:rsidP="00C63B6A">
            <w:pPr>
              <w:tabs>
                <w:tab w:val="left" w:pos="307"/>
              </w:tabs>
              <w:ind w:right="510"/>
              <w:jc w:val="right"/>
              <w:rPr>
                <w:rFonts w:cs="Arial"/>
                <w:sz w:val="18"/>
                <w:lang w:val="es-ES" w:eastAsia="en-US"/>
              </w:rPr>
            </w:pPr>
            <w:r>
              <w:rPr>
                <w:rFonts w:cs="Arial"/>
                <w:sz w:val="18"/>
                <w:lang w:val="es-ES" w:eastAsia="en-US"/>
              </w:rPr>
              <w:t xml:space="preserve">(-)    </w:t>
            </w:r>
            <w:r w:rsidR="00EB2CEC" w:rsidRPr="009050A8">
              <w:rPr>
                <w:rFonts w:cs="Arial"/>
                <w:sz w:val="18"/>
                <w:lang w:val="es-ES" w:eastAsia="en-US"/>
              </w:rPr>
              <w:t>0.</w:t>
            </w:r>
            <w:r>
              <w:rPr>
                <w:rFonts w:cs="Arial"/>
                <w:sz w:val="18"/>
                <w:lang w:val="es-ES" w:eastAsia="en-US"/>
              </w:rPr>
              <w:t>7</w:t>
            </w:r>
          </w:p>
        </w:tc>
      </w:tr>
      <w:tr w:rsidR="00EB2CEC" w14:paraId="4938CD67" w14:textId="77777777" w:rsidTr="00E107F1">
        <w:trPr>
          <w:cantSplit/>
          <w:trHeight w:val="20"/>
          <w:jc w:val="center"/>
        </w:trPr>
        <w:tc>
          <w:tcPr>
            <w:tcW w:w="3888" w:type="dxa"/>
            <w:tcBorders>
              <w:top w:val="nil"/>
              <w:left w:val="double" w:sz="4" w:space="0" w:color="auto"/>
              <w:bottom w:val="nil"/>
              <w:right w:val="single" w:sz="6" w:space="0" w:color="auto"/>
            </w:tcBorders>
            <w:hideMark/>
          </w:tcPr>
          <w:p w14:paraId="07C9AD30" w14:textId="77777777" w:rsidR="00EB2CEC" w:rsidRDefault="00EB2CEC" w:rsidP="00CF67D4">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double" w:sz="4" w:space="0" w:color="auto"/>
            </w:tcBorders>
            <w:hideMark/>
          </w:tcPr>
          <w:p w14:paraId="5F05AC3B" w14:textId="27BA9722" w:rsidR="00EB2CEC" w:rsidRPr="009050A8" w:rsidRDefault="00EB2CEC" w:rsidP="0065114D">
            <w:pPr>
              <w:tabs>
                <w:tab w:val="left" w:pos="307"/>
                <w:tab w:val="decimal" w:pos="881"/>
              </w:tabs>
              <w:ind w:right="510"/>
              <w:jc w:val="right"/>
              <w:rPr>
                <w:rFonts w:cs="Arial"/>
                <w:b/>
                <w:sz w:val="18"/>
                <w:lang w:val="es-ES" w:eastAsia="en-US"/>
              </w:rPr>
            </w:pPr>
            <w:r w:rsidRPr="009050A8">
              <w:rPr>
                <w:rFonts w:cs="Arial"/>
                <w:b/>
                <w:sz w:val="18"/>
                <w:lang w:val="es-ES" w:eastAsia="en-US"/>
              </w:rPr>
              <w:t xml:space="preserve">    </w:t>
            </w:r>
            <w:r w:rsidR="006C7BA4">
              <w:rPr>
                <w:rFonts w:cs="Arial"/>
                <w:b/>
                <w:sz w:val="18"/>
                <w:lang w:val="es-ES" w:eastAsia="en-US"/>
              </w:rPr>
              <w:t>1</w:t>
            </w:r>
            <w:r w:rsidRPr="009050A8">
              <w:rPr>
                <w:rFonts w:cs="Arial"/>
                <w:b/>
                <w:sz w:val="18"/>
                <w:lang w:val="es-ES" w:eastAsia="en-US"/>
              </w:rPr>
              <w:t>.</w:t>
            </w:r>
            <w:r w:rsidR="006C7BA4">
              <w:rPr>
                <w:rFonts w:cs="Arial"/>
                <w:b/>
                <w:sz w:val="18"/>
                <w:lang w:val="es-ES" w:eastAsia="en-US"/>
              </w:rPr>
              <w:t>6</w:t>
            </w:r>
          </w:p>
        </w:tc>
      </w:tr>
      <w:tr w:rsidR="00EB2CEC" w14:paraId="524BEC80" w14:textId="77777777" w:rsidTr="00E107F1">
        <w:trPr>
          <w:cantSplit/>
          <w:trHeight w:val="20"/>
          <w:jc w:val="center"/>
        </w:trPr>
        <w:tc>
          <w:tcPr>
            <w:tcW w:w="3888" w:type="dxa"/>
            <w:tcBorders>
              <w:top w:val="nil"/>
              <w:left w:val="double" w:sz="4" w:space="0" w:color="auto"/>
              <w:bottom w:val="double" w:sz="4" w:space="0" w:color="auto"/>
              <w:right w:val="single" w:sz="6" w:space="0" w:color="auto"/>
            </w:tcBorders>
            <w:hideMark/>
          </w:tcPr>
          <w:p w14:paraId="232CD165" w14:textId="77777777" w:rsidR="00EB2CEC" w:rsidRDefault="00EB2CEC" w:rsidP="00CF67D4">
            <w:pPr>
              <w:pStyle w:val="p0"/>
              <w:spacing w:before="0"/>
              <w:ind w:firstLine="454"/>
              <w:rPr>
                <w:rFonts w:cs="Arial"/>
                <w:color w:val="auto"/>
                <w:sz w:val="18"/>
                <w:lang w:val="es-ES"/>
              </w:rPr>
            </w:pPr>
            <w:r>
              <w:rPr>
                <w:rFonts w:cs="Arial"/>
                <w:color w:val="auto"/>
                <w:sz w:val="18"/>
                <w:lang w:val="es-ES"/>
              </w:rPr>
              <w:t>Bienes</w:t>
            </w:r>
          </w:p>
          <w:p w14:paraId="0969D587" w14:textId="77777777" w:rsidR="00EB2CEC" w:rsidRDefault="00EB2CEC" w:rsidP="00CF67D4">
            <w:pPr>
              <w:pStyle w:val="p0"/>
              <w:spacing w:before="0"/>
              <w:ind w:firstLine="454"/>
              <w:rPr>
                <w:rFonts w:cs="Arial"/>
                <w:color w:val="auto"/>
                <w:sz w:val="18"/>
                <w:lang w:val="es-ES"/>
              </w:rPr>
            </w:pPr>
            <w:r>
              <w:rPr>
                <w:rFonts w:cs="Arial"/>
                <w:color w:val="auto"/>
                <w:sz w:val="18"/>
                <w:lang w:val="es-ES"/>
              </w:rPr>
              <w:t xml:space="preserve">      Duraderos</w:t>
            </w:r>
          </w:p>
          <w:p w14:paraId="3C315A9C" w14:textId="77777777" w:rsidR="00EB2CEC" w:rsidRDefault="00EB2CEC" w:rsidP="00CF67D4">
            <w:pPr>
              <w:pStyle w:val="p0"/>
              <w:spacing w:before="0"/>
              <w:ind w:firstLine="454"/>
              <w:rPr>
                <w:rFonts w:cs="Arial"/>
                <w:color w:val="auto"/>
                <w:sz w:val="18"/>
                <w:lang w:val="es-ES"/>
              </w:rPr>
            </w:pPr>
            <w:r>
              <w:rPr>
                <w:rFonts w:cs="Arial"/>
                <w:color w:val="auto"/>
                <w:sz w:val="18"/>
                <w:lang w:val="es-ES"/>
              </w:rPr>
              <w:t xml:space="preserve">      Semi duraderos</w:t>
            </w:r>
          </w:p>
          <w:p w14:paraId="4C6DDFD9" w14:textId="77777777" w:rsidR="00EB2CEC" w:rsidRDefault="00EB2CEC" w:rsidP="00CF67D4">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double" w:sz="4" w:space="0" w:color="auto"/>
            </w:tcBorders>
            <w:hideMark/>
          </w:tcPr>
          <w:p w14:paraId="2E31651F" w14:textId="2C40A6AF" w:rsidR="00EB2CEC" w:rsidRPr="009050A8" w:rsidRDefault="00EB2CEC" w:rsidP="00261CC9">
            <w:pPr>
              <w:tabs>
                <w:tab w:val="left" w:pos="307"/>
                <w:tab w:val="decimal" w:pos="881"/>
              </w:tabs>
              <w:ind w:right="510"/>
              <w:jc w:val="right"/>
              <w:rPr>
                <w:rFonts w:cs="Arial"/>
                <w:sz w:val="18"/>
                <w:lang w:val="es-ES" w:eastAsia="en-US"/>
              </w:rPr>
            </w:pPr>
            <w:r w:rsidRPr="009050A8">
              <w:rPr>
                <w:rFonts w:cs="Arial"/>
                <w:sz w:val="18"/>
                <w:lang w:val="es-ES" w:eastAsia="en-US"/>
              </w:rPr>
              <w:t xml:space="preserve">    </w:t>
            </w:r>
            <w:r w:rsidR="006C7BA4">
              <w:rPr>
                <w:rFonts w:cs="Arial"/>
                <w:sz w:val="18"/>
                <w:lang w:val="es-ES" w:eastAsia="en-US"/>
              </w:rPr>
              <w:t>1</w:t>
            </w:r>
            <w:r w:rsidRPr="009050A8">
              <w:rPr>
                <w:rFonts w:cs="Arial"/>
                <w:sz w:val="18"/>
                <w:lang w:val="es-ES" w:eastAsia="en-US"/>
              </w:rPr>
              <w:t>.</w:t>
            </w:r>
            <w:r w:rsidR="006C7BA4">
              <w:rPr>
                <w:rFonts w:cs="Arial"/>
                <w:sz w:val="18"/>
                <w:lang w:val="es-ES" w:eastAsia="en-US"/>
              </w:rPr>
              <w:t>6</w:t>
            </w:r>
          </w:p>
          <w:p w14:paraId="38010F35" w14:textId="29CA5792" w:rsidR="00EB2CEC" w:rsidRPr="009050A8" w:rsidRDefault="006C7BA4" w:rsidP="00261CC9">
            <w:pPr>
              <w:tabs>
                <w:tab w:val="left" w:pos="307"/>
                <w:tab w:val="decimal" w:pos="881"/>
              </w:tabs>
              <w:ind w:right="510"/>
              <w:jc w:val="right"/>
              <w:rPr>
                <w:rFonts w:cs="Arial"/>
                <w:sz w:val="18"/>
                <w:lang w:val="es-ES" w:eastAsia="en-US"/>
              </w:rPr>
            </w:pPr>
            <w:r>
              <w:rPr>
                <w:rFonts w:cs="Arial"/>
                <w:sz w:val="18"/>
                <w:lang w:val="es-ES" w:eastAsia="en-US"/>
              </w:rPr>
              <w:t>(-)</w:t>
            </w:r>
            <w:r w:rsidR="00EB2CEC" w:rsidRPr="009050A8">
              <w:rPr>
                <w:rFonts w:cs="Arial"/>
                <w:sz w:val="18"/>
                <w:lang w:val="es-ES" w:eastAsia="en-US"/>
              </w:rPr>
              <w:t xml:space="preserve"> </w:t>
            </w:r>
            <w:r w:rsidR="00EB2CEC">
              <w:rPr>
                <w:rFonts w:cs="Arial"/>
                <w:sz w:val="18"/>
                <w:lang w:val="es-ES" w:eastAsia="en-US"/>
              </w:rPr>
              <w:t xml:space="preserve">  </w:t>
            </w:r>
            <w:r w:rsidR="00EB2CEC" w:rsidRPr="009050A8">
              <w:rPr>
                <w:rFonts w:cs="Arial"/>
                <w:sz w:val="18"/>
                <w:lang w:val="es-ES" w:eastAsia="en-US"/>
              </w:rPr>
              <w:t xml:space="preserve"> </w:t>
            </w:r>
            <w:r>
              <w:rPr>
                <w:rFonts w:cs="Arial"/>
                <w:sz w:val="18"/>
                <w:lang w:val="es-ES" w:eastAsia="en-US"/>
              </w:rPr>
              <w:t>6</w:t>
            </w:r>
            <w:r w:rsidR="00EB2CEC" w:rsidRPr="009050A8">
              <w:rPr>
                <w:rFonts w:cs="Arial"/>
                <w:sz w:val="18"/>
                <w:lang w:val="es-ES" w:eastAsia="en-US"/>
              </w:rPr>
              <w:t>.</w:t>
            </w:r>
            <w:r>
              <w:rPr>
                <w:rFonts w:cs="Arial"/>
                <w:sz w:val="18"/>
                <w:lang w:val="es-ES" w:eastAsia="en-US"/>
              </w:rPr>
              <w:t>6</w:t>
            </w:r>
          </w:p>
          <w:p w14:paraId="1BB13FE5" w14:textId="1042B90F" w:rsidR="00EB2CEC" w:rsidRPr="009050A8" w:rsidRDefault="006C7BA4" w:rsidP="00261CC9">
            <w:pPr>
              <w:tabs>
                <w:tab w:val="left" w:pos="307"/>
                <w:tab w:val="decimal" w:pos="881"/>
              </w:tabs>
              <w:ind w:right="510"/>
              <w:jc w:val="right"/>
              <w:rPr>
                <w:rFonts w:cs="Arial"/>
                <w:sz w:val="18"/>
                <w:lang w:val="es-ES" w:eastAsia="en-US"/>
              </w:rPr>
            </w:pPr>
            <w:r>
              <w:rPr>
                <w:rFonts w:cs="Arial"/>
                <w:sz w:val="18"/>
                <w:lang w:val="es-ES" w:eastAsia="en-US"/>
              </w:rPr>
              <w:t>(-)</w:t>
            </w:r>
            <w:r w:rsidR="00EB2CEC">
              <w:rPr>
                <w:rFonts w:cs="Arial"/>
                <w:sz w:val="18"/>
                <w:lang w:val="es-ES" w:eastAsia="en-US"/>
              </w:rPr>
              <w:t xml:space="preserve"> </w:t>
            </w:r>
            <w:r w:rsidR="00EB2CEC" w:rsidRPr="009050A8">
              <w:rPr>
                <w:rFonts w:cs="Arial"/>
                <w:sz w:val="18"/>
                <w:lang w:val="es-ES" w:eastAsia="en-US"/>
              </w:rPr>
              <w:t xml:space="preserve">   </w:t>
            </w:r>
            <w:r w:rsidR="00EB2CEC">
              <w:rPr>
                <w:rFonts w:cs="Arial"/>
                <w:sz w:val="18"/>
                <w:lang w:val="es-ES" w:eastAsia="en-US"/>
              </w:rPr>
              <w:t>0</w:t>
            </w:r>
            <w:r>
              <w:rPr>
                <w:rFonts w:cs="Arial"/>
                <w:sz w:val="18"/>
                <w:lang w:val="es-ES" w:eastAsia="en-US"/>
              </w:rPr>
              <w:t>.9</w:t>
            </w:r>
          </w:p>
          <w:p w14:paraId="79ECED49" w14:textId="0452390A" w:rsidR="00EB2CEC" w:rsidRPr="009050A8" w:rsidRDefault="00EB2CEC" w:rsidP="0075211E">
            <w:pPr>
              <w:tabs>
                <w:tab w:val="left" w:pos="307"/>
                <w:tab w:val="decimal" w:pos="881"/>
              </w:tabs>
              <w:ind w:right="510"/>
              <w:jc w:val="right"/>
              <w:rPr>
                <w:rFonts w:cs="Arial"/>
                <w:b/>
                <w:sz w:val="18"/>
                <w:lang w:val="es-ES" w:eastAsia="en-US"/>
              </w:rPr>
            </w:pPr>
            <w:r w:rsidRPr="009050A8">
              <w:rPr>
                <w:rFonts w:cs="Arial"/>
                <w:sz w:val="18"/>
                <w:lang w:val="es-ES" w:eastAsia="en-US"/>
              </w:rPr>
              <w:t xml:space="preserve">    </w:t>
            </w:r>
            <w:r>
              <w:rPr>
                <w:rFonts w:cs="Arial"/>
                <w:sz w:val="18"/>
                <w:lang w:val="es-ES" w:eastAsia="en-US"/>
              </w:rPr>
              <w:t>1</w:t>
            </w:r>
            <w:r w:rsidR="006C7BA4">
              <w:rPr>
                <w:rFonts w:cs="Arial"/>
                <w:sz w:val="18"/>
                <w:lang w:val="es-ES" w:eastAsia="en-US"/>
              </w:rPr>
              <w:t>0</w:t>
            </w:r>
            <w:r>
              <w:rPr>
                <w:rFonts w:cs="Arial"/>
                <w:sz w:val="18"/>
                <w:lang w:val="es-ES" w:eastAsia="en-US"/>
              </w:rPr>
              <w:t>.</w:t>
            </w:r>
            <w:r w:rsidR="006C7BA4">
              <w:rPr>
                <w:rFonts w:cs="Arial"/>
                <w:sz w:val="18"/>
                <w:lang w:val="es-ES" w:eastAsia="en-US"/>
              </w:rPr>
              <w:t>6</w:t>
            </w:r>
          </w:p>
        </w:tc>
      </w:tr>
    </w:tbl>
    <w:p w14:paraId="45BCBAE6" w14:textId="5E77C37D" w:rsidR="000A36D8" w:rsidRDefault="00D17A36" w:rsidP="00674481">
      <w:pPr>
        <w:ind w:left="993" w:right="-91"/>
        <w:outlineLvl w:val="3"/>
        <w:rPr>
          <w:sz w:val="16"/>
          <w:szCs w:val="16"/>
        </w:rPr>
      </w:pPr>
      <w:r>
        <w:rPr>
          <w:sz w:val="16"/>
          <w:szCs w:val="16"/>
          <w:vertAlign w:val="superscript"/>
        </w:rPr>
        <w:t xml:space="preserve">                   </w:t>
      </w:r>
      <w:r w:rsidR="00CC2BE5">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14:paraId="745ADF92" w14:textId="0EECB9B2" w:rsidR="00140D9C" w:rsidRDefault="00D17A36" w:rsidP="00674481">
      <w:pPr>
        <w:ind w:left="708" w:right="-91" w:firstLine="285"/>
        <w:outlineLvl w:val="3"/>
        <w:rPr>
          <w:sz w:val="16"/>
          <w:szCs w:val="16"/>
        </w:rPr>
      </w:pPr>
      <w:r>
        <w:rPr>
          <w:sz w:val="16"/>
          <w:szCs w:val="16"/>
        </w:rPr>
        <w:t xml:space="preserve">            </w:t>
      </w:r>
      <w:r w:rsidR="00674481">
        <w:rPr>
          <w:sz w:val="16"/>
          <w:szCs w:val="16"/>
        </w:rPr>
        <w:t xml:space="preserve">       </w:t>
      </w:r>
      <w:r w:rsidR="00140D9C">
        <w:rPr>
          <w:sz w:val="16"/>
          <w:szCs w:val="16"/>
        </w:rPr>
        <w:t>Fuente: INEGI.</w:t>
      </w:r>
    </w:p>
    <w:p w14:paraId="5D3FD1F5" w14:textId="77777777" w:rsidR="00224330" w:rsidRDefault="00140D9C" w:rsidP="00861A2C">
      <w:pPr>
        <w:pStyle w:val="parr2"/>
        <w:keepNext/>
        <w:keepLines/>
        <w:spacing w:before="480"/>
        <w:ind w:left="0" w:right="584"/>
        <w:rPr>
          <w:b/>
          <w:i/>
        </w:rPr>
      </w:pPr>
      <w:r>
        <w:rPr>
          <w:b/>
          <w:i/>
        </w:rPr>
        <w:t>Nota metodológica</w:t>
      </w:r>
    </w:p>
    <w:p w14:paraId="74668FD3" w14:textId="77777777"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14:paraId="1DA87A1B" w14:textId="77777777" w:rsidR="00CD79EC" w:rsidRDefault="00140D9C" w:rsidP="00CD79EC">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14:paraId="63611960" w14:textId="77777777"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26D6A30F" w14:textId="77777777" w:rsidR="00531729" w:rsidRDefault="00531729" w:rsidP="00202654">
      <w:pPr>
        <w:spacing w:before="240"/>
        <w:outlineLvl w:val="3"/>
      </w:pPr>
    </w:p>
    <w:p w14:paraId="049B4778" w14:textId="77777777" w:rsidR="00531729" w:rsidRDefault="00531729" w:rsidP="00202654">
      <w:pPr>
        <w:spacing w:before="240"/>
        <w:outlineLvl w:val="3"/>
      </w:pPr>
    </w:p>
    <w:p w14:paraId="0AD9D9CB" w14:textId="77777777" w:rsidR="00531729" w:rsidRDefault="00531729" w:rsidP="00202654">
      <w:pPr>
        <w:spacing w:before="240"/>
        <w:outlineLvl w:val="3"/>
      </w:pPr>
    </w:p>
    <w:p w14:paraId="5EF9B061" w14:textId="1812231D" w:rsidR="00140D9C" w:rsidRDefault="00140D9C" w:rsidP="00202654">
      <w:pPr>
        <w:spacing w:before="240"/>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434EAE">
        <w:t>la misma</w:t>
      </w:r>
      <w:proofErr w:type="gramEnd"/>
      <w:r w:rsidRPr="00434EAE">
        <w:t xml:space="preserve">,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14:paraId="2BF06FED" w14:textId="77777777" w:rsidR="00140D9C" w:rsidRPr="00434EAE" w:rsidRDefault="00B72479" w:rsidP="003249F6">
      <w:pPr>
        <w:spacing w:before="240"/>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14:paraId="4202A626" w14:textId="77777777" w:rsidR="000E5547" w:rsidRDefault="00BF1276" w:rsidP="000E5547">
      <w:pPr>
        <w:spacing w:before="240"/>
        <w:rPr>
          <w:rFonts w:ascii="Calibri" w:hAnsi="Calibri"/>
          <w:color w:val="1F497D"/>
          <w:sz w:val="22"/>
          <w:lang w:eastAsia="en-US"/>
        </w:rPr>
      </w:pPr>
      <w:hyperlink r:id="rId29" w:history="1">
        <w:r w:rsidR="000C7DCE" w:rsidRPr="009A1339">
          <w:rPr>
            <w:rStyle w:val="Hipervnculo"/>
            <w:lang w:eastAsia="en-US"/>
          </w:rPr>
          <w:t>https://www.inegi.org.mx/app/biblioteca/ficha.html?upc=702825099060</w:t>
        </w:r>
      </w:hyperlink>
    </w:p>
    <w:p w14:paraId="7AACCB7B" w14:textId="77777777"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14:anchorId="6BBE01C5" wp14:editId="7356D461">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14:paraId="5207190E" w14:textId="73963A49" w:rsidR="00FA238C" w:rsidRPr="006F503A" w:rsidRDefault="00BF1276" w:rsidP="00FA238C">
      <w:pPr>
        <w:spacing w:before="240"/>
        <w:outlineLvl w:val="3"/>
      </w:pPr>
      <w:hyperlink w:anchor="page3" w:history="1">
        <w:r w:rsidR="00FA238C" w:rsidRPr="006F503A">
          <w:t>Su cobertura geográfica es nacional y mide exclusivamente el consumo privado en el mercado interior</w:t>
        </w:r>
        <w:r w:rsidR="00D60600">
          <w:t>. S</w:t>
        </w:r>
        <w:r w:rsidR="00FA238C" w:rsidRPr="006F503A">
          <w:t>e</w:t>
        </w:r>
      </w:hyperlink>
      <w:r w:rsidR="00FA238C" w:rsidRPr="006F503A">
        <w:t xml:space="preserve"> </w:t>
      </w:r>
      <w:hyperlink w:anchor="page3" w:history="1">
        <w:r w:rsidR="00FA238C" w:rsidRPr="006F503A">
          <w:t>identifica el gasto realizado en bienes y en servicios de origen nacional, así como los bienes de origen importado. En el caso de los bienes se establece una diferenciación por durabilidad del bien, clasificándolos en duraderos, semi</w:t>
        </w:r>
        <w:r w:rsidR="00295D3F">
          <w:t xml:space="preserve"> </w:t>
        </w:r>
        <w:r w:rsidR="00FA238C" w:rsidRPr="006F503A">
          <w:t xml:space="preserve">duraderos y no duraderos, y enseguida se muestra a cada una de estas categorías separadas de acuerdo con su origen, nacional e importado. La cobertura </w:t>
        </w:r>
      </w:hyperlink>
      <w:hyperlink w:anchor="page3" w:history="1">
        <w:r w:rsidR="00FA238C" w:rsidRPr="006F503A">
          <w:t xml:space="preserve">de </w:t>
        </w:r>
        <w:r w:rsidR="00D60600">
          <w:t>e</w:t>
        </w:r>
        <w:r w:rsidR="00FA238C" w:rsidRPr="006F503A">
          <w:t xml:space="preserve">ste indicador es del 95.2% </w:t>
        </w:r>
      </w:hyperlink>
      <w:hyperlink w:anchor="page3" w:history="1">
        <w:r w:rsidR="00FA238C" w:rsidRPr="006F503A">
          <w:t>en el año 2013, año base de los productos del SCNM.</w:t>
        </w:r>
      </w:hyperlink>
    </w:p>
    <w:p w14:paraId="75591329" w14:textId="77777777" w:rsidR="000B3636" w:rsidRDefault="00FA238C" w:rsidP="00FA238C">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75410D5E" w14:textId="77777777" w:rsidR="00FA238C" w:rsidRPr="006F503A" w:rsidRDefault="00FA238C" w:rsidP="00FA238C">
      <w:pPr>
        <w:pStyle w:val="Prrafodelista"/>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22989B8" w14:textId="6B021BB4" w:rsidR="001952AC" w:rsidRDefault="001952AC">
      <w:pPr>
        <w:widowControl/>
        <w:jc w:val="left"/>
      </w:pPr>
      <w:r>
        <w:br w:type="page"/>
      </w:r>
    </w:p>
    <w:p w14:paraId="4AEDC991" w14:textId="77777777" w:rsidR="00C46FD6" w:rsidRDefault="00C46FD6" w:rsidP="00365832">
      <w:pPr>
        <w:pStyle w:val="Prrafodelista"/>
        <w:spacing w:before="120"/>
        <w:outlineLvl w:val="3"/>
      </w:pPr>
    </w:p>
    <w:p w14:paraId="4E953368" w14:textId="77777777"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w:t>
      </w:r>
      <w:proofErr w:type="spellStart"/>
      <w:r w:rsidRPr="006F503A">
        <w:t>of</w:t>
      </w:r>
      <w:proofErr w:type="spellEnd"/>
      <w:r w:rsidRPr="006F503A">
        <w:t xml:space="preserve"> Labor </w:t>
      </w:r>
      <w:proofErr w:type="spellStart"/>
      <w:r w:rsidRPr="006F503A">
        <w:t>Statistics</w:t>
      </w:r>
      <w:proofErr w:type="spellEnd"/>
      <w:r w:rsidRPr="006F503A">
        <w:t>; principalmente.</w:t>
      </w:r>
    </w:p>
    <w:p w14:paraId="4CE1F545" w14:textId="77777777" w:rsidR="00C46FD6" w:rsidRPr="006F503A" w:rsidRDefault="00C46FD6" w:rsidP="00365832">
      <w:pPr>
        <w:pStyle w:val="Prrafodelista"/>
        <w:spacing w:before="120"/>
        <w:outlineLvl w:val="3"/>
      </w:pPr>
    </w:p>
    <w:p w14:paraId="138B45C4" w14:textId="77777777"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10020AE" w14:textId="77777777" w:rsidR="00EB0367" w:rsidRPr="006F503A" w:rsidRDefault="00EB0367" w:rsidP="00EB0367">
      <w:pPr>
        <w:pStyle w:val="Prrafodelista"/>
        <w:spacing w:before="240"/>
        <w:outlineLvl w:val="3"/>
      </w:pPr>
    </w:p>
    <w:p w14:paraId="5CF2A10E" w14:textId="77777777"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14:paraId="63197ADD" w14:textId="77777777" w:rsidR="00EB0367" w:rsidRPr="006F503A" w:rsidRDefault="00EB0367" w:rsidP="006147E2">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638B55E3" w14:textId="77777777" w:rsidR="00EB0367" w:rsidRPr="00EB0367" w:rsidRDefault="00EB0367" w:rsidP="00FF6A2A">
      <w:pPr>
        <w:spacing w:before="240"/>
      </w:pPr>
      <w:r w:rsidRPr="006F503A">
        <w:t>La información contenida en este documento es generada por el INEGI con base en los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14:paraId="736ACAFD" w14:textId="52C79EDA" w:rsidR="00BA1145" w:rsidRPr="00BA1145" w:rsidRDefault="00631C67" w:rsidP="00F75C7D">
      <w:pPr>
        <w:spacing w:before="240"/>
        <w:rPr>
          <w:b/>
          <w:color w:val="0070C0"/>
          <w:sz w:val="20"/>
        </w:rPr>
      </w:pPr>
      <w:r w:rsidRPr="00631C67">
        <w:t>Las se</w:t>
      </w:r>
      <w:r w:rsidR="007333FB">
        <w:t xml:space="preserve">ries del Consumo Privado en el Mercado </w:t>
      </w:r>
      <w:proofErr w:type="gramStart"/>
      <w:r w:rsidR="007333FB">
        <w:t>I</w:t>
      </w:r>
      <w:r w:rsidRPr="00631C67">
        <w:t>nterior,</w:t>
      </w:r>
      <w:proofErr w:type="gramEnd"/>
      <w:r w:rsidRPr="00631C67">
        <w:t xml:space="preserve">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r w:rsidR="002E7B7E">
        <w:rPr>
          <w:rStyle w:val="Hipervnculo"/>
          <w:color w:val="0070C0"/>
          <w:lang w:eastAsia="en-US"/>
        </w:rPr>
        <w:t>s</w:t>
      </w:r>
      <w:r w:rsidR="00BA1145" w:rsidRPr="00224330">
        <w:rPr>
          <w:rStyle w:val="Hipervnculo"/>
          <w:color w:val="0070C0"/>
          <w:lang w:eastAsia="en-US"/>
        </w:rPr>
        <w:t>://</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EDDF" w14:textId="77777777" w:rsidR="00BF1276" w:rsidRDefault="00BF1276">
      <w:r>
        <w:separator/>
      </w:r>
    </w:p>
  </w:endnote>
  <w:endnote w:type="continuationSeparator" w:id="0">
    <w:p w14:paraId="5466B08B" w14:textId="77777777" w:rsidR="00BF1276" w:rsidRDefault="00BF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07F9" w14:textId="77777777" w:rsidR="009B1907" w:rsidRDefault="009B19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BF28" w14:textId="77777777" w:rsidR="001B4A8F" w:rsidRPr="002346CA" w:rsidRDefault="001B4A8F"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E1354" w14:textId="77777777" w:rsidR="009B1907" w:rsidRDefault="009B190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Default="008F2BC8" w:rsidP="009D2FB0">
    <w:pPr>
      <w:pStyle w:val="Piedepgina"/>
      <w:jc w:val="center"/>
    </w:pPr>
    <w:r>
      <w:rPr>
        <w:b/>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5F2ED" w14:textId="77777777" w:rsidR="00BF1276" w:rsidRDefault="00BF1276">
      <w:r>
        <w:separator/>
      </w:r>
    </w:p>
  </w:footnote>
  <w:footnote w:type="continuationSeparator" w:id="0">
    <w:p w14:paraId="1F5138B4" w14:textId="77777777" w:rsidR="00BF1276" w:rsidRDefault="00BF1276">
      <w:r>
        <w:continuationSeparator/>
      </w:r>
    </w:p>
  </w:footnote>
  <w:footnote w:id="1">
    <w:p w14:paraId="3B180DAC" w14:textId="77777777" w:rsidR="001B4A8F" w:rsidRPr="00140D9C" w:rsidRDefault="001B4A8F" w:rsidP="001B4A8F">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24D14E9C" w14:textId="77777777" w:rsidR="001B4A8F" w:rsidRPr="00140D9C" w:rsidRDefault="001B4A8F" w:rsidP="001B4A8F">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0CC18952" w14:textId="77777777" w:rsidR="001B4A8F" w:rsidRDefault="001B4A8F" w:rsidP="001B4A8F">
      <w:pPr>
        <w:pStyle w:val="Textonotapie"/>
        <w:ind w:left="142" w:right="-405"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77BDCFAD" w14:textId="77777777" w:rsidR="001B4A8F" w:rsidRPr="00140D9C" w:rsidRDefault="001B4A8F" w:rsidP="00C0198E">
      <w:pPr>
        <w:pStyle w:val="Textonotapie"/>
        <w:ind w:left="142" w:hanging="426"/>
        <w:jc w:val="both"/>
        <w:rPr>
          <w:rFonts w:ascii="Arial" w:hAnsi="Arial" w:cs="Arial"/>
          <w:sz w:val="16"/>
          <w:szCs w:val="16"/>
        </w:rPr>
      </w:pPr>
    </w:p>
  </w:footnote>
  <w:footnote w:id="4">
    <w:p w14:paraId="47D5053A" w14:textId="77777777" w:rsidR="001B4A8F" w:rsidRDefault="001B4A8F" w:rsidP="001B4A8F">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523652C4" w14:textId="77777777" w:rsidR="001B4A8F" w:rsidRDefault="001B4A8F" w:rsidP="001B4A8F">
      <w:pPr>
        <w:pStyle w:val="Textonotapie"/>
        <w:ind w:left="142" w:hanging="142"/>
        <w:jc w:val="both"/>
        <w:rPr>
          <w:rFonts w:ascii="Arial" w:hAnsi="Arial" w:cs="Arial"/>
          <w:sz w:val="16"/>
          <w:szCs w:val="16"/>
        </w:rPr>
      </w:pPr>
    </w:p>
  </w:footnote>
  <w:footnote w:id="5">
    <w:p w14:paraId="69A5EA68" w14:textId="235CFD79"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4174C135" w14:textId="77777777" w:rsidR="006234E0" w:rsidRPr="00140D9C" w:rsidRDefault="006234E0"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A5B7" w14:textId="77777777" w:rsidR="009B1907" w:rsidRDefault="009B19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1B19" w14:textId="6D905889" w:rsidR="001B4A8F" w:rsidRPr="00E0416A" w:rsidRDefault="001B4A8F" w:rsidP="009B1907">
    <w:pPr>
      <w:pStyle w:val="Encabezado"/>
      <w:framePr w:w="5504" w:hSpace="141" w:wrap="auto" w:vAnchor="text" w:hAnchor="page" w:x="5595" w:y="42"/>
      <w:ind w:left="567" w:hanging="11"/>
      <w:jc w:val="right"/>
      <w:rPr>
        <w:b/>
        <w:color w:val="002060"/>
      </w:rPr>
    </w:pPr>
    <w:bookmarkStart w:id="0" w:name="_GoBack"/>
    <w:r>
      <w:rPr>
        <w:b/>
        <w:color w:val="002060"/>
      </w:rPr>
      <w:t>COMUNICADO DE</w:t>
    </w:r>
    <w:r w:rsidRPr="00E0416A">
      <w:rPr>
        <w:b/>
        <w:color w:val="002060"/>
      </w:rPr>
      <w:t xml:space="preserve"> PRENSA NÚM. </w:t>
    </w:r>
    <w:r w:rsidR="009B1907">
      <w:rPr>
        <w:b/>
        <w:color w:val="002060"/>
      </w:rPr>
      <w:t>148</w:t>
    </w:r>
    <w:r w:rsidRPr="00E0416A">
      <w:rPr>
        <w:b/>
        <w:color w:val="002060"/>
      </w:rPr>
      <w:t>/</w:t>
    </w:r>
    <w:r>
      <w:rPr>
        <w:b/>
        <w:color w:val="002060"/>
      </w:rPr>
      <w:t>20</w:t>
    </w:r>
  </w:p>
  <w:p w14:paraId="16A64528" w14:textId="77777777" w:rsidR="001B4A8F" w:rsidRPr="00E0416A" w:rsidRDefault="001B4A8F" w:rsidP="009B1907">
    <w:pPr>
      <w:pStyle w:val="Encabezado"/>
      <w:framePr w:w="5504" w:hSpace="141" w:wrap="auto" w:vAnchor="text" w:hAnchor="page" w:x="5595" w:y="42"/>
      <w:ind w:left="567" w:hanging="11"/>
      <w:jc w:val="right"/>
      <w:rPr>
        <w:b/>
        <w:color w:val="002060"/>
        <w:lang w:val="pt-BR"/>
      </w:rPr>
    </w:pPr>
    <w:r>
      <w:rPr>
        <w:b/>
        <w:color w:val="002060"/>
        <w:lang w:val="pt-BR"/>
      </w:rPr>
      <w:t xml:space="preserve">6 DE ABRIL DE </w:t>
    </w:r>
    <w:r w:rsidRPr="00E0416A">
      <w:rPr>
        <w:b/>
        <w:color w:val="002060"/>
        <w:lang w:val="pt-BR"/>
      </w:rPr>
      <w:t>20</w:t>
    </w:r>
    <w:r>
      <w:rPr>
        <w:b/>
        <w:color w:val="002060"/>
        <w:lang w:val="pt-BR"/>
      </w:rPr>
      <w:t>20</w:t>
    </w:r>
  </w:p>
  <w:p w14:paraId="03B7D66B" w14:textId="77777777" w:rsidR="001B4A8F" w:rsidRPr="00ED588B" w:rsidRDefault="001B4A8F" w:rsidP="009B1907">
    <w:pPr>
      <w:pStyle w:val="Encabezado"/>
      <w:framePr w:w="5504" w:hSpace="141" w:wrap="auto" w:vAnchor="text" w:hAnchor="page" w:x="5595" w:y="42"/>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bookmarkEnd w:id="0"/>
  <w:p w14:paraId="3EA973E7" w14:textId="77777777" w:rsidR="001B4A8F" w:rsidRDefault="001B4A8F" w:rsidP="004C150C">
    <w:pPr>
      <w:pStyle w:val="Encabezado"/>
      <w:ind w:left="-993"/>
    </w:pPr>
    <w:r>
      <w:rPr>
        <w:noProof/>
      </w:rPr>
      <w:drawing>
        <wp:inline distT="0" distB="0" distL="0" distR="0" wp14:anchorId="0E82A6A1" wp14:editId="453F1B72">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76FC" w14:textId="77777777" w:rsidR="009B1907" w:rsidRDefault="009B190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2D4A36A7" w:rsidR="008F2BC8" w:rsidRDefault="00137231" w:rsidP="001B4A8F">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270B"/>
    <w:rsid w:val="000134DC"/>
    <w:rsid w:val="00013BA9"/>
    <w:rsid w:val="00014805"/>
    <w:rsid w:val="00014D68"/>
    <w:rsid w:val="00014E30"/>
    <w:rsid w:val="000169B1"/>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3343"/>
    <w:rsid w:val="001635F1"/>
    <w:rsid w:val="00163DDA"/>
    <w:rsid w:val="00163E70"/>
    <w:rsid w:val="00163F74"/>
    <w:rsid w:val="00163FD5"/>
    <w:rsid w:val="0016412F"/>
    <w:rsid w:val="00164A27"/>
    <w:rsid w:val="00164B37"/>
    <w:rsid w:val="00165661"/>
    <w:rsid w:val="001657FE"/>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41A9"/>
    <w:rsid w:val="001743E7"/>
    <w:rsid w:val="001745BE"/>
    <w:rsid w:val="001745E9"/>
    <w:rsid w:val="00174859"/>
    <w:rsid w:val="00174888"/>
    <w:rsid w:val="0017523F"/>
    <w:rsid w:val="00175A58"/>
    <w:rsid w:val="00175FAA"/>
    <w:rsid w:val="001769C2"/>
    <w:rsid w:val="00176A17"/>
    <w:rsid w:val="00176FE5"/>
    <w:rsid w:val="00177115"/>
    <w:rsid w:val="00177622"/>
    <w:rsid w:val="001778E4"/>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A8F"/>
    <w:rsid w:val="001B4D19"/>
    <w:rsid w:val="001B4DAB"/>
    <w:rsid w:val="001B4DC7"/>
    <w:rsid w:val="001B52DE"/>
    <w:rsid w:val="001B53EE"/>
    <w:rsid w:val="001B5520"/>
    <w:rsid w:val="001B5656"/>
    <w:rsid w:val="001B604C"/>
    <w:rsid w:val="001B6943"/>
    <w:rsid w:val="001B7045"/>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E026B"/>
    <w:rsid w:val="001E0816"/>
    <w:rsid w:val="001E092E"/>
    <w:rsid w:val="001E09C0"/>
    <w:rsid w:val="001E0E77"/>
    <w:rsid w:val="001E1257"/>
    <w:rsid w:val="001E2814"/>
    <w:rsid w:val="001E2AA7"/>
    <w:rsid w:val="001E2ECB"/>
    <w:rsid w:val="001E31B7"/>
    <w:rsid w:val="001E3F88"/>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37B"/>
    <w:rsid w:val="00226677"/>
    <w:rsid w:val="00226B2D"/>
    <w:rsid w:val="00226D72"/>
    <w:rsid w:val="00226F8D"/>
    <w:rsid w:val="002276D7"/>
    <w:rsid w:val="00230A50"/>
    <w:rsid w:val="0023158A"/>
    <w:rsid w:val="002315A0"/>
    <w:rsid w:val="0023234E"/>
    <w:rsid w:val="00232383"/>
    <w:rsid w:val="002325F7"/>
    <w:rsid w:val="00232C9F"/>
    <w:rsid w:val="00232CDE"/>
    <w:rsid w:val="00232EAC"/>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41E1"/>
    <w:rsid w:val="00244322"/>
    <w:rsid w:val="002443E6"/>
    <w:rsid w:val="00244C30"/>
    <w:rsid w:val="00244EF4"/>
    <w:rsid w:val="00245BEE"/>
    <w:rsid w:val="002463FB"/>
    <w:rsid w:val="002465DF"/>
    <w:rsid w:val="00246D18"/>
    <w:rsid w:val="00247682"/>
    <w:rsid w:val="002505AF"/>
    <w:rsid w:val="00250A5B"/>
    <w:rsid w:val="00250F32"/>
    <w:rsid w:val="002514B7"/>
    <w:rsid w:val="002522A7"/>
    <w:rsid w:val="00253E1D"/>
    <w:rsid w:val="00254197"/>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2D84"/>
    <w:rsid w:val="002A321E"/>
    <w:rsid w:val="002A39B6"/>
    <w:rsid w:val="002A49D8"/>
    <w:rsid w:val="002A5486"/>
    <w:rsid w:val="002A5510"/>
    <w:rsid w:val="002A5949"/>
    <w:rsid w:val="002A6104"/>
    <w:rsid w:val="002A6819"/>
    <w:rsid w:val="002A6EFA"/>
    <w:rsid w:val="002A7120"/>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506"/>
    <w:rsid w:val="002C0BD6"/>
    <w:rsid w:val="002C0C1B"/>
    <w:rsid w:val="002C0FA6"/>
    <w:rsid w:val="002C1386"/>
    <w:rsid w:val="002C24D6"/>
    <w:rsid w:val="002C26CE"/>
    <w:rsid w:val="002C2B09"/>
    <w:rsid w:val="002C2DF8"/>
    <w:rsid w:val="002C3239"/>
    <w:rsid w:val="002C3946"/>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F5"/>
    <w:rsid w:val="002D6233"/>
    <w:rsid w:val="002D758E"/>
    <w:rsid w:val="002D7B9E"/>
    <w:rsid w:val="002D7ECD"/>
    <w:rsid w:val="002E0537"/>
    <w:rsid w:val="002E0607"/>
    <w:rsid w:val="002E0D11"/>
    <w:rsid w:val="002E1856"/>
    <w:rsid w:val="002E18AF"/>
    <w:rsid w:val="002E1FC1"/>
    <w:rsid w:val="002E1FDB"/>
    <w:rsid w:val="002E21D6"/>
    <w:rsid w:val="002E2325"/>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1518"/>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20137"/>
    <w:rsid w:val="003201DB"/>
    <w:rsid w:val="00320587"/>
    <w:rsid w:val="00322203"/>
    <w:rsid w:val="00322497"/>
    <w:rsid w:val="003229DF"/>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291D"/>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B04"/>
    <w:rsid w:val="003E2091"/>
    <w:rsid w:val="003E2CA0"/>
    <w:rsid w:val="003E40E8"/>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38D"/>
    <w:rsid w:val="004245D0"/>
    <w:rsid w:val="00424654"/>
    <w:rsid w:val="004247DF"/>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6A33"/>
    <w:rsid w:val="00446E95"/>
    <w:rsid w:val="00446F0D"/>
    <w:rsid w:val="0044753D"/>
    <w:rsid w:val="00447E6A"/>
    <w:rsid w:val="00450407"/>
    <w:rsid w:val="00451AE6"/>
    <w:rsid w:val="00451E02"/>
    <w:rsid w:val="004524CB"/>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F7C"/>
    <w:rsid w:val="00495B32"/>
    <w:rsid w:val="00495EF0"/>
    <w:rsid w:val="00495FF8"/>
    <w:rsid w:val="004965BA"/>
    <w:rsid w:val="00496AAA"/>
    <w:rsid w:val="00496C86"/>
    <w:rsid w:val="00496C89"/>
    <w:rsid w:val="004973F4"/>
    <w:rsid w:val="004973F6"/>
    <w:rsid w:val="0049758A"/>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2A4E"/>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7230"/>
    <w:rsid w:val="004E7233"/>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98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68C"/>
    <w:rsid w:val="00520BE1"/>
    <w:rsid w:val="00522778"/>
    <w:rsid w:val="00522A8F"/>
    <w:rsid w:val="00522CEC"/>
    <w:rsid w:val="00522DA1"/>
    <w:rsid w:val="00523180"/>
    <w:rsid w:val="005232F0"/>
    <w:rsid w:val="00523BA7"/>
    <w:rsid w:val="0052534A"/>
    <w:rsid w:val="005266A3"/>
    <w:rsid w:val="005272DD"/>
    <w:rsid w:val="005279BF"/>
    <w:rsid w:val="00527ADF"/>
    <w:rsid w:val="005306DB"/>
    <w:rsid w:val="005307AA"/>
    <w:rsid w:val="00530F70"/>
    <w:rsid w:val="005314BC"/>
    <w:rsid w:val="00531729"/>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131"/>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802"/>
    <w:rsid w:val="00567E7C"/>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416D"/>
    <w:rsid w:val="005841AA"/>
    <w:rsid w:val="0058445E"/>
    <w:rsid w:val="00584805"/>
    <w:rsid w:val="0058499E"/>
    <w:rsid w:val="0058515F"/>
    <w:rsid w:val="0058540D"/>
    <w:rsid w:val="0058550A"/>
    <w:rsid w:val="00586094"/>
    <w:rsid w:val="00586570"/>
    <w:rsid w:val="00586B77"/>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CF1"/>
    <w:rsid w:val="005E0E80"/>
    <w:rsid w:val="005E12B9"/>
    <w:rsid w:val="005E1B90"/>
    <w:rsid w:val="005E1DFC"/>
    <w:rsid w:val="005E3505"/>
    <w:rsid w:val="005E3BBD"/>
    <w:rsid w:val="005E462D"/>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57C"/>
    <w:rsid w:val="00621726"/>
    <w:rsid w:val="0062179F"/>
    <w:rsid w:val="00622016"/>
    <w:rsid w:val="006222B8"/>
    <w:rsid w:val="006234E0"/>
    <w:rsid w:val="006236DD"/>
    <w:rsid w:val="00624699"/>
    <w:rsid w:val="00624955"/>
    <w:rsid w:val="0062496A"/>
    <w:rsid w:val="0062554E"/>
    <w:rsid w:val="0062593B"/>
    <w:rsid w:val="00625C08"/>
    <w:rsid w:val="00626777"/>
    <w:rsid w:val="00626FDF"/>
    <w:rsid w:val="00627A19"/>
    <w:rsid w:val="00627D64"/>
    <w:rsid w:val="00627E90"/>
    <w:rsid w:val="00627EDD"/>
    <w:rsid w:val="006305FB"/>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9FC"/>
    <w:rsid w:val="00643E42"/>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1AEE"/>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A7EFC"/>
    <w:rsid w:val="006B0235"/>
    <w:rsid w:val="006B1B77"/>
    <w:rsid w:val="006B1D5B"/>
    <w:rsid w:val="006B252A"/>
    <w:rsid w:val="006B29E2"/>
    <w:rsid w:val="006B35B5"/>
    <w:rsid w:val="006B36B7"/>
    <w:rsid w:val="006B38EF"/>
    <w:rsid w:val="006B3951"/>
    <w:rsid w:val="006B39E4"/>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18B"/>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37EC8"/>
    <w:rsid w:val="007405AE"/>
    <w:rsid w:val="00740B86"/>
    <w:rsid w:val="00740C21"/>
    <w:rsid w:val="00740E1E"/>
    <w:rsid w:val="00740E5B"/>
    <w:rsid w:val="00741177"/>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FD1"/>
    <w:rsid w:val="00766FE7"/>
    <w:rsid w:val="007670DC"/>
    <w:rsid w:val="00767304"/>
    <w:rsid w:val="00767821"/>
    <w:rsid w:val="007700F5"/>
    <w:rsid w:val="007706CD"/>
    <w:rsid w:val="00770EBD"/>
    <w:rsid w:val="00770F92"/>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2A"/>
    <w:rsid w:val="00787496"/>
    <w:rsid w:val="00787744"/>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4EA9"/>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0F75"/>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912"/>
    <w:rsid w:val="0081095E"/>
    <w:rsid w:val="00811AFF"/>
    <w:rsid w:val="00812219"/>
    <w:rsid w:val="0081321E"/>
    <w:rsid w:val="0081379B"/>
    <w:rsid w:val="00813DFC"/>
    <w:rsid w:val="00814C89"/>
    <w:rsid w:val="00815200"/>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60120"/>
    <w:rsid w:val="0086076C"/>
    <w:rsid w:val="008609A7"/>
    <w:rsid w:val="00860CC1"/>
    <w:rsid w:val="00860E5E"/>
    <w:rsid w:val="00861219"/>
    <w:rsid w:val="0086135F"/>
    <w:rsid w:val="00861374"/>
    <w:rsid w:val="00861A2C"/>
    <w:rsid w:val="00861E76"/>
    <w:rsid w:val="008625ED"/>
    <w:rsid w:val="00862BED"/>
    <w:rsid w:val="00864107"/>
    <w:rsid w:val="008642B5"/>
    <w:rsid w:val="00864307"/>
    <w:rsid w:val="00864731"/>
    <w:rsid w:val="008647D7"/>
    <w:rsid w:val="00864B7E"/>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1A1"/>
    <w:rsid w:val="00883C31"/>
    <w:rsid w:val="00883CA7"/>
    <w:rsid w:val="00883D2A"/>
    <w:rsid w:val="0088421A"/>
    <w:rsid w:val="0088436A"/>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DA9"/>
    <w:rsid w:val="008A1F4F"/>
    <w:rsid w:val="008A2222"/>
    <w:rsid w:val="008A24E4"/>
    <w:rsid w:val="008A2C0B"/>
    <w:rsid w:val="008A3DBF"/>
    <w:rsid w:val="008A3E89"/>
    <w:rsid w:val="008A470E"/>
    <w:rsid w:val="008A4AA8"/>
    <w:rsid w:val="008A5885"/>
    <w:rsid w:val="008A5ED9"/>
    <w:rsid w:val="008A5F90"/>
    <w:rsid w:val="008A62B1"/>
    <w:rsid w:val="008A65AC"/>
    <w:rsid w:val="008A68E6"/>
    <w:rsid w:val="008A6A0D"/>
    <w:rsid w:val="008A6AEC"/>
    <w:rsid w:val="008A6BED"/>
    <w:rsid w:val="008B06E0"/>
    <w:rsid w:val="008B0C06"/>
    <w:rsid w:val="008B1373"/>
    <w:rsid w:val="008B1831"/>
    <w:rsid w:val="008B19EF"/>
    <w:rsid w:val="008B2D10"/>
    <w:rsid w:val="008B2D1A"/>
    <w:rsid w:val="008B32CA"/>
    <w:rsid w:val="008B330E"/>
    <w:rsid w:val="008B3331"/>
    <w:rsid w:val="008B3946"/>
    <w:rsid w:val="008B3A68"/>
    <w:rsid w:val="008B3DDE"/>
    <w:rsid w:val="008B3EC4"/>
    <w:rsid w:val="008B4299"/>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7B31"/>
    <w:rsid w:val="009000CC"/>
    <w:rsid w:val="009002E3"/>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6FBA"/>
    <w:rsid w:val="00937075"/>
    <w:rsid w:val="0093723B"/>
    <w:rsid w:val="00937D00"/>
    <w:rsid w:val="00937DA5"/>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4CEC"/>
    <w:rsid w:val="00965168"/>
    <w:rsid w:val="009666C4"/>
    <w:rsid w:val="00966999"/>
    <w:rsid w:val="009673F7"/>
    <w:rsid w:val="00967D96"/>
    <w:rsid w:val="00971038"/>
    <w:rsid w:val="009712FE"/>
    <w:rsid w:val="0097153F"/>
    <w:rsid w:val="009718D9"/>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8D4"/>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A39"/>
    <w:rsid w:val="00990DF8"/>
    <w:rsid w:val="00990F4A"/>
    <w:rsid w:val="00991235"/>
    <w:rsid w:val="00991401"/>
    <w:rsid w:val="00991816"/>
    <w:rsid w:val="00991DC9"/>
    <w:rsid w:val="00992561"/>
    <w:rsid w:val="00992CF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5D0"/>
    <w:rsid w:val="009A6E19"/>
    <w:rsid w:val="009A7403"/>
    <w:rsid w:val="009A7430"/>
    <w:rsid w:val="009A758C"/>
    <w:rsid w:val="009B0AC0"/>
    <w:rsid w:val="009B1907"/>
    <w:rsid w:val="009B1A7C"/>
    <w:rsid w:val="009B20EA"/>
    <w:rsid w:val="009B2962"/>
    <w:rsid w:val="009B2FCE"/>
    <w:rsid w:val="009B3F73"/>
    <w:rsid w:val="009B3FB8"/>
    <w:rsid w:val="009B3FC2"/>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86F"/>
    <w:rsid w:val="009E444C"/>
    <w:rsid w:val="009E558E"/>
    <w:rsid w:val="009E5B75"/>
    <w:rsid w:val="009E679E"/>
    <w:rsid w:val="009E696F"/>
    <w:rsid w:val="009E7AC2"/>
    <w:rsid w:val="009F013A"/>
    <w:rsid w:val="009F044C"/>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945"/>
    <w:rsid w:val="00A04DF8"/>
    <w:rsid w:val="00A04F52"/>
    <w:rsid w:val="00A05977"/>
    <w:rsid w:val="00A05A95"/>
    <w:rsid w:val="00A05D1B"/>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6230"/>
    <w:rsid w:val="00A76799"/>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85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310A"/>
    <w:rsid w:val="00AB358F"/>
    <w:rsid w:val="00AB3A65"/>
    <w:rsid w:val="00AB3AD5"/>
    <w:rsid w:val="00AB3DEE"/>
    <w:rsid w:val="00AB4CF0"/>
    <w:rsid w:val="00AB5680"/>
    <w:rsid w:val="00AB600F"/>
    <w:rsid w:val="00AB6591"/>
    <w:rsid w:val="00AB692C"/>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882"/>
    <w:rsid w:val="00AD2BBB"/>
    <w:rsid w:val="00AD2D3F"/>
    <w:rsid w:val="00AD2D8D"/>
    <w:rsid w:val="00AD5164"/>
    <w:rsid w:val="00AD5565"/>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64C"/>
    <w:rsid w:val="00B24B40"/>
    <w:rsid w:val="00B2584C"/>
    <w:rsid w:val="00B264A3"/>
    <w:rsid w:val="00B265DD"/>
    <w:rsid w:val="00B27803"/>
    <w:rsid w:val="00B27A76"/>
    <w:rsid w:val="00B27CD5"/>
    <w:rsid w:val="00B300DE"/>
    <w:rsid w:val="00B30217"/>
    <w:rsid w:val="00B303A6"/>
    <w:rsid w:val="00B30F18"/>
    <w:rsid w:val="00B31577"/>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4B9"/>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6FE2"/>
    <w:rsid w:val="00B9734E"/>
    <w:rsid w:val="00B97416"/>
    <w:rsid w:val="00B978CA"/>
    <w:rsid w:val="00B97916"/>
    <w:rsid w:val="00B97DEC"/>
    <w:rsid w:val="00B97EAF"/>
    <w:rsid w:val="00BA012B"/>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269"/>
    <w:rsid w:val="00BD2482"/>
    <w:rsid w:val="00BD31FC"/>
    <w:rsid w:val="00BD36A5"/>
    <w:rsid w:val="00BD391B"/>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8F8"/>
    <w:rsid w:val="00BE799F"/>
    <w:rsid w:val="00BF074A"/>
    <w:rsid w:val="00BF0BD5"/>
    <w:rsid w:val="00BF0DB1"/>
    <w:rsid w:val="00BF121B"/>
    <w:rsid w:val="00BF1276"/>
    <w:rsid w:val="00BF129E"/>
    <w:rsid w:val="00BF1657"/>
    <w:rsid w:val="00BF17CE"/>
    <w:rsid w:val="00BF1F7B"/>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198E"/>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4BE2"/>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7109"/>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2CE6"/>
    <w:rsid w:val="00C73D67"/>
    <w:rsid w:val="00C7470A"/>
    <w:rsid w:val="00C74991"/>
    <w:rsid w:val="00C749B6"/>
    <w:rsid w:val="00C755B9"/>
    <w:rsid w:val="00C757A8"/>
    <w:rsid w:val="00C76352"/>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1EC"/>
    <w:rsid w:val="00C9030B"/>
    <w:rsid w:val="00C90799"/>
    <w:rsid w:val="00C90DB8"/>
    <w:rsid w:val="00C90F20"/>
    <w:rsid w:val="00C91824"/>
    <w:rsid w:val="00C91C4D"/>
    <w:rsid w:val="00C93246"/>
    <w:rsid w:val="00C935FB"/>
    <w:rsid w:val="00C93C9D"/>
    <w:rsid w:val="00C93DD6"/>
    <w:rsid w:val="00C94032"/>
    <w:rsid w:val="00C940C9"/>
    <w:rsid w:val="00C94160"/>
    <w:rsid w:val="00C945EB"/>
    <w:rsid w:val="00C947B7"/>
    <w:rsid w:val="00C94889"/>
    <w:rsid w:val="00C9490C"/>
    <w:rsid w:val="00C94EAD"/>
    <w:rsid w:val="00C953E4"/>
    <w:rsid w:val="00C958A2"/>
    <w:rsid w:val="00C9624C"/>
    <w:rsid w:val="00C9684A"/>
    <w:rsid w:val="00C96BF3"/>
    <w:rsid w:val="00C971FB"/>
    <w:rsid w:val="00C97247"/>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D73"/>
    <w:rsid w:val="00CB0380"/>
    <w:rsid w:val="00CB03A8"/>
    <w:rsid w:val="00CB0594"/>
    <w:rsid w:val="00CB0AA0"/>
    <w:rsid w:val="00CB0CA9"/>
    <w:rsid w:val="00CB0DA0"/>
    <w:rsid w:val="00CB1B48"/>
    <w:rsid w:val="00CB2A67"/>
    <w:rsid w:val="00CB32B7"/>
    <w:rsid w:val="00CB35AA"/>
    <w:rsid w:val="00CB37E5"/>
    <w:rsid w:val="00CB4312"/>
    <w:rsid w:val="00CB489A"/>
    <w:rsid w:val="00CB577B"/>
    <w:rsid w:val="00CB57EA"/>
    <w:rsid w:val="00CB5D1D"/>
    <w:rsid w:val="00CB5D7F"/>
    <w:rsid w:val="00CB69D9"/>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42F9"/>
    <w:rsid w:val="00CF4B71"/>
    <w:rsid w:val="00CF4DC8"/>
    <w:rsid w:val="00CF5C92"/>
    <w:rsid w:val="00CF67D4"/>
    <w:rsid w:val="00CF71B1"/>
    <w:rsid w:val="00CF7766"/>
    <w:rsid w:val="00CF7975"/>
    <w:rsid w:val="00CF799A"/>
    <w:rsid w:val="00CF7ABE"/>
    <w:rsid w:val="00CF7CC1"/>
    <w:rsid w:val="00CF7DA2"/>
    <w:rsid w:val="00D000DF"/>
    <w:rsid w:val="00D00585"/>
    <w:rsid w:val="00D00E51"/>
    <w:rsid w:val="00D013DD"/>
    <w:rsid w:val="00D0173A"/>
    <w:rsid w:val="00D01C34"/>
    <w:rsid w:val="00D01FE6"/>
    <w:rsid w:val="00D02438"/>
    <w:rsid w:val="00D02974"/>
    <w:rsid w:val="00D03264"/>
    <w:rsid w:val="00D036DD"/>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A36"/>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B94"/>
    <w:rsid w:val="00D24C43"/>
    <w:rsid w:val="00D2512D"/>
    <w:rsid w:val="00D25B97"/>
    <w:rsid w:val="00D25C13"/>
    <w:rsid w:val="00D25F51"/>
    <w:rsid w:val="00D25FFC"/>
    <w:rsid w:val="00D27175"/>
    <w:rsid w:val="00D271AB"/>
    <w:rsid w:val="00D275FD"/>
    <w:rsid w:val="00D27B37"/>
    <w:rsid w:val="00D30324"/>
    <w:rsid w:val="00D3065F"/>
    <w:rsid w:val="00D306D5"/>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600"/>
    <w:rsid w:val="00D60CB7"/>
    <w:rsid w:val="00D60D19"/>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26C1"/>
    <w:rsid w:val="00DD2853"/>
    <w:rsid w:val="00DD33B9"/>
    <w:rsid w:val="00DD398C"/>
    <w:rsid w:val="00DD47E9"/>
    <w:rsid w:val="00DD4AA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CDC"/>
    <w:rsid w:val="00E00E00"/>
    <w:rsid w:val="00E0110B"/>
    <w:rsid w:val="00E015B7"/>
    <w:rsid w:val="00E01E1B"/>
    <w:rsid w:val="00E01F67"/>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7F1"/>
    <w:rsid w:val="00E10F32"/>
    <w:rsid w:val="00E11E7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301B7"/>
    <w:rsid w:val="00E30962"/>
    <w:rsid w:val="00E310C2"/>
    <w:rsid w:val="00E31AED"/>
    <w:rsid w:val="00E31F9E"/>
    <w:rsid w:val="00E32089"/>
    <w:rsid w:val="00E327B5"/>
    <w:rsid w:val="00E32847"/>
    <w:rsid w:val="00E32B56"/>
    <w:rsid w:val="00E32E1B"/>
    <w:rsid w:val="00E32FE1"/>
    <w:rsid w:val="00E334A0"/>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75AD"/>
    <w:rsid w:val="00E9763E"/>
    <w:rsid w:val="00E97AE2"/>
    <w:rsid w:val="00EA03D9"/>
    <w:rsid w:val="00EA0423"/>
    <w:rsid w:val="00EA0854"/>
    <w:rsid w:val="00EA176F"/>
    <w:rsid w:val="00EA1A0E"/>
    <w:rsid w:val="00EA1E37"/>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2CEC"/>
    <w:rsid w:val="00EB3349"/>
    <w:rsid w:val="00EB3C03"/>
    <w:rsid w:val="00EB40DB"/>
    <w:rsid w:val="00EB4591"/>
    <w:rsid w:val="00EB4ABC"/>
    <w:rsid w:val="00EB51DF"/>
    <w:rsid w:val="00EB5353"/>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F76"/>
    <w:rsid w:val="00ED6588"/>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F002B9"/>
    <w:rsid w:val="00F003E2"/>
    <w:rsid w:val="00F0062A"/>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CA0"/>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9E8"/>
    <w:rsid w:val="00F43E44"/>
    <w:rsid w:val="00F44249"/>
    <w:rsid w:val="00F44303"/>
    <w:rsid w:val="00F443F0"/>
    <w:rsid w:val="00F445CA"/>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7014D"/>
    <w:rsid w:val="00F70BA0"/>
    <w:rsid w:val="00F70EC1"/>
    <w:rsid w:val="00F710AF"/>
    <w:rsid w:val="00F7174E"/>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3F5A"/>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C1"/>
    <w:rsid w:val="00FE37CC"/>
    <w:rsid w:val="00FE3A05"/>
    <w:rsid w:val="00FE3E1C"/>
    <w:rsid w:val="00FE4152"/>
    <w:rsid w:val="00FE4B3C"/>
    <w:rsid w:val="00FE4F00"/>
    <w:rsid w:val="00FE5C37"/>
    <w:rsid w:val="00FE6395"/>
    <w:rsid w:val="00FE66E2"/>
    <w:rsid w:val="00FE6E82"/>
    <w:rsid w:val="00FE7515"/>
    <w:rsid w:val="00FE7703"/>
    <w:rsid w:val="00FE7C31"/>
    <w:rsid w:val="00FE7C9A"/>
    <w:rsid w:val="00FE7CF9"/>
    <w:rsid w:val="00FF0202"/>
    <w:rsid w:val="00FF13C6"/>
    <w:rsid w:val="00FF1684"/>
    <w:rsid w:val="00FF1BA5"/>
    <w:rsid w:val="00FF1CF9"/>
    <w:rsid w:val="00FF2257"/>
    <w:rsid w:val="00FF26DB"/>
    <w:rsid w:val="00FF297A"/>
    <w:rsid w:val="00FF31C4"/>
    <w:rsid w:val="00FF3C52"/>
    <w:rsid w:val="00FF3EDE"/>
    <w:rsid w:val="00FF4545"/>
    <w:rsid w:val="00FF4928"/>
    <w:rsid w:val="00FF4A4A"/>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Consumo%20Privad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Consumo%20Privad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Consumo%20Privad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Consumo%20Privad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'!$C$89:$C$149</c:f>
              <c:numCache>
                <c:formatCode>0.0</c:formatCode>
                <c:ptCount val="61"/>
                <c:pt idx="0">
                  <c:v>103.933476613528</c:v>
                </c:pt>
                <c:pt idx="1">
                  <c:v>103.51156399433999</c:v>
                </c:pt>
                <c:pt idx="2">
                  <c:v>104.245241796024</c:v>
                </c:pt>
                <c:pt idx="3">
                  <c:v>104.312847471057</c:v>
                </c:pt>
                <c:pt idx="4">
                  <c:v>104.66571935400199</c:v>
                </c:pt>
                <c:pt idx="5">
                  <c:v>105.046134970718</c:v>
                </c:pt>
                <c:pt idx="6">
                  <c:v>104.851270110333</c:v>
                </c:pt>
                <c:pt idx="7">
                  <c:v>106.574423928618</c:v>
                </c:pt>
                <c:pt idx="8">
                  <c:v>106.73535626203</c:v>
                </c:pt>
                <c:pt idx="9">
                  <c:v>107.88876850236301</c:v>
                </c:pt>
                <c:pt idx="10">
                  <c:v>107.441477912031</c:v>
                </c:pt>
                <c:pt idx="11">
                  <c:v>107.611600509159</c:v>
                </c:pt>
                <c:pt idx="12">
                  <c:v>108.473203961861</c:v>
                </c:pt>
                <c:pt idx="13">
                  <c:v>108.73850282248701</c:v>
                </c:pt>
                <c:pt idx="14">
                  <c:v>108.47733878455</c:v>
                </c:pt>
                <c:pt idx="15">
                  <c:v>108.015779312105</c:v>
                </c:pt>
                <c:pt idx="16">
                  <c:v>108.778686464624</c:v>
                </c:pt>
                <c:pt idx="17">
                  <c:v>109.69196748619299</c:v>
                </c:pt>
                <c:pt idx="18">
                  <c:v>109.91475349536699</c:v>
                </c:pt>
                <c:pt idx="19">
                  <c:v>110.345681267795</c:v>
                </c:pt>
                <c:pt idx="20">
                  <c:v>110.74982217357601</c:v>
                </c:pt>
                <c:pt idx="21">
                  <c:v>111.258523804278</c:v>
                </c:pt>
                <c:pt idx="22">
                  <c:v>111.209790826806</c:v>
                </c:pt>
                <c:pt idx="23">
                  <c:v>114.07795785804601</c:v>
                </c:pt>
                <c:pt idx="24">
                  <c:v>112.74331944528601</c:v>
                </c:pt>
                <c:pt idx="25">
                  <c:v>112.900323849285</c:v>
                </c:pt>
                <c:pt idx="26">
                  <c:v>111.508410319728</c:v>
                </c:pt>
                <c:pt idx="27">
                  <c:v>113.581942147823</c:v>
                </c:pt>
                <c:pt idx="28">
                  <c:v>113.404166878506</c:v>
                </c:pt>
                <c:pt idx="29">
                  <c:v>113.79150544653599</c:v>
                </c:pt>
                <c:pt idx="30">
                  <c:v>113.65050651934401</c:v>
                </c:pt>
                <c:pt idx="31">
                  <c:v>114.06460961926599</c:v>
                </c:pt>
                <c:pt idx="32">
                  <c:v>113.98491538421401</c:v>
                </c:pt>
                <c:pt idx="33">
                  <c:v>114.060617640297</c:v>
                </c:pt>
                <c:pt idx="34">
                  <c:v>114.358370464673</c:v>
                </c:pt>
                <c:pt idx="35">
                  <c:v>116.25625298344499</c:v>
                </c:pt>
                <c:pt idx="36">
                  <c:v>114.544482578969</c:v>
                </c:pt>
                <c:pt idx="37">
                  <c:v>115.013593252278</c:v>
                </c:pt>
                <c:pt idx="38">
                  <c:v>116.340661363045</c:v>
                </c:pt>
                <c:pt idx="39">
                  <c:v>115.926090539489</c:v>
                </c:pt>
                <c:pt idx="40">
                  <c:v>116.40406937458501</c:v>
                </c:pt>
                <c:pt idx="41">
                  <c:v>116.138614806414</c:v>
                </c:pt>
                <c:pt idx="42">
                  <c:v>116.812541268042</c:v>
                </c:pt>
                <c:pt idx="43">
                  <c:v>116.91502180062101</c:v>
                </c:pt>
                <c:pt idx="44">
                  <c:v>117.134994622736</c:v>
                </c:pt>
                <c:pt idx="45">
                  <c:v>115.65696784862</c:v>
                </c:pt>
                <c:pt idx="46">
                  <c:v>116.733181877696</c:v>
                </c:pt>
                <c:pt idx="47">
                  <c:v>117.01627517566099</c:v>
                </c:pt>
                <c:pt idx="48">
                  <c:v>117.178383260928</c:v>
                </c:pt>
                <c:pt idx="49">
                  <c:v>117.232351789041</c:v>
                </c:pt>
                <c:pt idx="50">
                  <c:v>114.975230674426</c:v>
                </c:pt>
                <c:pt idx="51">
                  <c:v>117.027541874094</c:v>
                </c:pt>
                <c:pt idx="52">
                  <c:v>117.08001731890801</c:v>
                </c:pt>
                <c:pt idx="53">
                  <c:v>117.86215080312699</c:v>
                </c:pt>
                <c:pt idx="54">
                  <c:v>117.617180272521</c:v>
                </c:pt>
                <c:pt idx="55">
                  <c:v>117.40484778321699</c:v>
                </c:pt>
                <c:pt idx="56">
                  <c:v>118.308977951736</c:v>
                </c:pt>
                <c:pt idx="57">
                  <c:v>117.32260980068401</c:v>
                </c:pt>
                <c:pt idx="58">
                  <c:v>117.99389770657</c:v>
                </c:pt>
                <c:pt idx="59">
                  <c:v>117.496496039829</c:v>
                </c:pt>
                <c:pt idx="60">
                  <c:v>117.481670165049</c:v>
                </c:pt>
              </c:numCache>
            </c:numRef>
          </c:val>
          <c:extLst>
            <c:ext xmlns:c16="http://schemas.microsoft.com/office/drawing/2014/chart" uri="{C3380CC4-5D6E-409C-BE32-E72D297353CC}">
              <c16:uniqueId val="{00000000-F3D1-45F3-9D15-44D9848AB8DC}"/>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'!$D$89:$D$149</c:f>
              <c:numCache>
                <c:formatCode>0.0</c:formatCode>
                <c:ptCount val="61"/>
                <c:pt idx="0">
                  <c:v>103.728406241286</c:v>
                </c:pt>
                <c:pt idx="1">
                  <c:v>103.88585833907599</c:v>
                </c:pt>
                <c:pt idx="2">
                  <c:v>104.059025216762</c:v>
                </c:pt>
                <c:pt idx="3">
                  <c:v>104.311554691776</c:v>
                </c:pt>
                <c:pt idx="4">
                  <c:v>104.68126807856</c:v>
                </c:pt>
                <c:pt idx="5">
                  <c:v>105.156382257464</c:v>
                </c:pt>
                <c:pt idx="6">
                  <c:v>105.695671148956</c:v>
                </c:pt>
                <c:pt idx="7">
                  <c:v>106.25045916301301</c:v>
                </c:pt>
                <c:pt idx="8">
                  <c:v>106.780264249368</c:v>
                </c:pt>
                <c:pt idx="9">
                  <c:v>107.271420827911</c:v>
                </c:pt>
                <c:pt idx="10">
                  <c:v>107.678635951343</c:v>
                </c:pt>
                <c:pt idx="11">
                  <c:v>107.975349055984</c:v>
                </c:pt>
                <c:pt idx="12">
                  <c:v>108.178235415852</c:v>
                </c:pt>
                <c:pt idx="13">
                  <c:v>108.33775574138301</c:v>
                </c:pt>
                <c:pt idx="14">
                  <c:v>108.50898884612199</c:v>
                </c:pt>
                <c:pt idx="15">
                  <c:v>108.72351311910001</c:v>
                </c:pt>
                <c:pt idx="16">
                  <c:v>109.024376664196</c:v>
                </c:pt>
                <c:pt idx="17">
                  <c:v>109.400798262799</c:v>
                </c:pt>
                <c:pt idx="18">
                  <c:v>109.837411697402</c:v>
                </c:pt>
                <c:pt idx="19">
                  <c:v>110.29900949777</c:v>
                </c:pt>
                <c:pt idx="20">
                  <c:v>110.746450591916</c:v>
                </c:pt>
                <c:pt idx="21">
                  <c:v>111.173597761953</c:v>
                </c:pt>
                <c:pt idx="22">
                  <c:v>111.611956313223</c:v>
                </c:pt>
                <c:pt idx="23">
                  <c:v>112.06706021632201</c:v>
                </c:pt>
                <c:pt idx="24">
                  <c:v>112.510003669965</c:v>
                </c:pt>
                <c:pt idx="25">
                  <c:v>112.891456055513</c:v>
                </c:pt>
                <c:pt idx="26">
                  <c:v>113.194339646535</c:v>
                </c:pt>
                <c:pt idx="27">
                  <c:v>113.417010883618</c:v>
                </c:pt>
                <c:pt idx="28">
                  <c:v>113.572110306985</c:v>
                </c:pt>
                <c:pt idx="29">
                  <c:v>113.68403927043001</c:v>
                </c:pt>
                <c:pt idx="30">
                  <c:v>113.79302878229799</c:v>
                </c:pt>
                <c:pt idx="31">
                  <c:v>113.906771855019</c:v>
                </c:pt>
                <c:pt idx="32">
                  <c:v>114.02141433503699</c:v>
                </c:pt>
                <c:pt idx="33">
                  <c:v>114.160993204717</c:v>
                </c:pt>
                <c:pt idx="34">
                  <c:v>114.34321895254099</c:v>
                </c:pt>
                <c:pt idx="35">
                  <c:v>114.59085855435301</c:v>
                </c:pt>
                <c:pt idx="36">
                  <c:v>114.90090563414</c:v>
                </c:pt>
                <c:pt idx="37">
                  <c:v>115.245964798949</c:v>
                </c:pt>
                <c:pt idx="38">
                  <c:v>115.59857239981299</c:v>
                </c:pt>
                <c:pt idx="39">
                  <c:v>115.93825565992501</c:v>
                </c:pt>
                <c:pt idx="40">
                  <c:v>116.25145583383799</c:v>
                </c:pt>
                <c:pt idx="41">
                  <c:v>116.509890740025</c:v>
                </c:pt>
                <c:pt idx="42">
                  <c:v>116.69112290159001</c:v>
                </c:pt>
                <c:pt idx="43">
                  <c:v>116.800612498135</c:v>
                </c:pt>
                <c:pt idx="44">
                  <c:v>116.874171382584</c:v>
                </c:pt>
                <c:pt idx="45">
                  <c:v>116.92910010772501</c:v>
                </c:pt>
                <c:pt idx="46">
                  <c:v>116.966560145683</c:v>
                </c:pt>
                <c:pt idx="47">
                  <c:v>116.98708589076401</c:v>
                </c:pt>
                <c:pt idx="48">
                  <c:v>117.00666465155901</c:v>
                </c:pt>
                <c:pt idx="49">
                  <c:v>117.056660980551</c:v>
                </c:pt>
                <c:pt idx="50">
                  <c:v>117.116732567135</c:v>
                </c:pt>
                <c:pt idx="51">
                  <c:v>117.20526160072301</c:v>
                </c:pt>
                <c:pt idx="52">
                  <c:v>117.316025226671</c:v>
                </c:pt>
                <c:pt idx="53">
                  <c:v>117.45666146432001</c:v>
                </c:pt>
                <c:pt idx="54">
                  <c:v>117.602454720601</c:v>
                </c:pt>
                <c:pt idx="55">
                  <c:v>117.711286725451</c:v>
                </c:pt>
                <c:pt idx="56">
                  <c:v>117.767278999232</c:v>
                </c:pt>
                <c:pt idx="57">
                  <c:v>117.753621393716</c:v>
                </c:pt>
                <c:pt idx="58">
                  <c:v>117.677073258932</c:v>
                </c:pt>
                <c:pt idx="59">
                  <c:v>117.55825937047101</c:v>
                </c:pt>
                <c:pt idx="60">
                  <c:v>117.429093070238</c:v>
                </c:pt>
              </c:numCache>
            </c:numRef>
          </c:val>
          <c:smooth val="0"/>
          <c:extLst>
            <c:ext xmlns:c16="http://schemas.microsoft.com/office/drawing/2014/chart" uri="{C3380CC4-5D6E-409C-BE32-E72D297353CC}">
              <c16:uniqueId val="{00000001-F3D1-45F3-9D15-44D9848AB8DC}"/>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'!$C$89:$C$149</c:f>
              <c:numCache>
                <c:formatCode>0.0</c:formatCode>
                <c:ptCount val="61"/>
                <c:pt idx="0">
                  <c:v>103.933476613528</c:v>
                </c:pt>
                <c:pt idx="1">
                  <c:v>103.51156399433999</c:v>
                </c:pt>
                <c:pt idx="2">
                  <c:v>104.245241796024</c:v>
                </c:pt>
                <c:pt idx="3">
                  <c:v>104.312847471057</c:v>
                </c:pt>
                <c:pt idx="4">
                  <c:v>104.66571935400199</c:v>
                </c:pt>
                <c:pt idx="5">
                  <c:v>105.046134970718</c:v>
                </c:pt>
                <c:pt idx="6">
                  <c:v>104.851270110333</c:v>
                </c:pt>
                <c:pt idx="7">
                  <c:v>106.574423928618</c:v>
                </c:pt>
                <c:pt idx="8">
                  <c:v>106.73535626203</c:v>
                </c:pt>
                <c:pt idx="9">
                  <c:v>107.88876850236301</c:v>
                </c:pt>
                <c:pt idx="10">
                  <c:v>107.441477912031</c:v>
                </c:pt>
                <c:pt idx="11">
                  <c:v>107.611600509159</c:v>
                </c:pt>
                <c:pt idx="12">
                  <c:v>108.473203961861</c:v>
                </c:pt>
                <c:pt idx="13">
                  <c:v>108.73850282248701</c:v>
                </c:pt>
                <c:pt idx="14">
                  <c:v>108.47733878455</c:v>
                </c:pt>
                <c:pt idx="15">
                  <c:v>108.015779312105</c:v>
                </c:pt>
                <c:pt idx="16">
                  <c:v>108.778686464624</c:v>
                </c:pt>
                <c:pt idx="17">
                  <c:v>109.69196748619299</c:v>
                </c:pt>
                <c:pt idx="18">
                  <c:v>109.91475349536699</c:v>
                </c:pt>
                <c:pt idx="19">
                  <c:v>110.345681267795</c:v>
                </c:pt>
                <c:pt idx="20">
                  <c:v>110.74982217357601</c:v>
                </c:pt>
                <c:pt idx="21">
                  <c:v>111.258523804278</c:v>
                </c:pt>
                <c:pt idx="22">
                  <c:v>111.209790826806</c:v>
                </c:pt>
                <c:pt idx="23">
                  <c:v>114.07795785804601</c:v>
                </c:pt>
                <c:pt idx="24">
                  <c:v>112.74331944528601</c:v>
                </c:pt>
                <c:pt idx="25">
                  <c:v>112.900323849285</c:v>
                </c:pt>
                <c:pt idx="26">
                  <c:v>111.508410319728</c:v>
                </c:pt>
                <c:pt idx="27">
                  <c:v>113.581942147823</c:v>
                </c:pt>
                <c:pt idx="28">
                  <c:v>113.404166878506</c:v>
                </c:pt>
                <c:pt idx="29">
                  <c:v>113.79150544653599</c:v>
                </c:pt>
                <c:pt idx="30">
                  <c:v>113.65050651934401</c:v>
                </c:pt>
                <c:pt idx="31">
                  <c:v>114.06460961926599</c:v>
                </c:pt>
                <c:pt idx="32">
                  <c:v>113.98491538421401</c:v>
                </c:pt>
                <c:pt idx="33">
                  <c:v>114.060617640297</c:v>
                </c:pt>
                <c:pt idx="34">
                  <c:v>114.358370464673</c:v>
                </c:pt>
                <c:pt idx="35">
                  <c:v>116.25625298344499</c:v>
                </c:pt>
                <c:pt idx="36">
                  <c:v>114.544482578969</c:v>
                </c:pt>
                <c:pt idx="37">
                  <c:v>115.013593252278</c:v>
                </c:pt>
                <c:pt idx="38">
                  <c:v>116.340661363045</c:v>
                </c:pt>
                <c:pt idx="39">
                  <c:v>115.926090539489</c:v>
                </c:pt>
                <c:pt idx="40">
                  <c:v>116.40406937458501</c:v>
                </c:pt>
                <c:pt idx="41">
                  <c:v>116.138614806414</c:v>
                </c:pt>
                <c:pt idx="42">
                  <c:v>116.812541268042</c:v>
                </c:pt>
                <c:pt idx="43">
                  <c:v>116.91502180062101</c:v>
                </c:pt>
                <c:pt idx="44">
                  <c:v>117.134994622736</c:v>
                </c:pt>
                <c:pt idx="45">
                  <c:v>115.65696784862</c:v>
                </c:pt>
                <c:pt idx="46">
                  <c:v>116.733181877696</c:v>
                </c:pt>
                <c:pt idx="47">
                  <c:v>117.01627517566099</c:v>
                </c:pt>
                <c:pt idx="48">
                  <c:v>117.178383260928</c:v>
                </c:pt>
                <c:pt idx="49">
                  <c:v>117.232351789041</c:v>
                </c:pt>
                <c:pt idx="50">
                  <c:v>114.975230674426</c:v>
                </c:pt>
                <c:pt idx="51">
                  <c:v>117.027541874094</c:v>
                </c:pt>
                <c:pt idx="52">
                  <c:v>117.08001731890801</c:v>
                </c:pt>
                <c:pt idx="53">
                  <c:v>117.86215080312699</c:v>
                </c:pt>
                <c:pt idx="54">
                  <c:v>117.617180272521</c:v>
                </c:pt>
                <c:pt idx="55">
                  <c:v>117.40484778321699</c:v>
                </c:pt>
                <c:pt idx="56">
                  <c:v>118.308977951736</c:v>
                </c:pt>
                <c:pt idx="57">
                  <c:v>117.32260980068401</c:v>
                </c:pt>
                <c:pt idx="58">
                  <c:v>117.99389770657</c:v>
                </c:pt>
                <c:pt idx="59">
                  <c:v>117.496496039829</c:v>
                </c:pt>
                <c:pt idx="60">
                  <c:v>117.481670165049</c:v>
                </c:pt>
              </c:numCache>
            </c:numRef>
          </c:val>
          <c:extLst>
            <c:ext xmlns:c16="http://schemas.microsoft.com/office/drawing/2014/chart" uri="{C3380CC4-5D6E-409C-BE32-E72D297353CC}">
              <c16:uniqueId val="{00000000-1643-405B-96C5-E59500909628}"/>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'!$D$89:$D$149</c:f>
              <c:numCache>
                <c:formatCode>0.0</c:formatCode>
                <c:ptCount val="61"/>
                <c:pt idx="0">
                  <c:v>103.728406241286</c:v>
                </c:pt>
                <c:pt idx="1">
                  <c:v>103.88585833907599</c:v>
                </c:pt>
                <c:pt idx="2">
                  <c:v>104.059025216762</c:v>
                </c:pt>
                <c:pt idx="3">
                  <c:v>104.311554691776</c:v>
                </c:pt>
                <c:pt idx="4">
                  <c:v>104.68126807856</c:v>
                </c:pt>
                <c:pt idx="5">
                  <c:v>105.156382257464</c:v>
                </c:pt>
                <c:pt idx="6">
                  <c:v>105.695671148956</c:v>
                </c:pt>
                <c:pt idx="7">
                  <c:v>106.25045916301301</c:v>
                </c:pt>
                <c:pt idx="8">
                  <c:v>106.780264249368</c:v>
                </c:pt>
                <c:pt idx="9">
                  <c:v>107.271420827911</c:v>
                </c:pt>
                <c:pt idx="10">
                  <c:v>107.678635951343</c:v>
                </c:pt>
                <c:pt idx="11">
                  <c:v>107.975349055984</c:v>
                </c:pt>
                <c:pt idx="12">
                  <c:v>108.178235415852</c:v>
                </c:pt>
                <c:pt idx="13">
                  <c:v>108.33775574138301</c:v>
                </c:pt>
                <c:pt idx="14">
                  <c:v>108.50898884612199</c:v>
                </c:pt>
                <c:pt idx="15">
                  <c:v>108.72351311910001</c:v>
                </c:pt>
                <c:pt idx="16">
                  <c:v>109.024376664196</c:v>
                </c:pt>
                <c:pt idx="17">
                  <c:v>109.400798262799</c:v>
                </c:pt>
                <c:pt idx="18">
                  <c:v>109.837411697402</c:v>
                </c:pt>
                <c:pt idx="19">
                  <c:v>110.29900949777</c:v>
                </c:pt>
                <c:pt idx="20">
                  <c:v>110.746450591916</c:v>
                </c:pt>
                <c:pt idx="21">
                  <c:v>111.173597761953</c:v>
                </c:pt>
                <c:pt idx="22">
                  <c:v>111.611956313223</c:v>
                </c:pt>
                <c:pt idx="23">
                  <c:v>112.06706021632201</c:v>
                </c:pt>
                <c:pt idx="24">
                  <c:v>112.510003669965</c:v>
                </c:pt>
                <c:pt idx="25">
                  <c:v>112.891456055513</c:v>
                </c:pt>
                <c:pt idx="26">
                  <c:v>113.194339646535</c:v>
                </c:pt>
                <c:pt idx="27">
                  <c:v>113.417010883618</c:v>
                </c:pt>
                <c:pt idx="28">
                  <c:v>113.572110306985</c:v>
                </c:pt>
                <c:pt idx="29">
                  <c:v>113.68403927043001</c:v>
                </c:pt>
                <c:pt idx="30">
                  <c:v>113.79302878229799</c:v>
                </c:pt>
                <c:pt idx="31">
                  <c:v>113.906771855019</c:v>
                </c:pt>
                <c:pt idx="32">
                  <c:v>114.02141433503699</c:v>
                </c:pt>
                <c:pt idx="33">
                  <c:v>114.160993204717</c:v>
                </c:pt>
                <c:pt idx="34">
                  <c:v>114.34321895254099</c:v>
                </c:pt>
                <c:pt idx="35">
                  <c:v>114.59085855435301</c:v>
                </c:pt>
                <c:pt idx="36">
                  <c:v>114.90090563414</c:v>
                </c:pt>
                <c:pt idx="37">
                  <c:v>115.245964798949</c:v>
                </c:pt>
                <c:pt idx="38">
                  <c:v>115.59857239981299</c:v>
                </c:pt>
                <c:pt idx="39">
                  <c:v>115.93825565992501</c:v>
                </c:pt>
                <c:pt idx="40">
                  <c:v>116.25145583383799</c:v>
                </c:pt>
                <c:pt idx="41">
                  <c:v>116.509890740025</c:v>
                </c:pt>
                <c:pt idx="42">
                  <c:v>116.69112290159001</c:v>
                </c:pt>
                <c:pt idx="43">
                  <c:v>116.800612498135</c:v>
                </c:pt>
                <c:pt idx="44">
                  <c:v>116.874171382584</c:v>
                </c:pt>
                <c:pt idx="45">
                  <c:v>116.92910010772501</c:v>
                </c:pt>
                <c:pt idx="46">
                  <c:v>116.966560145683</c:v>
                </c:pt>
                <c:pt idx="47">
                  <c:v>116.98708589076401</c:v>
                </c:pt>
                <c:pt idx="48">
                  <c:v>117.00666465155901</c:v>
                </c:pt>
                <c:pt idx="49">
                  <c:v>117.056660980551</c:v>
                </c:pt>
                <c:pt idx="50">
                  <c:v>117.116732567135</c:v>
                </c:pt>
                <c:pt idx="51">
                  <c:v>117.20526160072301</c:v>
                </c:pt>
                <c:pt idx="52">
                  <c:v>117.316025226671</c:v>
                </c:pt>
                <c:pt idx="53">
                  <c:v>117.45666146432001</c:v>
                </c:pt>
                <c:pt idx="54">
                  <c:v>117.602454720601</c:v>
                </c:pt>
                <c:pt idx="55">
                  <c:v>117.711286725451</c:v>
                </c:pt>
                <c:pt idx="56">
                  <c:v>117.767278999232</c:v>
                </c:pt>
                <c:pt idx="57">
                  <c:v>117.753621393716</c:v>
                </c:pt>
                <c:pt idx="58">
                  <c:v>117.677073258932</c:v>
                </c:pt>
                <c:pt idx="59">
                  <c:v>117.55825937047101</c:v>
                </c:pt>
                <c:pt idx="60">
                  <c:v>117.429093070238</c:v>
                </c:pt>
              </c:numCache>
            </c:numRef>
          </c:val>
          <c:smooth val="0"/>
          <c:extLst>
            <c:ext xmlns:c16="http://schemas.microsoft.com/office/drawing/2014/chart" uri="{C3380CC4-5D6E-409C-BE32-E72D297353CC}">
              <c16:uniqueId val="{00000001-1643-405B-96C5-E59500909628}"/>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'!$G$89:$G$149</c:f>
              <c:numCache>
                <c:formatCode>0.0</c:formatCode>
                <c:ptCount val="61"/>
                <c:pt idx="0">
                  <c:v>105.463007041924</c:v>
                </c:pt>
                <c:pt idx="1">
                  <c:v>102.880215431392</c:v>
                </c:pt>
                <c:pt idx="2">
                  <c:v>104.700157312266</c:v>
                </c:pt>
                <c:pt idx="3">
                  <c:v>108.435841965721</c:v>
                </c:pt>
                <c:pt idx="4">
                  <c:v>111.640883101466</c:v>
                </c:pt>
                <c:pt idx="5">
                  <c:v>115.553460481348</c:v>
                </c:pt>
                <c:pt idx="6">
                  <c:v>110.754753078473</c:v>
                </c:pt>
                <c:pt idx="7">
                  <c:v>114.701690106225</c:v>
                </c:pt>
                <c:pt idx="8">
                  <c:v>108.759590655572</c:v>
                </c:pt>
                <c:pt idx="9">
                  <c:v>116.313129866623</c:v>
                </c:pt>
                <c:pt idx="10">
                  <c:v>117.051899810923</c:v>
                </c:pt>
                <c:pt idx="11">
                  <c:v>112.848846278021</c:v>
                </c:pt>
                <c:pt idx="12">
                  <c:v>111.016258343046</c:v>
                </c:pt>
                <c:pt idx="13">
                  <c:v>111.553179056364</c:v>
                </c:pt>
                <c:pt idx="14">
                  <c:v>112.479705570242</c:v>
                </c:pt>
                <c:pt idx="15">
                  <c:v>108.22147580542099</c:v>
                </c:pt>
                <c:pt idx="16">
                  <c:v>108.339395064844</c:v>
                </c:pt>
                <c:pt idx="17">
                  <c:v>109.79442695861501</c:v>
                </c:pt>
                <c:pt idx="18">
                  <c:v>109.872810460869</c:v>
                </c:pt>
                <c:pt idx="19">
                  <c:v>109.263661518273</c:v>
                </c:pt>
                <c:pt idx="20">
                  <c:v>109.562265458365</c:v>
                </c:pt>
                <c:pt idx="21">
                  <c:v>109.413278011538</c:v>
                </c:pt>
                <c:pt idx="22">
                  <c:v>107.48220388998099</c:v>
                </c:pt>
                <c:pt idx="23">
                  <c:v>111.76735182461699</c:v>
                </c:pt>
                <c:pt idx="24">
                  <c:v>110.244079108986</c:v>
                </c:pt>
                <c:pt idx="25">
                  <c:v>115.41512066217101</c:v>
                </c:pt>
                <c:pt idx="26">
                  <c:v>116.056163486719</c:v>
                </c:pt>
                <c:pt idx="27">
                  <c:v>116.485685608458</c:v>
                </c:pt>
                <c:pt idx="28">
                  <c:v>118.922493652581</c:v>
                </c:pt>
                <c:pt idx="29">
                  <c:v>121.477406444549</c:v>
                </c:pt>
                <c:pt idx="30">
                  <c:v>119.58547659119</c:v>
                </c:pt>
                <c:pt idx="31">
                  <c:v>116.54124123431799</c:v>
                </c:pt>
                <c:pt idx="32">
                  <c:v>115.916041667448</c:v>
                </c:pt>
                <c:pt idx="33">
                  <c:v>115.595139659415</c:v>
                </c:pt>
                <c:pt idx="34">
                  <c:v>116.89231616267701</c:v>
                </c:pt>
                <c:pt idx="35">
                  <c:v>124.685772133405</c:v>
                </c:pt>
                <c:pt idx="36">
                  <c:v>119.79625752370001</c:v>
                </c:pt>
                <c:pt idx="37">
                  <c:v>117.545752912697</c:v>
                </c:pt>
                <c:pt idx="38">
                  <c:v>124.227396124408</c:v>
                </c:pt>
                <c:pt idx="39">
                  <c:v>119.91556510371301</c:v>
                </c:pt>
                <c:pt idx="40">
                  <c:v>119.523687642273</c:v>
                </c:pt>
                <c:pt idx="41">
                  <c:v>119.890219495957</c:v>
                </c:pt>
                <c:pt idx="42">
                  <c:v>118.25414255884201</c:v>
                </c:pt>
                <c:pt idx="43">
                  <c:v>122.983777063902</c:v>
                </c:pt>
                <c:pt idx="44">
                  <c:v>121.39627232625</c:v>
                </c:pt>
                <c:pt idx="45">
                  <c:v>119.19380091770699</c:v>
                </c:pt>
                <c:pt idx="46">
                  <c:v>121.94909462903701</c:v>
                </c:pt>
                <c:pt idx="47">
                  <c:v>121.843955749006</c:v>
                </c:pt>
                <c:pt idx="48">
                  <c:v>127.429987656384</c:v>
                </c:pt>
                <c:pt idx="49">
                  <c:v>122.911412488316</c:v>
                </c:pt>
                <c:pt idx="50">
                  <c:v>117.16438150230501</c:v>
                </c:pt>
                <c:pt idx="51">
                  <c:v>123.163629008293</c:v>
                </c:pt>
                <c:pt idx="52">
                  <c:v>121.08119778346</c:v>
                </c:pt>
                <c:pt idx="53">
                  <c:v>119.488255843942</c:v>
                </c:pt>
                <c:pt idx="54">
                  <c:v>124.70033615016899</c:v>
                </c:pt>
                <c:pt idx="55">
                  <c:v>123.042975295296</c:v>
                </c:pt>
                <c:pt idx="56">
                  <c:v>127.929650275808</c:v>
                </c:pt>
                <c:pt idx="57">
                  <c:v>128.820517539424</c:v>
                </c:pt>
                <c:pt idx="58">
                  <c:v>125.858151837286</c:v>
                </c:pt>
                <c:pt idx="59">
                  <c:v>125.537645729785</c:v>
                </c:pt>
                <c:pt idx="60">
                  <c:v>129.61330348127601</c:v>
                </c:pt>
              </c:numCache>
            </c:numRef>
          </c:val>
          <c:extLst>
            <c:ext xmlns:c16="http://schemas.microsoft.com/office/drawing/2014/chart" uri="{C3380CC4-5D6E-409C-BE32-E72D297353CC}">
              <c16:uniqueId val="{00000000-122D-4B5A-9360-B7F801F81176}"/>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'!$H$89:$H$149</c:f>
              <c:numCache>
                <c:formatCode>0.0</c:formatCode>
                <c:ptCount val="61"/>
                <c:pt idx="0">
                  <c:v>104.87084888436</c:v>
                </c:pt>
                <c:pt idx="1">
                  <c:v>105.334073612989</c:v>
                </c:pt>
                <c:pt idx="2">
                  <c:v>106.314473560807</c:v>
                </c:pt>
                <c:pt idx="3">
                  <c:v>107.74027615844</c:v>
                </c:pt>
                <c:pt idx="4">
                  <c:v>109.41963011270001</c:v>
                </c:pt>
                <c:pt idx="5">
                  <c:v>111.15599913114001</c:v>
                </c:pt>
                <c:pt idx="6">
                  <c:v>112.74827968705701</c:v>
                </c:pt>
                <c:pt idx="7">
                  <c:v>114.000818580268</c:v>
                </c:pt>
                <c:pt idx="8">
                  <c:v>114.696843282388</c:v>
                </c:pt>
                <c:pt idx="9">
                  <c:v>114.900420955505</c:v>
                </c:pt>
                <c:pt idx="10">
                  <c:v>114.615636064144</c:v>
                </c:pt>
                <c:pt idx="11">
                  <c:v>113.79956158071801</c:v>
                </c:pt>
                <c:pt idx="12">
                  <c:v>112.602739246477</c:v>
                </c:pt>
                <c:pt idx="13">
                  <c:v>111.37618422948</c:v>
                </c:pt>
                <c:pt idx="14">
                  <c:v>110.39665227639099</c:v>
                </c:pt>
                <c:pt idx="15">
                  <c:v>109.738464333243</c:v>
                </c:pt>
                <c:pt idx="16">
                  <c:v>109.44502872877899</c:v>
                </c:pt>
                <c:pt idx="17">
                  <c:v>109.283127392766</c:v>
                </c:pt>
                <c:pt idx="18">
                  <c:v>109.18656294143901</c:v>
                </c:pt>
                <c:pt idx="19">
                  <c:v>109.101021467251</c:v>
                </c:pt>
                <c:pt idx="20">
                  <c:v>109.05736897029099</c:v>
                </c:pt>
                <c:pt idx="21">
                  <c:v>109.171696492344</c:v>
                </c:pt>
                <c:pt idx="22">
                  <c:v>109.611018705804</c:v>
                </c:pt>
                <c:pt idx="23">
                  <c:v>110.555877763319</c:v>
                </c:pt>
                <c:pt idx="24">
                  <c:v>112.027344901474</c:v>
                </c:pt>
                <c:pt idx="25">
                  <c:v>113.918691243409</c:v>
                </c:pt>
                <c:pt idx="26">
                  <c:v>115.941808516028</c:v>
                </c:pt>
                <c:pt idx="27">
                  <c:v>117.68841885123101</c:v>
                </c:pt>
                <c:pt idx="28">
                  <c:v>118.760575064303</c:v>
                </c:pt>
                <c:pt idx="29">
                  <c:v>118.995392325655</c:v>
                </c:pt>
                <c:pt idx="30">
                  <c:v>118.52958204681499</c:v>
                </c:pt>
                <c:pt idx="31">
                  <c:v>117.710604178325</c:v>
                </c:pt>
                <c:pt idx="32">
                  <c:v>117.012602074299</c:v>
                </c:pt>
                <c:pt idx="33">
                  <c:v>116.722292125801</c:v>
                </c:pt>
                <c:pt idx="34">
                  <c:v>117.03219287169399</c:v>
                </c:pt>
                <c:pt idx="35">
                  <c:v>117.82145604222799</c:v>
                </c:pt>
                <c:pt idx="36">
                  <c:v>118.749793578938</c:v>
                </c:pt>
                <c:pt idx="37">
                  <c:v>119.381311235658</c:v>
                </c:pt>
                <c:pt idx="38">
                  <c:v>119.636239266917</c:v>
                </c:pt>
                <c:pt idx="39">
                  <c:v>119.72132741471501</c:v>
                </c:pt>
                <c:pt idx="40">
                  <c:v>119.766987727675</c:v>
                </c:pt>
                <c:pt idx="41">
                  <c:v>119.881823864715</c:v>
                </c:pt>
                <c:pt idx="42">
                  <c:v>120.09153295055199</c:v>
                </c:pt>
                <c:pt idx="43">
                  <c:v>120.360605023503</c:v>
                </c:pt>
                <c:pt idx="44">
                  <c:v>120.69177294164299</c:v>
                </c:pt>
                <c:pt idx="45">
                  <c:v>121.06298302573499</c:v>
                </c:pt>
                <c:pt idx="46">
                  <c:v>121.446905206964</c:v>
                </c:pt>
                <c:pt idx="47">
                  <c:v>121.838613416811</c:v>
                </c:pt>
                <c:pt idx="48">
                  <c:v>122.099840974866</c:v>
                </c:pt>
                <c:pt idx="49">
                  <c:v>122.213624589736</c:v>
                </c:pt>
                <c:pt idx="50">
                  <c:v>122.13866490858599</c:v>
                </c:pt>
                <c:pt idx="51">
                  <c:v>121.92241433113399</c:v>
                </c:pt>
                <c:pt idx="52">
                  <c:v>121.968466081325</c:v>
                </c:pt>
                <c:pt idx="53">
                  <c:v>122.56214662137801</c:v>
                </c:pt>
                <c:pt idx="54">
                  <c:v>123.544712828264</c:v>
                </c:pt>
                <c:pt idx="55">
                  <c:v>124.742692555037</c:v>
                </c:pt>
                <c:pt idx="56">
                  <c:v>125.91154245558199</c:v>
                </c:pt>
                <c:pt idx="57">
                  <c:v>126.800056007889</c:v>
                </c:pt>
                <c:pt idx="58">
                  <c:v>127.312101675394</c:v>
                </c:pt>
                <c:pt idx="59">
                  <c:v>127.521800731627</c:v>
                </c:pt>
                <c:pt idx="60">
                  <c:v>127.658905326357</c:v>
                </c:pt>
              </c:numCache>
            </c:numRef>
          </c:val>
          <c:smooth val="0"/>
          <c:extLst>
            <c:ext xmlns:c16="http://schemas.microsoft.com/office/drawing/2014/chart" uri="{C3380CC4-5D6E-409C-BE32-E72D297353CC}">
              <c16:uniqueId val="{00000001-122D-4B5A-9360-B7F801F81176}"/>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50"/>
          <c:min val="7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'!$E$89:$E$149</c:f>
              <c:numCache>
                <c:formatCode>0.0</c:formatCode>
                <c:ptCount val="61"/>
                <c:pt idx="0">
                  <c:v>103.826496748512</c:v>
                </c:pt>
                <c:pt idx="1">
                  <c:v>103.538118596777</c:v>
                </c:pt>
                <c:pt idx="2">
                  <c:v>103.98660153545799</c:v>
                </c:pt>
                <c:pt idx="3">
                  <c:v>103.99877043590401</c:v>
                </c:pt>
                <c:pt idx="4">
                  <c:v>104.018381961008</c:v>
                </c:pt>
                <c:pt idx="5">
                  <c:v>103.89520945360501</c:v>
                </c:pt>
                <c:pt idx="6">
                  <c:v>104.33465219996</c:v>
                </c:pt>
                <c:pt idx="7">
                  <c:v>105.789971337822</c:v>
                </c:pt>
                <c:pt idx="8">
                  <c:v>106.130335002062</c:v>
                </c:pt>
                <c:pt idx="9">
                  <c:v>106.94003819613199</c:v>
                </c:pt>
                <c:pt idx="10">
                  <c:v>106.43286502000301</c:v>
                </c:pt>
                <c:pt idx="11">
                  <c:v>106.869002564857</c:v>
                </c:pt>
                <c:pt idx="12">
                  <c:v>108.332820700638</c:v>
                </c:pt>
                <c:pt idx="13">
                  <c:v>108.48926699090001</c:v>
                </c:pt>
                <c:pt idx="14">
                  <c:v>108.14924131883799</c:v>
                </c:pt>
                <c:pt idx="15">
                  <c:v>107.74505997124299</c:v>
                </c:pt>
                <c:pt idx="16">
                  <c:v>108.764886575554</c:v>
                </c:pt>
                <c:pt idx="17">
                  <c:v>109.886066957229</c:v>
                </c:pt>
                <c:pt idx="18">
                  <c:v>110.075732472751</c:v>
                </c:pt>
                <c:pt idx="19">
                  <c:v>110.367257731591</c:v>
                </c:pt>
                <c:pt idx="20">
                  <c:v>110.62315380493899</c:v>
                </c:pt>
                <c:pt idx="21">
                  <c:v>111.80283129631</c:v>
                </c:pt>
                <c:pt idx="22">
                  <c:v>111.620711614022</c:v>
                </c:pt>
                <c:pt idx="23">
                  <c:v>114.103654102299</c:v>
                </c:pt>
                <c:pt idx="24">
                  <c:v>113.041152281359</c:v>
                </c:pt>
                <c:pt idx="25">
                  <c:v>112.582597072925</c:v>
                </c:pt>
                <c:pt idx="26">
                  <c:v>110.940534485803</c:v>
                </c:pt>
                <c:pt idx="27">
                  <c:v>113.329044237297</c:v>
                </c:pt>
                <c:pt idx="28">
                  <c:v>112.68089687062</c:v>
                </c:pt>
                <c:pt idx="29">
                  <c:v>113.05192527447601</c:v>
                </c:pt>
                <c:pt idx="30">
                  <c:v>113.154804174123</c:v>
                </c:pt>
                <c:pt idx="31">
                  <c:v>113.704247591648</c:v>
                </c:pt>
                <c:pt idx="32">
                  <c:v>113.610995200849</c:v>
                </c:pt>
                <c:pt idx="33">
                  <c:v>114.059886430815</c:v>
                </c:pt>
                <c:pt idx="34">
                  <c:v>114.13249144836399</c:v>
                </c:pt>
                <c:pt idx="35">
                  <c:v>115.19712343929</c:v>
                </c:pt>
                <c:pt idx="36">
                  <c:v>114.10667478640801</c:v>
                </c:pt>
                <c:pt idx="37">
                  <c:v>114.668654096935</c:v>
                </c:pt>
                <c:pt idx="38">
                  <c:v>115.632219025441</c:v>
                </c:pt>
                <c:pt idx="39">
                  <c:v>115.30786219538101</c:v>
                </c:pt>
                <c:pt idx="40">
                  <c:v>115.965672776771</c:v>
                </c:pt>
                <c:pt idx="41">
                  <c:v>115.871190800224</c:v>
                </c:pt>
                <c:pt idx="42">
                  <c:v>116.567545044055</c:v>
                </c:pt>
                <c:pt idx="43">
                  <c:v>116.18488941659599</c:v>
                </c:pt>
                <c:pt idx="44">
                  <c:v>116.676240968461</c:v>
                </c:pt>
                <c:pt idx="45">
                  <c:v>115.414713497191</c:v>
                </c:pt>
                <c:pt idx="46">
                  <c:v>116.05326383440099</c:v>
                </c:pt>
                <c:pt idx="47">
                  <c:v>116.344852392123</c:v>
                </c:pt>
                <c:pt idx="48">
                  <c:v>116.28783442604799</c:v>
                </c:pt>
                <c:pt idx="49">
                  <c:v>116.542883413393</c:v>
                </c:pt>
                <c:pt idx="50">
                  <c:v>114.71580976712799</c:v>
                </c:pt>
                <c:pt idx="51">
                  <c:v>116.21903246965999</c:v>
                </c:pt>
                <c:pt idx="52">
                  <c:v>116.585956584031</c:v>
                </c:pt>
                <c:pt idx="53">
                  <c:v>117.875161075535</c:v>
                </c:pt>
                <c:pt idx="54">
                  <c:v>116.685624820596</c:v>
                </c:pt>
                <c:pt idx="55">
                  <c:v>116.78920653540899</c:v>
                </c:pt>
                <c:pt idx="56">
                  <c:v>117.03417708629399</c:v>
                </c:pt>
                <c:pt idx="57">
                  <c:v>116.226163753664</c:v>
                </c:pt>
                <c:pt idx="58">
                  <c:v>117.045838165555</c:v>
                </c:pt>
                <c:pt idx="59">
                  <c:v>116.35619607578801</c:v>
                </c:pt>
                <c:pt idx="60">
                  <c:v>116.45265766017801</c:v>
                </c:pt>
              </c:numCache>
            </c:numRef>
          </c:val>
          <c:extLst>
            <c:ext xmlns:c16="http://schemas.microsoft.com/office/drawing/2014/chart" uri="{C3380CC4-5D6E-409C-BE32-E72D297353CC}">
              <c16:uniqueId val="{00000000-0EC0-4C60-98AA-2A47984B3963}"/>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'!$A$89:$B$149</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2015</c:v>
                  </c:pt>
                  <c:pt idx="12">
                    <c:v>2016</c:v>
                  </c:pt>
                  <c:pt idx="24">
                    <c:v>2017</c:v>
                  </c:pt>
                  <c:pt idx="36">
                    <c:v>2018</c:v>
                  </c:pt>
                  <c:pt idx="48">
                    <c:v>2019</c:v>
                  </c:pt>
                  <c:pt idx="60">
                    <c:v>2020</c:v>
                  </c:pt>
                </c:lvl>
              </c:multiLvlStrCache>
            </c:multiLvlStrRef>
          </c:cat>
          <c:val>
            <c:numRef>
              <c:f>'Datos '!$F$89:$F$149</c:f>
              <c:numCache>
                <c:formatCode>0.0</c:formatCode>
                <c:ptCount val="61"/>
                <c:pt idx="0">
                  <c:v>103.65396241896801</c:v>
                </c:pt>
                <c:pt idx="1">
                  <c:v>103.757833924042</c:v>
                </c:pt>
                <c:pt idx="2">
                  <c:v>103.789228498536</c:v>
                </c:pt>
                <c:pt idx="3">
                  <c:v>103.84230583493201</c:v>
                </c:pt>
                <c:pt idx="4">
                  <c:v>104.016463405808</c:v>
                </c:pt>
                <c:pt idx="5">
                  <c:v>104.347525559085</c:v>
                </c:pt>
                <c:pt idx="6">
                  <c:v>104.803739867158</c:v>
                </c:pt>
                <c:pt idx="7">
                  <c:v>105.339036451404</c:v>
                </c:pt>
                <c:pt idx="8">
                  <c:v>105.908980289764</c:v>
                </c:pt>
                <c:pt idx="9">
                  <c:v>106.474884855871</c:v>
                </c:pt>
                <c:pt idx="10">
                  <c:v>106.978790579481</c:v>
                </c:pt>
                <c:pt idx="11">
                  <c:v>107.383535734394</c:v>
                </c:pt>
                <c:pt idx="12">
                  <c:v>107.71381745947799</c:v>
                </c:pt>
                <c:pt idx="13">
                  <c:v>108.026594508985</c:v>
                </c:pt>
                <c:pt idx="14">
                  <c:v>108.355724459839</c:v>
                </c:pt>
                <c:pt idx="15">
                  <c:v>108.686033042056</c:v>
                </c:pt>
                <c:pt idx="16">
                  <c:v>109.048535546621</c:v>
                </c:pt>
                <c:pt idx="17">
                  <c:v>109.462501144231</c:v>
                </c:pt>
                <c:pt idx="18">
                  <c:v>109.93952616314</c:v>
                </c:pt>
                <c:pt idx="19">
                  <c:v>110.45817426374499</c:v>
                </c:pt>
                <c:pt idx="20">
                  <c:v>110.966747747254</c:v>
                </c:pt>
                <c:pt idx="21">
                  <c:v>111.43846772314799</c:v>
                </c:pt>
                <c:pt idx="22">
                  <c:v>111.885998545538</c:v>
                </c:pt>
                <c:pt idx="23">
                  <c:v>112.288034025995</c:v>
                </c:pt>
                <c:pt idx="24">
                  <c:v>112.60320247552301</c:v>
                </c:pt>
                <c:pt idx="25">
                  <c:v>112.793075249575</c:v>
                </c:pt>
                <c:pt idx="26">
                  <c:v>112.889906771753</c:v>
                </c:pt>
                <c:pt idx="27">
                  <c:v>112.94340810828299</c:v>
                </c:pt>
                <c:pt idx="28">
                  <c:v>113.006611737613</c:v>
                </c:pt>
                <c:pt idx="29">
                  <c:v>113.095874801498</c:v>
                </c:pt>
                <c:pt idx="30">
                  <c:v>113.26454657257599</c:v>
                </c:pt>
                <c:pt idx="31">
                  <c:v>113.49894880083799</c:v>
                </c:pt>
                <c:pt idx="32">
                  <c:v>113.747724446118</c:v>
                </c:pt>
                <c:pt idx="33">
                  <c:v>114.002484661274</c:v>
                </c:pt>
                <c:pt idx="34">
                  <c:v>114.23725752051401</c:v>
                </c:pt>
                <c:pt idx="35">
                  <c:v>114.456183395664</c:v>
                </c:pt>
                <c:pt idx="36">
                  <c:v>114.683082480208</c:v>
                </c:pt>
                <c:pt idx="37">
                  <c:v>114.937329914069</c:v>
                </c:pt>
                <c:pt idx="38">
                  <c:v>115.21798324970899</c:v>
                </c:pt>
                <c:pt idx="39">
                  <c:v>115.52821423111099</c:v>
                </c:pt>
                <c:pt idx="40">
                  <c:v>115.840144412583</c:v>
                </c:pt>
                <c:pt idx="41">
                  <c:v>116.089663875676</c:v>
                </c:pt>
                <c:pt idx="42">
                  <c:v>116.236686419042</c:v>
                </c:pt>
                <c:pt idx="43">
                  <c:v>116.271515803242</c:v>
                </c:pt>
                <c:pt idx="44">
                  <c:v>116.256770731293</c:v>
                </c:pt>
                <c:pt idx="45">
                  <c:v>116.22937566488601</c:v>
                </c:pt>
                <c:pt idx="46">
                  <c:v>116.20621954145</c:v>
                </c:pt>
                <c:pt idx="47">
                  <c:v>116.215616311028</c:v>
                </c:pt>
                <c:pt idx="48">
                  <c:v>116.2548390849</c:v>
                </c:pt>
                <c:pt idx="49">
                  <c:v>116.316442698603</c:v>
                </c:pt>
                <c:pt idx="50">
                  <c:v>116.373677371434</c:v>
                </c:pt>
                <c:pt idx="51">
                  <c:v>116.446948052035</c:v>
                </c:pt>
                <c:pt idx="52">
                  <c:v>116.520350756775</c:v>
                </c:pt>
                <c:pt idx="53">
                  <c:v>116.615433177112</c:v>
                </c:pt>
                <c:pt idx="54">
                  <c:v>116.705223096525</c:v>
                </c:pt>
                <c:pt idx="55">
                  <c:v>116.751564622025</c:v>
                </c:pt>
                <c:pt idx="56">
                  <c:v>116.753056025436</c:v>
                </c:pt>
                <c:pt idx="57">
                  <c:v>116.70394329685701</c:v>
                </c:pt>
                <c:pt idx="58">
                  <c:v>116.623079640866</c:v>
                </c:pt>
                <c:pt idx="59">
                  <c:v>116.52956384664699</c:v>
                </c:pt>
                <c:pt idx="60">
                  <c:v>116.474865804426</c:v>
                </c:pt>
              </c:numCache>
            </c:numRef>
          </c:val>
          <c:smooth val="0"/>
          <c:extLst>
            <c:ext xmlns:c16="http://schemas.microsoft.com/office/drawing/2014/chart" uri="{C3380CC4-5D6E-409C-BE32-E72D297353CC}">
              <c16:uniqueId val="{00000001-0EC0-4C60-98AA-2A47984B3963}"/>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D5567-1177-4475-B1DC-E2C4E52E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1532</Words>
  <Characters>8428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SALA DE PRENSA</cp:lastModifiedBy>
  <cp:revision>15</cp:revision>
  <cp:lastPrinted>2020-03-03T21:47:00Z</cp:lastPrinted>
  <dcterms:created xsi:type="dcterms:W3CDTF">2020-04-03T18:08:00Z</dcterms:created>
  <dcterms:modified xsi:type="dcterms:W3CDTF">2020-04-03T22:58:00Z</dcterms:modified>
</cp:coreProperties>
</file>