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021772"/>
    <w:bookmarkEnd w:id="0"/>
    <w:p w14:paraId="23774676" w14:textId="77777777" w:rsidR="007D5AFB" w:rsidRDefault="007D5AFB" w:rsidP="007D5AFB">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766A3D8F" wp14:editId="64C8807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61224D0" w14:textId="77777777" w:rsidR="007D5AFB" w:rsidRPr="00265B8C" w:rsidRDefault="007D5AFB" w:rsidP="007D5AF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marzo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A3D8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61224D0" w14:textId="77777777" w:rsidR="007D5AFB" w:rsidRPr="00265B8C" w:rsidRDefault="007D5AFB" w:rsidP="007D5AFB">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marzo   </w:t>
                      </w:r>
                    </w:p>
                  </w:txbxContent>
                </v:textbox>
                <w10:wrap type="square"/>
              </v:shape>
            </w:pict>
          </mc:Fallback>
        </mc:AlternateContent>
      </w:r>
    </w:p>
    <w:p w14:paraId="31D6D6A3" w14:textId="77777777" w:rsidR="007D5AFB" w:rsidRDefault="007D5AFB" w:rsidP="007D5AFB">
      <w:pPr>
        <w:pStyle w:val="Profesin"/>
        <w:spacing w:before="240"/>
        <w:contextualSpacing/>
      </w:pPr>
    </w:p>
    <w:p w14:paraId="19F506C8" w14:textId="77777777" w:rsidR="007D5AFB" w:rsidRPr="00500D82" w:rsidRDefault="007D5AFB" w:rsidP="007D5AFB">
      <w:pPr>
        <w:pStyle w:val="Profesin"/>
        <w:spacing w:before="240"/>
      </w:pPr>
      <w:r w:rsidRPr="00500D82">
        <w:t>ÍNDICE NACIONAL DE PRECIOS AL CONSUMIDOR</w:t>
      </w:r>
    </w:p>
    <w:p w14:paraId="6811D8C8" w14:textId="77777777" w:rsidR="007D5AFB" w:rsidRPr="004601FC" w:rsidRDefault="007D5AFB" w:rsidP="007D5AFB">
      <w:pPr>
        <w:pStyle w:val="Profesin"/>
        <w:rPr>
          <w:caps w:val="0"/>
        </w:rPr>
      </w:pPr>
      <w:r w:rsidRPr="004601FC">
        <w:rPr>
          <w:caps w:val="0"/>
        </w:rPr>
        <w:t>Primera quincena de febrero de 2020</w:t>
      </w:r>
    </w:p>
    <w:p w14:paraId="0FB65E5B" w14:textId="77777777" w:rsidR="007D5AFB" w:rsidRPr="00500D82" w:rsidRDefault="007D5AFB" w:rsidP="007D5AFB">
      <w:pPr>
        <w:spacing w:before="360"/>
        <w:ind w:right="397"/>
        <w:rPr>
          <w:bCs/>
        </w:rPr>
      </w:pPr>
      <w:r w:rsidRPr="00500D82">
        <w:rPr>
          <w:bCs/>
        </w:rPr>
        <w:t>El Instituto Nacional de Estadística y Geografía (INEGI) informa que en la primera quincena de febrero de 2020 el Índice Nacional de Precios al Consumidor (INPC) registró un alza quincenal de 0.12 por ciento, así como una tasa de inflación anual de 3.52 por ciento. En la misma quincena de 2019 las variaciones fueron de (</w:t>
      </w:r>
      <w:r w:rsidRPr="00500D82">
        <w:rPr>
          <w:bCs/>
        </w:rPr>
        <w:noBreakHyphen/>
        <w:t>)0.10 por ciento quincenal y de 3.89 por ciento anual.</w:t>
      </w:r>
    </w:p>
    <w:p w14:paraId="624E7989" w14:textId="77777777" w:rsidR="007D5AFB" w:rsidRPr="00500D82" w:rsidRDefault="007D5AFB" w:rsidP="007D5AFB">
      <w:pPr>
        <w:spacing w:before="360"/>
        <w:ind w:right="397"/>
        <w:rPr>
          <w:bCs/>
        </w:rPr>
      </w:pPr>
      <w:r w:rsidRPr="00500D82">
        <w:rPr>
          <w:bCs/>
        </w:rPr>
        <w:t>El índice de precios subyacente</w:t>
      </w:r>
      <w:r w:rsidRPr="00500D82">
        <w:rPr>
          <w:rStyle w:val="Refdenotaalpie"/>
          <w:bCs/>
        </w:rPr>
        <w:footnoteReference w:id="1"/>
      </w:r>
      <w:r w:rsidRPr="00500D82">
        <w:rPr>
          <w:bCs/>
        </w:rPr>
        <w:t xml:space="preserve"> presentó un incremento de 0.22 por ciento quincenal y de 3.69 por ciento anual; por su parte, el índice de precios no subyacente retrocedió (-)0.16 por ciento quincenal y aumentó 3.03 por ciento a tasa anual.</w:t>
      </w:r>
    </w:p>
    <w:p w14:paraId="77996A9D" w14:textId="77777777" w:rsidR="007D5AFB" w:rsidRPr="00500D82" w:rsidRDefault="007D5AFB" w:rsidP="007D5AFB">
      <w:pPr>
        <w:spacing w:before="360"/>
        <w:ind w:right="397"/>
        <w:rPr>
          <w:bCs/>
        </w:rPr>
      </w:pPr>
      <w:r w:rsidRPr="00500D82">
        <w:rPr>
          <w:bCs/>
        </w:rPr>
        <w:t>Al interior del índice de precios subyacente, los precios de las mercancías crecieron 0.24 por ciento y los de los servicios 0.19 por ciento, quincenal.</w:t>
      </w:r>
    </w:p>
    <w:p w14:paraId="539BEDD0" w14:textId="77777777" w:rsidR="007D5AFB" w:rsidRPr="00500D82" w:rsidRDefault="007D5AFB" w:rsidP="007D5AFB">
      <w:pPr>
        <w:spacing w:before="360"/>
        <w:ind w:right="397"/>
        <w:rPr>
          <w:bCs/>
        </w:rPr>
      </w:pPr>
      <w:r w:rsidRPr="00500D82">
        <w:rPr>
          <w:bCs/>
        </w:rPr>
        <w:t>Dentro del índice de precios no subyacente, los precios de los productos agropecuarios subieron 0.14 por ciento quincenal, en cambio los de los energéticos y tarifas autorizadas por el gobierno disminuyeron</w:t>
      </w:r>
      <w:r>
        <w:rPr>
          <w:bCs/>
        </w:rPr>
        <w:t xml:space="preserve"> </w:t>
      </w:r>
      <w:r w:rsidRPr="00500D82">
        <w:rPr>
          <w:bCs/>
        </w:rPr>
        <w:t>(-)0.38 por ciento quincenal.</w:t>
      </w:r>
    </w:p>
    <w:p w14:paraId="1FFF2A3E" w14:textId="77777777" w:rsidR="007D5AFB" w:rsidRPr="002C723B" w:rsidRDefault="007D5AFB" w:rsidP="007D5AFB">
      <w:pPr>
        <w:spacing w:before="720"/>
        <w:rPr>
          <w:sz w:val="22"/>
        </w:rPr>
      </w:pPr>
    </w:p>
    <w:p w14:paraId="1B0452A9" w14:textId="77777777" w:rsidR="007D5AFB" w:rsidRPr="00C97144" w:rsidRDefault="007D5AFB" w:rsidP="007D5AFB">
      <w:pPr>
        <w:ind w:right="397" w:hanging="1418"/>
        <w:jc w:val="left"/>
        <w:rPr>
          <w:i/>
          <w:color w:val="000000" w:themeColor="text1"/>
        </w:rPr>
      </w:pPr>
      <w:r w:rsidRPr="00C97144">
        <w:rPr>
          <w:i/>
          <w:color w:val="000000" w:themeColor="text1"/>
        </w:rPr>
        <w:br w:type="page"/>
      </w:r>
    </w:p>
    <w:p w14:paraId="0FE3D179" w14:textId="77777777" w:rsidR="007D5AFB" w:rsidRDefault="007D5AFB" w:rsidP="007D5AFB">
      <w:pPr>
        <w:pStyle w:val="Prrafodelista"/>
        <w:keepNext/>
        <w:keepLines/>
        <w:widowControl w:val="0"/>
        <w:spacing w:before="480"/>
        <w:ind w:left="0"/>
        <w:jc w:val="center"/>
        <w:rPr>
          <w:b/>
          <w:smallCaps/>
          <w:sz w:val="22"/>
          <w:szCs w:val="22"/>
        </w:rPr>
      </w:pPr>
    </w:p>
    <w:p w14:paraId="31E7CBA6" w14:textId="77777777" w:rsidR="007D5AFB" w:rsidRPr="00EE5D84" w:rsidRDefault="007D5AFB" w:rsidP="007D5AFB">
      <w:pPr>
        <w:pStyle w:val="Prrafodelista"/>
        <w:keepNext/>
        <w:keepLines/>
        <w:widowControl w:val="0"/>
        <w:spacing w:before="240"/>
        <w:ind w:left="0"/>
        <w:jc w:val="center"/>
        <w:rPr>
          <w:b/>
          <w:smallCaps/>
          <w:sz w:val="22"/>
          <w:szCs w:val="22"/>
        </w:rPr>
      </w:pPr>
      <w:r w:rsidRPr="00EE5D84">
        <w:rPr>
          <w:b/>
          <w:smallCaps/>
          <w:sz w:val="22"/>
          <w:szCs w:val="22"/>
        </w:rPr>
        <w:t>INPC, Subyacente y No Subyacente</w:t>
      </w:r>
    </w:p>
    <w:p w14:paraId="247C7E17" w14:textId="77777777" w:rsidR="007D5AFB" w:rsidRPr="00EE5D84" w:rsidRDefault="007D5AFB" w:rsidP="007D5AFB">
      <w:pPr>
        <w:keepNext/>
        <w:keepLines/>
        <w:widowControl w:val="0"/>
        <w:jc w:val="center"/>
        <w:rPr>
          <w:sz w:val="18"/>
          <w:szCs w:val="18"/>
        </w:rPr>
      </w:pPr>
      <w:r w:rsidRPr="00EE5D84">
        <w:rPr>
          <w:sz w:val="18"/>
          <w:szCs w:val="18"/>
        </w:rPr>
        <w:t xml:space="preserve">Primera quincena de febrero de los años que se indican </w:t>
      </w:r>
    </w:p>
    <w:p w14:paraId="56FE0994" w14:textId="77777777" w:rsidR="007D5AFB" w:rsidRPr="00A71198" w:rsidRDefault="007D5AFB" w:rsidP="007D5AFB">
      <w:pPr>
        <w:keepNext/>
        <w:keepLines/>
        <w:widowControl w:val="0"/>
        <w:jc w:val="center"/>
        <w:rPr>
          <w:b/>
        </w:rPr>
      </w:pPr>
      <w:r w:rsidRPr="00316C5F">
        <w:rPr>
          <w:noProof/>
        </w:rPr>
        <w:drawing>
          <wp:inline distT="0" distB="0" distL="0" distR="0" wp14:anchorId="7AF48C06" wp14:editId="12ACB0A1">
            <wp:extent cx="5972810" cy="251873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18737"/>
                    </a:xfrm>
                    <a:prstGeom prst="rect">
                      <a:avLst/>
                    </a:prstGeom>
                    <a:noFill/>
                    <a:ln>
                      <a:noFill/>
                    </a:ln>
                  </pic:spPr>
                </pic:pic>
              </a:graphicData>
            </a:graphic>
          </wp:inline>
        </w:drawing>
      </w:r>
    </w:p>
    <w:p w14:paraId="6AC248B5" w14:textId="77777777" w:rsidR="007D5AFB" w:rsidRPr="00A71198" w:rsidRDefault="007D5AFB" w:rsidP="007D5AFB">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 xml:space="preserve">La incidencia se refiere a la contribución en puntos porcentuales de cada componente del INPC </w:t>
      </w:r>
      <w:r>
        <w:rPr>
          <w:color w:val="006600"/>
          <w:sz w:val="16"/>
          <w:szCs w:val="16"/>
        </w:rPr>
        <w:t xml:space="preserve">a </w:t>
      </w:r>
      <w:r w:rsidRPr="00A71198">
        <w:rPr>
          <w:color w:val="006600"/>
          <w:sz w:val="16"/>
          <w:szCs w:val="16"/>
        </w:rPr>
        <w:t>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3A6C2EB5" w14:textId="77777777" w:rsidR="007D5AFB" w:rsidRPr="00A71198" w:rsidRDefault="007D5AFB" w:rsidP="007D5AFB">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63489F42" w14:textId="77777777" w:rsidR="007D5AFB" w:rsidRPr="00A71198" w:rsidRDefault="007D5AFB" w:rsidP="007D5AFB">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74128815" w14:textId="77777777" w:rsidR="007D5AFB" w:rsidRPr="00A71198" w:rsidRDefault="007D5AFB" w:rsidP="007D5AFB">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05FB770F" w14:textId="77777777" w:rsidR="007D5AFB" w:rsidRDefault="007D5AFB" w:rsidP="007D5AFB">
      <w:pPr>
        <w:autoSpaceDE w:val="0"/>
        <w:autoSpaceDN w:val="0"/>
        <w:adjustRightInd w:val="0"/>
        <w:ind w:left="283" w:right="113" w:hanging="170"/>
        <w:rPr>
          <w:color w:val="006600"/>
          <w:sz w:val="16"/>
          <w:szCs w:val="16"/>
        </w:rPr>
      </w:pPr>
    </w:p>
    <w:p w14:paraId="1B131D71" w14:textId="77777777" w:rsidR="007D5AFB" w:rsidRDefault="007D5AFB" w:rsidP="007D5AFB">
      <w:pPr>
        <w:pStyle w:val="p01"/>
        <w:keepLines w:val="0"/>
        <w:tabs>
          <w:tab w:val="left" w:pos="3261"/>
        </w:tabs>
        <w:spacing w:before="0"/>
        <w:ind w:left="1418"/>
        <w:jc w:val="right"/>
        <w:outlineLvl w:val="0"/>
        <w:rPr>
          <w:rFonts w:ascii="Arial" w:hAnsi="Arial" w:cs="Arial"/>
          <w:b/>
          <w:color w:val="000000"/>
          <w:szCs w:val="24"/>
        </w:rPr>
      </w:pPr>
      <w:r>
        <w:rPr>
          <w:noProof/>
          <w:szCs w:val="24"/>
          <w:lang w:val="es-MX" w:eastAsia="es-MX"/>
        </w:rPr>
        <w:drawing>
          <wp:inline distT="0" distB="0" distL="0" distR="0" wp14:anchorId="0600BA14" wp14:editId="64EF3D79">
            <wp:extent cx="3952771" cy="1427018"/>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596" cy="1445728"/>
                    </a:xfrm>
                    <a:prstGeom prst="rect">
                      <a:avLst/>
                    </a:prstGeom>
                    <a:noFill/>
                  </pic:spPr>
                </pic:pic>
              </a:graphicData>
            </a:graphic>
          </wp:inline>
        </w:drawing>
      </w:r>
    </w:p>
    <w:p w14:paraId="475D4B39" w14:textId="77777777" w:rsidR="007D5AFB" w:rsidRDefault="007D5AFB" w:rsidP="007D5AFB">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611B9502" w14:textId="77777777" w:rsidR="007D5AFB" w:rsidRDefault="007D5AFB" w:rsidP="007D5AFB">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7A305C9E" w14:textId="77777777" w:rsidR="007D5AFB" w:rsidRDefault="007D5AFB" w:rsidP="007D5AFB">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2C5E1302" w14:textId="77777777" w:rsidR="007D5AFB" w:rsidRDefault="007D5AFB" w:rsidP="007D5AFB">
      <w:pPr>
        <w:pStyle w:val="NormalWeb"/>
        <w:spacing w:before="0" w:beforeAutospacing="0" w:after="0" w:afterAutospacing="0"/>
        <w:ind w:left="-426" w:right="-518"/>
        <w:contextualSpacing/>
        <w:jc w:val="center"/>
        <w:rPr>
          <w:rFonts w:ascii="Arial" w:hAnsi="Arial" w:cs="Arial"/>
          <w:sz w:val="20"/>
          <w:szCs w:val="20"/>
        </w:rPr>
      </w:pPr>
    </w:p>
    <w:p w14:paraId="300C0613" w14:textId="77777777" w:rsidR="007D5AFB" w:rsidRDefault="007D5AFB" w:rsidP="007D5AFB">
      <w:pPr>
        <w:pStyle w:val="NormalWeb"/>
        <w:spacing w:before="0" w:beforeAutospacing="0" w:after="0" w:afterAutospacing="0"/>
        <w:ind w:left="-426" w:right="-518"/>
        <w:contextualSpacing/>
        <w:jc w:val="center"/>
        <w:rPr>
          <w:rFonts w:ascii="Arial" w:hAnsi="Arial" w:cs="Arial"/>
          <w:sz w:val="20"/>
          <w:szCs w:val="20"/>
        </w:rPr>
      </w:pPr>
    </w:p>
    <w:p w14:paraId="5851D247" w14:textId="77777777" w:rsidR="007D5AFB" w:rsidRDefault="007D5AFB" w:rsidP="007D5AFB">
      <w:pPr>
        <w:pStyle w:val="NormalWeb"/>
        <w:spacing w:before="0" w:beforeAutospacing="0" w:after="0" w:afterAutospacing="0"/>
        <w:ind w:left="-426" w:right="-518"/>
        <w:contextualSpacing/>
        <w:jc w:val="center"/>
        <w:rPr>
          <w:rFonts w:ascii="Arial" w:hAnsi="Arial" w:cs="Arial"/>
          <w:sz w:val="20"/>
          <w:szCs w:val="20"/>
        </w:rPr>
      </w:pPr>
    </w:p>
    <w:p w14:paraId="55FCE3A7" w14:textId="77777777" w:rsidR="007D5AFB" w:rsidRDefault="007D5AFB" w:rsidP="007D5AFB">
      <w:pPr>
        <w:pStyle w:val="NormalWeb"/>
        <w:spacing w:before="0" w:beforeAutospacing="0" w:after="0" w:afterAutospacing="0"/>
        <w:ind w:left="-426" w:right="-518"/>
        <w:contextualSpacing/>
        <w:jc w:val="center"/>
        <w:rPr>
          <w:rFonts w:ascii="Arial" w:hAnsi="Arial" w:cs="Arial"/>
          <w:sz w:val="20"/>
          <w:szCs w:val="20"/>
        </w:rPr>
      </w:pPr>
    </w:p>
    <w:p w14:paraId="61B67327" w14:textId="77777777" w:rsidR="007D5AFB" w:rsidRPr="000E0C9F" w:rsidRDefault="007D5AFB" w:rsidP="007D5AFB">
      <w:pPr>
        <w:pStyle w:val="NormalWeb"/>
        <w:spacing w:before="0" w:beforeAutospacing="0" w:after="0" w:afterAutospacing="0"/>
        <w:ind w:left="-426" w:right="-518"/>
        <w:contextualSpacing/>
        <w:jc w:val="center"/>
        <w:rPr>
          <w:rFonts w:ascii="Arial" w:hAnsi="Arial" w:cs="Arial"/>
          <w:sz w:val="22"/>
          <w:szCs w:val="22"/>
        </w:rPr>
      </w:pPr>
      <w:r w:rsidRPr="000E0C9F">
        <w:rPr>
          <w:rFonts w:ascii="Arial" w:hAnsi="Arial" w:cs="Arial"/>
          <w:sz w:val="22"/>
          <w:szCs w:val="22"/>
        </w:rPr>
        <w:t xml:space="preserve">Para consultas de medios y periodistas, contactar a: </w:t>
      </w:r>
      <w:hyperlink r:id="rId10" w:history="1">
        <w:r w:rsidRPr="000E0C9F">
          <w:rPr>
            <w:rStyle w:val="Hipervnculo"/>
            <w:rFonts w:ascii="Arial" w:hAnsi="Arial" w:cs="Arial"/>
            <w:sz w:val="22"/>
            <w:szCs w:val="22"/>
          </w:rPr>
          <w:t>comunicacionsocial@inegi.org.mx</w:t>
        </w:r>
      </w:hyperlink>
      <w:r w:rsidRPr="000E0C9F">
        <w:rPr>
          <w:rFonts w:ascii="Arial" w:hAnsi="Arial" w:cs="Arial"/>
          <w:sz w:val="22"/>
          <w:szCs w:val="22"/>
        </w:rPr>
        <w:t xml:space="preserve"> </w:t>
      </w:r>
    </w:p>
    <w:p w14:paraId="2F6C982E" w14:textId="77777777" w:rsidR="007D5AFB" w:rsidRPr="000E0C9F" w:rsidRDefault="007D5AFB" w:rsidP="007D5AFB">
      <w:pPr>
        <w:pStyle w:val="NormalWeb"/>
        <w:spacing w:before="0" w:beforeAutospacing="0" w:after="0" w:afterAutospacing="0"/>
        <w:ind w:left="-426" w:right="-518"/>
        <w:contextualSpacing/>
        <w:jc w:val="center"/>
        <w:rPr>
          <w:rFonts w:ascii="Arial" w:hAnsi="Arial" w:cs="Arial"/>
          <w:sz w:val="22"/>
          <w:szCs w:val="22"/>
        </w:rPr>
      </w:pPr>
      <w:r w:rsidRPr="000E0C9F">
        <w:rPr>
          <w:rFonts w:ascii="Arial" w:hAnsi="Arial" w:cs="Arial"/>
          <w:sz w:val="22"/>
          <w:szCs w:val="22"/>
        </w:rPr>
        <w:t xml:space="preserve">o llamar al teléfono (55) 52-78-10-00, </w:t>
      </w:r>
      <w:proofErr w:type="spellStart"/>
      <w:r w:rsidRPr="000E0C9F">
        <w:rPr>
          <w:rFonts w:ascii="Arial" w:hAnsi="Arial" w:cs="Arial"/>
          <w:sz w:val="22"/>
          <w:szCs w:val="22"/>
        </w:rPr>
        <w:t>exts</w:t>
      </w:r>
      <w:proofErr w:type="spellEnd"/>
      <w:r w:rsidRPr="000E0C9F">
        <w:rPr>
          <w:rFonts w:ascii="Arial" w:hAnsi="Arial" w:cs="Arial"/>
          <w:sz w:val="22"/>
          <w:szCs w:val="22"/>
        </w:rPr>
        <w:t>. 1134, 1260 y 1241.</w:t>
      </w:r>
    </w:p>
    <w:p w14:paraId="7416DD99" w14:textId="77777777" w:rsidR="007D5AFB" w:rsidRPr="000E0C9F" w:rsidRDefault="007D5AFB" w:rsidP="007D5AFB">
      <w:pPr>
        <w:ind w:left="-426" w:right="-518"/>
        <w:contextualSpacing/>
        <w:jc w:val="center"/>
        <w:rPr>
          <w:sz w:val="22"/>
          <w:szCs w:val="22"/>
        </w:rPr>
      </w:pPr>
    </w:p>
    <w:p w14:paraId="2C401BF6" w14:textId="77777777" w:rsidR="007D5AFB" w:rsidRPr="000E0C9F" w:rsidRDefault="007D5AFB" w:rsidP="007D5AFB">
      <w:pPr>
        <w:ind w:left="-426" w:right="-518"/>
        <w:contextualSpacing/>
        <w:jc w:val="center"/>
        <w:rPr>
          <w:sz w:val="22"/>
          <w:szCs w:val="22"/>
        </w:rPr>
      </w:pPr>
      <w:r w:rsidRPr="000E0C9F">
        <w:rPr>
          <w:sz w:val="22"/>
          <w:szCs w:val="22"/>
        </w:rPr>
        <w:t xml:space="preserve">Dirección de Atención a Medios / Dirección General Adjunta de Comunicación </w:t>
      </w:r>
    </w:p>
    <w:p w14:paraId="327D7D11" w14:textId="77777777" w:rsidR="007D5AFB" w:rsidRPr="000E0C9F" w:rsidRDefault="007D5AFB" w:rsidP="007D5AFB">
      <w:pPr>
        <w:ind w:left="-426" w:right="-518"/>
        <w:contextualSpacing/>
        <w:jc w:val="center"/>
        <w:rPr>
          <w:sz w:val="22"/>
          <w:szCs w:val="22"/>
        </w:rPr>
      </w:pPr>
    </w:p>
    <w:p w14:paraId="1333C0B5" w14:textId="77777777" w:rsidR="007D5AFB" w:rsidRPr="008F0992" w:rsidRDefault="007D5AFB" w:rsidP="007D5AFB">
      <w:pPr>
        <w:ind w:left="-425" w:right="-516"/>
        <w:contextualSpacing/>
        <w:jc w:val="center"/>
        <w:rPr>
          <w:noProof/>
          <w:sz w:val="20"/>
          <w:lang w:eastAsia="es-MX"/>
        </w:rPr>
      </w:pPr>
      <w:r w:rsidRPr="008F0992">
        <w:rPr>
          <w:noProof/>
          <w:sz w:val="20"/>
          <w:lang w:val="es-MX" w:eastAsia="es-MX"/>
        </w:rPr>
        <w:drawing>
          <wp:inline distT="0" distB="0" distL="0" distR="0" wp14:anchorId="49162B3D" wp14:editId="7285ACA8">
            <wp:extent cx="318472" cy="322419"/>
            <wp:effectExtent l="0" t="0" r="5715" b="1905"/>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D3D9FA5" wp14:editId="1022451A">
            <wp:extent cx="327704" cy="325467"/>
            <wp:effectExtent l="0" t="0" r="0" b="0"/>
            <wp:docPr id="21" name="Imagen 21"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DC1A6DA" wp14:editId="592AB9B5">
            <wp:extent cx="321276" cy="324093"/>
            <wp:effectExtent l="0" t="0" r="3175" b="0"/>
            <wp:docPr id="8" name="Imagen 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7233DA7" wp14:editId="7E0114E5">
            <wp:extent cx="321276" cy="326574"/>
            <wp:effectExtent l="0" t="0" r="3175" b="0"/>
            <wp:docPr id="4" name="Imagen 4"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0A8B7E3F" wp14:editId="2476DD7A">
            <wp:extent cx="2323070" cy="319707"/>
            <wp:effectExtent l="0" t="0" r="1270" b="4445"/>
            <wp:docPr id="9" name="Imagen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37496D4" w14:textId="77777777" w:rsidR="007D5AFB" w:rsidRDefault="007D5AFB" w:rsidP="007D5AFB">
      <w:pPr>
        <w:pStyle w:val="p01"/>
        <w:keepLines w:val="0"/>
        <w:tabs>
          <w:tab w:val="left" w:pos="3261"/>
        </w:tabs>
        <w:spacing w:before="0"/>
        <w:ind w:left="1418"/>
        <w:outlineLvl w:val="0"/>
      </w:pPr>
      <w:r>
        <w:rPr>
          <w:rFonts w:ascii="Arial" w:hAnsi="Arial" w:cs="Arial"/>
          <w:b/>
          <w:color w:val="000000"/>
          <w:szCs w:val="24"/>
        </w:rPr>
        <w:tab/>
      </w:r>
    </w:p>
    <w:p w14:paraId="6ACB09E5" w14:textId="77777777" w:rsidR="007D5AFB" w:rsidRPr="00157C43" w:rsidRDefault="007D5AFB" w:rsidP="007D5AFB">
      <w:pPr>
        <w:pStyle w:val="bullet"/>
        <w:tabs>
          <w:tab w:val="left" w:pos="8789"/>
        </w:tabs>
        <w:spacing w:before="0"/>
        <w:ind w:left="0" w:right="51" w:firstLine="0"/>
        <w:jc w:val="center"/>
        <w:rPr>
          <w:rFonts w:cs="Arial"/>
          <w:szCs w:val="24"/>
        </w:rPr>
        <w:sectPr w:rsidR="007D5AFB" w:rsidRPr="00157C43" w:rsidSect="0019434B">
          <w:headerReference w:type="even" r:id="rId21"/>
          <w:headerReference w:type="default" r:id="rId22"/>
          <w:footerReference w:type="even" r:id="rId23"/>
          <w:footerReference w:type="default" r:id="rId24"/>
          <w:headerReference w:type="first" r:id="rId25"/>
          <w:footerReference w:type="first" r:id="rId26"/>
          <w:pgSz w:w="12240" w:h="15840" w:code="1"/>
          <w:pgMar w:top="1" w:right="1183" w:bottom="0" w:left="1588" w:header="510" w:footer="510" w:gutter="0"/>
          <w:cols w:space="720"/>
          <w:docGrid w:linePitch="272"/>
        </w:sectPr>
      </w:pPr>
      <w:r>
        <w:rPr>
          <w:rFonts w:cs="Arial"/>
          <w:szCs w:val="24"/>
        </w:rPr>
        <w:tab/>
      </w:r>
    </w:p>
    <w:p w14:paraId="0A478FF4" w14:textId="77777777" w:rsidR="007D5AFB" w:rsidRPr="000C089B" w:rsidRDefault="007D5AFB" w:rsidP="007D5AFB">
      <w:pPr>
        <w:pStyle w:val="Profesin"/>
        <w:tabs>
          <w:tab w:val="left" w:pos="8647"/>
        </w:tabs>
        <w:contextualSpacing/>
      </w:pPr>
      <w:r w:rsidRPr="000C089B">
        <w:lastRenderedPageBreak/>
        <w:t>NOTA TÉCNICA</w:t>
      </w:r>
    </w:p>
    <w:p w14:paraId="27445CEE" w14:textId="77777777" w:rsidR="00DF2D89" w:rsidRPr="003571E2" w:rsidRDefault="00DF2D89" w:rsidP="00DF2D89">
      <w:pPr>
        <w:pStyle w:val="Profesin"/>
        <w:spacing w:before="240"/>
      </w:pPr>
      <w:r w:rsidRPr="003571E2">
        <w:t xml:space="preserve">ÍNDICE NACIONAL DE PRECIOS AL </w:t>
      </w:r>
      <w:r>
        <w:t>CO</w:t>
      </w:r>
      <w:r w:rsidRPr="003571E2">
        <w:t>NSUMIDOR</w:t>
      </w:r>
    </w:p>
    <w:p w14:paraId="04ADCCF0" w14:textId="77777777" w:rsidR="00DF2D89" w:rsidRPr="004601FC" w:rsidRDefault="00DF2D89" w:rsidP="00DF2D89">
      <w:pPr>
        <w:pStyle w:val="Profesin"/>
        <w:rPr>
          <w:caps w:val="0"/>
        </w:rPr>
      </w:pPr>
      <w:r w:rsidRPr="004601FC">
        <w:rPr>
          <w:caps w:val="0"/>
        </w:rPr>
        <w:t>Primera quincena de febrero de 2020</w:t>
      </w:r>
    </w:p>
    <w:p w14:paraId="4CF47224" w14:textId="77777777" w:rsidR="000B23E5" w:rsidRDefault="000B23E5" w:rsidP="00EE3404">
      <w:pPr>
        <w:widowControl w:val="0"/>
        <w:jc w:val="left"/>
        <w:rPr>
          <w:b/>
          <w:i/>
          <w:color w:val="000000" w:themeColor="text1"/>
        </w:rPr>
      </w:pPr>
    </w:p>
    <w:p w14:paraId="1B85E9BB" w14:textId="77777777" w:rsidR="000B23E5" w:rsidRDefault="000B23E5" w:rsidP="00EE3404">
      <w:pPr>
        <w:widowControl w:val="0"/>
        <w:jc w:val="left"/>
        <w:rPr>
          <w:b/>
          <w:i/>
          <w:color w:val="000000" w:themeColor="text1"/>
        </w:rPr>
      </w:pPr>
    </w:p>
    <w:p w14:paraId="75F4DC1C" w14:textId="58CBBFB2" w:rsidR="005E1990" w:rsidRPr="00B940B6" w:rsidRDefault="005E1990" w:rsidP="00EE3404">
      <w:pPr>
        <w:widowControl w:val="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42EABD38" w14:textId="741B4A86" w:rsidR="004B754D" w:rsidRDefault="004B754D" w:rsidP="004B754D">
      <w:pPr>
        <w:autoSpaceDE w:val="0"/>
        <w:autoSpaceDN w:val="0"/>
        <w:adjustRightInd w:val="0"/>
        <w:spacing w:before="240"/>
      </w:pPr>
      <w:r w:rsidRPr="00A71198">
        <w:t>En la primer</w:t>
      </w:r>
      <w:r w:rsidR="00EE3404">
        <w:t>a</w:t>
      </w:r>
      <w:r w:rsidRPr="00A71198">
        <w:t xml:space="preserve"> quincena de </w:t>
      </w:r>
      <w:r>
        <w:t xml:space="preserve">febrero de </w:t>
      </w:r>
      <w:r w:rsidRPr="00A71198">
        <w:t>20</w:t>
      </w:r>
      <w:r>
        <w:t>20</w:t>
      </w:r>
      <w:r w:rsidRPr="00A71198">
        <w:t xml:space="preserve"> el Índice Nacional de Precios al Consumidor </w:t>
      </w:r>
      <w:r w:rsidR="00EE3404">
        <w:t xml:space="preserve">(INPC) </w:t>
      </w:r>
      <w:r>
        <w:t xml:space="preserve">presentó un aumento de </w:t>
      </w:r>
      <w:r w:rsidRPr="00A71198">
        <w:t>0.</w:t>
      </w:r>
      <w:r>
        <w:t>12</w:t>
      </w:r>
      <w:r w:rsidRPr="00A71198">
        <w:t xml:space="preserve"> por ciento</w:t>
      </w:r>
      <w:r w:rsidR="00EE3404">
        <w:t xml:space="preserve"> respecto a la quincena precedente.</w:t>
      </w:r>
      <w:r>
        <w:t xml:space="preserve"> </w:t>
      </w:r>
      <w:r w:rsidR="00EE3404">
        <w:t>E</w:t>
      </w:r>
      <w:r>
        <w:t xml:space="preserve">n el mismo periodo del año anterior </w:t>
      </w:r>
      <w:r w:rsidR="00EE3404">
        <w:t xml:space="preserve">retrocedió </w:t>
      </w:r>
      <w:r>
        <w:t>(-)0.10 por ciento</w:t>
      </w:r>
      <w:r w:rsidRPr="00A71198">
        <w:t>.</w:t>
      </w:r>
    </w:p>
    <w:p w14:paraId="7116876E" w14:textId="77777777" w:rsidR="004B754D" w:rsidRPr="00EE5D84" w:rsidRDefault="004B754D" w:rsidP="00EE3404">
      <w:pPr>
        <w:pStyle w:val="n01"/>
        <w:spacing w:before="360"/>
        <w:ind w:left="0" w:firstLine="0"/>
        <w:jc w:val="center"/>
        <w:rPr>
          <w:rFonts w:ascii="Arial" w:hAnsi="Arial"/>
          <w:b/>
          <w:bCs/>
          <w:smallCaps/>
          <w:color w:val="000000" w:themeColor="text1"/>
          <w:sz w:val="22"/>
          <w:szCs w:val="22"/>
        </w:rPr>
      </w:pPr>
      <w:r w:rsidRPr="00EE5D84">
        <w:rPr>
          <w:rFonts w:ascii="Arial" w:hAnsi="Arial"/>
          <w:b/>
          <w:bCs/>
          <w:smallCaps/>
          <w:color w:val="000000" w:themeColor="text1"/>
          <w:sz w:val="22"/>
          <w:szCs w:val="22"/>
        </w:rPr>
        <w:t xml:space="preserve">Índice Nacional de </w:t>
      </w:r>
      <w:r w:rsidRPr="00EE3404">
        <w:rPr>
          <w:rFonts w:ascii="Arial" w:hAnsi="Arial"/>
          <w:b/>
          <w:bCs/>
          <w:smallCaps/>
          <w:color w:val="000000" w:themeColor="text1"/>
        </w:rPr>
        <w:t>Precios</w:t>
      </w:r>
      <w:r w:rsidRPr="00EE5D84">
        <w:rPr>
          <w:rFonts w:ascii="Arial" w:hAnsi="Arial"/>
          <w:b/>
          <w:bCs/>
          <w:smallCaps/>
          <w:color w:val="000000" w:themeColor="text1"/>
          <w:sz w:val="22"/>
          <w:szCs w:val="22"/>
        </w:rPr>
        <w:t xml:space="preserve"> al Consumidor</w:t>
      </w:r>
    </w:p>
    <w:p w14:paraId="08566C91" w14:textId="77777777" w:rsidR="004B754D" w:rsidRPr="00EE5D84" w:rsidRDefault="004B754D" w:rsidP="004B754D">
      <w:pPr>
        <w:widowControl w:val="0"/>
        <w:autoSpaceDE w:val="0"/>
        <w:autoSpaceDN w:val="0"/>
        <w:adjustRightInd w:val="0"/>
        <w:spacing w:before="3" w:line="225" w:lineRule="exact"/>
        <w:jc w:val="center"/>
        <w:rPr>
          <w:sz w:val="18"/>
          <w:szCs w:val="18"/>
        </w:rPr>
      </w:pPr>
      <w:r w:rsidRPr="00EE5D84">
        <w:rPr>
          <w:sz w:val="18"/>
          <w:szCs w:val="18"/>
        </w:rPr>
        <w:t xml:space="preserve">Variación </w:t>
      </w:r>
      <w:r w:rsidRPr="00EE5D84">
        <w:rPr>
          <w:color w:val="000000" w:themeColor="text1"/>
          <w:sz w:val="18"/>
          <w:szCs w:val="18"/>
        </w:rPr>
        <w:t xml:space="preserve">porcentual quincenal durante la primera </w:t>
      </w:r>
      <w:r w:rsidRPr="00EE5D84">
        <w:rPr>
          <w:sz w:val="18"/>
          <w:szCs w:val="18"/>
        </w:rPr>
        <w:t>quincena de febrero</w:t>
      </w:r>
      <w:r w:rsidRPr="00EE5D84">
        <w:rPr>
          <w:color w:val="000000"/>
          <w:position w:val="-1"/>
          <w:sz w:val="18"/>
          <w:szCs w:val="18"/>
        </w:rPr>
        <w:t xml:space="preserve"> de los años que se indican</w:t>
      </w:r>
    </w:p>
    <w:p w14:paraId="768FB5D6" w14:textId="4E00D799" w:rsidR="004B754D" w:rsidRPr="00A71198" w:rsidRDefault="00385547" w:rsidP="004B754D">
      <w:pPr>
        <w:pStyle w:val="n01"/>
        <w:keepLines w:val="0"/>
        <w:spacing w:before="0"/>
        <w:ind w:left="0" w:firstLine="0"/>
        <w:jc w:val="center"/>
        <w:rPr>
          <w:rFonts w:ascii="Arial" w:hAnsi="Arial"/>
          <w:color w:val="auto"/>
        </w:rPr>
      </w:pPr>
      <w:r>
        <w:rPr>
          <w:noProof/>
          <w:lang w:val="es-MX" w:eastAsia="es-MX"/>
        </w:rPr>
        <w:drawing>
          <wp:inline distT="0" distB="0" distL="0" distR="0" wp14:anchorId="115BD935" wp14:editId="22897B66">
            <wp:extent cx="5040000" cy="2880000"/>
            <wp:effectExtent l="0" t="0" r="27305" b="34925"/>
            <wp:docPr id="20" name="Gráfico 20">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DEAC202" w14:textId="0E234274" w:rsidR="004B754D" w:rsidRPr="00A71198" w:rsidRDefault="004B754D" w:rsidP="00EE3404">
      <w:pPr>
        <w:autoSpaceDE w:val="0"/>
        <w:autoSpaceDN w:val="0"/>
        <w:adjustRightInd w:val="0"/>
        <w:spacing w:before="480"/>
      </w:pPr>
      <w:r w:rsidRPr="00A71198">
        <w:t xml:space="preserve">En el siguiente cuadro se muestran las variaciones e incidencias de los subíndices que integran al INPC en la primera quincena de </w:t>
      </w:r>
      <w:r>
        <w:t>febrero</w:t>
      </w:r>
      <w:r w:rsidRPr="00A71198">
        <w:t xml:space="preserve"> de</w:t>
      </w:r>
      <w:r w:rsidR="00EE3404">
        <w:t xml:space="preserve"> este año</w:t>
      </w:r>
      <w:r w:rsidRPr="00A71198">
        <w:t>, en donde se observa que los componentes subyacente y no subyacente tuvieron una contribución al índice general de 0.</w:t>
      </w:r>
      <w:r>
        <w:t>162</w:t>
      </w:r>
      <w:r w:rsidRPr="00A71198">
        <w:t xml:space="preserve"> y </w:t>
      </w:r>
      <w:r w:rsidR="00EE3404">
        <w:t xml:space="preserve">de </w:t>
      </w:r>
      <w:r>
        <w:t>(-)</w:t>
      </w:r>
      <w:r w:rsidRPr="00A71198">
        <w:t>0.</w:t>
      </w:r>
      <w:r>
        <w:t>040</w:t>
      </w:r>
      <w:r w:rsidRPr="00A71198">
        <w:t xml:space="preserve"> puntos porcentuales</w:t>
      </w:r>
      <w:r w:rsidR="00EE3404">
        <w:t>,</w:t>
      </w:r>
      <w:r w:rsidRPr="00A71198">
        <w:t xml:space="preserve"> respectivamente. </w:t>
      </w:r>
    </w:p>
    <w:p w14:paraId="722191CD" w14:textId="77777777" w:rsidR="004B754D" w:rsidRPr="00EE5D84" w:rsidRDefault="004B754D" w:rsidP="004B754D">
      <w:pPr>
        <w:pStyle w:val="Prrafodelista"/>
        <w:keepNext/>
        <w:keepLines/>
        <w:widowControl w:val="0"/>
        <w:spacing w:before="360"/>
        <w:ind w:left="0"/>
        <w:jc w:val="center"/>
        <w:rPr>
          <w:b/>
          <w:smallCaps/>
          <w:sz w:val="22"/>
          <w:szCs w:val="22"/>
        </w:rPr>
      </w:pPr>
      <w:r w:rsidRPr="00EE5D84">
        <w:rPr>
          <w:b/>
          <w:smallCaps/>
          <w:sz w:val="22"/>
          <w:szCs w:val="22"/>
        </w:rPr>
        <w:lastRenderedPageBreak/>
        <w:t>INPC, Subyacente y No Subyacente</w:t>
      </w:r>
    </w:p>
    <w:p w14:paraId="0CE365D4" w14:textId="77777777" w:rsidR="004B754D" w:rsidRPr="00EE5D84" w:rsidRDefault="004B754D" w:rsidP="004B754D">
      <w:pPr>
        <w:keepNext/>
        <w:keepLines/>
        <w:widowControl w:val="0"/>
        <w:jc w:val="center"/>
        <w:rPr>
          <w:sz w:val="18"/>
          <w:szCs w:val="18"/>
        </w:rPr>
      </w:pPr>
      <w:r w:rsidRPr="00EE5D84">
        <w:rPr>
          <w:sz w:val="18"/>
          <w:szCs w:val="18"/>
        </w:rPr>
        <w:t xml:space="preserve">Primera quincena de febrero de los años que se indican </w:t>
      </w:r>
    </w:p>
    <w:p w14:paraId="09112295" w14:textId="107C1141" w:rsidR="005B789E" w:rsidRPr="00A71198" w:rsidRDefault="00316C5F" w:rsidP="005B789E">
      <w:pPr>
        <w:keepNext/>
        <w:keepLines/>
        <w:widowControl w:val="0"/>
        <w:jc w:val="center"/>
        <w:rPr>
          <w:b/>
        </w:rPr>
      </w:pPr>
      <w:r w:rsidRPr="00316C5F">
        <w:rPr>
          <w:noProof/>
        </w:rPr>
        <w:drawing>
          <wp:inline distT="0" distB="0" distL="0" distR="0" wp14:anchorId="00F11EF4" wp14:editId="06428591">
            <wp:extent cx="5972810" cy="2518737"/>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18737"/>
                    </a:xfrm>
                    <a:prstGeom prst="rect">
                      <a:avLst/>
                    </a:prstGeom>
                    <a:noFill/>
                    <a:ln>
                      <a:noFill/>
                    </a:ln>
                  </pic:spPr>
                </pic:pic>
              </a:graphicData>
            </a:graphic>
          </wp:inline>
        </w:drawing>
      </w:r>
    </w:p>
    <w:p w14:paraId="71686AE5" w14:textId="47725A24"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 xml:space="preserve">La incidencia se refiere a la contribución en puntos porcentuales de cada componente del INPC </w:t>
      </w:r>
      <w:r w:rsidR="00EE3404">
        <w:rPr>
          <w:color w:val="006600"/>
          <w:sz w:val="16"/>
          <w:szCs w:val="16"/>
        </w:rPr>
        <w:t xml:space="preserve">a </w:t>
      </w:r>
      <w:r w:rsidRPr="00A71198">
        <w:rPr>
          <w:color w:val="006600"/>
          <w:sz w:val="16"/>
          <w:szCs w:val="16"/>
        </w:rPr>
        <w:t>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4DD9B8F2"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3498E92B"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6935D482" w14:textId="77777777" w:rsidR="005B789E" w:rsidRPr="00A71198" w:rsidRDefault="005B789E" w:rsidP="005B789E">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55CD8FB4" w14:textId="77777777" w:rsidR="005B789E" w:rsidRPr="00A71198" w:rsidRDefault="005B789E" w:rsidP="000857E4">
      <w:pPr>
        <w:pStyle w:val="n01"/>
        <w:keepLines w:val="0"/>
        <w:spacing w:before="720"/>
        <w:ind w:left="0" w:firstLine="0"/>
        <w:rPr>
          <w:rFonts w:ascii="Arial" w:hAnsi="Arial"/>
          <w:b/>
          <w:i/>
          <w:color w:val="auto"/>
        </w:rPr>
      </w:pPr>
      <w:r w:rsidRPr="00A71198">
        <w:rPr>
          <w:rFonts w:ascii="Arial" w:hAnsi="Arial"/>
          <w:b/>
          <w:i/>
          <w:color w:val="auto"/>
        </w:rPr>
        <w:t>Índices Subyacente y No Subyacente</w:t>
      </w:r>
    </w:p>
    <w:p w14:paraId="33A0CBF2" w14:textId="2A928CAA" w:rsidR="008A46A0" w:rsidRPr="00A71198" w:rsidRDefault="008A46A0" w:rsidP="008A46A0">
      <w:pPr>
        <w:autoSpaceDE w:val="0"/>
        <w:autoSpaceDN w:val="0"/>
        <w:adjustRightInd w:val="0"/>
        <w:spacing w:before="240"/>
      </w:pPr>
      <w:r w:rsidRPr="00A71198">
        <w:t xml:space="preserve">La variación en la primera quincena de </w:t>
      </w:r>
      <w:r>
        <w:t>febrero</w:t>
      </w:r>
      <w:r w:rsidRPr="00A71198">
        <w:t xml:space="preserve"> </w:t>
      </w:r>
      <w:r w:rsidR="00EE3404">
        <w:t xml:space="preserve">del presente año </w:t>
      </w:r>
      <w:r w:rsidRPr="00A71198">
        <w:t>de los índices subyacente y no subyacente fue de 0.</w:t>
      </w:r>
      <w:r>
        <w:t>22</w:t>
      </w:r>
      <w:r w:rsidRPr="00A71198">
        <w:t xml:space="preserve"> y </w:t>
      </w:r>
      <w:r w:rsidR="000C305A">
        <w:t xml:space="preserve">de </w:t>
      </w:r>
      <w:r>
        <w:t>(-)0.16</w:t>
      </w:r>
      <w:r w:rsidRPr="00A71198">
        <w:t xml:space="preserve"> por ciento</w:t>
      </w:r>
      <w:r w:rsidR="00EE3404">
        <w:t>, en ese orden</w:t>
      </w:r>
      <w:r w:rsidR="000C305A">
        <w:t xml:space="preserve"> frente a la quincena inmediata anterior</w:t>
      </w:r>
      <w:r w:rsidR="00EE3404">
        <w:t>.</w:t>
      </w:r>
      <w:r w:rsidRPr="00A71198">
        <w:t xml:space="preserve"> </w:t>
      </w:r>
      <w:r w:rsidR="00EE3404">
        <w:t xml:space="preserve">Los </w:t>
      </w:r>
      <w:r w:rsidRPr="00A71198">
        <w:t>datos compara</w:t>
      </w:r>
      <w:r w:rsidR="00EE3404">
        <w:t>bles</w:t>
      </w:r>
      <w:r w:rsidRPr="00A71198">
        <w:t xml:space="preserve"> </w:t>
      </w:r>
      <w:r w:rsidR="00EE3404">
        <w:t xml:space="preserve">para </w:t>
      </w:r>
      <w:r w:rsidRPr="00A71198">
        <w:t>el mismo periodo de 201</w:t>
      </w:r>
      <w:r>
        <w:t>9</w:t>
      </w:r>
      <w:r w:rsidRPr="00A71198">
        <w:t xml:space="preserve"> fueron </w:t>
      </w:r>
      <w:r w:rsidR="00EE3404">
        <w:t xml:space="preserve">de </w:t>
      </w:r>
      <w:r w:rsidRPr="00A71198">
        <w:t>0.</w:t>
      </w:r>
      <w:r>
        <w:t>26</w:t>
      </w:r>
      <w:r w:rsidRPr="00A71198">
        <w:t xml:space="preserve"> y </w:t>
      </w:r>
      <w:r w:rsidR="00EE3404">
        <w:t xml:space="preserve">de </w:t>
      </w:r>
      <w:r>
        <w:t>(-)1.15 por ciento.</w:t>
      </w:r>
    </w:p>
    <w:p w14:paraId="3ABCC06E" w14:textId="1D82A96C" w:rsidR="006A3411" w:rsidRDefault="006A3411">
      <w:pPr>
        <w:jc w:val="left"/>
      </w:pPr>
      <w:r>
        <w:br w:type="page"/>
      </w:r>
    </w:p>
    <w:p w14:paraId="762F1AAB" w14:textId="532B209C" w:rsidR="008A46A0" w:rsidRPr="00EE5D84" w:rsidRDefault="008A46A0" w:rsidP="000C305A">
      <w:pPr>
        <w:keepNext/>
        <w:keepLines/>
        <w:spacing w:before="240"/>
        <w:jc w:val="center"/>
        <w:rPr>
          <w:b/>
          <w:bCs/>
          <w:smallCaps/>
          <w:color w:val="000000" w:themeColor="text1"/>
          <w:sz w:val="22"/>
          <w:szCs w:val="22"/>
        </w:rPr>
      </w:pPr>
      <w:r w:rsidRPr="00EE5D84">
        <w:rPr>
          <w:b/>
          <w:bCs/>
          <w:smallCaps/>
          <w:color w:val="000000" w:themeColor="text1"/>
          <w:sz w:val="22"/>
          <w:szCs w:val="22"/>
        </w:rPr>
        <w:lastRenderedPageBreak/>
        <w:t>Índices de precios Subyacente y No Subyacente</w:t>
      </w:r>
    </w:p>
    <w:p w14:paraId="081F02BE" w14:textId="77777777" w:rsidR="008A46A0" w:rsidRPr="00EE5D84" w:rsidRDefault="008A46A0" w:rsidP="008A46A0">
      <w:pPr>
        <w:widowControl w:val="0"/>
        <w:autoSpaceDE w:val="0"/>
        <w:autoSpaceDN w:val="0"/>
        <w:adjustRightInd w:val="0"/>
        <w:jc w:val="center"/>
        <w:rPr>
          <w:color w:val="000000"/>
          <w:position w:val="-1"/>
          <w:sz w:val="18"/>
          <w:szCs w:val="18"/>
        </w:rPr>
      </w:pPr>
      <w:r w:rsidRPr="00EE5D84">
        <w:rPr>
          <w:sz w:val="18"/>
          <w:szCs w:val="18"/>
        </w:rPr>
        <w:t xml:space="preserve">Variación </w:t>
      </w:r>
      <w:r w:rsidRPr="00EE5D84">
        <w:rPr>
          <w:color w:val="000000" w:themeColor="text1"/>
          <w:sz w:val="18"/>
          <w:szCs w:val="18"/>
        </w:rPr>
        <w:t xml:space="preserve">porcentual quincenal durante la primera </w:t>
      </w:r>
      <w:r w:rsidRPr="00EE5D84">
        <w:rPr>
          <w:sz w:val="18"/>
          <w:szCs w:val="18"/>
        </w:rPr>
        <w:t>quincena de febrero</w:t>
      </w:r>
      <w:r w:rsidRPr="00EE5D84">
        <w:rPr>
          <w:color w:val="000000"/>
          <w:position w:val="-1"/>
          <w:sz w:val="18"/>
          <w:szCs w:val="18"/>
        </w:rPr>
        <w:t xml:space="preserve"> de los años que se indican</w:t>
      </w:r>
    </w:p>
    <w:p w14:paraId="28B8E6CD" w14:textId="608F17D3" w:rsidR="008A46A0" w:rsidRPr="00A71198" w:rsidRDefault="000C305A" w:rsidP="008A46A0">
      <w:pPr>
        <w:pStyle w:val="n01"/>
        <w:keepLines w:val="0"/>
        <w:spacing w:before="0"/>
        <w:ind w:left="0" w:firstLine="0"/>
        <w:jc w:val="center"/>
        <w:rPr>
          <w:rFonts w:ascii="Arial" w:hAnsi="Arial"/>
          <w:color w:val="auto"/>
        </w:rPr>
      </w:pPr>
      <w:r>
        <w:rPr>
          <w:noProof/>
        </w:rPr>
        <w:drawing>
          <wp:inline distT="0" distB="0" distL="0" distR="0" wp14:anchorId="6C91E133" wp14:editId="5F88BAC2">
            <wp:extent cx="5040000" cy="2880000"/>
            <wp:effectExtent l="0" t="0" r="27305" b="34925"/>
            <wp:docPr id="3" name="Gráfico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5025E5" w14:textId="58A3D378" w:rsidR="008A46A0" w:rsidRPr="00DD1B57" w:rsidRDefault="000C305A" w:rsidP="00DD1B57">
      <w:pPr>
        <w:pStyle w:val="n01"/>
        <w:keepLines w:val="0"/>
        <w:spacing w:before="60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 xml:space="preserve">INPC, </w:t>
      </w:r>
      <w:r w:rsidR="008A46A0" w:rsidRPr="00DD1B57">
        <w:rPr>
          <w:rFonts w:ascii="Arial" w:hAnsi="Arial"/>
          <w:b/>
          <w:bCs/>
          <w:smallCaps/>
          <w:color w:val="000000" w:themeColor="text1"/>
          <w:sz w:val="22"/>
          <w:szCs w:val="22"/>
        </w:rPr>
        <w:t>Subyacente y No Subyacente</w:t>
      </w:r>
    </w:p>
    <w:p w14:paraId="36CAB37C" w14:textId="7503EE4A" w:rsidR="008A46A0" w:rsidRPr="00385547" w:rsidRDefault="008A46A0" w:rsidP="008A46A0">
      <w:pPr>
        <w:widowControl w:val="0"/>
        <w:autoSpaceDE w:val="0"/>
        <w:autoSpaceDN w:val="0"/>
        <w:adjustRightInd w:val="0"/>
        <w:jc w:val="center"/>
        <w:rPr>
          <w:lang w:val="es-MX"/>
        </w:rPr>
      </w:pPr>
      <w:r w:rsidRPr="00DD1B57">
        <w:rPr>
          <w:sz w:val="18"/>
          <w:szCs w:val="18"/>
        </w:rPr>
        <w:t xml:space="preserve">Variación </w:t>
      </w:r>
      <w:r w:rsidRPr="00DD1B57">
        <w:rPr>
          <w:color w:val="000000" w:themeColor="text1"/>
          <w:sz w:val="18"/>
          <w:szCs w:val="18"/>
        </w:rPr>
        <w:t>porcentual anual por quincena de los</w:t>
      </w:r>
      <w:r w:rsidRPr="00DD1B57">
        <w:rPr>
          <w:color w:val="000000"/>
          <w:position w:val="-1"/>
          <w:sz w:val="18"/>
          <w:szCs w:val="18"/>
        </w:rPr>
        <w:t xml:space="preserve"> años que se indican</w:t>
      </w:r>
      <w:r w:rsidRPr="009F5530">
        <w:rPr>
          <w:color w:val="000000"/>
          <w:position w:val="-1"/>
          <w:sz w:val="20"/>
          <w:szCs w:val="20"/>
        </w:rPr>
        <w:t xml:space="preserve"> </w:t>
      </w:r>
      <w:r w:rsidR="00385547">
        <w:rPr>
          <w:noProof/>
          <w:lang w:val="es-MX" w:eastAsia="es-MX"/>
        </w:rPr>
        <w:drawing>
          <wp:inline distT="0" distB="0" distL="0" distR="0" wp14:anchorId="32D99361" wp14:editId="76FE9013">
            <wp:extent cx="5040000" cy="2880000"/>
            <wp:effectExtent l="0" t="0" r="27305" b="15875"/>
            <wp:docPr id="22" name="Gráfico 22">
              <a:extLst xmlns:a="http://schemas.openxmlformats.org/drawingml/2006/main">
                <a:ext uri="{FF2B5EF4-FFF2-40B4-BE49-F238E27FC236}">
                  <a16:creationId xmlns:a16="http://schemas.microsoft.com/office/drawing/2014/main" id="{00000000-0008-0000-01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32C4482" w14:textId="77777777" w:rsidR="00DD1B57" w:rsidRDefault="00DD1B57">
      <w:pPr>
        <w:jc w:val="left"/>
      </w:pPr>
      <w:r>
        <w:br w:type="page"/>
      </w:r>
    </w:p>
    <w:p w14:paraId="1954681A" w14:textId="1FF48653" w:rsidR="008A46A0" w:rsidRPr="00A71198" w:rsidRDefault="008A46A0" w:rsidP="008A46A0">
      <w:pPr>
        <w:autoSpaceDE w:val="0"/>
        <w:autoSpaceDN w:val="0"/>
        <w:adjustRightInd w:val="0"/>
        <w:spacing w:before="240"/>
      </w:pPr>
      <w:r w:rsidRPr="00A71198">
        <w:lastRenderedPageBreak/>
        <w:t xml:space="preserve">A continuación se presentan los principales genéricos cuyas variaciones de precios al alza y a la baja destacaron por su incidencia sobre la inflación general. </w:t>
      </w:r>
    </w:p>
    <w:p w14:paraId="562A6EEE" w14:textId="77777777" w:rsidR="008A46A0" w:rsidRPr="00DD1B57" w:rsidRDefault="008A46A0" w:rsidP="008A46A0">
      <w:pPr>
        <w:widowControl w:val="0"/>
        <w:tabs>
          <w:tab w:val="left" w:pos="1220"/>
        </w:tabs>
        <w:autoSpaceDE w:val="0"/>
        <w:autoSpaceDN w:val="0"/>
        <w:adjustRightInd w:val="0"/>
        <w:spacing w:before="240"/>
        <w:jc w:val="center"/>
        <w:rPr>
          <w:b/>
          <w:bCs/>
          <w:smallCaps/>
          <w:color w:val="000000" w:themeColor="text1"/>
          <w:spacing w:val="1"/>
          <w:sz w:val="22"/>
          <w:szCs w:val="22"/>
        </w:rPr>
      </w:pPr>
      <w:r w:rsidRPr="00DD1B57">
        <w:rPr>
          <w:b/>
          <w:bCs/>
          <w:smallCaps/>
          <w:color w:val="000000" w:themeColor="text1"/>
          <w:spacing w:val="1"/>
          <w:sz w:val="22"/>
          <w:szCs w:val="22"/>
        </w:rPr>
        <w:t>Índice Nacional de Precios al Consumidor</w:t>
      </w:r>
    </w:p>
    <w:p w14:paraId="34EE9739" w14:textId="77777777" w:rsidR="008A46A0" w:rsidRPr="00DD1B57" w:rsidRDefault="008A46A0" w:rsidP="008A46A0">
      <w:pPr>
        <w:widowControl w:val="0"/>
        <w:tabs>
          <w:tab w:val="left" w:pos="1220"/>
        </w:tabs>
        <w:autoSpaceDE w:val="0"/>
        <w:autoSpaceDN w:val="0"/>
        <w:adjustRightInd w:val="0"/>
        <w:jc w:val="center"/>
        <w:rPr>
          <w:b/>
          <w:bCs/>
          <w:smallCaps/>
          <w:color w:val="000000" w:themeColor="text1"/>
          <w:spacing w:val="1"/>
          <w:sz w:val="22"/>
          <w:szCs w:val="22"/>
        </w:rPr>
      </w:pPr>
      <w:r w:rsidRPr="00DD1B57">
        <w:rPr>
          <w:b/>
          <w:bCs/>
          <w:smallCaps/>
          <w:color w:val="000000" w:themeColor="text1"/>
          <w:spacing w:val="1"/>
          <w:sz w:val="22"/>
          <w:szCs w:val="22"/>
        </w:rPr>
        <w:t>Genéricos con mayor y menor incidencia</w:t>
      </w:r>
    </w:p>
    <w:p w14:paraId="402C3BBA" w14:textId="77777777" w:rsidR="008A46A0" w:rsidRPr="000C305A" w:rsidRDefault="008A46A0" w:rsidP="008A46A0">
      <w:pPr>
        <w:widowControl w:val="0"/>
        <w:tabs>
          <w:tab w:val="left" w:pos="1220"/>
        </w:tabs>
        <w:autoSpaceDE w:val="0"/>
        <w:autoSpaceDN w:val="0"/>
        <w:adjustRightInd w:val="0"/>
        <w:jc w:val="center"/>
        <w:rPr>
          <w:color w:val="000000"/>
          <w:position w:val="-1"/>
          <w:sz w:val="18"/>
        </w:rPr>
      </w:pPr>
      <w:r w:rsidRPr="000C305A">
        <w:rPr>
          <w:color w:val="000000"/>
          <w:position w:val="-1"/>
          <w:sz w:val="18"/>
        </w:rPr>
        <w:t>Primera quincena de febrero de 2020</w:t>
      </w:r>
    </w:p>
    <w:p w14:paraId="357861D5" w14:textId="74A4FFCB" w:rsidR="005B789E" w:rsidRPr="000C305A" w:rsidRDefault="00316C5F" w:rsidP="000C305A">
      <w:pPr>
        <w:autoSpaceDE w:val="0"/>
        <w:autoSpaceDN w:val="0"/>
        <w:adjustRightInd w:val="0"/>
        <w:jc w:val="center"/>
        <w:rPr>
          <w:noProof/>
        </w:rPr>
      </w:pPr>
      <w:r w:rsidRPr="00316C5F">
        <w:rPr>
          <w:noProof/>
        </w:rPr>
        <w:drawing>
          <wp:inline distT="0" distB="0" distL="0" distR="0" wp14:anchorId="563E5968" wp14:editId="1DEC094A">
            <wp:extent cx="5972810" cy="1785219"/>
            <wp:effectExtent l="0" t="0" r="0" b="5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85219"/>
                    </a:xfrm>
                    <a:prstGeom prst="rect">
                      <a:avLst/>
                    </a:prstGeom>
                    <a:noFill/>
                    <a:ln>
                      <a:noFill/>
                    </a:ln>
                  </pic:spPr>
                </pic:pic>
              </a:graphicData>
            </a:graphic>
          </wp:inline>
        </w:drawing>
      </w:r>
    </w:p>
    <w:p w14:paraId="68D90F2B" w14:textId="6FC37C46" w:rsidR="00DD1B57" w:rsidRPr="004B6AA6" w:rsidRDefault="00DD1B57" w:rsidP="00DD1B57">
      <w:pPr>
        <w:autoSpaceDE w:val="0"/>
        <w:autoSpaceDN w:val="0"/>
        <w:adjustRightInd w:val="0"/>
        <w:spacing w:line="276" w:lineRule="auto"/>
        <w:ind w:left="283" w:right="113" w:hanging="170"/>
        <w:rPr>
          <w:color w:val="006600"/>
          <w:sz w:val="16"/>
          <w:szCs w:val="16"/>
        </w:rPr>
      </w:pPr>
      <w:r w:rsidRPr="004B6AA6">
        <w:rPr>
          <w:color w:val="006600"/>
          <w:sz w:val="18"/>
          <w:szCs w:val="16"/>
          <w:vertAlign w:val="superscript"/>
        </w:rPr>
        <w:t>1/</w:t>
      </w:r>
      <w:r w:rsidR="000C305A">
        <w:rPr>
          <w:color w:val="006600"/>
          <w:sz w:val="18"/>
          <w:szCs w:val="16"/>
          <w:vertAlign w:val="superscript"/>
        </w:rPr>
        <w:tab/>
      </w:r>
      <w:r w:rsidRPr="004B6AA6">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22CA7D11" w14:textId="7022F04A" w:rsidR="006A3411" w:rsidRPr="00A71198" w:rsidRDefault="000C305A" w:rsidP="000C305A">
      <w:pPr>
        <w:widowControl w:val="0"/>
        <w:autoSpaceDE w:val="0"/>
        <w:autoSpaceDN w:val="0"/>
        <w:adjustRightInd w:val="0"/>
        <w:spacing w:before="360"/>
      </w:pPr>
      <w:r>
        <w:t>P</w:t>
      </w:r>
      <w:r w:rsidR="006A3411" w:rsidRPr="00A71198">
        <w:t>rincipales ciudades que registraron la mayor y menor variaci</w:t>
      </w:r>
      <w:r>
        <w:t>ón del INPC</w:t>
      </w:r>
      <w:r w:rsidR="006A3411" w:rsidRPr="00A71198">
        <w:t xml:space="preserve"> en la quincena que se reporta.</w:t>
      </w:r>
    </w:p>
    <w:p w14:paraId="48B5D927" w14:textId="77777777" w:rsidR="006A3411" w:rsidRPr="00DD1B57" w:rsidRDefault="006A3411" w:rsidP="000C305A">
      <w:pPr>
        <w:widowControl w:val="0"/>
        <w:autoSpaceDE w:val="0"/>
        <w:autoSpaceDN w:val="0"/>
        <w:adjustRightInd w:val="0"/>
        <w:spacing w:before="240"/>
        <w:jc w:val="center"/>
        <w:rPr>
          <w:b/>
          <w:bCs/>
          <w:smallCaps/>
          <w:color w:val="000000" w:themeColor="text1"/>
          <w:spacing w:val="1"/>
          <w:sz w:val="22"/>
          <w:szCs w:val="22"/>
        </w:rPr>
      </w:pPr>
      <w:r w:rsidRPr="00DD1B57">
        <w:rPr>
          <w:b/>
          <w:bCs/>
          <w:smallCaps/>
          <w:color w:val="000000" w:themeColor="text1"/>
          <w:spacing w:val="1"/>
          <w:sz w:val="22"/>
          <w:szCs w:val="22"/>
        </w:rPr>
        <w:t xml:space="preserve">Índice Nacional de </w:t>
      </w:r>
      <w:r w:rsidRPr="000C305A">
        <w:rPr>
          <w:b/>
          <w:bCs/>
          <w:smallCaps/>
          <w:color w:val="000000" w:themeColor="text1"/>
          <w:spacing w:val="1"/>
          <w:sz w:val="22"/>
        </w:rPr>
        <w:t>Precios</w:t>
      </w:r>
      <w:r w:rsidRPr="00DD1B57">
        <w:rPr>
          <w:b/>
          <w:bCs/>
          <w:smallCaps/>
          <w:color w:val="000000" w:themeColor="text1"/>
          <w:spacing w:val="1"/>
          <w:sz w:val="22"/>
          <w:szCs w:val="22"/>
        </w:rPr>
        <w:t xml:space="preserve"> al Consumidor</w:t>
      </w:r>
    </w:p>
    <w:p w14:paraId="035897DF" w14:textId="77777777" w:rsidR="006A3411" w:rsidRPr="00DD1B57" w:rsidRDefault="006A3411" w:rsidP="006A3411">
      <w:pPr>
        <w:keepNext/>
        <w:keepLines/>
        <w:tabs>
          <w:tab w:val="left" w:pos="1220"/>
        </w:tabs>
        <w:autoSpaceDE w:val="0"/>
        <w:autoSpaceDN w:val="0"/>
        <w:adjustRightInd w:val="0"/>
        <w:jc w:val="center"/>
        <w:rPr>
          <w:b/>
          <w:bCs/>
          <w:smallCaps/>
          <w:color w:val="000000" w:themeColor="text1"/>
          <w:spacing w:val="1"/>
          <w:sz w:val="22"/>
          <w:szCs w:val="22"/>
        </w:rPr>
      </w:pPr>
      <w:r w:rsidRPr="00DD1B57">
        <w:rPr>
          <w:b/>
          <w:bCs/>
          <w:smallCaps/>
          <w:color w:val="000000" w:themeColor="text1"/>
          <w:spacing w:val="1"/>
          <w:sz w:val="22"/>
          <w:szCs w:val="22"/>
        </w:rPr>
        <w:t>principales ciudades con mayor y menor variación *</w:t>
      </w:r>
    </w:p>
    <w:p w14:paraId="78C6EC4C" w14:textId="7DA14122" w:rsidR="006A3411" w:rsidRPr="000C305A" w:rsidRDefault="000C305A" w:rsidP="000C305A">
      <w:pPr>
        <w:widowControl w:val="0"/>
        <w:autoSpaceDE w:val="0"/>
        <w:autoSpaceDN w:val="0"/>
        <w:adjustRightInd w:val="0"/>
        <w:jc w:val="center"/>
        <w:rPr>
          <w:color w:val="000000"/>
          <w:position w:val="-1"/>
          <w:sz w:val="18"/>
          <w:szCs w:val="18"/>
        </w:rPr>
      </w:pPr>
      <w:r>
        <w:rPr>
          <w:color w:val="000000"/>
          <w:position w:val="-1"/>
          <w:sz w:val="18"/>
          <w:szCs w:val="18"/>
        </w:rPr>
        <w:t>P</w:t>
      </w:r>
      <w:r w:rsidR="006A3411" w:rsidRPr="000C305A">
        <w:rPr>
          <w:color w:val="000000"/>
          <w:position w:val="-1"/>
          <w:sz w:val="18"/>
          <w:szCs w:val="18"/>
        </w:rPr>
        <w:t>rimera quincena de febrero de 2020</w:t>
      </w:r>
    </w:p>
    <w:p w14:paraId="026418D9" w14:textId="14DA1C3C" w:rsidR="006A3411" w:rsidRPr="00A71198" w:rsidRDefault="00316C5F" w:rsidP="006A3411">
      <w:pPr>
        <w:autoSpaceDE w:val="0"/>
        <w:autoSpaceDN w:val="0"/>
        <w:adjustRightInd w:val="0"/>
        <w:rPr>
          <w:color w:val="006600"/>
        </w:rPr>
      </w:pPr>
      <w:r w:rsidRPr="00316C5F">
        <w:rPr>
          <w:noProof/>
        </w:rPr>
        <w:drawing>
          <wp:inline distT="0" distB="0" distL="0" distR="0" wp14:anchorId="44B992DE" wp14:editId="0F1DAEC4">
            <wp:extent cx="5972810" cy="1904474"/>
            <wp:effectExtent l="0" t="0" r="8890" b="63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4474"/>
                    </a:xfrm>
                    <a:prstGeom prst="rect">
                      <a:avLst/>
                    </a:prstGeom>
                    <a:noFill/>
                    <a:ln>
                      <a:noFill/>
                    </a:ln>
                  </pic:spPr>
                </pic:pic>
              </a:graphicData>
            </a:graphic>
          </wp:inline>
        </w:drawing>
      </w:r>
    </w:p>
    <w:p w14:paraId="6519439C" w14:textId="77777777" w:rsidR="004B6AA6" w:rsidRPr="0093518A" w:rsidRDefault="004B6AA6" w:rsidP="004B6AA6">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4C4357DA" w14:textId="261B6AE9" w:rsidR="006A3411" w:rsidRPr="00DD1B57" w:rsidRDefault="006A3411" w:rsidP="000C305A">
      <w:pPr>
        <w:keepNext/>
        <w:keepLines/>
        <w:autoSpaceDE w:val="0"/>
        <w:autoSpaceDN w:val="0"/>
        <w:adjustRightInd w:val="0"/>
        <w:spacing w:before="240"/>
        <w:rPr>
          <w:color w:val="000000" w:themeColor="text1"/>
        </w:rPr>
      </w:pPr>
      <w:r w:rsidRPr="00A71198">
        <w:rPr>
          <w:color w:val="000000" w:themeColor="text1"/>
        </w:rPr>
        <w:lastRenderedPageBreak/>
        <w:t xml:space="preserve">A continuación </w:t>
      </w:r>
      <w:r w:rsidRPr="00DD1B57">
        <w:rPr>
          <w:color w:val="000000" w:themeColor="text1"/>
        </w:rPr>
        <w:t>se presentan las principales entidade</w:t>
      </w:r>
      <w:r w:rsidR="00DD1B57" w:rsidRPr="00DD1B57">
        <w:rPr>
          <w:color w:val="000000" w:themeColor="text1"/>
        </w:rPr>
        <w:t xml:space="preserve">s </w:t>
      </w:r>
      <w:r w:rsidR="000C305A">
        <w:rPr>
          <w:color w:val="000000" w:themeColor="text1"/>
        </w:rPr>
        <w:t xml:space="preserve">con la </w:t>
      </w:r>
      <w:r w:rsidR="00DD1B57" w:rsidRPr="00DD1B57">
        <w:rPr>
          <w:color w:val="000000" w:themeColor="text1"/>
        </w:rPr>
        <w:t xml:space="preserve">mayor y </w:t>
      </w:r>
      <w:r w:rsidRPr="00DD1B57">
        <w:rPr>
          <w:color w:val="000000" w:themeColor="text1"/>
        </w:rPr>
        <w:t>menor variaci</w:t>
      </w:r>
      <w:r w:rsidR="000C305A">
        <w:rPr>
          <w:color w:val="000000" w:themeColor="text1"/>
        </w:rPr>
        <w:t>ón del INPC</w:t>
      </w:r>
      <w:r w:rsidRPr="00DD1B57">
        <w:rPr>
          <w:color w:val="000000" w:themeColor="text1"/>
        </w:rPr>
        <w:t xml:space="preserve"> en la quincena </w:t>
      </w:r>
      <w:r w:rsidR="000C305A">
        <w:rPr>
          <w:color w:val="000000" w:themeColor="text1"/>
        </w:rPr>
        <w:t>en cuestión</w:t>
      </w:r>
      <w:r w:rsidRPr="00DD1B57">
        <w:rPr>
          <w:color w:val="000000" w:themeColor="text1"/>
        </w:rPr>
        <w:t xml:space="preserve">. </w:t>
      </w:r>
    </w:p>
    <w:p w14:paraId="3F69CB2F" w14:textId="04E13867" w:rsidR="006A3411" w:rsidRPr="00DD1B57" w:rsidRDefault="006A3411" w:rsidP="000C305A">
      <w:pPr>
        <w:keepNext/>
        <w:keepLines/>
        <w:widowControl w:val="0"/>
        <w:tabs>
          <w:tab w:val="left" w:pos="1220"/>
        </w:tabs>
        <w:autoSpaceDE w:val="0"/>
        <w:autoSpaceDN w:val="0"/>
        <w:adjustRightInd w:val="0"/>
        <w:spacing w:before="240"/>
        <w:jc w:val="center"/>
        <w:rPr>
          <w:b/>
          <w:bCs/>
          <w:smallCaps/>
          <w:color w:val="000000" w:themeColor="text1"/>
          <w:spacing w:val="1"/>
          <w:sz w:val="22"/>
          <w:szCs w:val="22"/>
        </w:rPr>
      </w:pPr>
      <w:r w:rsidRPr="00DD1B57">
        <w:rPr>
          <w:b/>
          <w:bCs/>
          <w:smallCaps/>
          <w:color w:val="000000" w:themeColor="text1"/>
          <w:spacing w:val="1"/>
          <w:sz w:val="22"/>
          <w:szCs w:val="22"/>
        </w:rPr>
        <w:t>Índice Nacional de Precios al Consumidor</w:t>
      </w:r>
    </w:p>
    <w:p w14:paraId="58A49DFE" w14:textId="028CACCB" w:rsidR="006A3411" w:rsidRPr="00DD1B57" w:rsidRDefault="000C305A" w:rsidP="000C305A">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006A3411" w:rsidRPr="00DD1B57">
        <w:rPr>
          <w:b/>
          <w:bCs/>
          <w:smallCaps/>
          <w:color w:val="000000" w:themeColor="text1"/>
          <w:spacing w:val="1"/>
          <w:sz w:val="22"/>
          <w:szCs w:val="22"/>
        </w:rPr>
        <w:t>ntidades federativas con mayor y menor variación *</w:t>
      </w:r>
    </w:p>
    <w:p w14:paraId="3E4E03E6" w14:textId="171F773C" w:rsidR="006A3411" w:rsidRPr="000C305A" w:rsidRDefault="000C305A" w:rsidP="000C305A">
      <w:pPr>
        <w:keepNext/>
        <w:keepLines/>
        <w:widowControl w:val="0"/>
        <w:tabs>
          <w:tab w:val="left" w:pos="1220"/>
        </w:tabs>
        <w:autoSpaceDE w:val="0"/>
        <w:autoSpaceDN w:val="0"/>
        <w:adjustRightInd w:val="0"/>
        <w:jc w:val="center"/>
        <w:rPr>
          <w:bCs/>
          <w:color w:val="000000" w:themeColor="text1"/>
          <w:spacing w:val="1"/>
          <w:sz w:val="18"/>
          <w:szCs w:val="20"/>
        </w:rPr>
      </w:pPr>
      <w:r w:rsidRPr="000C305A">
        <w:rPr>
          <w:bCs/>
          <w:color w:val="000000" w:themeColor="text1"/>
          <w:spacing w:val="1"/>
          <w:sz w:val="18"/>
          <w:szCs w:val="20"/>
        </w:rPr>
        <w:t>P</w:t>
      </w:r>
      <w:r w:rsidR="006A3411" w:rsidRPr="000C305A">
        <w:rPr>
          <w:bCs/>
          <w:color w:val="000000" w:themeColor="text1"/>
          <w:spacing w:val="1"/>
          <w:sz w:val="18"/>
          <w:szCs w:val="20"/>
        </w:rPr>
        <w:t>rimera quincena de febrero de 2020</w:t>
      </w:r>
    </w:p>
    <w:p w14:paraId="51F8543D" w14:textId="563E2635" w:rsidR="006A3411" w:rsidRPr="00A71198" w:rsidRDefault="00316C5F" w:rsidP="000C305A">
      <w:pPr>
        <w:keepNext/>
        <w:keepLines/>
        <w:widowControl w:val="0"/>
        <w:tabs>
          <w:tab w:val="left" w:pos="1220"/>
        </w:tabs>
        <w:autoSpaceDE w:val="0"/>
        <w:autoSpaceDN w:val="0"/>
        <w:adjustRightInd w:val="0"/>
        <w:jc w:val="center"/>
        <w:rPr>
          <w:bCs/>
          <w:color w:val="000000" w:themeColor="text1"/>
          <w:spacing w:val="1"/>
        </w:rPr>
      </w:pPr>
      <w:r w:rsidRPr="00316C5F">
        <w:rPr>
          <w:noProof/>
        </w:rPr>
        <w:drawing>
          <wp:inline distT="0" distB="0" distL="0" distR="0" wp14:anchorId="69A16E83" wp14:editId="4E04D818">
            <wp:extent cx="5972810" cy="11332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33205"/>
                    </a:xfrm>
                    <a:prstGeom prst="rect">
                      <a:avLst/>
                    </a:prstGeom>
                    <a:noFill/>
                    <a:ln>
                      <a:noFill/>
                    </a:ln>
                  </pic:spPr>
                </pic:pic>
              </a:graphicData>
            </a:graphic>
          </wp:inline>
        </w:drawing>
      </w:r>
    </w:p>
    <w:p w14:paraId="1BCF61AB" w14:textId="77777777" w:rsidR="004B6AA6" w:rsidRPr="0093518A" w:rsidRDefault="004B6AA6" w:rsidP="004B6AA6">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16C0442B" w14:textId="204E4F44" w:rsidR="005B789E" w:rsidRPr="00A71198" w:rsidRDefault="004B6AA6" w:rsidP="004B6AA6">
      <w:pPr>
        <w:widowControl w:val="0"/>
        <w:autoSpaceDE w:val="0"/>
        <w:autoSpaceDN w:val="0"/>
        <w:adjustRightInd w:val="0"/>
        <w:spacing w:before="360"/>
      </w:pPr>
      <w:r>
        <w:t xml:space="preserve">El comportamiento </w:t>
      </w:r>
      <w:r w:rsidR="005B789E" w:rsidRPr="00A71198">
        <w:t xml:space="preserve">en la primera quincena de </w:t>
      </w:r>
      <w:r w:rsidR="008F2840">
        <w:t>febrero</w:t>
      </w:r>
      <w:r w:rsidR="005B789E" w:rsidRPr="00A71198">
        <w:t xml:space="preserve"> de 20</w:t>
      </w:r>
      <w:r w:rsidR="005B789E">
        <w:t>20</w:t>
      </w:r>
      <w:r w:rsidR="005B789E" w:rsidRPr="00A71198">
        <w:t xml:space="preserve"> de los subíndices que integran al INPC según la </w:t>
      </w:r>
      <w:r>
        <w:t>C</w:t>
      </w:r>
      <w:r w:rsidR="005B789E" w:rsidRPr="00A71198">
        <w:t xml:space="preserve">lasificación del </w:t>
      </w:r>
      <w:r>
        <w:t>C</w:t>
      </w:r>
      <w:r w:rsidR="005B789E" w:rsidRPr="00A71198">
        <w:t xml:space="preserve">onsumo </w:t>
      </w:r>
      <w:r>
        <w:t>I</w:t>
      </w:r>
      <w:r w:rsidR="005B789E" w:rsidRPr="00A71198">
        <w:t xml:space="preserve">ndividual por </w:t>
      </w:r>
      <w:r>
        <w:t>F</w:t>
      </w:r>
      <w:r w:rsidR="005B789E" w:rsidRPr="00A71198">
        <w:t>inalidades (CCIF), utilizada internacionalmente para los índices de precios al consumidor</w:t>
      </w:r>
      <w:r w:rsidR="005B789E" w:rsidRPr="004B6AA6">
        <w:rPr>
          <w:vertAlign w:val="superscript"/>
        </w:rPr>
        <w:footnoteReference w:id="2"/>
      </w:r>
      <w:r w:rsidR="005B789E" w:rsidRPr="00A71198">
        <w:t>, se presenta a continuación:</w:t>
      </w:r>
    </w:p>
    <w:p w14:paraId="03C75931" w14:textId="69CD95E6" w:rsidR="006A3411" w:rsidRPr="00DD1B57" w:rsidRDefault="006A3411" w:rsidP="000C305A">
      <w:pPr>
        <w:pStyle w:val="n01"/>
        <w:keepLines w:val="0"/>
        <w:autoSpaceDE w:val="0"/>
        <w:autoSpaceDN w:val="0"/>
        <w:adjustRightInd w:val="0"/>
        <w:ind w:left="0" w:firstLine="0"/>
        <w:jc w:val="center"/>
        <w:rPr>
          <w:rFonts w:ascii="Arial" w:hAnsi="Arial"/>
          <w:b/>
          <w:bCs/>
          <w:smallCaps/>
          <w:color w:val="000000"/>
          <w:spacing w:val="1"/>
          <w:sz w:val="22"/>
          <w:szCs w:val="22"/>
        </w:rPr>
      </w:pPr>
      <w:r w:rsidRPr="00DD1B57">
        <w:rPr>
          <w:rFonts w:ascii="Arial" w:hAnsi="Arial"/>
          <w:b/>
          <w:bCs/>
          <w:smallCaps/>
          <w:color w:val="000000"/>
          <w:spacing w:val="1"/>
          <w:sz w:val="22"/>
          <w:szCs w:val="22"/>
        </w:rPr>
        <w:t>Índice Nacional de Precios al Consumidor</w:t>
      </w:r>
    </w:p>
    <w:p w14:paraId="11B54F0C" w14:textId="77777777" w:rsidR="006A3411" w:rsidRPr="00A71198" w:rsidRDefault="006A3411" w:rsidP="000C305A">
      <w:pPr>
        <w:tabs>
          <w:tab w:val="left" w:pos="1220"/>
        </w:tabs>
        <w:autoSpaceDE w:val="0"/>
        <w:autoSpaceDN w:val="0"/>
        <w:adjustRightInd w:val="0"/>
        <w:jc w:val="center"/>
        <w:rPr>
          <w:b/>
          <w:bCs/>
          <w:smallCaps/>
          <w:color w:val="000000"/>
          <w:spacing w:val="1"/>
        </w:rPr>
      </w:pPr>
      <w:r w:rsidRPr="00DD1B57">
        <w:rPr>
          <w:b/>
          <w:bCs/>
          <w:smallCaps/>
          <w:color w:val="000000"/>
          <w:spacing w:val="1"/>
          <w:sz w:val="22"/>
          <w:szCs w:val="22"/>
        </w:rPr>
        <w:t>Clasificación del consumo individual por finalidades</w:t>
      </w:r>
    </w:p>
    <w:p w14:paraId="73A63335" w14:textId="77777777" w:rsidR="006A3411" w:rsidRPr="00DD1B57" w:rsidRDefault="006A3411" w:rsidP="000C305A">
      <w:pPr>
        <w:tabs>
          <w:tab w:val="left" w:pos="1220"/>
        </w:tabs>
        <w:autoSpaceDE w:val="0"/>
        <w:autoSpaceDN w:val="0"/>
        <w:adjustRightInd w:val="0"/>
        <w:jc w:val="center"/>
        <w:rPr>
          <w:bCs/>
          <w:color w:val="000000"/>
          <w:spacing w:val="1"/>
          <w:sz w:val="18"/>
          <w:szCs w:val="18"/>
        </w:rPr>
      </w:pPr>
      <w:r w:rsidRPr="00DD1B57">
        <w:rPr>
          <w:bCs/>
          <w:color w:val="000000"/>
          <w:spacing w:val="1"/>
          <w:sz w:val="18"/>
          <w:szCs w:val="18"/>
        </w:rPr>
        <w:t>Variación porcentual</w:t>
      </w:r>
    </w:p>
    <w:p w14:paraId="4A076CC4" w14:textId="75D3B476" w:rsidR="006A3411" w:rsidRPr="00A71198" w:rsidRDefault="00316C5F" w:rsidP="000C305A">
      <w:pPr>
        <w:pStyle w:val="Prrafodelista"/>
        <w:autoSpaceDE w:val="0"/>
        <w:autoSpaceDN w:val="0"/>
        <w:adjustRightInd w:val="0"/>
        <w:ind w:hanging="708"/>
        <w:jc w:val="center"/>
      </w:pPr>
      <w:r w:rsidRPr="00316C5F">
        <w:rPr>
          <w:noProof/>
        </w:rPr>
        <w:drawing>
          <wp:inline distT="0" distB="0" distL="0" distR="0" wp14:anchorId="47CB2E63" wp14:editId="0A3C34F3">
            <wp:extent cx="5972810" cy="2548295"/>
            <wp:effectExtent l="0" t="0" r="8890"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548295"/>
                    </a:xfrm>
                    <a:prstGeom prst="rect">
                      <a:avLst/>
                    </a:prstGeom>
                    <a:noFill/>
                    <a:ln>
                      <a:noFill/>
                    </a:ln>
                  </pic:spPr>
                </pic:pic>
              </a:graphicData>
            </a:graphic>
          </wp:inline>
        </w:drawing>
      </w:r>
    </w:p>
    <w:p w14:paraId="19E4866E" w14:textId="77777777" w:rsidR="006A3411" w:rsidRPr="00A71198" w:rsidRDefault="006A3411" w:rsidP="000C305A">
      <w:pPr>
        <w:autoSpaceDE w:val="0"/>
        <w:autoSpaceDN w:val="0"/>
        <w:adjustRightInd w:val="0"/>
        <w:ind w:left="283" w:right="113" w:hanging="170"/>
        <w:rPr>
          <w:color w:val="006600"/>
          <w:sz w:val="16"/>
          <w:szCs w:val="16"/>
        </w:rPr>
      </w:pPr>
      <w:r w:rsidRPr="00A71198">
        <w:rPr>
          <w:color w:val="006600"/>
          <w:sz w:val="16"/>
          <w:szCs w:val="16"/>
          <w:vertAlign w:val="superscript"/>
        </w:rPr>
        <w:t>1/</w:t>
      </w:r>
      <w:r w:rsidRPr="00A71198">
        <w:rPr>
          <w:color w:val="006600"/>
          <w:sz w:val="16"/>
          <w:szCs w:val="16"/>
          <w:vertAlign w:val="superscript"/>
        </w:rPr>
        <w:tab/>
      </w:r>
      <w:r w:rsidRPr="00A71198">
        <w:rPr>
          <w:color w:val="006600"/>
          <w:sz w:val="16"/>
          <w:szCs w:val="16"/>
        </w:rPr>
        <w:t>Incluye productos y servicios de cuidado personal, relojes, maletas, seguro de automóvil, servicios funerarios y profesionales, entre otros.</w:t>
      </w:r>
    </w:p>
    <w:p w14:paraId="4EA28825" w14:textId="11AA48E3" w:rsidR="006A3411" w:rsidRPr="00A71198" w:rsidRDefault="006A3411" w:rsidP="003354CA">
      <w:pPr>
        <w:keepNext/>
        <w:keepLines/>
        <w:widowControl w:val="0"/>
        <w:autoSpaceDE w:val="0"/>
        <w:autoSpaceDN w:val="0"/>
        <w:adjustRightInd w:val="0"/>
        <w:spacing w:before="240"/>
      </w:pPr>
      <w:r>
        <w:lastRenderedPageBreak/>
        <w:t>En la primera quincena de febrero</w:t>
      </w:r>
      <w:r w:rsidR="008F75CD">
        <w:t xml:space="preserve"> de</w:t>
      </w:r>
      <w:r w:rsidR="006B0BF0">
        <w:t>l</w:t>
      </w:r>
      <w:r w:rsidR="008F75CD">
        <w:t xml:space="preserve"> presente año</w:t>
      </w:r>
      <w:r>
        <w:t xml:space="preserve"> el INPC registró un</w:t>
      </w:r>
      <w:r w:rsidR="008F75CD">
        <w:t xml:space="preserve"> </w:t>
      </w:r>
      <w:r>
        <w:t>a</w:t>
      </w:r>
      <w:r w:rsidR="008F75CD">
        <w:t>lza</w:t>
      </w:r>
      <w:r>
        <w:t xml:space="preserve"> de 0.12 por ciento, como resultado de</w:t>
      </w:r>
      <w:r w:rsidR="008F75CD">
        <w:t xml:space="preserve"> </w:t>
      </w:r>
      <w:r>
        <w:t>l</w:t>
      </w:r>
      <w:r w:rsidR="008F75CD">
        <w:t>os</w:t>
      </w:r>
      <w:r>
        <w:t xml:space="preserve"> índice</w:t>
      </w:r>
      <w:r w:rsidR="008F75CD">
        <w:t>s</w:t>
      </w:r>
      <w:r>
        <w:t xml:space="preserve"> en la primera quincena de febrero de 2020 de 106.636 y de 106.506 en la quincena inmediata anterior</w:t>
      </w:r>
      <w:r w:rsidRPr="00A71198">
        <w:t>.</w:t>
      </w:r>
    </w:p>
    <w:p w14:paraId="5F5197C5" w14:textId="14B61AA6" w:rsidR="00DD1B57" w:rsidRDefault="006A3411" w:rsidP="003354CA">
      <w:pPr>
        <w:keepNext/>
        <w:keepLines/>
        <w:widowControl w:val="0"/>
        <w:autoSpaceDE w:val="0"/>
        <w:autoSpaceDN w:val="0"/>
        <w:adjustRightInd w:val="0"/>
        <w:spacing w:before="240"/>
      </w:pPr>
      <w:r w:rsidRPr="00A71198">
        <w:t>El índice de precios de la canasta básic</w:t>
      </w:r>
      <w:r w:rsidRPr="00055C5D">
        <w:t>a</w:t>
      </w:r>
      <w:r w:rsidRPr="00055C5D">
        <w:rPr>
          <w:rStyle w:val="Refdenotaalpie"/>
        </w:rPr>
        <w:footnoteReference w:id="3"/>
      </w:r>
      <w:r>
        <w:t xml:space="preserve"> tuvo</w:t>
      </w:r>
      <w:r w:rsidRPr="00A71198">
        <w:t xml:space="preserve"> un</w:t>
      </w:r>
      <w:r w:rsidR="008F75CD">
        <w:t xml:space="preserve"> incremento </w:t>
      </w:r>
      <w:r w:rsidRPr="00A71198">
        <w:t xml:space="preserve">de </w:t>
      </w:r>
      <w:r>
        <w:t>0.04</w:t>
      </w:r>
      <w:r w:rsidRPr="00A71198">
        <w:t xml:space="preserve"> por ciento</w:t>
      </w:r>
      <w:r w:rsidR="008F75CD">
        <w:t xml:space="preserve"> quincenal</w:t>
      </w:r>
      <w:r w:rsidRPr="00A71198">
        <w:t xml:space="preserve">, así como una tasa anual de </w:t>
      </w:r>
      <w:r>
        <w:t>3.05</w:t>
      </w:r>
      <w:r w:rsidRPr="00A71198">
        <w:t xml:space="preserve"> por ciento. En la misma quincena de 201</w:t>
      </w:r>
      <w:r>
        <w:t>9</w:t>
      </w:r>
      <w:r w:rsidRPr="00A71198">
        <w:t xml:space="preserve"> las variaciones fueron de </w:t>
      </w:r>
      <w:r>
        <w:t>0.25</w:t>
      </w:r>
      <w:r w:rsidRPr="00A71198">
        <w:t xml:space="preserve"> y </w:t>
      </w:r>
      <w:r w:rsidR="008F75CD">
        <w:t xml:space="preserve">de </w:t>
      </w:r>
      <w:r>
        <w:t>3.56</w:t>
      </w:r>
      <w:r w:rsidRPr="00A71198">
        <w:t xml:space="preserve"> por ciento</w:t>
      </w:r>
      <w:r w:rsidR="008F75CD">
        <w:t>,</w:t>
      </w:r>
      <w:r w:rsidRPr="00A71198">
        <w:t xml:space="preserve"> respectivamente.</w:t>
      </w:r>
      <w:bookmarkStart w:id="2" w:name="_Hlk33002076"/>
    </w:p>
    <w:p w14:paraId="5F955728" w14:textId="583858E6" w:rsidR="006A3411" w:rsidRPr="00672E8B" w:rsidRDefault="006A3411" w:rsidP="00DD1B57">
      <w:pPr>
        <w:widowControl w:val="0"/>
        <w:autoSpaceDE w:val="0"/>
        <w:autoSpaceDN w:val="0"/>
        <w:adjustRightInd w:val="0"/>
        <w:spacing w:before="480"/>
        <w:rPr>
          <w:i/>
          <w:lang w:val="es-MX"/>
        </w:rPr>
      </w:pPr>
      <w:r w:rsidRPr="00672E8B">
        <w:rPr>
          <w:b/>
          <w:i/>
        </w:rPr>
        <w:t xml:space="preserve">Nota metodológica </w:t>
      </w:r>
    </w:p>
    <w:p w14:paraId="7F3D705F" w14:textId="77777777" w:rsidR="006A3411" w:rsidRPr="00A16DEB" w:rsidRDefault="006A3411" w:rsidP="008F75CD">
      <w:pPr>
        <w:pStyle w:val="Prrafodelista"/>
        <w:autoSpaceDE w:val="0"/>
        <w:autoSpaceDN w:val="0"/>
        <w:adjustRightInd w:val="0"/>
        <w:spacing w:before="240"/>
        <w:ind w:left="0"/>
        <w:rPr>
          <w:lang w:val="es-MX"/>
        </w:rPr>
      </w:pPr>
      <w:r w:rsidRPr="00A16DEB">
        <w:rPr>
          <w:lang w:val="es-MX"/>
        </w:rPr>
        <w:t>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para la sociedad en su conjunto. La tasa de crecimiento del INPC de un periodo a otro permite medir el fenómeno económico conocido como inflación.</w:t>
      </w:r>
    </w:p>
    <w:p w14:paraId="730CDA5B" w14:textId="77777777" w:rsidR="006A3411" w:rsidRPr="00A16DEB" w:rsidRDefault="006A3411" w:rsidP="006A3411">
      <w:pPr>
        <w:pStyle w:val="Texto"/>
        <w:autoSpaceDE w:val="0"/>
        <w:autoSpaceDN w:val="0"/>
        <w:adjustRightInd w:val="0"/>
        <w:spacing w:before="240" w:after="0" w:line="240" w:lineRule="auto"/>
        <w:ind w:firstLine="0"/>
        <w:rPr>
          <w:sz w:val="24"/>
          <w:szCs w:val="24"/>
          <w:lang w:val="es-MX"/>
        </w:rPr>
      </w:pPr>
      <w:r w:rsidRPr="00A16DEB">
        <w:rPr>
          <w:sz w:val="24"/>
          <w:szCs w:val="24"/>
          <w:lang w:val="es-MX"/>
        </w:rPr>
        <w:t>Las características metodológicas del INPC son:</w:t>
      </w:r>
    </w:p>
    <w:p w14:paraId="4F21B9F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7777777"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11B8C527" w14:textId="121B6DCB"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8F75CD">
      <w:pPr>
        <w:pStyle w:val="Texto"/>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4"/>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77777777"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0.01%. </w:t>
      </w:r>
      <w:r w:rsidRPr="00A16DEB">
        <w:rPr>
          <w:color w:val="000000" w:themeColor="text1"/>
          <w:sz w:val="24"/>
          <w:szCs w:val="24"/>
          <w:lang w:val="es-ES_tradnl"/>
        </w:rPr>
        <w:t xml:space="preserve">La estructura de las ponderaciones se construyó con información de la </w:t>
      </w:r>
      <w:r w:rsidRPr="00A16DEB">
        <w:rPr>
          <w:color w:val="000000" w:themeColor="text1"/>
          <w:sz w:val="24"/>
          <w:szCs w:val="24"/>
          <w:lang w:val="es-ES_tradnl"/>
        </w:rPr>
        <w:lastRenderedPageBreak/>
        <w:t>Engasto 2012 y 2013 y la ENIGH 2014. El alcance de los ponderadores es de los hogares a nivel nacional.</w:t>
      </w:r>
    </w:p>
    <w:p w14:paraId="5A1B5679"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En este último caso se consideran los genéricos cuyas tarifas son autorizadas o reguladas por el gobierno, solo existe uno 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18A3A990"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Entidades Federativas del país. Se cotizan en promedio 159 mil 500 precios quincenalmente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durante la quincena que se reporta;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Se calcula </w:t>
      </w:r>
      <w:r w:rsidRPr="00A16DEB">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67725E2B" w14:textId="77777777" w:rsidR="00636E0F" w:rsidRDefault="00636E0F">
      <w:pPr>
        <w:jc w:val="left"/>
        <w:rPr>
          <w:b/>
          <w:i/>
          <w:highlight w:val="yellow"/>
        </w:rPr>
      </w:pPr>
      <w:r>
        <w:rPr>
          <w:b/>
          <w:i/>
          <w:highlight w:val="yellow"/>
        </w:rPr>
        <w:br w:type="page"/>
      </w:r>
    </w:p>
    <w:p w14:paraId="5D487365" w14:textId="13135361" w:rsidR="006A3411" w:rsidRPr="00636E0F" w:rsidRDefault="006A3411" w:rsidP="008F75CD">
      <w:pPr>
        <w:widowControl w:val="0"/>
        <w:autoSpaceDE w:val="0"/>
        <w:autoSpaceDN w:val="0"/>
        <w:adjustRightInd w:val="0"/>
        <w:spacing w:before="480"/>
        <w:rPr>
          <w:b/>
          <w:i/>
        </w:rPr>
      </w:pPr>
      <w:r w:rsidRPr="00636E0F">
        <w:rPr>
          <w:b/>
          <w:i/>
        </w:rPr>
        <w:lastRenderedPageBreak/>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4" w:anchor="Herramientas" w:history="1">
        <w:r w:rsidRPr="00636E0F">
          <w:rPr>
            <w:rStyle w:val="Hipervnculo"/>
            <w:sz w:val="24"/>
            <w:szCs w:val="24"/>
          </w:rPr>
          <w:t>https://www.inegi.org.mx/programas/inpc/2018/default.html#Herramientas</w:t>
        </w:r>
      </w:hyperlink>
    </w:p>
    <w:p w14:paraId="1A47079E" w14:textId="346E22F2"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5BC67EA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Pr="00636E0F">
        <w:rPr>
          <w:sz w:val="24"/>
          <w:szCs w:val="24"/>
        </w:rPr>
        <w:t>Presenta en forma dinámica las variaciones anualizadas de los precios por ciudad, entidad y región, así como la participación o peso que tienen estos en el INPC.</w:t>
      </w:r>
    </w:p>
    <w:p w14:paraId="1F4877ED" w14:textId="1476FD7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uno de los productos específicos utilizados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0383E67A" w:rsidR="00636E0F" w:rsidRPr="00F93FB2" w:rsidRDefault="00636E0F" w:rsidP="00636E0F">
      <w:pPr>
        <w:pStyle w:val="Texto"/>
        <w:autoSpaceDE w:val="0"/>
        <w:autoSpaceDN w:val="0"/>
        <w:adjustRightInd w:val="0"/>
        <w:spacing w:before="240" w:after="0" w:line="240" w:lineRule="auto"/>
        <w:ind w:firstLine="0"/>
        <w:rPr>
          <w:sz w:val="24"/>
          <w:szCs w:val="24"/>
        </w:rPr>
      </w:pPr>
      <w:r w:rsidRPr="00A16DEB">
        <w:rPr>
          <w:sz w:val="24"/>
          <w:szCs w:val="24"/>
          <w:lang w:val="es-ES_tradnl"/>
        </w:rPr>
        <w:t>Para mayor detalle del diseño conceptual y metodológico del INPC consultar la página en Internet del INEGI:</w:t>
      </w:r>
      <w:r w:rsidRPr="00A16DEB">
        <w:rPr>
          <w:sz w:val="24"/>
          <w:szCs w:val="24"/>
        </w:rPr>
        <w:t xml:space="preserve"> </w:t>
      </w:r>
      <w:hyperlink r:id="rId35"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p>
    <w:p w14:paraId="3A872C33" w14:textId="77777777" w:rsidR="006A3411" w:rsidRPr="00A71198" w:rsidRDefault="006A3411" w:rsidP="008F75CD">
      <w:pPr>
        <w:pStyle w:val="Texto"/>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EC20234" wp14:editId="43DB3A17">
            <wp:extent cx="4686646" cy="1692000"/>
            <wp:effectExtent l="38100" t="0" r="38100" b="419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bookmarkEnd w:id="2"/>
    </w:p>
    <w:sectPr w:rsidR="006A3411" w:rsidRPr="00A71198" w:rsidSect="00B940B6">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3006" w14:textId="77777777" w:rsidR="002D791B" w:rsidRDefault="002D791B">
      <w:r>
        <w:separator/>
      </w:r>
    </w:p>
  </w:endnote>
  <w:endnote w:type="continuationSeparator" w:id="0">
    <w:p w14:paraId="4B097AC3" w14:textId="77777777" w:rsidR="002D791B" w:rsidRDefault="002D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E1E8" w14:textId="77777777" w:rsidR="00242C51" w:rsidRDefault="00242C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AAAD" w14:textId="77777777" w:rsidR="007D5AFB" w:rsidRPr="00BB245B" w:rsidRDefault="007D5AFB" w:rsidP="00614EF2">
    <w:pPr>
      <w:pStyle w:val="Piedepgina"/>
      <w:contextualSpacing/>
      <w:jc w:val="center"/>
      <w:rPr>
        <w:color w:val="002060"/>
        <w:sz w:val="18"/>
        <w:szCs w:val="18"/>
      </w:rPr>
    </w:pPr>
    <w:r w:rsidRPr="00BB245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D0FA" w14:textId="77777777" w:rsidR="00242C51" w:rsidRDefault="00242C5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17A"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6CF7" w14:textId="77777777" w:rsidR="002D791B" w:rsidRDefault="002D791B">
      <w:r>
        <w:separator/>
      </w:r>
    </w:p>
  </w:footnote>
  <w:footnote w:type="continuationSeparator" w:id="0">
    <w:p w14:paraId="4C148791" w14:textId="77777777" w:rsidR="002D791B" w:rsidRDefault="002D791B">
      <w:r>
        <w:continuationSeparator/>
      </w:r>
    </w:p>
  </w:footnote>
  <w:footnote w:id="1">
    <w:p w14:paraId="7F1B59B3" w14:textId="77777777" w:rsidR="007D5AFB" w:rsidRDefault="007D5AFB" w:rsidP="005A3F4C">
      <w:pPr>
        <w:pStyle w:val="Textonotapie"/>
        <w:ind w:left="170" w:right="255" w:hanging="170"/>
        <w:rPr>
          <w:sz w:val="16"/>
          <w:szCs w:val="16"/>
        </w:rPr>
      </w:pPr>
      <w:r>
        <w:rPr>
          <w:rStyle w:val="Refdenotaalpie"/>
        </w:rPr>
        <w:footnoteRef/>
      </w:r>
      <w:r w:rsidRPr="00866182">
        <w:rPr>
          <w:color w:val="000000" w:themeColor="text1"/>
          <w:sz w:val="16"/>
          <w:szCs w:val="16"/>
        </w:rPr>
        <w:tab/>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 xml:space="preserve">rdenes de </w:t>
      </w:r>
      <w:r w:rsidRPr="00EE3404">
        <w:rPr>
          <w:sz w:val="16"/>
          <w:szCs w:val="16"/>
        </w:rPr>
        <w:t>gobierno.</w:t>
      </w:r>
    </w:p>
    <w:p w14:paraId="574D13B3" w14:textId="77777777" w:rsidR="007D5AFB" w:rsidRDefault="007D5AFB" w:rsidP="007D5AFB">
      <w:pPr>
        <w:pStyle w:val="Textonotapie"/>
        <w:ind w:left="170" w:right="397" w:hanging="170"/>
        <w:rPr>
          <w:sz w:val="16"/>
          <w:szCs w:val="16"/>
        </w:rPr>
      </w:pPr>
    </w:p>
    <w:p w14:paraId="42F9949E" w14:textId="77777777" w:rsidR="007D5AFB" w:rsidRPr="00EE3404" w:rsidRDefault="007D5AFB" w:rsidP="007D5AFB">
      <w:pPr>
        <w:pStyle w:val="Textonotapie"/>
        <w:ind w:left="170" w:hanging="170"/>
        <w:rPr>
          <w:sz w:val="16"/>
          <w:szCs w:val="16"/>
        </w:rPr>
      </w:pPr>
    </w:p>
  </w:footnote>
  <w:footnote w:id="2">
    <w:p w14:paraId="4737A43B" w14:textId="77777777" w:rsidR="005B789E" w:rsidRPr="00CA39BA" w:rsidRDefault="005B789E" w:rsidP="005B789E">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pagina 26. OIT, FMI, OCDE, Eurostat, UNECE, Banco Mundial.</w:t>
      </w:r>
    </w:p>
  </w:footnote>
  <w:footnote w:id="3">
    <w:p w14:paraId="4206B82A" w14:textId="20CE8422" w:rsidR="006A3411" w:rsidRPr="008F75CD" w:rsidRDefault="006A3411" w:rsidP="00DD1B57">
      <w:pPr>
        <w:pStyle w:val="Textonotapie"/>
        <w:ind w:left="170" w:hanging="170"/>
        <w:rPr>
          <w:sz w:val="16"/>
          <w:szCs w:val="18"/>
        </w:rPr>
      </w:pPr>
      <w:r w:rsidRPr="00166951">
        <w:rPr>
          <w:rStyle w:val="Refdenotaalpie"/>
          <w:sz w:val="18"/>
          <w:szCs w:val="16"/>
        </w:rPr>
        <w:footnoteRef/>
      </w:r>
      <w:r w:rsidR="008F75CD">
        <w:rPr>
          <w:sz w:val="18"/>
        </w:rPr>
        <w:tab/>
      </w:r>
      <w:r w:rsidRPr="00DD1B57">
        <w:rPr>
          <w:sz w:val="16"/>
          <w:szCs w:val="16"/>
        </w:rPr>
        <w:t>Los componentes de la canasta básica se detallan en el documento metodológico</w:t>
      </w:r>
      <w:r w:rsidRPr="00DD1B57">
        <w:rPr>
          <w:rStyle w:val="Refdenotaalpie"/>
          <w:sz w:val="18"/>
        </w:rPr>
        <w:t>.</w:t>
      </w:r>
    </w:p>
  </w:footnote>
  <w:footnote w:id="4">
    <w:p w14:paraId="16D3FA1A" w14:textId="4C504350" w:rsidR="006A3411" w:rsidRPr="006301B8" w:rsidRDefault="006A3411" w:rsidP="00DD1B57">
      <w:pPr>
        <w:pStyle w:val="Textonotapie"/>
        <w:ind w:left="142" w:hanging="142"/>
      </w:pPr>
      <w:r w:rsidRPr="008F75CD">
        <w:rPr>
          <w:rStyle w:val="Refdenotaalpie"/>
          <w:sz w:val="18"/>
          <w:szCs w:val="18"/>
        </w:rPr>
        <w:footnoteRef/>
      </w:r>
      <w:r w:rsidR="008F75CD">
        <w:tab/>
      </w:r>
      <w:r w:rsidRPr="006301B8">
        <w:rPr>
          <w:sz w:val="16"/>
          <w:szCs w:val="16"/>
        </w:rPr>
        <w:t xml:space="preserve">Producto Genérico.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5FE8" w14:textId="77777777" w:rsidR="00242C51" w:rsidRDefault="00242C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3C06" w14:textId="4F13AB20" w:rsidR="007D5AFB" w:rsidRPr="00265B8C" w:rsidRDefault="007D5AFB" w:rsidP="00242C51">
    <w:pPr>
      <w:pStyle w:val="Encabezado"/>
      <w:framePr w:w="5364" w:hSpace="141" w:wrap="auto" w:vAnchor="text" w:hAnchor="page" w:x="5742" w:y="34"/>
      <w:ind w:left="567" w:hanging="11"/>
      <w:jc w:val="right"/>
      <w:rPr>
        <w:b/>
        <w:color w:val="002060"/>
      </w:rPr>
    </w:pPr>
    <w:bookmarkStart w:id="1" w:name="_GoBack"/>
    <w:r w:rsidRPr="00265B8C">
      <w:rPr>
        <w:b/>
        <w:color w:val="002060"/>
      </w:rPr>
      <w:t xml:space="preserve">COMUNICADO DE PRENSA NÚM. </w:t>
    </w:r>
    <w:r w:rsidR="00242C51">
      <w:rPr>
        <w:b/>
        <w:color w:val="002060"/>
      </w:rPr>
      <w:t>108</w:t>
    </w:r>
    <w:r w:rsidRPr="00265B8C">
      <w:rPr>
        <w:b/>
        <w:color w:val="002060"/>
      </w:rPr>
      <w:t>/</w:t>
    </w:r>
    <w:r>
      <w:rPr>
        <w:b/>
        <w:color w:val="002060"/>
      </w:rPr>
      <w:t>20</w:t>
    </w:r>
  </w:p>
  <w:p w14:paraId="2556AF16" w14:textId="77777777" w:rsidR="007D5AFB" w:rsidRPr="00265B8C" w:rsidRDefault="007D5AFB" w:rsidP="00242C51">
    <w:pPr>
      <w:pStyle w:val="Encabezado"/>
      <w:framePr w:w="5364" w:hSpace="141" w:wrap="auto" w:vAnchor="text" w:hAnchor="page" w:x="5742" w:y="34"/>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FEBRERO D</w:t>
    </w:r>
    <w:r w:rsidRPr="00265B8C">
      <w:rPr>
        <w:b/>
        <w:color w:val="002060"/>
        <w:lang w:val="pt-BR"/>
      </w:rPr>
      <w:t>E 20</w:t>
    </w:r>
    <w:r>
      <w:rPr>
        <w:b/>
        <w:color w:val="002060"/>
        <w:lang w:val="pt-BR"/>
      </w:rPr>
      <w:t>20</w:t>
    </w:r>
  </w:p>
  <w:p w14:paraId="0987B10B" w14:textId="77777777" w:rsidR="007D5AFB" w:rsidRPr="00265B8C" w:rsidRDefault="007D5AFB" w:rsidP="00242C51">
    <w:pPr>
      <w:pStyle w:val="Encabezado"/>
      <w:framePr w:w="5364" w:hSpace="141" w:wrap="auto" w:vAnchor="text" w:hAnchor="page" w:x="5742"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1"/>
  <w:p w14:paraId="359FA280" w14:textId="77777777" w:rsidR="007D5AFB" w:rsidRDefault="007D5AFB" w:rsidP="00614EF2">
    <w:pPr>
      <w:pStyle w:val="Encabezado"/>
      <w:ind w:left="-993"/>
    </w:pPr>
    <w:r>
      <w:rPr>
        <w:noProof/>
      </w:rPr>
      <w:drawing>
        <wp:inline distT="0" distB="0" distL="0" distR="0" wp14:anchorId="27F94FEE" wp14:editId="227C14FC">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5F7C" w14:textId="77777777" w:rsidR="00242C51" w:rsidRDefault="00242C5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9622" w14:textId="19710B97" w:rsidR="00BC75C4" w:rsidRDefault="00B940B6" w:rsidP="007D5AFB">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1"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5"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2"/>
  </w:num>
  <w:num w:numId="6">
    <w:abstractNumId w:val="4"/>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4"/>
  </w:num>
  <w:num w:numId="12">
    <w:abstractNumId w:val="26"/>
  </w:num>
  <w:num w:numId="13">
    <w:abstractNumId w:val="27"/>
  </w:num>
  <w:num w:numId="14">
    <w:abstractNumId w:val="16"/>
  </w:num>
  <w:num w:numId="15">
    <w:abstractNumId w:val="13"/>
  </w:num>
  <w:num w:numId="16">
    <w:abstractNumId w:val="21"/>
  </w:num>
  <w:num w:numId="17">
    <w:abstractNumId w:val="15"/>
  </w:num>
  <w:num w:numId="18">
    <w:abstractNumId w:val="20"/>
  </w:num>
  <w:num w:numId="19">
    <w:abstractNumId w:val="8"/>
  </w:num>
  <w:num w:numId="20">
    <w:abstractNumId w:val="0"/>
  </w:num>
  <w:num w:numId="21">
    <w:abstractNumId w:val="14"/>
  </w:num>
  <w:num w:numId="22">
    <w:abstractNumId w:val="3"/>
  </w:num>
  <w:num w:numId="23">
    <w:abstractNumId w:val="18"/>
  </w:num>
  <w:num w:numId="24">
    <w:abstractNumId w:val="17"/>
  </w:num>
  <w:num w:numId="25">
    <w:abstractNumId w:val="22"/>
  </w:num>
  <w:num w:numId="26">
    <w:abstractNumId w:val="25"/>
  </w:num>
  <w:num w:numId="27">
    <w:abstractNumId w:val="11"/>
  </w:num>
  <w:num w:numId="28">
    <w:abstractNumId w:val="10"/>
  </w:num>
  <w:num w:numId="29">
    <w:abstractNumId w:val="2"/>
  </w:num>
  <w:num w:numId="30">
    <w:abstractNumId w:val="5"/>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C25"/>
    <w:rsid w:val="00003C68"/>
    <w:rsid w:val="00004291"/>
    <w:rsid w:val="000042CB"/>
    <w:rsid w:val="0000458A"/>
    <w:rsid w:val="000050C6"/>
    <w:rsid w:val="0000594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137"/>
    <w:rsid w:val="00015302"/>
    <w:rsid w:val="00016590"/>
    <w:rsid w:val="00016B4E"/>
    <w:rsid w:val="00016D3A"/>
    <w:rsid w:val="0001718D"/>
    <w:rsid w:val="000176AC"/>
    <w:rsid w:val="00021432"/>
    <w:rsid w:val="00021492"/>
    <w:rsid w:val="000216A3"/>
    <w:rsid w:val="000228C4"/>
    <w:rsid w:val="00022C2F"/>
    <w:rsid w:val="00022CA3"/>
    <w:rsid w:val="000260EE"/>
    <w:rsid w:val="00026B3C"/>
    <w:rsid w:val="00026B52"/>
    <w:rsid w:val="00026F8D"/>
    <w:rsid w:val="00027D1F"/>
    <w:rsid w:val="00030480"/>
    <w:rsid w:val="0003065F"/>
    <w:rsid w:val="000308BA"/>
    <w:rsid w:val="00030D10"/>
    <w:rsid w:val="00031231"/>
    <w:rsid w:val="000314D3"/>
    <w:rsid w:val="00031BCF"/>
    <w:rsid w:val="00031CEA"/>
    <w:rsid w:val="00032714"/>
    <w:rsid w:val="00032B16"/>
    <w:rsid w:val="00033603"/>
    <w:rsid w:val="00033A14"/>
    <w:rsid w:val="0003447A"/>
    <w:rsid w:val="00034BC3"/>
    <w:rsid w:val="000353F3"/>
    <w:rsid w:val="00035600"/>
    <w:rsid w:val="00035B2D"/>
    <w:rsid w:val="00035DA7"/>
    <w:rsid w:val="00036196"/>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7012A"/>
    <w:rsid w:val="0007017F"/>
    <w:rsid w:val="00070431"/>
    <w:rsid w:val="000707FF"/>
    <w:rsid w:val="00070864"/>
    <w:rsid w:val="0007145A"/>
    <w:rsid w:val="00071F0D"/>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756B"/>
    <w:rsid w:val="00087DB7"/>
    <w:rsid w:val="0009025D"/>
    <w:rsid w:val="00090B52"/>
    <w:rsid w:val="00090B9C"/>
    <w:rsid w:val="00090D7B"/>
    <w:rsid w:val="00091474"/>
    <w:rsid w:val="000915F7"/>
    <w:rsid w:val="00091EEF"/>
    <w:rsid w:val="00092764"/>
    <w:rsid w:val="0009292F"/>
    <w:rsid w:val="00092F4C"/>
    <w:rsid w:val="00094496"/>
    <w:rsid w:val="000950E7"/>
    <w:rsid w:val="00095360"/>
    <w:rsid w:val="000955AA"/>
    <w:rsid w:val="000957BC"/>
    <w:rsid w:val="00095A6A"/>
    <w:rsid w:val="00096737"/>
    <w:rsid w:val="00097C0A"/>
    <w:rsid w:val="000A0344"/>
    <w:rsid w:val="000A0823"/>
    <w:rsid w:val="000A1F9D"/>
    <w:rsid w:val="000A21D6"/>
    <w:rsid w:val="000A260D"/>
    <w:rsid w:val="000A2F4F"/>
    <w:rsid w:val="000A31EF"/>
    <w:rsid w:val="000A3354"/>
    <w:rsid w:val="000A3733"/>
    <w:rsid w:val="000A43B0"/>
    <w:rsid w:val="000A4FEA"/>
    <w:rsid w:val="000A53E6"/>
    <w:rsid w:val="000A5727"/>
    <w:rsid w:val="000A574B"/>
    <w:rsid w:val="000A5B04"/>
    <w:rsid w:val="000A5E2A"/>
    <w:rsid w:val="000A643B"/>
    <w:rsid w:val="000A707A"/>
    <w:rsid w:val="000A78BA"/>
    <w:rsid w:val="000B0710"/>
    <w:rsid w:val="000B0E46"/>
    <w:rsid w:val="000B1C11"/>
    <w:rsid w:val="000B1D13"/>
    <w:rsid w:val="000B23E5"/>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000"/>
    <w:rsid w:val="000D5176"/>
    <w:rsid w:val="000D5EDB"/>
    <w:rsid w:val="000D6C0F"/>
    <w:rsid w:val="000D6F1E"/>
    <w:rsid w:val="000D7A95"/>
    <w:rsid w:val="000D7BBD"/>
    <w:rsid w:val="000E039A"/>
    <w:rsid w:val="000E03C0"/>
    <w:rsid w:val="000E0654"/>
    <w:rsid w:val="000E19B3"/>
    <w:rsid w:val="000E28E2"/>
    <w:rsid w:val="000E2970"/>
    <w:rsid w:val="000E369A"/>
    <w:rsid w:val="000E3CC1"/>
    <w:rsid w:val="000E5331"/>
    <w:rsid w:val="000E535E"/>
    <w:rsid w:val="000E5526"/>
    <w:rsid w:val="000E5D6B"/>
    <w:rsid w:val="000E5FE0"/>
    <w:rsid w:val="000E62DF"/>
    <w:rsid w:val="000E6D5D"/>
    <w:rsid w:val="000F04CC"/>
    <w:rsid w:val="000F05D5"/>
    <w:rsid w:val="000F1DEB"/>
    <w:rsid w:val="000F1F7A"/>
    <w:rsid w:val="000F3491"/>
    <w:rsid w:val="000F3DE6"/>
    <w:rsid w:val="000F44E7"/>
    <w:rsid w:val="000F49F1"/>
    <w:rsid w:val="000F4C41"/>
    <w:rsid w:val="000F4FA7"/>
    <w:rsid w:val="000F536A"/>
    <w:rsid w:val="000F541D"/>
    <w:rsid w:val="000F5AD1"/>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1B0"/>
    <w:rsid w:val="00120EA1"/>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28D2"/>
    <w:rsid w:val="00134904"/>
    <w:rsid w:val="001349AB"/>
    <w:rsid w:val="00134F4E"/>
    <w:rsid w:val="00134FB0"/>
    <w:rsid w:val="001350AC"/>
    <w:rsid w:val="001352EC"/>
    <w:rsid w:val="0013543B"/>
    <w:rsid w:val="00135E0B"/>
    <w:rsid w:val="001361A8"/>
    <w:rsid w:val="001365A5"/>
    <w:rsid w:val="001368CC"/>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55C"/>
    <w:rsid w:val="001600C9"/>
    <w:rsid w:val="00160308"/>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CBE"/>
    <w:rsid w:val="00182EBE"/>
    <w:rsid w:val="001831B3"/>
    <w:rsid w:val="001845FA"/>
    <w:rsid w:val="0018521A"/>
    <w:rsid w:val="0018522B"/>
    <w:rsid w:val="001854A8"/>
    <w:rsid w:val="00185D40"/>
    <w:rsid w:val="00186C17"/>
    <w:rsid w:val="00187284"/>
    <w:rsid w:val="0018787A"/>
    <w:rsid w:val="00190180"/>
    <w:rsid w:val="001908C1"/>
    <w:rsid w:val="00190A43"/>
    <w:rsid w:val="00190D0B"/>
    <w:rsid w:val="001912FB"/>
    <w:rsid w:val="00191608"/>
    <w:rsid w:val="00191664"/>
    <w:rsid w:val="00192065"/>
    <w:rsid w:val="001941AA"/>
    <w:rsid w:val="00194F73"/>
    <w:rsid w:val="00194F8D"/>
    <w:rsid w:val="00195EC2"/>
    <w:rsid w:val="00195F99"/>
    <w:rsid w:val="00197041"/>
    <w:rsid w:val="001A016C"/>
    <w:rsid w:val="001A0422"/>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4F4"/>
    <w:rsid w:val="001B75DC"/>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EE7"/>
    <w:rsid w:val="0020789A"/>
    <w:rsid w:val="00207C83"/>
    <w:rsid w:val="00210869"/>
    <w:rsid w:val="002116AD"/>
    <w:rsid w:val="00211999"/>
    <w:rsid w:val="002120A6"/>
    <w:rsid w:val="002122B8"/>
    <w:rsid w:val="002123A4"/>
    <w:rsid w:val="002126CD"/>
    <w:rsid w:val="00213773"/>
    <w:rsid w:val="00213B0E"/>
    <w:rsid w:val="00213CBC"/>
    <w:rsid w:val="002141FB"/>
    <w:rsid w:val="002146CA"/>
    <w:rsid w:val="002147D6"/>
    <w:rsid w:val="00214BEB"/>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C51"/>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F5F"/>
    <w:rsid w:val="002702F4"/>
    <w:rsid w:val="00270965"/>
    <w:rsid w:val="00270A01"/>
    <w:rsid w:val="00271E5D"/>
    <w:rsid w:val="00272082"/>
    <w:rsid w:val="002731BB"/>
    <w:rsid w:val="0027349D"/>
    <w:rsid w:val="00273516"/>
    <w:rsid w:val="00273985"/>
    <w:rsid w:val="00273B82"/>
    <w:rsid w:val="00273E7A"/>
    <w:rsid w:val="00274372"/>
    <w:rsid w:val="0027475A"/>
    <w:rsid w:val="00274E9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6DB"/>
    <w:rsid w:val="0029190A"/>
    <w:rsid w:val="00292220"/>
    <w:rsid w:val="00293271"/>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E7A"/>
    <w:rsid w:val="002D155B"/>
    <w:rsid w:val="002D1AD3"/>
    <w:rsid w:val="002D40A5"/>
    <w:rsid w:val="002D48E1"/>
    <w:rsid w:val="002D4DF7"/>
    <w:rsid w:val="002D61C8"/>
    <w:rsid w:val="002D629E"/>
    <w:rsid w:val="002D6E9A"/>
    <w:rsid w:val="002D6F57"/>
    <w:rsid w:val="002D726B"/>
    <w:rsid w:val="002D75DB"/>
    <w:rsid w:val="002D791B"/>
    <w:rsid w:val="002D7F19"/>
    <w:rsid w:val="002E0067"/>
    <w:rsid w:val="002E02D0"/>
    <w:rsid w:val="002E0489"/>
    <w:rsid w:val="002E04C0"/>
    <w:rsid w:val="002E0544"/>
    <w:rsid w:val="002E1DF4"/>
    <w:rsid w:val="002E2C3B"/>
    <w:rsid w:val="002E3C37"/>
    <w:rsid w:val="002E4BA7"/>
    <w:rsid w:val="002E4D3D"/>
    <w:rsid w:val="002E5CA7"/>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799"/>
    <w:rsid w:val="002F3C64"/>
    <w:rsid w:val="002F4431"/>
    <w:rsid w:val="002F47E7"/>
    <w:rsid w:val="002F510D"/>
    <w:rsid w:val="002F5F61"/>
    <w:rsid w:val="00300081"/>
    <w:rsid w:val="0030023E"/>
    <w:rsid w:val="0030059B"/>
    <w:rsid w:val="00300812"/>
    <w:rsid w:val="0030094D"/>
    <w:rsid w:val="00300FC5"/>
    <w:rsid w:val="00301277"/>
    <w:rsid w:val="00301837"/>
    <w:rsid w:val="003019CD"/>
    <w:rsid w:val="0030341B"/>
    <w:rsid w:val="003034D2"/>
    <w:rsid w:val="0030373E"/>
    <w:rsid w:val="00303A1B"/>
    <w:rsid w:val="003045BE"/>
    <w:rsid w:val="00304E8C"/>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3367"/>
    <w:rsid w:val="0031354F"/>
    <w:rsid w:val="00314614"/>
    <w:rsid w:val="00314739"/>
    <w:rsid w:val="00314773"/>
    <w:rsid w:val="00314F8A"/>
    <w:rsid w:val="003151F3"/>
    <w:rsid w:val="003152FA"/>
    <w:rsid w:val="003154DB"/>
    <w:rsid w:val="00316198"/>
    <w:rsid w:val="00316779"/>
    <w:rsid w:val="00316C5F"/>
    <w:rsid w:val="00316C7C"/>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3D2"/>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40B4"/>
    <w:rsid w:val="00384187"/>
    <w:rsid w:val="0038458A"/>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3231"/>
    <w:rsid w:val="0039372B"/>
    <w:rsid w:val="0039383D"/>
    <w:rsid w:val="0039433B"/>
    <w:rsid w:val="003946B9"/>
    <w:rsid w:val="00394917"/>
    <w:rsid w:val="00394FE8"/>
    <w:rsid w:val="00395069"/>
    <w:rsid w:val="003955AD"/>
    <w:rsid w:val="00395A0A"/>
    <w:rsid w:val="00396943"/>
    <w:rsid w:val="00396C46"/>
    <w:rsid w:val="00397BF1"/>
    <w:rsid w:val="003A0756"/>
    <w:rsid w:val="003A0A67"/>
    <w:rsid w:val="003A1273"/>
    <w:rsid w:val="003A1596"/>
    <w:rsid w:val="003A1FEA"/>
    <w:rsid w:val="003A2E86"/>
    <w:rsid w:val="003A344A"/>
    <w:rsid w:val="003A3622"/>
    <w:rsid w:val="003A36D4"/>
    <w:rsid w:val="003A4139"/>
    <w:rsid w:val="003A4409"/>
    <w:rsid w:val="003A495B"/>
    <w:rsid w:val="003A4B2F"/>
    <w:rsid w:val="003A4C4A"/>
    <w:rsid w:val="003A4F9E"/>
    <w:rsid w:val="003A5033"/>
    <w:rsid w:val="003A53AA"/>
    <w:rsid w:val="003A5A21"/>
    <w:rsid w:val="003A5EEB"/>
    <w:rsid w:val="003A5F81"/>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2"/>
    <w:rsid w:val="003B4644"/>
    <w:rsid w:val="003B4B26"/>
    <w:rsid w:val="003B4E29"/>
    <w:rsid w:val="003B5306"/>
    <w:rsid w:val="003B5757"/>
    <w:rsid w:val="003B5E92"/>
    <w:rsid w:val="003B6179"/>
    <w:rsid w:val="003B69D0"/>
    <w:rsid w:val="003B7B4D"/>
    <w:rsid w:val="003C0125"/>
    <w:rsid w:val="003C03F7"/>
    <w:rsid w:val="003C05CD"/>
    <w:rsid w:val="003C0FE5"/>
    <w:rsid w:val="003C14B6"/>
    <w:rsid w:val="003C1CAF"/>
    <w:rsid w:val="003C22D4"/>
    <w:rsid w:val="003C29AF"/>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4979"/>
    <w:rsid w:val="003E4B79"/>
    <w:rsid w:val="003E4B85"/>
    <w:rsid w:val="003E581F"/>
    <w:rsid w:val="003E5F16"/>
    <w:rsid w:val="003E634D"/>
    <w:rsid w:val="003E64BB"/>
    <w:rsid w:val="003E6AC1"/>
    <w:rsid w:val="003E7EEA"/>
    <w:rsid w:val="003F01E7"/>
    <w:rsid w:val="003F18CF"/>
    <w:rsid w:val="003F2BFE"/>
    <w:rsid w:val="003F3A44"/>
    <w:rsid w:val="003F5732"/>
    <w:rsid w:val="003F5F0A"/>
    <w:rsid w:val="003F6DF4"/>
    <w:rsid w:val="003F7022"/>
    <w:rsid w:val="003F7263"/>
    <w:rsid w:val="003F7D77"/>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28E4"/>
    <w:rsid w:val="00432937"/>
    <w:rsid w:val="00433460"/>
    <w:rsid w:val="00433D87"/>
    <w:rsid w:val="00433E32"/>
    <w:rsid w:val="00433ECE"/>
    <w:rsid w:val="004347A7"/>
    <w:rsid w:val="00434800"/>
    <w:rsid w:val="00434F9C"/>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870"/>
    <w:rsid w:val="004529D7"/>
    <w:rsid w:val="00452A11"/>
    <w:rsid w:val="00453BF4"/>
    <w:rsid w:val="00454571"/>
    <w:rsid w:val="00455AFA"/>
    <w:rsid w:val="00456308"/>
    <w:rsid w:val="004566BE"/>
    <w:rsid w:val="0045682E"/>
    <w:rsid w:val="004568B4"/>
    <w:rsid w:val="00457142"/>
    <w:rsid w:val="004573A4"/>
    <w:rsid w:val="00457493"/>
    <w:rsid w:val="00457958"/>
    <w:rsid w:val="004601FC"/>
    <w:rsid w:val="004605F4"/>
    <w:rsid w:val="0046115F"/>
    <w:rsid w:val="0046148D"/>
    <w:rsid w:val="00461535"/>
    <w:rsid w:val="00462496"/>
    <w:rsid w:val="004627CF"/>
    <w:rsid w:val="004628E6"/>
    <w:rsid w:val="00462977"/>
    <w:rsid w:val="00462DBA"/>
    <w:rsid w:val="004631FA"/>
    <w:rsid w:val="004635B7"/>
    <w:rsid w:val="00463750"/>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B0E"/>
    <w:rsid w:val="00481688"/>
    <w:rsid w:val="004820E0"/>
    <w:rsid w:val="004822CA"/>
    <w:rsid w:val="0048385A"/>
    <w:rsid w:val="00483F95"/>
    <w:rsid w:val="00484D20"/>
    <w:rsid w:val="004850C1"/>
    <w:rsid w:val="00486F54"/>
    <w:rsid w:val="004871B4"/>
    <w:rsid w:val="004876DD"/>
    <w:rsid w:val="00490274"/>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1574"/>
    <w:rsid w:val="004B206E"/>
    <w:rsid w:val="004B229E"/>
    <w:rsid w:val="004B29C2"/>
    <w:rsid w:val="004B29E1"/>
    <w:rsid w:val="004B2C52"/>
    <w:rsid w:val="004B2F46"/>
    <w:rsid w:val="004B395D"/>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EBE"/>
    <w:rsid w:val="00503551"/>
    <w:rsid w:val="00503F38"/>
    <w:rsid w:val="005043FC"/>
    <w:rsid w:val="00504A55"/>
    <w:rsid w:val="00505A1E"/>
    <w:rsid w:val="00505F08"/>
    <w:rsid w:val="0050671D"/>
    <w:rsid w:val="0050672C"/>
    <w:rsid w:val="00506C4C"/>
    <w:rsid w:val="0050700E"/>
    <w:rsid w:val="005079D7"/>
    <w:rsid w:val="00507B2A"/>
    <w:rsid w:val="00507D3E"/>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48B9"/>
    <w:rsid w:val="00545136"/>
    <w:rsid w:val="005452C1"/>
    <w:rsid w:val="00545B42"/>
    <w:rsid w:val="0054612B"/>
    <w:rsid w:val="00546773"/>
    <w:rsid w:val="00547753"/>
    <w:rsid w:val="005479F5"/>
    <w:rsid w:val="00547D90"/>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321"/>
    <w:rsid w:val="00564775"/>
    <w:rsid w:val="00566C28"/>
    <w:rsid w:val="00566EBC"/>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74CD"/>
    <w:rsid w:val="00587515"/>
    <w:rsid w:val="00587597"/>
    <w:rsid w:val="00587AAF"/>
    <w:rsid w:val="0059075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3F4C"/>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C52"/>
    <w:rsid w:val="006540C1"/>
    <w:rsid w:val="0065460C"/>
    <w:rsid w:val="00654642"/>
    <w:rsid w:val="00654AF4"/>
    <w:rsid w:val="00654CB8"/>
    <w:rsid w:val="0065561D"/>
    <w:rsid w:val="006559AA"/>
    <w:rsid w:val="00655F61"/>
    <w:rsid w:val="006562F3"/>
    <w:rsid w:val="006565D3"/>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4D5F"/>
    <w:rsid w:val="0066527F"/>
    <w:rsid w:val="00666754"/>
    <w:rsid w:val="00666AEA"/>
    <w:rsid w:val="00666D37"/>
    <w:rsid w:val="0066706E"/>
    <w:rsid w:val="00667D71"/>
    <w:rsid w:val="00667FB2"/>
    <w:rsid w:val="00670D2E"/>
    <w:rsid w:val="006715AD"/>
    <w:rsid w:val="0067269F"/>
    <w:rsid w:val="006726CB"/>
    <w:rsid w:val="0067272F"/>
    <w:rsid w:val="00672E8B"/>
    <w:rsid w:val="00673BA4"/>
    <w:rsid w:val="00674C5D"/>
    <w:rsid w:val="00674ED8"/>
    <w:rsid w:val="00675793"/>
    <w:rsid w:val="00675C5E"/>
    <w:rsid w:val="00676F0B"/>
    <w:rsid w:val="006773D1"/>
    <w:rsid w:val="006801BB"/>
    <w:rsid w:val="006802E3"/>
    <w:rsid w:val="00680CC6"/>
    <w:rsid w:val="0068122E"/>
    <w:rsid w:val="0068241B"/>
    <w:rsid w:val="00683889"/>
    <w:rsid w:val="006842A2"/>
    <w:rsid w:val="006848BB"/>
    <w:rsid w:val="00684A44"/>
    <w:rsid w:val="00685075"/>
    <w:rsid w:val="00685339"/>
    <w:rsid w:val="00685597"/>
    <w:rsid w:val="006859F4"/>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C28"/>
    <w:rsid w:val="006A777A"/>
    <w:rsid w:val="006A7AE9"/>
    <w:rsid w:val="006A7C9D"/>
    <w:rsid w:val="006B0264"/>
    <w:rsid w:val="006B0BF0"/>
    <w:rsid w:val="006B1E59"/>
    <w:rsid w:val="006B2995"/>
    <w:rsid w:val="006B2F13"/>
    <w:rsid w:val="006B3EFD"/>
    <w:rsid w:val="006B40C8"/>
    <w:rsid w:val="006B472A"/>
    <w:rsid w:val="006B549F"/>
    <w:rsid w:val="006B65CB"/>
    <w:rsid w:val="006B765D"/>
    <w:rsid w:val="006C0867"/>
    <w:rsid w:val="006C12F3"/>
    <w:rsid w:val="006C215A"/>
    <w:rsid w:val="006C24C7"/>
    <w:rsid w:val="006C273C"/>
    <w:rsid w:val="006C2FF1"/>
    <w:rsid w:val="006C374A"/>
    <w:rsid w:val="006C3A0F"/>
    <w:rsid w:val="006C479E"/>
    <w:rsid w:val="006C54EE"/>
    <w:rsid w:val="006C57FE"/>
    <w:rsid w:val="006C5AB5"/>
    <w:rsid w:val="006C6E36"/>
    <w:rsid w:val="006C705E"/>
    <w:rsid w:val="006C7216"/>
    <w:rsid w:val="006C7266"/>
    <w:rsid w:val="006D045E"/>
    <w:rsid w:val="006D05F4"/>
    <w:rsid w:val="006D0B6D"/>
    <w:rsid w:val="006D1549"/>
    <w:rsid w:val="006D1A5F"/>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4051"/>
    <w:rsid w:val="007341BF"/>
    <w:rsid w:val="00734519"/>
    <w:rsid w:val="0073458B"/>
    <w:rsid w:val="00734B84"/>
    <w:rsid w:val="00735D2A"/>
    <w:rsid w:val="00735EBF"/>
    <w:rsid w:val="007365ED"/>
    <w:rsid w:val="00736927"/>
    <w:rsid w:val="0073779C"/>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D42"/>
    <w:rsid w:val="00761C5E"/>
    <w:rsid w:val="00761E24"/>
    <w:rsid w:val="007623B0"/>
    <w:rsid w:val="00762A7D"/>
    <w:rsid w:val="00763020"/>
    <w:rsid w:val="00763B9E"/>
    <w:rsid w:val="00764588"/>
    <w:rsid w:val="007648FE"/>
    <w:rsid w:val="00764B39"/>
    <w:rsid w:val="007664EA"/>
    <w:rsid w:val="007667C4"/>
    <w:rsid w:val="007670FC"/>
    <w:rsid w:val="00767282"/>
    <w:rsid w:val="007678B9"/>
    <w:rsid w:val="00767DDD"/>
    <w:rsid w:val="00767F7F"/>
    <w:rsid w:val="007703EA"/>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A38"/>
    <w:rsid w:val="00785C2A"/>
    <w:rsid w:val="007862A9"/>
    <w:rsid w:val="0078668F"/>
    <w:rsid w:val="00786815"/>
    <w:rsid w:val="0078700E"/>
    <w:rsid w:val="00787339"/>
    <w:rsid w:val="00787B59"/>
    <w:rsid w:val="00787F86"/>
    <w:rsid w:val="007900A9"/>
    <w:rsid w:val="007910C3"/>
    <w:rsid w:val="00791110"/>
    <w:rsid w:val="00791250"/>
    <w:rsid w:val="0079150D"/>
    <w:rsid w:val="00791DE1"/>
    <w:rsid w:val="00792A1D"/>
    <w:rsid w:val="00793181"/>
    <w:rsid w:val="0079319C"/>
    <w:rsid w:val="007936BD"/>
    <w:rsid w:val="007936C1"/>
    <w:rsid w:val="00793D45"/>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D24"/>
    <w:rsid w:val="007A4860"/>
    <w:rsid w:val="007A4CAF"/>
    <w:rsid w:val="007A4F7B"/>
    <w:rsid w:val="007A61E4"/>
    <w:rsid w:val="007A704A"/>
    <w:rsid w:val="007A7242"/>
    <w:rsid w:val="007B0222"/>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9AD"/>
    <w:rsid w:val="007D2BD3"/>
    <w:rsid w:val="007D2BE8"/>
    <w:rsid w:val="007D3066"/>
    <w:rsid w:val="007D421B"/>
    <w:rsid w:val="007D4490"/>
    <w:rsid w:val="007D4579"/>
    <w:rsid w:val="007D51EB"/>
    <w:rsid w:val="007D58BB"/>
    <w:rsid w:val="007D5AF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40EAF"/>
    <w:rsid w:val="008416BF"/>
    <w:rsid w:val="008416FD"/>
    <w:rsid w:val="0084188F"/>
    <w:rsid w:val="00841946"/>
    <w:rsid w:val="00842659"/>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A3A"/>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54A"/>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3147"/>
    <w:rsid w:val="0087357A"/>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9EC"/>
    <w:rsid w:val="008E2AC1"/>
    <w:rsid w:val="008E3096"/>
    <w:rsid w:val="008E330C"/>
    <w:rsid w:val="008E332F"/>
    <w:rsid w:val="008E35FC"/>
    <w:rsid w:val="008E4114"/>
    <w:rsid w:val="008E45EA"/>
    <w:rsid w:val="008E4A1A"/>
    <w:rsid w:val="008E5E01"/>
    <w:rsid w:val="008E6093"/>
    <w:rsid w:val="008E69A3"/>
    <w:rsid w:val="008E7CC9"/>
    <w:rsid w:val="008F02A1"/>
    <w:rsid w:val="008F0E69"/>
    <w:rsid w:val="008F1212"/>
    <w:rsid w:val="008F12FF"/>
    <w:rsid w:val="008F1E55"/>
    <w:rsid w:val="008F2840"/>
    <w:rsid w:val="008F2B5F"/>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F9"/>
    <w:rsid w:val="00901244"/>
    <w:rsid w:val="00901979"/>
    <w:rsid w:val="00902357"/>
    <w:rsid w:val="0090242A"/>
    <w:rsid w:val="00902C85"/>
    <w:rsid w:val="009030F7"/>
    <w:rsid w:val="009034D9"/>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EC8"/>
    <w:rsid w:val="00921102"/>
    <w:rsid w:val="00921305"/>
    <w:rsid w:val="00921783"/>
    <w:rsid w:val="009217D9"/>
    <w:rsid w:val="00921AC8"/>
    <w:rsid w:val="0092206F"/>
    <w:rsid w:val="00922482"/>
    <w:rsid w:val="00922A2B"/>
    <w:rsid w:val="009249E3"/>
    <w:rsid w:val="00924A6C"/>
    <w:rsid w:val="00924AED"/>
    <w:rsid w:val="00924ED4"/>
    <w:rsid w:val="00924F63"/>
    <w:rsid w:val="009271AB"/>
    <w:rsid w:val="00927281"/>
    <w:rsid w:val="009273B8"/>
    <w:rsid w:val="00927A20"/>
    <w:rsid w:val="00930298"/>
    <w:rsid w:val="009302A6"/>
    <w:rsid w:val="00930D15"/>
    <w:rsid w:val="00931325"/>
    <w:rsid w:val="009319DC"/>
    <w:rsid w:val="00931AAD"/>
    <w:rsid w:val="00931E6D"/>
    <w:rsid w:val="0093286C"/>
    <w:rsid w:val="00932D04"/>
    <w:rsid w:val="00932E9E"/>
    <w:rsid w:val="009333C0"/>
    <w:rsid w:val="00933B8A"/>
    <w:rsid w:val="00934141"/>
    <w:rsid w:val="009341AA"/>
    <w:rsid w:val="0093429A"/>
    <w:rsid w:val="0093518A"/>
    <w:rsid w:val="009352D3"/>
    <w:rsid w:val="009355BB"/>
    <w:rsid w:val="00935789"/>
    <w:rsid w:val="009359C5"/>
    <w:rsid w:val="00935CFA"/>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6141"/>
    <w:rsid w:val="0096620D"/>
    <w:rsid w:val="009662EC"/>
    <w:rsid w:val="00966611"/>
    <w:rsid w:val="0096661F"/>
    <w:rsid w:val="009669CC"/>
    <w:rsid w:val="00967517"/>
    <w:rsid w:val="009675EB"/>
    <w:rsid w:val="00967655"/>
    <w:rsid w:val="009706DC"/>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DF0"/>
    <w:rsid w:val="00980F3F"/>
    <w:rsid w:val="00981D1C"/>
    <w:rsid w:val="00982214"/>
    <w:rsid w:val="009823D4"/>
    <w:rsid w:val="00982474"/>
    <w:rsid w:val="00982E9C"/>
    <w:rsid w:val="00983285"/>
    <w:rsid w:val="00983F25"/>
    <w:rsid w:val="00984672"/>
    <w:rsid w:val="00984F97"/>
    <w:rsid w:val="0098569D"/>
    <w:rsid w:val="00985A09"/>
    <w:rsid w:val="00986277"/>
    <w:rsid w:val="009866A3"/>
    <w:rsid w:val="0098693D"/>
    <w:rsid w:val="00986D0D"/>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54D4"/>
    <w:rsid w:val="009A5501"/>
    <w:rsid w:val="009A5AE0"/>
    <w:rsid w:val="009A6621"/>
    <w:rsid w:val="009A6AEA"/>
    <w:rsid w:val="009A6CC5"/>
    <w:rsid w:val="009B1F3A"/>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C0448"/>
    <w:rsid w:val="009C0615"/>
    <w:rsid w:val="009C0CF8"/>
    <w:rsid w:val="009C0ED7"/>
    <w:rsid w:val="009C125A"/>
    <w:rsid w:val="009C1EB2"/>
    <w:rsid w:val="009C2675"/>
    <w:rsid w:val="009C2839"/>
    <w:rsid w:val="009C2DC4"/>
    <w:rsid w:val="009C304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20207"/>
    <w:rsid w:val="00A20224"/>
    <w:rsid w:val="00A21424"/>
    <w:rsid w:val="00A21997"/>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D00"/>
    <w:rsid w:val="00A32051"/>
    <w:rsid w:val="00A32AE0"/>
    <w:rsid w:val="00A32B77"/>
    <w:rsid w:val="00A32BB4"/>
    <w:rsid w:val="00A33CCF"/>
    <w:rsid w:val="00A35D65"/>
    <w:rsid w:val="00A36CF6"/>
    <w:rsid w:val="00A36EC5"/>
    <w:rsid w:val="00A37DDD"/>
    <w:rsid w:val="00A37EDA"/>
    <w:rsid w:val="00A4035D"/>
    <w:rsid w:val="00A413A3"/>
    <w:rsid w:val="00A43270"/>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E2"/>
    <w:rsid w:val="00A56806"/>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226A"/>
    <w:rsid w:val="00A82941"/>
    <w:rsid w:val="00A834D6"/>
    <w:rsid w:val="00A83DBC"/>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954"/>
    <w:rsid w:val="00A92C54"/>
    <w:rsid w:val="00A92DB9"/>
    <w:rsid w:val="00A93738"/>
    <w:rsid w:val="00A94084"/>
    <w:rsid w:val="00A9446E"/>
    <w:rsid w:val="00A94AD0"/>
    <w:rsid w:val="00A953A8"/>
    <w:rsid w:val="00A96852"/>
    <w:rsid w:val="00A96C21"/>
    <w:rsid w:val="00A9791D"/>
    <w:rsid w:val="00A97B20"/>
    <w:rsid w:val="00A97D4A"/>
    <w:rsid w:val="00A97DB8"/>
    <w:rsid w:val="00AA0209"/>
    <w:rsid w:val="00AA03A6"/>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798"/>
    <w:rsid w:val="00AD3F4F"/>
    <w:rsid w:val="00AD403C"/>
    <w:rsid w:val="00AD4153"/>
    <w:rsid w:val="00AD44D0"/>
    <w:rsid w:val="00AD4838"/>
    <w:rsid w:val="00AD5420"/>
    <w:rsid w:val="00AD56CF"/>
    <w:rsid w:val="00AD5DDB"/>
    <w:rsid w:val="00AD5E3E"/>
    <w:rsid w:val="00AD60B8"/>
    <w:rsid w:val="00AD60EF"/>
    <w:rsid w:val="00AD612C"/>
    <w:rsid w:val="00AD734C"/>
    <w:rsid w:val="00AD7922"/>
    <w:rsid w:val="00AE0413"/>
    <w:rsid w:val="00AE05BF"/>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6E2"/>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0E7D"/>
    <w:rsid w:val="00B10EEF"/>
    <w:rsid w:val="00B118E1"/>
    <w:rsid w:val="00B11A39"/>
    <w:rsid w:val="00B11A5F"/>
    <w:rsid w:val="00B11A9A"/>
    <w:rsid w:val="00B120CF"/>
    <w:rsid w:val="00B1210E"/>
    <w:rsid w:val="00B1243E"/>
    <w:rsid w:val="00B129BD"/>
    <w:rsid w:val="00B12BDA"/>
    <w:rsid w:val="00B131F4"/>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6D9E"/>
    <w:rsid w:val="00B37311"/>
    <w:rsid w:val="00B37387"/>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596C"/>
    <w:rsid w:val="00B569B2"/>
    <w:rsid w:val="00B56FBD"/>
    <w:rsid w:val="00B5715A"/>
    <w:rsid w:val="00B57327"/>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5F68"/>
    <w:rsid w:val="00B76A3F"/>
    <w:rsid w:val="00B76A7D"/>
    <w:rsid w:val="00B76CE1"/>
    <w:rsid w:val="00B776D5"/>
    <w:rsid w:val="00B77B7E"/>
    <w:rsid w:val="00B80744"/>
    <w:rsid w:val="00B80979"/>
    <w:rsid w:val="00B818AA"/>
    <w:rsid w:val="00B81B66"/>
    <w:rsid w:val="00B81BC2"/>
    <w:rsid w:val="00B81C2F"/>
    <w:rsid w:val="00B81C75"/>
    <w:rsid w:val="00B81D8F"/>
    <w:rsid w:val="00B81EEF"/>
    <w:rsid w:val="00B81F26"/>
    <w:rsid w:val="00B821DC"/>
    <w:rsid w:val="00B8344D"/>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A0FE9"/>
    <w:rsid w:val="00BA103F"/>
    <w:rsid w:val="00BA139F"/>
    <w:rsid w:val="00BA16BA"/>
    <w:rsid w:val="00BA1A0B"/>
    <w:rsid w:val="00BA1E85"/>
    <w:rsid w:val="00BA359B"/>
    <w:rsid w:val="00BA3A93"/>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4A6F"/>
    <w:rsid w:val="00BB56B1"/>
    <w:rsid w:val="00BB5759"/>
    <w:rsid w:val="00BB5A30"/>
    <w:rsid w:val="00BB5B98"/>
    <w:rsid w:val="00BB7BAC"/>
    <w:rsid w:val="00BC009A"/>
    <w:rsid w:val="00BC057A"/>
    <w:rsid w:val="00BC08D8"/>
    <w:rsid w:val="00BC08FC"/>
    <w:rsid w:val="00BC13CC"/>
    <w:rsid w:val="00BC202D"/>
    <w:rsid w:val="00BC213B"/>
    <w:rsid w:val="00BC2964"/>
    <w:rsid w:val="00BC3112"/>
    <w:rsid w:val="00BC3776"/>
    <w:rsid w:val="00BC39C4"/>
    <w:rsid w:val="00BC3D8E"/>
    <w:rsid w:val="00BC3E7F"/>
    <w:rsid w:val="00BC41B5"/>
    <w:rsid w:val="00BC4C63"/>
    <w:rsid w:val="00BC54D1"/>
    <w:rsid w:val="00BC6308"/>
    <w:rsid w:val="00BC63FE"/>
    <w:rsid w:val="00BC666D"/>
    <w:rsid w:val="00BC67A4"/>
    <w:rsid w:val="00BC6B4D"/>
    <w:rsid w:val="00BC6C4F"/>
    <w:rsid w:val="00BC75C4"/>
    <w:rsid w:val="00BC76AA"/>
    <w:rsid w:val="00BD1290"/>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770F"/>
    <w:rsid w:val="00BE778C"/>
    <w:rsid w:val="00BF01D4"/>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FFE"/>
    <w:rsid w:val="00C40A83"/>
    <w:rsid w:val="00C40D37"/>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CD2"/>
    <w:rsid w:val="00C47D56"/>
    <w:rsid w:val="00C510DE"/>
    <w:rsid w:val="00C536E4"/>
    <w:rsid w:val="00C538AE"/>
    <w:rsid w:val="00C53C32"/>
    <w:rsid w:val="00C53E7A"/>
    <w:rsid w:val="00C54492"/>
    <w:rsid w:val="00C544B6"/>
    <w:rsid w:val="00C54601"/>
    <w:rsid w:val="00C54E26"/>
    <w:rsid w:val="00C56A84"/>
    <w:rsid w:val="00C573C7"/>
    <w:rsid w:val="00C575E8"/>
    <w:rsid w:val="00C5777E"/>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30D6"/>
    <w:rsid w:val="00CC326E"/>
    <w:rsid w:val="00CC378A"/>
    <w:rsid w:val="00CC38EE"/>
    <w:rsid w:val="00CC566D"/>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26B"/>
    <w:rsid w:val="00D104B2"/>
    <w:rsid w:val="00D10986"/>
    <w:rsid w:val="00D1188C"/>
    <w:rsid w:val="00D11BB2"/>
    <w:rsid w:val="00D123F2"/>
    <w:rsid w:val="00D12F1F"/>
    <w:rsid w:val="00D13207"/>
    <w:rsid w:val="00D13358"/>
    <w:rsid w:val="00D1342C"/>
    <w:rsid w:val="00D142DE"/>
    <w:rsid w:val="00D142FA"/>
    <w:rsid w:val="00D14873"/>
    <w:rsid w:val="00D14C06"/>
    <w:rsid w:val="00D14DAF"/>
    <w:rsid w:val="00D1564A"/>
    <w:rsid w:val="00D156E5"/>
    <w:rsid w:val="00D15AF0"/>
    <w:rsid w:val="00D15D3B"/>
    <w:rsid w:val="00D16747"/>
    <w:rsid w:val="00D175C7"/>
    <w:rsid w:val="00D17E09"/>
    <w:rsid w:val="00D20886"/>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977"/>
    <w:rsid w:val="00D34097"/>
    <w:rsid w:val="00D34174"/>
    <w:rsid w:val="00D3544C"/>
    <w:rsid w:val="00D361A1"/>
    <w:rsid w:val="00D3719F"/>
    <w:rsid w:val="00D371C8"/>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3CCC"/>
    <w:rsid w:val="00D843D6"/>
    <w:rsid w:val="00D85237"/>
    <w:rsid w:val="00D85475"/>
    <w:rsid w:val="00D85566"/>
    <w:rsid w:val="00D85A2F"/>
    <w:rsid w:val="00D85A69"/>
    <w:rsid w:val="00D86605"/>
    <w:rsid w:val="00D87BDC"/>
    <w:rsid w:val="00D87CC9"/>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6F55"/>
    <w:rsid w:val="00DB7F10"/>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11F0"/>
    <w:rsid w:val="00DF1956"/>
    <w:rsid w:val="00DF19A5"/>
    <w:rsid w:val="00DF1AD2"/>
    <w:rsid w:val="00DF1D62"/>
    <w:rsid w:val="00DF2170"/>
    <w:rsid w:val="00DF2912"/>
    <w:rsid w:val="00DF2D89"/>
    <w:rsid w:val="00DF2FC2"/>
    <w:rsid w:val="00DF3D62"/>
    <w:rsid w:val="00DF572E"/>
    <w:rsid w:val="00DF596A"/>
    <w:rsid w:val="00DF6DA6"/>
    <w:rsid w:val="00DF708D"/>
    <w:rsid w:val="00DF751C"/>
    <w:rsid w:val="00DF7EB8"/>
    <w:rsid w:val="00E0029F"/>
    <w:rsid w:val="00E0031E"/>
    <w:rsid w:val="00E006E6"/>
    <w:rsid w:val="00E00FD5"/>
    <w:rsid w:val="00E01956"/>
    <w:rsid w:val="00E01ED2"/>
    <w:rsid w:val="00E02047"/>
    <w:rsid w:val="00E023E5"/>
    <w:rsid w:val="00E02837"/>
    <w:rsid w:val="00E0443C"/>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56F7"/>
    <w:rsid w:val="00E25995"/>
    <w:rsid w:val="00E25D57"/>
    <w:rsid w:val="00E26257"/>
    <w:rsid w:val="00E264AD"/>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C1E"/>
    <w:rsid w:val="00E62CF0"/>
    <w:rsid w:val="00E62E5D"/>
    <w:rsid w:val="00E63096"/>
    <w:rsid w:val="00E6446D"/>
    <w:rsid w:val="00E65073"/>
    <w:rsid w:val="00E65E8C"/>
    <w:rsid w:val="00E66800"/>
    <w:rsid w:val="00E66D78"/>
    <w:rsid w:val="00E673C1"/>
    <w:rsid w:val="00E67C5C"/>
    <w:rsid w:val="00E67E55"/>
    <w:rsid w:val="00E70504"/>
    <w:rsid w:val="00E71198"/>
    <w:rsid w:val="00E71E4F"/>
    <w:rsid w:val="00E72486"/>
    <w:rsid w:val="00E724EF"/>
    <w:rsid w:val="00E7250A"/>
    <w:rsid w:val="00E7264E"/>
    <w:rsid w:val="00E72651"/>
    <w:rsid w:val="00E73957"/>
    <w:rsid w:val="00E73C90"/>
    <w:rsid w:val="00E73D3A"/>
    <w:rsid w:val="00E7412C"/>
    <w:rsid w:val="00E743A1"/>
    <w:rsid w:val="00E74BC5"/>
    <w:rsid w:val="00E74F05"/>
    <w:rsid w:val="00E7518B"/>
    <w:rsid w:val="00E755A5"/>
    <w:rsid w:val="00E757B9"/>
    <w:rsid w:val="00E7593F"/>
    <w:rsid w:val="00E76497"/>
    <w:rsid w:val="00E76C33"/>
    <w:rsid w:val="00E77004"/>
    <w:rsid w:val="00E8011B"/>
    <w:rsid w:val="00E801FE"/>
    <w:rsid w:val="00E80768"/>
    <w:rsid w:val="00E80C67"/>
    <w:rsid w:val="00E80E1E"/>
    <w:rsid w:val="00E82135"/>
    <w:rsid w:val="00E82862"/>
    <w:rsid w:val="00E82CA0"/>
    <w:rsid w:val="00E82E17"/>
    <w:rsid w:val="00E84324"/>
    <w:rsid w:val="00E84AD4"/>
    <w:rsid w:val="00E8534F"/>
    <w:rsid w:val="00E854EA"/>
    <w:rsid w:val="00E85EC9"/>
    <w:rsid w:val="00E860EE"/>
    <w:rsid w:val="00E86456"/>
    <w:rsid w:val="00E86BAE"/>
    <w:rsid w:val="00E876A3"/>
    <w:rsid w:val="00E87894"/>
    <w:rsid w:val="00E87DC5"/>
    <w:rsid w:val="00E903A5"/>
    <w:rsid w:val="00E90A19"/>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1514"/>
    <w:rsid w:val="00EA16E1"/>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4B6"/>
    <w:rsid w:val="00EC552D"/>
    <w:rsid w:val="00EC5B93"/>
    <w:rsid w:val="00EC64A1"/>
    <w:rsid w:val="00EC6506"/>
    <w:rsid w:val="00EC774B"/>
    <w:rsid w:val="00ED13EB"/>
    <w:rsid w:val="00ED1462"/>
    <w:rsid w:val="00ED14A1"/>
    <w:rsid w:val="00ED17FA"/>
    <w:rsid w:val="00ED1856"/>
    <w:rsid w:val="00ED24B6"/>
    <w:rsid w:val="00ED25D2"/>
    <w:rsid w:val="00ED35A5"/>
    <w:rsid w:val="00ED35C0"/>
    <w:rsid w:val="00ED3F38"/>
    <w:rsid w:val="00ED4124"/>
    <w:rsid w:val="00ED462A"/>
    <w:rsid w:val="00ED5030"/>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E72"/>
    <w:rsid w:val="00F07C8A"/>
    <w:rsid w:val="00F07D8B"/>
    <w:rsid w:val="00F104D0"/>
    <w:rsid w:val="00F10840"/>
    <w:rsid w:val="00F10F23"/>
    <w:rsid w:val="00F116E1"/>
    <w:rsid w:val="00F11E4F"/>
    <w:rsid w:val="00F1272B"/>
    <w:rsid w:val="00F13033"/>
    <w:rsid w:val="00F13232"/>
    <w:rsid w:val="00F132E7"/>
    <w:rsid w:val="00F13A85"/>
    <w:rsid w:val="00F13C6A"/>
    <w:rsid w:val="00F13C93"/>
    <w:rsid w:val="00F14182"/>
    <w:rsid w:val="00F14212"/>
    <w:rsid w:val="00F14A1F"/>
    <w:rsid w:val="00F14C11"/>
    <w:rsid w:val="00F14D95"/>
    <w:rsid w:val="00F15A01"/>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AD"/>
    <w:rsid w:val="00F76924"/>
    <w:rsid w:val="00F76C8F"/>
    <w:rsid w:val="00F76FD6"/>
    <w:rsid w:val="00F77293"/>
    <w:rsid w:val="00F77C33"/>
    <w:rsid w:val="00F77D71"/>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577"/>
    <w:rsid w:val="00FA086C"/>
    <w:rsid w:val="00FA0870"/>
    <w:rsid w:val="00FA0FFB"/>
    <w:rsid w:val="00FA1441"/>
    <w:rsid w:val="00FA203F"/>
    <w:rsid w:val="00FA38A1"/>
    <w:rsid w:val="00FA3C01"/>
    <w:rsid w:val="00FA3F41"/>
    <w:rsid w:val="00FA4181"/>
    <w:rsid w:val="00FA4A3B"/>
    <w:rsid w:val="00FA62C1"/>
    <w:rsid w:val="00FA63DE"/>
    <w:rsid w:val="00FA6B17"/>
    <w:rsid w:val="00FA7860"/>
    <w:rsid w:val="00FB0060"/>
    <w:rsid w:val="00FB012F"/>
    <w:rsid w:val="00FB0A08"/>
    <w:rsid w:val="00FB0AD3"/>
    <w:rsid w:val="00FB0D58"/>
    <w:rsid w:val="00FB185F"/>
    <w:rsid w:val="00FB21EE"/>
    <w:rsid w:val="00FB231D"/>
    <w:rsid w:val="00FB2506"/>
    <w:rsid w:val="00FB306B"/>
    <w:rsid w:val="00FB3784"/>
    <w:rsid w:val="00FB4A2E"/>
    <w:rsid w:val="00FB50C2"/>
    <w:rsid w:val="00FB529D"/>
    <w:rsid w:val="00FB56C5"/>
    <w:rsid w:val="00FB57EF"/>
    <w:rsid w:val="00FB59E5"/>
    <w:rsid w:val="00FB5FB0"/>
    <w:rsid w:val="00FB6B5A"/>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PiedepginaCar">
    <w:name w:val="Pie de página Car"/>
    <w:basedOn w:val="Fuentedeprrafopredeter"/>
    <w:link w:val="Piedepgina"/>
    <w:uiPriority w:val="99"/>
    <w:rsid w:val="007D5AFB"/>
    <w:rPr>
      <w:rFonts w:ascii="Arial" w:hAnsi="Arial" w:cs="Arial"/>
      <w:sz w:val="24"/>
      <w:szCs w:val="24"/>
      <w:lang w:val="es-ES_tradnl" w:eastAsia="es-ES"/>
    </w:rPr>
  </w:style>
  <w:style w:type="paragraph" w:customStyle="1" w:styleId="p01">
    <w:name w:val="p01"/>
    <w:basedOn w:val="Normal"/>
    <w:next w:val="p0"/>
    <w:rsid w:val="007D5AFB"/>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default.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s://www.inegi.org.mx/programas/inpc/2018/" TargetMode="Externa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Precios-Inflaci&#243;n%20INPC%20-%201era%20quince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1era%20quince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Precios-Inflaci&#243;n%20INPC%20-%201era%20quince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 base 2q jul 2018'!$M$369</c:f>
              <c:strCache>
                <c:ptCount val="1"/>
                <c:pt idx="0">
                  <c:v>INPC</c:v>
                </c:pt>
              </c:strCache>
            </c:strRef>
          </c:tx>
          <c:spPr>
            <a:solidFill>
              <a:srgbClr val="77933C"/>
            </a:solidFill>
          </c:spPr>
          <c:invertIfNegative val="0"/>
          <c:dLbls>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1B-44FD-8BF8-6B8486C7EEF1}"/>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41-4521-B7D1-4427D40C546E}"/>
                </c:ext>
              </c:extLst>
            </c:dLbl>
            <c:dLbl>
              <c:idx val="8"/>
              <c:layout>
                <c:manualLayout>
                  <c:x val="-9.2098561625574725E-17"/>
                  <c:y val="4.30459008269897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41-4521-B7D1-4427D40C546E}"/>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BF-42E7-A534-5FD5D025511F}"/>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2018'!$P$372:$Y$372</c:f>
              <c:numCache>
                <c:formatCode>0.00</c:formatCode>
                <c:ptCount val="10"/>
                <c:pt idx="0">
                  <c:v>0.20542071358766656</c:v>
                </c:pt>
                <c:pt idx="1">
                  <c:v>6.8933823529415655E-2</c:v>
                </c:pt>
                <c:pt idx="2">
                  <c:v>0.23820116412709008</c:v>
                </c:pt>
                <c:pt idx="3">
                  <c:v>0.12</c:v>
                </c:pt>
                <c:pt idx="4">
                  <c:v>0.10516969388723889</c:v>
                </c:pt>
                <c:pt idx="5">
                  <c:v>0.28524925751296315</c:v>
                </c:pt>
                <c:pt idx="6">
                  <c:v>0.33347495330548554</c:v>
                </c:pt>
                <c:pt idx="7">
                  <c:v>0.20499426775289117</c:v>
                </c:pt>
                <c:pt idx="8">
                  <c:v>-9.9891380246716621E-2</c:v>
                </c:pt>
                <c:pt idx="9">
                  <c:v>0.12</c:v>
                </c:pt>
              </c:numCache>
            </c:numRef>
          </c:val>
          <c:extLst>
            <c:ext xmlns:c16="http://schemas.microsoft.com/office/drawing/2014/chart" uri="{C3380CC4-5D6E-409C-BE32-E72D297353CC}">
              <c16:uniqueId val="{00000002-B741-4521-B7D1-4427D40C546E}"/>
            </c:ext>
          </c:extLst>
        </c:ser>
        <c:dLbls>
          <c:showLegendKey val="0"/>
          <c:showVal val="0"/>
          <c:showCatName val="0"/>
          <c:showSerName val="0"/>
          <c:showPercent val="0"/>
          <c:showBubbleSize val="0"/>
        </c:dLbls>
        <c:gapWidth val="50"/>
        <c:axId val="256050712"/>
        <c:axId val="256050320"/>
      </c:barChart>
      <c:catAx>
        <c:axId val="256050712"/>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256050320"/>
        <c:crosses val="autoZero"/>
        <c:auto val="1"/>
        <c:lblAlgn val="ctr"/>
        <c:lblOffset val="100"/>
        <c:noMultiLvlLbl val="0"/>
      </c:catAx>
      <c:valAx>
        <c:axId val="256050320"/>
        <c:scaling>
          <c:orientation val="minMax"/>
          <c:max val="0.4"/>
          <c:min val="-0.15000000000000002"/>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256050712"/>
        <c:crosses val="autoZero"/>
        <c:crossBetween val="between"/>
        <c:majorUnit val="5.000000000000001E-2"/>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2018'!$M$384</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93-4BFE-AEF2-01CF41DCD55C}"/>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2018'!$P$387:$Y$387</c:f>
              <c:numCache>
                <c:formatCode>0.00</c:formatCode>
                <c:ptCount val="10"/>
                <c:pt idx="0">
                  <c:v>0.22</c:v>
                </c:pt>
                <c:pt idx="1">
                  <c:v>0.26</c:v>
                </c:pt>
                <c:pt idx="2">
                  <c:v>0.24316794226025684</c:v>
                </c:pt>
                <c:pt idx="3">
                  <c:v>0.12</c:v>
                </c:pt>
                <c:pt idx="4">
                  <c:v>0.27930791593424242</c:v>
                </c:pt>
                <c:pt idx="5">
                  <c:v>0.22606940724022648</c:v>
                </c:pt>
                <c:pt idx="6">
                  <c:v>0.46280036050369427</c:v>
                </c:pt>
                <c:pt idx="7">
                  <c:v>0.29769342836140095</c:v>
                </c:pt>
                <c:pt idx="8">
                  <c:v>0.26</c:v>
                </c:pt>
                <c:pt idx="9">
                  <c:v>0.22</c:v>
                </c:pt>
              </c:numCache>
            </c:numRef>
          </c:val>
          <c:extLst>
            <c:ext xmlns:c16="http://schemas.microsoft.com/office/drawing/2014/chart" uri="{C3380CC4-5D6E-409C-BE32-E72D297353CC}">
              <c16:uniqueId val="{00000001-D893-4BFE-AEF2-01CF41DCD55C}"/>
            </c:ext>
          </c:extLst>
        </c:ser>
        <c:ser>
          <c:idx val="2"/>
          <c:order val="1"/>
          <c:tx>
            <c:strRef>
              <c:f>'Datos base 2q jul 2018'!$M$399</c:f>
              <c:strCache>
                <c:ptCount val="1"/>
                <c:pt idx="0">
                  <c:v>No Subyacente</c:v>
                </c:pt>
              </c:strCache>
            </c:strRef>
          </c:tx>
          <c:spPr>
            <a:pattFill prst="dkUpDiag">
              <a:fgClr>
                <a:srgbClr val="9BBB59"/>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93-4BFE-AEF2-01CF41DCD55C}"/>
                </c:ext>
              </c:extLst>
            </c:dLbl>
            <c:dLbl>
              <c:idx val="2"/>
              <c:layout>
                <c:manualLayout>
                  <c:x val="0"/>
                  <c:y val="1.595997395561748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93-4BFE-AEF2-01CF41DCD55C}"/>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93-4BFE-AEF2-01CF41DCD55C}"/>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93-4BFE-AEF2-01CF41DCD55C}"/>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93-4BFE-AEF2-01CF41DCD55C}"/>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93-4BFE-AEF2-01CF41DCD55C}"/>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2018'!$P$402:$Y$402</c:f>
              <c:numCache>
                <c:formatCode>0.00</c:formatCode>
                <c:ptCount val="10"/>
                <c:pt idx="0">
                  <c:v>0.14953468746060414</c:v>
                </c:pt>
                <c:pt idx="1">
                  <c:v>-0.54432423561997745</c:v>
                </c:pt>
                <c:pt idx="2">
                  <c:v>0.22</c:v>
                </c:pt>
                <c:pt idx="3">
                  <c:v>0.12</c:v>
                </c:pt>
                <c:pt idx="4">
                  <c:v>-0.42424032197464873</c:v>
                </c:pt>
                <c:pt idx="5">
                  <c:v>0.46536992225503476</c:v>
                </c:pt>
                <c:pt idx="6">
                  <c:v>-4.4610464473850732E-2</c:v>
                </c:pt>
                <c:pt idx="7">
                  <c:v>-5.753948005651309E-2</c:v>
                </c:pt>
                <c:pt idx="8">
                  <c:v>-1.1471792666280258</c:v>
                </c:pt>
                <c:pt idx="9">
                  <c:v>-0.15947209238382584</c:v>
                </c:pt>
              </c:numCache>
            </c:numRef>
          </c:val>
          <c:extLst>
            <c:ext xmlns:c16="http://schemas.microsoft.com/office/drawing/2014/chart" uri="{C3380CC4-5D6E-409C-BE32-E72D297353CC}">
              <c16:uniqueId val="{00000008-D893-4BFE-AEF2-01CF41DCD55C}"/>
            </c:ext>
          </c:extLst>
        </c:ser>
        <c:dLbls>
          <c:showLegendKey val="0"/>
          <c:showVal val="0"/>
          <c:showCatName val="0"/>
          <c:showSerName val="0"/>
          <c:showPercent val="0"/>
          <c:showBubbleSize val="0"/>
        </c:dLbls>
        <c:gapWidth val="40"/>
        <c:overlap val="-10"/>
        <c:axId val="193395176"/>
        <c:axId val="193394392"/>
      </c:barChart>
      <c:catAx>
        <c:axId val="193395176"/>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193394392"/>
        <c:crosses val="autoZero"/>
        <c:auto val="1"/>
        <c:lblAlgn val="ctr"/>
        <c:lblOffset val="100"/>
        <c:noMultiLvlLbl val="0"/>
      </c:catAx>
      <c:valAx>
        <c:axId val="193394392"/>
        <c:scaling>
          <c:orientation val="minMax"/>
          <c:max val="0.9"/>
          <c:min val="-1.5"/>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193395176"/>
        <c:crosses val="autoZero"/>
        <c:crossBetween val="between"/>
        <c:majorUnit val="0.30000000000000004"/>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6350060993729E-4"/>
                  <c:y val="1.7226737838165715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C3-4A26-AC57-15B1E347590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2018'!$A$127:$B$343</c:f>
              <c:multiLvlStrCache>
                <c:ptCount val="217"/>
                <c:lvl>
                  <c:pt idx="0">
                    <c:v>1qFeb</c:v>
                  </c:pt>
                  <c:pt idx="1">
                    <c:v>2qFeb</c:v>
                  </c:pt>
                  <c:pt idx="2">
                    <c:v>1qMar</c:v>
                  </c:pt>
                  <c:pt idx="3">
                    <c:v>2qMar</c:v>
                  </c:pt>
                  <c:pt idx="4">
                    <c:v>1qAbr</c:v>
                  </c:pt>
                  <c:pt idx="5">
                    <c:v>2qAbr</c:v>
                  </c:pt>
                  <c:pt idx="6">
                    <c:v>1qMay</c:v>
                  </c:pt>
                  <c:pt idx="7">
                    <c:v>2qMay</c:v>
                  </c:pt>
                  <c:pt idx="8">
                    <c:v>1qJun</c:v>
                  </c:pt>
                  <c:pt idx="9">
                    <c:v>2qJun</c:v>
                  </c:pt>
                  <c:pt idx="10">
                    <c:v>1qJul</c:v>
                  </c:pt>
                  <c:pt idx="11">
                    <c:v>2qJul</c:v>
                  </c:pt>
                  <c:pt idx="12">
                    <c:v>1qAgo</c:v>
                  </c:pt>
                  <c:pt idx="13">
                    <c:v>2qAgo</c:v>
                  </c:pt>
                  <c:pt idx="14">
                    <c:v>1qSep</c:v>
                  </c:pt>
                  <c:pt idx="15">
                    <c:v>2qSep</c:v>
                  </c:pt>
                  <c:pt idx="16">
                    <c:v>1qOct</c:v>
                  </c:pt>
                  <c:pt idx="17">
                    <c:v>2qOct</c:v>
                  </c:pt>
                  <c:pt idx="18">
                    <c:v>1qNov</c:v>
                  </c:pt>
                  <c:pt idx="19">
                    <c:v>2qNov</c:v>
                  </c:pt>
                  <c:pt idx="20">
                    <c:v>1qDic</c:v>
                  </c:pt>
                  <c:pt idx="21">
                    <c:v>2qDic</c:v>
                  </c:pt>
                  <c:pt idx="22">
                    <c:v>1qEne</c:v>
                  </c:pt>
                  <c:pt idx="23">
                    <c:v>2qEne</c:v>
                  </c:pt>
                  <c:pt idx="24">
                    <c:v>1qFeb</c:v>
                  </c:pt>
                  <c:pt idx="25">
                    <c:v>2qFeb</c:v>
                  </c:pt>
                  <c:pt idx="26">
                    <c:v>1qMar</c:v>
                  </c:pt>
                  <c:pt idx="27">
                    <c:v>2qMar</c:v>
                  </c:pt>
                  <c:pt idx="28">
                    <c:v>1qAbr</c:v>
                  </c:pt>
                  <c:pt idx="29">
                    <c:v>2qAbr</c:v>
                  </c:pt>
                  <c:pt idx="30">
                    <c:v>1qMay</c:v>
                  </c:pt>
                  <c:pt idx="31">
                    <c:v>2qMay</c:v>
                  </c:pt>
                  <c:pt idx="32">
                    <c:v>1qJun</c:v>
                  </c:pt>
                  <c:pt idx="33">
                    <c:v>2qJun</c:v>
                  </c:pt>
                  <c:pt idx="34">
                    <c:v>1qJul</c:v>
                  </c:pt>
                  <c:pt idx="35">
                    <c:v>2qJul</c:v>
                  </c:pt>
                  <c:pt idx="36">
                    <c:v>1qAgo</c:v>
                  </c:pt>
                  <c:pt idx="37">
                    <c:v>2qAgo</c:v>
                  </c:pt>
                  <c:pt idx="38">
                    <c:v>1qSep</c:v>
                  </c:pt>
                  <c:pt idx="39">
                    <c:v>2qSep</c:v>
                  </c:pt>
                  <c:pt idx="40">
                    <c:v>1qOct</c:v>
                  </c:pt>
                  <c:pt idx="41">
                    <c:v>2qOct</c:v>
                  </c:pt>
                  <c:pt idx="42">
                    <c:v>1qNov</c:v>
                  </c:pt>
                  <c:pt idx="43">
                    <c:v>2qNov</c:v>
                  </c:pt>
                  <c:pt idx="44">
                    <c:v>1qDic</c:v>
                  </c:pt>
                  <c:pt idx="45">
                    <c:v>2qDic</c:v>
                  </c:pt>
                  <c:pt idx="46">
                    <c:v>1qEne</c:v>
                  </c:pt>
                  <c:pt idx="47">
                    <c:v>2qEne</c:v>
                  </c:pt>
                  <c:pt idx="48">
                    <c:v>1qFeb</c:v>
                  </c:pt>
                  <c:pt idx="49">
                    <c:v>2qFeb</c:v>
                  </c:pt>
                  <c:pt idx="50">
                    <c:v>1qMar</c:v>
                  </c:pt>
                  <c:pt idx="51">
                    <c:v>2qMar</c:v>
                  </c:pt>
                  <c:pt idx="52">
                    <c:v>1qAbr</c:v>
                  </c:pt>
                  <c:pt idx="53">
                    <c:v>2qAbr</c:v>
                  </c:pt>
                  <c:pt idx="54">
                    <c:v>1qMay</c:v>
                  </c:pt>
                  <c:pt idx="55">
                    <c:v>2qMay</c:v>
                  </c:pt>
                  <c:pt idx="56">
                    <c:v>1qJun</c:v>
                  </c:pt>
                  <c:pt idx="57">
                    <c:v>2qJun</c:v>
                  </c:pt>
                  <c:pt idx="58">
                    <c:v>1qJul</c:v>
                  </c:pt>
                  <c:pt idx="59">
                    <c:v>2qJul</c:v>
                  </c:pt>
                  <c:pt idx="60">
                    <c:v>1qAgo</c:v>
                  </c:pt>
                  <c:pt idx="61">
                    <c:v>2qAgo</c:v>
                  </c:pt>
                  <c:pt idx="62">
                    <c:v>1qSep</c:v>
                  </c:pt>
                  <c:pt idx="63">
                    <c:v>2qSep</c:v>
                  </c:pt>
                  <c:pt idx="64">
                    <c:v>1qOct</c:v>
                  </c:pt>
                  <c:pt idx="65">
                    <c:v>2qOct</c:v>
                  </c:pt>
                  <c:pt idx="66">
                    <c:v>1qNov</c:v>
                  </c:pt>
                  <c:pt idx="67">
                    <c:v>2qNov</c:v>
                  </c:pt>
                  <c:pt idx="68">
                    <c:v>1qDic</c:v>
                  </c:pt>
                  <c:pt idx="69">
                    <c:v>2qDic</c:v>
                  </c:pt>
                  <c:pt idx="70">
                    <c:v>1qEne</c:v>
                  </c:pt>
                  <c:pt idx="71">
                    <c:v>2qEne</c:v>
                  </c:pt>
                  <c:pt idx="72">
                    <c:v>1qFeb</c:v>
                  </c:pt>
                  <c:pt idx="73">
                    <c:v>2qFeb</c:v>
                  </c:pt>
                  <c:pt idx="74">
                    <c:v>1qMar</c:v>
                  </c:pt>
                  <c:pt idx="75">
                    <c:v>2qMar</c:v>
                  </c:pt>
                  <c:pt idx="76">
                    <c:v>1qAbr</c:v>
                  </c:pt>
                  <c:pt idx="77">
                    <c:v>2qAbr</c:v>
                  </c:pt>
                  <c:pt idx="78">
                    <c:v>1qMay</c:v>
                  </c:pt>
                  <c:pt idx="79">
                    <c:v>2qMay</c:v>
                  </c:pt>
                  <c:pt idx="80">
                    <c:v>1qJun</c:v>
                  </c:pt>
                  <c:pt idx="81">
                    <c:v>2qJun</c:v>
                  </c:pt>
                  <c:pt idx="82">
                    <c:v>1qJul</c:v>
                  </c:pt>
                  <c:pt idx="83">
                    <c:v>2qJul</c:v>
                  </c:pt>
                  <c:pt idx="84">
                    <c:v>1qAgo</c:v>
                  </c:pt>
                  <c:pt idx="85">
                    <c:v>2qAgo</c:v>
                  </c:pt>
                  <c:pt idx="86">
                    <c:v>1qSep</c:v>
                  </c:pt>
                  <c:pt idx="87">
                    <c:v>2qSep</c:v>
                  </c:pt>
                  <c:pt idx="88">
                    <c:v>1qOct</c:v>
                  </c:pt>
                  <c:pt idx="89">
                    <c:v>2qOct</c:v>
                  </c:pt>
                  <c:pt idx="90">
                    <c:v>1qNov</c:v>
                  </c:pt>
                  <c:pt idx="91">
                    <c:v>2qNov</c:v>
                  </c:pt>
                  <c:pt idx="92">
                    <c:v>1qDic</c:v>
                  </c:pt>
                  <c:pt idx="93">
                    <c:v>2qDic</c:v>
                  </c:pt>
                  <c:pt idx="94">
                    <c:v>1qEne</c:v>
                  </c:pt>
                  <c:pt idx="95">
                    <c:v>2qEne</c:v>
                  </c:pt>
                  <c:pt idx="96">
                    <c:v>1qFeb</c:v>
                  </c:pt>
                  <c:pt idx="97">
                    <c:v>2qFeb</c:v>
                  </c:pt>
                  <c:pt idx="98">
                    <c:v>1qMar</c:v>
                  </c:pt>
                  <c:pt idx="99">
                    <c:v>2qMar</c:v>
                  </c:pt>
                  <c:pt idx="100">
                    <c:v>1qAbr</c:v>
                  </c:pt>
                  <c:pt idx="101">
                    <c:v>2qAbr</c:v>
                  </c:pt>
                  <c:pt idx="102">
                    <c:v>1qMay</c:v>
                  </c:pt>
                  <c:pt idx="103">
                    <c:v>2qMay</c:v>
                  </c:pt>
                  <c:pt idx="104">
                    <c:v>1qJun</c:v>
                  </c:pt>
                  <c:pt idx="105">
                    <c:v>2qJun</c:v>
                  </c:pt>
                  <c:pt idx="106">
                    <c:v>1qJul</c:v>
                  </c:pt>
                  <c:pt idx="107">
                    <c:v>2qJul</c:v>
                  </c:pt>
                  <c:pt idx="108">
                    <c:v>1qAgo</c:v>
                  </c:pt>
                  <c:pt idx="109">
                    <c:v>2qAgo</c:v>
                  </c:pt>
                  <c:pt idx="110">
                    <c:v>1qSep</c:v>
                  </c:pt>
                  <c:pt idx="111">
                    <c:v>2qSep</c:v>
                  </c:pt>
                  <c:pt idx="112">
                    <c:v>1qOct</c:v>
                  </c:pt>
                  <c:pt idx="113">
                    <c:v>2qOct</c:v>
                  </c:pt>
                  <c:pt idx="114">
                    <c:v>1qNov</c:v>
                  </c:pt>
                  <c:pt idx="115">
                    <c:v>2qNov</c:v>
                  </c:pt>
                  <c:pt idx="116">
                    <c:v>1qDic</c:v>
                  </c:pt>
                  <c:pt idx="117">
                    <c:v>2qDic</c:v>
                  </c:pt>
                  <c:pt idx="118">
                    <c:v>1qEne</c:v>
                  </c:pt>
                  <c:pt idx="119">
                    <c:v>2qEne</c:v>
                  </c:pt>
                  <c:pt idx="120">
                    <c:v>1qFeb</c:v>
                  </c:pt>
                  <c:pt idx="121">
                    <c:v>2qFeb</c:v>
                  </c:pt>
                  <c:pt idx="122">
                    <c:v>1qMar</c:v>
                  </c:pt>
                  <c:pt idx="123">
                    <c:v>2qMar</c:v>
                  </c:pt>
                  <c:pt idx="124">
                    <c:v>1qAbr</c:v>
                  </c:pt>
                  <c:pt idx="125">
                    <c:v>2qAbr</c:v>
                  </c:pt>
                  <c:pt idx="126">
                    <c:v>1qMay</c:v>
                  </c:pt>
                  <c:pt idx="127">
                    <c:v>2qMay</c:v>
                  </c:pt>
                  <c:pt idx="128">
                    <c:v>1qJun</c:v>
                  </c:pt>
                  <c:pt idx="129">
                    <c:v>2qJun</c:v>
                  </c:pt>
                  <c:pt idx="130">
                    <c:v>1qJul</c:v>
                  </c:pt>
                  <c:pt idx="131">
                    <c:v>2qJul</c:v>
                  </c:pt>
                  <c:pt idx="132">
                    <c:v>1qAgo</c:v>
                  </c:pt>
                  <c:pt idx="133">
                    <c:v>2qAgo</c:v>
                  </c:pt>
                  <c:pt idx="134">
                    <c:v>1qSep</c:v>
                  </c:pt>
                  <c:pt idx="135">
                    <c:v>2qSep</c:v>
                  </c:pt>
                  <c:pt idx="136">
                    <c:v>1qOct</c:v>
                  </c:pt>
                  <c:pt idx="137">
                    <c:v>2qOct</c:v>
                  </c:pt>
                  <c:pt idx="138">
                    <c:v>1qNov</c:v>
                  </c:pt>
                  <c:pt idx="139">
                    <c:v>2qNov</c:v>
                  </c:pt>
                  <c:pt idx="140">
                    <c:v>1qDic</c:v>
                  </c:pt>
                  <c:pt idx="141">
                    <c:v>2qDic</c:v>
                  </c:pt>
                  <c:pt idx="142">
                    <c:v>1qEne</c:v>
                  </c:pt>
                  <c:pt idx="143">
                    <c:v>2qEne</c:v>
                  </c:pt>
                  <c:pt idx="144">
                    <c:v>1qFeb</c:v>
                  </c:pt>
                  <c:pt idx="145">
                    <c:v>2qFeb</c:v>
                  </c:pt>
                  <c:pt idx="146">
                    <c:v>1qMar</c:v>
                  </c:pt>
                  <c:pt idx="147">
                    <c:v>2qMar</c:v>
                  </c:pt>
                  <c:pt idx="148">
                    <c:v>1qAbr</c:v>
                  </c:pt>
                  <c:pt idx="149">
                    <c:v>2qAbr</c:v>
                  </c:pt>
                  <c:pt idx="150">
                    <c:v>1qMay</c:v>
                  </c:pt>
                  <c:pt idx="151">
                    <c:v>2qMay</c:v>
                  </c:pt>
                  <c:pt idx="152">
                    <c:v>1qJun</c:v>
                  </c:pt>
                  <c:pt idx="153">
                    <c:v>2qJun</c:v>
                  </c:pt>
                  <c:pt idx="154">
                    <c:v>1qJul</c:v>
                  </c:pt>
                  <c:pt idx="155">
                    <c:v>2qJul</c:v>
                  </c:pt>
                  <c:pt idx="156">
                    <c:v>1qAgo</c:v>
                  </c:pt>
                  <c:pt idx="157">
                    <c:v>2qAgo</c:v>
                  </c:pt>
                  <c:pt idx="158">
                    <c:v>1qSep</c:v>
                  </c:pt>
                  <c:pt idx="159">
                    <c:v>2qSep</c:v>
                  </c:pt>
                  <c:pt idx="160">
                    <c:v>1qOct</c:v>
                  </c:pt>
                  <c:pt idx="161">
                    <c:v>2qOct</c:v>
                  </c:pt>
                  <c:pt idx="162">
                    <c:v>1qNov</c:v>
                  </c:pt>
                  <c:pt idx="163">
                    <c:v>2qNov</c:v>
                  </c:pt>
                  <c:pt idx="164">
                    <c:v>1qDic</c:v>
                  </c:pt>
                  <c:pt idx="165">
                    <c:v>2qDic</c:v>
                  </c:pt>
                  <c:pt idx="166">
                    <c:v>1qEne</c:v>
                  </c:pt>
                  <c:pt idx="167">
                    <c:v>2qEne</c:v>
                  </c:pt>
                  <c:pt idx="168">
                    <c:v>1qFeb</c:v>
                  </c:pt>
                  <c:pt idx="169">
                    <c:v>2qFeb</c:v>
                  </c:pt>
                  <c:pt idx="170">
                    <c:v>1qMar</c:v>
                  </c:pt>
                  <c:pt idx="171">
                    <c:v>2qMar</c:v>
                  </c:pt>
                  <c:pt idx="172">
                    <c:v>1qAbr</c:v>
                  </c:pt>
                  <c:pt idx="173">
                    <c:v>2qAbr</c:v>
                  </c:pt>
                  <c:pt idx="174">
                    <c:v>1qMay</c:v>
                  </c:pt>
                  <c:pt idx="175">
                    <c:v>2qMay</c:v>
                  </c:pt>
                  <c:pt idx="176">
                    <c:v>1qJun</c:v>
                  </c:pt>
                  <c:pt idx="177">
                    <c:v>2qJun</c:v>
                  </c:pt>
                  <c:pt idx="178">
                    <c:v>1qJul</c:v>
                  </c:pt>
                  <c:pt idx="179">
                    <c:v>2qJul</c:v>
                  </c:pt>
                  <c:pt idx="180">
                    <c:v>1qAgo</c:v>
                  </c:pt>
                  <c:pt idx="181">
                    <c:v>2qAgo</c:v>
                  </c:pt>
                  <c:pt idx="182">
                    <c:v>1qSep</c:v>
                  </c:pt>
                  <c:pt idx="183">
                    <c:v>2qSep</c:v>
                  </c:pt>
                  <c:pt idx="184">
                    <c:v>1qOct</c:v>
                  </c:pt>
                  <c:pt idx="185">
                    <c:v>2qOct</c:v>
                  </c:pt>
                  <c:pt idx="186">
                    <c:v>1qNov</c:v>
                  </c:pt>
                  <c:pt idx="187">
                    <c:v>2qNov</c:v>
                  </c:pt>
                  <c:pt idx="188">
                    <c:v>1qDic</c:v>
                  </c:pt>
                  <c:pt idx="189">
                    <c:v>2qDic</c:v>
                  </c:pt>
                  <c:pt idx="190">
                    <c:v>1qEne</c:v>
                  </c:pt>
                  <c:pt idx="191">
                    <c:v>2qEne</c:v>
                  </c:pt>
                  <c:pt idx="192">
                    <c:v>1qFeb</c:v>
                  </c:pt>
                  <c:pt idx="193">
                    <c:v>2qFeb</c:v>
                  </c:pt>
                  <c:pt idx="194">
                    <c:v>1qMar</c:v>
                  </c:pt>
                  <c:pt idx="195">
                    <c:v>2qMar</c:v>
                  </c:pt>
                  <c:pt idx="196">
                    <c:v>1qAbr</c:v>
                  </c:pt>
                  <c:pt idx="197">
                    <c:v>2qAbr</c:v>
                  </c:pt>
                  <c:pt idx="198">
                    <c:v>1qMay</c:v>
                  </c:pt>
                  <c:pt idx="199">
                    <c:v>2qMay</c:v>
                  </c:pt>
                  <c:pt idx="200">
                    <c:v>1qJun</c:v>
                  </c:pt>
                  <c:pt idx="201">
                    <c:v>2qJun</c:v>
                  </c:pt>
                  <c:pt idx="202">
                    <c:v>1qJul</c:v>
                  </c:pt>
                  <c:pt idx="203">
                    <c:v>2qJul</c:v>
                  </c:pt>
                  <c:pt idx="204">
                    <c:v>1qAgo</c:v>
                  </c:pt>
                  <c:pt idx="205">
                    <c:v>2qAgo</c:v>
                  </c:pt>
                  <c:pt idx="206">
                    <c:v>1qSep</c:v>
                  </c:pt>
                  <c:pt idx="207">
                    <c:v>2qSep</c:v>
                  </c:pt>
                  <c:pt idx="208">
                    <c:v>1qOct</c:v>
                  </c:pt>
                  <c:pt idx="209">
                    <c:v>2qOct</c:v>
                  </c:pt>
                  <c:pt idx="210">
                    <c:v>1qNov</c:v>
                  </c:pt>
                  <c:pt idx="211">
                    <c:v>2qNov</c:v>
                  </c:pt>
                  <c:pt idx="212">
                    <c:v>1qDic</c:v>
                  </c:pt>
                  <c:pt idx="213">
                    <c:v>2qDic</c:v>
                  </c:pt>
                  <c:pt idx="214">
                    <c:v>1qEne</c:v>
                  </c:pt>
                  <c:pt idx="215">
                    <c:v>2qEne</c:v>
                  </c:pt>
                  <c:pt idx="216">
                    <c:v>1qFeb</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2011</c:v>
                  </c:pt>
                  <c:pt idx="19">
                    <c:v>2011</c:v>
                  </c:pt>
                  <c:pt idx="20">
                    <c:v>2011</c:v>
                  </c:pt>
                  <c:pt idx="21">
                    <c:v>2011</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2012</c:v>
                  </c:pt>
                  <c:pt idx="43">
                    <c:v>2012</c:v>
                  </c:pt>
                  <c:pt idx="44">
                    <c:v>2012</c:v>
                  </c:pt>
                  <c:pt idx="45">
                    <c:v>2012</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2013</c:v>
                  </c:pt>
                  <c:pt idx="67">
                    <c:v>2013</c:v>
                  </c:pt>
                  <c:pt idx="68">
                    <c:v>2013</c:v>
                  </c:pt>
                  <c:pt idx="69">
                    <c:v>2013</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2014</c:v>
                  </c:pt>
                  <c:pt idx="91">
                    <c:v>2014</c:v>
                  </c:pt>
                  <c:pt idx="92">
                    <c:v>2014</c:v>
                  </c:pt>
                  <c:pt idx="93">
                    <c:v>2014</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2015</c:v>
                  </c:pt>
                  <c:pt idx="115">
                    <c:v>2015</c:v>
                  </c:pt>
                  <c:pt idx="116">
                    <c:v>2015</c:v>
                  </c:pt>
                  <c:pt idx="117">
                    <c:v>2015</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2018</c:v>
                  </c:pt>
                  <c:pt idx="187">
                    <c:v>2018</c:v>
                  </c:pt>
                  <c:pt idx="188">
                    <c:v>2018</c:v>
                  </c:pt>
                  <c:pt idx="189">
                    <c:v>2018</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2019</c:v>
                  </c:pt>
                  <c:pt idx="211">
                    <c:v>2019</c:v>
                  </c:pt>
                  <c:pt idx="212">
                    <c:v>2019</c:v>
                  </c:pt>
                  <c:pt idx="213">
                    <c:v>2019</c:v>
                  </c:pt>
                  <c:pt idx="214">
                    <c:v>2020</c:v>
                  </c:pt>
                  <c:pt idx="215">
                    <c:v>2020</c:v>
                  </c:pt>
                  <c:pt idx="216">
                    <c:v>2020</c:v>
                  </c:pt>
                </c:lvl>
              </c:multiLvlStrCache>
            </c:multiLvlStrRef>
          </c:cat>
          <c:val>
            <c:numRef>
              <c:f>'Datos base 2q jul 2018'!$D$127:$D$343</c:f>
              <c:numCache>
                <c:formatCode>0.00</c:formatCode>
                <c:ptCount val="217"/>
                <c:pt idx="0">
                  <c:v>3.6302152244404797</c:v>
                </c:pt>
                <c:pt idx="1">
                  <c:v>3.5146448567659192</c:v>
                </c:pt>
                <c:pt idx="2">
                  <c:v>3.0937330026878893</c:v>
                </c:pt>
                <c:pt idx="3">
                  <c:v>2.9843468877447852</c:v>
                </c:pt>
                <c:pt idx="4">
                  <c:v>3.2090842412423868</c:v>
                </c:pt>
                <c:pt idx="5">
                  <c:v>3.5135550128823168</c:v>
                </c:pt>
                <c:pt idx="6">
                  <c:v>3.2932276039741049</c:v>
                </c:pt>
                <c:pt idx="7">
                  <c:v>3.2050516543190244</c:v>
                </c:pt>
                <c:pt idx="8">
                  <c:v>3.1930886294055965</c:v>
                </c:pt>
                <c:pt idx="9">
                  <c:v>3.3587924763331376</c:v>
                </c:pt>
                <c:pt idx="10">
                  <c:v>3.5316839116409047</c:v>
                </c:pt>
                <c:pt idx="11">
                  <c:v>3.5629180493136987</c:v>
                </c:pt>
                <c:pt idx="12">
                  <c:v>3.4883488499027955</c:v>
                </c:pt>
                <c:pt idx="13">
                  <c:v>3.359849252420779</c:v>
                </c:pt>
                <c:pt idx="14">
                  <c:v>3.1629588224922878</c:v>
                </c:pt>
                <c:pt idx="15">
                  <c:v>3.1095977378210056</c:v>
                </c:pt>
                <c:pt idx="16">
                  <c:v>3.243702345239686</c:v>
                </c:pt>
                <c:pt idx="17">
                  <c:v>3.1486809618453258</c:v>
                </c:pt>
                <c:pt idx="18">
                  <c:v>3.4401740925578399</c:v>
                </c:pt>
                <c:pt idx="19">
                  <c:v>3.5244591247818238</c:v>
                </c:pt>
                <c:pt idx="20">
                  <c:v>3.8476626763248998</c:v>
                </c:pt>
                <c:pt idx="21">
                  <c:v>3.7899999999999849</c:v>
                </c:pt>
                <c:pt idx="22">
                  <c:v>3.9391458861580833</c:v>
                </c:pt>
                <c:pt idx="23">
                  <c:v>4.154284916535369</c:v>
                </c:pt>
                <c:pt idx="24">
                  <c:v>4.0124193933604211</c:v>
                </c:pt>
                <c:pt idx="25">
                  <c:v>3.7241858617950871</c:v>
                </c:pt>
                <c:pt idx="26">
                  <c:v>3.7233673054212901</c:v>
                </c:pt>
                <c:pt idx="27">
                  <c:v>3.7352217725938246</c:v>
                </c:pt>
                <c:pt idx="28">
                  <c:v>3.396106539068628</c:v>
                </c:pt>
                <c:pt idx="29">
                  <c:v>3.4260159054399768</c:v>
                </c:pt>
                <c:pt idx="30">
                  <c:v>3.7096613048256435</c:v>
                </c:pt>
                <c:pt idx="31">
                  <c:v>3.9939600603993903</c:v>
                </c:pt>
                <c:pt idx="32">
                  <c:v>4.302323254557459</c:v>
                </c:pt>
                <c:pt idx="33">
                  <c:v>4.3691017126878737</c:v>
                </c:pt>
                <c:pt idx="34">
                  <c:v>4.4459487710426178</c:v>
                </c:pt>
                <c:pt idx="35">
                  <c:v>4.3929934786066402</c:v>
                </c:pt>
                <c:pt idx="36">
                  <c:v>4.445857088937017</c:v>
                </c:pt>
                <c:pt idx="37">
                  <c:v>4.690014103811996</c:v>
                </c:pt>
                <c:pt idx="38">
                  <c:v>4.7296694583477903</c:v>
                </c:pt>
                <c:pt idx="39">
                  <c:v>4.8148735117573711</c:v>
                </c:pt>
                <c:pt idx="40">
                  <c:v>4.6447522569085571</c:v>
                </c:pt>
                <c:pt idx="41">
                  <c:v>4.5454545454545627</c:v>
                </c:pt>
                <c:pt idx="42">
                  <c:v>4.361637855430601</c:v>
                </c:pt>
                <c:pt idx="43">
                  <c:v>3.9973927932134794</c:v>
                </c:pt>
                <c:pt idx="44">
                  <c:v>3.7575499457952515</c:v>
                </c:pt>
                <c:pt idx="45">
                  <c:v>3.3799017246362757</c:v>
                </c:pt>
                <c:pt idx="46">
                  <c:v>3.2107184018440211</c:v>
                </c:pt>
                <c:pt idx="47">
                  <c:v>3.2973345588235308</c:v>
                </c:pt>
                <c:pt idx="48">
                  <c:v>3.4720627631075369</c:v>
                </c:pt>
                <c:pt idx="49">
                  <c:v>3.634501440591146</c:v>
                </c:pt>
                <c:pt idx="50">
                  <c:v>4.1245299987562261</c:v>
                </c:pt>
                <c:pt idx="51">
                  <c:v>4.3809159575485159</c:v>
                </c:pt>
                <c:pt idx="52">
                  <c:v>4.7199339439675789</c:v>
                </c:pt>
                <c:pt idx="53">
                  <c:v>4.5800136144428123</c:v>
                </c:pt>
                <c:pt idx="54">
                  <c:v>4.7185534136778191</c:v>
                </c:pt>
                <c:pt idx="55">
                  <c:v>4.5444492523679036</c:v>
                </c:pt>
                <c:pt idx="56">
                  <c:v>4.2438079158912814</c:v>
                </c:pt>
                <c:pt idx="57">
                  <c:v>3.9316811788345425</c:v>
                </c:pt>
                <c:pt idx="58">
                  <c:v>3.528503483706158</c:v>
                </c:pt>
                <c:pt idx="59">
                  <c:v>3.4158326270581392</c:v>
                </c:pt>
                <c:pt idx="60">
                  <c:v>3.5443254655077352</c:v>
                </c:pt>
                <c:pt idx="61">
                  <c:v>3.3689423551288482</c:v>
                </c:pt>
                <c:pt idx="62">
                  <c:v>3.4599259939242977</c:v>
                </c:pt>
                <c:pt idx="63">
                  <c:v>3.3217097118664887</c:v>
                </c:pt>
                <c:pt idx="64">
                  <c:v>3.2720259654734472</c:v>
                </c:pt>
                <c:pt idx="65">
                  <c:v>3.4472049689440953</c:v>
                </c:pt>
                <c:pt idx="66">
                  <c:v>3.5108031896020431</c:v>
                </c:pt>
                <c:pt idx="67">
                  <c:v>3.7268126584409909</c:v>
                </c:pt>
                <c:pt idx="68">
                  <c:v>3.8602906879116397</c:v>
                </c:pt>
                <c:pt idx="69">
                  <c:v>4.0886130216779497</c:v>
                </c:pt>
                <c:pt idx="70">
                  <c:v>4.6313614918623145</c:v>
                </c:pt>
                <c:pt idx="71">
                  <c:v>4.335817298780249</c:v>
                </c:pt>
                <c:pt idx="72">
                  <c:v>4.2117818934987694</c:v>
                </c:pt>
                <c:pt idx="73">
                  <c:v>4.2551815864336904</c:v>
                </c:pt>
                <c:pt idx="74">
                  <c:v>3.8940752719788327</c:v>
                </c:pt>
                <c:pt idx="75">
                  <c:v>3.6227237753270081</c:v>
                </c:pt>
                <c:pt idx="76">
                  <c:v>3.5270926927661179</c:v>
                </c:pt>
                <c:pt idx="77">
                  <c:v>3.4672436238288107</c:v>
                </c:pt>
                <c:pt idx="78">
                  <c:v>3.4433905851832236</c:v>
                </c:pt>
                <c:pt idx="79">
                  <c:v>3.5779656184177719</c:v>
                </c:pt>
                <c:pt idx="80">
                  <c:v>3.7103156344897048</c:v>
                </c:pt>
                <c:pt idx="81">
                  <c:v>3.7958368241283909</c:v>
                </c:pt>
                <c:pt idx="82">
                  <c:v>4.001141605059888</c:v>
                </c:pt>
                <c:pt idx="83">
                  <c:v>4.144643547763315</c:v>
                </c:pt>
                <c:pt idx="84">
                  <c:v>4.0704989851305564</c:v>
                </c:pt>
                <c:pt idx="85">
                  <c:v>4.2283511541462131</c:v>
                </c:pt>
                <c:pt idx="86">
                  <c:v>4.2141177977187114</c:v>
                </c:pt>
                <c:pt idx="87">
                  <c:v>4.2200962189254909</c:v>
                </c:pt>
                <c:pt idx="88">
                  <c:v>4.319823636048949</c:v>
                </c:pt>
                <c:pt idx="89">
                  <c:v>4.275720276921116</c:v>
                </c:pt>
                <c:pt idx="90">
                  <c:v>4.1584730014974358</c:v>
                </c:pt>
                <c:pt idx="91">
                  <c:v>4.1791044776119204</c:v>
                </c:pt>
                <c:pt idx="92">
                  <c:v>4.191068156504886</c:v>
                </c:pt>
                <c:pt idx="93">
                  <c:v>3.9718852128754896</c:v>
                </c:pt>
                <c:pt idx="94">
                  <c:v>3.0807541800071165</c:v>
                </c:pt>
                <c:pt idx="95">
                  <c:v>3.0496579905836412</c:v>
                </c:pt>
                <c:pt idx="96">
                  <c:v>3.0353847245883201</c:v>
                </c:pt>
                <c:pt idx="97">
                  <c:v>2.9652270210409597</c:v>
                </c:pt>
                <c:pt idx="98">
                  <c:v>2.9724949146546393</c:v>
                </c:pt>
                <c:pt idx="99">
                  <c:v>3.3015990877509354</c:v>
                </c:pt>
                <c:pt idx="100">
                  <c:v>3.0270021343110427</c:v>
                </c:pt>
                <c:pt idx="101">
                  <c:v>3.0976430976431031</c:v>
                </c:pt>
                <c:pt idx="102">
                  <c:v>2.9303475507808314</c:v>
                </c:pt>
                <c:pt idx="103">
                  <c:v>2.8212163998188555</c:v>
                </c:pt>
                <c:pt idx="104">
                  <c:v>2.8739507728345943</c:v>
                </c:pt>
                <c:pt idx="105">
                  <c:v>2.8667222508027153</c:v>
                </c:pt>
                <c:pt idx="106">
                  <c:v>2.760146948169786</c:v>
                </c:pt>
                <c:pt idx="107">
                  <c:v>2.7188569306536725</c:v>
                </c:pt>
                <c:pt idx="108">
                  <c:v>2.6431212658741687</c:v>
                </c:pt>
                <c:pt idx="109">
                  <c:v>2.5325372924041352</c:v>
                </c:pt>
                <c:pt idx="110">
                  <c:v>2.5287457210567879</c:v>
                </c:pt>
                <c:pt idx="111">
                  <c:v>2.509039210868119</c:v>
                </c:pt>
                <c:pt idx="112">
                  <c:v>2.4730384665763943</c:v>
                </c:pt>
                <c:pt idx="113">
                  <c:v>2.4872844019088571</c:v>
                </c:pt>
                <c:pt idx="114">
                  <c:v>2.2672948349326192</c:v>
                </c:pt>
                <c:pt idx="115">
                  <c:v>2.1624148408487054</c:v>
                </c:pt>
                <c:pt idx="116">
                  <c:v>2.0026207348402476</c:v>
                </c:pt>
                <c:pt idx="117">
                  <c:v>2.2571283402657554</c:v>
                </c:pt>
                <c:pt idx="118">
                  <c:v>2.4761871893981242</c:v>
                </c:pt>
                <c:pt idx="119">
                  <c:v>2.7507909278208404</c:v>
                </c:pt>
                <c:pt idx="120">
                  <c:v>2.9356297093649055</c:v>
                </c:pt>
                <c:pt idx="121">
                  <c:v>2.7989537264889646</c:v>
                </c:pt>
                <c:pt idx="122">
                  <c:v>2.7131949394920647</c:v>
                </c:pt>
                <c:pt idx="123">
                  <c:v>2.4892608375691108</c:v>
                </c:pt>
                <c:pt idx="124">
                  <c:v>2.5985301070185352</c:v>
                </c:pt>
                <c:pt idx="125">
                  <c:v>2.4846161779366516</c:v>
                </c:pt>
                <c:pt idx="126">
                  <c:v>2.5324220876282051</c:v>
                </c:pt>
                <c:pt idx="127">
                  <c:v>2.6608975023318471</c:v>
                </c:pt>
                <c:pt idx="128">
                  <c:v>2.5487101198022941</c:v>
                </c:pt>
                <c:pt idx="129">
                  <c:v>2.528152861848342</c:v>
                </c:pt>
                <c:pt idx="130">
                  <c:v>2.7161599889734105</c:v>
                </c:pt>
                <c:pt idx="131">
                  <c:v>2.5935235078416721</c:v>
                </c:pt>
                <c:pt idx="132">
                  <c:v>2.7968841352271587</c:v>
                </c:pt>
                <c:pt idx="133">
                  <c:v>2.6580669540871518</c:v>
                </c:pt>
                <c:pt idx="134">
                  <c:v>2.8807218498257776</c:v>
                </c:pt>
                <c:pt idx="135">
                  <c:v>3.057179792306961</c:v>
                </c:pt>
                <c:pt idx="136">
                  <c:v>3.0891288230632474</c:v>
                </c:pt>
                <c:pt idx="137">
                  <c:v>3.0372678209646473</c:v>
                </c:pt>
                <c:pt idx="138">
                  <c:v>3.2942093050827412</c:v>
                </c:pt>
                <c:pt idx="139">
                  <c:v>3.3156240202682721</c:v>
                </c:pt>
                <c:pt idx="140">
                  <c:v>3.4786724250133023</c:v>
                </c:pt>
                <c:pt idx="141">
                  <c:v>3.2440080173822237</c:v>
                </c:pt>
                <c:pt idx="142">
                  <c:v>4.777981713169539</c:v>
                </c:pt>
                <c:pt idx="143">
                  <c:v>4.6587915499102257</c:v>
                </c:pt>
                <c:pt idx="144">
                  <c:v>4.7091204176217527</c:v>
                </c:pt>
                <c:pt idx="145">
                  <c:v>5.0202971332914927</c:v>
                </c:pt>
                <c:pt idx="146">
                  <c:v>5.2872313738607115</c:v>
                </c:pt>
                <c:pt idx="147">
                  <c:v>5.417839042840094</c:v>
                </c:pt>
                <c:pt idx="148">
                  <c:v>5.6234186229661951</c:v>
                </c:pt>
                <c:pt idx="149">
                  <c:v>6.0102140934363444</c:v>
                </c:pt>
                <c:pt idx="150">
                  <c:v>6.165838038257343</c:v>
                </c:pt>
                <c:pt idx="151">
                  <c:v>6.163087095878649</c:v>
                </c:pt>
                <c:pt idx="152">
                  <c:v>6.299623200107658</c:v>
                </c:pt>
                <c:pt idx="153">
                  <c:v>6.3268464164970579</c:v>
                </c:pt>
                <c:pt idx="154">
                  <c:v>6.2824985742561026</c:v>
                </c:pt>
                <c:pt idx="155">
                  <c:v>6.5938399322073762</c:v>
                </c:pt>
                <c:pt idx="156">
                  <c:v>6.5882687498431682</c:v>
                </c:pt>
                <c:pt idx="157">
                  <c:v>6.7378882818970585</c:v>
                </c:pt>
                <c:pt idx="158">
                  <c:v>6.5287578218612659</c:v>
                </c:pt>
                <c:pt idx="159">
                  <c:v>6.1664091445280791</c:v>
                </c:pt>
                <c:pt idx="160">
                  <c:v>6.2989782759646946</c:v>
                </c:pt>
                <c:pt idx="161">
                  <c:v>6.44321805654236</c:v>
                </c:pt>
                <c:pt idx="162">
                  <c:v>6.5947399488423954</c:v>
                </c:pt>
                <c:pt idx="163">
                  <c:v>6.67350118920693</c:v>
                </c:pt>
                <c:pt idx="164">
                  <c:v>6.694054901704555</c:v>
                </c:pt>
                <c:pt idx="165">
                  <c:v>6.8510693834934884</c:v>
                </c:pt>
                <c:pt idx="166">
                  <c:v>5.5090840424591905</c:v>
                </c:pt>
                <c:pt idx="167">
                  <c:v>5.5824989779313308</c:v>
                </c:pt>
                <c:pt idx="168">
                  <c:v>5.4472967250705189</c:v>
                </c:pt>
                <c:pt idx="169">
                  <c:v>5.2322013500912563</c:v>
                </c:pt>
                <c:pt idx="170">
                  <c:v>5.1734133886095535</c:v>
                </c:pt>
                <c:pt idx="171">
                  <c:v>4.8978298748613769</c:v>
                </c:pt>
                <c:pt idx="172">
                  <c:v>4.6926310779725515</c:v>
                </c:pt>
                <c:pt idx="173">
                  <c:v>4.4101128039615771</c:v>
                </c:pt>
                <c:pt idx="174">
                  <c:v>4.4591902339130147</c:v>
                </c:pt>
                <c:pt idx="175">
                  <c:v>4.5540631562264844</c:v>
                </c:pt>
                <c:pt idx="176">
                  <c:v>4.5361036823698937</c:v>
                </c:pt>
                <c:pt idx="177">
                  <c:v>4.7584019489199445</c:v>
                </c:pt>
                <c:pt idx="178">
                  <c:v>4.848217033465648</c:v>
                </c:pt>
                <c:pt idx="179">
                  <c:v>4.7746485524927875</c:v>
                </c:pt>
                <c:pt idx="180">
                  <c:v>4.8106327469043819</c:v>
                </c:pt>
                <c:pt idx="181">
                  <c:v>4.9991362129370582</c:v>
                </c:pt>
                <c:pt idx="182">
                  <c:v>4.875270500382749</c:v>
                </c:pt>
                <c:pt idx="183">
                  <c:v>5.1659896244943289</c:v>
                </c:pt>
                <c:pt idx="184">
                  <c:v>4.9352188627597346</c:v>
                </c:pt>
                <c:pt idx="185">
                  <c:v>4.8739609906784294</c:v>
                </c:pt>
                <c:pt idx="186">
                  <c:v>4.5607966774342428</c:v>
                </c:pt>
                <c:pt idx="187">
                  <c:v>4.8719965556213225</c:v>
                </c:pt>
                <c:pt idx="188">
                  <c:v>5.0045431705618117</c:v>
                </c:pt>
                <c:pt idx="189">
                  <c:v>4.6580435901155077</c:v>
                </c:pt>
                <c:pt idx="190">
                  <c:v>4.5239157686302747</c:v>
                </c:pt>
                <c:pt idx="191">
                  <c:v>4.2087945881513358</c:v>
                </c:pt>
                <c:pt idx="192">
                  <c:v>3.8917269000841048</c:v>
                </c:pt>
                <c:pt idx="193">
                  <c:v>3.9890243717717704</c:v>
                </c:pt>
                <c:pt idx="194">
                  <c:v>3.9499307543024047</c:v>
                </c:pt>
                <c:pt idx="195">
                  <c:v>4.0592034671257489</c:v>
                </c:pt>
                <c:pt idx="196">
                  <c:v>4.3839885442395508</c:v>
                </c:pt>
                <c:pt idx="197">
                  <c:v>4.4431349885217726</c:v>
                </c:pt>
                <c:pt idx="198">
                  <c:v>4.4323088028570456</c:v>
                </c:pt>
                <c:pt idx="199">
                  <c:v>4.1312712555516722</c:v>
                </c:pt>
                <c:pt idx="200">
                  <c:v>4.0008340965341755</c:v>
                </c:pt>
                <c:pt idx="201">
                  <c:v>3.8935918758730175</c:v>
                </c:pt>
                <c:pt idx="202">
                  <c:v>3.8420065175997649</c:v>
                </c:pt>
                <c:pt idx="203">
                  <c:v>3.7200000000000135</c:v>
                </c:pt>
                <c:pt idx="204">
                  <c:v>3.2877231097336064</c:v>
                </c:pt>
                <c:pt idx="205">
                  <c:v>3.0365358054868268</c:v>
                </c:pt>
                <c:pt idx="206">
                  <c:v>2.9861696326773419</c:v>
                </c:pt>
                <c:pt idx="207">
                  <c:v>3.0078241061701556</c:v>
                </c:pt>
                <c:pt idx="208">
                  <c:v>3.0067474253245492</c:v>
                </c:pt>
                <c:pt idx="209">
                  <c:v>3.032243446393919</c:v>
                </c:pt>
                <c:pt idx="210">
                  <c:v>3.1008890455488989</c:v>
                </c:pt>
                <c:pt idx="211">
                  <c:v>2.8495310959960203</c:v>
                </c:pt>
                <c:pt idx="212">
                  <c:v>2.6336985317664396</c:v>
                </c:pt>
                <c:pt idx="213">
                  <c:v>3.0225648594065553</c:v>
                </c:pt>
                <c:pt idx="214">
                  <c:v>3.1841326802773886</c:v>
                </c:pt>
                <c:pt idx="215">
                  <c:v>3.2915664520133503</c:v>
                </c:pt>
                <c:pt idx="216">
                  <c:v>3.5210515586016711</c:v>
                </c:pt>
              </c:numCache>
            </c:numRef>
          </c:val>
          <c:smooth val="0"/>
          <c:extLst>
            <c:ext xmlns:c16="http://schemas.microsoft.com/office/drawing/2014/chart" uri="{C3380CC4-5D6E-409C-BE32-E72D297353CC}">
              <c16:uniqueId val="{00000001-F8CD-49FD-9394-EA30463E2D65}"/>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6350060993729E-4"/>
                  <c:y val="-3.0927366943380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C3-4A26-AC57-15B1E347590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2018'!$A$127:$B$343</c:f>
              <c:multiLvlStrCache>
                <c:ptCount val="217"/>
                <c:lvl>
                  <c:pt idx="0">
                    <c:v>1qFeb</c:v>
                  </c:pt>
                  <c:pt idx="1">
                    <c:v>2qFeb</c:v>
                  </c:pt>
                  <c:pt idx="2">
                    <c:v>1qMar</c:v>
                  </c:pt>
                  <c:pt idx="3">
                    <c:v>2qMar</c:v>
                  </c:pt>
                  <c:pt idx="4">
                    <c:v>1qAbr</c:v>
                  </c:pt>
                  <c:pt idx="5">
                    <c:v>2qAbr</c:v>
                  </c:pt>
                  <c:pt idx="6">
                    <c:v>1qMay</c:v>
                  </c:pt>
                  <c:pt idx="7">
                    <c:v>2qMay</c:v>
                  </c:pt>
                  <c:pt idx="8">
                    <c:v>1qJun</c:v>
                  </c:pt>
                  <c:pt idx="9">
                    <c:v>2qJun</c:v>
                  </c:pt>
                  <c:pt idx="10">
                    <c:v>1qJul</c:v>
                  </c:pt>
                  <c:pt idx="11">
                    <c:v>2qJul</c:v>
                  </c:pt>
                  <c:pt idx="12">
                    <c:v>1qAgo</c:v>
                  </c:pt>
                  <c:pt idx="13">
                    <c:v>2qAgo</c:v>
                  </c:pt>
                  <c:pt idx="14">
                    <c:v>1qSep</c:v>
                  </c:pt>
                  <c:pt idx="15">
                    <c:v>2qSep</c:v>
                  </c:pt>
                  <c:pt idx="16">
                    <c:v>1qOct</c:v>
                  </c:pt>
                  <c:pt idx="17">
                    <c:v>2qOct</c:v>
                  </c:pt>
                  <c:pt idx="18">
                    <c:v>1qNov</c:v>
                  </c:pt>
                  <c:pt idx="19">
                    <c:v>2qNov</c:v>
                  </c:pt>
                  <c:pt idx="20">
                    <c:v>1qDic</c:v>
                  </c:pt>
                  <c:pt idx="21">
                    <c:v>2qDic</c:v>
                  </c:pt>
                  <c:pt idx="22">
                    <c:v>1qEne</c:v>
                  </c:pt>
                  <c:pt idx="23">
                    <c:v>2qEne</c:v>
                  </c:pt>
                  <c:pt idx="24">
                    <c:v>1qFeb</c:v>
                  </c:pt>
                  <c:pt idx="25">
                    <c:v>2qFeb</c:v>
                  </c:pt>
                  <c:pt idx="26">
                    <c:v>1qMar</c:v>
                  </c:pt>
                  <c:pt idx="27">
                    <c:v>2qMar</c:v>
                  </c:pt>
                  <c:pt idx="28">
                    <c:v>1qAbr</c:v>
                  </c:pt>
                  <c:pt idx="29">
                    <c:v>2qAbr</c:v>
                  </c:pt>
                  <c:pt idx="30">
                    <c:v>1qMay</c:v>
                  </c:pt>
                  <c:pt idx="31">
                    <c:v>2qMay</c:v>
                  </c:pt>
                  <c:pt idx="32">
                    <c:v>1qJun</c:v>
                  </c:pt>
                  <c:pt idx="33">
                    <c:v>2qJun</c:v>
                  </c:pt>
                  <c:pt idx="34">
                    <c:v>1qJul</c:v>
                  </c:pt>
                  <c:pt idx="35">
                    <c:v>2qJul</c:v>
                  </c:pt>
                  <c:pt idx="36">
                    <c:v>1qAgo</c:v>
                  </c:pt>
                  <c:pt idx="37">
                    <c:v>2qAgo</c:v>
                  </c:pt>
                  <c:pt idx="38">
                    <c:v>1qSep</c:v>
                  </c:pt>
                  <c:pt idx="39">
                    <c:v>2qSep</c:v>
                  </c:pt>
                  <c:pt idx="40">
                    <c:v>1qOct</c:v>
                  </c:pt>
                  <c:pt idx="41">
                    <c:v>2qOct</c:v>
                  </c:pt>
                  <c:pt idx="42">
                    <c:v>1qNov</c:v>
                  </c:pt>
                  <c:pt idx="43">
                    <c:v>2qNov</c:v>
                  </c:pt>
                  <c:pt idx="44">
                    <c:v>1qDic</c:v>
                  </c:pt>
                  <c:pt idx="45">
                    <c:v>2qDic</c:v>
                  </c:pt>
                  <c:pt idx="46">
                    <c:v>1qEne</c:v>
                  </c:pt>
                  <c:pt idx="47">
                    <c:v>2qEne</c:v>
                  </c:pt>
                  <c:pt idx="48">
                    <c:v>1qFeb</c:v>
                  </c:pt>
                  <c:pt idx="49">
                    <c:v>2qFeb</c:v>
                  </c:pt>
                  <c:pt idx="50">
                    <c:v>1qMar</c:v>
                  </c:pt>
                  <c:pt idx="51">
                    <c:v>2qMar</c:v>
                  </c:pt>
                  <c:pt idx="52">
                    <c:v>1qAbr</c:v>
                  </c:pt>
                  <c:pt idx="53">
                    <c:v>2qAbr</c:v>
                  </c:pt>
                  <c:pt idx="54">
                    <c:v>1qMay</c:v>
                  </c:pt>
                  <c:pt idx="55">
                    <c:v>2qMay</c:v>
                  </c:pt>
                  <c:pt idx="56">
                    <c:v>1qJun</c:v>
                  </c:pt>
                  <c:pt idx="57">
                    <c:v>2qJun</c:v>
                  </c:pt>
                  <c:pt idx="58">
                    <c:v>1qJul</c:v>
                  </c:pt>
                  <c:pt idx="59">
                    <c:v>2qJul</c:v>
                  </c:pt>
                  <c:pt idx="60">
                    <c:v>1qAgo</c:v>
                  </c:pt>
                  <c:pt idx="61">
                    <c:v>2qAgo</c:v>
                  </c:pt>
                  <c:pt idx="62">
                    <c:v>1qSep</c:v>
                  </c:pt>
                  <c:pt idx="63">
                    <c:v>2qSep</c:v>
                  </c:pt>
                  <c:pt idx="64">
                    <c:v>1qOct</c:v>
                  </c:pt>
                  <c:pt idx="65">
                    <c:v>2qOct</c:v>
                  </c:pt>
                  <c:pt idx="66">
                    <c:v>1qNov</c:v>
                  </c:pt>
                  <c:pt idx="67">
                    <c:v>2qNov</c:v>
                  </c:pt>
                  <c:pt idx="68">
                    <c:v>1qDic</c:v>
                  </c:pt>
                  <c:pt idx="69">
                    <c:v>2qDic</c:v>
                  </c:pt>
                  <c:pt idx="70">
                    <c:v>1qEne</c:v>
                  </c:pt>
                  <c:pt idx="71">
                    <c:v>2qEne</c:v>
                  </c:pt>
                  <c:pt idx="72">
                    <c:v>1qFeb</c:v>
                  </c:pt>
                  <c:pt idx="73">
                    <c:v>2qFeb</c:v>
                  </c:pt>
                  <c:pt idx="74">
                    <c:v>1qMar</c:v>
                  </c:pt>
                  <c:pt idx="75">
                    <c:v>2qMar</c:v>
                  </c:pt>
                  <c:pt idx="76">
                    <c:v>1qAbr</c:v>
                  </c:pt>
                  <c:pt idx="77">
                    <c:v>2qAbr</c:v>
                  </c:pt>
                  <c:pt idx="78">
                    <c:v>1qMay</c:v>
                  </c:pt>
                  <c:pt idx="79">
                    <c:v>2qMay</c:v>
                  </c:pt>
                  <c:pt idx="80">
                    <c:v>1qJun</c:v>
                  </c:pt>
                  <c:pt idx="81">
                    <c:v>2qJun</c:v>
                  </c:pt>
                  <c:pt idx="82">
                    <c:v>1qJul</c:v>
                  </c:pt>
                  <c:pt idx="83">
                    <c:v>2qJul</c:v>
                  </c:pt>
                  <c:pt idx="84">
                    <c:v>1qAgo</c:v>
                  </c:pt>
                  <c:pt idx="85">
                    <c:v>2qAgo</c:v>
                  </c:pt>
                  <c:pt idx="86">
                    <c:v>1qSep</c:v>
                  </c:pt>
                  <c:pt idx="87">
                    <c:v>2qSep</c:v>
                  </c:pt>
                  <c:pt idx="88">
                    <c:v>1qOct</c:v>
                  </c:pt>
                  <c:pt idx="89">
                    <c:v>2qOct</c:v>
                  </c:pt>
                  <c:pt idx="90">
                    <c:v>1qNov</c:v>
                  </c:pt>
                  <c:pt idx="91">
                    <c:v>2qNov</c:v>
                  </c:pt>
                  <c:pt idx="92">
                    <c:v>1qDic</c:v>
                  </c:pt>
                  <c:pt idx="93">
                    <c:v>2qDic</c:v>
                  </c:pt>
                  <c:pt idx="94">
                    <c:v>1qEne</c:v>
                  </c:pt>
                  <c:pt idx="95">
                    <c:v>2qEne</c:v>
                  </c:pt>
                  <c:pt idx="96">
                    <c:v>1qFeb</c:v>
                  </c:pt>
                  <c:pt idx="97">
                    <c:v>2qFeb</c:v>
                  </c:pt>
                  <c:pt idx="98">
                    <c:v>1qMar</c:v>
                  </c:pt>
                  <c:pt idx="99">
                    <c:v>2qMar</c:v>
                  </c:pt>
                  <c:pt idx="100">
                    <c:v>1qAbr</c:v>
                  </c:pt>
                  <c:pt idx="101">
                    <c:v>2qAbr</c:v>
                  </c:pt>
                  <c:pt idx="102">
                    <c:v>1qMay</c:v>
                  </c:pt>
                  <c:pt idx="103">
                    <c:v>2qMay</c:v>
                  </c:pt>
                  <c:pt idx="104">
                    <c:v>1qJun</c:v>
                  </c:pt>
                  <c:pt idx="105">
                    <c:v>2qJun</c:v>
                  </c:pt>
                  <c:pt idx="106">
                    <c:v>1qJul</c:v>
                  </c:pt>
                  <c:pt idx="107">
                    <c:v>2qJul</c:v>
                  </c:pt>
                  <c:pt idx="108">
                    <c:v>1qAgo</c:v>
                  </c:pt>
                  <c:pt idx="109">
                    <c:v>2qAgo</c:v>
                  </c:pt>
                  <c:pt idx="110">
                    <c:v>1qSep</c:v>
                  </c:pt>
                  <c:pt idx="111">
                    <c:v>2qSep</c:v>
                  </c:pt>
                  <c:pt idx="112">
                    <c:v>1qOct</c:v>
                  </c:pt>
                  <c:pt idx="113">
                    <c:v>2qOct</c:v>
                  </c:pt>
                  <c:pt idx="114">
                    <c:v>1qNov</c:v>
                  </c:pt>
                  <c:pt idx="115">
                    <c:v>2qNov</c:v>
                  </c:pt>
                  <c:pt idx="116">
                    <c:v>1qDic</c:v>
                  </c:pt>
                  <c:pt idx="117">
                    <c:v>2qDic</c:v>
                  </c:pt>
                  <c:pt idx="118">
                    <c:v>1qEne</c:v>
                  </c:pt>
                  <c:pt idx="119">
                    <c:v>2qEne</c:v>
                  </c:pt>
                  <c:pt idx="120">
                    <c:v>1qFeb</c:v>
                  </c:pt>
                  <c:pt idx="121">
                    <c:v>2qFeb</c:v>
                  </c:pt>
                  <c:pt idx="122">
                    <c:v>1qMar</c:v>
                  </c:pt>
                  <c:pt idx="123">
                    <c:v>2qMar</c:v>
                  </c:pt>
                  <c:pt idx="124">
                    <c:v>1qAbr</c:v>
                  </c:pt>
                  <c:pt idx="125">
                    <c:v>2qAbr</c:v>
                  </c:pt>
                  <c:pt idx="126">
                    <c:v>1qMay</c:v>
                  </c:pt>
                  <c:pt idx="127">
                    <c:v>2qMay</c:v>
                  </c:pt>
                  <c:pt idx="128">
                    <c:v>1qJun</c:v>
                  </c:pt>
                  <c:pt idx="129">
                    <c:v>2qJun</c:v>
                  </c:pt>
                  <c:pt idx="130">
                    <c:v>1qJul</c:v>
                  </c:pt>
                  <c:pt idx="131">
                    <c:v>2qJul</c:v>
                  </c:pt>
                  <c:pt idx="132">
                    <c:v>1qAgo</c:v>
                  </c:pt>
                  <c:pt idx="133">
                    <c:v>2qAgo</c:v>
                  </c:pt>
                  <c:pt idx="134">
                    <c:v>1qSep</c:v>
                  </c:pt>
                  <c:pt idx="135">
                    <c:v>2qSep</c:v>
                  </c:pt>
                  <c:pt idx="136">
                    <c:v>1qOct</c:v>
                  </c:pt>
                  <c:pt idx="137">
                    <c:v>2qOct</c:v>
                  </c:pt>
                  <c:pt idx="138">
                    <c:v>1qNov</c:v>
                  </c:pt>
                  <c:pt idx="139">
                    <c:v>2qNov</c:v>
                  </c:pt>
                  <c:pt idx="140">
                    <c:v>1qDic</c:v>
                  </c:pt>
                  <c:pt idx="141">
                    <c:v>2qDic</c:v>
                  </c:pt>
                  <c:pt idx="142">
                    <c:v>1qEne</c:v>
                  </c:pt>
                  <c:pt idx="143">
                    <c:v>2qEne</c:v>
                  </c:pt>
                  <c:pt idx="144">
                    <c:v>1qFeb</c:v>
                  </c:pt>
                  <c:pt idx="145">
                    <c:v>2qFeb</c:v>
                  </c:pt>
                  <c:pt idx="146">
                    <c:v>1qMar</c:v>
                  </c:pt>
                  <c:pt idx="147">
                    <c:v>2qMar</c:v>
                  </c:pt>
                  <c:pt idx="148">
                    <c:v>1qAbr</c:v>
                  </c:pt>
                  <c:pt idx="149">
                    <c:v>2qAbr</c:v>
                  </c:pt>
                  <c:pt idx="150">
                    <c:v>1qMay</c:v>
                  </c:pt>
                  <c:pt idx="151">
                    <c:v>2qMay</c:v>
                  </c:pt>
                  <c:pt idx="152">
                    <c:v>1qJun</c:v>
                  </c:pt>
                  <c:pt idx="153">
                    <c:v>2qJun</c:v>
                  </c:pt>
                  <c:pt idx="154">
                    <c:v>1qJul</c:v>
                  </c:pt>
                  <c:pt idx="155">
                    <c:v>2qJul</c:v>
                  </c:pt>
                  <c:pt idx="156">
                    <c:v>1qAgo</c:v>
                  </c:pt>
                  <c:pt idx="157">
                    <c:v>2qAgo</c:v>
                  </c:pt>
                  <c:pt idx="158">
                    <c:v>1qSep</c:v>
                  </c:pt>
                  <c:pt idx="159">
                    <c:v>2qSep</c:v>
                  </c:pt>
                  <c:pt idx="160">
                    <c:v>1qOct</c:v>
                  </c:pt>
                  <c:pt idx="161">
                    <c:v>2qOct</c:v>
                  </c:pt>
                  <c:pt idx="162">
                    <c:v>1qNov</c:v>
                  </c:pt>
                  <c:pt idx="163">
                    <c:v>2qNov</c:v>
                  </c:pt>
                  <c:pt idx="164">
                    <c:v>1qDic</c:v>
                  </c:pt>
                  <c:pt idx="165">
                    <c:v>2qDic</c:v>
                  </c:pt>
                  <c:pt idx="166">
                    <c:v>1qEne</c:v>
                  </c:pt>
                  <c:pt idx="167">
                    <c:v>2qEne</c:v>
                  </c:pt>
                  <c:pt idx="168">
                    <c:v>1qFeb</c:v>
                  </c:pt>
                  <c:pt idx="169">
                    <c:v>2qFeb</c:v>
                  </c:pt>
                  <c:pt idx="170">
                    <c:v>1qMar</c:v>
                  </c:pt>
                  <c:pt idx="171">
                    <c:v>2qMar</c:v>
                  </c:pt>
                  <c:pt idx="172">
                    <c:v>1qAbr</c:v>
                  </c:pt>
                  <c:pt idx="173">
                    <c:v>2qAbr</c:v>
                  </c:pt>
                  <c:pt idx="174">
                    <c:v>1qMay</c:v>
                  </c:pt>
                  <c:pt idx="175">
                    <c:v>2qMay</c:v>
                  </c:pt>
                  <c:pt idx="176">
                    <c:v>1qJun</c:v>
                  </c:pt>
                  <c:pt idx="177">
                    <c:v>2qJun</c:v>
                  </c:pt>
                  <c:pt idx="178">
                    <c:v>1qJul</c:v>
                  </c:pt>
                  <c:pt idx="179">
                    <c:v>2qJul</c:v>
                  </c:pt>
                  <c:pt idx="180">
                    <c:v>1qAgo</c:v>
                  </c:pt>
                  <c:pt idx="181">
                    <c:v>2qAgo</c:v>
                  </c:pt>
                  <c:pt idx="182">
                    <c:v>1qSep</c:v>
                  </c:pt>
                  <c:pt idx="183">
                    <c:v>2qSep</c:v>
                  </c:pt>
                  <c:pt idx="184">
                    <c:v>1qOct</c:v>
                  </c:pt>
                  <c:pt idx="185">
                    <c:v>2qOct</c:v>
                  </c:pt>
                  <c:pt idx="186">
                    <c:v>1qNov</c:v>
                  </c:pt>
                  <c:pt idx="187">
                    <c:v>2qNov</c:v>
                  </c:pt>
                  <c:pt idx="188">
                    <c:v>1qDic</c:v>
                  </c:pt>
                  <c:pt idx="189">
                    <c:v>2qDic</c:v>
                  </c:pt>
                  <c:pt idx="190">
                    <c:v>1qEne</c:v>
                  </c:pt>
                  <c:pt idx="191">
                    <c:v>2qEne</c:v>
                  </c:pt>
                  <c:pt idx="192">
                    <c:v>1qFeb</c:v>
                  </c:pt>
                  <c:pt idx="193">
                    <c:v>2qFeb</c:v>
                  </c:pt>
                  <c:pt idx="194">
                    <c:v>1qMar</c:v>
                  </c:pt>
                  <c:pt idx="195">
                    <c:v>2qMar</c:v>
                  </c:pt>
                  <c:pt idx="196">
                    <c:v>1qAbr</c:v>
                  </c:pt>
                  <c:pt idx="197">
                    <c:v>2qAbr</c:v>
                  </c:pt>
                  <c:pt idx="198">
                    <c:v>1qMay</c:v>
                  </c:pt>
                  <c:pt idx="199">
                    <c:v>2qMay</c:v>
                  </c:pt>
                  <c:pt idx="200">
                    <c:v>1qJun</c:v>
                  </c:pt>
                  <c:pt idx="201">
                    <c:v>2qJun</c:v>
                  </c:pt>
                  <c:pt idx="202">
                    <c:v>1qJul</c:v>
                  </c:pt>
                  <c:pt idx="203">
                    <c:v>2qJul</c:v>
                  </c:pt>
                  <c:pt idx="204">
                    <c:v>1qAgo</c:v>
                  </c:pt>
                  <c:pt idx="205">
                    <c:v>2qAgo</c:v>
                  </c:pt>
                  <c:pt idx="206">
                    <c:v>1qSep</c:v>
                  </c:pt>
                  <c:pt idx="207">
                    <c:v>2qSep</c:v>
                  </c:pt>
                  <c:pt idx="208">
                    <c:v>1qOct</c:v>
                  </c:pt>
                  <c:pt idx="209">
                    <c:v>2qOct</c:v>
                  </c:pt>
                  <c:pt idx="210">
                    <c:v>1qNov</c:v>
                  </c:pt>
                  <c:pt idx="211">
                    <c:v>2qNov</c:v>
                  </c:pt>
                  <c:pt idx="212">
                    <c:v>1qDic</c:v>
                  </c:pt>
                  <c:pt idx="213">
                    <c:v>2qDic</c:v>
                  </c:pt>
                  <c:pt idx="214">
                    <c:v>1qEne</c:v>
                  </c:pt>
                  <c:pt idx="215">
                    <c:v>2qEne</c:v>
                  </c:pt>
                  <c:pt idx="216">
                    <c:v>1qFeb</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2011</c:v>
                  </c:pt>
                  <c:pt idx="19">
                    <c:v>2011</c:v>
                  </c:pt>
                  <c:pt idx="20">
                    <c:v>2011</c:v>
                  </c:pt>
                  <c:pt idx="21">
                    <c:v>2011</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2012</c:v>
                  </c:pt>
                  <c:pt idx="43">
                    <c:v>2012</c:v>
                  </c:pt>
                  <c:pt idx="44">
                    <c:v>2012</c:v>
                  </c:pt>
                  <c:pt idx="45">
                    <c:v>2012</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2013</c:v>
                  </c:pt>
                  <c:pt idx="67">
                    <c:v>2013</c:v>
                  </c:pt>
                  <c:pt idx="68">
                    <c:v>2013</c:v>
                  </c:pt>
                  <c:pt idx="69">
                    <c:v>2013</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2014</c:v>
                  </c:pt>
                  <c:pt idx="91">
                    <c:v>2014</c:v>
                  </c:pt>
                  <c:pt idx="92">
                    <c:v>2014</c:v>
                  </c:pt>
                  <c:pt idx="93">
                    <c:v>2014</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2015</c:v>
                  </c:pt>
                  <c:pt idx="115">
                    <c:v>2015</c:v>
                  </c:pt>
                  <c:pt idx="116">
                    <c:v>2015</c:v>
                  </c:pt>
                  <c:pt idx="117">
                    <c:v>2015</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2018</c:v>
                  </c:pt>
                  <c:pt idx="187">
                    <c:v>2018</c:v>
                  </c:pt>
                  <c:pt idx="188">
                    <c:v>2018</c:v>
                  </c:pt>
                  <c:pt idx="189">
                    <c:v>2018</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2019</c:v>
                  </c:pt>
                  <c:pt idx="211">
                    <c:v>2019</c:v>
                  </c:pt>
                  <c:pt idx="212">
                    <c:v>2019</c:v>
                  </c:pt>
                  <c:pt idx="213">
                    <c:v>2019</c:v>
                  </c:pt>
                  <c:pt idx="214">
                    <c:v>2020</c:v>
                  </c:pt>
                  <c:pt idx="215">
                    <c:v>2020</c:v>
                  </c:pt>
                  <c:pt idx="216">
                    <c:v>2020</c:v>
                  </c:pt>
                </c:lvl>
              </c:multiLvlStrCache>
            </c:multiLvlStrRef>
          </c:cat>
          <c:val>
            <c:numRef>
              <c:f>'Datos base 2q jul 2018'!$G$127:$G$343</c:f>
              <c:numCache>
                <c:formatCode>0.00</c:formatCode>
                <c:ptCount val="217"/>
                <c:pt idx="0">
                  <c:v>3.284093532605644</c:v>
                </c:pt>
                <c:pt idx="1">
                  <c:v>3.2420763587380481</c:v>
                </c:pt>
                <c:pt idx="2">
                  <c:v>3.3126273858346695</c:v>
                </c:pt>
                <c:pt idx="3">
                  <c:v>3.1058183665068499</c:v>
                </c:pt>
                <c:pt idx="4">
                  <c:v>3.1887899782855382</c:v>
                </c:pt>
                <c:pt idx="5">
                  <c:v>3.1627609115809538</c:v>
                </c:pt>
                <c:pt idx="6">
                  <c:v>3.0704387444350338</c:v>
                </c:pt>
                <c:pt idx="7">
                  <c:v>3.1675679803258583</c:v>
                </c:pt>
                <c:pt idx="8">
                  <c:v>3.1784688551868125</c:v>
                </c:pt>
                <c:pt idx="9">
                  <c:v>3.174532134833743</c:v>
                </c:pt>
                <c:pt idx="10">
                  <c:v>3.1775447147550926</c:v>
                </c:pt>
                <c:pt idx="11">
                  <c:v>3.2090061151539437</c:v>
                </c:pt>
                <c:pt idx="12">
                  <c:v>3.2099044914525385</c:v>
                </c:pt>
                <c:pt idx="13">
                  <c:v>3.2240468095810368</c:v>
                </c:pt>
                <c:pt idx="14">
                  <c:v>3.1070341731067495</c:v>
                </c:pt>
                <c:pt idx="15">
                  <c:v>3.1295735122399129</c:v>
                </c:pt>
                <c:pt idx="16">
                  <c:v>3.2170403952651889</c:v>
                </c:pt>
                <c:pt idx="17">
                  <c:v>3.1596477110608459</c:v>
                </c:pt>
                <c:pt idx="18">
                  <c:v>3.2263695510988706</c:v>
                </c:pt>
                <c:pt idx="19">
                  <c:v>3.326719597207064</c:v>
                </c:pt>
                <c:pt idx="20">
                  <c:v>3.3693342773077397</c:v>
                </c:pt>
                <c:pt idx="21">
                  <c:v>3.3368327183000202</c:v>
                </c:pt>
                <c:pt idx="22">
                  <c:v>3.3246329749717649</c:v>
                </c:pt>
                <c:pt idx="23">
                  <c:v>3.3627086437094307</c:v>
                </c:pt>
                <c:pt idx="24">
                  <c:v>3.4015148755654097</c:v>
                </c:pt>
                <c:pt idx="25">
                  <c:v>3.3327371604365053</c:v>
                </c:pt>
                <c:pt idx="26">
                  <c:v>3.2553184019739207</c:v>
                </c:pt>
                <c:pt idx="27">
                  <c:v>3.3673839150544809</c:v>
                </c:pt>
                <c:pt idx="28">
                  <c:v>3.3434372427197387</c:v>
                </c:pt>
                <c:pt idx="29">
                  <c:v>3.4345064040493498</c:v>
                </c:pt>
                <c:pt idx="30">
                  <c:v>3.5090861090997398</c:v>
                </c:pt>
                <c:pt idx="31">
                  <c:v>3.4496459587907644</c:v>
                </c:pt>
                <c:pt idx="32">
                  <c:v>3.5138071411092509</c:v>
                </c:pt>
                <c:pt idx="33">
                  <c:v>3.4911275160914821</c:v>
                </c:pt>
                <c:pt idx="34">
                  <c:v>3.5552667198767716</c:v>
                </c:pt>
                <c:pt idx="35">
                  <c:v>3.628890973374955</c:v>
                </c:pt>
                <c:pt idx="36">
                  <c:v>3.699449234809765</c:v>
                </c:pt>
                <c:pt idx="37">
                  <c:v>3.7010392130833916</c:v>
                </c:pt>
                <c:pt idx="38">
                  <c:v>3.5989553948191961</c:v>
                </c:pt>
                <c:pt idx="39">
                  <c:v>3.6175749418751248</c:v>
                </c:pt>
                <c:pt idx="40">
                  <c:v>3.5804788237867169</c:v>
                </c:pt>
                <c:pt idx="41">
                  <c:v>3.5710434435480733</c:v>
                </c:pt>
                <c:pt idx="42">
                  <c:v>3.497724814484096</c:v>
                </c:pt>
                <c:pt idx="43">
                  <c:v>3.0944012280048958</c:v>
                </c:pt>
                <c:pt idx="44">
                  <c:v>3.0040571360508883</c:v>
                </c:pt>
                <c:pt idx="45">
                  <c:v>2.7964321989406584</c:v>
                </c:pt>
                <c:pt idx="46">
                  <c:v>2.7763497027195498</c:v>
                </c:pt>
                <c:pt idx="47">
                  <c:v>2.9751754935712431</c:v>
                </c:pt>
                <c:pt idx="48">
                  <c:v>2.9575503875276712</c:v>
                </c:pt>
                <c:pt idx="49">
                  <c:v>2.9657092040579758</c:v>
                </c:pt>
                <c:pt idx="50">
                  <c:v>3.0602036721268644</c:v>
                </c:pt>
                <c:pt idx="51">
                  <c:v>2.9791164494705962</c:v>
                </c:pt>
                <c:pt idx="52">
                  <c:v>3.0026041070565621</c:v>
                </c:pt>
                <c:pt idx="53">
                  <c:v>2.8915458173883479</c:v>
                </c:pt>
                <c:pt idx="54">
                  <c:v>2.8909365438263444</c:v>
                </c:pt>
                <c:pt idx="55">
                  <c:v>2.8631679529443979</c:v>
                </c:pt>
                <c:pt idx="56">
                  <c:v>2.8307350923769405</c:v>
                </c:pt>
                <c:pt idx="57">
                  <c:v>2.7437282572557016</c:v>
                </c:pt>
                <c:pt idx="58">
                  <c:v>2.5697096747123833</c:v>
                </c:pt>
                <c:pt idx="59">
                  <c:v>2.4360903054217125</c:v>
                </c:pt>
                <c:pt idx="60">
                  <c:v>2.3835805910849777</c:v>
                </c:pt>
                <c:pt idx="61">
                  <c:v>2.3480634242683229</c:v>
                </c:pt>
                <c:pt idx="62">
                  <c:v>2.535276339954553</c:v>
                </c:pt>
                <c:pt idx="63">
                  <c:v>2.4965785009156081</c:v>
                </c:pt>
                <c:pt idx="64">
                  <c:v>2.4640712164855678</c:v>
                </c:pt>
                <c:pt idx="65">
                  <c:v>2.4948139964390839</c:v>
                </c:pt>
                <c:pt idx="66">
                  <c:v>2.4265245867401597</c:v>
                </c:pt>
                <c:pt idx="67">
                  <c:v>2.7038703266946786</c:v>
                </c:pt>
                <c:pt idx="68">
                  <c:v>2.751128068649233</c:v>
                </c:pt>
                <c:pt idx="69">
                  <c:v>2.8026579468947426</c:v>
                </c:pt>
                <c:pt idx="70">
                  <c:v>3.3301766974286218</c:v>
                </c:pt>
                <c:pt idx="71">
                  <c:v>3.1002666825252425</c:v>
                </c:pt>
                <c:pt idx="72">
                  <c:v>2.9720512722063508</c:v>
                </c:pt>
                <c:pt idx="73">
                  <c:v>2.9911409949387719</c:v>
                </c:pt>
                <c:pt idx="74">
                  <c:v>2.8393403954390637</c:v>
                </c:pt>
                <c:pt idx="75">
                  <c:v>2.9470966063651716</c:v>
                </c:pt>
                <c:pt idx="76">
                  <c:v>3.1650623331299617</c:v>
                </c:pt>
                <c:pt idx="77">
                  <c:v>3.0552508730965879</c:v>
                </c:pt>
                <c:pt idx="78">
                  <c:v>2.965790301060844</c:v>
                </c:pt>
                <c:pt idx="79">
                  <c:v>3.0412359691456019</c:v>
                </c:pt>
                <c:pt idx="80">
                  <c:v>3.0875416706861825</c:v>
                </c:pt>
                <c:pt idx="81">
                  <c:v>3.0926368076054618</c:v>
                </c:pt>
                <c:pt idx="82">
                  <c:v>3.2008508707259615</c:v>
                </c:pt>
                <c:pt idx="83">
                  <c:v>3.296727917181848</c:v>
                </c:pt>
                <c:pt idx="84">
                  <c:v>3.3403363995215916</c:v>
                </c:pt>
                <c:pt idx="85">
                  <c:v>3.4088159517772554</c:v>
                </c:pt>
                <c:pt idx="86">
                  <c:v>3.3443317105628387</c:v>
                </c:pt>
                <c:pt idx="87">
                  <c:v>3.3410517831071793</c:v>
                </c:pt>
                <c:pt idx="88">
                  <c:v>3.320114326066006</c:v>
                </c:pt>
                <c:pt idx="89">
                  <c:v>3.3125587217442973</c:v>
                </c:pt>
                <c:pt idx="90">
                  <c:v>3.3269143797989815</c:v>
                </c:pt>
                <c:pt idx="91">
                  <c:v>3.3597016646049473</c:v>
                </c:pt>
                <c:pt idx="92">
                  <c:v>3.2613173618448141</c:v>
                </c:pt>
                <c:pt idx="93">
                  <c:v>3.2283311008381563</c:v>
                </c:pt>
                <c:pt idx="94">
                  <c:v>2.4257619293549975</c:v>
                </c:pt>
                <c:pt idx="95">
                  <c:v>2.2512483178846994</c:v>
                </c:pt>
                <c:pt idx="96">
                  <c:v>2.4154760560769155</c:v>
                </c:pt>
                <c:pt idx="97">
                  <c:v>2.3803601042870661</c:v>
                </c:pt>
                <c:pt idx="98">
                  <c:v>2.4210809690652884</c:v>
                </c:pt>
                <c:pt idx="99">
                  <c:v>2.4716727562373664</c:v>
                </c:pt>
                <c:pt idx="100">
                  <c:v>2.22959038644635</c:v>
                </c:pt>
                <c:pt idx="101">
                  <c:v>2.3867779230047406</c:v>
                </c:pt>
                <c:pt idx="102">
                  <c:v>2.3645039102051868</c:v>
                </c:pt>
                <c:pt idx="103">
                  <c:v>2.2967267698564018</c:v>
                </c:pt>
                <c:pt idx="104">
                  <c:v>2.3068088582791066</c:v>
                </c:pt>
                <c:pt idx="105">
                  <c:v>2.3470897521408207</c:v>
                </c:pt>
                <c:pt idx="106">
                  <c:v>2.3048831870518853</c:v>
                </c:pt>
                <c:pt idx="107">
                  <c:v>2.3176027185983523</c:v>
                </c:pt>
                <c:pt idx="108">
                  <c:v>2.2916919550657333</c:v>
                </c:pt>
                <c:pt idx="109">
                  <c:v>2.3072511966621598</c:v>
                </c:pt>
                <c:pt idx="110">
                  <c:v>2.3401806229756428</c:v>
                </c:pt>
                <c:pt idx="111">
                  <c:v>2.4176421285037821</c:v>
                </c:pt>
                <c:pt idx="112">
                  <c:v>2.4587510846686191</c:v>
                </c:pt>
                <c:pt idx="113">
                  <c:v>2.4726079923024322</c:v>
                </c:pt>
                <c:pt idx="114">
                  <c:v>2.3463360125931945</c:v>
                </c:pt>
                <c:pt idx="115">
                  <c:v>2.3268213688759705</c:v>
                </c:pt>
                <c:pt idx="116">
                  <c:v>2.390553712314857</c:v>
                </c:pt>
                <c:pt idx="117">
                  <c:v>2.4333480158938574</c:v>
                </c:pt>
                <c:pt idx="118">
                  <c:v>2.6075350521938248</c:v>
                </c:pt>
                <c:pt idx="119">
                  <c:v>2.6792848558866034</c:v>
                </c:pt>
                <c:pt idx="120">
                  <c:v>2.6247721940712854</c:v>
                </c:pt>
                <c:pt idx="121">
                  <c:v>2.6999719049183106</c:v>
                </c:pt>
                <c:pt idx="122">
                  <c:v>2.8570717271853301</c:v>
                </c:pt>
                <c:pt idx="123">
                  <c:v>2.6643976864392171</c:v>
                </c:pt>
                <c:pt idx="124">
                  <c:v>2.7889505267186077</c:v>
                </c:pt>
                <c:pt idx="125">
                  <c:v>2.8653494472590446</c:v>
                </c:pt>
                <c:pt idx="126">
                  <c:v>2.9155541341971842</c:v>
                </c:pt>
                <c:pt idx="127">
                  <c:v>2.9400204454453038</c:v>
                </c:pt>
                <c:pt idx="128">
                  <c:v>2.9780685524937418</c:v>
                </c:pt>
                <c:pt idx="129">
                  <c:v>2.970805194310711</c:v>
                </c:pt>
                <c:pt idx="130">
                  <c:v>2.9869000821721321</c:v>
                </c:pt>
                <c:pt idx="131">
                  <c:v>2.958184265532811</c:v>
                </c:pt>
                <c:pt idx="132">
                  <c:v>2.9678902064447099</c:v>
                </c:pt>
                <c:pt idx="133">
                  <c:v>2.9539547347381339</c:v>
                </c:pt>
                <c:pt idx="134">
                  <c:v>3.0468116923746806</c:v>
                </c:pt>
                <c:pt idx="135">
                  <c:v>3.0912825950724891</c:v>
                </c:pt>
                <c:pt idx="136">
                  <c:v>3.1012509952726064</c:v>
                </c:pt>
                <c:pt idx="137">
                  <c:v>3.0947616902772506</c:v>
                </c:pt>
                <c:pt idx="138">
                  <c:v>3.3319998055344984</c:v>
                </c:pt>
                <c:pt idx="139">
                  <c:v>3.2541169825970431</c:v>
                </c:pt>
                <c:pt idx="140">
                  <c:v>3.4556844443457231</c:v>
                </c:pt>
                <c:pt idx="141">
                  <c:v>3.4190637781387228</c:v>
                </c:pt>
                <c:pt idx="142">
                  <c:v>3.7171121119421828</c:v>
                </c:pt>
                <c:pt idx="143">
                  <c:v>3.9541963785562761</c:v>
                </c:pt>
                <c:pt idx="144">
                  <c:v>4.1997330552909586</c:v>
                </c:pt>
                <c:pt idx="145">
                  <c:v>4.311207443014049</c:v>
                </c:pt>
                <c:pt idx="146">
                  <c:v>4.3234288151573121</c:v>
                </c:pt>
                <c:pt idx="147">
                  <c:v>4.6332592126084799</c:v>
                </c:pt>
                <c:pt idx="148">
                  <c:v>4.755660342374016</c:v>
                </c:pt>
                <c:pt idx="149">
                  <c:v>4.6790514324428747</c:v>
                </c:pt>
                <c:pt idx="150">
                  <c:v>4.7509278569842373</c:v>
                </c:pt>
                <c:pt idx="151">
                  <c:v>4.8121947523125428</c:v>
                </c:pt>
                <c:pt idx="152">
                  <c:v>4.8209395856761645</c:v>
                </c:pt>
                <c:pt idx="153">
                  <c:v>4.8467381815305748</c:v>
                </c:pt>
                <c:pt idx="154">
                  <c:v>4.9207056044795072</c:v>
                </c:pt>
                <c:pt idx="155">
                  <c:v>4.9503227740202931</c:v>
                </c:pt>
                <c:pt idx="156">
                  <c:v>5.0213060833167322</c:v>
                </c:pt>
                <c:pt idx="157">
                  <c:v>4.9846248601918619</c:v>
                </c:pt>
                <c:pt idx="158">
                  <c:v>4.896399946121428</c:v>
                </c:pt>
                <c:pt idx="159">
                  <c:v>4.7040384762837748</c:v>
                </c:pt>
                <c:pt idx="160">
                  <c:v>4.7478938244134978</c:v>
                </c:pt>
                <c:pt idx="161">
                  <c:v>4.7956917969896518</c:v>
                </c:pt>
                <c:pt idx="162">
                  <c:v>4.8450991871710318</c:v>
                </c:pt>
                <c:pt idx="163">
                  <c:v>4.9491574797445885</c:v>
                </c:pt>
                <c:pt idx="164">
                  <c:v>4.9048497326154274</c:v>
                </c:pt>
                <c:pt idx="165">
                  <c:v>4.8327261818475638</c:v>
                </c:pt>
                <c:pt idx="166">
                  <c:v>4.626351793496065</c:v>
                </c:pt>
                <c:pt idx="167">
                  <c:v>4.4960621553256628</c:v>
                </c:pt>
                <c:pt idx="168">
                  <c:v>4.3243267051739158</c:v>
                </c:pt>
                <c:pt idx="169">
                  <c:v>4.225113200069833</c:v>
                </c:pt>
                <c:pt idx="170">
                  <c:v>4.1452320212772849</c:v>
                </c:pt>
                <c:pt idx="171">
                  <c:v>3.9008573614003428</c:v>
                </c:pt>
                <c:pt idx="172">
                  <c:v>3.7001331444606622</c:v>
                </c:pt>
                <c:pt idx="173">
                  <c:v>3.7189879850623115</c:v>
                </c:pt>
                <c:pt idx="174">
                  <c:v>3.6940324860046641</c:v>
                </c:pt>
                <c:pt idx="175">
                  <c:v>3.6872847615328928</c:v>
                </c:pt>
                <c:pt idx="176">
                  <c:v>3.5926706669103226</c:v>
                </c:pt>
                <c:pt idx="177">
                  <c:v>3.6378912164257176</c:v>
                </c:pt>
                <c:pt idx="178">
                  <c:v>3.6414532163026938</c:v>
                </c:pt>
                <c:pt idx="179">
                  <c:v>3.6283822763214917</c:v>
                </c:pt>
                <c:pt idx="180">
                  <c:v>3.60422766425244</c:v>
                </c:pt>
                <c:pt idx="181">
                  <c:v>3.6492836648371476</c:v>
                </c:pt>
                <c:pt idx="182">
                  <c:v>3.5583711462958476</c:v>
                </c:pt>
                <c:pt idx="183">
                  <c:v>3.7816822032604827</c:v>
                </c:pt>
                <c:pt idx="184">
                  <c:v>3.7416397848555354</c:v>
                </c:pt>
                <c:pt idx="185">
                  <c:v>3.7169746286009109</c:v>
                </c:pt>
                <c:pt idx="186">
                  <c:v>3.6257828133946166</c:v>
                </c:pt>
                <c:pt idx="187">
                  <c:v>3.6406529749812364</c:v>
                </c:pt>
                <c:pt idx="188">
                  <c:v>3.6377886379533457</c:v>
                </c:pt>
                <c:pt idx="189">
                  <c:v>3.7284330721464332</c:v>
                </c:pt>
                <c:pt idx="190">
                  <c:v>3.6380265636959224</c:v>
                </c:pt>
                <c:pt idx="191">
                  <c:v>3.5537579923622067</c:v>
                </c:pt>
                <c:pt idx="192">
                  <c:v>3.509918365929515</c:v>
                </c:pt>
                <c:pt idx="193">
                  <c:v>3.564393581591327</c:v>
                </c:pt>
                <c:pt idx="194">
                  <c:v>3.5059473833730292</c:v>
                </c:pt>
                <c:pt idx="195">
                  <c:v>3.598281490808529</c:v>
                </c:pt>
                <c:pt idx="196">
                  <c:v>3.9357101255393165</c:v>
                </c:pt>
                <c:pt idx="197">
                  <c:v>3.806631755056848</c:v>
                </c:pt>
                <c:pt idx="198">
                  <c:v>3.7691795637214343</c:v>
                </c:pt>
                <c:pt idx="199">
                  <c:v>3.7794944538024566</c:v>
                </c:pt>
                <c:pt idx="200">
                  <c:v>3.8676322662943812</c:v>
                </c:pt>
                <c:pt idx="201">
                  <c:v>3.8307340537165544</c:v>
                </c:pt>
                <c:pt idx="202">
                  <c:v>3.8083742254525612</c:v>
                </c:pt>
                <c:pt idx="203">
                  <c:v>3.8340000000000032</c:v>
                </c:pt>
                <c:pt idx="204">
                  <c:v>3.7689600905269542</c:v>
                </c:pt>
                <c:pt idx="205">
                  <c:v>3.7839724729466879</c:v>
                </c:pt>
                <c:pt idx="206">
                  <c:v>3.7817928425663299</c:v>
                </c:pt>
                <c:pt idx="207">
                  <c:v>3.7183882347095838</c:v>
                </c:pt>
                <c:pt idx="208">
                  <c:v>3.6764049402311283</c:v>
                </c:pt>
                <c:pt idx="209">
                  <c:v>3.6914813493479151</c:v>
                </c:pt>
                <c:pt idx="210">
                  <c:v>3.6567393003036597</c:v>
                </c:pt>
                <c:pt idx="211">
                  <c:v>3.6491658343140236</c:v>
                </c:pt>
                <c:pt idx="212">
                  <c:v>3.5895062336281049</c:v>
                </c:pt>
                <c:pt idx="213">
                  <c:v>3.5997205247050266</c:v>
                </c:pt>
                <c:pt idx="214">
                  <c:v>3.7255904505319482</c:v>
                </c:pt>
                <c:pt idx="215">
                  <c:v>3.7263910158244067</c:v>
                </c:pt>
                <c:pt idx="216">
                  <c:v>3.6855710480965023</c:v>
                </c:pt>
              </c:numCache>
            </c:numRef>
          </c:val>
          <c:smooth val="0"/>
          <c:extLst>
            <c:ext xmlns:c16="http://schemas.microsoft.com/office/drawing/2014/chart" uri="{C3380CC4-5D6E-409C-BE32-E72D297353CC}">
              <c16:uniqueId val="{00000003-F8CD-49FD-9394-EA30463E2D65}"/>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3934499097039E-4"/>
                  <c:y val="1.33782776728306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C3-4A26-AC57-15B1E347590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2018'!$A$127:$B$343</c:f>
              <c:multiLvlStrCache>
                <c:ptCount val="217"/>
                <c:lvl>
                  <c:pt idx="0">
                    <c:v>1qFeb</c:v>
                  </c:pt>
                  <c:pt idx="1">
                    <c:v>2qFeb</c:v>
                  </c:pt>
                  <c:pt idx="2">
                    <c:v>1qMar</c:v>
                  </c:pt>
                  <c:pt idx="3">
                    <c:v>2qMar</c:v>
                  </c:pt>
                  <c:pt idx="4">
                    <c:v>1qAbr</c:v>
                  </c:pt>
                  <c:pt idx="5">
                    <c:v>2qAbr</c:v>
                  </c:pt>
                  <c:pt idx="6">
                    <c:v>1qMay</c:v>
                  </c:pt>
                  <c:pt idx="7">
                    <c:v>2qMay</c:v>
                  </c:pt>
                  <c:pt idx="8">
                    <c:v>1qJun</c:v>
                  </c:pt>
                  <c:pt idx="9">
                    <c:v>2qJun</c:v>
                  </c:pt>
                  <c:pt idx="10">
                    <c:v>1qJul</c:v>
                  </c:pt>
                  <c:pt idx="11">
                    <c:v>2qJul</c:v>
                  </c:pt>
                  <c:pt idx="12">
                    <c:v>1qAgo</c:v>
                  </c:pt>
                  <c:pt idx="13">
                    <c:v>2qAgo</c:v>
                  </c:pt>
                  <c:pt idx="14">
                    <c:v>1qSep</c:v>
                  </c:pt>
                  <c:pt idx="15">
                    <c:v>2qSep</c:v>
                  </c:pt>
                  <c:pt idx="16">
                    <c:v>1qOct</c:v>
                  </c:pt>
                  <c:pt idx="17">
                    <c:v>2qOct</c:v>
                  </c:pt>
                  <c:pt idx="18">
                    <c:v>1qNov</c:v>
                  </c:pt>
                  <c:pt idx="19">
                    <c:v>2qNov</c:v>
                  </c:pt>
                  <c:pt idx="20">
                    <c:v>1qDic</c:v>
                  </c:pt>
                  <c:pt idx="21">
                    <c:v>2qDic</c:v>
                  </c:pt>
                  <c:pt idx="22">
                    <c:v>1qEne</c:v>
                  </c:pt>
                  <c:pt idx="23">
                    <c:v>2qEne</c:v>
                  </c:pt>
                  <c:pt idx="24">
                    <c:v>1qFeb</c:v>
                  </c:pt>
                  <c:pt idx="25">
                    <c:v>2qFeb</c:v>
                  </c:pt>
                  <c:pt idx="26">
                    <c:v>1qMar</c:v>
                  </c:pt>
                  <c:pt idx="27">
                    <c:v>2qMar</c:v>
                  </c:pt>
                  <c:pt idx="28">
                    <c:v>1qAbr</c:v>
                  </c:pt>
                  <c:pt idx="29">
                    <c:v>2qAbr</c:v>
                  </c:pt>
                  <c:pt idx="30">
                    <c:v>1qMay</c:v>
                  </c:pt>
                  <c:pt idx="31">
                    <c:v>2qMay</c:v>
                  </c:pt>
                  <c:pt idx="32">
                    <c:v>1qJun</c:v>
                  </c:pt>
                  <c:pt idx="33">
                    <c:v>2qJun</c:v>
                  </c:pt>
                  <c:pt idx="34">
                    <c:v>1qJul</c:v>
                  </c:pt>
                  <c:pt idx="35">
                    <c:v>2qJul</c:v>
                  </c:pt>
                  <c:pt idx="36">
                    <c:v>1qAgo</c:v>
                  </c:pt>
                  <c:pt idx="37">
                    <c:v>2qAgo</c:v>
                  </c:pt>
                  <c:pt idx="38">
                    <c:v>1qSep</c:v>
                  </c:pt>
                  <c:pt idx="39">
                    <c:v>2qSep</c:v>
                  </c:pt>
                  <c:pt idx="40">
                    <c:v>1qOct</c:v>
                  </c:pt>
                  <c:pt idx="41">
                    <c:v>2qOct</c:v>
                  </c:pt>
                  <c:pt idx="42">
                    <c:v>1qNov</c:v>
                  </c:pt>
                  <c:pt idx="43">
                    <c:v>2qNov</c:v>
                  </c:pt>
                  <c:pt idx="44">
                    <c:v>1qDic</c:v>
                  </c:pt>
                  <c:pt idx="45">
                    <c:v>2qDic</c:v>
                  </c:pt>
                  <c:pt idx="46">
                    <c:v>1qEne</c:v>
                  </c:pt>
                  <c:pt idx="47">
                    <c:v>2qEne</c:v>
                  </c:pt>
                  <c:pt idx="48">
                    <c:v>1qFeb</c:v>
                  </c:pt>
                  <c:pt idx="49">
                    <c:v>2qFeb</c:v>
                  </c:pt>
                  <c:pt idx="50">
                    <c:v>1qMar</c:v>
                  </c:pt>
                  <c:pt idx="51">
                    <c:v>2qMar</c:v>
                  </c:pt>
                  <c:pt idx="52">
                    <c:v>1qAbr</c:v>
                  </c:pt>
                  <c:pt idx="53">
                    <c:v>2qAbr</c:v>
                  </c:pt>
                  <c:pt idx="54">
                    <c:v>1qMay</c:v>
                  </c:pt>
                  <c:pt idx="55">
                    <c:v>2qMay</c:v>
                  </c:pt>
                  <c:pt idx="56">
                    <c:v>1qJun</c:v>
                  </c:pt>
                  <c:pt idx="57">
                    <c:v>2qJun</c:v>
                  </c:pt>
                  <c:pt idx="58">
                    <c:v>1qJul</c:v>
                  </c:pt>
                  <c:pt idx="59">
                    <c:v>2qJul</c:v>
                  </c:pt>
                  <c:pt idx="60">
                    <c:v>1qAgo</c:v>
                  </c:pt>
                  <c:pt idx="61">
                    <c:v>2qAgo</c:v>
                  </c:pt>
                  <c:pt idx="62">
                    <c:v>1qSep</c:v>
                  </c:pt>
                  <c:pt idx="63">
                    <c:v>2qSep</c:v>
                  </c:pt>
                  <c:pt idx="64">
                    <c:v>1qOct</c:v>
                  </c:pt>
                  <c:pt idx="65">
                    <c:v>2qOct</c:v>
                  </c:pt>
                  <c:pt idx="66">
                    <c:v>1qNov</c:v>
                  </c:pt>
                  <c:pt idx="67">
                    <c:v>2qNov</c:v>
                  </c:pt>
                  <c:pt idx="68">
                    <c:v>1qDic</c:v>
                  </c:pt>
                  <c:pt idx="69">
                    <c:v>2qDic</c:v>
                  </c:pt>
                  <c:pt idx="70">
                    <c:v>1qEne</c:v>
                  </c:pt>
                  <c:pt idx="71">
                    <c:v>2qEne</c:v>
                  </c:pt>
                  <c:pt idx="72">
                    <c:v>1qFeb</c:v>
                  </c:pt>
                  <c:pt idx="73">
                    <c:v>2qFeb</c:v>
                  </c:pt>
                  <c:pt idx="74">
                    <c:v>1qMar</c:v>
                  </c:pt>
                  <c:pt idx="75">
                    <c:v>2qMar</c:v>
                  </c:pt>
                  <c:pt idx="76">
                    <c:v>1qAbr</c:v>
                  </c:pt>
                  <c:pt idx="77">
                    <c:v>2qAbr</c:v>
                  </c:pt>
                  <c:pt idx="78">
                    <c:v>1qMay</c:v>
                  </c:pt>
                  <c:pt idx="79">
                    <c:v>2qMay</c:v>
                  </c:pt>
                  <c:pt idx="80">
                    <c:v>1qJun</c:v>
                  </c:pt>
                  <c:pt idx="81">
                    <c:v>2qJun</c:v>
                  </c:pt>
                  <c:pt idx="82">
                    <c:v>1qJul</c:v>
                  </c:pt>
                  <c:pt idx="83">
                    <c:v>2qJul</c:v>
                  </c:pt>
                  <c:pt idx="84">
                    <c:v>1qAgo</c:v>
                  </c:pt>
                  <c:pt idx="85">
                    <c:v>2qAgo</c:v>
                  </c:pt>
                  <c:pt idx="86">
                    <c:v>1qSep</c:v>
                  </c:pt>
                  <c:pt idx="87">
                    <c:v>2qSep</c:v>
                  </c:pt>
                  <c:pt idx="88">
                    <c:v>1qOct</c:v>
                  </c:pt>
                  <c:pt idx="89">
                    <c:v>2qOct</c:v>
                  </c:pt>
                  <c:pt idx="90">
                    <c:v>1qNov</c:v>
                  </c:pt>
                  <c:pt idx="91">
                    <c:v>2qNov</c:v>
                  </c:pt>
                  <c:pt idx="92">
                    <c:v>1qDic</c:v>
                  </c:pt>
                  <c:pt idx="93">
                    <c:v>2qDic</c:v>
                  </c:pt>
                  <c:pt idx="94">
                    <c:v>1qEne</c:v>
                  </c:pt>
                  <c:pt idx="95">
                    <c:v>2qEne</c:v>
                  </c:pt>
                  <c:pt idx="96">
                    <c:v>1qFeb</c:v>
                  </c:pt>
                  <c:pt idx="97">
                    <c:v>2qFeb</c:v>
                  </c:pt>
                  <c:pt idx="98">
                    <c:v>1qMar</c:v>
                  </c:pt>
                  <c:pt idx="99">
                    <c:v>2qMar</c:v>
                  </c:pt>
                  <c:pt idx="100">
                    <c:v>1qAbr</c:v>
                  </c:pt>
                  <c:pt idx="101">
                    <c:v>2qAbr</c:v>
                  </c:pt>
                  <c:pt idx="102">
                    <c:v>1qMay</c:v>
                  </c:pt>
                  <c:pt idx="103">
                    <c:v>2qMay</c:v>
                  </c:pt>
                  <c:pt idx="104">
                    <c:v>1qJun</c:v>
                  </c:pt>
                  <c:pt idx="105">
                    <c:v>2qJun</c:v>
                  </c:pt>
                  <c:pt idx="106">
                    <c:v>1qJul</c:v>
                  </c:pt>
                  <c:pt idx="107">
                    <c:v>2qJul</c:v>
                  </c:pt>
                  <c:pt idx="108">
                    <c:v>1qAgo</c:v>
                  </c:pt>
                  <c:pt idx="109">
                    <c:v>2qAgo</c:v>
                  </c:pt>
                  <c:pt idx="110">
                    <c:v>1qSep</c:v>
                  </c:pt>
                  <c:pt idx="111">
                    <c:v>2qSep</c:v>
                  </c:pt>
                  <c:pt idx="112">
                    <c:v>1qOct</c:v>
                  </c:pt>
                  <c:pt idx="113">
                    <c:v>2qOct</c:v>
                  </c:pt>
                  <c:pt idx="114">
                    <c:v>1qNov</c:v>
                  </c:pt>
                  <c:pt idx="115">
                    <c:v>2qNov</c:v>
                  </c:pt>
                  <c:pt idx="116">
                    <c:v>1qDic</c:v>
                  </c:pt>
                  <c:pt idx="117">
                    <c:v>2qDic</c:v>
                  </c:pt>
                  <c:pt idx="118">
                    <c:v>1qEne</c:v>
                  </c:pt>
                  <c:pt idx="119">
                    <c:v>2qEne</c:v>
                  </c:pt>
                  <c:pt idx="120">
                    <c:v>1qFeb</c:v>
                  </c:pt>
                  <c:pt idx="121">
                    <c:v>2qFeb</c:v>
                  </c:pt>
                  <c:pt idx="122">
                    <c:v>1qMar</c:v>
                  </c:pt>
                  <c:pt idx="123">
                    <c:v>2qMar</c:v>
                  </c:pt>
                  <c:pt idx="124">
                    <c:v>1qAbr</c:v>
                  </c:pt>
                  <c:pt idx="125">
                    <c:v>2qAbr</c:v>
                  </c:pt>
                  <c:pt idx="126">
                    <c:v>1qMay</c:v>
                  </c:pt>
                  <c:pt idx="127">
                    <c:v>2qMay</c:v>
                  </c:pt>
                  <c:pt idx="128">
                    <c:v>1qJun</c:v>
                  </c:pt>
                  <c:pt idx="129">
                    <c:v>2qJun</c:v>
                  </c:pt>
                  <c:pt idx="130">
                    <c:v>1qJul</c:v>
                  </c:pt>
                  <c:pt idx="131">
                    <c:v>2qJul</c:v>
                  </c:pt>
                  <c:pt idx="132">
                    <c:v>1qAgo</c:v>
                  </c:pt>
                  <c:pt idx="133">
                    <c:v>2qAgo</c:v>
                  </c:pt>
                  <c:pt idx="134">
                    <c:v>1qSep</c:v>
                  </c:pt>
                  <c:pt idx="135">
                    <c:v>2qSep</c:v>
                  </c:pt>
                  <c:pt idx="136">
                    <c:v>1qOct</c:v>
                  </c:pt>
                  <c:pt idx="137">
                    <c:v>2qOct</c:v>
                  </c:pt>
                  <c:pt idx="138">
                    <c:v>1qNov</c:v>
                  </c:pt>
                  <c:pt idx="139">
                    <c:v>2qNov</c:v>
                  </c:pt>
                  <c:pt idx="140">
                    <c:v>1qDic</c:v>
                  </c:pt>
                  <c:pt idx="141">
                    <c:v>2qDic</c:v>
                  </c:pt>
                  <c:pt idx="142">
                    <c:v>1qEne</c:v>
                  </c:pt>
                  <c:pt idx="143">
                    <c:v>2qEne</c:v>
                  </c:pt>
                  <c:pt idx="144">
                    <c:v>1qFeb</c:v>
                  </c:pt>
                  <c:pt idx="145">
                    <c:v>2qFeb</c:v>
                  </c:pt>
                  <c:pt idx="146">
                    <c:v>1qMar</c:v>
                  </c:pt>
                  <c:pt idx="147">
                    <c:v>2qMar</c:v>
                  </c:pt>
                  <c:pt idx="148">
                    <c:v>1qAbr</c:v>
                  </c:pt>
                  <c:pt idx="149">
                    <c:v>2qAbr</c:v>
                  </c:pt>
                  <c:pt idx="150">
                    <c:v>1qMay</c:v>
                  </c:pt>
                  <c:pt idx="151">
                    <c:v>2qMay</c:v>
                  </c:pt>
                  <c:pt idx="152">
                    <c:v>1qJun</c:v>
                  </c:pt>
                  <c:pt idx="153">
                    <c:v>2qJun</c:v>
                  </c:pt>
                  <c:pt idx="154">
                    <c:v>1qJul</c:v>
                  </c:pt>
                  <c:pt idx="155">
                    <c:v>2qJul</c:v>
                  </c:pt>
                  <c:pt idx="156">
                    <c:v>1qAgo</c:v>
                  </c:pt>
                  <c:pt idx="157">
                    <c:v>2qAgo</c:v>
                  </c:pt>
                  <c:pt idx="158">
                    <c:v>1qSep</c:v>
                  </c:pt>
                  <c:pt idx="159">
                    <c:v>2qSep</c:v>
                  </c:pt>
                  <c:pt idx="160">
                    <c:v>1qOct</c:v>
                  </c:pt>
                  <c:pt idx="161">
                    <c:v>2qOct</c:v>
                  </c:pt>
                  <c:pt idx="162">
                    <c:v>1qNov</c:v>
                  </c:pt>
                  <c:pt idx="163">
                    <c:v>2qNov</c:v>
                  </c:pt>
                  <c:pt idx="164">
                    <c:v>1qDic</c:v>
                  </c:pt>
                  <c:pt idx="165">
                    <c:v>2qDic</c:v>
                  </c:pt>
                  <c:pt idx="166">
                    <c:v>1qEne</c:v>
                  </c:pt>
                  <c:pt idx="167">
                    <c:v>2qEne</c:v>
                  </c:pt>
                  <c:pt idx="168">
                    <c:v>1qFeb</c:v>
                  </c:pt>
                  <c:pt idx="169">
                    <c:v>2qFeb</c:v>
                  </c:pt>
                  <c:pt idx="170">
                    <c:v>1qMar</c:v>
                  </c:pt>
                  <c:pt idx="171">
                    <c:v>2qMar</c:v>
                  </c:pt>
                  <c:pt idx="172">
                    <c:v>1qAbr</c:v>
                  </c:pt>
                  <c:pt idx="173">
                    <c:v>2qAbr</c:v>
                  </c:pt>
                  <c:pt idx="174">
                    <c:v>1qMay</c:v>
                  </c:pt>
                  <c:pt idx="175">
                    <c:v>2qMay</c:v>
                  </c:pt>
                  <c:pt idx="176">
                    <c:v>1qJun</c:v>
                  </c:pt>
                  <c:pt idx="177">
                    <c:v>2qJun</c:v>
                  </c:pt>
                  <c:pt idx="178">
                    <c:v>1qJul</c:v>
                  </c:pt>
                  <c:pt idx="179">
                    <c:v>2qJul</c:v>
                  </c:pt>
                  <c:pt idx="180">
                    <c:v>1qAgo</c:v>
                  </c:pt>
                  <c:pt idx="181">
                    <c:v>2qAgo</c:v>
                  </c:pt>
                  <c:pt idx="182">
                    <c:v>1qSep</c:v>
                  </c:pt>
                  <c:pt idx="183">
                    <c:v>2qSep</c:v>
                  </c:pt>
                  <c:pt idx="184">
                    <c:v>1qOct</c:v>
                  </c:pt>
                  <c:pt idx="185">
                    <c:v>2qOct</c:v>
                  </c:pt>
                  <c:pt idx="186">
                    <c:v>1qNov</c:v>
                  </c:pt>
                  <c:pt idx="187">
                    <c:v>2qNov</c:v>
                  </c:pt>
                  <c:pt idx="188">
                    <c:v>1qDic</c:v>
                  </c:pt>
                  <c:pt idx="189">
                    <c:v>2qDic</c:v>
                  </c:pt>
                  <c:pt idx="190">
                    <c:v>1qEne</c:v>
                  </c:pt>
                  <c:pt idx="191">
                    <c:v>2qEne</c:v>
                  </c:pt>
                  <c:pt idx="192">
                    <c:v>1qFeb</c:v>
                  </c:pt>
                  <c:pt idx="193">
                    <c:v>2qFeb</c:v>
                  </c:pt>
                  <c:pt idx="194">
                    <c:v>1qMar</c:v>
                  </c:pt>
                  <c:pt idx="195">
                    <c:v>2qMar</c:v>
                  </c:pt>
                  <c:pt idx="196">
                    <c:v>1qAbr</c:v>
                  </c:pt>
                  <c:pt idx="197">
                    <c:v>2qAbr</c:v>
                  </c:pt>
                  <c:pt idx="198">
                    <c:v>1qMay</c:v>
                  </c:pt>
                  <c:pt idx="199">
                    <c:v>2qMay</c:v>
                  </c:pt>
                  <c:pt idx="200">
                    <c:v>1qJun</c:v>
                  </c:pt>
                  <c:pt idx="201">
                    <c:v>2qJun</c:v>
                  </c:pt>
                  <c:pt idx="202">
                    <c:v>1qJul</c:v>
                  </c:pt>
                  <c:pt idx="203">
                    <c:v>2qJul</c:v>
                  </c:pt>
                  <c:pt idx="204">
                    <c:v>1qAgo</c:v>
                  </c:pt>
                  <c:pt idx="205">
                    <c:v>2qAgo</c:v>
                  </c:pt>
                  <c:pt idx="206">
                    <c:v>1qSep</c:v>
                  </c:pt>
                  <c:pt idx="207">
                    <c:v>2qSep</c:v>
                  </c:pt>
                  <c:pt idx="208">
                    <c:v>1qOct</c:v>
                  </c:pt>
                  <c:pt idx="209">
                    <c:v>2qOct</c:v>
                  </c:pt>
                  <c:pt idx="210">
                    <c:v>1qNov</c:v>
                  </c:pt>
                  <c:pt idx="211">
                    <c:v>2qNov</c:v>
                  </c:pt>
                  <c:pt idx="212">
                    <c:v>1qDic</c:v>
                  </c:pt>
                  <c:pt idx="213">
                    <c:v>2qDic</c:v>
                  </c:pt>
                  <c:pt idx="214">
                    <c:v>1qEne</c:v>
                  </c:pt>
                  <c:pt idx="215">
                    <c:v>2qEne</c:v>
                  </c:pt>
                  <c:pt idx="216">
                    <c:v>1qFeb</c:v>
                  </c:pt>
                </c:lvl>
                <c:lvl>
                  <c:pt idx="0">
                    <c:v>2011</c:v>
                  </c:pt>
                  <c:pt idx="1">
                    <c:v>2011</c:v>
                  </c:pt>
                  <c:pt idx="2">
                    <c:v>2011</c:v>
                  </c:pt>
                  <c:pt idx="3">
                    <c:v>2011</c:v>
                  </c:pt>
                  <c:pt idx="4">
                    <c:v>2011</c:v>
                  </c:pt>
                  <c:pt idx="5">
                    <c:v>2011</c:v>
                  </c:pt>
                  <c:pt idx="6">
                    <c:v>2011</c:v>
                  </c:pt>
                  <c:pt idx="7">
                    <c:v>2011</c:v>
                  </c:pt>
                  <c:pt idx="8">
                    <c:v>2011</c:v>
                  </c:pt>
                  <c:pt idx="9">
                    <c:v>2011</c:v>
                  </c:pt>
                  <c:pt idx="10">
                    <c:v>2011</c:v>
                  </c:pt>
                  <c:pt idx="11">
                    <c:v>2011</c:v>
                  </c:pt>
                  <c:pt idx="12">
                    <c:v>2011</c:v>
                  </c:pt>
                  <c:pt idx="13">
                    <c:v>2011</c:v>
                  </c:pt>
                  <c:pt idx="14">
                    <c:v>2011</c:v>
                  </c:pt>
                  <c:pt idx="15">
                    <c:v>2011</c:v>
                  </c:pt>
                  <c:pt idx="16">
                    <c:v>2011</c:v>
                  </c:pt>
                  <c:pt idx="17">
                    <c:v>2011</c:v>
                  </c:pt>
                  <c:pt idx="18">
                    <c:v>2011</c:v>
                  </c:pt>
                  <c:pt idx="19">
                    <c:v>2011</c:v>
                  </c:pt>
                  <c:pt idx="20">
                    <c:v>2011</c:v>
                  </c:pt>
                  <c:pt idx="21">
                    <c:v>2011</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2012</c:v>
                  </c:pt>
                  <c:pt idx="35">
                    <c:v>2012</c:v>
                  </c:pt>
                  <c:pt idx="36">
                    <c:v>2012</c:v>
                  </c:pt>
                  <c:pt idx="37">
                    <c:v>2012</c:v>
                  </c:pt>
                  <c:pt idx="38">
                    <c:v>2012</c:v>
                  </c:pt>
                  <c:pt idx="39">
                    <c:v>2012</c:v>
                  </c:pt>
                  <c:pt idx="40">
                    <c:v>2012</c:v>
                  </c:pt>
                  <c:pt idx="41">
                    <c:v>2012</c:v>
                  </c:pt>
                  <c:pt idx="42">
                    <c:v>2012</c:v>
                  </c:pt>
                  <c:pt idx="43">
                    <c:v>2012</c:v>
                  </c:pt>
                  <c:pt idx="44">
                    <c:v>2012</c:v>
                  </c:pt>
                  <c:pt idx="45">
                    <c:v>2012</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2013</c:v>
                  </c:pt>
                  <c:pt idx="59">
                    <c:v>2013</c:v>
                  </c:pt>
                  <c:pt idx="60">
                    <c:v>2013</c:v>
                  </c:pt>
                  <c:pt idx="61">
                    <c:v>2013</c:v>
                  </c:pt>
                  <c:pt idx="62">
                    <c:v>2013</c:v>
                  </c:pt>
                  <c:pt idx="63">
                    <c:v>2013</c:v>
                  </c:pt>
                  <c:pt idx="64">
                    <c:v>2013</c:v>
                  </c:pt>
                  <c:pt idx="65">
                    <c:v>2013</c:v>
                  </c:pt>
                  <c:pt idx="66">
                    <c:v>2013</c:v>
                  </c:pt>
                  <c:pt idx="67">
                    <c:v>2013</c:v>
                  </c:pt>
                  <c:pt idx="68">
                    <c:v>2013</c:v>
                  </c:pt>
                  <c:pt idx="69">
                    <c:v>2013</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2014</c:v>
                  </c:pt>
                  <c:pt idx="83">
                    <c:v>2014</c:v>
                  </c:pt>
                  <c:pt idx="84">
                    <c:v>2014</c:v>
                  </c:pt>
                  <c:pt idx="85">
                    <c:v>2014</c:v>
                  </c:pt>
                  <c:pt idx="86">
                    <c:v>2014</c:v>
                  </c:pt>
                  <c:pt idx="87">
                    <c:v>2014</c:v>
                  </c:pt>
                  <c:pt idx="88">
                    <c:v>2014</c:v>
                  </c:pt>
                  <c:pt idx="89">
                    <c:v>2014</c:v>
                  </c:pt>
                  <c:pt idx="90">
                    <c:v>2014</c:v>
                  </c:pt>
                  <c:pt idx="91">
                    <c:v>2014</c:v>
                  </c:pt>
                  <c:pt idx="92">
                    <c:v>2014</c:v>
                  </c:pt>
                  <c:pt idx="93">
                    <c:v>2014</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2015</c:v>
                  </c:pt>
                  <c:pt idx="107">
                    <c:v>2015</c:v>
                  </c:pt>
                  <c:pt idx="108">
                    <c:v>2015</c:v>
                  </c:pt>
                  <c:pt idx="109">
                    <c:v>2015</c:v>
                  </c:pt>
                  <c:pt idx="110">
                    <c:v>2015</c:v>
                  </c:pt>
                  <c:pt idx="111">
                    <c:v>2015</c:v>
                  </c:pt>
                  <c:pt idx="112">
                    <c:v>2015</c:v>
                  </c:pt>
                  <c:pt idx="113">
                    <c:v>2015</c:v>
                  </c:pt>
                  <c:pt idx="114">
                    <c:v>2015</c:v>
                  </c:pt>
                  <c:pt idx="115">
                    <c:v>2015</c:v>
                  </c:pt>
                  <c:pt idx="116">
                    <c:v>2015</c:v>
                  </c:pt>
                  <c:pt idx="117">
                    <c:v>2015</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2018</c:v>
                  </c:pt>
                  <c:pt idx="179">
                    <c:v>2018</c:v>
                  </c:pt>
                  <c:pt idx="180">
                    <c:v>2018</c:v>
                  </c:pt>
                  <c:pt idx="181">
                    <c:v>2018</c:v>
                  </c:pt>
                  <c:pt idx="182">
                    <c:v>2018</c:v>
                  </c:pt>
                  <c:pt idx="183">
                    <c:v>2018</c:v>
                  </c:pt>
                  <c:pt idx="184">
                    <c:v>2018</c:v>
                  </c:pt>
                  <c:pt idx="185">
                    <c:v>2018</c:v>
                  </c:pt>
                  <c:pt idx="186">
                    <c:v>2018</c:v>
                  </c:pt>
                  <c:pt idx="187">
                    <c:v>2018</c:v>
                  </c:pt>
                  <c:pt idx="188">
                    <c:v>2018</c:v>
                  </c:pt>
                  <c:pt idx="189">
                    <c:v>2018</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2019</c:v>
                  </c:pt>
                  <c:pt idx="203">
                    <c:v>2019</c:v>
                  </c:pt>
                  <c:pt idx="204">
                    <c:v>2019</c:v>
                  </c:pt>
                  <c:pt idx="205">
                    <c:v>2019</c:v>
                  </c:pt>
                  <c:pt idx="206">
                    <c:v>2019</c:v>
                  </c:pt>
                  <c:pt idx="207">
                    <c:v>2019</c:v>
                  </c:pt>
                  <c:pt idx="208">
                    <c:v>2019</c:v>
                  </c:pt>
                  <c:pt idx="209">
                    <c:v>2019</c:v>
                  </c:pt>
                  <c:pt idx="210">
                    <c:v>2019</c:v>
                  </c:pt>
                  <c:pt idx="211">
                    <c:v>2019</c:v>
                  </c:pt>
                  <c:pt idx="212">
                    <c:v>2019</c:v>
                  </c:pt>
                  <c:pt idx="213">
                    <c:v>2019</c:v>
                  </c:pt>
                  <c:pt idx="214">
                    <c:v>2020</c:v>
                  </c:pt>
                  <c:pt idx="215">
                    <c:v>2020</c:v>
                  </c:pt>
                  <c:pt idx="216">
                    <c:v>2020</c:v>
                  </c:pt>
                </c:lvl>
              </c:multiLvlStrCache>
            </c:multiLvlStrRef>
          </c:cat>
          <c:val>
            <c:numRef>
              <c:f>'Datos base 2q jul 2018'!$J$127:$J$343</c:f>
              <c:numCache>
                <c:formatCode>0.00</c:formatCode>
                <c:ptCount val="217"/>
                <c:pt idx="0">
                  <c:v>4.7053132512262934</c:v>
                </c:pt>
                <c:pt idx="1">
                  <c:v>4.3653554151093132</c:v>
                </c:pt>
                <c:pt idx="2">
                  <c:v>2.3619639011651792</c:v>
                </c:pt>
                <c:pt idx="3">
                  <c:v>2.5676753497772022</c:v>
                </c:pt>
                <c:pt idx="4">
                  <c:v>3.2128942224719119</c:v>
                </c:pt>
                <c:pt idx="5">
                  <c:v>4.5868620229879102</c:v>
                </c:pt>
                <c:pt idx="6">
                  <c:v>3.8230921759643719</c:v>
                </c:pt>
                <c:pt idx="7">
                  <c:v>3.0760522067191856</c:v>
                </c:pt>
                <c:pt idx="8">
                  <c:v>2.9726644996227338</c:v>
                </c:pt>
                <c:pt idx="9">
                  <c:v>3.7115131088723894</c:v>
                </c:pt>
                <c:pt idx="10">
                  <c:v>4.4834542146363221</c:v>
                </c:pt>
                <c:pt idx="11">
                  <c:v>4.5324852148895358</c:v>
                </c:pt>
                <c:pt idx="12">
                  <c:v>4.2045643035820017</c:v>
                </c:pt>
                <c:pt idx="13">
                  <c:v>3.5896876560147861</c:v>
                </c:pt>
                <c:pt idx="14">
                  <c:v>3.1315505849218375</c:v>
                </c:pt>
                <c:pt idx="15">
                  <c:v>2.8324946138098586</c:v>
                </c:pt>
                <c:pt idx="16">
                  <c:v>3.1953097878299945</c:v>
                </c:pt>
                <c:pt idx="17">
                  <c:v>2.9766115302884968</c:v>
                </c:pt>
                <c:pt idx="18">
                  <c:v>4.1094747737144184</c:v>
                </c:pt>
                <c:pt idx="19">
                  <c:v>4.1570369175541622</c:v>
                </c:pt>
                <c:pt idx="20">
                  <c:v>5.3980878431429113</c:v>
                </c:pt>
                <c:pt idx="21">
                  <c:v>5.284977125599994</c:v>
                </c:pt>
                <c:pt idx="22">
                  <c:v>5.9688950728139112</c:v>
                </c:pt>
                <c:pt idx="23">
                  <c:v>6.7829656128453877</c:v>
                </c:pt>
                <c:pt idx="24">
                  <c:v>6.0431487604286325</c:v>
                </c:pt>
                <c:pt idx="25">
                  <c:v>5.0215550365205059</c:v>
                </c:pt>
                <c:pt idx="26">
                  <c:v>5.2859299287157651</c:v>
                </c:pt>
                <c:pt idx="27">
                  <c:v>4.9608465405715361</c:v>
                </c:pt>
                <c:pt idx="28">
                  <c:v>3.5724738332766162</c:v>
                </c:pt>
                <c:pt idx="29">
                  <c:v>3.3989969227290513</c:v>
                </c:pt>
                <c:pt idx="30">
                  <c:v>4.4063457190961399</c:v>
                </c:pt>
                <c:pt idx="31">
                  <c:v>5.8983907467252319</c:v>
                </c:pt>
                <c:pt idx="32">
                  <c:v>7.0719229188464947</c:v>
                </c:pt>
                <c:pt idx="33">
                  <c:v>7.4507635130297452</c:v>
                </c:pt>
                <c:pt idx="34">
                  <c:v>7.5521809507569255</c:v>
                </c:pt>
                <c:pt idx="35">
                  <c:v>7.0396963392735641</c:v>
                </c:pt>
                <c:pt idx="36">
                  <c:v>7.0306437576530145</c:v>
                </c:pt>
                <c:pt idx="37">
                  <c:v>8.1267483710033641</c:v>
                </c:pt>
                <c:pt idx="38">
                  <c:v>8.6566494869844988</c:v>
                </c:pt>
                <c:pt idx="39">
                  <c:v>8.9689564639889685</c:v>
                </c:pt>
                <c:pt idx="40">
                  <c:v>8.2727964085251564</c:v>
                </c:pt>
                <c:pt idx="41">
                  <c:v>7.870155377424946</c:v>
                </c:pt>
                <c:pt idx="42">
                  <c:v>7.2170220161045044</c:v>
                </c:pt>
                <c:pt idx="43">
                  <c:v>6.9706637062358769</c:v>
                </c:pt>
                <c:pt idx="44">
                  <c:v>6.2218573451948833</c:v>
                </c:pt>
                <c:pt idx="45">
                  <c:v>5.2682157801897365</c:v>
                </c:pt>
                <c:pt idx="46">
                  <c:v>4.608977501040858</c:v>
                </c:pt>
                <c:pt idx="47">
                  <c:v>4.3355668355780272</c:v>
                </c:pt>
                <c:pt idx="48">
                  <c:v>5.1382253293632401</c:v>
                </c:pt>
                <c:pt idx="49">
                  <c:v>5.8118619831810516</c:v>
                </c:pt>
                <c:pt idx="50">
                  <c:v>7.6078959792507632</c:v>
                </c:pt>
                <c:pt idx="51">
                  <c:v>8.974829046550866</c:v>
                </c:pt>
                <c:pt idx="52">
                  <c:v>10.4402917934479</c:v>
                </c:pt>
                <c:pt idx="53">
                  <c:v>10.201009942024438</c:v>
                </c:pt>
                <c:pt idx="54">
                  <c:v>10.907369408610769</c:v>
                </c:pt>
                <c:pt idx="55">
                  <c:v>10.207435473414865</c:v>
                </c:pt>
                <c:pt idx="56">
                  <c:v>8.9461357031676076</c:v>
                </c:pt>
                <c:pt idx="57">
                  <c:v>7.8336181790615926</c:v>
                </c:pt>
                <c:pt idx="58">
                  <c:v>6.6244275978413096</c:v>
                </c:pt>
                <c:pt idx="59">
                  <c:v>6.5849956521731121</c:v>
                </c:pt>
                <c:pt idx="60">
                  <c:v>7.3449762834321159</c:v>
                </c:pt>
                <c:pt idx="61">
                  <c:v>6.6779523560491665</c:v>
                </c:pt>
                <c:pt idx="62">
                  <c:v>6.4359410807156525</c:v>
                </c:pt>
                <c:pt idx="63">
                  <c:v>5.9553218744046132</c:v>
                </c:pt>
                <c:pt idx="64">
                  <c:v>5.8530958727509432</c:v>
                </c:pt>
                <c:pt idx="65">
                  <c:v>6.5128075430433015</c:v>
                </c:pt>
                <c:pt idx="66">
                  <c:v>7.0118965034908376</c:v>
                </c:pt>
                <c:pt idx="67">
                  <c:v>7.0221263361673998</c:v>
                </c:pt>
                <c:pt idx="68">
                  <c:v>7.4370205211353877</c:v>
                </c:pt>
                <c:pt idx="69">
                  <c:v>8.2465287880433564</c:v>
                </c:pt>
                <c:pt idx="70">
                  <c:v>8.8367983932548242</c:v>
                </c:pt>
                <c:pt idx="71">
                  <c:v>8.3284321874428038</c:v>
                </c:pt>
                <c:pt idx="72">
                  <c:v>8.2233548225420758</c:v>
                </c:pt>
                <c:pt idx="73">
                  <c:v>8.3413815433276302</c:v>
                </c:pt>
                <c:pt idx="74">
                  <c:v>7.2884436711685847</c:v>
                </c:pt>
                <c:pt idx="75">
                  <c:v>5.7915782414892245</c:v>
                </c:pt>
                <c:pt idx="76">
                  <c:v>4.6968785523998315</c:v>
                </c:pt>
                <c:pt idx="77">
                  <c:v>4.798318686234242</c:v>
                </c:pt>
                <c:pt idx="78">
                  <c:v>5.020625205263511</c:v>
                </c:pt>
                <c:pt idx="79">
                  <c:v>5.3523730112123085</c:v>
                </c:pt>
                <c:pt idx="80">
                  <c:v>5.781514877854991</c:v>
                </c:pt>
                <c:pt idx="81">
                  <c:v>6.1425421142468783</c:v>
                </c:pt>
                <c:pt idx="82">
                  <c:v>6.6760329205397984</c:v>
                </c:pt>
                <c:pt idx="83">
                  <c:v>6.9782029697425152</c:v>
                </c:pt>
                <c:pt idx="84">
                  <c:v>6.4950635503201806</c:v>
                </c:pt>
                <c:pt idx="85">
                  <c:v>6.9409184628710738</c:v>
                </c:pt>
                <c:pt idx="86">
                  <c:v>7.0922003284502013</c:v>
                </c:pt>
                <c:pt idx="87">
                  <c:v>7.1317297538828734</c:v>
                </c:pt>
                <c:pt idx="88">
                  <c:v>7.5886496453235548</c:v>
                </c:pt>
                <c:pt idx="89">
                  <c:v>7.4237251066789662</c:v>
                </c:pt>
                <c:pt idx="90">
                  <c:v>6.7872551782769337</c:v>
                </c:pt>
                <c:pt idx="91">
                  <c:v>6.7653961950898802</c:v>
                </c:pt>
                <c:pt idx="92">
                  <c:v>7.1142206408702933</c:v>
                </c:pt>
                <c:pt idx="93">
                  <c:v>6.2883677473259407</c:v>
                </c:pt>
                <c:pt idx="94">
                  <c:v>5.1238236673489137</c:v>
                </c:pt>
                <c:pt idx="95">
                  <c:v>5.553502053315559</c:v>
                </c:pt>
                <c:pt idx="96">
                  <c:v>4.9759722534293189</c:v>
                </c:pt>
                <c:pt idx="97">
                  <c:v>4.7923307780056659</c:v>
                </c:pt>
                <c:pt idx="98">
                  <c:v>4.6877848019337964</c:v>
                </c:pt>
                <c:pt idx="99">
                  <c:v>5.8982881785546351</c:v>
                </c:pt>
                <c:pt idx="100">
                  <c:v>5.5662086749607775</c:v>
                </c:pt>
                <c:pt idx="101">
                  <c:v>5.3604930577271457</c:v>
                </c:pt>
                <c:pt idx="102">
                  <c:v>4.7646302304178798</c:v>
                </c:pt>
                <c:pt idx="103">
                  <c:v>4.5218429460487961</c:v>
                </c:pt>
                <c:pt idx="104">
                  <c:v>4.7150900692212332</c:v>
                </c:pt>
                <c:pt idx="105">
                  <c:v>4.5522452292606204</c:v>
                </c:pt>
                <c:pt idx="106">
                  <c:v>4.2340596225878899</c:v>
                </c:pt>
                <c:pt idx="107">
                  <c:v>4.0145974849363251</c:v>
                </c:pt>
                <c:pt idx="108">
                  <c:v>3.7730940060574425</c:v>
                </c:pt>
                <c:pt idx="109">
                  <c:v>3.253707279534702</c:v>
                </c:pt>
                <c:pt idx="110">
                  <c:v>3.1284345527310906</c:v>
                </c:pt>
                <c:pt idx="111">
                  <c:v>2.799376312718608</c:v>
                </c:pt>
                <c:pt idx="112">
                  <c:v>2.5182673831467639</c:v>
                </c:pt>
                <c:pt idx="113">
                  <c:v>2.5316811331532789</c:v>
                </c:pt>
                <c:pt idx="114">
                  <c:v>2.0256458057087765</c:v>
                </c:pt>
                <c:pt idx="115">
                  <c:v>1.6607444895850163</c:v>
                </c:pt>
                <c:pt idx="116">
                  <c:v>0.82695210466758939</c:v>
                </c:pt>
                <c:pt idx="117">
                  <c:v>1.724262703140605</c:v>
                </c:pt>
                <c:pt idx="118">
                  <c:v>2.076840265880878</c:v>
                </c:pt>
                <c:pt idx="119">
                  <c:v>2.9670720466403915</c:v>
                </c:pt>
                <c:pt idx="120">
                  <c:v>3.8869802894417953</c:v>
                </c:pt>
                <c:pt idx="121">
                  <c:v>3.1013903780819594</c:v>
                </c:pt>
                <c:pt idx="122">
                  <c:v>2.2772829941737354</c:v>
                </c:pt>
                <c:pt idx="123">
                  <c:v>1.9572208365234951</c:v>
                </c:pt>
                <c:pt idx="124">
                  <c:v>2.0115736658447148</c:v>
                </c:pt>
                <c:pt idx="125">
                  <c:v>1.3069599469632531</c:v>
                </c:pt>
                <c:pt idx="126">
                  <c:v>1.3202540826712859</c:v>
                </c:pt>
                <c:pt idx="127">
                  <c:v>1.7754334846294024</c:v>
                </c:pt>
                <c:pt idx="128">
                  <c:v>1.1875054186072642</c:v>
                </c:pt>
                <c:pt idx="129">
                  <c:v>1.1236102759206998</c:v>
                </c:pt>
                <c:pt idx="130">
                  <c:v>1.8570672629971363</c:v>
                </c:pt>
                <c:pt idx="131">
                  <c:v>1.435473434493211</c:v>
                </c:pt>
                <c:pt idx="132">
                  <c:v>2.2551891944160936</c:v>
                </c:pt>
                <c:pt idx="133">
                  <c:v>1.7205237390155139</c:v>
                </c:pt>
                <c:pt idx="134">
                  <c:v>2.3568244434462002</c:v>
                </c:pt>
                <c:pt idx="135">
                  <c:v>2.9494501849673669</c:v>
                </c:pt>
                <c:pt idx="136">
                  <c:v>3.0509461123777619</c:v>
                </c:pt>
                <c:pt idx="137">
                  <c:v>2.8557463161235983</c:v>
                </c:pt>
                <c:pt idx="138">
                  <c:v>3.1799022420404248</c:v>
                </c:pt>
                <c:pt idx="139">
                  <c:v>3.5033422442723645</c:v>
                </c:pt>
                <c:pt idx="140">
                  <c:v>3.5487290477032336</c:v>
                </c:pt>
                <c:pt idx="141">
                  <c:v>2.7088446842934264</c:v>
                </c:pt>
                <c:pt idx="142">
                  <c:v>8.0155759671578775</c:v>
                </c:pt>
                <c:pt idx="143">
                  <c:v>6.7889227299709018</c:v>
                </c:pt>
                <c:pt idx="144">
                  <c:v>6.2468428455855101</c:v>
                </c:pt>
                <c:pt idx="145">
                  <c:v>7.1735536812742309</c:v>
                </c:pt>
                <c:pt idx="146">
                  <c:v>8.2400694123811249</c:v>
                </c:pt>
                <c:pt idx="147">
                  <c:v>7.8091062118025887</c:v>
                </c:pt>
                <c:pt idx="148">
                  <c:v>8.3192674122531542</c:v>
                </c:pt>
                <c:pt idx="149">
                  <c:v>10.188536743829049</c:v>
                </c:pt>
                <c:pt idx="150">
                  <c:v>10.713444255762218</c:v>
                </c:pt>
                <c:pt idx="151">
                  <c:v>10.494054509718536</c:v>
                </c:pt>
                <c:pt idx="152">
                  <c:v>11.068084455061635</c:v>
                </c:pt>
                <c:pt idx="153">
                  <c:v>11.116193236681299</c:v>
                </c:pt>
                <c:pt idx="154">
                  <c:v>10.654814832773308</c:v>
                </c:pt>
                <c:pt idx="155">
                  <c:v>11.890453651150397</c:v>
                </c:pt>
                <c:pt idx="156">
                  <c:v>11.59946520094484</c:v>
                </c:pt>
                <c:pt idx="157">
                  <c:v>12.370504117360422</c:v>
                </c:pt>
                <c:pt idx="158">
                  <c:v>11.732885573617841</c:v>
                </c:pt>
                <c:pt idx="159">
                  <c:v>10.826978305481262</c:v>
                </c:pt>
                <c:pt idx="160">
                  <c:v>11.175643401945399</c:v>
                </c:pt>
                <c:pt idx="161">
                  <c:v>11.627961590016657</c:v>
                </c:pt>
                <c:pt idx="162">
                  <c:v>11.979095541609256</c:v>
                </c:pt>
                <c:pt idx="163">
                  <c:v>11.966928586012539</c:v>
                </c:pt>
                <c:pt idx="164">
                  <c:v>12.19819985820498</c:v>
                </c:pt>
                <c:pt idx="165">
                  <c:v>13.042548535754021</c:v>
                </c:pt>
                <c:pt idx="166">
                  <c:v>8.0957142470216468</c:v>
                </c:pt>
                <c:pt idx="167">
                  <c:v>8.784029546271972</c:v>
                </c:pt>
                <c:pt idx="168">
                  <c:v>8.7699585650103895</c:v>
                </c:pt>
                <c:pt idx="169">
                  <c:v>8.2133204175087577</c:v>
                </c:pt>
                <c:pt idx="170">
                  <c:v>8.2109095942744847</c:v>
                </c:pt>
                <c:pt idx="171">
                  <c:v>7.8437064030363404</c:v>
                </c:pt>
                <c:pt idx="172">
                  <c:v>7.674493162831669</c:v>
                </c:pt>
                <c:pt idx="173">
                  <c:v>6.4732617723916475</c:v>
                </c:pt>
                <c:pt idx="174">
                  <c:v>6.7861034921774976</c:v>
                </c:pt>
                <c:pt idx="175">
                  <c:v>7.1894470826787513</c:v>
                </c:pt>
                <c:pt idx="176">
                  <c:v>7.4080464156303885</c:v>
                </c:pt>
                <c:pt idx="177">
                  <c:v>8.1759578507468582</c:v>
                </c:pt>
                <c:pt idx="178">
                  <c:v>8.5244469707804758</c:v>
                </c:pt>
                <c:pt idx="179">
                  <c:v>8.2396443389400353</c:v>
                </c:pt>
                <c:pt idx="180">
                  <c:v>8.4778777874222051</c:v>
                </c:pt>
                <c:pt idx="181">
                  <c:v>9.1250834094069031</c:v>
                </c:pt>
                <c:pt idx="182">
                  <c:v>8.9014621740238677</c:v>
                </c:pt>
                <c:pt idx="183">
                  <c:v>9.4001712302329175</c:v>
                </c:pt>
                <c:pt idx="184">
                  <c:v>8.5833746080847018</c:v>
                </c:pt>
                <c:pt idx="185">
                  <c:v>8.4149503244663659</c:v>
                </c:pt>
                <c:pt idx="186">
                  <c:v>7.4587754195543852</c:v>
                </c:pt>
                <c:pt idx="187">
                  <c:v>8.6855000983297579</c:v>
                </c:pt>
                <c:pt idx="188">
                  <c:v>9.2345283540430856</c:v>
                </c:pt>
                <c:pt idx="189">
                  <c:v>7.5711178493052351</c:v>
                </c:pt>
                <c:pt idx="190">
                  <c:v>7.3124385579132483</c:v>
                </c:pt>
                <c:pt idx="191">
                  <c:v>6.3061753519809374</c:v>
                </c:pt>
                <c:pt idx="192">
                  <c:v>5.1471540749467239</c:v>
                </c:pt>
                <c:pt idx="193">
                  <c:v>5.3588076577166346</c:v>
                </c:pt>
                <c:pt idx="194">
                  <c:v>5.3893710249035962</c:v>
                </c:pt>
                <c:pt idx="195">
                  <c:v>5.5437019338347788</c:v>
                </c:pt>
                <c:pt idx="196">
                  <c:v>5.7707492934085547</c:v>
                </c:pt>
                <c:pt idx="197">
                  <c:v>6.3945344975361236</c:v>
                </c:pt>
                <c:pt idx="198">
                  <c:v>6.4150072664465689</c:v>
                </c:pt>
                <c:pt idx="199">
                  <c:v>5.1485634676002903</c:v>
                </c:pt>
                <c:pt idx="200">
                  <c:v>4.3393156770757928</c:v>
                </c:pt>
                <c:pt idx="201">
                  <c:v>4.037491372769324</c:v>
                </c:pt>
                <c:pt idx="202">
                  <c:v>3.920254162049539</c:v>
                </c:pt>
                <c:pt idx="203">
                  <c:v>3.3700000000000041</c:v>
                </c:pt>
                <c:pt idx="204">
                  <c:v>1.8069870764384564</c:v>
                </c:pt>
                <c:pt idx="205">
                  <c:v>0.76325379907859547</c:v>
                </c:pt>
                <c:pt idx="206">
                  <c:v>0.56789253123408745</c:v>
                </c:pt>
                <c:pt idx="207">
                  <c:v>0.84506489941570395</c:v>
                </c:pt>
                <c:pt idx="208">
                  <c:v>0.98524078276217042</c:v>
                </c:pt>
                <c:pt idx="209">
                  <c:v>1.0409411036297576</c:v>
                </c:pt>
                <c:pt idx="210">
                  <c:v>1.4517936155263074</c:v>
                </c:pt>
                <c:pt idx="211">
                  <c:v>0.50817105300167975</c:v>
                </c:pt>
                <c:pt idx="212">
                  <c:v>-0.15228473531241721</c:v>
                </c:pt>
                <c:pt idx="213">
                  <c:v>1.3325873082482418</c:v>
                </c:pt>
                <c:pt idx="214">
                  <c:v>1.6008786217551949</c:v>
                </c:pt>
                <c:pt idx="215">
                  <c:v>2.012004712129996</c:v>
                </c:pt>
                <c:pt idx="216">
                  <c:v>3.0312774872081154</c:v>
                </c:pt>
              </c:numCache>
            </c:numRef>
          </c:val>
          <c:smooth val="0"/>
          <c:extLst>
            <c:ext xmlns:c16="http://schemas.microsoft.com/office/drawing/2014/chart" uri="{C3380CC4-5D6E-409C-BE32-E72D297353CC}">
              <c16:uniqueId val="{00000005-F8CD-49FD-9394-EA30463E2D65}"/>
            </c:ext>
          </c:extLst>
        </c:ser>
        <c:dLbls>
          <c:showLegendKey val="0"/>
          <c:showVal val="0"/>
          <c:showCatName val="0"/>
          <c:showSerName val="0"/>
          <c:showPercent val="0"/>
          <c:showBubbleSize val="0"/>
        </c:dLbls>
        <c:smooth val="0"/>
        <c:axId val="343154096"/>
        <c:axId val="343155664"/>
      </c:lineChart>
      <c:catAx>
        <c:axId val="343154096"/>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43155664"/>
        <c:crosses val="autoZero"/>
        <c:auto val="0"/>
        <c:lblAlgn val="ctr"/>
        <c:lblOffset val="45"/>
        <c:tickLblSkip val="24"/>
        <c:tickMarkSkip val="24"/>
        <c:noMultiLvlLbl val="1"/>
      </c:catAx>
      <c:valAx>
        <c:axId val="343155664"/>
        <c:scaling>
          <c:orientation val="minMax"/>
          <c:max val="14"/>
          <c:min val="-2"/>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43154096"/>
        <c:crossesAt val="1"/>
        <c:crossBetween val="midCat"/>
        <c:majorUnit val="2"/>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B1FA1-9427-42D8-829A-BB9BAD1A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1105</TotalTime>
  <Pages>10</Pages>
  <Words>1979</Words>
  <Characters>10690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 Primera quincena de febrero de 2020</dc:title>
  <dc:creator>INEGI</dc:creator>
  <cp:keywords>PRECIOS CONSUMIDOR SUBYACENTE</cp:keywords>
  <cp:lastModifiedBy>SALA DE PRENSA</cp:lastModifiedBy>
  <cp:revision>115</cp:revision>
  <cp:lastPrinted>2020-02-19T19:01:00Z</cp:lastPrinted>
  <dcterms:created xsi:type="dcterms:W3CDTF">2019-01-21T18:24:00Z</dcterms:created>
  <dcterms:modified xsi:type="dcterms:W3CDTF">2020-02-21T22:50:00Z</dcterms:modified>
  <cp:category>INDICES DE PRECIOS</cp:category>
  <cp:version>1</cp:version>
</cp:coreProperties>
</file>