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2021772"/>
    <w:bookmarkEnd w:id="0"/>
    <w:p w14:paraId="72DA9EFF" w14:textId="77777777" w:rsidR="00F717AC" w:rsidRDefault="00F717AC" w:rsidP="00F717AC">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8C2DFB2" wp14:editId="270C8623">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4713597" w14:textId="77777777" w:rsidR="00F717AC" w:rsidRPr="00265B8C" w:rsidRDefault="00F717AC" w:rsidP="00F717A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23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2DFB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4713597" w14:textId="77777777" w:rsidR="00F717AC" w:rsidRPr="00265B8C" w:rsidRDefault="00F717AC" w:rsidP="00F717A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23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8127F9E" w14:textId="77777777" w:rsidR="00F717AC" w:rsidRDefault="00F717AC" w:rsidP="00F717AC">
      <w:pPr>
        <w:pStyle w:val="Profesin"/>
      </w:pPr>
    </w:p>
    <w:p w14:paraId="08B6A84B" w14:textId="77777777" w:rsidR="00F717AC" w:rsidRPr="003571E2" w:rsidRDefault="00F717AC" w:rsidP="00F717AC">
      <w:pPr>
        <w:pStyle w:val="Profesin"/>
        <w:spacing w:before="240"/>
      </w:pPr>
      <w:r w:rsidRPr="003571E2">
        <w:t xml:space="preserve">ÍNDICE NACIONAL DE PRECIOS AL </w:t>
      </w:r>
      <w:r>
        <w:t>CO</w:t>
      </w:r>
      <w:r w:rsidRPr="003571E2">
        <w:t>NSUMIDOR</w:t>
      </w:r>
    </w:p>
    <w:p w14:paraId="6262FB31" w14:textId="77777777" w:rsidR="00F717AC" w:rsidRDefault="00F717AC" w:rsidP="00F717AC">
      <w:pPr>
        <w:pStyle w:val="Profesin"/>
        <w:rPr>
          <w:caps w:val="0"/>
          <w:sz w:val="26"/>
          <w:szCs w:val="26"/>
        </w:rPr>
      </w:pPr>
      <w:r w:rsidRPr="00943849">
        <w:rPr>
          <w:caps w:val="0"/>
          <w:sz w:val="26"/>
          <w:szCs w:val="26"/>
        </w:rPr>
        <w:t xml:space="preserve">Primera quincena de </w:t>
      </w:r>
      <w:r>
        <w:rPr>
          <w:caps w:val="0"/>
          <w:sz w:val="26"/>
          <w:szCs w:val="26"/>
        </w:rPr>
        <w:t>junio de 2020</w:t>
      </w:r>
    </w:p>
    <w:p w14:paraId="0A4B7E9D" w14:textId="77777777" w:rsidR="00F717AC" w:rsidRPr="003A01E5" w:rsidRDefault="00F717AC" w:rsidP="000177E8">
      <w:pPr>
        <w:spacing w:before="240"/>
        <w:ind w:right="255"/>
        <w:rPr>
          <w:bCs/>
        </w:rPr>
      </w:pPr>
      <w:r w:rsidRPr="003A01E5">
        <w:rPr>
          <w:bCs/>
        </w:rPr>
        <w:t>El Instituto Nacional de Estadística y Geografía (INEGI) informa que en la primera quincena de junio de 2020 el Índice Nacional de Precios al Consumidor (INPC) registró un aumento de 0.32 por ciento respecto a la quincena inmediata anterior, así como una inflación anual de 3.17 por ciento. En igual periodo de 2019 las variaciones fueron de 0.01 por ciento quincenal y de 4.00 por ciento anual.</w:t>
      </w:r>
    </w:p>
    <w:p w14:paraId="0D451186" w14:textId="77777777" w:rsidR="00F717AC" w:rsidRPr="003A01E5" w:rsidRDefault="00F717AC" w:rsidP="000177E8">
      <w:pPr>
        <w:spacing w:before="160"/>
        <w:ind w:right="255"/>
        <w:rPr>
          <w:bCs/>
        </w:rPr>
      </w:pPr>
      <w:r w:rsidRPr="003A01E5">
        <w:rPr>
          <w:bCs/>
        </w:rPr>
        <w:t>Al interior del INPC, el índice de precios subyacente</w:t>
      </w:r>
      <w:r w:rsidRPr="003A01E5">
        <w:rPr>
          <w:rStyle w:val="Refdenotaalpie"/>
          <w:bCs/>
        </w:rPr>
        <w:footnoteReference w:id="1"/>
      </w:r>
      <w:r w:rsidRPr="003A01E5">
        <w:rPr>
          <w:bCs/>
        </w:rPr>
        <w:t xml:space="preserve"> presentó un alza de 0.29 por ciento quincenal y de 3.66 por ciento anual, y el índice de precios no subyacente creció 0.39 por ciento quincenal y 1.63 por ciento anual.</w:t>
      </w:r>
    </w:p>
    <w:p w14:paraId="2DBDF5E8" w14:textId="77777777" w:rsidR="00F717AC" w:rsidRPr="003A01E5" w:rsidRDefault="00F717AC" w:rsidP="000177E8">
      <w:pPr>
        <w:spacing w:before="160"/>
        <w:ind w:right="255"/>
        <w:rPr>
          <w:bCs/>
        </w:rPr>
      </w:pPr>
      <w:r w:rsidRPr="003A01E5">
        <w:rPr>
          <w:bCs/>
        </w:rPr>
        <w:t>En cuanto al índice de precios subyacente, los precios de las mercancías se incrementaron 0.43 por ciento y los de los servicios 0.15 por ciento quincenal.</w:t>
      </w:r>
    </w:p>
    <w:p w14:paraId="6B8F8FE8" w14:textId="77777777" w:rsidR="00F717AC" w:rsidRPr="003A01E5" w:rsidRDefault="00F717AC" w:rsidP="000177E8">
      <w:pPr>
        <w:spacing w:before="160"/>
        <w:ind w:right="255"/>
        <w:rPr>
          <w:bCs/>
        </w:rPr>
      </w:pPr>
      <w:r w:rsidRPr="003A01E5">
        <w:rPr>
          <w:bCs/>
        </w:rPr>
        <w:t>Dentro del índice de precios no subyacente, los precios de los productos agropecuarios retrocedieron (-)0.92 por ciento, en tanto que los de los energéticos y tarifas autorizadas por el gobierno subieron 1.48 por ciento quincenal.</w:t>
      </w:r>
    </w:p>
    <w:p w14:paraId="7D90B42F" w14:textId="77777777" w:rsidR="00F717AC" w:rsidRPr="003A01E5" w:rsidRDefault="00F717AC" w:rsidP="000177E8">
      <w:pPr>
        <w:spacing w:before="160"/>
        <w:ind w:right="255"/>
        <w:rPr>
          <w:bCs/>
        </w:rPr>
      </w:pPr>
      <w:r w:rsidRPr="003A01E5">
        <w:rPr>
          <w:bCs/>
        </w:rPr>
        <w:t>Como se informó oportunamente, dadas las medidas extraordinarias adoptadas por el INEGI ante el estado de emergencia sanitaria originada por el COVID-19, a partir del mes de abril y mientras dure esta emergencia sanitaria, la medición del Índice Nacional de Precios al Consumidor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Pr="003A01E5">
        <w:rPr>
          <w:rStyle w:val="Refdenotaalpie"/>
          <w:bCs/>
        </w:rPr>
        <w:footnoteReference w:id="2"/>
      </w:r>
      <w:r w:rsidRPr="003A01E5">
        <w:rPr>
          <w:bCs/>
        </w:rPr>
        <w:t>.</w:t>
      </w:r>
    </w:p>
    <w:p w14:paraId="335D677C" w14:textId="77777777" w:rsidR="00F717AC" w:rsidRPr="003A01E5" w:rsidRDefault="00F717AC" w:rsidP="00F717AC">
      <w:pPr>
        <w:spacing w:before="720"/>
        <w:rPr>
          <w:bCs/>
        </w:rPr>
      </w:pPr>
    </w:p>
    <w:p w14:paraId="2157D5FE" w14:textId="77777777" w:rsidR="00F717AC" w:rsidRPr="00C97144" w:rsidRDefault="00F717AC" w:rsidP="00F717AC">
      <w:pPr>
        <w:ind w:right="397" w:hanging="1418"/>
        <w:jc w:val="left"/>
        <w:rPr>
          <w:i/>
          <w:color w:val="000000" w:themeColor="text1"/>
        </w:rPr>
      </w:pPr>
      <w:r w:rsidRPr="00C97144">
        <w:rPr>
          <w:i/>
          <w:color w:val="000000" w:themeColor="text1"/>
        </w:rPr>
        <w:br w:type="page"/>
      </w:r>
    </w:p>
    <w:p w14:paraId="41B931DD" w14:textId="77777777" w:rsidR="00F717AC" w:rsidRDefault="00F717AC" w:rsidP="00F717AC">
      <w:pPr>
        <w:pStyle w:val="Prrafodelista"/>
        <w:keepNext/>
        <w:keepLines/>
        <w:widowControl w:val="0"/>
        <w:spacing w:before="360"/>
        <w:ind w:left="0"/>
        <w:jc w:val="center"/>
        <w:rPr>
          <w:b/>
          <w:smallCaps/>
          <w:sz w:val="22"/>
          <w:szCs w:val="22"/>
        </w:rPr>
      </w:pPr>
    </w:p>
    <w:p w14:paraId="78BAB4C9" w14:textId="77777777" w:rsidR="00F717AC" w:rsidRPr="009D10BE" w:rsidRDefault="00F717AC" w:rsidP="00F717AC">
      <w:pPr>
        <w:pStyle w:val="Prrafodelista"/>
        <w:keepNext/>
        <w:keepLines/>
        <w:widowControl w:val="0"/>
        <w:spacing w:before="360"/>
        <w:ind w:left="0"/>
        <w:jc w:val="center"/>
        <w:rPr>
          <w:b/>
          <w:smallCaps/>
          <w:sz w:val="22"/>
        </w:rPr>
      </w:pPr>
      <w:r w:rsidRPr="009D10BE">
        <w:rPr>
          <w:b/>
          <w:smallCaps/>
          <w:sz w:val="22"/>
        </w:rPr>
        <w:t>INPC, Subyacente y No Subyacente</w:t>
      </w:r>
    </w:p>
    <w:p w14:paraId="2DB68A7E" w14:textId="77777777" w:rsidR="00F717AC" w:rsidRPr="009D10BE" w:rsidRDefault="00F717AC" w:rsidP="00F717AC">
      <w:pPr>
        <w:keepNext/>
        <w:keepLines/>
        <w:widowControl w:val="0"/>
        <w:jc w:val="center"/>
        <w:rPr>
          <w:sz w:val="18"/>
          <w:szCs w:val="18"/>
        </w:rPr>
      </w:pPr>
      <w:r w:rsidRPr="009D10BE">
        <w:rPr>
          <w:sz w:val="18"/>
          <w:szCs w:val="18"/>
        </w:rPr>
        <w:t xml:space="preserve">Primera quincena de junio de los años que se indican </w:t>
      </w:r>
    </w:p>
    <w:p w14:paraId="4EEBC6D5" w14:textId="77777777" w:rsidR="00F717AC" w:rsidRPr="00A71198" w:rsidRDefault="00F717AC" w:rsidP="00F717AC">
      <w:pPr>
        <w:keepNext/>
        <w:keepLines/>
        <w:widowControl w:val="0"/>
        <w:jc w:val="center"/>
        <w:rPr>
          <w:b/>
        </w:rPr>
      </w:pPr>
      <w:r w:rsidRPr="000E35A3">
        <w:rPr>
          <w:noProof/>
        </w:rPr>
        <w:drawing>
          <wp:inline distT="0" distB="0" distL="0" distR="0" wp14:anchorId="2682A85C" wp14:editId="7D819B5F">
            <wp:extent cx="5972810" cy="251904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19045"/>
                    </a:xfrm>
                    <a:prstGeom prst="rect">
                      <a:avLst/>
                    </a:prstGeom>
                    <a:noFill/>
                    <a:ln>
                      <a:noFill/>
                    </a:ln>
                  </pic:spPr>
                </pic:pic>
              </a:graphicData>
            </a:graphic>
          </wp:inline>
        </w:drawing>
      </w:r>
    </w:p>
    <w:p w14:paraId="4637C906" w14:textId="77777777" w:rsidR="00F717AC" w:rsidRPr="00A71198" w:rsidRDefault="00F717AC" w:rsidP="00F717AC">
      <w:pPr>
        <w:autoSpaceDE w:val="0"/>
        <w:autoSpaceDN w:val="0"/>
        <w:adjustRightInd w:val="0"/>
        <w:ind w:left="283" w:right="255" w:hanging="170"/>
        <w:rPr>
          <w:color w:val="006600"/>
          <w:sz w:val="16"/>
          <w:szCs w:val="16"/>
        </w:rPr>
      </w:pPr>
      <w:r w:rsidRPr="00A71198">
        <w:rPr>
          <w:color w:val="006600"/>
          <w:sz w:val="18"/>
          <w:szCs w:val="16"/>
          <w:vertAlign w:val="superscript"/>
        </w:rPr>
        <w:t>1/</w:t>
      </w:r>
      <w:r w:rsidRPr="00A71198">
        <w:rPr>
          <w:color w:val="006600"/>
          <w:sz w:val="16"/>
          <w:szCs w:val="16"/>
        </w:rPr>
        <w:tab/>
        <w:t xml:space="preserve">La incidencia se refiere a la contribución en puntos porcentuales de cada componente del INPC </w:t>
      </w:r>
      <w:r>
        <w:rPr>
          <w:color w:val="006600"/>
          <w:sz w:val="16"/>
          <w:szCs w:val="16"/>
        </w:rPr>
        <w:t>a</w:t>
      </w:r>
      <w:r w:rsidRPr="00A71198">
        <w:rPr>
          <w:color w:val="006600"/>
          <w:sz w:val="16"/>
          <w:szCs w:val="16"/>
        </w:rPr>
        <w:t xml:space="preserve">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6527B761" w14:textId="77777777" w:rsidR="00F717AC" w:rsidRPr="00A71198" w:rsidRDefault="00F717AC" w:rsidP="00F717AC">
      <w:pPr>
        <w:autoSpaceDE w:val="0"/>
        <w:autoSpaceDN w:val="0"/>
        <w:adjustRightInd w:val="0"/>
        <w:ind w:left="283" w:right="255"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FB2FA07" w14:textId="77777777" w:rsidR="00F717AC" w:rsidRPr="00A71198" w:rsidRDefault="00F717AC" w:rsidP="00F717AC">
      <w:pPr>
        <w:autoSpaceDE w:val="0"/>
        <w:autoSpaceDN w:val="0"/>
        <w:adjustRightInd w:val="0"/>
        <w:ind w:left="283" w:right="255"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502EA6B3" w14:textId="77777777" w:rsidR="00F717AC" w:rsidRPr="00A71198" w:rsidRDefault="00F717AC" w:rsidP="00F717AC">
      <w:pPr>
        <w:autoSpaceDE w:val="0"/>
        <w:autoSpaceDN w:val="0"/>
        <w:adjustRightInd w:val="0"/>
        <w:ind w:left="283" w:right="255"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28BDF7CC" w14:textId="77777777" w:rsidR="00F717AC" w:rsidRDefault="00F717AC" w:rsidP="00F717AC">
      <w:pPr>
        <w:autoSpaceDE w:val="0"/>
        <w:autoSpaceDN w:val="0"/>
        <w:adjustRightInd w:val="0"/>
        <w:ind w:left="283" w:right="255" w:hanging="170"/>
        <w:rPr>
          <w:color w:val="006600"/>
          <w:sz w:val="16"/>
          <w:szCs w:val="16"/>
        </w:rPr>
      </w:pPr>
    </w:p>
    <w:p w14:paraId="1AD80DA0" w14:textId="77777777" w:rsidR="00F717AC" w:rsidRDefault="00F717AC" w:rsidP="00F717AC">
      <w:pPr>
        <w:autoSpaceDE w:val="0"/>
        <w:autoSpaceDN w:val="0"/>
        <w:adjustRightInd w:val="0"/>
        <w:ind w:left="283" w:right="113" w:hanging="170"/>
        <w:rPr>
          <w:color w:val="006600"/>
          <w:sz w:val="16"/>
          <w:szCs w:val="16"/>
        </w:rPr>
      </w:pPr>
    </w:p>
    <w:p w14:paraId="6D8F75A9" w14:textId="77777777" w:rsidR="00F717AC" w:rsidRPr="00A71198" w:rsidRDefault="00F717AC" w:rsidP="00F717AC">
      <w:pPr>
        <w:autoSpaceDE w:val="0"/>
        <w:autoSpaceDN w:val="0"/>
        <w:adjustRightInd w:val="0"/>
        <w:ind w:left="283" w:right="113" w:hanging="170"/>
        <w:rPr>
          <w:color w:val="006600"/>
          <w:sz w:val="16"/>
          <w:szCs w:val="16"/>
        </w:rPr>
      </w:pPr>
    </w:p>
    <w:p w14:paraId="33A1B9A0" w14:textId="77777777" w:rsidR="00F717AC" w:rsidRDefault="00F717AC" w:rsidP="00F717AC">
      <w:pPr>
        <w:pStyle w:val="p01"/>
        <w:keepLines w:val="0"/>
        <w:tabs>
          <w:tab w:val="left" w:pos="3261"/>
        </w:tabs>
        <w:spacing w:before="0"/>
        <w:ind w:left="1418"/>
        <w:jc w:val="right"/>
        <w:outlineLvl w:val="0"/>
        <w:rPr>
          <w:rFonts w:ascii="Arial" w:hAnsi="Arial" w:cs="Arial"/>
          <w:b/>
          <w:color w:val="000000"/>
          <w:szCs w:val="24"/>
        </w:rPr>
      </w:pPr>
      <w:r>
        <w:rPr>
          <w:noProof/>
          <w:szCs w:val="24"/>
          <w:lang w:val="es-MX" w:eastAsia="es-MX"/>
        </w:rPr>
        <w:drawing>
          <wp:inline distT="0" distB="0" distL="0" distR="0" wp14:anchorId="7032966D" wp14:editId="5FC1CACF">
            <wp:extent cx="3952771" cy="1427018"/>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596" cy="1445728"/>
                    </a:xfrm>
                    <a:prstGeom prst="rect">
                      <a:avLst/>
                    </a:prstGeom>
                    <a:noFill/>
                  </pic:spPr>
                </pic:pic>
              </a:graphicData>
            </a:graphic>
          </wp:inline>
        </w:drawing>
      </w:r>
    </w:p>
    <w:p w14:paraId="5E5AF1E2" w14:textId="77777777" w:rsidR="00F717AC" w:rsidRDefault="00F717AC" w:rsidP="00F717A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Pr>
          <w:rFonts w:ascii="Arial" w:hAnsi="Arial" w:cs="Arial"/>
          <w:b/>
          <w:color w:val="000000"/>
          <w:szCs w:val="24"/>
        </w:rPr>
        <w:tab/>
      </w:r>
    </w:p>
    <w:p w14:paraId="61FE653C" w14:textId="77777777" w:rsidR="00F717AC" w:rsidRDefault="00F717AC" w:rsidP="00F717AC">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777E8B7B" w14:textId="77777777" w:rsidR="00F717AC" w:rsidRDefault="00F717AC" w:rsidP="00F717AC">
      <w:pPr>
        <w:pStyle w:val="NormalWeb"/>
        <w:spacing w:before="0" w:beforeAutospacing="0" w:after="0" w:afterAutospacing="0"/>
        <w:ind w:left="-426" w:right="-518"/>
        <w:contextualSpacing/>
        <w:jc w:val="center"/>
        <w:rPr>
          <w:rFonts w:ascii="Arial" w:hAnsi="Arial" w:cs="Arial"/>
          <w:sz w:val="20"/>
          <w:szCs w:val="20"/>
        </w:rPr>
      </w:pPr>
    </w:p>
    <w:p w14:paraId="4CB9E1F9" w14:textId="77777777" w:rsidR="00F717AC" w:rsidRDefault="00F717AC" w:rsidP="00F717AC">
      <w:pPr>
        <w:pStyle w:val="NormalWeb"/>
        <w:spacing w:before="0" w:beforeAutospacing="0" w:after="0" w:afterAutospacing="0"/>
        <w:ind w:left="-426" w:right="-518"/>
        <w:contextualSpacing/>
        <w:jc w:val="center"/>
        <w:rPr>
          <w:rFonts w:ascii="Arial" w:hAnsi="Arial" w:cs="Arial"/>
          <w:sz w:val="20"/>
          <w:szCs w:val="20"/>
        </w:rPr>
      </w:pPr>
    </w:p>
    <w:p w14:paraId="121EE3B4" w14:textId="77777777" w:rsidR="00F717AC" w:rsidRDefault="00F717AC" w:rsidP="00F717AC">
      <w:pPr>
        <w:pStyle w:val="NormalWeb"/>
        <w:spacing w:before="0" w:beforeAutospacing="0" w:after="0" w:afterAutospacing="0"/>
        <w:ind w:left="-426" w:right="-518"/>
        <w:contextualSpacing/>
        <w:jc w:val="center"/>
        <w:rPr>
          <w:rFonts w:ascii="Arial" w:hAnsi="Arial" w:cs="Arial"/>
          <w:sz w:val="20"/>
          <w:szCs w:val="20"/>
        </w:rPr>
      </w:pPr>
    </w:p>
    <w:p w14:paraId="4612267D" w14:textId="77777777" w:rsidR="00F717AC" w:rsidRDefault="00F717AC" w:rsidP="00F717AC">
      <w:pPr>
        <w:pStyle w:val="NormalWeb"/>
        <w:spacing w:before="0" w:beforeAutospacing="0" w:after="0" w:afterAutospacing="0"/>
        <w:ind w:left="-426" w:right="-518"/>
        <w:contextualSpacing/>
        <w:jc w:val="center"/>
        <w:rPr>
          <w:rFonts w:ascii="Arial" w:hAnsi="Arial" w:cs="Arial"/>
          <w:sz w:val="20"/>
          <w:szCs w:val="20"/>
        </w:rPr>
      </w:pPr>
    </w:p>
    <w:p w14:paraId="415B68CB" w14:textId="77777777" w:rsidR="00F717AC" w:rsidRPr="000177E8" w:rsidRDefault="00F717AC" w:rsidP="00F717AC">
      <w:pPr>
        <w:pStyle w:val="NormalWeb"/>
        <w:spacing w:before="0" w:beforeAutospacing="0" w:after="0" w:afterAutospacing="0"/>
        <w:ind w:left="-426" w:right="-518"/>
        <w:contextualSpacing/>
        <w:jc w:val="center"/>
        <w:rPr>
          <w:rFonts w:ascii="Arial" w:hAnsi="Arial" w:cs="Arial"/>
          <w:sz w:val="22"/>
          <w:szCs w:val="22"/>
        </w:rPr>
      </w:pPr>
      <w:r w:rsidRPr="000177E8">
        <w:rPr>
          <w:rFonts w:ascii="Arial" w:hAnsi="Arial" w:cs="Arial"/>
          <w:sz w:val="22"/>
          <w:szCs w:val="22"/>
        </w:rPr>
        <w:t xml:space="preserve">Para consultas de medios y periodistas, contactar a: </w:t>
      </w:r>
      <w:hyperlink r:id="rId10" w:history="1">
        <w:r w:rsidRPr="000177E8">
          <w:rPr>
            <w:rStyle w:val="Hipervnculo"/>
            <w:rFonts w:ascii="Arial" w:hAnsi="Arial" w:cs="Arial"/>
            <w:sz w:val="22"/>
            <w:szCs w:val="22"/>
          </w:rPr>
          <w:t>comunicacionsocial@inegi.org.mx</w:t>
        </w:r>
      </w:hyperlink>
      <w:r w:rsidRPr="000177E8">
        <w:rPr>
          <w:rFonts w:ascii="Arial" w:hAnsi="Arial" w:cs="Arial"/>
          <w:sz w:val="22"/>
          <w:szCs w:val="22"/>
        </w:rPr>
        <w:t xml:space="preserve"> </w:t>
      </w:r>
    </w:p>
    <w:p w14:paraId="6AD01659" w14:textId="77777777" w:rsidR="00F717AC" w:rsidRPr="000177E8" w:rsidRDefault="00F717AC" w:rsidP="00F717AC">
      <w:pPr>
        <w:pStyle w:val="NormalWeb"/>
        <w:spacing w:before="0" w:beforeAutospacing="0" w:after="0" w:afterAutospacing="0"/>
        <w:ind w:left="-426" w:right="-518"/>
        <w:contextualSpacing/>
        <w:jc w:val="center"/>
        <w:rPr>
          <w:rFonts w:ascii="Arial" w:hAnsi="Arial" w:cs="Arial"/>
          <w:sz w:val="22"/>
          <w:szCs w:val="22"/>
        </w:rPr>
      </w:pPr>
      <w:r w:rsidRPr="000177E8">
        <w:rPr>
          <w:rFonts w:ascii="Arial" w:hAnsi="Arial" w:cs="Arial"/>
          <w:sz w:val="22"/>
          <w:szCs w:val="22"/>
        </w:rPr>
        <w:t xml:space="preserve">o llamar al teléfono (55) 52-78-10-00, </w:t>
      </w:r>
      <w:proofErr w:type="spellStart"/>
      <w:r w:rsidRPr="000177E8">
        <w:rPr>
          <w:rFonts w:ascii="Arial" w:hAnsi="Arial" w:cs="Arial"/>
          <w:sz w:val="22"/>
          <w:szCs w:val="22"/>
        </w:rPr>
        <w:t>exts</w:t>
      </w:r>
      <w:proofErr w:type="spellEnd"/>
      <w:r w:rsidRPr="000177E8">
        <w:rPr>
          <w:rFonts w:ascii="Arial" w:hAnsi="Arial" w:cs="Arial"/>
          <w:sz w:val="22"/>
          <w:szCs w:val="22"/>
        </w:rPr>
        <w:t>. 1134, 1260 y 1241.</w:t>
      </w:r>
    </w:p>
    <w:p w14:paraId="4BF65608" w14:textId="77777777" w:rsidR="00F717AC" w:rsidRPr="000177E8" w:rsidRDefault="00F717AC" w:rsidP="00F717AC">
      <w:pPr>
        <w:ind w:left="-426" w:right="-518"/>
        <w:contextualSpacing/>
        <w:jc w:val="center"/>
        <w:rPr>
          <w:sz w:val="22"/>
          <w:szCs w:val="22"/>
        </w:rPr>
      </w:pPr>
    </w:p>
    <w:p w14:paraId="444F5AEE" w14:textId="77777777" w:rsidR="00F717AC" w:rsidRPr="000177E8" w:rsidRDefault="00F717AC" w:rsidP="00F717AC">
      <w:pPr>
        <w:ind w:left="-426" w:right="-518"/>
        <w:contextualSpacing/>
        <w:jc w:val="center"/>
        <w:rPr>
          <w:sz w:val="22"/>
          <w:szCs w:val="22"/>
        </w:rPr>
      </w:pPr>
      <w:r w:rsidRPr="000177E8">
        <w:rPr>
          <w:sz w:val="22"/>
          <w:szCs w:val="22"/>
        </w:rPr>
        <w:t xml:space="preserve">Dirección de Atención a Medios / Dirección General Adjunta de Comunicación </w:t>
      </w:r>
    </w:p>
    <w:p w14:paraId="33603720" w14:textId="77777777" w:rsidR="00F717AC" w:rsidRPr="00B70710" w:rsidRDefault="00F717AC" w:rsidP="00F717AC">
      <w:pPr>
        <w:ind w:left="-426" w:right="-518"/>
        <w:contextualSpacing/>
        <w:jc w:val="center"/>
        <w:rPr>
          <w:sz w:val="22"/>
          <w:szCs w:val="22"/>
        </w:rPr>
      </w:pPr>
    </w:p>
    <w:p w14:paraId="0D2F983A" w14:textId="77777777" w:rsidR="00F717AC" w:rsidRDefault="00F717AC" w:rsidP="00F717AC">
      <w:pPr>
        <w:ind w:left="-425" w:right="-516"/>
        <w:contextualSpacing/>
        <w:jc w:val="center"/>
      </w:pPr>
      <w:r w:rsidRPr="008F0992">
        <w:rPr>
          <w:noProof/>
          <w:sz w:val="20"/>
          <w:lang w:val="es-MX" w:eastAsia="es-MX"/>
        </w:rPr>
        <w:drawing>
          <wp:inline distT="0" distB="0" distL="0" distR="0" wp14:anchorId="288E40BE" wp14:editId="74566ED2">
            <wp:extent cx="318472" cy="322419"/>
            <wp:effectExtent l="0" t="0" r="5715" b="1905"/>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2E6582A" wp14:editId="49D1100F">
            <wp:extent cx="327704" cy="325467"/>
            <wp:effectExtent l="0" t="0" r="0" b="0"/>
            <wp:docPr id="6" name="Imagen 6"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461F041" wp14:editId="6C4AE186">
            <wp:extent cx="321276" cy="324093"/>
            <wp:effectExtent l="0" t="0" r="3175" b="0"/>
            <wp:docPr id="9" name="Imagen 9"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FBAD1E3" wp14:editId="0D129CDA">
            <wp:extent cx="321276" cy="326574"/>
            <wp:effectExtent l="0" t="0" r="3175" b="0"/>
            <wp:docPr id="4" name="Imagen 4"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1E181131" wp14:editId="1C584EE8">
            <wp:extent cx="2323070" cy="319707"/>
            <wp:effectExtent l="0" t="0" r="1270" b="4445"/>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b/>
          <w:color w:val="000000"/>
        </w:rPr>
        <w:tab/>
      </w:r>
    </w:p>
    <w:p w14:paraId="75EF9520" w14:textId="77777777" w:rsidR="00F717AC" w:rsidRPr="00157C43" w:rsidRDefault="00F717AC" w:rsidP="00F717AC">
      <w:pPr>
        <w:pStyle w:val="bullet"/>
        <w:tabs>
          <w:tab w:val="left" w:pos="8789"/>
        </w:tabs>
        <w:spacing w:before="0"/>
        <w:ind w:left="0" w:right="51" w:firstLine="0"/>
        <w:jc w:val="center"/>
        <w:rPr>
          <w:rFonts w:cs="Arial"/>
          <w:szCs w:val="24"/>
        </w:rPr>
        <w:sectPr w:rsidR="00F717AC" w:rsidRPr="00157C43" w:rsidSect="0019434B">
          <w:headerReference w:type="even" r:id="rId21"/>
          <w:headerReference w:type="default" r:id="rId22"/>
          <w:footerReference w:type="even" r:id="rId23"/>
          <w:footerReference w:type="default" r:id="rId24"/>
          <w:headerReference w:type="first" r:id="rId25"/>
          <w:footerReference w:type="first" r:id="rId26"/>
          <w:pgSz w:w="12240" w:h="15840" w:code="1"/>
          <w:pgMar w:top="1" w:right="1183" w:bottom="0" w:left="1588" w:header="510" w:footer="510" w:gutter="0"/>
          <w:cols w:space="720"/>
          <w:docGrid w:linePitch="272"/>
        </w:sectPr>
      </w:pPr>
      <w:r>
        <w:rPr>
          <w:rFonts w:cs="Arial"/>
          <w:szCs w:val="24"/>
        </w:rPr>
        <w:tab/>
      </w:r>
    </w:p>
    <w:p w14:paraId="0338E557" w14:textId="659A58B8" w:rsidR="00F717AC" w:rsidRDefault="00F717AC" w:rsidP="00F717AC">
      <w:pPr>
        <w:pStyle w:val="Profesin"/>
        <w:tabs>
          <w:tab w:val="left" w:pos="8647"/>
        </w:tabs>
        <w:contextualSpacing/>
      </w:pPr>
      <w:r w:rsidRPr="000C089B">
        <w:lastRenderedPageBreak/>
        <w:t>NOTA TÉCNICA</w:t>
      </w:r>
    </w:p>
    <w:p w14:paraId="6D4A7BC2" w14:textId="77777777" w:rsidR="00F717AC" w:rsidRPr="00F717AC" w:rsidRDefault="00F717AC" w:rsidP="00F717AC">
      <w:pPr>
        <w:pStyle w:val="Profesin"/>
        <w:tabs>
          <w:tab w:val="left" w:pos="8647"/>
        </w:tabs>
        <w:contextualSpacing/>
        <w:rPr>
          <w:sz w:val="16"/>
          <w:szCs w:val="16"/>
        </w:rPr>
      </w:pPr>
    </w:p>
    <w:p w14:paraId="27445CEE" w14:textId="77777777" w:rsidR="00DF2D89" w:rsidRPr="003571E2" w:rsidRDefault="00DF2D89" w:rsidP="00D74605">
      <w:pPr>
        <w:pStyle w:val="Profesin"/>
      </w:pPr>
      <w:r w:rsidRPr="003571E2">
        <w:t xml:space="preserve">ÍNDICE NACIONAL DE PRECIOS AL </w:t>
      </w:r>
      <w:r>
        <w:t>CO</w:t>
      </w:r>
      <w:r w:rsidRPr="003571E2">
        <w:t>NSUMIDOR</w:t>
      </w:r>
    </w:p>
    <w:p w14:paraId="04ADCCF0" w14:textId="7DA8845D" w:rsidR="00DF2D89" w:rsidRDefault="00DF2D89" w:rsidP="00DF2D89">
      <w:pPr>
        <w:pStyle w:val="Profesin"/>
        <w:rPr>
          <w:caps w:val="0"/>
          <w:sz w:val="26"/>
          <w:szCs w:val="26"/>
        </w:rPr>
      </w:pPr>
      <w:r w:rsidRPr="00943849">
        <w:rPr>
          <w:caps w:val="0"/>
          <w:sz w:val="26"/>
          <w:szCs w:val="26"/>
        </w:rPr>
        <w:t xml:space="preserve">Primera quincena de </w:t>
      </w:r>
      <w:r w:rsidR="009D10BE">
        <w:rPr>
          <w:caps w:val="0"/>
          <w:sz w:val="26"/>
          <w:szCs w:val="26"/>
        </w:rPr>
        <w:t xml:space="preserve">junio </w:t>
      </w:r>
      <w:r>
        <w:rPr>
          <w:caps w:val="0"/>
          <w:sz w:val="26"/>
          <w:szCs w:val="26"/>
        </w:rPr>
        <w:t>de 2020</w:t>
      </w:r>
    </w:p>
    <w:p w14:paraId="528EB625" w14:textId="262CC16A" w:rsidR="00C85A44" w:rsidRDefault="00C85A44" w:rsidP="00C3731C">
      <w:pPr>
        <w:spacing w:before="240"/>
        <w:jc w:val="left"/>
        <w:rPr>
          <w:b/>
          <w:i/>
          <w:color w:val="000000" w:themeColor="text1"/>
        </w:rPr>
      </w:pPr>
    </w:p>
    <w:p w14:paraId="75F4DC1C" w14:textId="3F9858AD" w:rsidR="005E1990" w:rsidRPr="00B940B6" w:rsidRDefault="005E1990" w:rsidP="00F76152">
      <w:pPr>
        <w:keepNext/>
        <w:keepLines/>
        <w:widowControl w:val="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0E7722A8" w14:textId="393EA9C9" w:rsidR="009D10BE" w:rsidRDefault="009D10BE" w:rsidP="009D10BE">
      <w:pPr>
        <w:autoSpaceDE w:val="0"/>
        <w:autoSpaceDN w:val="0"/>
        <w:adjustRightInd w:val="0"/>
        <w:spacing w:before="360"/>
      </w:pPr>
      <w:bookmarkStart w:id="1" w:name="_Hlk33002076"/>
      <w:r w:rsidRPr="00A71198">
        <w:t>En la primer</w:t>
      </w:r>
      <w:r>
        <w:t>a</w:t>
      </w:r>
      <w:r w:rsidRPr="00A71198">
        <w:t xml:space="preserve"> quincena de </w:t>
      </w:r>
      <w:r>
        <w:t xml:space="preserve">junio de </w:t>
      </w:r>
      <w:r w:rsidRPr="00A71198">
        <w:t>20</w:t>
      </w:r>
      <w:r>
        <w:t>20</w:t>
      </w:r>
      <w:r w:rsidRPr="00A71198">
        <w:t xml:space="preserve"> el Índice Nacional de Precios al Consumidor </w:t>
      </w:r>
      <w:r>
        <w:t xml:space="preserve">(INPC) registró un incremento de </w:t>
      </w:r>
      <w:r w:rsidRPr="00A71198">
        <w:t>0.</w:t>
      </w:r>
      <w:r>
        <w:t>32</w:t>
      </w:r>
      <w:r w:rsidRPr="00A71198">
        <w:t xml:space="preserve"> por ciento</w:t>
      </w:r>
      <w:r>
        <w:t xml:space="preserve"> frente a la quincena inmediata anterior. En el mismo periodo de un año antes </w:t>
      </w:r>
      <w:r w:rsidR="000F5C8B">
        <w:t xml:space="preserve">el INPC </w:t>
      </w:r>
      <w:r>
        <w:t>aumentó 0.01 por ciento</w:t>
      </w:r>
      <w:r w:rsidRPr="00A71198">
        <w:t>.</w:t>
      </w:r>
    </w:p>
    <w:p w14:paraId="44958119" w14:textId="77777777" w:rsidR="009D10BE" w:rsidRPr="00A71198" w:rsidRDefault="009D10BE" w:rsidP="009D10BE">
      <w:pPr>
        <w:pStyle w:val="n01"/>
        <w:spacing w:before="360"/>
        <w:ind w:left="0" w:firstLine="0"/>
        <w:jc w:val="center"/>
        <w:rPr>
          <w:rFonts w:ascii="Arial" w:hAnsi="Arial"/>
          <w:b/>
          <w:bCs/>
          <w:smallCaps/>
          <w:color w:val="000000" w:themeColor="text1"/>
        </w:rPr>
      </w:pPr>
      <w:r w:rsidRPr="00A71198">
        <w:rPr>
          <w:rFonts w:ascii="Arial" w:hAnsi="Arial"/>
          <w:b/>
          <w:bCs/>
          <w:smallCaps/>
          <w:color w:val="000000" w:themeColor="text1"/>
        </w:rPr>
        <w:t xml:space="preserve">Índice </w:t>
      </w:r>
      <w:r w:rsidRPr="009D10BE">
        <w:rPr>
          <w:rFonts w:ascii="Arial" w:hAnsi="Arial"/>
          <w:b/>
          <w:bCs/>
          <w:smallCaps/>
          <w:color w:val="000000" w:themeColor="text1"/>
          <w:sz w:val="22"/>
        </w:rPr>
        <w:t>Nacional</w:t>
      </w:r>
      <w:r w:rsidRPr="00A71198">
        <w:rPr>
          <w:rFonts w:ascii="Arial" w:hAnsi="Arial"/>
          <w:b/>
          <w:bCs/>
          <w:smallCaps/>
          <w:color w:val="000000" w:themeColor="text1"/>
        </w:rPr>
        <w:t xml:space="preserve"> de Precios al Consumidor</w:t>
      </w:r>
    </w:p>
    <w:p w14:paraId="36866ECE" w14:textId="77777777" w:rsidR="009D10BE" w:rsidRPr="009D10BE" w:rsidRDefault="009D10BE" w:rsidP="009D10BE">
      <w:pPr>
        <w:widowControl w:val="0"/>
        <w:autoSpaceDE w:val="0"/>
        <w:autoSpaceDN w:val="0"/>
        <w:adjustRightInd w:val="0"/>
        <w:spacing w:before="3" w:line="225" w:lineRule="exact"/>
        <w:jc w:val="center"/>
        <w:rPr>
          <w:sz w:val="18"/>
          <w:szCs w:val="18"/>
        </w:rPr>
      </w:pPr>
      <w:r w:rsidRPr="009D10BE">
        <w:rPr>
          <w:sz w:val="18"/>
          <w:szCs w:val="18"/>
        </w:rPr>
        <w:t>Variación porcentual quincenal durante la primera quincena de junio de los años que se indican</w:t>
      </w:r>
    </w:p>
    <w:p w14:paraId="5E559CB1" w14:textId="5BAD4B06" w:rsidR="009D10BE" w:rsidRPr="00A71198" w:rsidRDefault="00801C4F" w:rsidP="009D10BE">
      <w:pPr>
        <w:autoSpaceDE w:val="0"/>
        <w:autoSpaceDN w:val="0"/>
        <w:adjustRightInd w:val="0"/>
        <w:jc w:val="center"/>
        <w:rPr>
          <w:noProof/>
        </w:rPr>
      </w:pPr>
      <w:r>
        <w:rPr>
          <w:noProof/>
        </w:rPr>
        <w:drawing>
          <wp:inline distT="0" distB="0" distL="0" distR="0" wp14:anchorId="22240DDB" wp14:editId="5C345AE1">
            <wp:extent cx="5057699" cy="2877103"/>
            <wp:effectExtent l="0" t="0" r="10160" b="19050"/>
            <wp:docPr id="17" name="Gráfico 1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35D27BF" w14:textId="5043DCC5" w:rsidR="009D10BE" w:rsidRPr="00A71198" w:rsidRDefault="009D10BE" w:rsidP="00DE3BF3">
      <w:pPr>
        <w:autoSpaceDE w:val="0"/>
        <w:autoSpaceDN w:val="0"/>
        <w:adjustRightInd w:val="0"/>
        <w:spacing w:before="480"/>
        <w:ind w:left="-142"/>
      </w:pPr>
      <w:r w:rsidRPr="00A71198">
        <w:t xml:space="preserve">En el siguiente cuadro se muestran las variaciones e incidencias de los subíndices que integran al INPC en la primera quincena de </w:t>
      </w:r>
      <w:r>
        <w:t>junio</w:t>
      </w:r>
      <w:r w:rsidRPr="00A71198">
        <w:t xml:space="preserve"> de </w:t>
      </w:r>
      <w:r>
        <w:t>este año</w:t>
      </w:r>
      <w:r w:rsidRPr="00A71198">
        <w:t>, en donde se observa que los componentes subyacente y no subyacente tuvieron una contribución al índice general de 0.</w:t>
      </w:r>
      <w:r>
        <w:t>224</w:t>
      </w:r>
      <w:r w:rsidRPr="00A71198">
        <w:t xml:space="preserve"> y </w:t>
      </w:r>
      <w:r>
        <w:t xml:space="preserve">de </w:t>
      </w:r>
      <w:r w:rsidRPr="00A71198">
        <w:t>0.</w:t>
      </w:r>
      <w:r>
        <w:t>092</w:t>
      </w:r>
      <w:r w:rsidRPr="00A71198">
        <w:t xml:space="preserve"> puntos porcentuales</w:t>
      </w:r>
      <w:r>
        <w:t>,</w:t>
      </w:r>
      <w:r w:rsidRPr="00A71198">
        <w:t xml:space="preserve"> </w:t>
      </w:r>
      <w:r w:rsidR="00107B62">
        <w:t>en ese orden</w:t>
      </w:r>
      <w:r w:rsidRPr="00A71198">
        <w:t xml:space="preserve">. </w:t>
      </w:r>
    </w:p>
    <w:p w14:paraId="07CAA50E" w14:textId="77777777" w:rsidR="009D10BE" w:rsidRPr="009D10BE" w:rsidRDefault="009D10BE" w:rsidP="009D10BE">
      <w:pPr>
        <w:pStyle w:val="Prrafodelista"/>
        <w:keepNext/>
        <w:keepLines/>
        <w:widowControl w:val="0"/>
        <w:spacing w:before="360"/>
        <w:ind w:left="0"/>
        <w:jc w:val="center"/>
        <w:rPr>
          <w:b/>
          <w:smallCaps/>
          <w:sz w:val="22"/>
        </w:rPr>
      </w:pPr>
      <w:r w:rsidRPr="009D10BE">
        <w:rPr>
          <w:b/>
          <w:smallCaps/>
          <w:sz w:val="22"/>
        </w:rPr>
        <w:lastRenderedPageBreak/>
        <w:t>INPC, Subyacente y No Subyacente</w:t>
      </w:r>
    </w:p>
    <w:p w14:paraId="042AB553" w14:textId="77777777" w:rsidR="009D10BE" w:rsidRPr="009D10BE" w:rsidRDefault="009D10BE" w:rsidP="009D10BE">
      <w:pPr>
        <w:keepNext/>
        <w:keepLines/>
        <w:widowControl w:val="0"/>
        <w:jc w:val="center"/>
        <w:rPr>
          <w:sz w:val="18"/>
          <w:szCs w:val="18"/>
        </w:rPr>
      </w:pPr>
      <w:r w:rsidRPr="009D10BE">
        <w:rPr>
          <w:sz w:val="18"/>
          <w:szCs w:val="18"/>
        </w:rPr>
        <w:t xml:space="preserve">Primera quincena de junio de los años que se indican </w:t>
      </w:r>
    </w:p>
    <w:p w14:paraId="757ADD35" w14:textId="0CACC7CC" w:rsidR="009D10BE" w:rsidRPr="00A71198" w:rsidRDefault="000E35A3" w:rsidP="009D10BE">
      <w:pPr>
        <w:keepNext/>
        <w:keepLines/>
        <w:widowControl w:val="0"/>
        <w:jc w:val="center"/>
        <w:rPr>
          <w:b/>
        </w:rPr>
      </w:pPr>
      <w:r w:rsidRPr="000E35A3">
        <w:rPr>
          <w:noProof/>
        </w:rPr>
        <w:drawing>
          <wp:inline distT="0" distB="0" distL="0" distR="0" wp14:anchorId="4D0E582D" wp14:editId="7AB10ACE">
            <wp:extent cx="5972810" cy="2519045"/>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19045"/>
                    </a:xfrm>
                    <a:prstGeom prst="rect">
                      <a:avLst/>
                    </a:prstGeom>
                    <a:noFill/>
                    <a:ln>
                      <a:noFill/>
                    </a:ln>
                  </pic:spPr>
                </pic:pic>
              </a:graphicData>
            </a:graphic>
          </wp:inline>
        </w:drawing>
      </w:r>
    </w:p>
    <w:p w14:paraId="058532F8" w14:textId="1A76300E" w:rsidR="009D10BE" w:rsidRPr="00A71198" w:rsidRDefault="009D10BE" w:rsidP="009D10BE">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 xml:space="preserve">La incidencia se refiere a la contribución en puntos porcentuales de cada componente del INPC </w:t>
      </w:r>
      <w:r>
        <w:rPr>
          <w:color w:val="006600"/>
          <w:sz w:val="16"/>
          <w:szCs w:val="16"/>
        </w:rPr>
        <w:t>a</w:t>
      </w:r>
      <w:r w:rsidRPr="00A71198">
        <w:rPr>
          <w:color w:val="006600"/>
          <w:sz w:val="16"/>
          <w:szCs w:val="16"/>
        </w:rPr>
        <w:t xml:space="preserve">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6200F92E" w14:textId="77777777" w:rsidR="009D10BE" w:rsidRPr="00A71198" w:rsidRDefault="009D10BE" w:rsidP="009D10BE">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5A64568A" w14:textId="77777777" w:rsidR="009D10BE" w:rsidRPr="00A71198" w:rsidRDefault="009D10BE" w:rsidP="009D10BE">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5658DD80" w14:textId="77777777" w:rsidR="009D10BE" w:rsidRPr="00A71198" w:rsidRDefault="009D10BE" w:rsidP="009D10BE">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06DB2A5A" w14:textId="77777777" w:rsidR="009D10BE" w:rsidRPr="00A71198" w:rsidRDefault="009D10BE" w:rsidP="009D10BE">
      <w:pPr>
        <w:pStyle w:val="n01"/>
        <w:keepLines w:val="0"/>
        <w:spacing w:before="720"/>
        <w:ind w:left="0" w:firstLine="0"/>
        <w:rPr>
          <w:rFonts w:ascii="Arial" w:hAnsi="Arial"/>
          <w:b/>
          <w:i/>
          <w:color w:val="auto"/>
        </w:rPr>
      </w:pPr>
      <w:r w:rsidRPr="00A71198">
        <w:rPr>
          <w:rFonts w:ascii="Arial" w:hAnsi="Arial"/>
          <w:b/>
          <w:i/>
          <w:color w:val="auto"/>
        </w:rPr>
        <w:t>Índices Subyacente y No Subyacente</w:t>
      </w:r>
    </w:p>
    <w:p w14:paraId="20F48534" w14:textId="473A3293" w:rsidR="009D10BE" w:rsidRPr="00A71198" w:rsidRDefault="009D10BE" w:rsidP="009D10BE">
      <w:pPr>
        <w:autoSpaceDE w:val="0"/>
        <w:autoSpaceDN w:val="0"/>
        <w:adjustRightInd w:val="0"/>
        <w:spacing w:before="240"/>
      </w:pPr>
      <w:r w:rsidRPr="00A71198">
        <w:t xml:space="preserve">La variación en la primera quincena de </w:t>
      </w:r>
      <w:r>
        <w:t>junio</w:t>
      </w:r>
      <w:r w:rsidRPr="00A71198">
        <w:t xml:space="preserve"> </w:t>
      </w:r>
      <w:r>
        <w:t xml:space="preserve">del año en curso </w:t>
      </w:r>
      <w:r w:rsidRPr="00A71198">
        <w:t>de los índices subyacente y no subyacente fue de 0.</w:t>
      </w:r>
      <w:r>
        <w:t>29</w:t>
      </w:r>
      <w:r w:rsidRPr="00A71198">
        <w:t xml:space="preserve"> y </w:t>
      </w:r>
      <w:r w:rsidR="00107B62">
        <w:t xml:space="preserve">de </w:t>
      </w:r>
      <w:r>
        <w:t>0.39</w:t>
      </w:r>
      <w:r w:rsidRPr="00A71198">
        <w:t xml:space="preserve"> por ciento</w:t>
      </w:r>
      <w:r w:rsidR="00107B62">
        <w:t>,</w:t>
      </w:r>
      <w:r w:rsidRPr="00A71198">
        <w:t xml:space="preserve"> respectivamente</w:t>
      </w:r>
      <w:r w:rsidR="00107B62">
        <w:t>. Los</w:t>
      </w:r>
      <w:r w:rsidRPr="00A71198">
        <w:t xml:space="preserve"> datos compara</w:t>
      </w:r>
      <w:r w:rsidR="00107B62">
        <w:t xml:space="preserve">bles para igual </w:t>
      </w:r>
      <w:r w:rsidRPr="00A71198">
        <w:t>periodo de 201</w:t>
      </w:r>
      <w:r>
        <w:t>9</w:t>
      </w:r>
      <w:r w:rsidRPr="00A71198">
        <w:t xml:space="preserve"> fueron </w:t>
      </w:r>
      <w:r w:rsidR="00107B62">
        <w:t xml:space="preserve">de </w:t>
      </w:r>
      <w:r w:rsidRPr="00A71198">
        <w:t>0.</w:t>
      </w:r>
      <w:r>
        <w:t>16</w:t>
      </w:r>
      <w:r w:rsidRPr="00A71198">
        <w:t xml:space="preserve"> y </w:t>
      </w:r>
      <w:r w:rsidR="00107B62">
        <w:t xml:space="preserve">de </w:t>
      </w:r>
      <w:r>
        <w:t>(-)0.47 por ciento</w:t>
      </w:r>
      <w:r w:rsidR="00107B62">
        <w:t>.</w:t>
      </w:r>
    </w:p>
    <w:p w14:paraId="22BDBDA7" w14:textId="1EB306BF" w:rsidR="009D10BE" w:rsidRPr="00107B62" w:rsidRDefault="009D10BE" w:rsidP="00107B62">
      <w:pPr>
        <w:keepNext/>
        <w:keepLines/>
        <w:spacing w:before="240"/>
        <w:jc w:val="center"/>
        <w:rPr>
          <w:b/>
          <w:bCs/>
          <w:smallCaps/>
          <w:color w:val="000000" w:themeColor="text1"/>
          <w:sz w:val="22"/>
          <w:szCs w:val="22"/>
        </w:rPr>
      </w:pPr>
      <w:r w:rsidRPr="00107B62">
        <w:rPr>
          <w:b/>
          <w:bCs/>
          <w:smallCaps/>
          <w:color w:val="000000" w:themeColor="text1"/>
          <w:sz w:val="22"/>
          <w:szCs w:val="22"/>
        </w:rPr>
        <w:lastRenderedPageBreak/>
        <w:t>Índices de precios Subyacente y No Subyacente</w:t>
      </w:r>
    </w:p>
    <w:p w14:paraId="642169F6" w14:textId="77777777" w:rsidR="009D10BE" w:rsidRPr="00107B62" w:rsidRDefault="009D10BE" w:rsidP="00107B62">
      <w:pPr>
        <w:keepNext/>
        <w:keepLines/>
        <w:widowControl w:val="0"/>
        <w:autoSpaceDE w:val="0"/>
        <w:autoSpaceDN w:val="0"/>
        <w:adjustRightInd w:val="0"/>
        <w:jc w:val="center"/>
        <w:rPr>
          <w:sz w:val="18"/>
          <w:szCs w:val="18"/>
        </w:rPr>
      </w:pPr>
      <w:r w:rsidRPr="00107B62">
        <w:rPr>
          <w:sz w:val="18"/>
          <w:szCs w:val="18"/>
        </w:rPr>
        <w:t>Variación porcentual quincenal durante la primera quincena de junio de los años que se indican</w:t>
      </w:r>
    </w:p>
    <w:p w14:paraId="70EAE858" w14:textId="2467216B" w:rsidR="009D10BE" w:rsidRPr="00A71198" w:rsidRDefault="00801C4F" w:rsidP="009D10BE">
      <w:pPr>
        <w:pStyle w:val="n01"/>
        <w:keepLines w:val="0"/>
        <w:spacing w:before="0"/>
        <w:ind w:left="0" w:firstLine="0"/>
        <w:jc w:val="center"/>
        <w:rPr>
          <w:rFonts w:ascii="Arial" w:hAnsi="Arial"/>
          <w:color w:val="auto"/>
        </w:rPr>
      </w:pPr>
      <w:r>
        <w:rPr>
          <w:noProof/>
        </w:rPr>
        <w:drawing>
          <wp:inline distT="0" distB="0" distL="0" distR="0" wp14:anchorId="2379C0C4" wp14:editId="10E4F034">
            <wp:extent cx="5057699" cy="2877103"/>
            <wp:effectExtent l="0" t="0" r="10160" b="19050"/>
            <wp:docPr id="18" name="Gráfico 1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ACA780A" w14:textId="77777777" w:rsidR="00107B62" w:rsidRPr="00274F5F" w:rsidRDefault="00107B62" w:rsidP="00107B62">
      <w:pPr>
        <w:pStyle w:val="n01"/>
        <w:keepLines w:val="0"/>
        <w:spacing w:before="60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INPC,</w:t>
      </w:r>
      <w:r w:rsidRPr="00274F5F">
        <w:rPr>
          <w:rFonts w:ascii="Arial" w:hAnsi="Arial"/>
          <w:b/>
          <w:bCs/>
          <w:smallCaps/>
          <w:color w:val="000000" w:themeColor="text1"/>
          <w:sz w:val="22"/>
          <w:szCs w:val="22"/>
        </w:rPr>
        <w:t xml:space="preserve"> Subyacente y No Subyacente</w:t>
      </w:r>
    </w:p>
    <w:p w14:paraId="4EC97F48" w14:textId="4B9C8E7C" w:rsidR="009D10BE" w:rsidRPr="00A71198" w:rsidRDefault="009D10BE" w:rsidP="009D10BE">
      <w:pPr>
        <w:widowControl w:val="0"/>
        <w:autoSpaceDE w:val="0"/>
        <w:autoSpaceDN w:val="0"/>
        <w:adjustRightInd w:val="0"/>
        <w:jc w:val="center"/>
      </w:pPr>
      <w:r w:rsidRPr="00107B62">
        <w:rPr>
          <w:sz w:val="18"/>
          <w:szCs w:val="18"/>
        </w:rPr>
        <w:t>Variación porcentual anual por quincena de los años que se indican</w:t>
      </w:r>
      <w:r w:rsidRPr="009F5530">
        <w:rPr>
          <w:color w:val="000000"/>
          <w:position w:val="-1"/>
          <w:sz w:val="20"/>
          <w:szCs w:val="20"/>
        </w:rPr>
        <w:t xml:space="preserve"> </w:t>
      </w:r>
      <w:r w:rsidR="00801C4F">
        <w:rPr>
          <w:noProof/>
        </w:rPr>
        <w:drawing>
          <wp:inline distT="0" distB="0" distL="0" distR="0" wp14:anchorId="501306FC" wp14:editId="04FFC685">
            <wp:extent cx="5057699" cy="2877264"/>
            <wp:effectExtent l="0" t="0" r="10160" b="18415"/>
            <wp:docPr id="19" name="Gráfico 1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24BAA2" w14:textId="1F3581BB" w:rsidR="009D10BE" w:rsidRPr="00A71198" w:rsidRDefault="007408EF" w:rsidP="00801C4F">
      <w:pPr>
        <w:keepNext/>
        <w:keepLines/>
        <w:autoSpaceDE w:val="0"/>
        <w:autoSpaceDN w:val="0"/>
        <w:adjustRightInd w:val="0"/>
        <w:spacing w:before="240"/>
      </w:pPr>
      <w:r>
        <w:lastRenderedPageBreak/>
        <w:t>A continuación se</w:t>
      </w:r>
      <w:r w:rsidR="009D10BE">
        <w:t xml:space="preserve"> </w:t>
      </w:r>
      <w:r w:rsidR="00107B62">
        <w:t>muestran</w:t>
      </w:r>
      <w:r w:rsidR="009D10BE" w:rsidRPr="00A71198">
        <w:t xml:space="preserve"> </w:t>
      </w:r>
      <w:r w:rsidR="00107B62">
        <w:t xml:space="preserve">los </w:t>
      </w:r>
      <w:r w:rsidR="009D10BE" w:rsidRPr="00A71198">
        <w:t>genéricos</w:t>
      </w:r>
      <w:r w:rsidR="009D10BE">
        <w:t xml:space="preserve"> </w:t>
      </w:r>
      <w:r w:rsidR="00107B62" w:rsidRPr="00A71198">
        <w:t xml:space="preserve">cuyas variaciones de precios </w:t>
      </w:r>
      <w:r w:rsidR="009D10BE">
        <w:t xml:space="preserve">al alza y </w:t>
      </w:r>
      <w:r>
        <w:t xml:space="preserve">a </w:t>
      </w:r>
      <w:r w:rsidR="009D10BE">
        <w:t xml:space="preserve">la baja </w:t>
      </w:r>
      <w:r w:rsidR="00107B62">
        <w:t xml:space="preserve">destacaron </w:t>
      </w:r>
      <w:r w:rsidR="009D10BE">
        <w:t>por su incidencia sobre la inflación general.</w:t>
      </w:r>
      <w:r w:rsidR="009D10BE" w:rsidRPr="00A71198">
        <w:t xml:space="preserve"> </w:t>
      </w:r>
    </w:p>
    <w:p w14:paraId="5318ABA6" w14:textId="77777777" w:rsidR="009D10BE" w:rsidRPr="00107B62" w:rsidRDefault="009D10BE" w:rsidP="00801C4F">
      <w:pPr>
        <w:keepNext/>
        <w:keepLines/>
        <w:widowControl w:val="0"/>
        <w:autoSpaceDE w:val="0"/>
        <w:autoSpaceDN w:val="0"/>
        <w:adjustRightInd w:val="0"/>
        <w:spacing w:before="240"/>
        <w:jc w:val="center"/>
        <w:rPr>
          <w:b/>
          <w:bCs/>
          <w:smallCaps/>
          <w:color w:val="000000" w:themeColor="text1"/>
          <w:spacing w:val="1"/>
          <w:sz w:val="22"/>
        </w:rPr>
      </w:pPr>
      <w:r w:rsidRPr="00107B62">
        <w:rPr>
          <w:b/>
          <w:bCs/>
          <w:smallCaps/>
          <w:color w:val="000000" w:themeColor="text1"/>
          <w:spacing w:val="1"/>
          <w:sz w:val="22"/>
        </w:rPr>
        <w:t>Índice Nacional de Precios al Consumidor</w:t>
      </w:r>
    </w:p>
    <w:p w14:paraId="747DCE20" w14:textId="77777777" w:rsidR="009D10BE" w:rsidRPr="00107B62" w:rsidRDefault="009D10BE" w:rsidP="00801C4F">
      <w:pPr>
        <w:keepNext/>
        <w:keepLines/>
        <w:widowControl w:val="0"/>
        <w:autoSpaceDE w:val="0"/>
        <w:autoSpaceDN w:val="0"/>
        <w:adjustRightInd w:val="0"/>
        <w:jc w:val="center"/>
        <w:rPr>
          <w:b/>
          <w:bCs/>
          <w:smallCaps/>
          <w:color w:val="000000" w:themeColor="text1"/>
          <w:spacing w:val="1"/>
          <w:sz w:val="22"/>
        </w:rPr>
      </w:pPr>
      <w:r w:rsidRPr="00107B62">
        <w:rPr>
          <w:b/>
          <w:bCs/>
          <w:smallCaps/>
          <w:color w:val="000000" w:themeColor="text1"/>
          <w:spacing w:val="1"/>
          <w:sz w:val="22"/>
        </w:rPr>
        <w:t>Genéricos con mayor y menor incidencia</w:t>
      </w:r>
    </w:p>
    <w:p w14:paraId="1959A520" w14:textId="77777777" w:rsidR="009D10BE" w:rsidRPr="00107B62" w:rsidRDefault="009D10BE" w:rsidP="00801C4F">
      <w:pPr>
        <w:keepNext/>
        <w:keepLines/>
        <w:widowControl w:val="0"/>
        <w:autoSpaceDE w:val="0"/>
        <w:autoSpaceDN w:val="0"/>
        <w:adjustRightInd w:val="0"/>
        <w:jc w:val="center"/>
        <w:rPr>
          <w:color w:val="000000"/>
          <w:position w:val="-1"/>
          <w:sz w:val="18"/>
          <w:szCs w:val="20"/>
        </w:rPr>
      </w:pPr>
      <w:r w:rsidRPr="00107B62">
        <w:rPr>
          <w:color w:val="000000"/>
          <w:position w:val="-1"/>
          <w:sz w:val="18"/>
          <w:szCs w:val="20"/>
        </w:rPr>
        <w:t>Primera quincena de junio de 2020</w:t>
      </w:r>
    </w:p>
    <w:p w14:paraId="1F208E13" w14:textId="4F129068" w:rsidR="009D10BE" w:rsidRPr="00A71198" w:rsidRDefault="000E35A3" w:rsidP="009D10BE">
      <w:pPr>
        <w:autoSpaceDE w:val="0"/>
        <w:autoSpaceDN w:val="0"/>
        <w:adjustRightInd w:val="0"/>
        <w:jc w:val="center"/>
      </w:pPr>
      <w:r w:rsidRPr="000E35A3">
        <w:rPr>
          <w:noProof/>
        </w:rPr>
        <w:drawing>
          <wp:inline distT="0" distB="0" distL="0" distR="0" wp14:anchorId="6D9A6F59" wp14:editId="4C1F4FF9">
            <wp:extent cx="5972810" cy="1786255"/>
            <wp:effectExtent l="0" t="0" r="889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86255"/>
                    </a:xfrm>
                    <a:prstGeom prst="rect">
                      <a:avLst/>
                    </a:prstGeom>
                    <a:noFill/>
                    <a:ln>
                      <a:noFill/>
                    </a:ln>
                  </pic:spPr>
                </pic:pic>
              </a:graphicData>
            </a:graphic>
          </wp:inline>
        </w:drawing>
      </w:r>
    </w:p>
    <w:p w14:paraId="3E157673" w14:textId="77777777" w:rsidR="00107B62" w:rsidRPr="006F572D" w:rsidRDefault="00107B62" w:rsidP="00107B62">
      <w:pPr>
        <w:autoSpaceDE w:val="0"/>
        <w:autoSpaceDN w:val="0"/>
        <w:adjustRightInd w:val="0"/>
        <w:spacing w:line="276" w:lineRule="auto"/>
        <w:ind w:left="283" w:right="113" w:hanging="170"/>
        <w:rPr>
          <w:color w:val="006600"/>
          <w:sz w:val="16"/>
          <w:szCs w:val="16"/>
        </w:rPr>
      </w:pPr>
      <w:r w:rsidRPr="006F572D">
        <w:rPr>
          <w:color w:val="006600"/>
          <w:sz w:val="18"/>
          <w:szCs w:val="16"/>
          <w:vertAlign w:val="superscript"/>
        </w:rPr>
        <w:t>1/</w:t>
      </w:r>
      <w:r>
        <w:rPr>
          <w:color w:val="006600"/>
          <w:sz w:val="18"/>
          <w:szCs w:val="16"/>
          <w:vertAlign w:val="superscript"/>
        </w:rPr>
        <w:tab/>
      </w:r>
      <w:r w:rsidRPr="006F572D">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69B55698" w14:textId="70483397" w:rsidR="009D10BE" w:rsidRPr="00A71198" w:rsidRDefault="009D10BE" w:rsidP="00107B62">
      <w:pPr>
        <w:widowControl w:val="0"/>
        <w:autoSpaceDE w:val="0"/>
        <w:autoSpaceDN w:val="0"/>
        <w:adjustRightInd w:val="0"/>
        <w:spacing w:before="360"/>
      </w:pPr>
      <w:r w:rsidRPr="00A71198">
        <w:t xml:space="preserve">En </w:t>
      </w:r>
      <w:r>
        <w:t xml:space="preserve">los siguientes cuadros </w:t>
      </w:r>
      <w:r w:rsidRPr="00A71198">
        <w:t>se presentan las principales ciudades</w:t>
      </w:r>
      <w:r>
        <w:t xml:space="preserve"> y entidades</w:t>
      </w:r>
      <w:r w:rsidR="00107B62">
        <w:t xml:space="preserve"> con </w:t>
      </w:r>
      <w:r w:rsidRPr="00A71198">
        <w:t>la mayor</w:t>
      </w:r>
      <w:r w:rsidR="00107B62">
        <w:t xml:space="preserve"> </w:t>
      </w:r>
      <w:r w:rsidRPr="00A71198">
        <w:t>y menor variaci</w:t>
      </w:r>
      <w:r w:rsidR="00107B62">
        <w:t>ón</w:t>
      </w:r>
      <w:r w:rsidRPr="00A71198">
        <w:t xml:space="preserve"> </w:t>
      </w:r>
      <w:r w:rsidR="00017DF3">
        <w:t xml:space="preserve">del INPC </w:t>
      </w:r>
      <w:r w:rsidRPr="00A71198">
        <w:t xml:space="preserve">en la quincena </w:t>
      </w:r>
      <w:r w:rsidR="00107B62">
        <w:t>en cuestión</w:t>
      </w:r>
      <w:r w:rsidRPr="00A71198">
        <w:t>.</w:t>
      </w:r>
    </w:p>
    <w:p w14:paraId="4E7109D5" w14:textId="77777777" w:rsidR="009D10BE" w:rsidRPr="00C36B6C" w:rsidRDefault="009D10BE" w:rsidP="00C36B6C">
      <w:pPr>
        <w:widowControl w:val="0"/>
        <w:autoSpaceDE w:val="0"/>
        <w:autoSpaceDN w:val="0"/>
        <w:adjustRightInd w:val="0"/>
        <w:spacing w:before="240"/>
        <w:jc w:val="center"/>
        <w:rPr>
          <w:b/>
          <w:bCs/>
          <w:smallCaps/>
          <w:color w:val="000000" w:themeColor="text1"/>
          <w:spacing w:val="1"/>
          <w:sz w:val="22"/>
        </w:rPr>
      </w:pPr>
      <w:r w:rsidRPr="00C36B6C">
        <w:rPr>
          <w:b/>
          <w:bCs/>
          <w:smallCaps/>
          <w:color w:val="000000" w:themeColor="text1"/>
          <w:spacing w:val="1"/>
          <w:sz w:val="22"/>
        </w:rPr>
        <w:t>Índice Nacional de Precios al Consumidor</w:t>
      </w:r>
    </w:p>
    <w:p w14:paraId="619304F9" w14:textId="7E8B9C2A" w:rsidR="009D10BE" w:rsidRPr="00C36B6C" w:rsidRDefault="00C36B6C" w:rsidP="00C36B6C">
      <w:pPr>
        <w:widowControl w:val="0"/>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9D10BE" w:rsidRPr="00C36B6C">
        <w:rPr>
          <w:b/>
          <w:bCs/>
          <w:smallCaps/>
          <w:color w:val="000000" w:themeColor="text1"/>
          <w:spacing w:val="1"/>
          <w:sz w:val="22"/>
        </w:rPr>
        <w:t>iudades con mayor y menor variación *</w:t>
      </w:r>
    </w:p>
    <w:p w14:paraId="6032A111" w14:textId="6144175E" w:rsidR="009D10BE" w:rsidRPr="00C36B6C" w:rsidRDefault="00C36B6C" w:rsidP="00C36B6C">
      <w:pPr>
        <w:keepNext/>
        <w:keepLines/>
        <w:tabs>
          <w:tab w:val="left" w:pos="1220"/>
        </w:tabs>
        <w:autoSpaceDE w:val="0"/>
        <w:autoSpaceDN w:val="0"/>
        <w:adjustRightInd w:val="0"/>
        <w:jc w:val="center"/>
        <w:rPr>
          <w:color w:val="000000"/>
          <w:position w:val="-1"/>
          <w:sz w:val="18"/>
          <w:szCs w:val="18"/>
        </w:rPr>
      </w:pPr>
      <w:r>
        <w:rPr>
          <w:color w:val="000000"/>
          <w:position w:val="-1"/>
          <w:sz w:val="18"/>
          <w:szCs w:val="18"/>
        </w:rPr>
        <w:t>P</w:t>
      </w:r>
      <w:r w:rsidR="009D10BE" w:rsidRPr="00C36B6C">
        <w:rPr>
          <w:color w:val="000000"/>
          <w:position w:val="-1"/>
          <w:sz w:val="18"/>
          <w:szCs w:val="18"/>
        </w:rPr>
        <w:t>rimera quincena de junio de 2020</w:t>
      </w:r>
    </w:p>
    <w:p w14:paraId="1159F680" w14:textId="0D90CF3E" w:rsidR="009D10BE" w:rsidRPr="000E35A3" w:rsidRDefault="000E35A3" w:rsidP="000E35A3">
      <w:pPr>
        <w:autoSpaceDE w:val="0"/>
        <w:autoSpaceDN w:val="0"/>
        <w:adjustRightInd w:val="0"/>
        <w:jc w:val="center"/>
      </w:pPr>
      <w:r w:rsidRPr="000E35A3">
        <w:rPr>
          <w:noProof/>
        </w:rPr>
        <w:drawing>
          <wp:inline distT="0" distB="0" distL="0" distR="0" wp14:anchorId="50169AA7" wp14:editId="15ED574A">
            <wp:extent cx="5972810" cy="1906905"/>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6905"/>
                    </a:xfrm>
                    <a:prstGeom prst="rect">
                      <a:avLst/>
                    </a:prstGeom>
                    <a:noFill/>
                    <a:ln>
                      <a:noFill/>
                    </a:ln>
                  </pic:spPr>
                </pic:pic>
              </a:graphicData>
            </a:graphic>
          </wp:inline>
        </w:drawing>
      </w:r>
    </w:p>
    <w:p w14:paraId="3F9EC0D1" w14:textId="77777777" w:rsidR="00C36B6C" w:rsidRPr="0093518A" w:rsidRDefault="00C36B6C" w:rsidP="00C36B6C">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72E7FCE6" w14:textId="57394A06" w:rsidR="009D10BE" w:rsidRPr="00C36B6C" w:rsidRDefault="009D10BE" w:rsidP="00C36B6C">
      <w:pPr>
        <w:keepNext/>
        <w:keepLines/>
        <w:widowControl w:val="0"/>
        <w:tabs>
          <w:tab w:val="left" w:pos="1220"/>
        </w:tabs>
        <w:autoSpaceDE w:val="0"/>
        <w:autoSpaceDN w:val="0"/>
        <w:adjustRightInd w:val="0"/>
        <w:spacing w:before="240"/>
        <w:jc w:val="center"/>
        <w:rPr>
          <w:b/>
          <w:bCs/>
          <w:smallCaps/>
          <w:color w:val="000000" w:themeColor="text1"/>
          <w:spacing w:val="1"/>
          <w:sz w:val="22"/>
        </w:rPr>
      </w:pPr>
      <w:r w:rsidRPr="00C36B6C">
        <w:rPr>
          <w:b/>
          <w:bCs/>
          <w:smallCaps/>
          <w:color w:val="000000" w:themeColor="text1"/>
          <w:spacing w:val="1"/>
          <w:sz w:val="22"/>
        </w:rPr>
        <w:lastRenderedPageBreak/>
        <w:t>Índice Nacional de Precios al Consumidor</w:t>
      </w:r>
    </w:p>
    <w:p w14:paraId="48DE0362" w14:textId="14DB9513" w:rsidR="009D10BE" w:rsidRPr="00C36B6C" w:rsidRDefault="00C36B6C" w:rsidP="00C36B6C">
      <w:pPr>
        <w:keepNext/>
        <w:keepLines/>
        <w:widowControl w:val="0"/>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9D10BE" w:rsidRPr="00C36B6C">
        <w:rPr>
          <w:b/>
          <w:bCs/>
          <w:smallCaps/>
          <w:color w:val="000000" w:themeColor="text1"/>
          <w:spacing w:val="1"/>
          <w:sz w:val="22"/>
        </w:rPr>
        <w:t>ntidades federativas con mayor y menor variación *</w:t>
      </w:r>
    </w:p>
    <w:p w14:paraId="08349BF3" w14:textId="201F2B6B" w:rsidR="009D10BE" w:rsidRPr="00C36B6C" w:rsidRDefault="00C36B6C" w:rsidP="00C36B6C">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P</w:t>
      </w:r>
      <w:r w:rsidR="009D10BE" w:rsidRPr="00C36B6C">
        <w:rPr>
          <w:bCs/>
          <w:color w:val="000000" w:themeColor="text1"/>
          <w:spacing w:val="1"/>
          <w:sz w:val="18"/>
          <w:szCs w:val="20"/>
        </w:rPr>
        <w:t>rimera quincena de junio de 2020</w:t>
      </w:r>
    </w:p>
    <w:p w14:paraId="654F687B" w14:textId="45EA7526" w:rsidR="009D10BE" w:rsidRPr="00A71198" w:rsidRDefault="000E35A3" w:rsidP="009D10BE">
      <w:pPr>
        <w:widowControl w:val="0"/>
        <w:tabs>
          <w:tab w:val="left" w:pos="1220"/>
        </w:tabs>
        <w:autoSpaceDE w:val="0"/>
        <w:autoSpaceDN w:val="0"/>
        <w:adjustRightInd w:val="0"/>
        <w:jc w:val="center"/>
        <w:rPr>
          <w:bCs/>
          <w:color w:val="000000" w:themeColor="text1"/>
          <w:spacing w:val="1"/>
        </w:rPr>
      </w:pPr>
      <w:r w:rsidRPr="000E35A3">
        <w:rPr>
          <w:noProof/>
        </w:rPr>
        <w:drawing>
          <wp:inline distT="0" distB="0" distL="0" distR="0" wp14:anchorId="5C766EB5" wp14:editId="3B0FA752">
            <wp:extent cx="5972810" cy="1132205"/>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32205"/>
                    </a:xfrm>
                    <a:prstGeom prst="rect">
                      <a:avLst/>
                    </a:prstGeom>
                    <a:noFill/>
                    <a:ln>
                      <a:noFill/>
                    </a:ln>
                  </pic:spPr>
                </pic:pic>
              </a:graphicData>
            </a:graphic>
          </wp:inline>
        </w:drawing>
      </w:r>
    </w:p>
    <w:p w14:paraId="0C89EA64" w14:textId="77777777" w:rsidR="00C36B6C" w:rsidRPr="0093518A" w:rsidRDefault="00C36B6C" w:rsidP="00C36B6C">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3F06279F" w14:textId="76DA0E14" w:rsidR="009D10BE" w:rsidRPr="00A71198" w:rsidRDefault="00C36B6C" w:rsidP="00C36B6C">
      <w:pPr>
        <w:widowControl w:val="0"/>
        <w:autoSpaceDE w:val="0"/>
        <w:autoSpaceDN w:val="0"/>
        <w:adjustRightInd w:val="0"/>
        <w:spacing w:before="360"/>
      </w:pPr>
      <w:r>
        <w:t>El comportamiento</w:t>
      </w:r>
      <w:r w:rsidR="009D10BE" w:rsidRPr="00A71198">
        <w:t xml:space="preserve"> en la primera quincena de </w:t>
      </w:r>
      <w:r w:rsidR="009D10BE">
        <w:t>junio</w:t>
      </w:r>
      <w:r w:rsidR="009D10BE" w:rsidRPr="00A71198">
        <w:t xml:space="preserve"> de 20</w:t>
      </w:r>
      <w:r w:rsidR="009D10BE">
        <w:t>20</w:t>
      </w:r>
      <w:r w:rsidR="009D10BE" w:rsidRPr="00A71198">
        <w:t xml:space="preserve"> de los subíndices que integran al INPC según la </w:t>
      </w:r>
      <w:r>
        <w:t>C</w:t>
      </w:r>
      <w:r w:rsidR="009D10BE" w:rsidRPr="00A71198">
        <w:t xml:space="preserve">lasificación del </w:t>
      </w:r>
      <w:r>
        <w:t>C</w:t>
      </w:r>
      <w:r w:rsidR="009D10BE" w:rsidRPr="00A71198">
        <w:t xml:space="preserve">onsumo </w:t>
      </w:r>
      <w:r>
        <w:t>I</w:t>
      </w:r>
      <w:r w:rsidR="009D10BE" w:rsidRPr="00A71198">
        <w:t xml:space="preserve">ndividual por </w:t>
      </w:r>
      <w:r>
        <w:t>F</w:t>
      </w:r>
      <w:r w:rsidR="009D10BE" w:rsidRPr="00A71198">
        <w:t>inalidades (CCIF), utilizada internacionalmente para los índices de precios al consumidor</w:t>
      </w:r>
      <w:r>
        <w:rPr>
          <w:rStyle w:val="Refdenotaalpie"/>
        </w:rPr>
        <w:footnoteReference w:id="3"/>
      </w:r>
      <w:r w:rsidR="009D10BE" w:rsidRPr="00A71198">
        <w:t>, se presentan a continuación:</w:t>
      </w:r>
    </w:p>
    <w:p w14:paraId="6A2AD766" w14:textId="265B0EE0" w:rsidR="009D10BE" w:rsidRPr="00C36B6C" w:rsidRDefault="009D10BE" w:rsidP="00C36B6C">
      <w:pPr>
        <w:pStyle w:val="n01"/>
        <w:keepNext/>
        <w:autoSpaceDE w:val="0"/>
        <w:autoSpaceDN w:val="0"/>
        <w:adjustRightInd w:val="0"/>
        <w:spacing w:before="360"/>
        <w:ind w:left="0" w:firstLine="0"/>
        <w:jc w:val="center"/>
        <w:rPr>
          <w:rFonts w:ascii="Arial" w:hAnsi="Arial"/>
          <w:b/>
          <w:bCs/>
          <w:smallCaps/>
          <w:color w:val="000000"/>
          <w:spacing w:val="1"/>
          <w:sz w:val="22"/>
        </w:rPr>
      </w:pPr>
      <w:r w:rsidRPr="00C36B6C">
        <w:rPr>
          <w:rFonts w:ascii="Arial" w:hAnsi="Arial"/>
          <w:b/>
          <w:bCs/>
          <w:smallCaps/>
          <w:color w:val="000000"/>
          <w:spacing w:val="1"/>
          <w:sz w:val="22"/>
        </w:rPr>
        <w:t>Índice Nacional de Precios al Consumidor</w:t>
      </w:r>
    </w:p>
    <w:p w14:paraId="08965FB1" w14:textId="77777777" w:rsidR="009D10BE" w:rsidRPr="00C36B6C" w:rsidRDefault="009D10BE" w:rsidP="009D10BE">
      <w:pPr>
        <w:keepNext/>
        <w:keepLines/>
        <w:tabs>
          <w:tab w:val="left" w:pos="1220"/>
        </w:tabs>
        <w:autoSpaceDE w:val="0"/>
        <w:autoSpaceDN w:val="0"/>
        <w:adjustRightInd w:val="0"/>
        <w:jc w:val="center"/>
        <w:rPr>
          <w:b/>
          <w:bCs/>
          <w:smallCaps/>
          <w:color w:val="000000"/>
          <w:spacing w:val="1"/>
          <w:sz w:val="22"/>
        </w:rPr>
      </w:pPr>
      <w:r w:rsidRPr="00C36B6C">
        <w:rPr>
          <w:b/>
          <w:bCs/>
          <w:smallCaps/>
          <w:color w:val="000000"/>
          <w:spacing w:val="1"/>
          <w:sz w:val="22"/>
        </w:rPr>
        <w:t>Clasificación del consumo individual por finalidades</w:t>
      </w:r>
    </w:p>
    <w:p w14:paraId="0BE1B18A" w14:textId="77777777" w:rsidR="009D10BE" w:rsidRPr="00C36B6C" w:rsidRDefault="009D10BE" w:rsidP="009D10BE">
      <w:pPr>
        <w:keepNext/>
        <w:keepLines/>
        <w:tabs>
          <w:tab w:val="left" w:pos="1220"/>
        </w:tabs>
        <w:autoSpaceDE w:val="0"/>
        <w:autoSpaceDN w:val="0"/>
        <w:adjustRightInd w:val="0"/>
        <w:jc w:val="center"/>
        <w:rPr>
          <w:bCs/>
          <w:color w:val="000000"/>
          <w:spacing w:val="1"/>
          <w:sz w:val="18"/>
          <w:szCs w:val="20"/>
        </w:rPr>
      </w:pPr>
      <w:r w:rsidRPr="00C36B6C">
        <w:rPr>
          <w:bCs/>
          <w:color w:val="000000"/>
          <w:spacing w:val="1"/>
          <w:sz w:val="18"/>
          <w:szCs w:val="20"/>
        </w:rPr>
        <w:t>Variación porcentual</w:t>
      </w:r>
    </w:p>
    <w:p w14:paraId="6C64C35C" w14:textId="504BC669" w:rsidR="009D10BE" w:rsidRPr="00A71198" w:rsidRDefault="000E35A3" w:rsidP="009D10BE">
      <w:pPr>
        <w:pStyle w:val="Prrafodelista"/>
        <w:keepNext/>
        <w:keepLines/>
        <w:autoSpaceDE w:val="0"/>
        <w:autoSpaceDN w:val="0"/>
        <w:adjustRightInd w:val="0"/>
        <w:ind w:hanging="708"/>
        <w:jc w:val="center"/>
      </w:pPr>
      <w:r w:rsidRPr="000E35A3">
        <w:rPr>
          <w:noProof/>
        </w:rPr>
        <w:drawing>
          <wp:inline distT="0" distB="0" distL="0" distR="0" wp14:anchorId="5FFBD7DB" wp14:editId="67589DC5">
            <wp:extent cx="5972810" cy="2546350"/>
            <wp:effectExtent l="0" t="0" r="889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546350"/>
                    </a:xfrm>
                    <a:prstGeom prst="rect">
                      <a:avLst/>
                    </a:prstGeom>
                    <a:noFill/>
                    <a:ln>
                      <a:noFill/>
                    </a:ln>
                  </pic:spPr>
                </pic:pic>
              </a:graphicData>
            </a:graphic>
          </wp:inline>
        </w:drawing>
      </w:r>
    </w:p>
    <w:p w14:paraId="70A7A485" w14:textId="77777777" w:rsidR="009D10BE" w:rsidRPr="00A71198" w:rsidRDefault="009D10BE" w:rsidP="009D10BE">
      <w:pPr>
        <w:autoSpaceDE w:val="0"/>
        <w:autoSpaceDN w:val="0"/>
        <w:adjustRightInd w:val="0"/>
        <w:ind w:left="283" w:right="113" w:hanging="170"/>
        <w:rPr>
          <w:color w:val="006600"/>
          <w:sz w:val="16"/>
          <w:szCs w:val="16"/>
        </w:rPr>
      </w:pPr>
      <w:r w:rsidRPr="00C36B6C">
        <w:rPr>
          <w:color w:val="006600"/>
          <w:sz w:val="18"/>
          <w:szCs w:val="16"/>
          <w:vertAlign w:val="superscript"/>
        </w:rPr>
        <w:t>1/</w:t>
      </w:r>
      <w:r w:rsidRPr="00C36B6C">
        <w:rPr>
          <w:color w:val="006600"/>
          <w:sz w:val="18"/>
          <w:szCs w:val="16"/>
          <w:vertAlign w:val="superscript"/>
        </w:rPr>
        <w:tab/>
      </w:r>
      <w:r w:rsidRPr="00A71198">
        <w:rPr>
          <w:color w:val="006600"/>
          <w:sz w:val="16"/>
          <w:szCs w:val="16"/>
        </w:rPr>
        <w:t>Incluye productos y servicios de cuidado personal, relojes, maletas, seguro de automóvil, servicios funerarios y profesionales, entre otros.</w:t>
      </w:r>
    </w:p>
    <w:p w14:paraId="68B82CC2" w14:textId="0FA063BF" w:rsidR="009D10BE" w:rsidRPr="00A71198" w:rsidRDefault="002D06A5" w:rsidP="000E35A3">
      <w:pPr>
        <w:keepNext/>
        <w:keepLines/>
        <w:widowControl w:val="0"/>
        <w:autoSpaceDE w:val="0"/>
        <w:autoSpaceDN w:val="0"/>
        <w:adjustRightInd w:val="0"/>
        <w:spacing w:before="240"/>
      </w:pPr>
      <w:r>
        <w:lastRenderedPageBreak/>
        <w:t xml:space="preserve">El </w:t>
      </w:r>
      <w:r w:rsidR="009D10BE">
        <w:t>INPC tuvo un</w:t>
      </w:r>
      <w:r w:rsidR="00C36B6C">
        <w:t xml:space="preserve"> </w:t>
      </w:r>
      <w:r w:rsidR="009D10BE">
        <w:t>a</w:t>
      </w:r>
      <w:r w:rsidR="00C36B6C">
        <w:t>lza</w:t>
      </w:r>
      <w:r w:rsidR="009D10BE">
        <w:t xml:space="preserve"> quincenal de 0.32 por ciento como resultado de</w:t>
      </w:r>
      <w:r>
        <w:t xml:space="preserve"> </w:t>
      </w:r>
      <w:r w:rsidR="009D10BE">
        <w:t>l</w:t>
      </w:r>
      <w:r>
        <w:t>os</w:t>
      </w:r>
      <w:r w:rsidR="009D10BE">
        <w:t xml:space="preserve"> índice</w:t>
      </w:r>
      <w:r>
        <w:t>s</w:t>
      </w:r>
      <w:r w:rsidR="009D10BE">
        <w:t xml:space="preserve"> </w:t>
      </w:r>
      <w:r>
        <w:t xml:space="preserve">de 106.495 y de 106.158 </w:t>
      </w:r>
      <w:r w:rsidR="009D10BE">
        <w:t xml:space="preserve">en la primera quincena de junio de 2020 </w:t>
      </w:r>
      <w:r>
        <w:t xml:space="preserve">y </w:t>
      </w:r>
      <w:r w:rsidR="009D10BE">
        <w:t>en la quincena inmediata anterior</w:t>
      </w:r>
      <w:r w:rsidR="009D10BE" w:rsidRPr="00A71198">
        <w:t>.</w:t>
      </w:r>
    </w:p>
    <w:p w14:paraId="165BAD1B" w14:textId="560CB08F" w:rsidR="002D06A5" w:rsidRDefault="009D10BE" w:rsidP="000E35A3">
      <w:pPr>
        <w:keepNext/>
        <w:keepLines/>
        <w:widowControl w:val="0"/>
        <w:autoSpaceDE w:val="0"/>
        <w:autoSpaceDN w:val="0"/>
        <w:adjustRightInd w:val="0"/>
        <w:spacing w:before="240"/>
      </w:pPr>
      <w:r w:rsidRPr="00A71198">
        <w:t>El índice de precios de la canasta básic</w:t>
      </w:r>
      <w:r w:rsidRPr="00055C5D">
        <w:t>a</w:t>
      </w:r>
      <w:r w:rsidRPr="00055C5D">
        <w:rPr>
          <w:rStyle w:val="Refdenotaalpie"/>
        </w:rPr>
        <w:footnoteReference w:id="4"/>
      </w:r>
      <w:r>
        <w:t xml:space="preserve"> </w:t>
      </w:r>
      <w:r w:rsidR="002D06A5">
        <w:t xml:space="preserve">presentó </w:t>
      </w:r>
      <w:r w:rsidRPr="00A71198">
        <w:t>un</w:t>
      </w:r>
      <w:r w:rsidR="002D06A5">
        <w:t xml:space="preserve"> incremento</w:t>
      </w:r>
      <w:r w:rsidRPr="00A71198">
        <w:t xml:space="preserve"> </w:t>
      </w:r>
      <w:r>
        <w:t xml:space="preserve">quincenal </w:t>
      </w:r>
      <w:r w:rsidRPr="00A71198">
        <w:t xml:space="preserve">de </w:t>
      </w:r>
      <w:r>
        <w:t>0.53</w:t>
      </w:r>
      <w:r w:rsidRPr="00A71198">
        <w:t xml:space="preserve"> por ciento</w:t>
      </w:r>
      <w:r w:rsidR="002D06A5">
        <w:t xml:space="preserve"> y</w:t>
      </w:r>
      <w:r w:rsidRPr="00A71198">
        <w:t xml:space="preserve"> anual de </w:t>
      </w:r>
      <w:r>
        <w:t xml:space="preserve">2.52 </w:t>
      </w:r>
      <w:r w:rsidRPr="00A71198">
        <w:t>por ciento. En la misma quincena de 201</w:t>
      </w:r>
      <w:r>
        <w:t>9</w:t>
      </w:r>
      <w:r w:rsidRPr="00A71198">
        <w:t xml:space="preserve"> las </w:t>
      </w:r>
      <w:r w:rsidR="002D06A5">
        <w:t>cifras</w:t>
      </w:r>
      <w:r w:rsidRPr="00A71198">
        <w:t xml:space="preserve"> fueron de </w:t>
      </w:r>
      <w:r w:rsidR="002D06A5">
        <w:br/>
      </w:r>
      <w:r>
        <w:t>(-)0.18</w:t>
      </w:r>
      <w:r w:rsidRPr="00A71198">
        <w:t xml:space="preserve"> y </w:t>
      </w:r>
      <w:r w:rsidR="002D06A5">
        <w:t xml:space="preserve">de </w:t>
      </w:r>
      <w:r>
        <w:t>3.59</w:t>
      </w:r>
      <w:r w:rsidRPr="00A71198">
        <w:t xml:space="preserve"> por ciento</w:t>
      </w:r>
      <w:r w:rsidR="002D06A5">
        <w:t>,</w:t>
      </w:r>
      <w:r w:rsidRPr="00A71198">
        <w:t xml:space="preserve"> respectivamente</w:t>
      </w:r>
      <w:r w:rsidR="002D06A5">
        <w:t>.</w:t>
      </w:r>
    </w:p>
    <w:p w14:paraId="03E8E88E" w14:textId="6FA48A54" w:rsidR="00DC3A57" w:rsidRDefault="00DC3A57" w:rsidP="002D06A5">
      <w:pPr>
        <w:widowControl w:val="0"/>
        <w:autoSpaceDE w:val="0"/>
        <w:autoSpaceDN w:val="0"/>
        <w:adjustRightInd w:val="0"/>
        <w:spacing w:before="240"/>
        <w:rPr>
          <w:b/>
          <w:i/>
        </w:rPr>
      </w:pPr>
      <w:r w:rsidRPr="00E45F62">
        <w:rPr>
          <w:b/>
          <w:i/>
        </w:rPr>
        <w:t xml:space="preserve">Nota </w:t>
      </w:r>
      <w:r>
        <w:rPr>
          <w:b/>
          <w:i/>
        </w:rPr>
        <w:t>al usuario</w:t>
      </w:r>
    </w:p>
    <w:p w14:paraId="0879AFC1" w14:textId="77777777" w:rsidR="00D473E9" w:rsidRPr="00695B57" w:rsidRDefault="00D473E9" w:rsidP="00D473E9">
      <w:pPr>
        <w:pStyle w:val="Prrafodelista"/>
        <w:autoSpaceDE w:val="0"/>
        <w:autoSpaceDN w:val="0"/>
        <w:adjustRightInd w:val="0"/>
        <w:spacing w:before="240"/>
        <w:ind w:left="0"/>
        <w:rPr>
          <w:lang w:val="es-MX"/>
        </w:rPr>
      </w:pPr>
      <w:r w:rsidRPr="00695B57">
        <w:rPr>
          <w:lang w:val="es-MX"/>
        </w:rPr>
        <w:t>Como se informó oportunamente, dadas las medidas extraordinarias adoptadas por el INEGI ante el estado de emergencia sanitaria originada por el COVID-19, a partir del mes de abril y mientras dure esta emergencia sanitaria, la medición del Índice Nacional de Precios al Consumidor (INPC)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Pr="00533979">
        <w:rPr>
          <w:b/>
          <w:bCs/>
          <w:noProof/>
          <w:sz w:val="22"/>
          <w:szCs w:val="22"/>
        </w:rPr>
        <w:t xml:space="preserve"> </w:t>
      </w:r>
    </w:p>
    <w:p w14:paraId="5B4B2171" w14:textId="0038EAD1" w:rsidR="00384701" w:rsidRPr="00176A27" w:rsidRDefault="00176A27" w:rsidP="00D473E9">
      <w:pPr>
        <w:pStyle w:val="Prrafodelista"/>
        <w:autoSpaceDE w:val="0"/>
        <w:autoSpaceDN w:val="0"/>
        <w:adjustRightInd w:val="0"/>
        <w:spacing w:before="240"/>
        <w:ind w:left="0"/>
        <w:rPr>
          <w:lang w:val="es-MX"/>
        </w:rPr>
      </w:pPr>
      <w:r w:rsidRPr="00176A27">
        <w:rPr>
          <w:lang w:val="es-MX"/>
        </w:rPr>
        <w:t>Desde el mes de abril y aún en esta primera quincena de junio, la recopilación de precios enfrentó el cierre temporal o la limitación de actividades en los establecimientos donde el INEGI cotiza los productos del INPC de manera regular, utilizando para ello los medios electrónicos mencionados. Lo anterior da lugar a un incremento en el número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solo afectó a aquellos que representan el 7.8% del ponderador del gasto total de la canasta nacional. Estas medidas están apegadas a las recomendaciones que han propuesto los organismos internacionales debido a esta contingencia.</w:t>
      </w:r>
    </w:p>
    <w:p w14:paraId="5F955728" w14:textId="646FE402" w:rsidR="006A3411" w:rsidRPr="00672E8B" w:rsidRDefault="006A3411" w:rsidP="00FF2DD8">
      <w:pPr>
        <w:widowControl w:val="0"/>
        <w:autoSpaceDE w:val="0"/>
        <w:autoSpaceDN w:val="0"/>
        <w:adjustRightInd w:val="0"/>
        <w:spacing w:before="480"/>
        <w:rPr>
          <w:i/>
          <w:lang w:val="es-MX"/>
        </w:rPr>
      </w:pPr>
      <w:r w:rsidRPr="00672E8B">
        <w:rPr>
          <w:b/>
          <w:i/>
        </w:rPr>
        <w:t xml:space="preserve">Nota metodológica </w:t>
      </w:r>
    </w:p>
    <w:p w14:paraId="7F3D705F" w14:textId="77777777" w:rsidR="006A3411" w:rsidRPr="00A16DEB" w:rsidRDefault="006A3411" w:rsidP="008F75CD">
      <w:pPr>
        <w:pStyle w:val="Prrafodelista"/>
        <w:autoSpaceDE w:val="0"/>
        <w:autoSpaceDN w:val="0"/>
        <w:adjustRightInd w:val="0"/>
        <w:spacing w:before="240"/>
        <w:ind w:left="0"/>
        <w:rPr>
          <w:lang w:val="es-MX"/>
        </w:rPr>
      </w:pPr>
      <w:r w:rsidRPr="00A16DEB">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para la sociedad en su conjunto. La tasa de crecimiento del INPC de un periodo a otro permite medir el fenómeno económico conocido como inflación.</w:t>
      </w:r>
    </w:p>
    <w:p w14:paraId="730CDA5B" w14:textId="39BDEBB1" w:rsidR="006A3411" w:rsidRPr="00A16DEB" w:rsidRDefault="006A3411" w:rsidP="000E35A3">
      <w:pPr>
        <w:pStyle w:val="Texto"/>
        <w:keepNext/>
        <w:keepLines/>
        <w:autoSpaceDE w:val="0"/>
        <w:autoSpaceDN w:val="0"/>
        <w:adjustRightInd w:val="0"/>
        <w:spacing w:before="240" w:after="0" w:line="240" w:lineRule="auto"/>
        <w:ind w:firstLine="0"/>
        <w:rPr>
          <w:sz w:val="24"/>
          <w:szCs w:val="24"/>
          <w:lang w:val="es-MX"/>
        </w:rPr>
      </w:pPr>
      <w:r w:rsidRPr="00A16DEB">
        <w:rPr>
          <w:sz w:val="24"/>
          <w:szCs w:val="24"/>
          <w:lang w:val="es-MX"/>
        </w:rPr>
        <w:lastRenderedPageBreak/>
        <w:t>Las características metodológicas del INPC son:</w:t>
      </w:r>
    </w:p>
    <w:p w14:paraId="4F21B9FD" w14:textId="77777777" w:rsidR="006A3411" w:rsidRPr="008F75CD" w:rsidRDefault="006A3411" w:rsidP="000E35A3">
      <w:pPr>
        <w:pStyle w:val="Texto"/>
        <w:keepNext/>
        <w:keepLines/>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7777777" w:rsidR="006A3411" w:rsidRPr="00A16DEB" w:rsidRDefault="006A3411" w:rsidP="000E35A3">
      <w:pPr>
        <w:pStyle w:val="Texto"/>
        <w:keepNext/>
        <w:keepLines/>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11B8C527" w14:textId="121B6DCB" w:rsidR="006A3411" w:rsidRPr="008F75CD" w:rsidRDefault="006A3411" w:rsidP="00875CC0">
      <w:pPr>
        <w:pStyle w:val="Texto"/>
        <w:keepNext/>
        <w:keepLines/>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875CC0">
      <w:pPr>
        <w:pStyle w:val="Texto"/>
        <w:keepNext/>
        <w:keepLines/>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5"/>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77777777"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0.01%. </w:t>
      </w:r>
      <w:r w:rsidRPr="00A16DEB">
        <w:rPr>
          <w:color w:val="000000" w:themeColor="text1"/>
          <w:sz w:val="24"/>
          <w:szCs w:val="24"/>
          <w:lang w:val="es-ES_tradnl"/>
        </w:rPr>
        <w:t>La estructura de las ponderaciones se construyó con información de la Engasto 2012 y 2013 y la ENIGH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77777777"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En este último caso se consideran los genéricos cuyas tarifas son autorizadas o reguladas por el gobierno, solo existe uno 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18A3A990"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Entidades Federativas del país. Se cotizan en promedio 159 mil 500 precios quincenalmente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w:t>
      </w:r>
      <w:r w:rsidRPr="00A16DEB">
        <w:rPr>
          <w:sz w:val="24"/>
          <w:szCs w:val="24"/>
          <w:lang w:val="es-ES_tradnl"/>
        </w:rPr>
        <w:lastRenderedPageBreak/>
        <w:t>veces durante la quincena que se reporta;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Se calcula </w:t>
      </w:r>
      <w:r w:rsidRPr="00A16DEB">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4" w:anchor="Herramientas" w:history="1">
        <w:r w:rsidRPr="00636E0F">
          <w:rPr>
            <w:rStyle w:val="Hipervnculo"/>
            <w:sz w:val="24"/>
            <w:szCs w:val="24"/>
          </w:rPr>
          <w:t>https://www.inegi.org.mx/programas/inpc/2018/default.html#Herramientas</w:t>
        </w:r>
      </w:hyperlink>
    </w:p>
    <w:p w14:paraId="1A47079E" w14:textId="346E22F2"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5BC67EA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Pr="00636E0F">
        <w:rPr>
          <w:sz w:val="24"/>
          <w:szCs w:val="24"/>
        </w:rPr>
        <w:t>Presenta en forma dinámica las variaciones anualizadas de los precios por ciudad, entidad y región, así como la participación o peso que tienen estos en el INPC.</w:t>
      </w:r>
    </w:p>
    <w:p w14:paraId="1F4877ED" w14:textId="1476FD7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uno de los productos específicos utilizados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0383E67A" w:rsidR="00636E0F" w:rsidRPr="00F93FB2"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lastRenderedPageBreak/>
        <w:t>Para mayor detalle del diseño conceptual y metodológico del INPC consultar la página en Internet del INEGI:</w:t>
      </w:r>
      <w:r w:rsidRPr="00A16DEB">
        <w:rPr>
          <w:sz w:val="24"/>
          <w:szCs w:val="24"/>
        </w:rPr>
        <w:t xml:space="preserve"> </w:t>
      </w:r>
      <w:hyperlink r:id="rId35"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p>
    <w:p w14:paraId="3A872C33" w14:textId="77777777" w:rsidR="006A3411" w:rsidRPr="00A71198" w:rsidRDefault="006A3411" w:rsidP="00CB13CD">
      <w:pPr>
        <w:pStyle w:val="Texto"/>
        <w:keepNext/>
        <w:keepLines/>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EC20234" wp14:editId="43DB3A17">
            <wp:extent cx="4686646" cy="1692000"/>
            <wp:effectExtent l="38100" t="0" r="38100" b="419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bookmarkEnd w:id="1"/>
    </w:p>
    <w:sectPr w:rsidR="006A3411" w:rsidRPr="00A71198" w:rsidSect="00B940B6">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33137" w14:textId="77777777" w:rsidR="00E214E4" w:rsidRDefault="00E214E4">
      <w:r>
        <w:separator/>
      </w:r>
    </w:p>
  </w:endnote>
  <w:endnote w:type="continuationSeparator" w:id="0">
    <w:p w14:paraId="292C15BE" w14:textId="77777777" w:rsidR="00E214E4" w:rsidRDefault="00E2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E4585" w14:textId="77777777" w:rsidR="00027682" w:rsidRDefault="000276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6B31" w14:textId="77777777" w:rsidR="00F717AC" w:rsidRPr="00BB245B" w:rsidRDefault="00F717AC" w:rsidP="00614EF2">
    <w:pPr>
      <w:pStyle w:val="Piedepgina"/>
      <w:contextualSpacing/>
      <w:jc w:val="center"/>
      <w:rPr>
        <w:color w:val="002060"/>
        <w:sz w:val="18"/>
        <w:szCs w:val="18"/>
      </w:rPr>
    </w:pPr>
    <w:r w:rsidRPr="00BB245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EE537" w14:textId="77777777" w:rsidR="00027682" w:rsidRDefault="0002768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717A"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350A" w14:textId="77777777" w:rsidR="00E214E4" w:rsidRDefault="00E214E4">
      <w:r>
        <w:separator/>
      </w:r>
    </w:p>
  </w:footnote>
  <w:footnote w:type="continuationSeparator" w:id="0">
    <w:p w14:paraId="7D2F7169" w14:textId="77777777" w:rsidR="00E214E4" w:rsidRDefault="00E214E4">
      <w:r>
        <w:continuationSeparator/>
      </w:r>
    </w:p>
  </w:footnote>
  <w:footnote w:id="1">
    <w:p w14:paraId="02D7E66A" w14:textId="77777777" w:rsidR="00F717AC" w:rsidRPr="009D10BE" w:rsidRDefault="00F717AC" w:rsidP="00F717AC">
      <w:pPr>
        <w:pStyle w:val="Textonotapie"/>
        <w:ind w:left="170" w:right="255" w:hanging="170"/>
        <w:rPr>
          <w:lang w:val="es-MX"/>
        </w:rPr>
      </w:pPr>
      <w:r w:rsidRPr="009D10BE">
        <w:rPr>
          <w:rStyle w:val="Refdenotaalpie"/>
          <w:sz w:val="18"/>
        </w:rPr>
        <w:footnoteRef/>
      </w:r>
      <w:r w:rsidRPr="00866182">
        <w:rPr>
          <w:color w:val="000000" w:themeColor="text1"/>
          <w:sz w:val="16"/>
          <w:szCs w:val="16"/>
        </w:rPr>
        <w:tab/>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footnote>
  <w:footnote w:id="2">
    <w:p w14:paraId="2FAF129A" w14:textId="77777777" w:rsidR="00F717AC" w:rsidRDefault="00F717AC" w:rsidP="00F717AC">
      <w:pPr>
        <w:pStyle w:val="Textonotapie"/>
        <w:ind w:left="170" w:right="255" w:hanging="170"/>
        <w:rPr>
          <w:sz w:val="16"/>
        </w:rPr>
      </w:pPr>
      <w:r w:rsidRPr="000A682B">
        <w:rPr>
          <w:rStyle w:val="Refdenotaalpie"/>
          <w:sz w:val="18"/>
        </w:rPr>
        <w:footnoteRef/>
      </w:r>
      <w:r w:rsidRPr="000A682B">
        <w:rPr>
          <w:color w:val="000000" w:themeColor="text1"/>
          <w:sz w:val="16"/>
          <w:szCs w:val="16"/>
        </w:rPr>
        <w:tab/>
      </w:r>
      <w:r w:rsidRPr="00176A27">
        <w:rPr>
          <w:sz w:val="16"/>
        </w:rPr>
        <w:t>Desde el mes de abril y aún en esta primera quincena de junio</w:t>
      </w:r>
      <w:r w:rsidRPr="000A682B">
        <w:rPr>
          <w:sz w:val="16"/>
        </w:rPr>
        <w:t xml:space="preserve">, </w:t>
      </w:r>
      <w:r w:rsidRPr="00D473E9">
        <w:rPr>
          <w:sz w:val="16"/>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incremento en el número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solo afectó a aquellos que representan </w:t>
      </w:r>
      <w:r w:rsidRPr="00B10EF0">
        <w:rPr>
          <w:sz w:val="16"/>
        </w:rPr>
        <w:t xml:space="preserve">el </w:t>
      </w:r>
      <w:r w:rsidRPr="00176A27">
        <w:rPr>
          <w:sz w:val="16"/>
        </w:rPr>
        <w:t>7.8%</w:t>
      </w:r>
      <w:r w:rsidRPr="00B10EF0">
        <w:rPr>
          <w:sz w:val="16"/>
        </w:rPr>
        <w:t xml:space="preserve"> del</w:t>
      </w:r>
      <w:r w:rsidRPr="00D473E9">
        <w:rPr>
          <w:sz w:val="16"/>
        </w:rPr>
        <w:t xml:space="preserve"> ponderador del gasto total de la canasta nacional. Estas medidas están apegadas a las recomendaciones que han propuesto los organismos internacionales debido a esta contingencia.</w:t>
      </w:r>
    </w:p>
    <w:p w14:paraId="6A696A39" w14:textId="77777777" w:rsidR="00F717AC" w:rsidRPr="000A682B" w:rsidRDefault="00F717AC" w:rsidP="00F717AC">
      <w:pPr>
        <w:pStyle w:val="Textonotapie"/>
        <w:ind w:left="170" w:hanging="170"/>
        <w:rPr>
          <w:sz w:val="16"/>
          <w:lang w:val="es-MX"/>
        </w:rPr>
      </w:pPr>
    </w:p>
  </w:footnote>
  <w:footnote w:id="3">
    <w:p w14:paraId="454BAB41" w14:textId="1DFEC4A4" w:rsidR="00C36B6C" w:rsidRPr="00C36B6C" w:rsidRDefault="00C36B6C" w:rsidP="002D06A5">
      <w:pPr>
        <w:pStyle w:val="Textonotapie"/>
        <w:ind w:left="170" w:hanging="170"/>
        <w:rPr>
          <w:lang w:val="es-MX"/>
        </w:rPr>
      </w:pPr>
      <w:r w:rsidRPr="00C36B6C">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r>
        <w:t xml:space="preserve"> </w:t>
      </w:r>
    </w:p>
  </w:footnote>
  <w:footnote w:id="4">
    <w:p w14:paraId="4BB35436" w14:textId="436CA334" w:rsidR="009D10BE" w:rsidRPr="00866182" w:rsidRDefault="009D10BE" w:rsidP="002D06A5">
      <w:pPr>
        <w:autoSpaceDE w:val="0"/>
        <w:autoSpaceDN w:val="0"/>
        <w:spacing w:before="40" w:after="40"/>
        <w:ind w:left="170" w:hanging="170"/>
        <w:rPr>
          <w:color w:val="000000" w:themeColor="text1"/>
          <w:sz w:val="16"/>
          <w:szCs w:val="16"/>
          <w:lang w:val="es-MX"/>
        </w:rPr>
      </w:pPr>
      <w:r w:rsidRPr="00166951">
        <w:rPr>
          <w:rStyle w:val="Refdenotaalpie"/>
          <w:sz w:val="18"/>
          <w:szCs w:val="16"/>
        </w:rPr>
        <w:footnoteRef/>
      </w:r>
      <w:r w:rsidR="002D06A5">
        <w:rPr>
          <w:color w:val="000000" w:themeColor="text1"/>
          <w:sz w:val="16"/>
          <w:szCs w:val="16"/>
        </w:rPr>
        <w:tab/>
      </w:r>
      <w:r>
        <w:rPr>
          <w:sz w:val="16"/>
          <w:szCs w:val="16"/>
        </w:rPr>
        <w:t>Los componentes de la canasta básica se detallan en el documento metodológico</w:t>
      </w:r>
      <w:r w:rsidR="002D06A5">
        <w:rPr>
          <w:sz w:val="16"/>
          <w:szCs w:val="16"/>
        </w:rPr>
        <w:t xml:space="preserve"> </w:t>
      </w:r>
      <w:r w:rsidR="002D06A5" w:rsidRPr="003B6802">
        <w:rPr>
          <w:sz w:val="16"/>
          <w:szCs w:val="16"/>
        </w:rPr>
        <w:t xml:space="preserve">ubicado en la siguiente liga: </w:t>
      </w:r>
      <w:hyperlink r:id="rId1" w:history="1">
        <w:r w:rsidR="002D06A5" w:rsidRPr="0093112C">
          <w:rPr>
            <w:rStyle w:val="Hipervnculo"/>
            <w:sz w:val="16"/>
            <w:szCs w:val="16"/>
          </w:rPr>
          <w:t>https://www.inegi.org.mx/programas/inpc/2018/</w:t>
        </w:r>
      </w:hyperlink>
    </w:p>
  </w:footnote>
  <w:footnote w:id="5">
    <w:p w14:paraId="16D3FA1A" w14:textId="4C504350"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Genérico.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9B351" w14:textId="77777777" w:rsidR="00027682" w:rsidRDefault="000276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FA1A" w14:textId="18FB96D4" w:rsidR="00F717AC" w:rsidRPr="00265B8C" w:rsidRDefault="00F717AC" w:rsidP="00027682">
    <w:pPr>
      <w:pStyle w:val="Encabezado"/>
      <w:framePr w:w="5351" w:hSpace="141" w:wrap="auto" w:vAnchor="text" w:hAnchor="page" w:x="5745" w:y="35"/>
      <w:ind w:left="567" w:hanging="11"/>
      <w:jc w:val="right"/>
      <w:rPr>
        <w:b/>
        <w:color w:val="002060"/>
      </w:rPr>
    </w:pPr>
    <w:r w:rsidRPr="00265B8C">
      <w:rPr>
        <w:b/>
        <w:color w:val="002060"/>
      </w:rPr>
      <w:t xml:space="preserve">COMUNICADO DE PRENSA NÚM. </w:t>
    </w:r>
    <w:r w:rsidR="00027682">
      <w:rPr>
        <w:b/>
        <w:color w:val="002060"/>
      </w:rPr>
      <w:t>281</w:t>
    </w:r>
    <w:r w:rsidRPr="00265B8C">
      <w:rPr>
        <w:b/>
        <w:color w:val="002060"/>
      </w:rPr>
      <w:t>/</w:t>
    </w:r>
    <w:r>
      <w:rPr>
        <w:b/>
        <w:color w:val="002060"/>
      </w:rPr>
      <w:t>20</w:t>
    </w:r>
  </w:p>
  <w:p w14:paraId="17B398C8" w14:textId="77777777" w:rsidR="00F717AC" w:rsidRPr="00265B8C" w:rsidRDefault="00F717AC" w:rsidP="00027682">
    <w:pPr>
      <w:pStyle w:val="Encabezado"/>
      <w:framePr w:w="5351" w:hSpace="141" w:wrap="auto" w:vAnchor="text" w:hAnchor="page" w:x="5745" w:y="35"/>
      <w:ind w:left="567" w:hanging="11"/>
      <w:jc w:val="right"/>
      <w:rPr>
        <w:b/>
        <w:color w:val="002060"/>
        <w:lang w:val="pt-BR"/>
      </w:rPr>
    </w:pPr>
    <w:r>
      <w:rPr>
        <w:b/>
        <w:color w:val="002060"/>
        <w:lang w:val="pt-BR"/>
      </w:rPr>
      <w:t xml:space="preserve">24 </w:t>
    </w:r>
    <w:r w:rsidRPr="00265B8C">
      <w:rPr>
        <w:b/>
        <w:color w:val="002060"/>
        <w:lang w:val="pt-BR"/>
      </w:rPr>
      <w:t>D</w:t>
    </w:r>
    <w:r>
      <w:rPr>
        <w:b/>
        <w:color w:val="002060"/>
        <w:lang w:val="pt-BR"/>
      </w:rPr>
      <w:t>E JUNIO D</w:t>
    </w:r>
    <w:r w:rsidRPr="00265B8C">
      <w:rPr>
        <w:b/>
        <w:color w:val="002060"/>
        <w:lang w:val="pt-BR"/>
      </w:rPr>
      <w:t>E 20</w:t>
    </w:r>
    <w:r>
      <w:rPr>
        <w:b/>
        <w:color w:val="002060"/>
        <w:lang w:val="pt-BR"/>
      </w:rPr>
      <w:t>20</w:t>
    </w:r>
  </w:p>
  <w:p w14:paraId="5FF8E242" w14:textId="77777777" w:rsidR="00F717AC" w:rsidRPr="00265B8C" w:rsidRDefault="00F717AC" w:rsidP="00027682">
    <w:pPr>
      <w:pStyle w:val="Encabezado"/>
      <w:framePr w:w="5351" w:hSpace="141" w:wrap="auto" w:vAnchor="text" w:hAnchor="page" w:x="5745" w:y="35"/>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A0CE141" w14:textId="77777777" w:rsidR="00F717AC" w:rsidRDefault="00F717AC" w:rsidP="00614EF2">
    <w:pPr>
      <w:pStyle w:val="Encabezado"/>
      <w:ind w:left="-993"/>
    </w:pPr>
    <w:r>
      <w:rPr>
        <w:noProof/>
      </w:rPr>
      <w:drawing>
        <wp:inline distT="0" distB="0" distL="0" distR="0" wp14:anchorId="1D6F97F9" wp14:editId="5D25EB72">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3B4D6" w14:textId="77777777" w:rsidR="00027682" w:rsidRDefault="0002768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49622" w14:textId="0BC334C7" w:rsidR="00BC75C4" w:rsidRDefault="00B940B6" w:rsidP="00F717AC">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2"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7"/>
  </w:num>
  <w:num w:numId="13">
    <w:abstractNumId w:val="28"/>
  </w:num>
  <w:num w:numId="14">
    <w:abstractNumId w:val="17"/>
  </w:num>
  <w:num w:numId="15">
    <w:abstractNumId w:val="14"/>
  </w:num>
  <w:num w:numId="16">
    <w:abstractNumId w:val="22"/>
  </w:num>
  <w:num w:numId="17">
    <w:abstractNumId w:val="16"/>
  </w:num>
  <w:num w:numId="18">
    <w:abstractNumId w:val="21"/>
  </w:num>
  <w:num w:numId="19">
    <w:abstractNumId w:val="9"/>
  </w:num>
  <w:num w:numId="20">
    <w:abstractNumId w:val="0"/>
  </w:num>
  <w:num w:numId="21">
    <w:abstractNumId w:val="15"/>
  </w:num>
  <w:num w:numId="22">
    <w:abstractNumId w:val="4"/>
  </w:num>
  <w:num w:numId="23">
    <w:abstractNumId w:val="19"/>
  </w:num>
  <w:num w:numId="24">
    <w:abstractNumId w:val="18"/>
  </w:num>
  <w:num w:numId="25">
    <w:abstractNumId w:val="23"/>
  </w:num>
  <w:num w:numId="26">
    <w:abstractNumId w:val="26"/>
  </w:num>
  <w:num w:numId="27">
    <w:abstractNumId w:val="12"/>
  </w:num>
  <w:num w:numId="28">
    <w:abstractNumId w:val="11"/>
  </w:num>
  <w:num w:numId="29">
    <w:abstractNumId w:val="2"/>
  </w:num>
  <w:num w:numId="30">
    <w:abstractNumId w:val="6"/>
  </w:num>
  <w:num w:numId="31">
    <w:abstractNumId w:val="20"/>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137"/>
    <w:rsid w:val="00015302"/>
    <w:rsid w:val="00016590"/>
    <w:rsid w:val="00016B4E"/>
    <w:rsid w:val="00016D3A"/>
    <w:rsid w:val="0001718D"/>
    <w:rsid w:val="000176AC"/>
    <w:rsid w:val="000177E8"/>
    <w:rsid w:val="00017DF3"/>
    <w:rsid w:val="00021432"/>
    <w:rsid w:val="00021492"/>
    <w:rsid w:val="000216A3"/>
    <w:rsid w:val="000228C4"/>
    <w:rsid w:val="00022C2F"/>
    <w:rsid w:val="00022CA3"/>
    <w:rsid w:val="000260EE"/>
    <w:rsid w:val="00026698"/>
    <w:rsid w:val="00026B3C"/>
    <w:rsid w:val="00026B52"/>
    <w:rsid w:val="00026F8D"/>
    <w:rsid w:val="00027682"/>
    <w:rsid w:val="00027D1F"/>
    <w:rsid w:val="00030480"/>
    <w:rsid w:val="0003065F"/>
    <w:rsid w:val="000308BA"/>
    <w:rsid w:val="00030D10"/>
    <w:rsid w:val="00031231"/>
    <w:rsid w:val="000314D3"/>
    <w:rsid w:val="00031BCF"/>
    <w:rsid w:val="00031CEA"/>
    <w:rsid w:val="00032714"/>
    <w:rsid w:val="00032891"/>
    <w:rsid w:val="00032B16"/>
    <w:rsid w:val="00033603"/>
    <w:rsid w:val="00033A14"/>
    <w:rsid w:val="0003447A"/>
    <w:rsid w:val="00034BC3"/>
    <w:rsid w:val="000353F3"/>
    <w:rsid w:val="00035600"/>
    <w:rsid w:val="00035B2D"/>
    <w:rsid w:val="00035DA7"/>
    <w:rsid w:val="00036196"/>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7012A"/>
    <w:rsid w:val="0007017F"/>
    <w:rsid w:val="00070431"/>
    <w:rsid w:val="000707FF"/>
    <w:rsid w:val="00070864"/>
    <w:rsid w:val="0007145A"/>
    <w:rsid w:val="00071F0D"/>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756B"/>
    <w:rsid w:val="00087DB7"/>
    <w:rsid w:val="0009025D"/>
    <w:rsid w:val="00090B52"/>
    <w:rsid w:val="00090B9C"/>
    <w:rsid w:val="00090D7B"/>
    <w:rsid w:val="00091474"/>
    <w:rsid w:val="000915F7"/>
    <w:rsid w:val="00091EEF"/>
    <w:rsid w:val="00092764"/>
    <w:rsid w:val="0009292F"/>
    <w:rsid w:val="00092F4C"/>
    <w:rsid w:val="00094496"/>
    <w:rsid w:val="000950E7"/>
    <w:rsid w:val="00095360"/>
    <w:rsid w:val="000955AA"/>
    <w:rsid w:val="000957BC"/>
    <w:rsid w:val="00095A6A"/>
    <w:rsid w:val="00096737"/>
    <w:rsid w:val="00097C0A"/>
    <w:rsid w:val="000A0344"/>
    <w:rsid w:val="000A0823"/>
    <w:rsid w:val="000A1F9D"/>
    <w:rsid w:val="000A21D6"/>
    <w:rsid w:val="000A260D"/>
    <w:rsid w:val="000A2F4F"/>
    <w:rsid w:val="000A31EF"/>
    <w:rsid w:val="000A3354"/>
    <w:rsid w:val="000A3733"/>
    <w:rsid w:val="000A43B0"/>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000"/>
    <w:rsid w:val="000D5176"/>
    <w:rsid w:val="000D5EDB"/>
    <w:rsid w:val="000D6C0F"/>
    <w:rsid w:val="000D6F1E"/>
    <w:rsid w:val="000D7A95"/>
    <w:rsid w:val="000D7BBD"/>
    <w:rsid w:val="000E039A"/>
    <w:rsid w:val="000E03C0"/>
    <w:rsid w:val="000E0654"/>
    <w:rsid w:val="000E19B3"/>
    <w:rsid w:val="000E28E2"/>
    <w:rsid w:val="000E2970"/>
    <w:rsid w:val="000E35A3"/>
    <w:rsid w:val="000E369A"/>
    <w:rsid w:val="000E3CC1"/>
    <w:rsid w:val="000E5331"/>
    <w:rsid w:val="000E535E"/>
    <w:rsid w:val="000E5526"/>
    <w:rsid w:val="000E59FC"/>
    <w:rsid w:val="000E5D6B"/>
    <w:rsid w:val="000E5FE0"/>
    <w:rsid w:val="000E62DF"/>
    <w:rsid w:val="000E6D5D"/>
    <w:rsid w:val="000F04CC"/>
    <w:rsid w:val="000F05D5"/>
    <w:rsid w:val="000F1DEB"/>
    <w:rsid w:val="000F1F7A"/>
    <w:rsid w:val="000F3491"/>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28D2"/>
    <w:rsid w:val="00134904"/>
    <w:rsid w:val="001349AB"/>
    <w:rsid w:val="00134F4E"/>
    <w:rsid w:val="00134FB0"/>
    <w:rsid w:val="001350AC"/>
    <w:rsid w:val="001352EC"/>
    <w:rsid w:val="0013543B"/>
    <w:rsid w:val="00135E0B"/>
    <w:rsid w:val="001361A8"/>
    <w:rsid w:val="001365A5"/>
    <w:rsid w:val="001368CC"/>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55C"/>
    <w:rsid w:val="001600C9"/>
    <w:rsid w:val="00160308"/>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CBE"/>
    <w:rsid w:val="00182EBE"/>
    <w:rsid w:val="001831B3"/>
    <w:rsid w:val="001845FA"/>
    <w:rsid w:val="0018521A"/>
    <w:rsid w:val="0018522B"/>
    <w:rsid w:val="00185425"/>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1AA"/>
    <w:rsid w:val="00194F73"/>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4F4"/>
    <w:rsid w:val="001B75DC"/>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B2B"/>
    <w:rsid w:val="00206EE7"/>
    <w:rsid w:val="0020789A"/>
    <w:rsid w:val="00207C83"/>
    <w:rsid w:val="00210869"/>
    <w:rsid w:val="002116AD"/>
    <w:rsid w:val="00211999"/>
    <w:rsid w:val="002120A6"/>
    <w:rsid w:val="002122B8"/>
    <w:rsid w:val="002123A4"/>
    <w:rsid w:val="002126CD"/>
    <w:rsid w:val="00213773"/>
    <w:rsid w:val="00213B0E"/>
    <w:rsid w:val="00213CBC"/>
    <w:rsid w:val="002141FB"/>
    <w:rsid w:val="002146CA"/>
    <w:rsid w:val="002147D6"/>
    <w:rsid w:val="00214BEB"/>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71"/>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F5F"/>
    <w:rsid w:val="002702F4"/>
    <w:rsid w:val="00270965"/>
    <w:rsid w:val="00270A01"/>
    <w:rsid w:val="00271E5D"/>
    <w:rsid w:val="00272082"/>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6DB"/>
    <w:rsid w:val="0029190A"/>
    <w:rsid w:val="00292220"/>
    <w:rsid w:val="00293271"/>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4BA7"/>
    <w:rsid w:val="002E4D3D"/>
    <w:rsid w:val="002E5CA7"/>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799"/>
    <w:rsid w:val="002F3C64"/>
    <w:rsid w:val="002F4431"/>
    <w:rsid w:val="002F47E7"/>
    <w:rsid w:val="002F510D"/>
    <w:rsid w:val="002F5F61"/>
    <w:rsid w:val="00300081"/>
    <w:rsid w:val="0030023E"/>
    <w:rsid w:val="0030059B"/>
    <w:rsid w:val="00300812"/>
    <w:rsid w:val="0030094D"/>
    <w:rsid w:val="00300FC5"/>
    <w:rsid w:val="00301277"/>
    <w:rsid w:val="00301837"/>
    <w:rsid w:val="003019CD"/>
    <w:rsid w:val="0030341B"/>
    <w:rsid w:val="003034D2"/>
    <w:rsid w:val="0030373E"/>
    <w:rsid w:val="00303A1B"/>
    <w:rsid w:val="003045BE"/>
    <w:rsid w:val="00304E8C"/>
    <w:rsid w:val="00305204"/>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3367"/>
    <w:rsid w:val="0031354F"/>
    <w:rsid w:val="00314614"/>
    <w:rsid w:val="00314739"/>
    <w:rsid w:val="00314773"/>
    <w:rsid w:val="00314F8A"/>
    <w:rsid w:val="003151F3"/>
    <w:rsid w:val="003152FA"/>
    <w:rsid w:val="003154DB"/>
    <w:rsid w:val="00316198"/>
    <w:rsid w:val="00316779"/>
    <w:rsid w:val="00316C5F"/>
    <w:rsid w:val="00316C7C"/>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3D2"/>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3231"/>
    <w:rsid w:val="0039372B"/>
    <w:rsid w:val="0039383D"/>
    <w:rsid w:val="0039433B"/>
    <w:rsid w:val="003946B9"/>
    <w:rsid w:val="00394917"/>
    <w:rsid w:val="00394FE8"/>
    <w:rsid w:val="00395069"/>
    <w:rsid w:val="003955AD"/>
    <w:rsid w:val="00395A0A"/>
    <w:rsid w:val="00396943"/>
    <w:rsid w:val="00396C46"/>
    <w:rsid w:val="00397BC5"/>
    <w:rsid w:val="00397BF1"/>
    <w:rsid w:val="003A0756"/>
    <w:rsid w:val="003A0A67"/>
    <w:rsid w:val="003A1273"/>
    <w:rsid w:val="003A1596"/>
    <w:rsid w:val="003A1FEA"/>
    <w:rsid w:val="003A2E86"/>
    <w:rsid w:val="003A344A"/>
    <w:rsid w:val="003A3622"/>
    <w:rsid w:val="003A36D4"/>
    <w:rsid w:val="003A4139"/>
    <w:rsid w:val="003A4409"/>
    <w:rsid w:val="003A495B"/>
    <w:rsid w:val="003A4B2F"/>
    <w:rsid w:val="003A4C4A"/>
    <w:rsid w:val="003A4F9E"/>
    <w:rsid w:val="003A5033"/>
    <w:rsid w:val="003A53AA"/>
    <w:rsid w:val="003A5A21"/>
    <w:rsid w:val="003A5EEB"/>
    <w:rsid w:val="003A5F81"/>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4DD"/>
    <w:rsid w:val="003B3822"/>
    <w:rsid w:val="003B3BAD"/>
    <w:rsid w:val="003B3F02"/>
    <w:rsid w:val="003B3F64"/>
    <w:rsid w:val="003B4312"/>
    <w:rsid w:val="003B4644"/>
    <w:rsid w:val="003B4B26"/>
    <w:rsid w:val="003B4E29"/>
    <w:rsid w:val="003B5306"/>
    <w:rsid w:val="003B5757"/>
    <w:rsid w:val="003B5E92"/>
    <w:rsid w:val="003B6179"/>
    <w:rsid w:val="003B69D0"/>
    <w:rsid w:val="003B7B4D"/>
    <w:rsid w:val="003C0125"/>
    <w:rsid w:val="003C03F7"/>
    <w:rsid w:val="003C05CD"/>
    <w:rsid w:val="003C0FE5"/>
    <w:rsid w:val="003C14B6"/>
    <w:rsid w:val="003C1CAF"/>
    <w:rsid w:val="003C22D4"/>
    <w:rsid w:val="003C29AF"/>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4979"/>
    <w:rsid w:val="003E4B79"/>
    <w:rsid w:val="003E4B85"/>
    <w:rsid w:val="003E581F"/>
    <w:rsid w:val="003E5F16"/>
    <w:rsid w:val="003E634D"/>
    <w:rsid w:val="003E64BB"/>
    <w:rsid w:val="003E6AC1"/>
    <w:rsid w:val="003E6B73"/>
    <w:rsid w:val="003E7EEA"/>
    <w:rsid w:val="003F01E7"/>
    <w:rsid w:val="003F18CF"/>
    <w:rsid w:val="003F2BFE"/>
    <w:rsid w:val="003F3A44"/>
    <w:rsid w:val="003F5732"/>
    <w:rsid w:val="003F5F0A"/>
    <w:rsid w:val="003F6DF4"/>
    <w:rsid w:val="003F7022"/>
    <w:rsid w:val="003F7263"/>
    <w:rsid w:val="003F7D77"/>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28E4"/>
    <w:rsid w:val="00432937"/>
    <w:rsid w:val="00433460"/>
    <w:rsid w:val="00433D87"/>
    <w:rsid w:val="00433E32"/>
    <w:rsid w:val="00433ECE"/>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870"/>
    <w:rsid w:val="004529D7"/>
    <w:rsid w:val="00452A11"/>
    <w:rsid w:val="00453BF4"/>
    <w:rsid w:val="00454571"/>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750"/>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1574"/>
    <w:rsid w:val="004B206E"/>
    <w:rsid w:val="004B229E"/>
    <w:rsid w:val="004B29C2"/>
    <w:rsid w:val="004B29E1"/>
    <w:rsid w:val="004B2C52"/>
    <w:rsid w:val="004B2F46"/>
    <w:rsid w:val="004B395D"/>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EBE"/>
    <w:rsid w:val="00503551"/>
    <w:rsid w:val="00503F38"/>
    <w:rsid w:val="005043FC"/>
    <w:rsid w:val="00504A55"/>
    <w:rsid w:val="00505A1E"/>
    <w:rsid w:val="00505F08"/>
    <w:rsid w:val="0050671D"/>
    <w:rsid w:val="0050672C"/>
    <w:rsid w:val="00506C4C"/>
    <w:rsid w:val="0050700E"/>
    <w:rsid w:val="005079D7"/>
    <w:rsid w:val="00507B2A"/>
    <w:rsid w:val="00507D3E"/>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48B9"/>
    <w:rsid w:val="00545136"/>
    <w:rsid w:val="005452C1"/>
    <w:rsid w:val="00545B42"/>
    <w:rsid w:val="0054612B"/>
    <w:rsid w:val="00546773"/>
    <w:rsid w:val="00547753"/>
    <w:rsid w:val="005479F5"/>
    <w:rsid w:val="00547D90"/>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321"/>
    <w:rsid w:val="00564775"/>
    <w:rsid w:val="00566C28"/>
    <w:rsid w:val="00566EBC"/>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F4"/>
    <w:rsid w:val="00654CB8"/>
    <w:rsid w:val="0065561D"/>
    <w:rsid w:val="006559AA"/>
    <w:rsid w:val="00655F61"/>
    <w:rsid w:val="006562F3"/>
    <w:rsid w:val="006565D3"/>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4D5F"/>
    <w:rsid w:val="0066527F"/>
    <w:rsid w:val="00666754"/>
    <w:rsid w:val="00666AEA"/>
    <w:rsid w:val="00666D37"/>
    <w:rsid w:val="0066706E"/>
    <w:rsid w:val="00667D71"/>
    <w:rsid w:val="00667FB2"/>
    <w:rsid w:val="00670D2E"/>
    <w:rsid w:val="006715AD"/>
    <w:rsid w:val="0067269F"/>
    <w:rsid w:val="006726CB"/>
    <w:rsid w:val="0067272F"/>
    <w:rsid w:val="00672E8B"/>
    <w:rsid w:val="00673BA4"/>
    <w:rsid w:val="00674C5D"/>
    <w:rsid w:val="00674ED8"/>
    <w:rsid w:val="00675793"/>
    <w:rsid w:val="00675C5E"/>
    <w:rsid w:val="00676F0B"/>
    <w:rsid w:val="006773D1"/>
    <w:rsid w:val="006801BB"/>
    <w:rsid w:val="006802E3"/>
    <w:rsid w:val="00680CC6"/>
    <w:rsid w:val="0068122E"/>
    <w:rsid w:val="0068241B"/>
    <w:rsid w:val="00683889"/>
    <w:rsid w:val="006842A2"/>
    <w:rsid w:val="006848BB"/>
    <w:rsid w:val="00684A44"/>
    <w:rsid w:val="00685075"/>
    <w:rsid w:val="00685339"/>
    <w:rsid w:val="00685597"/>
    <w:rsid w:val="006859F4"/>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C28"/>
    <w:rsid w:val="006A777A"/>
    <w:rsid w:val="006A7AE9"/>
    <w:rsid w:val="006A7C9D"/>
    <w:rsid w:val="006B0264"/>
    <w:rsid w:val="006B0BF0"/>
    <w:rsid w:val="006B1E59"/>
    <w:rsid w:val="006B2995"/>
    <w:rsid w:val="006B2F13"/>
    <w:rsid w:val="006B3EFD"/>
    <w:rsid w:val="006B40C8"/>
    <w:rsid w:val="006B472A"/>
    <w:rsid w:val="006B549F"/>
    <w:rsid w:val="006B65CB"/>
    <w:rsid w:val="006B765D"/>
    <w:rsid w:val="006C0867"/>
    <w:rsid w:val="006C12F3"/>
    <w:rsid w:val="006C215A"/>
    <w:rsid w:val="006C24C7"/>
    <w:rsid w:val="006C273C"/>
    <w:rsid w:val="006C2FF1"/>
    <w:rsid w:val="006C374A"/>
    <w:rsid w:val="006C3A0F"/>
    <w:rsid w:val="006C479E"/>
    <w:rsid w:val="006C54EE"/>
    <w:rsid w:val="006C57FE"/>
    <w:rsid w:val="006C5AB5"/>
    <w:rsid w:val="006C6E36"/>
    <w:rsid w:val="006C705E"/>
    <w:rsid w:val="006C7216"/>
    <w:rsid w:val="006C7266"/>
    <w:rsid w:val="006D045E"/>
    <w:rsid w:val="006D05F4"/>
    <w:rsid w:val="006D0B6D"/>
    <w:rsid w:val="006D1549"/>
    <w:rsid w:val="006D1A5F"/>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72D"/>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4051"/>
    <w:rsid w:val="007341BF"/>
    <w:rsid w:val="00734519"/>
    <w:rsid w:val="0073458B"/>
    <w:rsid w:val="00734B84"/>
    <w:rsid w:val="00735D2A"/>
    <w:rsid w:val="00735EBF"/>
    <w:rsid w:val="007365ED"/>
    <w:rsid w:val="00736927"/>
    <w:rsid w:val="0073779C"/>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B0"/>
    <w:rsid w:val="00762A7D"/>
    <w:rsid w:val="00763020"/>
    <w:rsid w:val="0076392A"/>
    <w:rsid w:val="00763B9E"/>
    <w:rsid w:val="00764588"/>
    <w:rsid w:val="007648FE"/>
    <w:rsid w:val="00764B39"/>
    <w:rsid w:val="007664EA"/>
    <w:rsid w:val="007667C4"/>
    <w:rsid w:val="007670FC"/>
    <w:rsid w:val="00767282"/>
    <w:rsid w:val="007678B9"/>
    <w:rsid w:val="00767DDD"/>
    <w:rsid w:val="00767F7F"/>
    <w:rsid w:val="007703EA"/>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815"/>
    <w:rsid w:val="0078700E"/>
    <w:rsid w:val="00787339"/>
    <w:rsid w:val="00787B59"/>
    <w:rsid w:val="00787F86"/>
    <w:rsid w:val="007900A9"/>
    <w:rsid w:val="00790C1F"/>
    <w:rsid w:val="007910C3"/>
    <w:rsid w:val="00791110"/>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D24"/>
    <w:rsid w:val="007A4860"/>
    <w:rsid w:val="007A4CAF"/>
    <w:rsid w:val="007A4F7B"/>
    <w:rsid w:val="007A61E4"/>
    <w:rsid w:val="007A704A"/>
    <w:rsid w:val="007A7242"/>
    <w:rsid w:val="007B0222"/>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258"/>
    <w:rsid w:val="007D143D"/>
    <w:rsid w:val="007D25B9"/>
    <w:rsid w:val="007D29AD"/>
    <w:rsid w:val="007D2BD3"/>
    <w:rsid w:val="007D2BE8"/>
    <w:rsid w:val="007D306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FB3"/>
    <w:rsid w:val="0080026A"/>
    <w:rsid w:val="00800340"/>
    <w:rsid w:val="00800953"/>
    <w:rsid w:val="00801255"/>
    <w:rsid w:val="0080197B"/>
    <w:rsid w:val="00801C1F"/>
    <w:rsid w:val="00801C4F"/>
    <w:rsid w:val="008021D3"/>
    <w:rsid w:val="00802849"/>
    <w:rsid w:val="00802971"/>
    <w:rsid w:val="008038E3"/>
    <w:rsid w:val="008038F6"/>
    <w:rsid w:val="00804558"/>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40EAF"/>
    <w:rsid w:val="008416BF"/>
    <w:rsid w:val="008416FD"/>
    <w:rsid w:val="0084188F"/>
    <w:rsid w:val="00841946"/>
    <w:rsid w:val="00842659"/>
    <w:rsid w:val="0084293A"/>
    <w:rsid w:val="0084354C"/>
    <w:rsid w:val="0084375D"/>
    <w:rsid w:val="0084416F"/>
    <w:rsid w:val="00844462"/>
    <w:rsid w:val="008449FE"/>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54A"/>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CC0"/>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63C"/>
    <w:rsid w:val="00893657"/>
    <w:rsid w:val="00893671"/>
    <w:rsid w:val="008941FB"/>
    <w:rsid w:val="00894565"/>
    <w:rsid w:val="008950D6"/>
    <w:rsid w:val="0089522A"/>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0A9"/>
    <w:rsid w:val="008D6A6E"/>
    <w:rsid w:val="008D781F"/>
    <w:rsid w:val="008D7DBE"/>
    <w:rsid w:val="008E02B7"/>
    <w:rsid w:val="008E20BE"/>
    <w:rsid w:val="008E241B"/>
    <w:rsid w:val="008E29EC"/>
    <w:rsid w:val="008E2AC1"/>
    <w:rsid w:val="008E3096"/>
    <w:rsid w:val="008E330C"/>
    <w:rsid w:val="008E332F"/>
    <w:rsid w:val="008E35FC"/>
    <w:rsid w:val="008E4114"/>
    <w:rsid w:val="008E45EA"/>
    <w:rsid w:val="008E4A1A"/>
    <w:rsid w:val="008E5E01"/>
    <w:rsid w:val="008E6093"/>
    <w:rsid w:val="008E659F"/>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F9"/>
    <w:rsid w:val="00901244"/>
    <w:rsid w:val="00901979"/>
    <w:rsid w:val="00902357"/>
    <w:rsid w:val="0090242A"/>
    <w:rsid w:val="0090289A"/>
    <w:rsid w:val="00902C85"/>
    <w:rsid w:val="009030F7"/>
    <w:rsid w:val="009034D9"/>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EC8"/>
    <w:rsid w:val="00921102"/>
    <w:rsid w:val="00921305"/>
    <w:rsid w:val="00921783"/>
    <w:rsid w:val="009217D9"/>
    <w:rsid w:val="00921AC8"/>
    <w:rsid w:val="0092206F"/>
    <w:rsid w:val="00922482"/>
    <w:rsid w:val="00922A2B"/>
    <w:rsid w:val="009249E3"/>
    <w:rsid w:val="00924A6C"/>
    <w:rsid w:val="00924AED"/>
    <w:rsid w:val="00924ED4"/>
    <w:rsid w:val="00924F63"/>
    <w:rsid w:val="009271AB"/>
    <w:rsid w:val="00927281"/>
    <w:rsid w:val="009273B8"/>
    <w:rsid w:val="00927A20"/>
    <w:rsid w:val="00930298"/>
    <w:rsid w:val="009302A6"/>
    <w:rsid w:val="00930D15"/>
    <w:rsid w:val="00931325"/>
    <w:rsid w:val="009319DC"/>
    <w:rsid w:val="00931AAD"/>
    <w:rsid w:val="00931E6D"/>
    <w:rsid w:val="0093286C"/>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7F5"/>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6141"/>
    <w:rsid w:val="0096620D"/>
    <w:rsid w:val="009662EC"/>
    <w:rsid w:val="00966611"/>
    <w:rsid w:val="0096661F"/>
    <w:rsid w:val="009669CC"/>
    <w:rsid w:val="00967517"/>
    <w:rsid w:val="009675EB"/>
    <w:rsid w:val="00967655"/>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DF0"/>
    <w:rsid w:val="00980F3F"/>
    <w:rsid w:val="00981D1C"/>
    <w:rsid w:val="00982214"/>
    <w:rsid w:val="009823D4"/>
    <w:rsid w:val="00982474"/>
    <w:rsid w:val="00982E9C"/>
    <w:rsid w:val="00983285"/>
    <w:rsid w:val="00983F25"/>
    <w:rsid w:val="00984672"/>
    <w:rsid w:val="00984F97"/>
    <w:rsid w:val="0098569D"/>
    <w:rsid w:val="00985A09"/>
    <w:rsid w:val="00986277"/>
    <w:rsid w:val="009866A3"/>
    <w:rsid w:val="0098693D"/>
    <w:rsid w:val="00986D0D"/>
    <w:rsid w:val="009871C7"/>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6621"/>
    <w:rsid w:val="009A6AEA"/>
    <w:rsid w:val="009A6CC5"/>
    <w:rsid w:val="009B1F3A"/>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C0448"/>
    <w:rsid w:val="009C0615"/>
    <w:rsid w:val="009C0CF8"/>
    <w:rsid w:val="009C0ED7"/>
    <w:rsid w:val="009C125A"/>
    <w:rsid w:val="009C1EB2"/>
    <w:rsid w:val="009C2675"/>
    <w:rsid w:val="009C2839"/>
    <w:rsid w:val="009C2DC4"/>
    <w:rsid w:val="009C304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8E7"/>
    <w:rsid w:val="00A13A4E"/>
    <w:rsid w:val="00A15566"/>
    <w:rsid w:val="00A15B2D"/>
    <w:rsid w:val="00A163CD"/>
    <w:rsid w:val="00A16778"/>
    <w:rsid w:val="00A16910"/>
    <w:rsid w:val="00A16B57"/>
    <w:rsid w:val="00A20207"/>
    <w:rsid w:val="00A20224"/>
    <w:rsid w:val="00A21424"/>
    <w:rsid w:val="00A21997"/>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CCF"/>
    <w:rsid w:val="00A35D65"/>
    <w:rsid w:val="00A36CF6"/>
    <w:rsid w:val="00A36EC5"/>
    <w:rsid w:val="00A37DDD"/>
    <w:rsid w:val="00A37EDA"/>
    <w:rsid w:val="00A4035D"/>
    <w:rsid w:val="00A413A3"/>
    <w:rsid w:val="00A43270"/>
    <w:rsid w:val="00A44C3B"/>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E2"/>
    <w:rsid w:val="00A56806"/>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954"/>
    <w:rsid w:val="00A92C54"/>
    <w:rsid w:val="00A92DB9"/>
    <w:rsid w:val="00A93738"/>
    <w:rsid w:val="00A94084"/>
    <w:rsid w:val="00A9446E"/>
    <w:rsid w:val="00A94AD0"/>
    <w:rsid w:val="00A953A8"/>
    <w:rsid w:val="00A96852"/>
    <w:rsid w:val="00A96C21"/>
    <w:rsid w:val="00A9791D"/>
    <w:rsid w:val="00A97B20"/>
    <w:rsid w:val="00A97D4A"/>
    <w:rsid w:val="00A97DB8"/>
    <w:rsid w:val="00AA0209"/>
    <w:rsid w:val="00AA03A6"/>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798"/>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F0C"/>
    <w:rsid w:val="00B03776"/>
    <w:rsid w:val="00B03ED8"/>
    <w:rsid w:val="00B0401D"/>
    <w:rsid w:val="00B042D2"/>
    <w:rsid w:val="00B04E8D"/>
    <w:rsid w:val="00B04F50"/>
    <w:rsid w:val="00B0542F"/>
    <w:rsid w:val="00B05A05"/>
    <w:rsid w:val="00B06495"/>
    <w:rsid w:val="00B064F1"/>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9C4"/>
    <w:rsid w:val="00B36D9E"/>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5F68"/>
    <w:rsid w:val="00B76A3F"/>
    <w:rsid w:val="00B76A7D"/>
    <w:rsid w:val="00B76CE1"/>
    <w:rsid w:val="00B76DEB"/>
    <w:rsid w:val="00B776D5"/>
    <w:rsid w:val="00B77B7E"/>
    <w:rsid w:val="00B80744"/>
    <w:rsid w:val="00B80979"/>
    <w:rsid w:val="00B818AA"/>
    <w:rsid w:val="00B81B66"/>
    <w:rsid w:val="00B81BC2"/>
    <w:rsid w:val="00B81C2F"/>
    <w:rsid w:val="00B81C75"/>
    <w:rsid w:val="00B81D8F"/>
    <w:rsid w:val="00B81EEF"/>
    <w:rsid w:val="00B81F26"/>
    <w:rsid w:val="00B821DC"/>
    <w:rsid w:val="00B82628"/>
    <w:rsid w:val="00B8344D"/>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A0FE9"/>
    <w:rsid w:val="00BA103F"/>
    <w:rsid w:val="00BA139F"/>
    <w:rsid w:val="00BA16BA"/>
    <w:rsid w:val="00BA1A0B"/>
    <w:rsid w:val="00BA1E85"/>
    <w:rsid w:val="00BA359B"/>
    <w:rsid w:val="00BA3A93"/>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964"/>
    <w:rsid w:val="00BC3112"/>
    <w:rsid w:val="00BC3776"/>
    <w:rsid w:val="00BC39C4"/>
    <w:rsid w:val="00BC3D8E"/>
    <w:rsid w:val="00BC3E7F"/>
    <w:rsid w:val="00BC41B5"/>
    <w:rsid w:val="00BC4C63"/>
    <w:rsid w:val="00BC54D1"/>
    <w:rsid w:val="00BC6308"/>
    <w:rsid w:val="00BC63B9"/>
    <w:rsid w:val="00BC63FE"/>
    <w:rsid w:val="00BC666D"/>
    <w:rsid w:val="00BC67A4"/>
    <w:rsid w:val="00BC6B4D"/>
    <w:rsid w:val="00BC6C4F"/>
    <w:rsid w:val="00BC75C4"/>
    <w:rsid w:val="00BC76AA"/>
    <w:rsid w:val="00BD1290"/>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B6C"/>
    <w:rsid w:val="00C36FFE"/>
    <w:rsid w:val="00C3731C"/>
    <w:rsid w:val="00C40A83"/>
    <w:rsid w:val="00C40D37"/>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CD2"/>
    <w:rsid w:val="00C47D56"/>
    <w:rsid w:val="00C510DE"/>
    <w:rsid w:val="00C536E4"/>
    <w:rsid w:val="00C538AE"/>
    <w:rsid w:val="00C53C32"/>
    <w:rsid w:val="00C53E7A"/>
    <w:rsid w:val="00C54492"/>
    <w:rsid w:val="00C544B6"/>
    <w:rsid w:val="00C54601"/>
    <w:rsid w:val="00C54E26"/>
    <w:rsid w:val="00C56A84"/>
    <w:rsid w:val="00C573C7"/>
    <w:rsid w:val="00C575E8"/>
    <w:rsid w:val="00C5777E"/>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8C8"/>
    <w:rsid w:val="00C85A44"/>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26B"/>
    <w:rsid w:val="00D104B2"/>
    <w:rsid w:val="00D10986"/>
    <w:rsid w:val="00D1188C"/>
    <w:rsid w:val="00D11BB2"/>
    <w:rsid w:val="00D123F2"/>
    <w:rsid w:val="00D12F1F"/>
    <w:rsid w:val="00D13207"/>
    <w:rsid w:val="00D13358"/>
    <w:rsid w:val="00D1342C"/>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977"/>
    <w:rsid w:val="00D34097"/>
    <w:rsid w:val="00D34174"/>
    <w:rsid w:val="00D3544C"/>
    <w:rsid w:val="00D361A1"/>
    <w:rsid w:val="00D3719F"/>
    <w:rsid w:val="00D371C8"/>
    <w:rsid w:val="00D4061B"/>
    <w:rsid w:val="00D41CAE"/>
    <w:rsid w:val="00D431DA"/>
    <w:rsid w:val="00D43450"/>
    <w:rsid w:val="00D43D75"/>
    <w:rsid w:val="00D43F48"/>
    <w:rsid w:val="00D43F90"/>
    <w:rsid w:val="00D44156"/>
    <w:rsid w:val="00D44198"/>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05"/>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3CCC"/>
    <w:rsid w:val="00D843D6"/>
    <w:rsid w:val="00D85237"/>
    <w:rsid w:val="00D85475"/>
    <w:rsid w:val="00D85566"/>
    <w:rsid w:val="00D85A2F"/>
    <w:rsid w:val="00D85A69"/>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26B5"/>
    <w:rsid w:val="00DB3AA0"/>
    <w:rsid w:val="00DB3C49"/>
    <w:rsid w:val="00DB41B9"/>
    <w:rsid w:val="00DB42C2"/>
    <w:rsid w:val="00DB444B"/>
    <w:rsid w:val="00DB4459"/>
    <w:rsid w:val="00DB4628"/>
    <w:rsid w:val="00DB4714"/>
    <w:rsid w:val="00DB4788"/>
    <w:rsid w:val="00DB4D04"/>
    <w:rsid w:val="00DB510A"/>
    <w:rsid w:val="00DB5178"/>
    <w:rsid w:val="00DB5386"/>
    <w:rsid w:val="00DB5ABE"/>
    <w:rsid w:val="00DB6292"/>
    <w:rsid w:val="00DB632B"/>
    <w:rsid w:val="00DB67E7"/>
    <w:rsid w:val="00DB68BB"/>
    <w:rsid w:val="00DB6F55"/>
    <w:rsid w:val="00DB7F10"/>
    <w:rsid w:val="00DC1524"/>
    <w:rsid w:val="00DC1889"/>
    <w:rsid w:val="00DC1CA3"/>
    <w:rsid w:val="00DC2A33"/>
    <w:rsid w:val="00DC3214"/>
    <w:rsid w:val="00DC3537"/>
    <w:rsid w:val="00DC3579"/>
    <w:rsid w:val="00DC3A57"/>
    <w:rsid w:val="00DC3E0F"/>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3BF3"/>
    <w:rsid w:val="00DE40F7"/>
    <w:rsid w:val="00DE47DF"/>
    <w:rsid w:val="00DE4D21"/>
    <w:rsid w:val="00DE5EA6"/>
    <w:rsid w:val="00DE5F41"/>
    <w:rsid w:val="00DE61FB"/>
    <w:rsid w:val="00DE6B6A"/>
    <w:rsid w:val="00DE730F"/>
    <w:rsid w:val="00DE731D"/>
    <w:rsid w:val="00DE7A1D"/>
    <w:rsid w:val="00DE7CAB"/>
    <w:rsid w:val="00DF0A8D"/>
    <w:rsid w:val="00DF0E97"/>
    <w:rsid w:val="00DF11F0"/>
    <w:rsid w:val="00DF1956"/>
    <w:rsid w:val="00DF19A5"/>
    <w:rsid w:val="00DF1AD2"/>
    <w:rsid w:val="00DF1D62"/>
    <w:rsid w:val="00DF2170"/>
    <w:rsid w:val="00DF2912"/>
    <w:rsid w:val="00DF2D89"/>
    <w:rsid w:val="00DF2FC2"/>
    <w:rsid w:val="00DF3D62"/>
    <w:rsid w:val="00DF572E"/>
    <w:rsid w:val="00DF596A"/>
    <w:rsid w:val="00DF6DA6"/>
    <w:rsid w:val="00DF708D"/>
    <w:rsid w:val="00DF751C"/>
    <w:rsid w:val="00DF7EB8"/>
    <w:rsid w:val="00E0029F"/>
    <w:rsid w:val="00E0031E"/>
    <w:rsid w:val="00E006E6"/>
    <w:rsid w:val="00E00FD5"/>
    <w:rsid w:val="00E01956"/>
    <w:rsid w:val="00E01ED2"/>
    <w:rsid w:val="00E02047"/>
    <w:rsid w:val="00E023E5"/>
    <w:rsid w:val="00E02837"/>
    <w:rsid w:val="00E0443C"/>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6682"/>
    <w:rsid w:val="00E1678A"/>
    <w:rsid w:val="00E16BCC"/>
    <w:rsid w:val="00E17549"/>
    <w:rsid w:val="00E17BAE"/>
    <w:rsid w:val="00E17E85"/>
    <w:rsid w:val="00E17E99"/>
    <w:rsid w:val="00E2002A"/>
    <w:rsid w:val="00E2055A"/>
    <w:rsid w:val="00E20D7C"/>
    <w:rsid w:val="00E214E4"/>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E4F"/>
    <w:rsid w:val="00E72486"/>
    <w:rsid w:val="00E724EF"/>
    <w:rsid w:val="00E7250A"/>
    <w:rsid w:val="00E7264E"/>
    <w:rsid w:val="00E72651"/>
    <w:rsid w:val="00E73957"/>
    <w:rsid w:val="00E73C90"/>
    <w:rsid w:val="00E73D3A"/>
    <w:rsid w:val="00E7412C"/>
    <w:rsid w:val="00E743A1"/>
    <w:rsid w:val="00E74BC5"/>
    <w:rsid w:val="00E74F05"/>
    <w:rsid w:val="00E7518B"/>
    <w:rsid w:val="00E755A5"/>
    <w:rsid w:val="00E757B9"/>
    <w:rsid w:val="00E7593F"/>
    <w:rsid w:val="00E76497"/>
    <w:rsid w:val="00E76C33"/>
    <w:rsid w:val="00E8011B"/>
    <w:rsid w:val="00E801FE"/>
    <w:rsid w:val="00E80768"/>
    <w:rsid w:val="00E80C67"/>
    <w:rsid w:val="00E80E1E"/>
    <w:rsid w:val="00E82135"/>
    <w:rsid w:val="00E82862"/>
    <w:rsid w:val="00E82CA0"/>
    <w:rsid w:val="00E82E17"/>
    <w:rsid w:val="00E84324"/>
    <w:rsid w:val="00E84AD4"/>
    <w:rsid w:val="00E8534F"/>
    <w:rsid w:val="00E854EA"/>
    <w:rsid w:val="00E85EC9"/>
    <w:rsid w:val="00E860EE"/>
    <w:rsid w:val="00E86456"/>
    <w:rsid w:val="00E86BAE"/>
    <w:rsid w:val="00E876A3"/>
    <w:rsid w:val="00E87894"/>
    <w:rsid w:val="00E87DC5"/>
    <w:rsid w:val="00E903A5"/>
    <w:rsid w:val="00E90A19"/>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1514"/>
    <w:rsid w:val="00EA16E1"/>
    <w:rsid w:val="00EA170C"/>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4B6"/>
    <w:rsid w:val="00EC552D"/>
    <w:rsid w:val="00EC5B93"/>
    <w:rsid w:val="00EC64A1"/>
    <w:rsid w:val="00EC6506"/>
    <w:rsid w:val="00EC774B"/>
    <w:rsid w:val="00ED13EB"/>
    <w:rsid w:val="00ED1462"/>
    <w:rsid w:val="00ED14A1"/>
    <w:rsid w:val="00ED17FA"/>
    <w:rsid w:val="00ED1856"/>
    <w:rsid w:val="00ED24B6"/>
    <w:rsid w:val="00ED25D2"/>
    <w:rsid w:val="00ED35A5"/>
    <w:rsid w:val="00ED35C0"/>
    <w:rsid w:val="00ED3F38"/>
    <w:rsid w:val="00ED4124"/>
    <w:rsid w:val="00ED462A"/>
    <w:rsid w:val="00ED5030"/>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C11"/>
    <w:rsid w:val="00F14D95"/>
    <w:rsid w:val="00F15A01"/>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13E2"/>
    <w:rsid w:val="00F717AC"/>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577"/>
    <w:rsid w:val="00FA086C"/>
    <w:rsid w:val="00FA0870"/>
    <w:rsid w:val="00FA0FFB"/>
    <w:rsid w:val="00FA1441"/>
    <w:rsid w:val="00FA203F"/>
    <w:rsid w:val="00FA38A1"/>
    <w:rsid w:val="00FA3C01"/>
    <w:rsid w:val="00FA3F41"/>
    <w:rsid w:val="00FA4181"/>
    <w:rsid w:val="00FA4A3B"/>
    <w:rsid w:val="00FA62C1"/>
    <w:rsid w:val="00FA63DE"/>
    <w:rsid w:val="00FA6B17"/>
    <w:rsid w:val="00FA7860"/>
    <w:rsid w:val="00FB0060"/>
    <w:rsid w:val="00FB012F"/>
    <w:rsid w:val="00FB0A08"/>
    <w:rsid w:val="00FB0AD3"/>
    <w:rsid w:val="00FB0D58"/>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PiedepginaCar">
    <w:name w:val="Pie de página Car"/>
    <w:basedOn w:val="Fuentedeprrafopredeter"/>
    <w:link w:val="Piedepgina"/>
    <w:uiPriority w:val="99"/>
    <w:rsid w:val="00F717AC"/>
    <w:rPr>
      <w:rFonts w:ascii="Arial" w:hAnsi="Arial" w:cs="Arial"/>
      <w:sz w:val="24"/>
      <w:szCs w:val="24"/>
      <w:lang w:val="es-ES_tradnl" w:eastAsia="es-ES"/>
    </w:rPr>
  </w:style>
  <w:style w:type="paragraph" w:customStyle="1" w:styleId="p01">
    <w:name w:val="p01"/>
    <w:basedOn w:val="Normal"/>
    <w:next w:val="p0"/>
    <w:rsid w:val="00F717AC"/>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default.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s://www.inegi.org.mx/programas/inpc/2018/"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2018'!$M$369</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19-4015-B4AC-E9E5E8365065}"/>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19-4015-B4AC-E9E5E8365065}"/>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19-4015-B4AC-E9E5E8365065}"/>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19-4015-B4AC-E9E5E8365065}"/>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19-4015-B4AC-E9E5E8365065}"/>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2018'!$P$376:$Y$376</c:f>
              <c:numCache>
                <c:formatCode>0.00</c:formatCode>
                <c:ptCount val="10"/>
                <c:pt idx="0">
                  <c:v>-0.05</c:v>
                </c:pt>
                <c:pt idx="1">
                  <c:v>0.24135775758447925</c:v>
                </c:pt>
                <c:pt idx="2">
                  <c:v>-0.05</c:v>
                </c:pt>
                <c:pt idx="3">
                  <c:v>8.0809157187111916E-2</c:v>
                </c:pt>
                <c:pt idx="4">
                  <c:v>0.13</c:v>
                </c:pt>
                <c:pt idx="5">
                  <c:v>2.2714080205932328E-2</c:v>
                </c:pt>
                <c:pt idx="6">
                  <c:v>0.15135306470145243</c:v>
                </c:pt>
                <c:pt idx="7">
                  <c:v>0.13</c:v>
                </c:pt>
                <c:pt idx="8">
                  <c:v>8.719578359944526E-3</c:v>
                </c:pt>
                <c:pt idx="9">
                  <c:v>0.31745134610674963</c:v>
                </c:pt>
              </c:numCache>
            </c:numRef>
          </c:val>
          <c:extLst>
            <c:ext xmlns:c16="http://schemas.microsoft.com/office/drawing/2014/chart" uri="{C3380CC4-5D6E-409C-BE32-E72D297353CC}">
              <c16:uniqueId val="{00000005-DD19-4015-B4AC-E9E5E8365065}"/>
            </c:ext>
          </c:extLst>
        </c:ser>
        <c:dLbls>
          <c:showLegendKey val="0"/>
          <c:showVal val="0"/>
          <c:showCatName val="0"/>
          <c:showSerName val="0"/>
          <c:showPercent val="0"/>
          <c:showBubbleSize val="0"/>
        </c:dLbls>
        <c:gapWidth val="50"/>
        <c:axId val="193393216"/>
        <c:axId val="193393608"/>
      </c:barChart>
      <c:catAx>
        <c:axId val="193393216"/>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193393608"/>
        <c:crosses val="autoZero"/>
        <c:auto val="1"/>
        <c:lblAlgn val="ctr"/>
        <c:lblOffset val="100"/>
        <c:noMultiLvlLbl val="0"/>
      </c:catAx>
      <c:valAx>
        <c:axId val="193393608"/>
        <c:scaling>
          <c:orientation val="minMax"/>
          <c:max val="0.35000000000000003"/>
          <c:min val="-0.1"/>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193393216"/>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2018'!$M$384</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16-4EB0-B7AF-43BC4A184CEB}"/>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2018'!$P$391:$Y$391</c:f>
              <c:numCache>
                <c:formatCode>0.00</c:formatCode>
                <c:ptCount val="10"/>
                <c:pt idx="0">
                  <c:v>4.0293760285491975E-2</c:v>
                </c:pt>
                <c:pt idx="1">
                  <c:v>0.10234040595217156</c:v>
                </c:pt>
                <c:pt idx="2">
                  <c:v>7.0778037093888038E-2</c:v>
                </c:pt>
                <c:pt idx="3">
                  <c:v>0.11574884452972767</c:v>
                </c:pt>
                <c:pt idx="4">
                  <c:v>0.12561598167309609</c:v>
                </c:pt>
                <c:pt idx="5">
                  <c:v>0.16</c:v>
                </c:pt>
                <c:pt idx="6">
                  <c:v>0.17098074854112552</c:v>
                </c:pt>
                <c:pt idx="7">
                  <c:v>7.9575262586166762E-2</c:v>
                </c:pt>
                <c:pt idx="8">
                  <c:v>0.16</c:v>
                </c:pt>
                <c:pt idx="9">
                  <c:v>0.28999999999999998</c:v>
                </c:pt>
              </c:numCache>
            </c:numRef>
          </c:val>
          <c:extLst>
            <c:ext xmlns:c16="http://schemas.microsoft.com/office/drawing/2014/chart" uri="{C3380CC4-5D6E-409C-BE32-E72D297353CC}">
              <c16:uniqueId val="{00000001-D116-4EB0-B7AF-43BC4A184CEB}"/>
            </c:ext>
          </c:extLst>
        </c:ser>
        <c:ser>
          <c:idx val="2"/>
          <c:order val="1"/>
          <c:tx>
            <c:strRef>
              <c:f>'Datos base 2q jul 2018'!$M$399</c:f>
              <c:strCache>
                <c:ptCount val="1"/>
                <c:pt idx="0">
                  <c:v>No Subyacente</c:v>
                </c:pt>
              </c:strCache>
            </c:strRef>
          </c:tx>
          <c:spPr>
            <a:pattFill prst="dkUpDiag">
              <a:fgClr>
                <a:srgbClr val="9BBB59"/>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16-4EB0-B7AF-43BC4A184CEB}"/>
                </c:ext>
              </c:extLst>
            </c:dLbl>
            <c:dLbl>
              <c:idx val="2"/>
              <c:layout>
                <c:manualLayout>
                  <c:x val="2.51786244976914E-3"/>
                  <c:y val="4.401551841616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16-4EB0-B7AF-43BC4A184CEB}"/>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16-4EB0-B7AF-43BC4A184CEB}"/>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16-4EB0-B7AF-43BC4A184CEB}"/>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16-4EB0-B7AF-43BC4A184CEB}"/>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16-4EB0-B7AF-43BC4A184CEB}"/>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2018'!$P$406:$Y$406</c:f>
              <c:numCache>
                <c:formatCode>0.00</c:formatCode>
                <c:ptCount val="10"/>
                <c:pt idx="0">
                  <c:v>-0.38750334188363117</c:v>
                </c:pt>
                <c:pt idx="1">
                  <c:v>0.71637055789266246</c:v>
                </c:pt>
                <c:pt idx="2">
                  <c:v>-0.43630606958817386</c:v>
                </c:pt>
                <c:pt idx="3">
                  <c:v>-3.0743781412754412E-2</c:v>
                </c:pt>
                <c:pt idx="4">
                  <c:v>0.15408620842871848</c:v>
                </c:pt>
                <c:pt idx="5">
                  <c:v>-0.42447579020554799</c:v>
                </c:pt>
                <c:pt idx="6">
                  <c:v>9.2831072804274509E-2</c:v>
                </c:pt>
                <c:pt idx="7">
                  <c:v>0.3</c:v>
                </c:pt>
                <c:pt idx="8">
                  <c:v>-0.47495095087317579</c:v>
                </c:pt>
                <c:pt idx="9">
                  <c:v>0.38653955523852312</c:v>
                </c:pt>
              </c:numCache>
            </c:numRef>
          </c:val>
          <c:extLst>
            <c:ext xmlns:c16="http://schemas.microsoft.com/office/drawing/2014/chart" uri="{C3380CC4-5D6E-409C-BE32-E72D297353CC}">
              <c16:uniqueId val="{00000008-D116-4EB0-B7AF-43BC4A184CEB}"/>
            </c:ext>
          </c:extLst>
        </c:ser>
        <c:dLbls>
          <c:showLegendKey val="0"/>
          <c:showVal val="0"/>
          <c:showCatName val="0"/>
          <c:showSerName val="0"/>
          <c:showPercent val="0"/>
          <c:showBubbleSize val="0"/>
        </c:dLbls>
        <c:gapWidth val="40"/>
        <c:overlap val="-10"/>
        <c:axId val="193395176"/>
        <c:axId val="193394392"/>
      </c:barChart>
      <c:catAx>
        <c:axId val="193395176"/>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193394392"/>
        <c:crosses val="autoZero"/>
        <c:auto val="1"/>
        <c:lblAlgn val="ctr"/>
        <c:lblOffset val="100"/>
        <c:noMultiLvlLbl val="0"/>
      </c:catAx>
      <c:valAx>
        <c:axId val="193394392"/>
        <c:scaling>
          <c:orientation val="minMax"/>
          <c:max val="0.8"/>
          <c:min val="-0.60000000000000009"/>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193395176"/>
        <c:crosses val="autoZero"/>
        <c:crossBetween val="between"/>
        <c:maj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6350060993729E-4"/>
                  <c:y val="1.7226737838165715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7F-4116-9CD8-5A40015320EC}"/>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2018'!$A$135:$B$351</c:f>
              <c:multiLvlStrCache>
                <c:ptCount val="217"/>
                <c:lvl>
                  <c:pt idx="0">
                    <c:v>1qJun</c:v>
                  </c:pt>
                  <c:pt idx="1">
                    <c:v>2qJun</c:v>
                  </c:pt>
                  <c:pt idx="2">
                    <c:v>1qJul</c:v>
                  </c:pt>
                  <c:pt idx="3">
                    <c:v>2qJul</c:v>
                  </c:pt>
                  <c:pt idx="4">
                    <c:v>1qAgo</c:v>
                  </c:pt>
                  <c:pt idx="5">
                    <c:v>2qAgo</c:v>
                  </c:pt>
                  <c:pt idx="6">
                    <c:v>1qSep</c:v>
                  </c:pt>
                  <c:pt idx="7">
                    <c:v>2qSep</c:v>
                  </c:pt>
                  <c:pt idx="8">
                    <c:v>1qOct</c:v>
                  </c:pt>
                  <c:pt idx="9">
                    <c:v>2qOct</c:v>
                  </c:pt>
                  <c:pt idx="10">
                    <c:v>1qNov</c:v>
                  </c:pt>
                  <c:pt idx="11">
                    <c:v>2qNov</c:v>
                  </c:pt>
                  <c:pt idx="12">
                    <c:v>1qDic</c:v>
                  </c:pt>
                  <c:pt idx="13">
                    <c:v>2qDic</c:v>
                  </c:pt>
                  <c:pt idx="14">
                    <c:v>1qEne</c:v>
                  </c:pt>
                  <c:pt idx="15">
                    <c:v>2qEne</c:v>
                  </c:pt>
                  <c:pt idx="16">
                    <c:v>1qFeb</c:v>
                  </c:pt>
                  <c:pt idx="17">
                    <c:v>2qFeb</c:v>
                  </c:pt>
                  <c:pt idx="18">
                    <c:v>1qMar</c:v>
                  </c:pt>
                  <c:pt idx="19">
                    <c:v>2qMar</c:v>
                  </c:pt>
                  <c:pt idx="20">
                    <c:v>1qAbr</c:v>
                  </c:pt>
                  <c:pt idx="21">
                    <c:v>2qAbr</c:v>
                  </c:pt>
                  <c:pt idx="22">
                    <c:v>1qMay</c:v>
                  </c:pt>
                  <c:pt idx="23">
                    <c:v>2qMay</c:v>
                  </c:pt>
                  <c:pt idx="24">
                    <c:v>1qJun</c:v>
                  </c:pt>
                  <c:pt idx="25">
                    <c:v>2qJun</c:v>
                  </c:pt>
                  <c:pt idx="26">
                    <c:v>1qJul</c:v>
                  </c:pt>
                  <c:pt idx="27">
                    <c:v>2qJul</c:v>
                  </c:pt>
                  <c:pt idx="28">
                    <c:v>1qAgo</c:v>
                  </c:pt>
                  <c:pt idx="29">
                    <c:v>2qAgo</c:v>
                  </c:pt>
                  <c:pt idx="30">
                    <c:v>1qSep</c:v>
                  </c:pt>
                  <c:pt idx="31">
                    <c:v>2qSep</c:v>
                  </c:pt>
                  <c:pt idx="32">
                    <c:v>1qOct</c:v>
                  </c:pt>
                  <c:pt idx="33">
                    <c:v>2qOct</c:v>
                  </c:pt>
                  <c:pt idx="34">
                    <c:v>1qNov</c:v>
                  </c:pt>
                  <c:pt idx="35">
                    <c:v>2qNov</c:v>
                  </c:pt>
                  <c:pt idx="36">
                    <c:v>1qDic</c:v>
                  </c:pt>
                  <c:pt idx="37">
                    <c:v>2qDic</c:v>
                  </c:pt>
                  <c:pt idx="38">
                    <c:v>1qEne</c:v>
                  </c:pt>
                  <c:pt idx="39">
                    <c:v>2qEne</c:v>
                  </c:pt>
                  <c:pt idx="40">
                    <c:v>1qFeb</c:v>
                  </c:pt>
                  <c:pt idx="41">
                    <c:v>2qFeb</c:v>
                  </c:pt>
                  <c:pt idx="42">
                    <c:v>1qMar</c:v>
                  </c:pt>
                  <c:pt idx="43">
                    <c:v>2qMar</c:v>
                  </c:pt>
                  <c:pt idx="44">
                    <c:v>1qAbr</c:v>
                  </c:pt>
                  <c:pt idx="45">
                    <c:v>2qAbr</c:v>
                  </c:pt>
                  <c:pt idx="46">
                    <c:v>1qMay</c:v>
                  </c:pt>
                  <c:pt idx="47">
                    <c:v>2qMay</c:v>
                  </c:pt>
                  <c:pt idx="48">
                    <c:v>1qJun</c:v>
                  </c:pt>
                  <c:pt idx="49">
                    <c:v>2qJun</c:v>
                  </c:pt>
                  <c:pt idx="50">
                    <c:v>1qJul</c:v>
                  </c:pt>
                  <c:pt idx="51">
                    <c:v>2qJul</c:v>
                  </c:pt>
                  <c:pt idx="52">
                    <c:v>1qAgo</c:v>
                  </c:pt>
                  <c:pt idx="53">
                    <c:v>2qAgo</c:v>
                  </c:pt>
                  <c:pt idx="54">
                    <c:v>1qSep</c:v>
                  </c:pt>
                  <c:pt idx="55">
                    <c:v>2qSep</c:v>
                  </c:pt>
                  <c:pt idx="56">
                    <c:v>1qOct</c:v>
                  </c:pt>
                  <c:pt idx="57">
                    <c:v>2qOct</c:v>
                  </c:pt>
                  <c:pt idx="58">
                    <c:v>1qNov</c:v>
                  </c:pt>
                  <c:pt idx="59">
                    <c:v>2qNov</c:v>
                  </c:pt>
                  <c:pt idx="60">
                    <c:v>1qDic</c:v>
                  </c:pt>
                  <c:pt idx="61">
                    <c:v>2qDic</c:v>
                  </c:pt>
                  <c:pt idx="62">
                    <c:v>1qEne</c:v>
                  </c:pt>
                  <c:pt idx="63">
                    <c:v>2qEne</c:v>
                  </c:pt>
                  <c:pt idx="64">
                    <c:v>1qFeb</c:v>
                  </c:pt>
                  <c:pt idx="65">
                    <c:v>2qFeb</c:v>
                  </c:pt>
                  <c:pt idx="66">
                    <c:v>1qMar</c:v>
                  </c:pt>
                  <c:pt idx="67">
                    <c:v>2qMar</c:v>
                  </c:pt>
                  <c:pt idx="68">
                    <c:v>1qAbr</c:v>
                  </c:pt>
                  <c:pt idx="69">
                    <c:v>2qAbr</c:v>
                  </c:pt>
                  <c:pt idx="70">
                    <c:v>1qMay</c:v>
                  </c:pt>
                  <c:pt idx="71">
                    <c:v>2qMay</c:v>
                  </c:pt>
                  <c:pt idx="72">
                    <c:v>1qJun</c:v>
                  </c:pt>
                  <c:pt idx="73">
                    <c:v>2qJun</c:v>
                  </c:pt>
                  <c:pt idx="74">
                    <c:v>1qJul</c:v>
                  </c:pt>
                  <c:pt idx="75">
                    <c:v>2qJul</c:v>
                  </c:pt>
                  <c:pt idx="76">
                    <c:v>1qAgo</c:v>
                  </c:pt>
                  <c:pt idx="77">
                    <c:v>2qAgo</c:v>
                  </c:pt>
                  <c:pt idx="78">
                    <c:v>1qSep</c:v>
                  </c:pt>
                  <c:pt idx="79">
                    <c:v>2qSep</c:v>
                  </c:pt>
                  <c:pt idx="80">
                    <c:v>1qOct</c:v>
                  </c:pt>
                  <c:pt idx="81">
                    <c:v>2qOct</c:v>
                  </c:pt>
                  <c:pt idx="82">
                    <c:v>1qNov</c:v>
                  </c:pt>
                  <c:pt idx="83">
                    <c:v>2qNov</c:v>
                  </c:pt>
                  <c:pt idx="84">
                    <c:v>1qDic</c:v>
                  </c:pt>
                  <c:pt idx="85">
                    <c:v>2qDic</c:v>
                  </c:pt>
                  <c:pt idx="86">
                    <c:v>1qEne</c:v>
                  </c:pt>
                  <c:pt idx="87">
                    <c:v>2qEne</c:v>
                  </c:pt>
                  <c:pt idx="88">
                    <c:v>1qFeb</c:v>
                  </c:pt>
                  <c:pt idx="89">
                    <c:v>2qFeb</c:v>
                  </c:pt>
                  <c:pt idx="90">
                    <c:v>1qMar</c:v>
                  </c:pt>
                  <c:pt idx="91">
                    <c:v>2qMar</c:v>
                  </c:pt>
                  <c:pt idx="92">
                    <c:v>1qAbr</c:v>
                  </c:pt>
                  <c:pt idx="93">
                    <c:v>2qAbr</c:v>
                  </c:pt>
                  <c:pt idx="94">
                    <c:v>1qMay</c:v>
                  </c:pt>
                  <c:pt idx="95">
                    <c:v>2qMay</c:v>
                  </c:pt>
                  <c:pt idx="96">
                    <c:v>1qJun</c:v>
                  </c:pt>
                  <c:pt idx="97">
                    <c:v>2qJun</c:v>
                  </c:pt>
                  <c:pt idx="98">
                    <c:v>1qJul</c:v>
                  </c:pt>
                  <c:pt idx="99">
                    <c:v>2qJul</c:v>
                  </c:pt>
                  <c:pt idx="100">
                    <c:v>1qAgo</c:v>
                  </c:pt>
                  <c:pt idx="101">
                    <c:v>2qAgo</c:v>
                  </c:pt>
                  <c:pt idx="102">
                    <c:v>1qSep</c:v>
                  </c:pt>
                  <c:pt idx="103">
                    <c:v>2qSep</c:v>
                  </c:pt>
                  <c:pt idx="104">
                    <c:v>1qOct</c:v>
                  </c:pt>
                  <c:pt idx="105">
                    <c:v>2qOct</c:v>
                  </c:pt>
                  <c:pt idx="106">
                    <c:v>1qNov</c:v>
                  </c:pt>
                  <c:pt idx="107">
                    <c:v>2qNov</c:v>
                  </c:pt>
                  <c:pt idx="108">
                    <c:v>1qDic</c:v>
                  </c:pt>
                  <c:pt idx="109">
                    <c:v>2qDic</c:v>
                  </c:pt>
                  <c:pt idx="110">
                    <c:v>1qEne</c:v>
                  </c:pt>
                  <c:pt idx="111">
                    <c:v>2qEne</c:v>
                  </c:pt>
                  <c:pt idx="112">
                    <c:v>1qFeb</c:v>
                  </c:pt>
                  <c:pt idx="113">
                    <c:v>2qFeb</c:v>
                  </c:pt>
                  <c:pt idx="114">
                    <c:v>1qMar</c:v>
                  </c:pt>
                  <c:pt idx="115">
                    <c:v>2qMar</c:v>
                  </c:pt>
                  <c:pt idx="116">
                    <c:v>1qAbr</c:v>
                  </c:pt>
                  <c:pt idx="117">
                    <c:v>2qAbr</c:v>
                  </c:pt>
                  <c:pt idx="118">
                    <c:v>1qMay</c:v>
                  </c:pt>
                  <c:pt idx="119">
                    <c:v>2qMay</c:v>
                  </c:pt>
                  <c:pt idx="120">
                    <c:v>1qJun</c:v>
                  </c:pt>
                  <c:pt idx="121">
                    <c:v>2qJun</c:v>
                  </c:pt>
                  <c:pt idx="122">
                    <c:v>1qJul</c:v>
                  </c:pt>
                  <c:pt idx="123">
                    <c:v>2qJul</c:v>
                  </c:pt>
                  <c:pt idx="124">
                    <c:v>1qAgo</c:v>
                  </c:pt>
                  <c:pt idx="125">
                    <c:v>2qAgo</c:v>
                  </c:pt>
                  <c:pt idx="126">
                    <c:v>1qSep</c:v>
                  </c:pt>
                  <c:pt idx="127">
                    <c:v>2qSep</c:v>
                  </c:pt>
                  <c:pt idx="128">
                    <c:v>1qOct</c:v>
                  </c:pt>
                  <c:pt idx="129">
                    <c:v>2qOct</c:v>
                  </c:pt>
                  <c:pt idx="130">
                    <c:v>1qNov</c:v>
                  </c:pt>
                  <c:pt idx="131">
                    <c:v>2qNov</c:v>
                  </c:pt>
                  <c:pt idx="132">
                    <c:v>1qDic</c:v>
                  </c:pt>
                  <c:pt idx="133">
                    <c:v>2qDic</c:v>
                  </c:pt>
                  <c:pt idx="134">
                    <c:v>1qEne</c:v>
                  </c:pt>
                  <c:pt idx="135">
                    <c:v>2qEne</c:v>
                  </c:pt>
                  <c:pt idx="136">
                    <c:v>1qFeb</c:v>
                  </c:pt>
                  <c:pt idx="137">
                    <c:v>2qFeb</c:v>
                  </c:pt>
                  <c:pt idx="138">
                    <c:v>1qMar</c:v>
                  </c:pt>
                  <c:pt idx="139">
                    <c:v>2qMar</c:v>
                  </c:pt>
                  <c:pt idx="140">
                    <c:v>1qAbr</c:v>
                  </c:pt>
                  <c:pt idx="141">
                    <c:v>2qAbr</c:v>
                  </c:pt>
                  <c:pt idx="142">
                    <c:v>1qMay</c:v>
                  </c:pt>
                  <c:pt idx="143">
                    <c:v>2qMay</c:v>
                  </c:pt>
                  <c:pt idx="144">
                    <c:v>1qJun</c:v>
                  </c:pt>
                  <c:pt idx="145">
                    <c:v>2qJun</c:v>
                  </c:pt>
                  <c:pt idx="146">
                    <c:v>1qJul</c:v>
                  </c:pt>
                  <c:pt idx="147">
                    <c:v>2qJul</c:v>
                  </c:pt>
                  <c:pt idx="148">
                    <c:v>1qAgo</c:v>
                  </c:pt>
                  <c:pt idx="149">
                    <c:v>2qAgo</c:v>
                  </c:pt>
                  <c:pt idx="150">
                    <c:v>1qSep</c:v>
                  </c:pt>
                  <c:pt idx="151">
                    <c:v>2qSep</c:v>
                  </c:pt>
                  <c:pt idx="152">
                    <c:v>1qOct</c:v>
                  </c:pt>
                  <c:pt idx="153">
                    <c:v>2qOct</c:v>
                  </c:pt>
                  <c:pt idx="154">
                    <c:v>1qNov</c:v>
                  </c:pt>
                  <c:pt idx="155">
                    <c:v>2qNov</c:v>
                  </c:pt>
                  <c:pt idx="156">
                    <c:v>1qDic</c:v>
                  </c:pt>
                  <c:pt idx="157">
                    <c:v>2qDic</c:v>
                  </c:pt>
                  <c:pt idx="158">
                    <c:v>1qEne</c:v>
                  </c:pt>
                  <c:pt idx="159">
                    <c:v>2qEne</c:v>
                  </c:pt>
                  <c:pt idx="160">
                    <c:v>1qFeb</c:v>
                  </c:pt>
                  <c:pt idx="161">
                    <c:v>2qFeb</c:v>
                  </c:pt>
                  <c:pt idx="162">
                    <c:v>1qMar</c:v>
                  </c:pt>
                  <c:pt idx="163">
                    <c:v>2qMar</c:v>
                  </c:pt>
                  <c:pt idx="164">
                    <c:v>1qAbr</c:v>
                  </c:pt>
                  <c:pt idx="165">
                    <c:v>2qAbr</c:v>
                  </c:pt>
                  <c:pt idx="166">
                    <c:v>1qMay</c:v>
                  </c:pt>
                  <c:pt idx="167">
                    <c:v>2qMay</c:v>
                  </c:pt>
                  <c:pt idx="168">
                    <c:v>1qJun</c:v>
                  </c:pt>
                  <c:pt idx="169">
                    <c:v>2qJun</c:v>
                  </c:pt>
                  <c:pt idx="170">
                    <c:v>1qJul</c:v>
                  </c:pt>
                  <c:pt idx="171">
                    <c:v>2qJul</c:v>
                  </c:pt>
                  <c:pt idx="172">
                    <c:v>1qAgo</c:v>
                  </c:pt>
                  <c:pt idx="173">
                    <c:v>2qAgo</c:v>
                  </c:pt>
                  <c:pt idx="174">
                    <c:v>1qSep</c:v>
                  </c:pt>
                  <c:pt idx="175">
                    <c:v>2qSep</c:v>
                  </c:pt>
                  <c:pt idx="176">
                    <c:v>1qOct</c:v>
                  </c:pt>
                  <c:pt idx="177">
                    <c:v>2qOct</c:v>
                  </c:pt>
                  <c:pt idx="178">
                    <c:v>1qNov</c:v>
                  </c:pt>
                  <c:pt idx="179">
                    <c:v>2qNov</c:v>
                  </c:pt>
                  <c:pt idx="180">
                    <c:v>1qDic</c:v>
                  </c:pt>
                  <c:pt idx="181">
                    <c:v>2qDic</c:v>
                  </c:pt>
                  <c:pt idx="182">
                    <c:v>1qEne</c:v>
                  </c:pt>
                  <c:pt idx="183">
                    <c:v>2qEne</c:v>
                  </c:pt>
                  <c:pt idx="184">
                    <c:v>1qFeb</c:v>
                  </c:pt>
                  <c:pt idx="185">
                    <c:v>2qFeb</c:v>
                  </c:pt>
                  <c:pt idx="186">
                    <c:v>1qMar</c:v>
                  </c:pt>
                  <c:pt idx="187">
                    <c:v>2qMar</c:v>
                  </c:pt>
                  <c:pt idx="188">
                    <c:v>1qAbr</c:v>
                  </c:pt>
                  <c:pt idx="189">
                    <c:v>2qAbr</c:v>
                  </c:pt>
                  <c:pt idx="190">
                    <c:v>1qMay</c:v>
                  </c:pt>
                  <c:pt idx="191">
                    <c:v>2qMay</c:v>
                  </c:pt>
                  <c:pt idx="192">
                    <c:v>1qJun</c:v>
                  </c:pt>
                  <c:pt idx="193">
                    <c:v>2qJun</c:v>
                  </c:pt>
                  <c:pt idx="194">
                    <c:v>1qJul</c:v>
                  </c:pt>
                  <c:pt idx="195">
                    <c:v>2qJul</c:v>
                  </c:pt>
                  <c:pt idx="196">
                    <c:v>1qAgo</c:v>
                  </c:pt>
                  <c:pt idx="197">
                    <c:v>2qAgo</c:v>
                  </c:pt>
                  <c:pt idx="198">
                    <c:v>1qSep</c:v>
                  </c:pt>
                  <c:pt idx="199">
                    <c:v>2qSep</c:v>
                  </c:pt>
                  <c:pt idx="200">
                    <c:v>1qOct</c:v>
                  </c:pt>
                  <c:pt idx="201">
                    <c:v>2qOct</c:v>
                  </c:pt>
                  <c:pt idx="202">
                    <c:v>1qNov</c:v>
                  </c:pt>
                  <c:pt idx="203">
                    <c:v>2qNov</c:v>
                  </c:pt>
                  <c:pt idx="204">
                    <c:v>1qDic</c:v>
                  </c:pt>
                  <c:pt idx="205">
                    <c:v>2qDic</c:v>
                  </c:pt>
                  <c:pt idx="206">
                    <c:v>1qEne</c:v>
                  </c:pt>
                  <c:pt idx="207">
                    <c:v>2qEne</c:v>
                  </c:pt>
                  <c:pt idx="208">
                    <c:v>1qFeb</c:v>
                  </c:pt>
                  <c:pt idx="209">
                    <c:v>2qFeb</c:v>
                  </c:pt>
                  <c:pt idx="210">
                    <c:v>1qMar</c:v>
                  </c:pt>
                  <c:pt idx="211">
                    <c:v>2qMar</c:v>
                  </c:pt>
                  <c:pt idx="212">
                    <c:v>1qAbr</c:v>
                  </c:pt>
                  <c:pt idx="213">
                    <c:v>2qAbr</c:v>
                  </c:pt>
                  <c:pt idx="214">
                    <c:v>1qMay</c:v>
                  </c:pt>
                  <c:pt idx="215">
                    <c:v>2qMay</c:v>
                  </c:pt>
                  <c:pt idx="216">
                    <c:v>1qJun</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2013</c:v>
                  </c:pt>
                  <c:pt idx="39">
                    <c:v>2013</c:v>
                  </c:pt>
                  <c:pt idx="40">
                    <c:v>2013</c:v>
                  </c:pt>
                  <c:pt idx="41">
                    <c:v>2013</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2014</c:v>
                  </c:pt>
                  <c:pt idx="63">
                    <c:v>2014</c:v>
                  </c:pt>
                  <c:pt idx="64">
                    <c:v>2014</c:v>
                  </c:pt>
                  <c:pt idx="65">
                    <c:v>2014</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2015</c:v>
                  </c:pt>
                  <c:pt idx="87">
                    <c:v>2015</c:v>
                  </c:pt>
                  <c:pt idx="88">
                    <c:v>2015</c:v>
                  </c:pt>
                  <c:pt idx="89">
                    <c:v>2015</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2017</c:v>
                  </c:pt>
                  <c:pt idx="135">
                    <c:v>2017</c:v>
                  </c:pt>
                  <c:pt idx="136">
                    <c:v>2017</c:v>
                  </c:pt>
                  <c:pt idx="137">
                    <c:v>2017</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2018</c:v>
                  </c:pt>
                  <c:pt idx="159">
                    <c:v>2018</c:v>
                  </c:pt>
                  <c:pt idx="160">
                    <c:v>2018</c:v>
                  </c:pt>
                  <c:pt idx="161">
                    <c:v>2018</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2019</c:v>
                  </c:pt>
                  <c:pt idx="183">
                    <c:v>2019</c:v>
                  </c:pt>
                  <c:pt idx="184">
                    <c:v>2019</c:v>
                  </c:pt>
                  <c:pt idx="185">
                    <c:v>2019</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2020</c:v>
                  </c:pt>
                  <c:pt idx="207">
                    <c:v>2020</c:v>
                  </c:pt>
                  <c:pt idx="208">
                    <c:v>2020</c:v>
                  </c:pt>
                  <c:pt idx="209">
                    <c:v>2020</c:v>
                  </c:pt>
                  <c:pt idx="210">
                    <c:v>2020</c:v>
                  </c:pt>
                  <c:pt idx="211">
                    <c:v>2020</c:v>
                  </c:pt>
                  <c:pt idx="212">
                    <c:v>2020</c:v>
                  </c:pt>
                  <c:pt idx="213">
                    <c:v>2020</c:v>
                  </c:pt>
                  <c:pt idx="214">
                    <c:v>2020</c:v>
                  </c:pt>
                  <c:pt idx="215">
                    <c:v>2020</c:v>
                  </c:pt>
                  <c:pt idx="216">
                    <c:v>2020</c:v>
                  </c:pt>
                </c:lvl>
              </c:multiLvlStrCache>
            </c:multiLvlStrRef>
          </c:cat>
          <c:val>
            <c:numRef>
              <c:f>'Datos base 2q jul 2018'!$D$135:$D$351</c:f>
              <c:numCache>
                <c:formatCode>0.00</c:formatCode>
                <c:ptCount val="217"/>
                <c:pt idx="0">
                  <c:v>3.1930886294055965</c:v>
                </c:pt>
                <c:pt idx="1">
                  <c:v>3.3587924763331376</c:v>
                </c:pt>
                <c:pt idx="2">
                  <c:v>3.5316839116409047</c:v>
                </c:pt>
                <c:pt idx="3">
                  <c:v>3.5629180493136987</c:v>
                </c:pt>
                <c:pt idx="4">
                  <c:v>3.4883488499027955</c:v>
                </c:pt>
                <c:pt idx="5">
                  <c:v>3.359849252420779</c:v>
                </c:pt>
                <c:pt idx="6">
                  <c:v>3.1629588224922878</c:v>
                </c:pt>
                <c:pt idx="7">
                  <c:v>3.1095977378210056</c:v>
                </c:pt>
                <c:pt idx="8">
                  <c:v>3.243702345239686</c:v>
                </c:pt>
                <c:pt idx="9">
                  <c:v>3.1486809618453258</c:v>
                </c:pt>
                <c:pt idx="10">
                  <c:v>3.4401740925578399</c:v>
                </c:pt>
                <c:pt idx="11">
                  <c:v>3.5244591247818238</c:v>
                </c:pt>
                <c:pt idx="12">
                  <c:v>3.8476626763248998</c:v>
                </c:pt>
                <c:pt idx="13">
                  <c:v>3.7899999999999849</c:v>
                </c:pt>
                <c:pt idx="14">
                  <c:v>3.9391458861580833</c:v>
                </c:pt>
                <c:pt idx="15">
                  <c:v>4.154284916535369</c:v>
                </c:pt>
                <c:pt idx="16">
                  <c:v>4.0124193933604211</c:v>
                </c:pt>
                <c:pt idx="17">
                  <c:v>3.7241858617950871</c:v>
                </c:pt>
                <c:pt idx="18">
                  <c:v>3.7233673054212901</c:v>
                </c:pt>
                <c:pt idx="19">
                  <c:v>3.7352217725938246</c:v>
                </c:pt>
                <c:pt idx="20">
                  <c:v>3.396106539068628</c:v>
                </c:pt>
                <c:pt idx="21">
                  <c:v>3.4260159054399768</c:v>
                </c:pt>
                <c:pt idx="22">
                  <c:v>3.7096613048256435</c:v>
                </c:pt>
                <c:pt idx="23">
                  <c:v>3.9939600603993903</c:v>
                </c:pt>
                <c:pt idx="24">
                  <c:v>4.302323254557459</c:v>
                </c:pt>
                <c:pt idx="25">
                  <c:v>4.3691017126878737</c:v>
                </c:pt>
                <c:pt idx="26">
                  <c:v>4.4459487710426178</c:v>
                </c:pt>
                <c:pt idx="27">
                  <c:v>4.3929934786066402</c:v>
                </c:pt>
                <c:pt idx="28">
                  <c:v>4.445857088937017</c:v>
                </c:pt>
                <c:pt idx="29">
                  <c:v>4.690014103811996</c:v>
                </c:pt>
                <c:pt idx="30">
                  <c:v>4.7296694583477903</c:v>
                </c:pt>
                <c:pt idx="31">
                  <c:v>4.8148735117573711</c:v>
                </c:pt>
                <c:pt idx="32">
                  <c:v>4.6447522569085571</c:v>
                </c:pt>
                <c:pt idx="33">
                  <c:v>4.5454545454545627</c:v>
                </c:pt>
                <c:pt idx="34">
                  <c:v>4.361637855430601</c:v>
                </c:pt>
                <c:pt idx="35">
                  <c:v>3.9973927932134794</c:v>
                </c:pt>
                <c:pt idx="36">
                  <c:v>3.7575499457952515</c:v>
                </c:pt>
                <c:pt idx="37">
                  <c:v>3.3799017246362757</c:v>
                </c:pt>
                <c:pt idx="38">
                  <c:v>3.2107184018440211</c:v>
                </c:pt>
                <c:pt idx="39">
                  <c:v>3.2973345588235308</c:v>
                </c:pt>
                <c:pt idx="40">
                  <c:v>3.4720627631075369</c:v>
                </c:pt>
                <c:pt idx="41">
                  <c:v>3.634501440591146</c:v>
                </c:pt>
                <c:pt idx="42">
                  <c:v>4.1245299987562261</c:v>
                </c:pt>
                <c:pt idx="43">
                  <c:v>4.3809159575485159</c:v>
                </c:pt>
                <c:pt idx="44">
                  <c:v>4.7199339439675789</c:v>
                </c:pt>
                <c:pt idx="45">
                  <c:v>4.5800136144428123</c:v>
                </c:pt>
                <c:pt idx="46">
                  <c:v>4.7185534136778191</c:v>
                </c:pt>
                <c:pt idx="47">
                  <c:v>4.5444492523679036</c:v>
                </c:pt>
                <c:pt idx="48">
                  <c:v>4.2438079158912814</c:v>
                </c:pt>
                <c:pt idx="49">
                  <c:v>3.9316811788345425</c:v>
                </c:pt>
                <c:pt idx="50">
                  <c:v>3.528503483706158</c:v>
                </c:pt>
                <c:pt idx="51">
                  <c:v>3.4158326270581392</c:v>
                </c:pt>
                <c:pt idx="52">
                  <c:v>3.5443254655077352</c:v>
                </c:pt>
                <c:pt idx="53">
                  <c:v>3.3689423551288482</c:v>
                </c:pt>
                <c:pt idx="54">
                  <c:v>3.4599259939242977</c:v>
                </c:pt>
                <c:pt idx="55">
                  <c:v>3.3217097118664887</c:v>
                </c:pt>
                <c:pt idx="56">
                  <c:v>3.2720259654734472</c:v>
                </c:pt>
                <c:pt idx="57">
                  <c:v>3.4472049689440953</c:v>
                </c:pt>
                <c:pt idx="58">
                  <c:v>3.5108031896020431</c:v>
                </c:pt>
                <c:pt idx="59">
                  <c:v>3.7268126584409909</c:v>
                </c:pt>
                <c:pt idx="60">
                  <c:v>3.8602906879116397</c:v>
                </c:pt>
                <c:pt idx="61">
                  <c:v>4.0886130216779497</c:v>
                </c:pt>
                <c:pt idx="62">
                  <c:v>4.6313614918623145</c:v>
                </c:pt>
                <c:pt idx="63">
                  <c:v>4.335817298780249</c:v>
                </c:pt>
                <c:pt idx="64">
                  <c:v>4.2117818934987694</c:v>
                </c:pt>
                <c:pt idx="65">
                  <c:v>4.2551815864336904</c:v>
                </c:pt>
                <c:pt idx="66">
                  <c:v>3.8940752719788327</c:v>
                </c:pt>
                <c:pt idx="67">
                  <c:v>3.6227237753270081</c:v>
                </c:pt>
                <c:pt idx="68">
                  <c:v>3.5270926927661179</c:v>
                </c:pt>
                <c:pt idx="69">
                  <c:v>3.4672436238288107</c:v>
                </c:pt>
                <c:pt idx="70">
                  <c:v>3.4433905851832236</c:v>
                </c:pt>
                <c:pt idx="71">
                  <c:v>3.5779656184177719</c:v>
                </c:pt>
                <c:pt idx="72">
                  <c:v>3.7103156344897048</c:v>
                </c:pt>
                <c:pt idx="73">
                  <c:v>3.7958368241283909</c:v>
                </c:pt>
                <c:pt idx="74">
                  <c:v>4.001141605059888</c:v>
                </c:pt>
                <c:pt idx="75">
                  <c:v>4.144643547763315</c:v>
                </c:pt>
                <c:pt idx="76">
                  <c:v>4.0704989851305564</c:v>
                </c:pt>
                <c:pt idx="77">
                  <c:v>4.2283511541462131</c:v>
                </c:pt>
                <c:pt idx="78">
                  <c:v>4.2141177977187114</c:v>
                </c:pt>
                <c:pt idx="79">
                  <c:v>4.2200962189254909</c:v>
                </c:pt>
                <c:pt idx="80">
                  <c:v>4.319823636048949</c:v>
                </c:pt>
                <c:pt idx="81">
                  <c:v>4.275720276921116</c:v>
                </c:pt>
                <c:pt idx="82">
                  <c:v>4.1584730014974358</c:v>
                </c:pt>
                <c:pt idx="83">
                  <c:v>4.1791044776119204</c:v>
                </c:pt>
                <c:pt idx="84">
                  <c:v>4.191068156504886</c:v>
                </c:pt>
                <c:pt idx="85">
                  <c:v>3.9718852128754896</c:v>
                </c:pt>
                <c:pt idx="86">
                  <c:v>3.0807541800071165</c:v>
                </c:pt>
                <c:pt idx="87">
                  <c:v>3.0496579905836412</c:v>
                </c:pt>
                <c:pt idx="88">
                  <c:v>3.0353847245883201</c:v>
                </c:pt>
                <c:pt idx="89">
                  <c:v>2.9652270210409597</c:v>
                </c:pt>
                <c:pt idx="90">
                  <c:v>2.9724949146546393</c:v>
                </c:pt>
                <c:pt idx="91">
                  <c:v>3.3015990877509354</c:v>
                </c:pt>
                <c:pt idx="92">
                  <c:v>3.0270021343110427</c:v>
                </c:pt>
                <c:pt idx="93">
                  <c:v>3.0976430976431031</c:v>
                </c:pt>
                <c:pt idx="94">
                  <c:v>2.9303475507808314</c:v>
                </c:pt>
                <c:pt idx="95">
                  <c:v>2.8212163998188555</c:v>
                </c:pt>
                <c:pt idx="96">
                  <c:v>2.8739507728345943</c:v>
                </c:pt>
                <c:pt idx="97">
                  <c:v>2.8667222508027153</c:v>
                </c:pt>
                <c:pt idx="98">
                  <c:v>2.760146948169786</c:v>
                </c:pt>
                <c:pt idx="99">
                  <c:v>2.7188569306536725</c:v>
                </c:pt>
                <c:pt idx="100">
                  <c:v>2.6431212658741687</c:v>
                </c:pt>
                <c:pt idx="101">
                  <c:v>2.5325372924041352</c:v>
                </c:pt>
                <c:pt idx="102">
                  <c:v>2.5287457210567879</c:v>
                </c:pt>
                <c:pt idx="103">
                  <c:v>2.509039210868119</c:v>
                </c:pt>
                <c:pt idx="104">
                  <c:v>2.4730384665763943</c:v>
                </c:pt>
                <c:pt idx="105">
                  <c:v>2.4872844019088571</c:v>
                </c:pt>
                <c:pt idx="106">
                  <c:v>2.2672948349326192</c:v>
                </c:pt>
                <c:pt idx="107">
                  <c:v>2.1624148408487054</c:v>
                </c:pt>
                <c:pt idx="108">
                  <c:v>2.0026207348402476</c:v>
                </c:pt>
                <c:pt idx="109">
                  <c:v>2.2571283402657554</c:v>
                </c:pt>
                <c:pt idx="110">
                  <c:v>2.4761871893981242</c:v>
                </c:pt>
                <c:pt idx="111">
                  <c:v>2.7507909278208404</c:v>
                </c:pt>
                <c:pt idx="112">
                  <c:v>2.9356297093649055</c:v>
                </c:pt>
                <c:pt idx="113">
                  <c:v>2.7989537264889646</c:v>
                </c:pt>
                <c:pt idx="114">
                  <c:v>2.7131949394920647</c:v>
                </c:pt>
                <c:pt idx="115">
                  <c:v>2.4892608375691108</c:v>
                </c:pt>
                <c:pt idx="116">
                  <c:v>2.5985301070185352</c:v>
                </c:pt>
                <c:pt idx="117">
                  <c:v>2.4846161779366516</c:v>
                </c:pt>
                <c:pt idx="118">
                  <c:v>2.5324220876282051</c:v>
                </c:pt>
                <c:pt idx="119">
                  <c:v>2.6608975023318471</c:v>
                </c:pt>
                <c:pt idx="120">
                  <c:v>2.5487101198022941</c:v>
                </c:pt>
                <c:pt idx="121">
                  <c:v>2.528152861848342</c:v>
                </c:pt>
                <c:pt idx="122">
                  <c:v>2.7161599889734105</c:v>
                </c:pt>
                <c:pt idx="123">
                  <c:v>2.5935235078416721</c:v>
                </c:pt>
                <c:pt idx="124">
                  <c:v>2.7968841352271587</c:v>
                </c:pt>
                <c:pt idx="125">
                  <c:v>2.6580669540871518</c:v>
                </c:pt>
                <c:pt idx="126">
                  <c:v>2.8807218498257776</c:v>
                </c:pt>
                <c:pt idx="127">
                  <c:v>3.057179792306961</c:v>
                </c:pt>
                <c:pt idx="128">
                  <c:v>3.0891288230632474</c:v>
                </c:pt>
                <c:pt idx="129">
                  <c:v>3.0372678209646473</c:v>
                </c:pt>
                <c:pt idx="130">
                  <c:v>3.2942093050827412</c:v>
                </c:pt>
                <c:pt idx="131">
                  <c:v>3.3156240202682721</c:v>
                </c:pt>
                <c:pt idx="132">
                  <c:v>3.4786724250133023</c:v>
                </c:pt>
                <c:pt idx="133">
                  <c:v>3.2440080173822237</c:v>
                </c:pt>
                <c:pt idx="134">
                  <c:v>4.777981713169539</c:v>
                </c:pt>
                <c:pt idx="135">
                  <c:v>4.6587915499102257</c:v>
                </c:pt>
                <c:pt idx="136">
                  <c:v>4.7091204176217527</c:v>
                </c:pt>
                <c:pt idx="137">
                  <c:v>5.0202971332914927</c:v>
                </c:pt>
                <c:pt idx="138">
                  <c:v>5.2872313738607115</c:v>
                </c:pt>
                <c:pt idx="139">
                  <c:v>5.417839042840094</c:v>
                </c:pt>
                <c:pt idx="140">
                  <c:v>5.6234186229661951</c:v>
                </c:pt>
                <c:pt idx="141">
                  <c:v>6.0102140934363444</c:v>
                </c:pt>
                <c:pt idx="142">
                  <c:v>6.165838038257343</c:v>
                </c:pt>
                <c:pt idx="143">
                  <c:v>6.163087095878649</c:v>
                </c:pt>
                <c:pt idx="144">
                  <c:v>6.299623200107658</c:v>
                </c:pt>
                <c:pt idx="145">
                  <c:v>6.3268464164970579</c:v>
                </c:pt>
                <c:pt idx="146">
                  <c:v>6.2824985742561026</c:v>
                </c:pt>
                <c:pt idx="147">
                  <c:v>6.5938399322073762</c:v>
                </c:pt>
                <c:pt idx="148">
                  <c:v>6.5882687498431682</c:v>
                </c:pt>
                <c:pt idx="149">
                  <c:v>6.7378882818970585</c:v>
                </c:pt>
                <c:pt idx="150">
                  <c:v>6.5287578218612659</c:v>
                </c:pt>
                <c:pt idx="151">
                  <c:v>6.1664091445280791</c:v>
                </c:pt>
                <c:pt idx="152">
                  <c:v>6.2989782759646946</c:v>
                </c:pt>
                <c:pt idx="153">
                  <c:v>6.44321805654236</c:v>
                </c:pt>
                <c:pt idx="154">
                  <c:v>6.5947399488423954</c:v>
                </c:pt>
                <c:pt idx="155">
                  <c:v>6.67350118920693</c:v>
                </c:pt>
                <c:pt idx="156">
                  <c:v>6.694054901704555</c:v>
                </c:pt>
                <c:pt idx="157">
                  <c:v>6.8510693834934884</c:v>
                </c:pt>
                <c:pt idx="158">
                  <c:v>5.5090840424591905</c:v>
                </c:pt>
                <c:pt idx="159">
                  <c:v>5.5824989779313308</c:v>
                </c:pt>
                <c:pt idx="160">
                  <c:v>5.4472967250705189</c:v>
                </c:pt>
                <c:pt idx="161">
                  <c:v>5.2322013500912563</c:v>
                </c:pt>
                <c:pt idx="162">
                  <c:v>5.1734133886095535</c:v>
                </c:pt>
                <c:pt idx="163">
                  <c:v>4.8978298748613769</c:v>
                </c:pt>
                <c:pt idx="164">
                  <c:v>4.6926310779725515</c:v>
                </c:pt>
                <c:pt idx="165">
                  <c:v>4.4101128039615771</c:v>
                </c:pt>
                <c:pt idx="166">
                  <c:v>4.4591902339130147</c:v>
                </c:pt>
                <c:pt idx="167">
                  <c:v>4.5540631562264844</c:v>
                </c:pt>
                <c:pt idx="168">
                  <c:v>4.5361036823698937</c:v>
                </c:pt>
                <c:pt idx="169">
                  <c:v>4.7584019489199445</c:v>
                </c:pt>
                <c:pt idx="170">
                  <c:v>4.848217033465648</c:v>
                </c:pt>
                <c:pt idx="171">
                  <c:v>4.7746485524927875</c:v>
                </c:pt>
                <c:pt idx="172">
                  <c:v>4.8106327469043819</c:v>
                </c:pt>
                <c:pt idx="173">
                  <c:v>4.9991362129370582</c:v>
                </c:pt>
                <c:pt idx="174">
                  <c:v>4.875270500382749</c:v>
                </c:pt>
                <c:pt idx="175">
                  <c:v>5.1659896244943289</c:v>
                </c:pt>
                <c:pt idx="176">
                  <c:v>4.9352188627597346</c:v>
                </c:pt>
                <c:pt idx="177">
                  <c:v>4.8739609906784294</c:v>
                </c:pt>
                <c:pt idx="178">
                  <c:v>4.5607966774342428</c:v>
                </c:pt>
                <c:pt idx="179">
                  <c:v>4.8719965556213225</c:v>
                </c:pt>
                <c:pt idx="180">
                  <c:v>5.0045431705618117</c:v>
                </c:pt>
                <c:pt idx="181">
                  <c:v>4.6580435901155077</c:v>
                </c:pt>
                <c:pt idx="182">
                  <c:v>4.5239157686302747</c:v>
                </c:pt>
                <c:pt idx="183">
                  <c:v>4.2087945881513358</c:v>
                </c:pt>
                <c:pt idx="184">
                  <c:v>3.8917269000841048</c:v>
                </c:pt>
                <c:pt idx="185">
                  <c:v>3.9890243717717704</c:v>
                </c:pt>
                <c:pt idx="186">
                  <c:v>3.9499307543024047</c:v>
                </c:pt>
                <c:pt idx="187">
                  <c:v>4.0592034671257489</c:v>
                </c:pt>
                <c:pt idx="188">
                  <c:v>4.3839885442395508</c:v>
                </c:pt>
                <c:pt idx="189">
                  <c:v>4.4431349885217726</c:v>
                </c:pt>
                <c:pt idx="190">
                  <c:v>4.4323088028570456</c:v>
                </c:pt>
                <c:pt idx="191">
                  <c:v>4.1312712555516722</c:v>
                </c:pt>
                <c:pt idx="192">
                  <c:v>4.0008340965341755</c:v>
                </c:pt>
                <c:pt idx="193">
                  <c:v>3.8935918758730175</c:v>
                </c:pt>
                <c:pt idx="194">
                  <c:v>3.8420065175997649</c:v>
                </c:pt>
                <c:pt idx="195">
                  <c:v>3.7200000000000135</c:v>
                </c:pt>
                <c:pt idx="196">
                  <c:v>3.2877231097336064</c:v>
                </c:pt>
                <c:pt idx="197">
                  <c:v>3.0365358054868268</c:v>
                </c:pt>
                <c:pt idx="198">
                  <c:v>2.9861696326773419</c:v>
                </c:pt>
                <c:pt idx="199">
                  <c:v>3.0078241061701556</c:v>
                </c:pt>
                <c:pt idx="200">
                  <c:v>3.0067474253245492</c:v>
                </c:pt>
                <c:pt idx="201">
                  <c:v>3.032243446393919</c:v>
                </c:pt>
                <c:pt idx="202">
                  <c:v>3.1008890455488989</c:v>
                </c:pt>
                <c:pt idx="203">
                  <c:v>2.8495310959960203</c:v>
                </c:pt>
                <c:pt idx="204">
                  <c:v>2.6336985317664396</c:v>
                </c:pt>
                <c:pt idx="205">
                  <c:v>3.0225648594065553</c:v>
                </c:pt>
                <c:pt idx="206">
                  <c:v>3.1841326802773886</c:v>
                </c:pt>
                <c:pt idx="207">
                  <c:v>3.2915664520133503</c:v>
                </c:pt>
                <c:pt idx="208">
                  <c:v>3.5210515586016711</c:v>
                </c:pt>
                <c:pt idx="209">
                  <c:v>3.8691226369364999</c:v>
                </c:pt>
                <c:pt idx="210">
                  <c:v>3.7122274331576643</c:v>
                </c:pt>
                <c:pt idx="211">
                  <c:v>2.7864434936302875</c:v>
                </c:pt>
                <c:pt idx="212">
                  <c:v>2.0811393126636419</c:v>
                </c:pt>
                <c:pt idx="213">
                  <c:v>2.2131669917537335</c:v>
                </c:pt>
                <c:pt idx="214">
                  <c:v>2.8251815980629558</c:v>
                </c:pt>
                <c:pt idx="215">
                  <c:v>2.850333281661765</c:v>
                </c:pt>
                <c:pt idx="216">
                  <c:v>3.167837248728516</c:v>
                </c:pt>
              </c:numCache>
            </c:numRef>
          </c:val>
          <c:smooth val="0"/>
          <c:extLst>
            <c:ext xmlns:c16="http://schemas.microsoft.com/office/drawing/2014/chart" uri="{C3380CC4-5D6E-409C-BE32-E72D297353CC}">
              <c16:uniqueId val="{00000001-D97F-4116-9CD8-5A40015320EC}"/>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1524184932638E-4"/>
                  <c:y val="-1.30735395950663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7F-4116-9CD8-5A40015320EC}"/>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2018'!$A$135:$B$351</c:f>
              <c:multiLvlStrCache>
                <c:ptCount val="217"/>
                <c:lvl>
                  <c:pt idx="0">
                    <c:v>1qJun</c:v>
                  </c:pt>
                  <c:pt idx="1">
                    <c:v>2qJun</c:v>
                  </c:pt>
                  <c:pt idx="2">
                    <c:v>1qJul</c:v>
                  </c:pt>
                  <c:pt idx="3">
                    <c:v>2qJul</c:v>
                  </c:pt>
                  <c:pt idx="4">
                    <c:v>1qAgo</c:v>
                  </c:pt>
                  <c:pt idx="5">
                    <c:v>2qAgo</c:v>
                  </c:pt>
                  <c:pt idx="6">
                    <c:v>1qSep</c:v>
                  </c:pt>
                  <c:pt idx="7">
                    <c:v>2qSep</c:v>
                  </c:pt>
                  <c:pt idx="8">
                    <c:v>1qOct</c:v>
                  </c:pt>
                  <c:pt idx="9">
                    <c:v>2qOct</c:v>
                  </c:pt>
                  <c:pt idx="10">
                    <c:v>1qNov</c:v>
                  </c:pt>
                  <c:pt idx="11">
                    <c:v>2qNov</c:v>
                  </c:pt>
                  <c:pt idx="12">
                    <c:v>1qDic</c:v>
                  </c:pt>
                  <c:pt idx="13">
                    <c:v>2qDic</c:v>
                  </c:pt>
                  <c:pt idx="14">
                    <c:v>1qEne</c:v>
                  </c:pt>
                  <c:pt idx="15">
                    <c:v>2qEne</c:v>
                  </c:pt>
                  <c:pt idx="16">
                    <c:v>1qFeb</c:v>
                  </c:pt>
                  <c:pt idx="17">
                    <c:v>2qFeb</c:v>
                  </c:pt>
                  <c:pt idx="18">
                    <c:v>1qMar</c:v>
                  </c:pt>
                  <c:pt idx="19">
                    <c:v>2qMar</c:v>
                  </c:pt>
                  <c:pt idx="20">
                    <c:v>1qAbr</c:v>
                  </c:pt>
                  <c:pt idx="21">
                    <c:v>2qAbr</c:v>
                  </c:pt>
                  <c:pt idx="22">
                    <c:v>1qMay</c:v>
                  </c:pt>
                  <c:pt idx="23">
                    <c:v>2qMay</c:v>
                  </c:pt>
                  <c:pt idx="24">
                    <c:v>1qJun</c:v>
                  </c:pt>
                  <c:pt idx="25">
                    <c:v>2qJun</c:v>
                  </c:pt>
                  <c:pt idx="26">
                    <c:v>1qJul</c:v>
                  </c:pt>
                  <c:pt idx="27">
                    <c:v>2qJul</c:v>
                  </c:pt>
                  <c:pt idx="28">
                    <c:v>1qAgo</c:v>
                  </c:pt>
                  <c:pt idx="29">
                    <c:v>2qAgo</c:v>
                  </c:pt>
                  <c:pt idx="30">
                    <c:v>1qSep</c:v>
                  </c:pt>
                  <c:pt idx="31">
                    <c:v>2qSep</c:v>
                  </c:pt>
                  <c:pt idx="32">
                    <c:v>1qOct</c:v>
                  </c:pt>
                  <c:pt idx="33">
                    <c:v>2qOct</c:v>
                  </c:pt>
                  <c:pt idx="34">
                    <c:v>1qNov</c:v>
                  </c:pt>
                  <c:pt idx="35">
                    <c:v>2qNov</c:v>
                  </c:pt>
                  <c:pt idx="36">
                    <c:v>1qDic</c:v>
                  </c:pt>
                  <c:pt idx="37">
                    <c:v>2qDic</c:v>
                  </c:pt>
                  <c:pt idx="38">
                    <c:v>1qEne</c:v>
                  </c:pt>
                  <c:pt idx="39">
                    <c:v>2qEne</c:v>
                  </c:pt>
                  <c:pt idx="40">
                    <c:v>1qFeb</c:v>
                  </c:pt>
                  <c:pt idx="41">
                    <c:v>2qFeb</c:v>
                  </c:pt>
                  <c:pt idx="42">
                    <c:v>1qMar</c:v>
                  </c:pt>
                  <c:pt idx="43">
                    <c:v>2qMar</c:v>
                  </c:pt>
                  <c:pt idx="44">
                    <c:v>1qAbr</c:v>
                  </c:pt>
                  <c:pt idx="45">
                    <c:v>2qAbr</c:v>
                  </c:pt>
                  <c:pt idx="46">
                    <c:v>1qMay</c:v>
                  </c:pt>
                  <c:pt idx="47">
                    <c:v>2qMay</c:v>
                  </c:pt>
                  <c:pt idx="48">
                    <c:v>1qJun</c:v>
                  </c:pt>
                  <c:pt idx="49">
                    <c:v>2qJun</c:v>
                  </c:pt>
                  <c:pt idx="50">
                    <c:v>1qJul</c:v>
                  </c:pt>
                  <c:pt idx="51">
                    <c:v>2qJul</c:v>
                  </c:pt>
                  <c:pt idx="52">
                    <c:v>1qAgo</c:v>
                  </c:pt>
                  <c:pt idx="53">
                    <c:v>2qAgo</c:v>
                  </c:pt>
                  <c:pt idx="54">
                    <c:v>1qSep</c:v>
                  </c:pt>
                  <c:pt idx="55">
                    <c:v>2qSep</c:v>
                  </c:pt>
                  <c:pt idx="56">
                    <c:v>1qOct</c:v>
                  </c:pt>
                  <c:pt idx="57">
                    <c:v>2qOct</c:v>
                  </c:pt>
                  <c:pt idx="58">
                    <c:v>1qNov</c:v>
                  </c:pt>
                  <c:pt idx="59">
                    <c:v>2qNov</c:v>
                  </c:pt>
                  <c:pt idx="60">
                    <c:v>1qDic</c:v>
                  </c:pt>
                  <c:pt idx="61">
                    <c:v>2qDic</c:v>
                  </c:pt>
                  <c:pt idx="62">
                    <c:v>1qEne</c:v>
                  </c:pt>
                  <c:pt idx="63">
                    <c:v>2qEne</c:v>
                  </c:pt>
                  <c:pt idx="64">
                    <c:v>1qFeb</c:v>
                  </c:pt>
                  <c:pt idx="65">
                    <c:v>2qFeb</c:v>
                  </c:pt>
                  <c:pt idx="66">
                    <c:v>1qMar</c:v>
                  </c:pt>
                  <c:pt idx="67">
                    <c:v>2qMar</c:v>
                  </c:pt>
                  <c:pt idx="68">
                    <c:v>1qAbr</c:v>
                  </c:pt>
                  <c:pt idx="69">
                    <c:v>2qAbr</c:v>
                  </c:pt>
                  <c:pt idx="70">
                    <c:v>1qMay</c:v>
                  </c:pt>
                  <c:pt idx="71">
                    <c:v>2qMay</c:v>
                  </c:pt>
                  <c:pt idx="72">
                    <c:v>1qJun</c:v>
                  </c:pt>
                  <c:pt idx="73">
                    <c:v>2qJun</c:v>
                  </c:pt>
                  <c:pt idx="74">
                    <c:v>1qJul</c:v>
                  </c:pt>
                  <c:pt idx="75">
                    <c:v>2qJul</c:v>
                  </c:pt>
                  <c:pt idx="76">
                    <c:v>1qAgo</c:v>
                  </c:pt>
                  <c:pt idx="77">
                    <c:v>2qAgo</c:v>
                  </c:pt>
                  <c:pt idx="78">
                    <c:v>1qSep</c:v>
                  </c:pt>
                  <c:pt idx="79">
                    <c:v>2qSep</c:v>
                  </c:pt>
                  <c:pt idx="80">
                    <c:v>1qOct</c:v>
                  </c:pt>
                  <c:pt idx="81">
                    <c:v>2qOct</c:v>
                  </c:pt>
                  <c:pt idx="82">
                    <c:v>1qNov</c:v>
                  </c:pt>
                  <c:pt idx="83">
                    <c:v>2qNov</c:v>
                  </c:pt>
                  <c:pt idx="84">
                    <c:v>1qDic</c:v>
                  </c:pt>
                  <c:pt idx="85">
                    <c:v>2qDic</c:v>
                  </c:pt>
                  <c:pt idx="86">
                    <c:v>1qEne</c:v>
                  </c:pt>
                  <c:pt idx="87">
                    <c:v>2qEne</c:v>
                  </c:pt>
                  <c:pt idx="88">
                    <c:v>1qFeb</c:v>
                  </c:pt>
                  <c:pt idx="89">
                    <c:v>2qFeb</c:v>
                  </c:pt>
                  <c:pt idx="90">
                    <c:v>1qMar</c:v>
                  </c:pt>
                  <c:pt idx="91">
                    <c:v>2qMar</c:v>
                  </c:pt>
                  <c:pt idx="92">
                    <c:v>1qAbr</c:v>
                  </c:pt>
                  <c:pt idx="93">
                    <c:v>2qAbr</c:v>
                  </c:pt>
                  <c:pt idx="94">
                    <c:v>1qMay</c:v>
                  </c:pt>
                  <c:pt idx="95">
                    <c:v>2qMay</c:v>
                  </c:pt>
                  <c:pt idx="96">
                    <c:v>1qJun</c:v>
                  </c:pt>
                  <c:pt idx="97">
                    <c:v>2qJun</c:v>
                  </c:pt>
                  <c:pt idx="98">
                    <c:v>1qJul</c:v>
                  </c:pt>
                  <c:pt idx="99">
                    <c:v>2qJul</c:v>
                  </c:pt>
                  <c:pt idx="100">
                    <c:v>1qAgo</c:v>
                  </c:pt>
                  <c:pt idx="101">
                    <c:v>2qAgo</c:v>
                  </c:pt>
                  <c:pt idx="102">
                    <c:v>1qSep</c:v>
                  </c:pt>
                  <c:pt idx="103">
                    <c:v>2qSep</c:v>
                  </c:pt>
                  <c:pt idx="104">
                    <c:v>1qOct</c:v>
                  </c:pt>
                  <c:pt idx="105">
                    <c:v>2qOct</c:v>
                  </c:pt>
                  <c:pt idx="106">
                    <c:v>1qNov</c:v>
                  </c:pt>
                  <c:pt idx="107">
                    <c:v>2qNov</c:v>
                  </c:pt>
                  <c:pt idx="108">
                    <c:v>1qDic</c:v>
                  </c:pt>
                  <c:pt idx="109">
                    <c:v>2qDic</c:v>
                  </c:pt>
                  <c:pt idx="110">
                    <c:v>1qEne</c:v>
                  </c:pt>
                  <c:pt idx="111">
                    <c:v>2qEne</c:v>
                  </c:pt>
                  <c:pt idx="112">
                    <c:v>1qFeb</c:v>
                  </c:pt>
                  <c:pt idx="113">
                    <c:v>2qFeb</c:v>
                  </c:pt>
                  <c:pt idx="114">
                    <c:v>1qMar</c:v>
                  </c:pt>
                  <c:pt idx="115">
                    <c:v>2qMar</c:v>
                  </c:pt>
                  <c:pt idx="116">
                    <c:v>1qAbr</c:v>
                  </c:pt>
                  <c:pt idx="117">
                    <c:v>2qAbr</c:v>
                  </c:pt>
                  <c:pt idx="118">
                    <c:v>1qMay</c:v>
                  </c:pt>
                  <c:pt idx="119">
                    <c:v>2qMay</c:v>
                  </c:pt>
                  <c:pt idx="120">
                    <c:v>1qJun</c:v>
                  </c:pt>
                  <c:pt idx="121">
                    <c:v>2qJun</c:v>
                  </c:pt>
                  <c:pt idx="122">
                    <c:v>1qJul</c:v>
                  </c:pt>
                  <c:pt idx="123">
                    <c:v>2qJul</c:v>
                  </c:pt>
                  <c:pt idx="124">
                    <c:v>1qAgo</c:v>
                  </c:pt>
                  <c:pt idx="125">
                    <c:v>2qAgo</c:v>
                  </c:pt>
                  <c:pt idx="126">
                    <c:v>1qSep</c:v>
                  </c:pt>
                  <c:pt idx="127">
                    <c:v>2qSep</c:v>
                  </c:pt>
                  <c:pt idx="128">
                    <c:v>1qOct</c:v>
                  </c:pt>
                  <c:pt idx="129">
                    <c:v>2qOct</c:v>
                  </c:pt>
                  <c:pt idx="130">
                    <c:v>1qNov</c:v>
                  </c:pt>
                  <c:pt idx="131">
                    <c:v>2qNov</c:v>
                  </c:pt>
                  <c:pt idx="132">
                    <c:v>1qDic</c:v>
                  </c:pt>
                  <c:pt idx="133">
                    <c:v>2qDic</c:v>
                  </c:pt>
                  <c:pt idx="134">
                    <c:v>1qEne</c:v>
                  </c:pt>
                  <c:pt idx="135">
                    <c:v>2qEne</c:v>
                  </c:pt>
                  <c:pt idx="136">
                    <c:v>1qFeb</c:v>
                  </c:pt>
                  <c:pt idx="137">
                    <c:v>2qFeb</c:v>
                  </c:pt>
                  <c:pt idx="138">
                    <c:v>1qMar</c:v>
                  </c:pt>
                  <c:pt idx="139">
                    <c:v>2qMar</c:v>
                  </c:pt>
                  <c:pt idx="140">
                    <c:v>1qAbr</c:v>
                  </c:pt>
                  <c:pt idx="141">
                    <c:v>2qAbr</c:v>
                  </c:pt>
                  <c:pt idx="142">
                    <c:v>1qMay</c:v>
                  </c:pt>
                  <c:pt idx="143">
                    <c:v>2qMay</c:v>
                  </c:pt>
                  <c:pt idx="144">
                    <c:v>1qJun</c:v>
                  </c:pt>
                  <c:pt idx="145">
                    <c:v>2qJun</c:v>
                  </c:pt>
                  <c:pt idx="146">
                    <c:v>1qJul</c:v>
                  </c:pt>
                  <c:pt idx="147">
                    <c:v>2qJul</c:v>
                  </c:pt>
                  <c:pt idx="148">
                    <c:v>1qAgo</c:v>
                  </c:pt>
                  <c:pt idx="149">
                    <c:v>2qAgo</c:v>
                  </c:pt>
                  <c:pt idx="150">
                    <c:v>1qSep</c:v>
                  </c:pt>
                  <c:pt idx="151">
                    <c:v>2qSep</c:v>
                  </c:pt>
                  <c:pt idx="152">
                    <c:v>1qOct</c:v>
                  </c:pt>
                  <c:pt idx="153">
                    <c:v>2qOct</c:v>
                  </c:pt>
                  <c:pt idx="154">
                    <c:v>1qNov</c:v>
                  </c:pt>
                  <c:pt idx="155">
                    <c:v>2qNov</c:v>
                  </c:pt>
                  <c:pt idx="156">
                    <c:v>1qDic</c:v>
                  </c:pt>
                  <c:pt idx="157">
                    <c:v>2qDic</c:v>
                  </c:pt>
                  <c:pt idx="158">
                    <c:v>1qEne</c:v>
                  </c:pt>
                  <c:pt idx="159">
                    <c:v>2qEne</c:v>
                  </c:pt>
                  <c:pt idx="160">
                    <c:v>1qFeb</c:v>
                  </c:pt>
                  <c:pt idx="161">
                    <c:v>2qFeb</c:v>
                  </c:pt>
                  <c:pt idx="162">
                    <c:v>1qMar</c:v>
                  </c:pt>
                  <c:pt idx="163">
                    <c:v>2qMar</c:v>
                  </c:pt>
                  <c:pt idx="164">
                    <c:v>1qAbr</c:v>
                  </c:pt>
                  <c:pt idx="165">
                    <c:v>2qAbr</c:v>
                  </c:pt>
                  <c:pt idx="166">
                    <c:v>1qMay</c:v>
                  </c:pt>
                  <c:pt idx="167">
                    <c:v>2qMay</c:v>
                  </c:pt>
                  <c:pt idx="168">
                    <c:v>1qJun</c:v>
                  </c:pt>
                  <c:pt idx="169">
                    <c:v>2qJun</c:v>
                  </c:pt>
                  <c:pt idx="170">
                    <c:v>1qJul</c:v>
                  </c:pt>
                  <c:pt idx="171">
                    <c:v>2qJul</c:v>
                  </c:pt>
                  <c:pt idx="172">
                    <c:v>1qAgo</c:v>
                  </c:pt>
                  <c:pt idx="173">
                    <c:v>2qAgo</c:v>
                  </c:pt>
                  <c:pt idx="174">
                    <c:v>1qSep</c:v>
                  </c:pt>
                  <c:pt idx="175">
                    <c:v>2qSep</c:v>
                  </c:pt>
                  <c:pt idx="176">
                    <c:v>1qOct</c:v>
                  </c:pt>
                  <c:pt idx="177">
                    <c:v>2qOct</c:v>
                  </c:pt>
                  <c:pt idx="178">
                    <c:v>1qNov</c:v>
                  </c:pt>
                  <c:pt idx="179">
                    <c:v>2qNov</c:v>
                  </c:pt>
                  <c:pt idx="180">
                    <c:v>1qDic</c:v>
                  </c:pt>
                  <c:pt idx="181">
                    <c:v>2qDic</c:v>
                  </c:pt>
                  <c:pt idx="182">
                    <c:v>1qEne</c:v>
                  </c:pt>
                  <c:pt idx="183">
                    <c:v>2qEne</c:v>
                  </c:pt>
                  <c:pt idx="184">
                    <c:v>1qFeb</c:v>
                  </c:pt>
                  <c:pt idx="185">
                    <c:v>2qFeb</c:v>
                  </c:pt>
                  <c:pt idx="186">
                    <c:v>1qMar</c:v>
                  </c:pt>
                  <c:pt idx="187">
                    <c:v>2qMar</c:v>
                  </c:pt>
                  <c:pt idx="188">
                    <c:v>1qAbr</c:v>
                  </c:pt>
                  <c:pt idx="189">
                    <c:v>2qAbr</c:v>
                  </c:pt>
                  <c:pt idx="190">
                    <c:v>1qMay</c:v>
                  </c:pt>
                  <c:pt idx="191">
                    <c:v>2qMay</c:v>
                  </c:pt>
                  <c:pt idx="192">
                    <c:v>1qJun</c:v>
                  </c:pt>
                  <c:pt idx="193">
                    <c:v>2qJun</c:v>
                  </c:pt>
                  <c:pt idx="194">
                    <c:v>1qJul</c:v>
                  </c:pt>
                  <c:pt idx="195">
                    <c:v>2qJul</c:v>
                  </c:pt>
                  <c:pt idx="196">
                    <c:v>1qAgo</c:v>
                  </c:pt>
                  <c:pt idx="197">
                    <c:v>2qAgo</c:v>
                  </c:pt>
                  <c:pt idx="198">
                    <c:v>1qSep</c:v>
                  </c:pt>
                  <c:pt idx="199">
                    <c:v>2qSep</c:v>
                  </c:pt>
                  <c:pt idx="200">
                    <c:v>1qOct</c:v>
                  </c:pt>
                  <c:pt idx="201">
                    <c:v>2qOct</c:v>
                  </c:pt>
                  <c:pt idx="202">
                    <c:v>1qNov</c:v>
                  </c:pt>
                  <c:pt idx="203">
                    <c:v>2qNov</c:v>
                  </c:pt>
                  <c:pt idx="204">
                    <c:v>1qDic</c:v>
                  </c:pt>
                  <c:pt idx="205">
                    <c:v>2qDic</c:v>
                  </c:pt>
                  <c:pt idx="206">
                    <c:v>1qEne</c:v>
                  </c:pt>
                  <c:pt idx="207">
                    <c:v>2qEne</c:v>
                  </c:pt>
                  <c:pt idx="208">
                    <c:v>1qFeb</c:v>
                  </c:pt>
                  <c:pt idx="209">
                    <c:v>2qFeb</c:v>
                  </c:pt>
                  <c:pt idx="210">
                    <c:v>1qMar</c:v>
                  </c:pt>
                  <c:pt idx="211">
                    <c:v>2qMar</c:v>
                  </c:pt>
                  <c:pt idx="212">
                    <c:v>1qAbr</c:v>
                  </c:pt>
                  <c:pt idx="213">
                    <c:v>2qAbr</c:v>
                  </c:pt>
                  <c:pt idx="214">
                    <c:v>1qMay</c:v>
                  </c:pt>
                  <c:pt idx="215">
                    <c:v>2qMay</c:v>
                  </c:pt>
                  <c:pt idx="216">
                    <c:v>1qJun</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2013</c:v>
                  </c:pt>
                  <c:pt idx="39">
                    <c:v>2013</c:v>
                  </c:pt>
                  <c:pt idx="40">
                    <c:v>2013</c:v>
                  </c:pt>
                  <c:pt idx="41">
                    <c:v>2013</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2014</c:v>
                  </c:pt>
                  <c:pt idx="63">
                    <c:v>2014</c:v>
                  </c:pt>
                  <c:pt idx="64">
                    <c:v>2014</c:v>
                  </c:pt>
                  <c:pt idx="65">
                    <c:v>2014</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2015</c:v>
                  </c:pt>
                  <c:pt idx="87">
                    <c:v>2015</c:v>
                  </c:pt>
                  <c:pt idx="88">
                    <c:v>2015</c:v>
                  </c:pt>
                  <c:pt idx="89">
                    <c:v>2015</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2017</c:v>
                  </c:pt>
                  <c:pt idx="135">
                    <c:v>2017</c:v>
                  </c:pt>
                  <c:pt idx="136">
                    <c:v>2017</c:v>
                  </c:pt>
                  <c:pt idx="137">
                    <c:v>2017</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2018</c:v>
                  </c:pt>
                  <c:pt idx="159">
                    <c:v>2018</c:v>
                  </c:pt>
                  <c:pt idx="160">
                    <c:v>2018</c:v>
                  </c:pt>
                  <c:pt idx="161">
                    <c:v>2018</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2019</c:v>
                  </c:pt>
                  <c:pt idx="183">
                    <c:v>2019</c:v>
                  </c:pt>
                  <c:pt idx="184">
                    <c:v>2019</c:v>
                  </c:pt>
                  <c:pt idx="185">
                    <c:v>2019</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2020</c:v>
                  </c:pt>
                  <c:pt idx="207">
                    <c:v>2020</c:v>
                  </c:pt>
                  <c:pt idx="208">
                    <c:v>2020</c:v>
                  </c:pt>
                  <c:pt idx="209">
                    <c:v>2020</c:v>
                  </c:pt>
                  <c:pt idx="210">
                    <c:v>2020</c:v>
                  </c:pt>
                  <c:pt idx="211">
                    <c:v>2020</c:v>
                  </c:pt>
                  <c:pt idx="212">
                    <c:v>2020</c:v>
                  </c:pt>
                  <c:pt idx="213">
                    <c:v>2020</c:v>
                  </c:pt>
                  <c:pt idx="214">
                    <c:v>2020</c:v>
                  </c:pt>
                  <c:pt idx="215">
                    <c:v>2020</c:v>
                  </c:pt>
                  <c:pt idx="216">
                    <c:v>2020</c:v>
                  </c:pt>
                </c:lvl>
              </c:multiLvlStrCache>
            </c:multiLvlStrRef>
          </c:cat>
          <c:val>
            <c:numRef>
              <c:f>'Datos base 2q jul 2018'!$G$135:$G$351</c:f>
              <c:numCache>
                <c:formatCode>0.00</c:formatCode>
                <c:ptCount val="217"/>
                <c:pt idx="0">
                  <c:v>3.1784688551868125</c:v>
                </c:pt>
                <c:pt idx="1">
                  <c:v>3.174532134833743</c:v>
                </c:pt>
                <c:pt idx="2">
                  <c:v>3.1775447147550926</c:v>
                </c:pt>
                <c:pt idx="3">
                  <c:v>3.2090061151539437</c:v>
                </c:pt>
                <c:pt idx="4">
                  <c:v>3.2099044914525385</c:v>
                </c:pt>
                <c:pt idx="5">
                  <c:v>3.2240468095810368</c:v>
                </c:pt>
                <c:pt idx="6">
                  <c:v>3.1070341731067495</c:v>
                </c:pt>
                <c:pt idx="7">
                  <c:v>3.1295735122399129</c:v>
                </c:pt>
                <c:pt idx="8">
                  <c:v>3.2170403952651889</c:v>
                </c:pt>
                <c:pt idx="9">
                  <c:v>3.1596477110608459</c:v>
                </c:pt>
                <c:pt idx="10">
                  <c:v>3.2263695510988706</c:v>
                </c:pt>
                <c:pt idx="11">
                  <c:v>3.326719597207064</c:v>
                </c:pt>
                <c:pt idx="12">
                  <c:v>3.3693342773077397</c:v>
                </c:pt>
                <c:pt idx="13">
                  <c:v>3.3368327183000202</c:v>
                </c:pt>
                <c:pt idx="14">
                  <c:v>3.3246329749717649</c:v>
                </c:pt>
                <c:pt idx="15">
                  <c:v>3.3627086437094307</c:v>
                </c:pt>
                <c:pt idx="16">
                  <c:v>3.4015148755654097</c:v>
                </c:pt>
                <c:pt idx="17">
                  <c:v>3.3327371604365053</c:v>
                </c:pt>
                <c:pt idx="18">
                  <c:v>3.2553184019739207</c:v>
                </c:pt>
                <c:pt idx="19">
                  <c:v>3.3673839150544809</c:v>
                </c:pt>
                <c:pt idx="20">
                  <c:v>3.3434372427197387</c:v>
                </c:pt>
                <c:pt idx="21">
                  <c:v>3.4345064040493498</c:v>
                </c:pt>
                <c:pt idx="22">
                  <c:v>3.5090861090997398</c:v>
                </c:pt>
                <c:pt idx="23">
                  <c:v>3.4496459587907644</c:v>
                </c:pt>
                <c:pt idx="24">
                  <c:v>3.5138071411092509</c:v>
                </c:pt>
                <c:pt idx="25">
                  <c:v>3.4911275160914821</c:v>
                </c:pt>
                <c:pt idx="26">
                  <c:v>3.5552667198767716</c:v>
                </c:pt>
                <c:pt idx="27">
                  <c:v>3.628890973374955</c:v>
                </c:pt>
                <c:pt idx="28">
                  <c:v>3.699449234809765</c:v>
                </c:pt>
                <c:pt idx="29">
                  <c:v>3.7010392130833916</c:v>
                </c:pt>
                <c:pt idx="30">
                  <c:v>3.5989553948191961</c:v>
                </c:pt>
                <c:pt idx="31">
                  <c:v>3.6175749418751248</c:v>
                </c:pt>
                <c:pt idx="32">
                  <c:v>3.5804788237867169</c:v>
                </c:pt>
                <c:pt idx="33">
                  <c:v>3.5710434435480733</c:v>
                </c:pt>
                <c:pt idx="34">
                  <c:v>3.497724814484096</c:v>
                </c:pt>
                <c:pt idx="35">
                  <c:v>3.0944012280048958</c:v>
                </c:pt>
                <c:pt idx="36">
                  <c:v>3.0040571360508883</c:v>
                </c:pt>
                <c:pt idx="37">
                  <c:v>2.7964321989406584</c:v>
                </c:pt>
                <c:pt idx="38">
                  <c:v>2.7763497027195498</c:v>
                </c:pt>
                <c:pt idx="39">
                  <c:v>2.9751754935712431</c:v>
                </c:pt>
                <c:pt idx="40">
                  <c:v>2.9575503875276712</c:v>
                </c:pt>
                <c:pt idx="41">
                  <c:v>2.9657092040579758</c:v>
                </c:pt>
                <c:pt idx="42">
                  <c:v>3.0602036721268644</c:v>
                </c:pt>
                <c:pt idx="43">
                  <c:v>2.9791164494705962</c:v>
                </c:pt>
                <c:pt idx="44">
                  <c:v>3.0026041070565621</c:v>
                </c:pt>
                <c:pt idx="45">
                  <c:v>2.8915458173883479</c:v>
                </c:pt>
                <c:pt idx="46">
                  <c:v>2.8909365438263444</c:v>
                </c:pt>
                <c:pt idx="47">
                  <c:v>2.8631679529443979</c:v>
                </c:pt>
                <c:pt idx="48">
                  <c:v>2.8307350923769405</c:v>
                </c:pt>
                <c:pt idx="49">
                  <c:v>2.7437282572557016</c:v>
                </c:pt>
                <c:pt idx="50">
                  <c:v>2.5697096747123833</c:v>
                </c:pt>
                <c:pt idx="51">
                  <c:v>2.4360903054217125</c:v>
                </c:pt>
                <c:pt idx="52">
                  <c:v>2.3835805910849777</c:v>
                </c:pt>
                <c:pt idx="53">
                  <c:v>2.3480634242683229</c:v>
                </c:pt>
                <c:pt idx="54">
                  <c:v>2.535276339954553</c:v>
                </c:pt>
                <c:pt idx="55">
                  <c:v>2.4965785009156081</c:v>
                </c:pt>
                <c:pt idx="56">
                  <c:v>2.4640712164855678</c:v>
                </c:pt>
                <c:pt idx="57">
                  <c:v>2.4948139964390839</c:v>
                </c:pt>
                <c:pt idx="58">
                  <c:v>2.4265245867401597</c:v>
                </c:pt>
                <c:pt idx="59">
                  <c:v>2.7038703266946786</c:v>
                </c:pt>
                <c:pt idx="60">
                  <c:v>2.751128068649233</c:v>
                </c:pt>
                <c:pt idx="61">
                  <c:v>2.8026579468947426</c:v>
                </c:pt>
                <c:pt idx="62">
                  <c:v>3.3301766974286218</c:v>
                </c:pt>
                <c:pt idx="63">
                  <c:v>3.1002666825252425</c:v>
                </c:pt>
                <c:pt idx="64">
                  <c:v>2.9720512722063508</c:v>
                </c:pt>
                <c:pt idx="65">
                  <c:v>2.9911409949387719</c:v>
                </c:pt>
                <c:pt idx="66">
                  <c:v>2.8393403954390637</c:v>
                </c:pt>
                <c:pt idx="67">
                  <c:v>2.9470966063651716</c:v>
                </c:pt>
                <c:pt idx="68">
                  <c:v>3.1650623331299617</c:v>
                </c:pt>
                <c:pt idx="69">
                  <c:v>3.0552508730965879</c:v>
                </c:pt>
                <c:pt idx="70">
                  <c:v>2.965790301060844</c:v>
                </c:pt>
                <c:pt idx="71">
                  <c:v>3.0412359691456019</c:v>
                </c:pt>
                <c:pt idx="72">
                  <c:v>3.0875416706861825</c:v>
                </c:pt>
                <c:pt idx="73">
                  <c:v>3.0926368076054618</c:v>
                </c:pt>
                <c:pt idx="74">
                  <c:v>3.2008508707259615</c:v>
                </c:pt>
                <c:pt idx="75">
                  <c:v>3.296727917181848</c:v>
                </c:pt>
                <c:pt idx="76">
                  <c:v>3.3403363995215916</c:v>
                </c:pt>
                <c:pt idx="77">
                  <c:v>3.4088159517772554</c:v>
                </c:pt>
                <c:pt idx="78">
                  <c:v>3.3443317105628387</c:v>
                </c:pt>
                <c:pt idx="79">
                  <c:v>3.3410517831071793</c:v>
                </c:pt>
                <c:pt idx="80">
                  <c:v>3.320114326066006</c:v>
                </c:pt>
                <c:pt idx="81">
                  <c:v>3.3125587217442973</c:v>
                </c:pt>
                <c:pt idx="82">
                  <c:v>3.3269143797989815</c:v>
                </c:pt>
                <c:pt idx="83">
                  <c:v>3.3597016646049473</c:v>
                </c:pt>
                <c:pt idx="84">
                  <c:v>3.2613173618448141</c:v>
                </c:pt>
                <c:pt idx="85">
                  <c:v>3.2283311008381563</c:v>
                </c:pt>
                <c:pt idx="86">
                  <c:v>2.4257619293549975</c:v>
                </c:pt>
                <c:pt idx="87">
                  <c:v>2.2512483178846994</c:v>
                </c:pt>
                <c:pt idx="88">
                  <c:v>2.4154760560769155</c:v>
                </c:pt>
                <c:pt idx="89">
                  <c:v>2.3803601042870661</c:v>
                </c:pt>
                <c:pt idx="90">
                  <c:v>2.4210809690652884</c:v>
                </c:pt>
                <c:pt idx="91">
                  <c:v>2.4716727562373664</c:v>
                </c:pt>
                <c:pt idx="92">
                  <c:v>2.22959038644635</c:v>
                </c:pt>
                <c:pt idx="93">
                  <c:v>2.3867779230047406</c:v>
                </c:pt>
                <c:pt idx="94">
                  <c:v>2.3645039102051868</c:v>
                </c:pt>
                <c:pt idx="95">
                  <c:v>2.2967267698564018</c:v>
                </c:pt>
                <c:pt idx="96">
                  <c:v>2.3068088582791066</c:v>
                </c:pt>
                <c:pt idx="97">
                  <c:v>2.3470897521408207</c:v>
                </c:pt>
                <c:pt idx="98">
                  <c:v>2.3048831870518853</c:v>
                </c:pt>
                <c:pt idx="99">
                  <c:v>2.3176027185983523</c:v>
                </c:pt>
                <c:pt idx="100">
                  <c:v>2.2916919550657333</c:v>
                </c:pt>
                <c:pt idx="101">
                  <c:v>2.3072511966621598</c:v>
                </c:pt>
                <c:pt idx="102">
                  <c:v>2.3401806229756428</c:v>
                </c:pt>
                <c:pt idx="103">
                  <c:v>2.4176421285037821</c:v>
                </c:pt>
                <c:pt idx="104">
                  <c:v>2.4587510846686191</c:v>
                </c:pt>
                <c:pt idx="105">
                  <c:v>2.4726079923024322</c:v>
                </c:pt>
                <c:pt idx="106">
                  <c:v>2.3463360125931945</c:v>
                </c:pt>
                <c:pt idx="107">
                  <c:v>2.3268213688759705</c:v>
                </c:pt>
                <c:pt idx="108">
                  <c:v>2.390553712314857</c:v>
                </c:pt>
                <c:pt idx="109">
                  <c:v>2.4333480158938574</c:v>
                </c:pt>
                <c:pt idx="110">
                  <c:v>2.6075350521938248</c:v>
                </c:pt>
                <c:pt idx="111">
                  <c:v>2.6792848558866034</c:v>
                </c:pt>
                <c:pt idx="112">
                  <c:v>2.6247721940712854</c:v>
                </c:pt>
                <c:pt idx="113">
                  <c:v>2.6999719049183106</c:v>
                </c:pt>
                <c:pt idx="114">
                  <c:v>2.8570717271853301</c:v>
                </c:pt>
                <c:pt idx="115">
                  <c:v>2.6643976864392171</c:v>
                </c:pt>
                <c:pt idx="116">
                  <c:v>2.7889505267186077</c:v>
                </c:pt>
                <c:pt idx="117">
                  <c:v>2.8653494472590446</c:v>
                </c:pt>
                <c:pt idx="118">
                  <c:v>2.9155541341971842</c:v>
                </c:pt>
                <c:pt idx="119">
                  <c:v>2.9400204454453038</c:v>
                </c:pt>
                <c:pt idx="120">
                  <c:v>2.9780685524937418</c:v>
                </c:pt>
                <c:pt idx="121">
                  <c:v>2.970805194310711</c:v>
                </c:pt>
                <c:pt idx="122">
                  <c:v>2.9869000821721321</c:v>
                </c:pt>
                <c:pt idx="123">
                  <c:v>2.958184265532811</c:v>
                </c:pt>
                <c:pt idx="124">
                  <c:v>2.9678902064447099</c:v>
                </c:pt>
                <c:pt idx="125">
                  <c:v>2.9539547347381339</c:v>
                </c:pt>
                <c:pt idx="126">
                  <c:v>3.0468116923746806</c:v>
                </c:pt>
                <c:pt idx="127">
                  <c:v>3.0912825950724891</c:v>
                </c:pt>
                <c:pt idx="128">
                  <c:v>3.1012509952726064</c:v>
                </c:pt>
                <c:pt idx="129">
                  <c:v>3.0947616902772506</c:v>
                </c:pt>
                <c:pt idx="130">
                  <c:v>3.3319998055344984</c:v>
                </c:pt>
                <c:pt idx="131">
                  <c:v>3.2541169825970431</c:v>
                </c:pt>
                <c:pt idx="132">
                  <c:v>3.4556844443457231</c:v>
                </c:pt>
                <c:pt idx="133">
                  <c:v>3.4190637781387228</c:v>
                </c:pt>
                <c:pt idx="134">
                  <c:v>3.7171121119421828</c:v>
                </c:pt>
                <c:pt idx="135">
                  <c:v>3.9541963785562761</c:v>
                </c:pt>
                <c:pt idx="136">
                  <c:v>4.1997330552909586</c:v>
                </c:pt>
                <c:pt idx="137">
                  <c:v>4.311207443014049</c:v>
                </c:pt>
                <c:pt idx="138">
                  <c:v>4.3234288151573121</c:v>
                </c:pt>
                <c:pt idx="139">
                  <c:v>4.6332592126084799</c:v>
                </c:pt>
                <c:pt idx="140">
                  <c:v>4.755660342374016</c:v>
                </c:pt>
                <c:pt idx="141">
                  <c:v>4.6790514324428747</c:v>
                </c:pt>
                <c:pt idx="142">
                  <c:v>4.7509278569842373</c:v>
                </c:pt>
                <c:pt idx="143">
                  <c:v>4.8121947523125428</c:v>
                </c:pt>
                <c:pt idx="144">
                  <c:v>4.8209395856761645</c:v>
                </c:pt>
                <c:pt idx="145">
                  <c:v>4.8467381815305748</c:v>
                </c:pt>
                <c:pt idx="146">
                  <c:v>4.9207056044795072</c:v>
                </c:pt>
                <c:pt idx="147">
                  <c:v>4.9503227740202931</c:v>
                </c:pt>
                <c:pt idx="148">
                  <c:v>5.0213060833167322</c:v>
                </c:pt>
                <c:pt idx="149">
                  <c:v>4.9846248601918619</c:v>
                </c:pt>
                <c:pt idx="150">
                  <c:v>4.896399946121428</c:v>
                </c:pt>
                <c:pt idx="151">
                  <c:v>4.7040384762837748</c:v>
                </c:pt>
                <c:pt idx="152">
                  <c:v>4.7478938244134978</c:v>
                </c:pt>
                <c:pt idx="153">
                  <c:v>4.7956917969896518</c:v>
                </c:pt>
                <c:pt idx="154">
                  <c:v>4.8450991871710318</c:v>
                </c:pt>
                <c:pt idx="155">
                  <c:v>4.9491574797445885</c:v>
                </c:pt>
                <c:pt idx="156">
                  <c:v>4.9048497326154274</c:v>
                </c:pt>
                <c:pt idx="157">
                  <c:v>4.8327261818475638</c:v>
                </c:pt>
                <c:pt idx="158">
                  <c:v>4.626351793496065</c:v>
                </c:pt>
                <c:pt idx="159">
                  <c:v>4.4960621553256628</c:v>
                </c:pt>
                <c:pt idx="160">
                  <c:v>4.3243267051739158</c:v>
                </c:pt>
                <c:pt idx="161">
                  <c:v>4.225113200069833</c:v>
                </c:pt>
                <c:pt idx="162">
                  <c:v>4.1452320212772849</c:v>
                </c:pt>
                <c:pt idx="163">
                  <c:v>3.9008573614003428</c:v>
                </c:pt>
                <c:pt idx="164">
                  <c:v>3.7001331444606622</c:v>
                </c:pt>
                <c:pt idx="165">
                  <c:v>3.7189879850623115</c:v>
                </c:pt>
                <c:pt idx="166">
                  <c:v>3.6940324860046641</c:v>
                </c:pt>
                <c:pt idx="167">
                  <c:v>3.6872847615328928</c:v>
                </c:pt>
                <c:pt idx="168">
                  <c:v>3.5926706669103226</c:v>
                </c:pt>
                <c:pt idx="169">
                  <c:v>3.6378912164257176</c:v>
                </c:pt>
                <c:pt idx="170">
                  <c:v>3.6414532163026938</c:v>
                </c:pt>
                <c:pt idx="171">
                  <c:v>3.6283822763214917</c:v>
                </c:pt>
                <c:pt idx="172">
                  <c:v>3.60422766425244</c:v>
                </c:pt>
                <c:pt idx="173">
                  <c:v>3.6492836648371476</c:v>
                </c:pt>
                <c:pt idx="174">
                  <c:v>3.5583711462958476</c:v>
                </c:pt>
                <c:pt idx="175">
                  <c:v>3.7816822032604827</c:v>
                </c:pt>
                <c:pt idx="176">
                  <c:v>3.7416397848555354</c:v>
                </c:pt>
                <c:pt idx="177">
                  <c:v>3.7169746286009109</c:v>
                </c:pt>
                <c:pt idx="178">
                  <c:v>3.6257828133946166</c:v>
                </c:pt>
                <c:pt idx="179">
                  <c:v>3.6406529749812364</c:v>
                </c:pt>
                <c:pt idx="180">
                  <c:v>3.6377886379533457</c:v>
                </c:pt>
                <c:pt idx="181">
                  <c:v>3.7284330721464332</c:v>
                </c:pt>
                <c:pt idx="182">
                  <c:v>3.6380265636959224</c:v>
                </c:pt>
                <c:pt idx="183">
                  <c:v>3.5537579923622067</c:v>
                </c:pt>
                <c:pt idx="184">
                  <c:v>3.509918365929515</c:v>
                </c:pt>
                <c:pt idx="185">
                  <c:v>3.564393581591327</c:v>
                </c:pt>
                <c:pt idx="186">
                  <c:v>3.5059473833730292</c:v>
                </c:pt>
                <c:pt idx="187">
                  <c:v>3.598281490808529</c:v>
                </c:pt>
                <c:pt idx="188">
                  <c:v>3.9357101255393165</c:v>
                </c:pt>
                <c:pt idx="189">
                  <c:v>3.806631755056848</c:v>
                </c:pt>
                <c:pt idx="190">
                  <c:v>3.7691795637214343</c:v>
                </c:pt>
                <c:pt idx="191">
                  <c:v>3.7794944538024566</c:v>
                </c:pt>
                <c:pt idx="192">
                  <c:v>3.8676322662943812</c:v>
                </c:pt>
                <c:pt idx="193">
                  <c:v>3.8307340537165544</c:v>
                </c:pt>
                <c:pt idx="194">
                  <c:v>3.8083742254525612</c:v>
                </c:pt>
                <c:pt idx="195">
                  <c:v>3.8340000000000032</c:v>
                </c:pt>
                <c:pt idx="196">
                  <c:v>3.7689600905269542</c:v>
                </c:pt>
                <c:pt idx="197">
                  <c:v>3.7839724729466879</c:v>
                </c:pt>
                <c:pt idx="198">
                  <c:v>3.7817928425663299</c:v>
                </c:pt>
                <c:pt idx="199">
                  <c:v>3.7183882347095838</c:v>
                </c:pt>
                <c:pt idx="200">
                  <c:v>3.6764049402311283</c:v>
                </c:pt>
                <c:pt idx="201">
                  <c:v>3.6914813493479151</c:v>
                </c:pt>
                <c:pt idx="202">
                  <c:v>3.6567393003036597</c:v>
                </c:pt>
                <c:pt idx="203">
                  <c:v>3.6491658343140236</c:v>
                </c:pt>
                <c:pt idx="204">
                  <c:v>3.5895062336281049</c:v>
                </c:pt>
                <c:pt idx="205">
                  <c:v>3.5997205247050266</c:v>
                </c:pt>
                <c:pt idx="206">
                  <c:v>3.7255904505319482</c:v>
                </c:pt>
                <c:pt idx="207">
                  <c:v>3.7263910158244067</c:v>
                </c:pt>
                <c:pt idx="208">
                  <c:v>3.6855710480965023</c:v>
                </c:pt>
                <c:pt idx="209">
                  <c:v>3.6268569194683473</c:v>
                </c:pt>
                <c:pt idx="210">
                  <c:v>3.6028213808376321</c:v>
                </c:pt>
                <c:pt idx="211">
                  <c:v>3.6045163615817035</c:v>
                </c:pt>
                <c:pt idx="212">
                  <c:v>3.4020338456761374</c:v>
                </c:pt>
                <c:pt idx="213">
                  <c:v>3.6057109025438834</c:v>
                </c:pt>
                <c:pt idx="214">
                  <c:v>3.7614545454545505</c:v>
                </c:pt>
                <c:pt idx="215">
                  <c:v>3.524719503576986</c:v>
                </c:pt>
                <c:pt idx="216">
                  <c:v>3.6600334399675325</c:v>
                </c:pt>
              </c:numCache>
            </c:numRef>
          </c:val>
          <c:smooth val="0"/>
          <c:extLst>
            <c:ext xmlns:c16="http://schemas.microsoft.com/office/drawing/2014/chart" uri="{C3380CC4-5D6E-409C-BE32-E72D297353CC}">
              <c16:uniqueId val="{00000003-D97F-4116-9CD8-5A40015320EC}"/>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397840007562821E-4"/>
                  <c:y val="2.497469486001301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7F-4116-9CD8-5A40015320EC}"/>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2018'!$A$135:$B$351</c:f>
              <c:multiLvlStrCache>
                <c:ptCount val="217"/>
                <c:lvl>
                  <c:pt idx="0">
                    <c:v>1qJun</c:v>
                  </c:pt>
                  <c:pt idx="1">
                    <c:v>2qJun</c:v>
                  </c:pt>
                  <c:pt idx="2">
                    <c:v>1qJul</c:v>
                  </c:pt>
                  <c:pt idx="3">
                    <c:v>2qJul</c:v>
                  </c:pt>
                  <c:pt idx="4">
                    <c:v>1qAgo</c:v>
                  </c:pt>
                  <c:pt idx="5">
                    <c:v>2qAgo</c:v>
                  </c:pt>
                  <c:pt idx="6">
                    <c:v>1qSep</c:v>
                  </c:pt>
                  <c:pt idx="7">
                    <c:v>2qSep</c:v>
                  </c:pt>
                  <c:pt idx="8">
                    <c:v>1qOct</c:v>
                  </c:pt>
                  <c:pt idx="9">
                    <c:v>2qOct</c:v>
                  </c:pt>
                  <c:pt idx="10">
                    <c:v>1qNov</c:v>
                  </c:pt>
                  <c:pt idx="11">
                    <c:v>2qNov</c:v>
                  </c:pt>
                  <c:pt idx="12">
                    <c:v>1qDic</c:v>
                  </c:pt>
                  <c:pt idx="13">
                    <c:v>2qDic</c:v>
                  </c:pt>
                  <c:pt idx="14">
                    <c:v>1qEne</c:v>
                  </c:pt>
                  <c:pt idx="15">
                    <c:v>2qEne</c:v>
                  </c:pt>
                  <c:pt idx="16">
                    <c:v>1qFeb</c:v>
                  </c:pt>
                  <c:pt idx="17">
                    <c:v>2qFeb</c:v>
                  </c:pt>
                  <c:pt idx="18">
                    <c:v>1qMar</c:v>
                  </c:pt>
                  <c:pt idx="19">
                    <c:v>2qMar</c:v>
                  </c:pt>
                  <c:pt idx="20">
                    <c:v>1qAbr</c:v>
                  </c:pt>
                  <c:pt idx="21">
                    <c:v>2qAbr</c:v>
                  </c:pt>
                  <c:pt idx="22">
                    <c:v>1qMay</c:v>
                  </c:pt>
                  <c:pt idx="23">
                    <c:v>2qMay</c:v>
                  </c:pt>
                  <c:pt idx="24">
                    <c:v>1qJun</c:v>
                  </c:pt>
                  <c:pt idx="25">
                    <c:v>2qJun</c:v>
                  </c:pt>
                  <c:pt idx="26">
                    <c:v>1qJul</c:v>
                  </c:pt>
                  <c:pt idx="27">
                    <c:v>2qJul</c:v>
                  </c:pt>
                  <c:pt idx="28">
                    <c:v>1qAgo</c:v>
                  </c:pt>
                  <c:pt idx="29">
                    <c:v>2qAgo</c:v>
                  </c:pt>
                  <c:pt idx="30">
                    <c:v>1qSep</c:v>
                  </c:pt>
                  <c:pt idx="31">
                    <c:v>2qSep</c:v>
                  </c:pt>
                  <c:pt idx="32">
                    <c:v>1qOct</c:v>
                  </c:pt>
                  <c:pt idx="33">
                    <c:v>2qOct</c:v>
                  </c:pt>
                  <c:pt idx="34">
                    <c:v>1qNov</c:v>
                  </c:pt>
                  <c:pt idx="35">
                    <c:v>2qNov</c:v>
                  </c:pt>
                  <c:pt idx="36">
                    <c:v>1qDic</c:v>
                  </c:pt>
                  <c:pt idx="37">
                    <c:v>2qDic</c:v>
                  </c:pt>
                  <c:pt idx="38">
                    <c:v>1qEne</c:v>
                  </c:pt>
                  <c:pt idx="39">
                    <c:v>2qEne</c:v>
                  </c:pt>
                  <c:pt idx="40">
                    <c:v>1qFeb</c:v>
                  </c:pt>
                  <c:pt idx="41">
                    <c:v>2qFeb</c:v>
                  </c:pt>
                  <c:pt idx="42">
                    <c:v>1qMar</c:v>
                  </c:pt>
                  <c:pt idx="43">
                    <c:v>2qMar</c:v>
                  </c:pt>
                  <c:pt idx="44">
                    <c:v>1qAbr</c:v>
                  </c:pt>
                  <c:pt idx="45">
                    <c:v>2qAbr</c:v>
                  </c:pt>
                  <c:pt idx="46">
                    <c:v>1qMay</c:v>
                  </c:pt>
                  <c:pt idx="47">
                    <c:v>2qMay</c:v>
                  </c:pt>
                  <c:pt idx="48">
                    <c:v>1qJun</c:v>
                  </c:pt>
                  <c:pt idx="49">
                    <c:v>2qJun</c:v>
                  </c:pt>
                  <c:pt idx="50">
                    <c:v>1qJul</c:v>
                  </c:pt>
                  <c:pt idx="51">
                    <c:v>2qJul</c:v>
                  </c:pt>
                  <c:pt idx="52">
                    <c:v>1qAgo</c:v>
                  </c:pt>
                  <c:pt idx="53">
                    <c:v>2qAgo</c:v>
                  </c:pt>
                  <c:pt idx="54">
                    <c:v>1qSep</c:v>
                  </c:pt>
                  <c:pt idx="55">
                    <c:v>2qSep</c:v>
                  </c:pt>
                  <c:pt idx="56">
                    <c:v>1qOct</c:v>
                  </c:pt>
                  <c:pt idx="57">
                    <c:v>2qOct</c:v>
                  </c:pt>
                  <c:pt idx="58">
                    <c:v>1qNov</c:v>
                  </c:pt>
                  <c:pt idx="59">
                    <c:v>2qNov</c:v>
                  </c:pt>
                  <c:pt idx="60">
                    <c:v>1qDic</c:v>
                  </c:pt>
                  <c:pt idx="61">
                    <c:v>2qDic</c:v>
                  </c:pt>
                  <c:pt idx="62">
                    <c:v>1qEne</c:v>
                  </c:pt>
                  <c:pt idx="63">
                    <c:v>2qEne</c:v>
                  </c:pt>
                  <c:pt idx="64">
                    <c:v>1qFeb</c:v>
                  </c:pt>
                  <c:pt idx="65">
                    <c:v>2qFeb</c:v>
                  </c:pt>
                  <c:pt idx="66">
                    <c:v>1qMar</c:v>
                  </c:pt>
                  <c:pt idx="67">
                    <c:v>2qMar</c:v>
                  </c:pt>
                  <c:pt idx="68">
                    <c:v>1qAbr</c:v>
                  </c:pt>
                  <c:pt idx="69">
                    <c:v>2qAbr</c:v>
                  </c:pt>
                  <c:pt idx="70">
                    <c:v>1qMay</c:v>
                  </c:pt>
                  <c:pt idx="71">
                    <c:v>2qMay</c:v>
                  </c:pt>
                  <c:pt idx="72">
                    <c:v>1qJun</c:v>
                  </c:pt>
                  <c:pt idx="73">
                    <c:v>2qJun</c:v>
                  </c:pt>
                  <c:pt idx="74">
                    <c:v>1qJul</c:v>
                  </c:pt>
                  <c:pt idx="75">
                    <c:v>2qJul</c:v>
                  </c:pt>
                  <c:pt idx="76">
                    <c:v>1qAgo</c:v>
                  </c:pt>
                  <c:pt idx="77">
                    <c:v>2qAgo</c:v>
                  </c:pt>
                  <c:pt idx="78">
                    <c:v>1qSep</c:v>
                  </c:pt>
                  <c:pt idx="79">
                    <c:v>2qSep</c:v>
                  </c:pt>
                  <c:pt idx="80">
                    <c:v>1qOct</c:v>
                  </c:pt>
                  <c:pt idx="81">
                    <c:v>2qOct</c:v>
                  </c:pt>
                  <c:pt idx="82">
                    <c:v>1qNov</c:v>
                  </c:pt>
                  <c:pt idx="83">
                    <c:v>2qNov</c:v>
                  </c:pt>
                  <c:pt idx="84">
                    <c:v>1qDic</c:v>
                  </c:pt>
                  <c:pt idx="85">
                    <c:v>2qDic</c:v>
                  </c:pt>
                  <c:pt idx="86">
                    <c:v>1qEne</c:v>
                  </c:pt>
                  <c:pt idx="87">
                    <c:v>2qEne</c:v>
                  </c:pt>
                  <c:pt idx="88">
                    <c:v>1qFeb</c:v>
                  </c:pt>
                  <c:pt idx="89">
                    <c:v>2qFeb</c:v>
                  </c:pt>
                  <c:pt idx="90">
                    <c:v>1qMar</c:v>
                  </c:pt>
                  <c:pt idx="91">
                    <c:v>2qMar</c:v>
                  </c:pt>
                  <c:pt idx="92">
                    <c:v>1qAbr</c:v>
                  </c:pt>
                  <c:pt idx="93">
                    <c:v>2qAbr</c:v>
                  </c:pt>
                  <c:pt idx="94">
                    <c:v>1qMay</c:v>
                  </c:pt>
                  <c:pt idx="95">
                    <c:v>2qMay</c:v>
                  </c:pt>
                  <c:pt idx="96">
                    <c:v>1qJun</c:v>
                  </c:pt>
                  <c:pt idx="97">
                    <c:v>2qJun</c:v>
                  </c:pt>
                  <c:pt idx="98">
                    <c:v>1qJul</c:v>
                  </c:pt>
                  <c:pt idx="99">
                    <c:v>2qJul</c:v>
                  </c:pt>
                  <c:pt idx="100">
                    <c:v>1qAgo</c:v>
                  </c:pt>
                  <c:pt idx="101">
                    <c:v>2qAgo</c:v>
                  </c:pt>
                  <c:pt idx="102">
                    <c:v>1qSep</c:v>
                  </c:pt>
                  <c:pt idx="103">
                    <c:v>2qSep</c:v>
                  </c:pt>
                  <c:pt idx="104">
                    <c:v>1qOct</c:v>
                  </c:pt>
                  <c:pt idx="105">
                    <c:v>2qOct</c:v>
                  </c:pt>
                  <c:pt idx="106">
                    <c:v>1qNov</c:v>
                  </c:pt>
                  <c:pt idx="107">
                    <c:v>2qNov</c:v>
                  </c:pt>
                  <c:pt idx="108">
                    <c:v>1qDic</c:v>
                  </c:pt>
                  <c:pt idx="109">
                    <c:v>2qDic</c:v>
                  </c:pt>
                  <c:pt idx="110">
                    <c:v>1qEne</c:v>
                  </c:pt>
                  <c:pt idx="111">
                    <c:v>2qEne</c:v>
                  </c:pt>
                  <c:pt idx="112">
                    <c:v>1qFeb</c:v>
                  </c:pt>
                  <c:pt idx="113">
                    <c:v>2qFeb</c:v>
                  </c:pt>
                  <c:pt idx="114">
                    <c:v>1qMar</c:v>
                  </c:pt>
                  <c:pt idx="115">
                    <c:v>2qMar</c:v>
                  </c:pt>
                  <c:pt idx="116">
                    <c:v>1qAbr</c:v>
                  </c:pt>
                  <c:pt idx="117">
                    <c:v>2qAbr</c:v>
                  </c:pt>
                  <c:pt idx="118">
                    <c:v>1qMay</c:v>
                  </c:pt>
                  <c:pt idx="119">
                    <c:v>2qMay</c:v>
                  </c:pt>
                  <c:pt idx="120">
                    <c:v>1qJun</c:v>
                  </c:pt>
                  <c:pt idx="121">
                    <c:v>2qJun</c:v>
                  </c:pt>
                  <c:pt idx="122">
                    <c:v>1qJul</c:v>
                  </c:pt>
                  <c:pt idx="123">
                    <c:v>2qJul</c:v>
                  </c:pt>
                  <c:pt idx="124">
                    <c:v>1qAgo</c:v>
                  </c:pt>
                  <c:pt idx="125">
                    <c:v>2qAgo</c:v>
                  </c:pt>
                  <c:pt idx="126">
                    <c:v>1qSep</c:v>
                  </c:pt>
                  <c:pt idx="127">
                    <c:v>2qSep</c:v>
                  </c:pt>
                  <c:pt idx="128">
                    <c:v>1qOct</c:v>
                  </c:pt>
                  <c:pt idx="129">
                    <c:v>2qOct</c:v>
                  </c:pt>
                  <c:pt idx="130">
                    <c:v>1qNov</c:v>
                  </c:pt>
                  <c:pt idx="131">
                    <c:v>2qNov</c:v>
                  </c:pt>
                  <c:pt idx="132">
                    <c:v>1qDic</c:v>
                  </c:pt>
                  <c:pt idx="133">
                    <c:v>2qDic</c:v>
                  </c:pt>
                  <c:pt idx="134">
                    <c:v>1qEne</c:v>
                  </c:pt>
                  <c:pt idx="135">
                    <c:v>2qEne</c:v>
                  </c:pt>
                  <c:pt idx="136">
                    <c:v>1qFeb</c:v>
                  </c:pt>
                  <c:pt idx="137">
                    <c:v>2qFeb</c:v>
                  </c:pt>
                  <c:pt idx="138">
                    <c:v>1qMar</c:v>
                  </c:pt>
                  <c:pt idx="139">
                    <c:v>2qMar</c:v>
                  </c:pt>
                  <c:pt idx="140">
                    <c:v>1qAbr</c:v>
                  </c:pt>
                  <c:pt idx="141">
                    <c:v>2qAbr</c:v>
                  </c:pt>
                  <c:pt idx="142">
                    <c:v>1qMay</c:v>
                  </c:pt>
                  <c:pt idx="143">
                    <c:v>2qMay</c:v>
                  </c:pt>
                  <c:pt idx="144">
                    <c:v>1qJun</c:v>
                  </c:pt>
                  <c:pt idx="145">
                    <c:v>2qJun</c:v>
                  </c:pt>
                  <c:pt idx="146">
                    <c:v>1qJul</c:v>
                  </c:pt>
                  <c:pt idx="147">
                    <c:v>2qJul</c:v>
                  </c:pt>
                  <c:pt idx="148">
                    <c:v>1qAgo</c:v>
                  </c:pt>
                  <c:pt idx="149">
                    <c:v>2qAgo</c:v>
                  </c:pt>
                  <c:pt idx="150">
                    <c:v>1qSep</c:v>
                  </c:pt>
                  <c:pt idx="151">
                    <c:v>2qSep</c:v>
                  </c:pt>
                  <c:pt idx="152">
                    <c:v>1qOct</c:v>
                  </c:pt>
                  <c:pt idx="153">
                    <c:v>2qOct</c:v>
                  </c:pt>
                  <c:pt idx="154">
                    <c:v>1qNov</c:v>
                  </c:pt>
                  <c:pt idx="155">
                    <c:v>2qNov</c:v>
                  </c:pt>
                  <c:pt idx="156">
                    <c:v>1qDic</c:v>
                  </c:pt>
                  <c:pt idx="157">
                    <c:v>2qDic</c:v>
                  </c:pt>
                  <c:pt idx="158">
                    <c:v>1qEne</c:v>
                  </c:pt>
                  <c:pt idx="159">
                    <c:v>2qEne</c:v>
                  </c:pt>
                  <c:pt idx="160">
                    <c:v>1qFeb</c:v>
                  </c:pt>
                  <c:pt idx="161">
                    <c:v>2qFeb</c:v>
                  </c:pt>
                  <c:pt idx="162">
                    <c:v>1qMar</c:v>
                  </c:pt>
                  <c:pt idx="163">
                    <c:v>2qMar</c:v>
                  </c:pt>
                  <c:pt idx="164">
                    <c:v>1qAbr</c:v>
                  </c:pt>
                  <c:pt idx="165">
                    <c:v>2qAbr</c:v>
                  </c:pt>
                  <c:pt idx="166">
                    <c:v>1qMay</c:v>
                  </c:pt>
                  <c:pt idx="167">
                    <c:v>2qMay</c:v>
                  </c:pt>
                  <c:pt idx="168">
                    <c:v>1qJun</c:v>
                  </c:pt>
                  <c:pt idx="169">
                    <c:v>2qJun</c:v>
                  </c:pt>
                  <c:pt idx="170">
                    <c:v>1qJul</c:v>
                  </c:pt>
                  <c:pt idx="171">
                    <c:v>2qJul</c:v>
                  </c:pt>
                  <c:pt idx="172">
                    <c:v>1qAgo</c:v>
                  </c:pt>
                  <c:pt idx="173">
                    <c:v>2qAgo</c:v>
                  </c:pt>
                  <c:pt idx="174">
                    <c:v>1qSep</c:v>
                  </c:pt>
                  <c:pt idx="175">
                    <c:v>2qSep</c:v>
                  </c:pt>
                  <c:pt idx="176">
                    <c:v>1qOct</c:v>
                  </c:pt>
                  <c:pt idx="177">
                    <c:v>2qOct</c:v>
                  </c:pt>
                  <c:pt idx="178">
                    <c:v>1qNov</c:v>
                  </c:pt>
                  <c:pt idx="179">
                    <c:v>2qNov</c:v>
                  </c:pt>
                  <c:pt idx="180">
                    <c:v>1qDic</c:v>
                  </c:pt>
                  <c:pt idx="181">
                    <c:v>2qDic</c:v>
                  </c:pt>
                  <c:pt idx="182">
                    <c:v>1qEne</c:v>
                  </c:pt>
                  <c:pt idx="183">
                    <c:v>2qEne</c:v>
                  </c:pt>
                  <c:pt idx="184">
                    <c:v>1qFeb</c:v>
                  </c:pt>
                  <c:pt idx="185">
                    <c:v>2qFeb</c:v>
                  </c:pt>
                  <c:pt idx="186">
                    <c:v>1qMar</c:v>
                  </c:pt>
                  <c:pt idx="187">
                    <c:v>2qMar</c:v>
                  </c:pt>
                  <c:pt idx="188">
                    <c:v>1qAbr</c:v>
                  </c:pt>
                  <c:pt idx="189">
                    <c:v>2qAbr</c:v>
                  </c:pt>
                  <c:pt idx="190">
                    <c:v>1qMay</c:v>
                  </c:pt>
                  <c:pt idx="191">
                    <c:v>2qMay</c:v>
                  </c:pt>
                  <c:pt idx="192">
                    <c:v>1qJun</c:v>
                  </c:pt>
                  <c:pt idx="193">
                    <c:v>2qJun</c:v>
                  </c:pt>
                  <c:pt idx="194">
                    <c:v>1qJul</c:v>
                  </c:pt>
                  <c:pt idx="195">
                    <c:v>2qJul</c:v>
                  </c:pt>
                  <c:pt idx="196">
                    <c:v>1qAgo</c:v>
                  </c:pt>
                  <c:pt idx="197">
                    <c:v>2qAgo</c:v>
                  </c:pt>
                  <c:pt idx="198">
                    <c:v>1qSep</c:v>
                  </c:pt>
                  <c:pt idx="199">
                    <c:v>2qSep</c:v>
                  </c:pt>
                  <c:pt idx="200">
                    <c:v>1qOct</c:v>
                  </c:pt>
                  <c:pt idx="201">
                    <c:v>2qOct</c:v>
                  </c:pt>
                  <c:pt idx="202">
                    <c:v>1qNov</c:v>
                  </c:pt>
                  <c:pt idx="203">
                    <c:v>2qNov</c:v>
                  </c:pt>
                  <c:pt idx="204">
                    <c:v>1qDic</c:v>
                  </c:pt>
                  <c:pt idx="205">
                    <c:v>2qDic</c:v>
                  </c:pt>
                  <c:pt idx="206">
                    <c:v>1qEne</c:v>
                  </c:pt>
                  <c:pt idx="207">
                    <c:v>2qEne</c:v>
                  </c:pt>
                  <c:pt idx="208">
                    <c:v>1qFeb</c:v>
                  </c:pt>
                  <c:pt idx="209">
                    <c:v>2qFeb</c:v>
                  </c:pt>
                  <c:pt idx="210">
                    <c:v>1qMar</c:v>
                  </c:pt>
                  <c:pt idx="211">
                    <c:v>2qMar</c:v>
                  </c:pt>
                  <c:pt idx="212">
                    <c:v>1qAbr</c:v>
                  </c:pt>
                  <c:pt idx="213">
                    <c:v>2qAbr</c:v>
                  </c:pt>
                  <c:pt idx="214">
                    <c:v>1qMay</c:v>
                  </c:pt>
                  <c:pt idx="215">
                    <c:v>2qMay</c:v>
                  </c:pt>
                  <c:pt idx="216">
                    <c:v>1qJun</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2013</c:v>
                  </c:pt>
                  <c:pt idx="39">
                    <c:v>2013</c:v>
                  </c:pt>
                  <c:pt idx="40">
                    <c:v>2013</c:v>
                  </c:pt>
                  <c:pt idx="41">
                    <c:v>2013</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2014</c:v>
                  </c:pt>
                  <c:pt idx="63">
                    <c:v>2014</c:v>
                  </c:pt>
                  <c:pt idx="64">
                    <c:v>2014</c:v>
                  </c:pt>
                  <c:pt idx="65">
                    <c:v>2014</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2015</c:v>
                  </c:pt>
                  <c:pt idx="87">
                    <c:v>2015</c:v>
                  </c:pt>
                  <c:pt idx="88">
                    <c:v>2015</c:v>
                  </c:pt>
                  <c:pt idx="89">
                    <c:v>2015</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2017</c:v>
                  </c:pt>
                  <c:pt idx="135">
                    <c:v>2017</c:v>
                  </c:pt>
                  <c:pt idx="136">
                    <c:v>2017</c:v>
                  </c:pt>
                  <c:pt idx="137">
                    <c:v>2017</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2018</c:v>
                  </c:pt>
                  <c:pt idx="159">
                    <c:v>2018</c:v>
                  </c:pt>
                  <c:pt idx="160">
                    <c:v>2018</c:v>
                  </c:pt>
                  <c:pt idx="161">
                    <c:v>2018</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2019</c:v>
                  </c:pt>
                  <c:pt idx="183">
                    <c:v>2019</c:v>
                  </c:pt>
                  <c:pt idx="184">
                    <c:v>2019</c:v>
                  </c:pt>
                  <c:pt idx="185">
                    <c:v>2019</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2020</c:v>
                  </c:pt>
                  <c:pt idx="207">
                    <c:v>2020</c:v>
                  </c:pt>
                  <c:pt idx="208">
                    <c:v>2020</c:v>
                  </c:pt>
                  <c:pt idx="209">
                    <c:v>2020</c:v>
                  </c:pt>
                  <c:pt idx="210">
                    <c:v>2020</c:v>
                  </c:pt>
                  <c:pt idx="211">
                    <c:v>2020</c:v>
                  </c:pt>
                  <c:pt idx="212">
                    <c:v>2020</c:v>
                  </c:pt>
                  <c:pt idx="213">
                    <c:v>2020</c:v>
                  </c:pt>
                  <c:pt idx="214">
                    <c:v>2020</c:v>
                  </c:pt>
                  <c:pt idx="215">
                    <c:v>2020</c:v>
                  </c:pt>
                  <c:pt idx="216">
                    <c:v>2020</c:v>
                  </c:pt>
                </c:lvl>
              </c:multiLvlStrCache>
            </c:multiLvlStrRef>
          </c:cat>
          <c:val>
            <c:numRef>
              <c:f>'Datos base 2q jul 2018'!$J$135:$J$351</c:f>
              <c:numCache>
                <c:formatCode>0.00</c:formatCode>
                <c:ptCount val="217"/>
                <c:pt idx="0">
                  <c:v>2.9726644996227338</c:v>
                </c:pt>
                <c:pt idx="1">
                  <c:v>3.7115131088723894</c:v>
                </c:pt>
                <c:pt idx="2">
                  <c:v>4.4834542146363221</c:v>
                </c:pt>
                <c:pt idx="3">
                  <c:v>4.5324852148895358</c:v>
                </c:pt>
                <c:pt idx="4">
                  <c:v>4.2045643035820017</c:v>
                </c:pt>
                <c:pt idx="5">
                  <c:v>3.5896876560147861</c:v>
                </c:pt>
                <c:pt idx="6">
                  <c:v>3.1315505849218375</c:v>
                </c:pt>
                <c:pt idx="7">
                  <c:v>2.8324946138098586</c:v>
                </c:pt>
                <c:pt idx="8">
                  <c:v>3.1953097878299945</c:v>
                </c:pt>
                <c:pt idx="9">
                  <c:v>2.9766115302884968</c:v>
                </c:pt>
                <c:pt idx="10">
                  <c:v>4.1094747737144184</c:v>
                </c:pt>
                <c:pt idx="11">
                  <c:v>4.1570369175541622</c:v>
                </c:pt>
                <c:pt idx="12">
                  <c:v>5.3980878431429113</c:v>
                </c:pt>
                <c:pt idx="13">
                  <c:v>5.284977125599994</c:v>
                </c:pt>
                <c:pt idx="14">
                  <c:v>5.9688950728139112</c:v>
                </c:pt>
                <c:pt idx="15">
                  <c:v>6.7829656128453877</c:v>
                </c:pt>
                <c:pt idx="16">
                  <c:v>6.0431487604286325</c:v>
                </c:pt>
                <c:pt idx="17">
                  <c:v>5.0215550365205059</c:v>
                </c:pt>
                <c:pt idx="18">
                  <c:v>5.2859299287157651</c:v>
                </c:pt>
                <c:pt idx="19">
                  <c:v>4.9608465405715361</c:v>
                </c:pt>
                <c:pt idx="20">
                  <c:v>3.5724738332766162</c:v>
                </c:pt>
                <c:pt idx="21">
                  <c:v>3.3989969227290513</c:v>
                </c:pt>
                <c:pt idx="22">
                  <c:v>4.4063457190961399</c:v>
                </c:pt>
                <c:pt idx="23">
                  <c:v>5.8983907467252319</c:v>
                </c:pt>
                <c:pt idx="24">
                  <c:v>7.0719229188464947</c:v>
                </c:pt>
                <c:pt idx="25">
                  <c:v>7.4507635130297452</c:v>
                </c:pt>
                <c:pt idx="26">
                  <c:v>7.5521809507569255</c:v>
                </c:pt>
                <c:pt idx="27">
                  <c:v>7.0396963392735641</c:v>
                </c:pt>
                <c:pt idx="28">
                  <c:v>7.0306437576530145</c:v>
                </c:pt>
                <c:pt idx="29">
                  <c:v>8.1267483710033641</c:v>
                </c:pt>
                <c:pt idx="30">
                  <c:v>8.6566494869844988</c:v>
                </c:pt>
                <c:pt idx="31">
                  <c:v>8.9689564639889685</c:v>
                </c:pt>
                <c:pt idx="32">
                  <c:v>8.2727964085251564</c:v>
                </c:pt>
                <c:pt idx="33">
                  <c:v>7.870155377424946</c:v>
                </c:pt>
                <c:pt idx="34">
                  <c:v>7.2170220161045044</c:v>
                </c:pt>
                <c:pt idx="35">
                  <c:v>6.9706637062358769</c:v>
                </c:pt>
                <c:pt idx="36">
                  <c:v>6.2218573451948833</c:v>
                </c:pt>
                <c:pt idx="37">
                  <c:v>5.2682157801897365</c:v>
                </c:pt>
                <c:pt idx="38">
                  <c:v>4.608977501040858</c:v>
                </c:pt>
                <c:pt idx="39">
                  <c:v>4.3355668355780272</c:v>
                </c:pt>
                <c:pt idx="40">
                  <c:v>5.1382253293632401</c:v>
                </c:pt>
                <c:pt idx="41">
                  <c:v>5.8118619831810516</c:v>
                </c:pt>
                <c:pt idx="42">
                  <c:v>7.6078959792507632</c:v>
                </c:pt>
                <c:pt idx="43">
                  <c:v>8.974829046550866</c:v>
                </c:pt>
                <c:pt idx="44">
                  <c:v>10.4402917934479</c:v>
                </c:pt>
                <c:pt idx="45">
                  <c:v>10.201009942024438</c:v>
                </c:pt>
                <c:pt idx="46">
                  <c:v>10.907369408610769</c:v>
                </c:pt>
                <c:pt idx="47">
                  <c:v>10.207435473414865</c:v>
                </c:pt>
                <c:pt idx="48">
                  <c:v>8.9461357031676076</c:v>
                </c:pt>
                <c:pt idx="49">
                  <c:v>7.8336181790615926</c:v>
                </c:pt>
                <c:pt idx="50">
                  <c:v>6.6244275978413096</c:v>
                </c:pt>
                <c:pt idx="51">
                  <c:v>6.5849956521731121</c:v>
                </c:pt>
                <c:pt idx="52">
                  <c:v>7.3449762834321159</c:v>
                </c:pt>
                <c:pt idx="53">
                  <c:v>6.6779523560491665</c:v>
                </c:pt>
                <c:pt idx="54">
                  <c:v>6.4359410807156525</c:v>
                </c:pt>
                <c:pt idx="55">
                  <c:v>5.9553218744046132</c:v>
                </c:pt>
                <c:pt idx="56">
                  <c:v>5.8530958727509432</c:v>
                </c:pt>
                <c:pt idx="57">
                  <c:v>6.5128075430433015</c:v>
                </c:pt>
                <c:pt idx="58">
                  <c:v>7.0118965034908376</c:v>
                </c:pt>
                <c:pt idx="59">
                  <c:v>7.0221263361673998</c:v>
                </c:pt>
                <c:pt idx="60">
                  <c:v>7.4370205211353877</c:v>
                </c:pt>
                <c:pt idx="61">
                  <c:v>8.2465287880433564</c:v>
                </c:pt>
                <c:pt idx="62">
                  <c:v>8.8367983932548242</c:v>
                </c:pt>
                <c:pt idx="63">
                  <c:v>8.3284321874428038</c:v>
                </c:pt>
                <c:pt idx="64">
                  <c:v>8.2233548225420758</c:v>
                </c:pt>
                <c:pt idx="65">
                  <c:v>8.3413815433276302</c:v>
                </c:pt>
                <c:pt idx="66">
                  <c:v>7.2884436711685847</c:v>
                </c:pt>
                <c:pt idx="67">
                  <c:v>5.7915782414892245</c:v>
                </c:pt>
                <c:pt idx="68">
                  <c:v>4.6968785523998315</c:v>
                </c:pt>
                <c:pt idx="69">
                  <c:v>4.798318686234242</c:v>
                </c:pt>
                <c:pt idx="70">
                  <c:v>5.020625205263511</c:v>
                </c:pt>
                <c:pt idx="71">
                  <c:v>5.3523730112123085</c:v>
                </c:pt>
                <c:pt idx="72">
                  <c:v>5.781514877854991</c:v>
                </c:pt>
                <c:pt idx="73">
                  <c:v>6.1425421142468783</c:v>
                </c:pt>
                <c:pt idx="74">
                  <c:v>6.6760329205397984</c:v>
                </c:pt>
                <c:pt idx="75">
                  <c:v>6.9782029697425152</c:v>
                </c:pt>
                <c:pt idx="76">
                  <c:v>6.4950635503201806</c:v>
                </c:pt>
                <c:pt idx="77">
                  <c:v>6.9409184628710738</c:v>
                </c:pt>
                <c:pt idx="78">
                  <c:v>7.0922003284502013</c:v>
                </c:pt>
                <c:pt idx="79">
                  <c:v>7.1317297538828734</c:v>
                </c:pt>
                <c:pt idx="80">
                  <c:v>7.5886496453235548</c:v>
                </c:pt>
                <c:pt idx="81">
                  <c:v>7.4237251066789662</c:v>
                </c:pt>
                <c:pt idx="82">
                  <c:v>6.7872551782769337</c:v>
                </c:pt>
                <c:pt idx="83">
                  <c:v>6.7653961950898802</c:v>
                </c:pt>
                <c:pt idx="84">
                  <c:v>7.1142206408702933</c:v>
                </c:pt>
                <c:pt idx="85">
                  <c:v>6.2883677473259407</c:v>
                </c:pt>
                <c:pt idx="86">
                  <c:v>5.1238236673489137</c:v>
                </c:pt>
                <c:pt idx="87">
                  <c:v>5.553502053315559</c:v>
                </c:pt>
                <c:pt idx="88">
                  <c:v>4.9759722534293189</c:v>
                </c:pt>
                <c:pt idx="89">
                  <c:v>4.7923307780056659</c:v>
                </c:pt>
                <c:pt idx="90">
                  <c:v>4.6877848019337964</c:v>
                </c:pt>
                <c:pt idx="91">
                  <c:v>5.8982881785546351</c:v>
                </c:pt>
                <c:pt idx="92">
                  <c:v>5.5662086749607775</c:v>
                </c:pt>
                <c:pt idx="93">
                  <c:v>5.3604930577271457</c:v>
                </c:pt>
                <c:pt idx="94">
                  <c:v>4.7646302304178798</c:v>
                </c:pt>
                <c:pt idx="95">
                  <c:v>4.5218429460487961</c:v>
                </c:pt>
                <c:pt idx="96">
                  <c:v>4.7150900692212332</c:v>
                </c:pt>
                <c:pt idx="97">
                  <c:v>4.5522452292606204</c:v>
                </c:pt>
                <c:pt idx="98">
                  <c:v>4.2340596225878899</c:v>
                </c:pt>
                <c:pt idx="99">
                  <c:v>4.0145974849363251</c:v>
                </c:pt>
                <c:pt idx="100">
                  <c:v>3.7730940060574425</c:v>
                </c:pt>
                <c:pt idx="101">
                  <c:v>3.253707279534702</c:v>
                </c:pt>
                <c:pt idx="102">
                  <c:v>3.1284345527310906</c:v>
                </c:pt>
                <c:pt idx="103">
                  <c:v>2.799376312718608</c:v>
                </c:pt>
                <c:pt idx="104">
                  <c:v>2.5182673831467639</c:v>
                </c:pt>
                <c:pt idx="105">
                  <c:v>2.5316811331532789</c:v>
                </c:pt>
                <c:pt idx="106">
                  <c:v>2.0256458057087765</c:v>
                </c:pt>
                <c:pt idx="107">
                  <c:v>1.6607444895850163</c:v>
                </c:pt>
                <c:pt idx="108">
                  <c:v>0.82695210466758939</c:v>
                </c:pt>
                <c:pt idx="109">
                  <c:v>1.724262703140605</c:v>
                </c:pt>
                <c:pt idx="110">
                  <c:v>2.076840265880878</c:v>
                </c:pt>
                <c:pt idx="111">
                  <c:v>2.9670720466403915</c:v>
                </c:pt>
                <c:pt idx="112">
                  <c:v>3.8869802894417953</c:v>
                </c:pt>
                <c:pt idx="113">
                  <c:v>3.1013903780819594</c:v>
                </c:pt>
                <c:pt idx="114">
                  <c:v>2.2772829941737354</c:v>
                </c:pt>
                <c:pt idx="115">
                  <c:v>1.9572208365234951</c:v>
                </c:pt>
                <c:pt idx="116">
                  <c:v>2.0115736658447148</c:v>
                </c:pt>
                <c:pt idx="117">
                  <c:v>1.3069599469632531</c:v>
                </c:pt>
                <c:pt idx="118">
                  <c:v>1.3202540826712859</c:v>
                </c:pt>
                <c:pt idx="119">
                  <c:v>1.7754334846294024</c:v>
                </c:pt>
                <c:pt idx="120">
                  <c:v>1.1875054186072642</c:v>
                </c:pt>
                <c:pt idx="121">
                  <c:v>1.1236102759206998</c:v>
                </c:pt>
                <c:pt idx="122">
                  <c:v>1.8570672629971363</c:v>
                </c:pt>
                <c:pt idx="123">
                  <c:v>1.435473434493211</c:v>
                </c:pt>
                <c:pt idx="124">
                  <c:v>2.2551891944160936</c:v>
                </c:pt>
                <c:pt idx="125">
                  <c:v>1.7205237390155139</c:v>
                </c:pt>
                <c:pt idx="126">
                  <c:v>2.3568244434462002</c:v>
                </c:pt>
                <c:pt idx="127">
                  <c:v>2.9494501849673669</c:v>
                </c:pt>
                <c:pt idx="128">
                  <c:v>3.0509461123777619</c:v>
                </c:pt>
                <c:pt idx="129">
                  <c:v>2.8557463161235983</c:v>
                </c:pt>
                <c:pt idx="130">
                  <c:v>3.1799022420404248</c:v>
                </c:pt>
                <c:pt idx="131">
                  <c:v>3.5033422442723645</c:v>
                </c:pt>
                <c:pt idx="132">
                  <c:v>3.5487290477032336</c:v>
                </c:pt>
                <c:pt idx="133">
                  <c:v>2.7088446842934264</c:v>
                </c:pt>
                <c:pt idx="134">
                  <c:v>8.0155759671578775</c:v>
                </c:pt>
                <c:pt idx="135">
                  <c:v>6.7889227299709018</c:v>
                </c:pt>
                <c:pt idx="136">
                  <c:v>6.2468428455855101</c:v>
                </c:pt>
                <c:pt idx="137">
                  <c:v>7.1735536812742309</c:v>
                </c:pt>
                <c:pt idx="138">
                  <c:v>8.2400694123811249</c:v>
                </c:pt>
                <c:pt idx="139">
                  <c:v>7.8091062118025887</c:v>
                </c:pt>
                <c:pt idx="140">
                  <c:v>8.3192674122531542</c:v>
                </c:pt>
                <c:pt idx="141">
                  <c:v>10.188536743829049</c:v>
                </c:pt>
                <c:pt idx="142">
                  <c:v>10.713444255762218</c:v>
                </c:pt>
                <c:pt idx="143">
                  <c:v>10.494054509718536</c:v>
                </c:pt>
                <c:pt idx="144">
                  <c:v>11.068084455061635</c:v>
                </c:pt>
                <c:pt idx="145">
                  <c:v>11.116193236681299</c:v>
                </c:pt>
                <c:pt idx="146">
                  <c:v>10.654814832773308</c:v>
                </c:pt>
                <c:pt idx="147">
                  <c:v>11.890453651150397</c:v>
                </c:pt>
                <c:pt idx="148">
                  <c:v>11.59946520094484</c:v>
                </c:pt>
                <c:pt idx="149">
                  <c:v>12.370504117360422</c:v>
                </c:pt>
                <c:pt idx="150">
                  <c:v>11.732885573617841</c:v>
                </c:pt>
                <c:pt idx="151">
                  <c:v>10.826978305481262</c:v>
                </c:pt>
                <c:pt idx="152">
                  <c:v>11.175643401945399</c:v>
                </c:pt>
                <c:pt idx="153">
                  <c:v>11.627961590016657</c:v>
                </c:pt>
                <c:pt idx="154">
                  <c:v>11.979095541609256</c:v>
                </c:pt>
                <c:pt idx="155">
                  <c:v>11.966928586012539</c:v>
                </c:pt>
                <c:pt idx="156">
                  <c:v>12.19819985820498</c:v>
                </c:pt>
                <c:pt idx="157">
                  <c:v>13.042548535754021</c:v>
                </c:pt>
                <c:pt idx="158">
                  <c:v>8.0957142470216468</c:v>
                </c:pt>
                <c:pt idx="159">
                  <c:v>8.784029546271972</c:v>
                </c:pt>
                <c:pt idx="160">
                  <c:v>8.7699585650103895</c:v>
                </c:pt>
                <c:pt idx="161">
                  <c:v>8.2133204175087577</c:v>
                </c:pt>
                <c:pt idx="162">
                  <c:v>8.2109095942744847</c:v>
                </c:pt>
                <c:pt idx="163">
                  <c:v>7.8437064030363404</c:v>
                </c:pt>
                <c:pt idx="164">
                  <c:v>7.674493162831669</c:v>
                </c:pt>
                <c:pt idx="165">
                  <c:v>6.4732617723916475</c:v>
                </c:pt>
                <c:pt idx="166">
                  <c:v>6.7861034921774976</c:v>
                </c:pt>
                <c:pt idx="167">
                  <c:v>7.1894470826787513</c:v>
                </c:pt>
                <c:pt idx="168">
                  <c:v>7.4080464156303885</c:v>
                </c:pt>
                <c:pt idx="169">
                  <c:v>8.1759578507468582</c:v>
                </c:pt>
                <c:pt idx="170">
                  <c:v>8.5244469707804758</c:v>
                </c:pt>
                <c:pt idx="171">
                  <c:v>8.2396443389400353</c:v>
                </c:pt>
                <c:pt idx="172">
                  <c:v>8.4778777874222051</c:v>
                </c:pt>
                <c:pt idx="173">
                  <c:v>9.1250834094069031</c:v>
                </c:pt>
                <c:pt idx="174">
                  <c:v>8.9014621740238677</c:v>
                </c:pt>
                <c:pt idx="175">
                  <c:v>9.4001712302329175</c:v>
                </c:pt>
                <c:pt idx="176">
                  <c:v>8.5833746080847018</c:v>
                </c:pt>
                <c:pt idx="177">
                  <c:v>8.4149503244663659</c:v>
                </c:pt>
                <c:pt idx="178">
                  <c:v>7.4587754195543852</c:v>
                </c:pt>
                <c:pt idx="179">
                  <c:v>8.6855000983297579</c:v>
                </c:pt>
                <c:pt idx="180">
                  <c:v>9.2345283540430856</c:v>
                </c:pt>
                <c:pt idx="181">
                  <c:v>7.5711178493052351</c:v>
                </c:pt>
                <c:pt idx="182">
                  <c:v>7.3124385579132483</c:v>
                </c:pt>
                <c:pt idx="183">
                  <c:v>6.3061753519809374</c:v>
                </c:pt>
                <c:pt idx="184">
                  <c:v>5.1471540749467239</c:v>
                </c:pt>
                <c:pt idx="185">
                  <c:v>5.3588076577166346</c:v>
                </c:pt>
                <c:pt idx="186">
                  <c:v>5.3893710249035962</c:v>
                </c:pt>
                <c:pt idx="187">
                  <c:v>5.5437019338347788</c:v>
                </c:pt>
                <c:pt idx="188">
                  <c:v>5.7707492934085547</c:v>
                </c:pt>
                <c:pt idx="189">
                  <c:v>6.3945344975361236</c:v>
                </c:pt>
                <c:pt idx="190">
                  <c:v>6.4150072664465689</c:v>
                </c:pt>
                <c:pt idx="191">
                  <c:v>5.1485634676002903</c:v>
                </c:pt>
                <c:pt idx="192">
                  <c:v>4.3393156770757928</c:v>
                </c:pt>
                <c:pt idx="193">
                  <c:v>4.037491372769324</c:v>
                </c:pt>
                <c:pt idx="194">
                  <c:v>3.920254162049539</c:v>
                </c:pt>
                <c:pt idx="195">
                  <c:v>3.3700000000000041</c:v>
                </c:pt>
                <c:pt idx="196">
                  <c:v>1.8069870764384564</c:v>
                </c:pt>
                <c:pt idx="197">
                  <c:v>0.76325379907859547</c:v>
                </c:pt>
                <c:pt idx="198">
                  <c:v>0.56789253123408745</c:v>
                </c:pt>
                <c:pt idx="199">
                  <c:v>0.84506489941570395</c:v>
                </c:pt>
                <c:pt idx="200">
                  <c:v>0.98524078276217042</c:v>
                </c:pt>
                <c:pt idx="201">
                  <c:v>1.0409411036297576</c:v>
                </c:pt>
                <c:pt idx="202">
                  <c:v>1.4517936155263074</c:v>
                </c:pt>
                <c:pt idx="203">
                  <c:v>0.50817105300167975</c:v>
                </c:pt>
                <c:pt idx="204">
                  <c:v>-0.15228473531241721</c:v>
                </c:pt>
                <c:pt idx="205">
                  <c:v>1.3325873082482418</c:v>
                </c:pt>
                <c:pt idx="206">
                  <c:v>1.6008786217551949</c:v>
                </c:pt>
                <c:pt idx="207">
                  <c:v>2.012004712129996</c:v>
                </c:pt>
                <c:pt idx="208">
                  <c:v>3.0312774872081154</c:v>
                </c:pt>
                <c:pt idx="209">
                  <c:v>4.5964072536017415</c:v>
                </c:pt>
                <c:pt idx="210">
                  <c:v>4.0373138543215932</c:v>
                </c:pt>
                <c:pt idx="211">
                  <c:v>0.34719281903632798</c:v>
                </c:pt>
                <c:pt idx="212">
                  <c:v>-1.930833261820982</c:v>
                </c:pt>
                <c:pt idx="213">
                  <c:v>-1.9980608733674303</c:v>
                </c:pt>
                <c:pt idx="214">
                  <c:v>-5.6929474994449378E-2</c:v>
                </c:pt>
                <c:pt idx="215">
                  <c:v>0.76050428329998754</c:v>
                </c:pt>
                <c:pt idx="216">
                  <c:v>1.6326889107925342</c:v>
                </c:pt>
              </c:numCache>
            </c:numRef>
          </c:val>
          <c:smooth val="0"/>
          <c:extLst>
            <c:ext xmlns:c16="http://schemas.microsoft.com/office/drawing/2014/chart" uri="{C3380CC4-5D6E-409C-BE32-E72D297353CC}">
              <c16:uniqueId val="{00000005-D97F-4116-9CD8-5A40015320EC}"/>
            </c:ext>
          </c:extLst>
        </c:ser>
        <c:dLbls>
          <c:showLegendKey val="0"/>
          <c:showVal val="0"/>
          <c:showCatName val="0"/>
          <c:showSerName val="0"/>
          <c:showPercent val="0"/>
          <c:showBubbleSize val="0"/>
        </c:dLbls>
        <c:smooth val="0"/>
        <c:axId val="193395960"/>
        <c:axId val="193396352"/>
      </c:lineChart>
      <c:catAx>
        <c:axId val="193395960"/>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6352"/>
        <c:crosses val="autoZero"/>
        <c:auto val="0"/>
        <c:lblAlgn val="ctr"/>
        <c:lblOffset val="100"/>
        <c:tickLblSkip val="24"/>
        <c:tickMarkSkip val="24"/>
        <c:noMultiLvlLbl val="1"/>
      </c:catAx>
      <c:valAx>
        <c:axId val="193396352"/>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5960"/>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1AA3-7127-4934-8CD2-6A89DCBF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2026</TotalTime>
  <Pages>11</Pages>
  <Words>2276</Words>
  <Characters>12288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GUILLEN MEDINA MOISES</cp:lastModifiedBy>
  <cp:revision>145</cp:revision>
  <cp:lastPrinted>2020-03-18T21:13:00Z</cp:lastPrinted>
  <dcterms:created xsi:type="dcterms:W3CDTF">2019-01-21T18:24:00Z</dcterms:created>
  <dcterms:modified xsi:type="dcterms:W3CDTF">2020-06-23T21:02:00Z</dcterms:modified>
  <cp:category>INDICES DE PRECIOS</cp:category>
  <cp:version>1</cp:version>
</cp:coreProperties>
</file>