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233789"/>
    <w:bookmarkEnd w:id="0"/>
    <w:p w14:paraId="1C15A15E" w14:textId="77777777" w:rsidR="006172C1" w:rsidRDefault="006172C1" w:rsidP="006172C1">
      <w:pPr>
        <w:tabs>
          <w:tab w:val="left" w:pos="8789"/>
        </w:tabs>
        <w:ind w:right="51"/>
        <w:jc w:val="center"/>
        <w:rPr>
          <w:b/>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572E786B" wp14:editId="2CCE7372">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02CB9D4" w14:textId="77777777" w:rsidR="006172C1" w:rsidRPr="00265B8C" w:rsidRDefault="006172C1" w:rsidP="006172C1">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7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2E786B"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502CB9D4" w14:textId="77777777" w:rsidR="006172C1" w:rsidRPr="00265B8C" w:rsidRDefault="006172C1" w:rsidP="006172C1">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7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  </w:t>
                      </w:r>
                    </w:p>
                  </w:txbxContent>
                </v:textbox>
                <w10:wrap type="square"/>
              </v:shape>
            </w:pict>
          </mc:Fallback>
        </mc:AlternateContent>
      </w:r>
    </w:p>
    <w:p w14:paraId="04DC4847" w14:textId="77777777" w:rsidR="006172C1" w:rsidRDefault="006172C1" w:rsidP="006172C1">
      <w:pPr>
        <w:pStyle w:val="Profesin"/>
        <w:spacing w:before="240"/>
      </w:pPr>
      <w:r>
        <w:t xml:space="preserve">  </w:t>
      </w:r>
    </w:p>
    <w:p w14:paraId="11CD76F4" w14:textId="77777777" w:rsidR="006172C1" w:rsidRPr="00B6569A" w:rsidRDefault="006172C1" w:rsidP="006172C1">
      <w:pPr>
        <w:pStyle w:val="Profesin"/>
        <w:spacing w:before="360"/>
      </w:pPr>
      <w:r>
        <w:t>Í</w:t>
      </w:r>
      <w:r w:rsidRPr="00B6569A">
        <w:t>NDICE NACIONAL DE PRECIOS AL CONSUMIDOR</w:t>
      </w:r>
    </w:p>
    <w:p w14:paraId="12593A19" w14:textId="77777777" w:rsidR="006172C1" w:rsidRPr="00B6569A" w:rsidRDefault="006172C1" w:rsidP="006172C1">
      <w:pPr>
        <w:pStyle w:val="Profesin"/>
        <w:rPr>
          <w:caps w:val="0"/>
        </w:rPr>
      </w:pPr>
      <w:r>
        <w:rPr>
          <w:caps w:val="0"/>
        </w:rPr>
        <w:t xml:space="preserve">FEBRERO </w:t>
      </w:r>
      <w:r w:rsidRPr="003110E0">
        <w:rPr>
          <w:caps w:val="0"/>
        </w:rPr>
        <w:t>DE 20</w:t>
      </w:r>
      <w:r>
        <w:rPr>
          <w:caps w:val="0"/>
        </w:rPr>
        <w:t>20</w:t>
      </w:r>
    </w:p>
    <w:p w14:paraId="04168131" w14:textId="77777777" w:rsidR="006172C1" w:rsidRPr="0020349F" w:rsidRDefault="006172C1" w:rsidP="006172C1">
      <w:pPr>
        <w:spacing w:before="360"/>
        <w:ind w:right="-263"/>
      </w:pPr>
      <w:r w:rsidRPr="0020349F">
        <w:t>El Instituto Nacional de Estadística y Geografía (INEGI) informa que en febrero de 2020 el Índice Nacional de Precios al Consumidor (INPC) presentó un incremento de 0.42 por ciento respecto al mes inmediato anterior, así como una inflación anual de 3.70 por ciento. En comparación con el mismo periodo de 2019, las cifras fueron de (-)0.03 por ciento mensual y de 3.94 por ciento anual.</w:t>
      </w:r>
    </w:p>
    <w:p w14:paraId="6E66D970" w14:textId="77777777" w:rsidR="006172C1" w:rsidRPr="0020349F" w:rsidRDefault="006172C1" w:rsidP="006172C1">
      <w:pPr>
        <w:spacing w:before="360"/>
        <w:ind w:right="-263"/>
      </w:pPr>
      <w:r w:rsidRPr="0020349F">
        <w:t>El índice de precios subyacente</w:t>
      </w:r>
      <w:r w:rsidRPr="0020349F">
        <w:rPr>
          <w:vertAlign w:val="superscript"/>
        </w:rPr>
        <w:footnoteReference w:id="1"/>
      </w:r>
      <w:r w:rsidRPr="0020349F">
        <w:t xml:space="preserve"> tuvo un alza mensual de 0.36 por ciento y anual de 3.66 por ciento durante febrero pasado; por su parte, el índice de precios no subyacente registró un aumento mensual de 0.57 por ciento y anual de 3.81 por ciento. </w:t>
      </w:r>
    </w:p>
    <w:p w14:paraId="7AB09711" w14:textId="77777777" w:rsidR="006172C1" w:rsidRPr="0020349F" w:rsidRDefault="006172C1" w:rsidP="006172C1">
      <w:pPr>
        <w:spacing w:before="360"/>
        <w:ind w:right="-263"/>
      </w:pPr>
      <w:r w:rsidRPr="0020349F">
        <w:t>La variación mensual del índice de precios subyacente resultó de crecimientos en los precios de las mercancías de 0.39 por ciento y en los servicios de 0.33 por ciento.</w:t>
      </w:r>
    </w:p>
    <w:p w14:paraId="63A07144" w14:textId="77777777" w:rsidR="006172C1" w:rsidRPr="0020349F" w:rsidRDefault="006172C1" w:rsidP="006172C1">
      <w:pPr>
        <w:spacing w:before="360"/>
        <w:ind w:right="-263"/>
      </w:pPr>
      <w:r w:rsidRPr="0020349F">
        <w:t>Al interior del índice de precios no subyacente, los precios de los productos agropecuarios subieron 1.74 por ciento, mientras que los de los energéticos y tarifas autorizadas por el gobierno retrocedieron (-)0.29 por ciento mensual.</w:t>
      </w:r>
    </w:p>
    <w:p w14:paraId="1D2634EB" w14:textId="77777777" w:rsidR="006172C1" w:rsidRPr="00FE475D" w:rsidRDefault="006172C1" w:rsidP="006172C1">
      <w:pPr>
        <w:pStyle w:val="Profesin"/>
        <w:spacing w:before="360"/>
        <w:rPr>
          <w:caps w:val="0"/>
          <w:sz w:val="24"/>
          <w:szCs w:val="24"/>
        </w:rPr>
      </w:pPr>
      <w:r w:rsidRPr="00FE475D">
        <w:rPr>
          <w:sz w:val="24"/>
          <w:szCs w:val="24"/>
        </w:rPr>
        <w:t xml:space="preserve">  </w:t>
      </w:r>
    </w:p>
    <w:p w14:paraId="5DC8CE78" w14:textId="77777777" w:rsidR="006172C1" w:rsidRPr="00BF4A6C" w:rsidRDefault="006172C1" w:rsidP="006172C1">
      <w:pPr>
        <w:spacing w:before="360"/>
        <w:ind w:right="162" w:hanging="785"/>
        <w:rPr>
          <w:i/>
        </w:rPr>
      </w:pPr>
      <w:r w:rsidRPr="00FE475D">
        <w:rPr>
          <w:color w:val="000000" w:themeColor="text1"/>
        </w:rPr>
        <w:tab/>
      </w:r>
    </w:p>
    <w:p w14:paraId="7BA5CD26" w14:textId="77777777" w:rsidR="006172C1" w:rsidRDefault="006172C1" w:rsidP="006172C1">
      <w:pPr>
        <w:keepNext/>
        <w:keepLines/>
        <w:spacing w:before="480"/>
        <w:jc w:val="center"/>
        <w:rPr>
          <w:b/>
          <w:bCs/>
          <w:color w:val="000000" w:themeColor="text1"/>
          <w:sz w:val="22"/>
          <w:szCs w:val="22"/>
        </w:rPr>
      </w:pPr>
    </w:p>
    <w:p w14:paraId="22BC18CD" w14:textId="77777777" w:rsidR="006172C1" w:rsidRPr="008E3BB5" w:rsidRDefault="006172C1" w:rsidP="006172C1">
      <w:pPr>
        <w:keepNext/>
        <w:keepLines/>
        <w:spacing w:before="240"/>
        <w:jc w:val="center"/>
        <w:rPr>
          <w:b/>
          <w:bCs/>
          <w:smallCaps/>
          <w:color w:val="000000" w:themeColor="text1"/>
          <w:sz w:val="22"/>
          <w:szCs w:val="22"/>
        </w:rPr>
      </w:pPr>
      <w:r w:rsidRPr="008E3BB5">
        <w:rPr>
          <w:b/>
          <w:bCs/>
          <w:smallCaps/>
          <w:color w:val="000000" w:themeColor="text1"/>
          <w:sz w:val="22"/>
          <w:szCs w:val="22"/>
        </w:rPr>
        <w:t xml:space="preserve">INPC, Subyacente </w:t>
      </w:r>
      <w:r>
        <w:rPr>
          <w:b/>
          <w:bCs/>
          <w:smallCaps/>
          <w:color w:val="000000" w:themeColor="text1"/>
          <w:sz w:val="22"/>
          <w:szCs w:val="22"/>
        </w:rPr>
        <w:t>y</w:t>
      </w:r>
      <w:r w:rsidRPr="008E3BB5">
        <w:rPr>
          <w:b/>
          <w:bCs/>
          <w:smallCaps/>
          <w:color w:val="000000" w:themeColor="text1"/>
          <w:sz w:val="22"/>
          <w:szCs w:val="22"/>
        </w:rPr>
        <w:t xml:space="preserve"> No Subyacente</w:t>
      </w:r>
    </w:p>
    <w:p w14:paraId="25103CD4" w14:textId="77777777" w:rsidR="006172C1" w:rsidRDefault="006172C1" w:rsidP="006172C1">
      <w:pPr>
        <w:keepNext/>
        <w:keepLines/>
        <w:widowControl w:val="0"/>
        <w:autoSpaceDE w:val="0"/>
        <w:autoSpaceDN w:val="0"/>
        <w:adjustRightInd w:val="0"/>
        <w:jc w:val="center"/>
        <w:rPr>
          <w:sz w:val="18"/>
          <w:szCs w:val="18"/>
        </w:rPr>
      </w:pPr>
      <w:r w:rsidRPr="008E3BB5">
        <w:rPr>
          <w:sz w:val="18"/>
          <w:szCs w:val="18"/>
        </w:rPr>
        <w:t xml:space="preserve">Variación porcentual e incidencia durante febrero </w:t>
      </w:r>
      <w:r>
        <w:rPr>
          <w:sz w:val="18"/>
          <w:szCs w:val="18"/>
        </w:rPr>
        <w:t xml:space="preserve">de </w:t>
      </w:r>
      <w:r w:rsidRPr="008E3BB5">
        <w:rPr>
          <w:sz w:val="18"/>
          <w:szCs w:val="18"/>
        </w:rPr>
        <w:t>los años que se indican</w:t>
      </w:r>
    </w:p>
    <w:p w14:paraId="7AFA4802" w14:textId="77777777" w:rsidR="006172C1" w:rsidRPr="008E3BB5" w:rsidRDefault="006172C1" w:rsidP="006172C1">
      <w:pPr>
        <w:keepNext/>
        <w:keepLines/>
        <w:widowControl w:val="0"/>
        <w:autoSpaceDE w:val="0"/>
        <w:autoSpaceDN w:val="0"/>
        <w:adjustRightInd w:val="0"/>
        <w:jc w:val="center"/>
        <w:rPr>
          <w:sz w:val="18"/>
          <w:szCs w:val="18"/>
        </w:rPr>
      </w:pPr>
      <w:r w:rsidRPr="00F133A7">
        <w:rPr>
          <w:noProof/>
        </w:rPr>
        <w:drawing>
          <wp:inline distT="0" distB="0" distL="0" distR="0" wp14:anchorId="072F9656" wp14:editId="47A72461">
            <wp:extent cx="5972810" cy="2566035"/>
            <wp:effectExtent l="0" t="0" r="889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66035"/>
                    </a:xfrm>
                    <a:prstGeom prst="rect">
                      <a:avLst/>
                    </a:prstGeom>
                    <a:noFill/>
                    <a:ln>
                      <a:noFill/>
                    </a:ln>
                  </pic:spPr>
                </pic:pic>
              </a:graphicData>
            </a:graphic>
          </wp:inline>
        </w:drawing>
      </w:r>
    </w:p>
    <w:p w14:paraId="6EA9815D" w14:textId="77777777" w:rsidR="006172C1" w:rsidRPr="003B2C91" w:rsidRDefault="006172C1" w:rsidP="006172C1">
      <w:pPr>
        <w:autoSpaceDE w:val="0"/>
        <w:autoSpaceDN w:val="0"/>
        <w:adjustRightInd w:val="0"/>
        <w:ind w:left="283" w:right="-405" w:hanging="170"/>
        <w:rPr>
          <w:color w:val="006600"/>
          <w:sz w:val="16"/>
          <w:szCs w:val="16"/>
        </w:rPr>
      </w:pPr>
      <w:r w:rsidRPr="003B2C91">
        <w:rPr>
          <w:color w:val="006600"/>
          <w:sz w:val="18"/>
          <w:szCs w:val="16"/>
          <w:vertAlign w:val="superscript"/>
        </w:rPr>
        <w:t>1/</w:t>
      </w:r>
      <w:r>
        <w:rPr>
          <w:color w:val="006600"/>
          <w:sz w:val="16"/>
          <w:szCs w:val="16"/>
        </w:rPr>
        <w:tab/>
      </w:r>
      <w:r w:rsidRPr="003B2C91">
        <w:rPr>
          <w:color w:val="006600"/>
          <w:sz w:val="16"/>
          <w:szCs w:val="16"/>
        </w:rPr>
        <w:t xml:space="preserve">La incidencia se refiere a la contribución en puntos porcentuales de cada componente del INPC </w:t>
      </w:r>
      <w:r>
        <w:rPr>
          <w:color w:val="006600"/>
          <w:sz w:val="16"/>
          <w:szCs w:val="16"/>
        </w:rPr>
        <w:t>a</w:t>
      </w:r>
      <w:r w:rsidRPr="003B2C91">
        <w:rPr>
          <w:color w:val="006600"/>
          <w:sz w:val="16"/>
          <w:szCs w:val="16"/>
        </w:rPr>
        <w:t xml:space="preserve"> la inflación general. Ésta se</w:t>
      </w:r>
      <w:r>
        <w:rPr>
          <w:color w:val="006600"/>
          <w:sz w:val="16"/>
          <w:szCs w:val="16"/>
        </w:rPr>
        <w:t xml:space="preserve"> </w:t>
      </w:r>
      <w:r w:rsidRPr="003B2C91">
        <w:rPr>
          <w:color w:val="006600"/>
          <w:sz w:val="16"/>
          <w:szCs w:val="16"/>
        </w:rPr>
        <w:t>calcula utilizando los ponderadores de cada subíndice, así como los precios relativos y sus respectivas variaciones. En ciertos casos, la suma de los componentes de algún grupo de subíndices puede tener alguna discrepancia por efectos de redondeo.</w:t>
      </w:r>
    </w:p>
    <w:p w14:paraId="77D4CABD" w14:textId="77777777" w:rsidR="006172C1" w:rsidRPr="003B2C91" w:rsidRDefault="006172C1" w:rsidP="006172C1">
      <w:pPr>
        <w:autoSpaceDE w:val="0"/>
        <w:autoSpaceDN w:val="0"/>
        <w:adjustRightInd w:val="0"/>
        <w:ind w:left="283" w:right="-405" w:hanging="170"/>
        <w:rPr>
          <w:color w:val="006600"/>
          <w:sz w:val="16"/>
          <w:szCs w:val="16"/>
        </w:rPr>
      </w:pPr>
      <w:r w:rsidRPr="003B2C91">
        <w:rPr>
          <w:color w:val="006600"/>
          <w:sz w:val="18"/>
          <w:szCs w:val="16"/>
          <w:vertAlign w:val="superscript"/>
        </w:rPr>
        <w:t>2/</w:t>
      </w:r>
      <w:r>
        <w:rPr>
          <w:color w:val="006600"/>
          <w:sz w:val="16"/>
          <w:szCs w:val="16"/>
        </w:rPr>
        <w:tab/>
      </w:r>
      <w:r w:rsidRPr="003B2C91">
        <w:rPr>
          <w:color w:val="006600"/>
          <w:sz w:val="16"/>
          <w:szCs w:val="16"/>
        </w:rPr>
        <w:t>Incluye alimentos procesados, bebidas y tabaco, no incluye productos agropecuarios.</w:t>
      </w:r>
    </w:p>
    <w:p w14:paraId="39729B8A" w14:textId="77777777" w:rsidR="006172C1" w:rsidRPr="003B2C91" w:rsidRDefault="006172C1" w:rsidP="006172C1">
      <w:pPr>
        <w:autoSpaceDE w:val="0"/>
        <w:autoSpaceDN w:val="0"/>
        <w:adjustRightInd w:val="0"/>
        <w:ind w:left="283" w:right="-405" w:hanging="170"/>
        <w:rPr>
          <w:color w:val="006600"/>
          <w:sz w:val="16"/>
          <w:szCs w:val="16"/>
        </w:rPr>
      </w:pPr>
      <w:r w:rsidRPr="003B2C91">
        <w:rPr>
          <w:color w:val="006600"/>
          <w:sz w:val="18"/>
          <w:szCs w:val="16"/>
          <w:vertAlign w:val="superscript"/>
        </w:rPr>
        <w:t>3/</w:t>
      </w:r>
      <w:r>
        <w:rPr>
          <w:color w:val="006600"/>
          <w:sz w:val="16"/>
          <w:szCs w:val="16"/>
        </w:rPr>
        <w:tab/>
      </w:r>
      <w:r w:rsidRPr="003B2C91">
        <w:rPr>
          <w:color w:val="006600"/>
          <w:sz w:val="16"/>
          <w:szCs w:val="16"/>
        </w:rPr>
        <w:t>Incluye vivienda propia, renta de vivienda, servicio doméstico y otros servicios para el hogar.</w:t>
      </w:r>
    </w:p>
    <w:p w14:paraId="7CC5BFBE" w14:textId="77777777" w:rsidR="006172C1" w:rsidRPr="003B2C91" w:rsidRDefault="006172C1" w:rsidP="006172C1">
      <w:pPr>
        <w:autoSpaceDE w:val="0"/>
        <w:autoSpaceDN w:val="0"/>
        <w:adjustRightInd w:val="0"/>
        <w:ind w:left="283" w:right="-405" w:hanging="170"/>
        <w:rPr>
          <w:color w:val="006600"/>
          <w:sz w:val="16"/>
          <w:szCs w:val="16"/>
        </w:rPr>
      </w:pPr>
      <w:r w:rsidRPr="003B2C91">
        <w:rPr>
          <w:color w:val="006600"/>
          <w:sz w:val="18"/>
          <w:szCs w:val="16"/>
          <w:vertAlign w:val="superscript"/>
        </w:rPr>
        <w:t>4/</w:t>
      </w:r>
      <w:r w:rsidRPr="003B2C91">
        <w:rPr>
          <w:color w:val="006600"/>
          <w:sz w:val="18"/>
          <w:szCs w:val="16"/>
          <w:vertAlign w:val="superscript"/>
        </w:rPr>
        <w:tab/>
      </w:r>
      <w:r w:rsidRPr="003B2C91">
        <w:rPr>
          <w:color w:val="006600"/>
          <w:sz w:val="16"/>
          <w:szCs w:val="16"/>
        </w:rPr>
        <w:t>Incluye loncherías, fondas y taquerías, restaurantes y similares, servicio de telefonía móvil, mantenimiento de automóvil, consulta médica, servicios turísticos en paquete, entre otros.</w:t>
      </w:r>
    </w:p>
    <w:p w14:paraId="4959C838" w14:textId="77777777" w:rsidR="006172C1" w:rsidRDefault="006172C1" w:rsidP="006172C1">
      <w:pPr>
        <w:autoSpaceDE w:val="0"/>
        <w:autoSpaceDN w:val="0"/>
        <w:adjustRightInd w:val="0"/>
        <w:ind w:left="283" w:right="-405" w:hanging="170"/>
        <w:rPr>
          <w:color w:val="006600"/>
          <w:sz w:val="16"/>
          <w:szCs w:val="16"/>
        </w:rPr>
      </w:pPr>
    </w:p>
    <w:p w14:paraId="1462F146" w14:textId="77777777" w:rsidR="006172C1" w:rsidRDefault="006172C1" w:rsidP="006172C1">
      <w:pPr>
        <w:spacing w:before="20"/>
        <w:ind w:left="142" w:right="-263" w:hanging="548"/>
        <w:outlineLvl w:val="0"/>
        <w:rPr>
          <w:sz w:val="4"/>
          <w:szCs w:val="4"/>
        </w:rPr>
      </w:pPr>
    </w:p>
    <w:p w14:paraId="32CED79B" w14:textId="77777777" w:rsidR="006172C1" w:rsidRDefault="006172C1" w:rsidP="006172C1">
      <w:pPr>
        <w:spacing w:before="20"/>
        <w:ind w:left="142" w:right="-263" w:hanging="548"/>
        <w:jc w:val="right"/>
        <w:outlineLvl w:val="0"/>
        <w:rPr>
          <w:sz w:val="4"/>
          <w:szCs w:val="4"/>
        </w:rPr>
      </w:pPr>
      <w:r>
        <w:rPr>
          <w:noProof/>
          <w:lang w:val="es-MX" w:eastAsia="es-MX"/>
        </w:rPr>
        <w:drawing>
          <wp:inline distT="0" distB="0" distL="0" distR="0" wp14:anchorId="722B6D7C" wp14:editId="07141C7F">
            <wp:extent cx="4112373" cy="1466005"/>
            <wp:effectExtent l="0" t="0" r="254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0218" cy="1486626"/>
                    </a:xfrm>
                    <a:prstGeom prst="rect">
                      <a:avLst/>
                    </a:prstGeom>
                    <a:noFill/>
                  </pic:spPr>
                </pic:pic>
              </a:graphicData>
            </a:graphic>
          </wp:inline>
        </w:drawing>
      </w:r>
    </w:p>
    <w:p w14:paraId="44323298" w14:textId="77777777" w:rsidR="006172C1" w:rsidRDefault="006172C1" w:rsidP="006172C1">
      <w:pPr>
        <w:pStyle w:val="p01"/>
        <w:keepLines w:val="0"/>
        <w:tabs>
          <w:tab w:val="left" w:pos="3261"/>
        </w:tabs>
        <w:spacing w:before="100" w:beforeAutospacing="1"/>
        <w:ind w:left="1418"/>
        <w:mirrorIndents/>
        <w:outlineLvl w:val="0"/>
        <w:rPr>
          <w:rFonts w:cs="Arial"/>
          <w:szCs w:val="24"/>
        </w:rPr>
      </w:pPr>
      <w:r>
        <w:rPr>
          <w:rFonts w:ascii="Arial" w:hAnsi="Arial" w:cs="Arial"/>
          <w:b/>
          <w:color w:val="000000"/>
          <w:szCs w:val="24"/>
        </w:rPr>
        <w:tab/>
        <w:t xml:space="preserve">   S</w:t>
      </w:r>
      <w:r w:rsidRPr="003B1ACA">
        <w:rPr>
          <w:rFonts w:ascii="Arial" w:hAnsi="Arial" w:cs="Arial"/>
          <w:b/>
          <w:color w:val="000000"/>
          <w:szCs w:val="24"/>
        </w:rPr>
        <w:t>e anexa Nota Técnica</w:t>
      </w:r>
      <w:r>
        <w:rPr>
          <w:rFonts w:cs="Arial"/>
          <w:szCs w:val="24"/>
        </w:rPr>
        <w:tab/>
      </w:r>
    </w:p>
    <w:p w14:paraId="54CBD087" w14:textId="77777777" w:rsidR="006172C1" w:rsidRDefault="006172C1" w:rsidP="006172C1">
      <w:pPr>
        <w:pStyle w:val="p0"/>
      </w:pPr>
    </w:p>
    <w:p w14:paraId="2A0BA6AF" w14:textId="77777777" w:rsidR="006172C1" w:rsidRPr="00D51A7C" w:rsidRDefault="006172C1" w:rsidP="006172C1">
      <w:pPr>
        <w:pStyle w:val="p0"/>
      </w:pPr>
    </w:p>
    <w:p w14:paraId="1C0640AC" w14:textId="77777777" w:rsidR="006172C1" w:rsidRPr="00D51A7C" w:rsidRDefault="006172C1" w:rsidP="006172C1">
      <w:pPr>
        <w:pStyle w:val="NormalWeb"/>
        <w:spacing w:before="0" w:beforeAutospacing="0" w:after="0" w:afterAutospacing="0"/>
        <w:ind w:left="-426" w:right="-518"/>
        <w:contextualSpacing/>
        <w:jc w:val="center"/>
        <w:rPr>
          <w:rFonts w:ascii="Arial" w:hAnsi="Arial" w:cs="Arial"/>
          <w:sz w:val="20"/>
          <w:szCs w:val="20"/>
        </w:rPr>
      </w:pPr>
      <w:r w:rsidRPr="00D51A7C">
        <w:rPr>
          <w:rFonts w:ascii="Arial" w:hAnsi="Arial" w:cs="Arial"/>
          <w:sz w:val="20"/>
          <w:szCs w:val="20"/>
        </w:rPr>
        <w:t xml:space="preserve">Para consultas de medios y periodistas, contactar a: </w:t>
      </w:r>
      <w:hyperlink r:id="rId10" w:history="1">
        <w:r w:rsidRPr="00D51A7C">
          <w:rPr>
            <w:rStyle w:val="Hipervnculo"/>
            <w:rFonts w:ascii="Arial" w:hAnsi="Arial" w:cs="Arial"/>
            <w:sz w:val="20"/>
            <w:szCs w:val="20"/>
          </w:rPr>
          <w:t>comunicacionsocial@inegi.org.mx</w:t>
        </w:r>
      </w:hyperlink>
      <w:r w:rsidRPr="00D51A7C">
        <w:rPr>
          <w:rFonts w:ascii="Arial" w:hAnsi="Arial" w:cs="Arial"/>
          <w:sz w:val="20"/>
          <w:szCs w:val="20"/>
        </w:rPr>
        <w:t xml:space="preserve"> </w:t>
      </w:r>
    </w:p>
    <w:p w14:paraId="36EBC9B2" w14:textId="77777777" w:rsidR="006172C1" w:rsidRPr="00D51A7C" w:rsidRDefault="006172C1" w:rsidP="006172C1">
      <w:pPr>
        <w:pStyle w:val="NormalWeb"/>
        <w:spacing w:before="0" w:beforeAutospacing="0" w:after="0" w:afterAutospacing="0"/>
        <w:ind w:left="-426" w:right="-518"/>
        <w:contextualSpacing/>
        <w:jc w:val="center"/>
        <w:rPr>
          <w:rFonts w:ascii="Arial" w:hAnsi="Arial" w:cs="Arial"/>
          <w:sz w:val="20"/>
          <w:szCs w:val="20"/>
        </w:rPr>
      </w:pPr>
      <w:r w:rsidRPr="00D51A7C">
        <w:rPr>
          <w:rFonts w:ascii="Arial" w:hAnsi="Arial" w:cs="Arial"/>
          <w:sz w:val="20"/>
          <w:szCs w:val="20"/>
        </w:rPr>
        <w:t xml:space="preserve">o llamar al teléfono (55) 52-78-10-00, </w:t>
      </w:r>
      <w:proofErr w:type="spellStart"/>
      <w:r w:rsidRPr="00D51A7C">
        <w:rPr>
          <w:rFonts w:ascii="Arial" w:hAnsi="Arial" w:cs="Arial"/>
          <w:sz w:val="20"/>
          <w:szCs w:val="20"/>
        </w:rPr>
        <w:t>exts</w:t>
      </w:r>
      <w:proofErr w:type="spellEnd"/>
      <w:r w:rsidRPr="00D51A7C">
        <w:rPr>
          <w:rFonts w:ascii="Arial" w:hAnsi="Arial" w:cs="Arial"/>
          <w:sz w:val="20"/>
          <w:szCs w:val="20"/>
        </w:rPr>
        <w:t>. 1134, 1260 y 1241.</w:t>
      </w:r>
    </w:p>
    <w:p w14:paraId="0EA588E2" w14:textId="77777777" w:rsidR="006172C1" w:rsidRPr="00D51A7C" w:rsidRDefault="006172C1" w:rsidP="006172C1">
      <w:pPr>
        <w:ind w:left="-426" w:right="-518"/>
        <w:contextualSpacing/>
        <w:jc w:val="center"/>
        <w:rPr>
          <w:sz w:val="20"/>
          <w:szCs w:val="20"/>
        </w:rPr>
      </w:pPr>
    </w:p>
    <w:p w14:paraId="7F810A0F" w14:textId="77777777" w:rsidR="006172C1" w:rsidRPr="00D51A7C" w:rsidRDefault="006172C1" w:rsidP="006172C1">
      <w:pPr>
        <w:ind w:left="-426" w:right="-518"/>
        <w:contextualSpacing/>
        <w:jc w:val="center"/>
        <w:rPr>
          <w:sz w:val="20"/>
          <w:szCs w:val="20"/>
        </w:rPr>
      </w:pPr>
      <w:r w:rsidRPr="00D51A7C">
        <w:rPr>
          <w:sz w:val="20"/>
          <w:szCs w:val="20"/>
        </w:rPr>
        <w:t>Dirección de Atención a Medios / Dirección General Adjunta de Comunicación</w:t>
      </w:r>
    </w:p>
    <w:p w14:paraId="146BD7FD" w14:textId="77777777" w:rsidR="006172C1" w:rsidRPr="00D51A7C" w:rsidRDefault="006172C1" w:rsidP="006172C1">
      <w:pPr>
        <w:ind w:left="-426" w:right="-518"/>
        <w:contextualSpacing/>
        <w:jc w:val="center"/>
        <w:rPr>
          <w:sz w:val="20"/>
          <w:szCs w:val="20"/>
        </w:rPr>
      </w:pPr>
    </w:p>
    <w:p w14:paraId="0849C62D" w14:textId="77777777" w:rsidR="006172C1" w:rsidRPr="008F0992" w:rsidRDefault="006172C1" w:rsidP="006172C1">
      <w:pPr>
        <w:ind w:left="-425" w:right="-516"/>
        <w:contextualSpacing/>
        <w:jc w:val="center"/>
        <w:rPr>
          <w:noProof/>
          <w:lang w:eastAsia="es-MX"/>
        </w:rPr>
      </w:pPr>
      <w:r w:rsidRPr="00FF1218">
        <w:rPr>
          <w:noProof/>
          <w:lang w:val="es-MX" w:eastAsia="es-MX"/>
        </w:rPr>
        <w:drawing>
          <wp:inline distT="0" distB="0" distL="0" distR="0" wp14:anchorId="2995DDB9" wp14:editId="7567D4C6">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B5AB694" wp14:editId="521B0EFA">
            <wp:extent cx="365760" cy="365760"/>
            <wp:effectExtent l="0" t="0" r="0" b="0"/>
            <wp:docPr id="7" name="Imagen 7"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31A6409" wp14:editId="567C9797">
            <wp:extent cx="365760" cy="365760"/>
            <wp:effectExtent l="0" t="0" r="0" b="0"/>
            <wp:docPr id="13" name="Imagen 13"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4D07279" wp14:editId="4BC42DAD">
            <wp:extent cx="365760" cy="365760"/>
            <wp:effectExtent l="0" t="0" r="0" b="0"/>
            <wp:docPr id="10" name="Imagen 10"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01915A6" wp14:editId="1D6045F1">
            <wp:extent cx="2286000" cy="274320"/>
            <wp:effectExtent l="0" t="0" r="0" b="0"/>
            <wp:docPr id="8" name="Imagen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14467D8" w14:textId="77777777" w:rsidR="006172C1" w:rsidRDefault="006172C1" w:rsidP="006172C1">
      <w:pPr>
        <w:pStyle w:val="NormalWeb"/>
        <w:spacing w:before="0" w:beforeAutospacing="0" w:after="0" w:afterAutospacing="0"/>
        <w:ind w:left="-426" w:right="-518"/>
        <w:jc w:val="center"/>
        <w:rPr>
          <w:rFonts w:ascii="Arial" w:hAnsi="Arial" w:cs="Arial"/>
          <w:sz w:val="18"/>
          <w:szCs w:val="18"/>
        </w:rPr>
      </w:pPr>
    </w:p>
    <w:p w14:paraId="0850857D" w14:textId="77777777" w:rsidR="006172C1" w:rsidRPr="005167F5" w:rsidRDefault="006172C1" w:rsidP="006172C1">
      <w:pPr>
        <w:pStyle w:val="p0"/>
        <w:jc w:val="center"/>
        <w:rPr>
          <w:sz w:val="18"/>
          <w:szCs w:val="18"/>
        </w:rPr>
        <w:sectPr w:rsidR="006172C1" w:rsidRPr="005167F5" w:rsidSect="004E4A3C">
          <w:headerReference w:type="even" r:id="rId21"/>
          <w:headerReference w:type="default" r:id="rId22"/>
          <w:footerReference w:type="even" r:id="rId23"/>
          <w:footerReference w:type="default" r:id="rId24"/>
          <w:headerReference w:type="first" r:id="rId25"/>
          <w:footerReference w:type="first" r:id="rId26"/>
          <w:pgSz w:w="12240" w:h="15840" w:code="1"/>
          <w:pgMar w:top="1" w:right="1701" w:bottom="0" w:left="1588" w:header="510" w:footer="510" w:gutter="0"/>
          <w:cols w:space="720"/>
          <w:docGrid w:linePitch="272"/>
        </w:sectPr>
      </w:pPr>
    </w:p>
    <w:p w14:paraId="351A0E93" w14:textId="77777777" w:rsidR="006172C1" w:rsidRDefault="006172C1" w:rsidP="006172C1">
      <w:pPr>
        <w:tabs>
          <w:tab w:val="left" w:pos="8789"/>
        </w:tabs>
        <w:ind w:right="51"/>
        <w:jc w:val="center"/>
        <w:rPr>
          <w:b/>
          <w:color w:val="000000" w:themeColor="text1"/>
          <w:sz w:val="28"/>
          <w:szCs w:val="28"/>
        </w:rPr>
      </w:pPr>
      <w:r w:rsidRPr="00C26721">
        <w:rPr>
          <w:b/>
          <w:color w:val="000000" w:themeColor="text1"/>
          <w:sz w:val="28"/>
          <w:szCs w:val="28"/>
        </w:rPr>
        <w:lastRenderedPageBreak/>
        <w:t xml:space="preserve">    </w:t>
      </w:r>
      <w:r w:rsidRPr="0011753D">
        <w:rPr>
          <w:b/>
          <w:color w:val="000000" w:themeColor="text1"/>
          <w:sz w:val="28"/>
          <w:szCs w:val="28"/>
        </w:rPr>
        <w:t>NOTA TÉCNICA</w:t>
      </w:r>
    </w:p>
    <w:p w14:paraId="00695FF0" w14:textId="77777777" w:rsidR="006172C1" w:rsidRPr="006172C1" w:rsidRDefault="006172C1" w:rsidP="006172C1">
      <w:pPr>
        <w:tabs>
          <w:tab w:val="left" w:pos="8789"/>
        </w:tabs>
        <w:ind w:right="51"/>
        <w:jc w:val="center"/>
        <w:rPr>
          <w:b/>
          <w:color w:val="000000" w:themeColor="text1"/>
          <w:sz w:val="20"/>
          <w:szCs w:val="20"/>
        </w:rPr>
      </w:pPr>
    </w:p>
    <w:p w14:paraId="55036B6E" w14:textId="43ADDFA4" w:rsidR="00B63B5D" w:rsidRPr="006172C1" w:rsidRDefault="00935393" w:rsidP="006172C1">
      <w:pPr>
        <w:tabs>
          <w:tab w:val="left" w:pos="8789"/>
        </w:tabs>
        <w:ind w:right="51"/>
        <w:jc w:val="center"/>
        <w:rPr>
          <w:b/>
          <w:bCs/>
          <w:sz w:val="28"/>
          <w:szCs w:val="28"/>
        </w:rPr>
      </w:pPr>
      <w:r w:rsidRPr="006172C1">
        <w:rPr>
          <w:b/>
          <w:bCs/>
          <w:sz w:val="28"/>
          <w:szCs w:val="28"/>
        </w:rPr>
        <w:t>Í</w:t>
      </w:r>
      <w:r w:rsidR="00B63B5D" w:rsidRPr="006172C1">
        <w:rPr>
          <w:b/>
          <w:bCs/>
          <w:sz w:val="28"/>
          <w:szCs w:val="28"/>
        </w:rPr>
        <w:t>NDICE NACIONAL DE PRECIOS AL CONSUMIDOR</w:t>
      </w:r>
    </w:p>
    <w:p w14:paraId="7F3D4C40" w14:textId="000E81C9" w:rsidR="00B63B5D" w:rsidRPr="006172C1" w:rsidRDefault="00624F11" w:rsidP="00B63B5D">
      <w:pPr>
        <w:pStyle w:val="Profesin"/>
        <w:rPr>
          <w:caps w:val="0"/>
        </w:rPr>
      </w:pPr>
      <w:r w:rsidRPr="006172C1">
        <w:rPr>
          <w:caps w:val="0"/>
        </w:rPr>
        <w:t xml:space="preserve">FEBRERO </w:t>
      </w:r>
      <w:r w:rsidR="003110E0" w:rsidRPr="006172C1">
        <w:rPr>
          <w:caps w:val="0"/>
        </w:rPr>
        <w:t>DE 20</w:t>
      </w:r>
      <w:r w:rsidR="008F2672" w:rsidRPr="006172C1">
        <w:rPr>
          <w:caps w:val="0"/>
        </w:rPr>
        <w:t>20</w:t>
      </w:r>
    </w:p>
    <w:p w14:paraId="2480D82F" w14:textId="0C8D4893" w:rsidR="007729C2" w:rsidRDefault="007729C2">
      <w:pPr>
        <w:jc w:val="left"/>
        <w:rPr>
          <w:b/>
          <w:i/>
          <w:color w:val="000000" w:themeColor="text1"/>
        </w:rPr>
      </w:pPr>
    </w:p>
    <w:p w14:paraId="7DF24C6E" w14:textId="77777777" w:rsidR="00E0429B" w:rsidRPr="00AD3792" w:rsidRDefault="00E0429B" w:rsidP="00354CFB">
      <w:pPr>
        <w:widowControl w:val="0"/>
        <w:spacing w:before="240"/>
        <w:jc w:val="left"/>
        <w:rPr>
          <w:b/>
          <w:i/>
          <w:color w:val="000000" w:themeColor="text1"/>
        </w:rPr>
      </w:pPr>
      <w:r w:rsidRPr="00866182">
        <w:rPr>
          <w:b/>
          <w:i/>
          <w:color w:val="000000" w:themeColor="text1"/>
        </w:rPr>
        <w:t xml:space="preserve">Índice Nacional de Precios al </w:t>
      </w:r>
      <w:r w:rsidRPr="00AD3792">
        <w:rPr>
          <w:b/>
          <w:i/>
          <w:color w:val="000000" w:themeColor="text1"/>
        </w:rPr>
        <w:t xml:space="preserve">Consumidor </w:t>
      </w:r>
    </w:p>
    <w:p w14:paraId="44D066E7" w14:textId="12B97DA9" w:rsidR="00624F11" w:rsidRPr="00D25428" w:rsidRDefault="00624F11" w:rsidP="008E3BB5">
      <w:pPr>
        <w:widowControl w:val="0"/>
        <w:autoSpaceDE w:val="0"/>
        <w:autoSpaceDN w:val="0"/>
        <w:adjustRightInd w:val="0"/>
        <w:spacing w:before="360"/>
      </w:pPr>
      <w:r>
        <w:rPr>
          <w:color w:val="000000" w:themeColor="text1"/>
        </w:rPr>
        <w:t xml:space="preserve">En febrero de 2020 el </w:t>
      </w:r>
      <w:r w:rsidRPr="00D25428">
        <w:rPr>
          <w:color w:val="000000" w:themeColor="text1"/>
        </w:rPr>
        <w:t xml:space="preserve">Índice Nacional de Precios al Consumidor (INPC) </w:t>
      </w:r>
      <w:r>
        <w:rPr>
          <w:color w:val="000000" w:themeColor="text1"/>
        </w:rPr>
        <w:t>aumentó</w:t>
      </w:r>
      <w:r w:rsidRPr="00D25428">
        <w:rPr>
          <w:color w:val="000000" w:themeColor="text1"/>
        </w:rPr>
        <w:t xml:space="preserve"> </w:t>
      </w:r>
      <w:r>
        <w:rPr>
          <w:color w:val="000000" w:themeColor="text1"/>
        </w:rPr>
        <w:t>0.42</w:t>
      </w:r>
      <w:r w:rsidRPr="00D25428">
        <w:rPr>
          <w:color w:val="000000" w:themeColor="text1"/>
        </w:rPr>
        <w:t xml:space="preserve"> por ciento</w:t>
      </w:r>
      <w:r w:rsidR="008E3BB5">
        <w:rPr>
          <w:color w:val="000000" w:themeColor="text1"/>
        </w:rPr>
        <w:t xml:space="preserve"> a tasa mensual, mientras que e</w:t>
      </w:r>
      <w:r>
        <w:rPr>
          <w:color w:val="000000" w:themeColor="text1"/>
        </w:rPr>
        <w:t xml:space="preserve">n el mismo </w:t>
      </w:r>
      <w:r w:rsidR="008E3BB5">
        <w:rPr>
          <w:color w:val="000000" w:themeColor="text1"/>
        </w:rPr>
        <w:t xml:space="preserve">mes </w:t>
      </w:r>
      <w:r>
        <w:rPr>
          <w:color w:val="000000" w:themeColor="text1"/>
        </w:rPr>
        <w:t xml:space="preserve">de 2019 </w:t>
      </w:r>
      <w:r w:rsidR="008E3BB5">
        <w:rPr>
          <w:color w:val="000000" w:themeColor="text1"/>
        </w:rPr>
        <w:t xml:space="preserve">registró una disminución de </w:t>
      </w:r>
      <w:r>
        <w:rPr>
          <w:color w:val="000000" w:themeColor="text1"/>
        </w:rPr>
        <w:t>(-)0.03 por ciento.</w:t>
      </w:r>
    </w:p>
    <w:p w14:paraId="26984407" w14:textId="70C89B8A" w:rsidR="00624F11" w:rsidRPr="008E3BB5" w:rsidRDefault="008E3BB5" w:rsidP="008E3BB5">
      <w:pPr>
        <w:pStyle w:val="n01"/>
        <w:keepNext/>
        <w:spacing w:before="360"/>
        <w:ind w:left="708" w:hanging="708"/>
        <w:jc w:val="center"/>
        <w:rPr>
          <w:rFonts w:ascii="Arial" w:hAnsi="Arial"/>
          <w:b/>
          <w:bCs/>
          <w:smallCaps/>
          <w:color w:val="000000" w:themeColor="text1"/>
          <w:sz w:val="22"/>
          <w:szCs w:val="22"/>
        </w:rPr>
      </w:pPr>
      <w:r w:rsidRPr="008E3BB5">
        <w:rPr>
          <w:rFonts w:ascii="Arial" w:hAnsi="Arial"/>
          <w:b/>
          <w:bCs/>
          <w:smallCaps/>
          <w:color w:val="000000" w:themeColor="text1"/>
          <w:sz w:val="22"/>
          <w:szCs w:val="22"/>
        </w:rPr>
        <w:t xml:space="preserve">Índice Nacional </w:t>
      </w:r>
      <w:r>
        <w:rPr>
          <w:rFonts w:ascii="Arial" w:hAnsi="Arial"/>
          <w:b/>
          <w:bCs/>
          <w:smallCaps/>
          <w:color w:val="000000" w:themeColor="text1"/>
          <w:sz w:val="22"/>
          <w:szCs w:val="22"/>
        </w:rPr>
        <w:t>d</w:t>
      </w:r>
      <w:r w:rsidRPr="008E3BB5">
        <w:rPr>
          <w:rFonts w:ascii="Arial" w:hAnsi="Arial"/>
          <w:b/>
          <w:bCs/>
          <w:smallCaps/>
          <w:color w:val="000000" w:themeColor="text1"/>
          <w:sz w:val="22"/>
          <w:szCs w:val="22"/>
        </w:rPr>
        <w:t xml:space="preserve">e Precios </w:t>
      </w:r>
      <w:r>
        <w:rPr>
          <w:rFonts w:ascii="Arial" w:hAnsi="Arial"/>
          <w:b/>
          <w:bCs/>
          <w:smallCaps/>
          <w:color w:val="000000" w:themeColor="text1"/>
          <w:sz w:val="22"/>
          <w:szCs w:val="22"/>
        </w:rPr>
        <w:t>a</w:t>
      </w:r>
      <w:r w:rsidRPr="008E3BB5">
        <w:rPr>
          <w:rFonts w:ascii="Arial" w:hAnsi="Arial"/>
          <w:b/>
          <w:bCs/>
          <w:smallCaps/>
          <w:color w:val="000000" w:themeColor="text1"/>
          <w:sz w:val="22"/>
          <w:szCs w:val="22"/>
        </w:rPr>
        <w:t>l Consumidor</w:t>
      </w:r>
    </w:p>
    <w:p w14:paraId="3A768B3F" w14:textId="7F5672D2" w:rsidR="00624F11" w:rsidRPr="008E3BB5" w:rsidRDefault="00624F11" w:rsidP="00624F11">
      <w:pPr>
        <w:widowControl w:val="0"/>
        <w:autoSpaceDE w:val="0"/>
        <w:autoSpaceDN w:val="0"/>
        <w:adjustRightInd w:val="0"/>
        <w:spacing w:before="3" w:line="225" w:lineRule="exact"/>
        <w:ind w:right="-20"/>
        <w:jc w:val="center"/>
        <w:rPr>
          <w:sz w:val="18"/>
          <w:szCs w:val="22"/>
        </w:rPr>
      </w:pPr>
      <w:r w:rsidRPr="008E3BB5">
        <w:rPr>
          <w:sz w:val="18"/>
          <w:szCs w:val="22"/>
        </w:rPr>
        <w:t xml:space="preserve">Variación porcentual </w:t>
      </w:r>
      <w:r w:rsidR="00D93DC5">
        <w:rPr>
          <w:sz w:val="18"/>
          <w:szCs w:val="22"/>
        </w:rPr>
        <w:t xml:space="preserve">mensual </w:t>
      </w:r>
      <w:r w:rsidRPr="008E3BB5">
        <w:rPr>
          <w:sz w:val="18"/>
          <w:szCs w:val="22"/>
        </w:rPr>
        <w:t>en febrero de los años que se indican</w:t>
      </w:r>
    </w:p>
    <w:p w14:paraId="70AE6CD1" w14:textId="3B34EFD5" w:rsidR="00624F11" w:rsidRDefault="00F133A7" w:rsidP="00F133A7">
      <w:pPr>
        <w:autoSpaceDE w:val="0"/>
        <w:autoSpaceDN w:val="0"/>
        <w:adjustRightInd w:val="0"/>
        <w:jc w:val="center"/>
        <w:rPr>
          <w:color w:val="000000" w:themeColor="text1"/>
          <w:sz w:val="22"/>
          <w:szCs w:val="22"/>
        </w:rPr>
      </w:pPr>
      <w:r>
        <w:rPr>
          <w:noProof/>
        </w:rPr>
        <w:drawing>
          <wp:inline distT="0" distB="0" distL="0" distR="0" wp14:anchorId="78E1901F" wp14:editId="0062FBFD">
            <wp:extent cx="5052953" cy="2888242"/>
            <wp:effectExtent l="0" t="0" r="14605" b="266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ABE8636" w14:textId="6BED2151" w:rsidR="00624F11" w:rsidRPr="00B81C75" w:rsidRDefault="00624F11" w:rsidP="00406F98">
      <w:pPr>
        <w:autoSpaceDE w:val="0"/>
        <w:autoSpaceDN w:val="0"/>
        <w:adjustRightInd w:val="0"/>
        <w:spacing w:before="600"/>
        <w:rPr>
          <w:b/>
          <w:bCs/>
          <w:color w:val="000000" w:themeColor="text1"/>
          <w:sz w:val="22"/>
          <w:szCs w:val="22"/>
        </w:rPr>
      </w:pPr>
      <w:r w:rsidRPr="00D25428">
        <w:rPr>
          <w:color w:val="000000" w:themeColor="text1"/>
        </w:rPr>
        <w:t xml:space="preserve">En el siguiente cuadro se presentan las variaciones e incidencias </w:t>
      </w:r>
      <w:r w:rsidR="00CE3E3D">
        <w:rPr>
          <w:color w:val="000000" w:themeColor="text1"/>
        </w:rPr>
        <w:t>para</w:t>
      </w:r>
      <w:r w:rsidRPr="00D25428">
        <w:rPr>
          <w:color w:val="000000" w:themeColor="text1"/>
        </w:rPr>
        <w:t xml:space="preserve"> el </w:t>
      </w:r>
      <w:r w:rsidR="008E3BB5">
        <w:rPr>
          <w:color w:val="000000" w:themeColor="text1"/>
        </w:rPr>
        <w:t xml:space="preserve">segundo </w:t>
      </w:r>
      <w:r w:rsidRPr="00D25428">
        <w:rPr>
          <w:color w:val="000000" w:themeColor="text1"/>
        </w:rPr>
        <w:t>mes de 20</w:t>
      </w:r>
      <w:r>
        <w:rPr>
          <w:color w:val="000000" w:themeColor="text1"/>
        </w:rPr>
        <w:t>20</w:t>
      </w:r>
      <w:r w:rsidRPr="00D25428">
        <w:rPr>
          <w:color w:val="000000" w:themeColor="text1"/>
        </w:rPr>
        <w:t xml:space="preserve"> </w:t>
      </w:r>
      <w:r>
        <w:rPr>
          <w:color w:val="000000" w:themeColor="text1"/>
        </w:rPr>
        <w:t>en el INPC</w:t>
      </w:r>
      <w:r w:rsidR="008A154A">
        <w:rPr>
          <w:color w:val="000000" w:themeColor="text1"/>
        </w:rPr>
        <w:t>,</w:t>
      </w:r>
      <w:r>
        <w:rPr>
          <w:color w:val="000000" w:themeColor="text1"/>
        </w:rPr>
        <w:t xml:space="preserve"> </w:t>
      </w:r>
      <w:r w:rsidRPr="00D25428">
        <w:rPr>
          <w:color w:val="000000" w:themeColor="text1"/>
        </w:rPr>
        <w:t xml:space="preserve">así como </w:t>
      </w:r>
      <w:r>
        <w:rPr>
          <w:color w:val="000000" w:themeColor="text1"/>
        </w:rPr>
        <w:t xml:space="preserve">en </w:t>
      </w:r>
      <w:r w:rsidRPr="00D25428">
        <w:rPr>
          <w:color w:val="000000" w:themeColor="text1"/>
        </w:rPr>
        <w:t xml:space="preserve">los subíndices que </w:t>
      </w:r>
      <w:r>
        <w:rPr>
          <w:color w:val="000000" w:themeColor="text1"/>
        </w:rPr>
        <w:t xml:space="preserve">lo </w:t>
      </w:r>
      <w:r w:rsidRPr="00D25428">
        <w:rPr>
          <w:color w:val="000000" w:themeColor="text1"/>
        </w:rPr>
        <w:t>integran</w:t>
      </w:r>
      <w:r w:rsidR="008E3BB5">
        <w:rPr>
          <w:color w:val="000000" w:themeColor="text1"/>
        </w:rPr>
        <w:t>.</w:t>
      </w:r>
    </w:p>
    <w:p w14:paraId="3A2FA60D" w14:textId="2269866F" w:rsidR="00624F11" w:rsidRPr="008E3BB5" w:rsidRDefault="008E3BB5" w:rsidP="008E3BB5">
      <w:pPr>
        <w:keepNext/>
        <w:keepLines/>
        <w:spacing w:before="240"/>
        <w:jc w:val="center"/>
        <w:rPr>
          <w:b/>
          <w:bCs/>
          <w:smallCaps/>
          <w:color w:val="000000" w:themeColor="text1"/>
          <w:sz w:val="22"/>
          <w:szCs w:val="22"/>
        </w:rPr>
      </w:pPr>
      <w:r w:rsidRPr="008E3BB5">
        <w:rPr>
          <w:b/>
          <w:bCs/>
          <w:smallCaps/>
          <w:color w:val="000000" w:themeColor="text1"/>
          <w:sz w:val="22"/>
          <w:szCs w:val="22"/>
        </w:rPr>
        <w:lastRenderedPageBreak/>
        <w:t xml:space="preserve">INPC, Subyacente </w:t>
      </w:r>
      <w:r>
        <w:rPr>
          <w:b/>
          <w:bCs/>
          <w:smallCaps/>
          <w:color w:val="000000" w:themeColor="text1"/>
          <w:sz w:val="22"/>
          <w:szCs w:val="22"/>
        </w:rPr>
        <w:t>y</w:t>
      </w:r>
      <w:r w:rsidRPr="008E3BB5">
        <w:rPr>
          <w:b/>
          <w:bCs/>
          <w:smallCaps/>
          <w:color w:val="000000" w:themeColor="text1"/>
          <w:sz w:val="22"/>
          <w:szCs w:val="22"/>
        </w:rPr>
        <w:t xml:space="preserve"> No Subyacente</w:t>
      </w:r>
    </w:p>
    <w:p w14:paraId="510211CB" w14:textId="087222BC" w:rsidR="00624F11" w:rsidRDefault="00624F11" w:rsidP="008E3BB5">
      <w:pPr>
        <w:keepNext/>
        <w:keepLines/>
        <w:widowControl w:val="0"/>
        <w:autoSpaceDE w:val="0"/>
        <w:autoSpaceDN w:val="0"/>
        <w:adjustRightInd w:val="0"/>
        <w:jc w:val="center"/>
        <w:rPr>
          <w:sz w:val="18"/>
          <w:szCs w:val="18"/>
        </w:rPr>
      </w:pPr>
      <w:r w:rsidRPr="008E3BB5">
        <w:rPr>
          <w:sz w:val="18"/>
          <w:szCs w:val="18"/>
        </w:rPr>
        <w:t xml:space="preserve">Variación porcentual e incidencia durante febrero </w:t>
      </w:r>
      <w:r w:rsidR="008E3BB5">
        <w:rPr>
          <w:sz w:val="18"/>
          <w:szCs w:val="18"/>
        </w:rPr>
        <w:t xml:space="preserve">de </w:t>
      </w:r>
      <w:r w:rsidRPr="008E3BB5">
        <w:rPr>
          <w:sz w:val="18"/>
          <w:szCs w:val="18"/>
        </w:rPr>
        <w:t>los años que se indican</w:t>
      </w:r>
    </w:p>
    <w:p w14:paraId="1DAB4E88" w14:textId="0FA85D0F" w:rsidR="00F133A7" w:rsidRPr="008E3BB5" w:rsidRDefault="00F133A7" w:rsidP="008E3BB5">
      <w:pPr>
        <w:keepNext/>
        <w:keepLines/>
        <w:widowControl w:val="0"/>
        <w:autoSpaceDE w:val="0"/>
        <w:autoSpaceDN w:val="0"/>
        <w:adjustRightInd w:val="0"/>
        <w:jc w:val="center"/>
        <w:rPr>
          <w:sz w:val="18"/>
          <w:szCs w:val="18"/>
        </w:rPr>
      </w:pPr>
      <w:r w:rsidRPr="00F133A7">
        <w:rPr>
          <w:noProof/>
        </w:rPr>
        <w:drawing>
          <wp:inline distT="0" distB="0" distL="0" distR="0" wp14:anchorId="646A2DF9" wp14:editId="6773073F">
            <wp:extent cx="5972810" cy="2566035"/>
            <wp:effectExtent l="0" t="0" r="889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66035"/>
                    </a:xfrm>
                    <a:prstGeom prst="rect">
                      <a:avLst/>
                    </a:prstGeom>
                    <a:noFill/>
                    <a:ln>
                      <a:noFill/>
                    </a:ln>
                  </pic:spPr>
                </pic:pic>
              </a:graphicData>
            </a:graphic>
          </wp:inline>
        </w:drawing>
      </w:r>
    </w:p>
    <w:p w14:paraId="32C798B1" w14:textId="77777777" w:rsidR="00624F11" w:rsidRPr="003B2C91" w:rsidRDefault="00624F11" w:rsidP="00624F11">
      <w:pPr>
        <w:autoSpaceDE w:val="0"/>
        <w:autoSpaceDN w:val="0"/>
        <w:adjustRightInd w:val="0"/>
        <w:ind w:left="283" w:right="113" w:hanging="170"/>
        <w:rPr>
          <w:color w:val="006600"/>
          <w:sz w:val="16"/>
          <w:szCs w:val="16"/>
        </w:rPr>
      </w:pPr>
      <w:r w:rsidRPr="003B2C91">
        <w:rPr>
          <w:color w:val="006600"/>
          <w:sz w:val="18"/>
          <w:szCs w:val="16"/>
          <w:vertAlign w:val="superscript"/>
        </w:rPr>
        <w:t>1/</w:t>
      </w:r>
      <w:r>
        <w:rPr>
          <w:color w:val="006600"/>
          <w:sz w:val="16"/>
          <w:szCs w:val="16"/>
        </w:rPr>
        <w:tab/>
      </w:r>
      <w:r w:rsidRPr="003B2C91">
        <w:rPr>
          <w:color w:val="006600"/>
          <w:sz w:val="16"/>
          <w:szCs w:val="16"/>
        </w:rPr>
        <w:t xml:space="preserve">La incidencia se refiere a la contribución en puntos porcentuales de cada componente del INPC </w:t>
      </w:r>
      <w:r>
        <w:rPr>
          <w:color w:val="006600"/>
          <w:sz w:val="16"/>
          <w:szCs w:val="16"/>
        </w:rPr>
        <w:t>a</w:t>
      </w:r>
      <w:r w:rsidRPr="003B2C91">
        <w:rPr>
          <w:color w:val="006600"/>
          <w:sz w:val="16"/>
          <w:szCs w:val="16"/>
        </w:rPr>
        <w:t xml:space="preserve"> la inflación general. Ésta se</w:t>
      </w:r>
      <w:r>
        <w:rPr>
          <w:color w:val="006600"/>
          <w:sz w:val="16"/>
          <w:szCs w:val="16"/>
        </w:rPr>
        <w:t xml:space="preserve"> </w:t>
      </w:r>
      <w:r w:rsidRPr="003B2C91">
        <w:rPr>
          <w:color w:val="006600"/>
          <w:sz w:val="16"/>
          <w:szCs w:val="16"/>
        </w:rPr>
        <w:t>calcula utilizando los ponderadores de cada subíndice, así como los precios relativos y sus respectivas variaciones. En ciertos casos, la suma de los componentes de algún grupo de subíndices puede tener alguna discrepancia por efectos de redondeo.</w:t>
      </w:r>
    </w:p>
    <w:p w14:paraId="2E398017" w14:textId="77777777" w:rsidR="00624F11" w:rsidRPr="003B2C91" w:rsidRDefault="00624F11" w:rsidP="00624F11">
      <w:pPr>
        <w:autoSpaceDE w:val="0"/>
        <w:autoSpaceDN w:val="0"/>
        <w:adjustRightInd w:val="0"/>
        <w:ind w:left="283" w:right="113" w:hanging="170"/>
        <w:rPr>
          <w:color w:val="006600"/>
          <w:sz w:val="16"/>
          <w:szCs w:val="16"/>
        </w:rPr>
      </w:pPr>
      <w:r w:rsidRPr="003B2C91">
        <w:rPr>
          <w:color w:val="006600"/>
          <w:sz w:val="18"/>
          <w:szCs w:val="16"/>
          <w:vertAlign w:val="superscript"/>
        </w:rPr>
        <w:t>2/</w:t>
      </w:r>
      <w:r>
        <w:rPr>
          <w:color w:val="006600"/>
          <w:sz w:val="16"/>
          <w:szCs w:val="16"/>
        </w:rPr>
        <w:tab/>
      </w:r>
      <w:r w:rsidRPr="003B2C91">
        <w:rPr>
          <w:color w:val="006600"/>
          <w:sz w:val="16"/>
          <w:szCs w:val="16"/>
        </w:rPr>
        <w:t>Incluye alimentos procesados, bebidas y tabaco, no incluye productos agropecuarios.</w:t>
      </w:r>
    </w:p>
    <w:p w14:paraId="6EF3B843" w14:textId="77777777" w:rsidR="00624F11" w:rsidRPr="003B2C91" w:rsidRDefault="00624F11" w:rsidP="00624F11">
      <w:pPr>
        <w:autoSpaceDE w:val="0"/>
        <w:autoSpaceDN w:val="0"/>
        <w:adjustRightInd w:val="0"/>
        <w:ind w:left="283" w:right="113" w:hanging="170"/>
        <w:rPr>
          <w:color w:val="006600"/>
          <w:sz w:val="16"/>
          <w:szCs w:val="16"/>
        </w:rPr>
      </w:pPr>
      <w:r w:rsidRPr="003B2C91">
        <w:rPr>
          <w:color w:val="006600"/>
          <w:sz w:val="18"/>
          <w:szCs w:val="16"/>
          <w:vertAlign w:val="superscript"/>
        </w:rPr>
        <w:t>3/</w:t>
      </w:r>
      <w:r>
        <w:rPr>
          <w:color w:val="006600"/>
          <w:sz w:val="16"/>
          <w:szCs w:val="16"/>
        </w:rPr>
        <w:tab/>
      </w:r>
      <w:r w:rsidRPr="003B2C91">
        <w:rPr>
          <w:color w:val="006600"/>
          <w:sz w:val="16"/>
          <w:szCs w:val="16"/>
        </w:rPr>
        <w:t>Incluye vivienda propia, renta de vivienda, servicio doméstico y otros servicios para el hogar.</w:t>
      </w:r>
    </w:p>
    <w:p w14:paraId="16F0CE3D" w14:textId="77777777" w:rsidR="00624F11" w:rsidRPr="003B2C91" w:rsidRDefault="00624F11" w:rsidP="00624F11">
      <w:pPr>
        <w:autoSpaceDE w:val="0"/>
        <w:autoSpaceDN w:val="0"/>
        <w:adjustRightInd w:val="0"/>
        <w:ind w:left="283" w:right="113" w:hanging="170"/>
        <w:rPr>
          <w:color w:val="006600"/>
          <w:sz w:val="16"/>
          <w:szCs w:val="16"/>
        </w:rPr>
      </w:pPr>
      <w:r w:rsidRPr="003B2C91">
        <w:rPr>
          <w:color w:val="006600"/>
          <w:sz w:val="18"/>
          <w:szCs w:val="16"/>
          <w:vertAlign w:val="superscript"/>
        </w:rPr>
        <w:t>4/</w:t>
      </w:r>
      <w:r w:rsidRPr="003B2C91">
        <w:rPr>
          <w:color w:val="006600"/>
          <w:sz w:val="18"/>
          <w:szCs w:val="16"/>
          <w:vertAlign w:val="superscript"/>
        </w:rPr>
        <w:tab/>
      </w:r>
      <w:r w:rsidRPr="003B2C91">
        <w:rPr>
          <w:color w:val="006600"/>
          <w:sz w:val="16"/>
          <w:szCs w:val="16"/>
        </w:rPr>
        <w:t>Incluye loncherías, fondas y taquerías, restaurantes y similares, servicio de telefonía móvil, mantenimiento de automóvil, consulta médica, servicios turísticos en paquete, entre otros.</w:t>
      </w:r>
    </w:p>
    <w:p w14:paraId="6D30DA87" w14:textId="77777777" w:rsidR="00624F11" w:rsidRPr="007F75D1" w:rsidRDefault="00624F11" w:rsidP="008E3BB5">
      <w:pPr>
        <w:pStyle w:val="n01"/>
        <w:keepLines w:val="0"/>
        <w:spacing w:before="720"/>
        <w:ind w:left="0" w:firstLine="0"/>
        <w:rPr>
          <w:rFonts w:ascii="Arial" w:hAnsi="Arial"/>
          <w:b/>
          <w:i/>
          <w:color w:val="auto"/>
        </w:rPr>
      </w:pPr>
      <w:r w:rsidRPr="007F75D1">
        <w:rPr>
          <w:rFonts w:ascii="Arial" w:hAnsi="Arial"/>
          <w:b/>
          <w:i/>
          <w:color w:val="auto"/>
        </w:rPr>
        <w:t>Índices Subyacente y No Subyacente</w:t>
      </w:r>
    </w:p>
    <w:p w14:paraId="576019D2" w14:textId="187A37F7" w:rsidR="00624F11" w:rsidRPr="00AF5DD6" w:rsidRDefault="00624F11" w:rsidP="008E3BB5">
      <w:pPr>
        <w:autoSpaceDE w:val="0"/>
        <w:autoSpaceDN w:val="0"/>
        <w:adjustRightInd w:val="0"/>
        <w:spacing w:before="240"/>
        <w:rPr>
          <w:szCs w:val="22"/>
        </w:rPr>
      </w:pPr>
      <w:r w:rsidRPr="00AF5DD6">
        <w:rPr>
          <w:szCs w:val="22"/>
        </w:rPr>
        <w:t>La variación mensual e</w:t>
      </w:r>
      <w:r>
        <w:rPr>
          <w:szCs w:val="22"/>
        </w:rPr>
        <w:t>n</w:t>
      </w:r>
      <w:r w:rsidRPr="00AF5DD6">
        <w:rPr>
          <w:szCs w:val="22"/>
        </w:rPr>
        <w:t xml:space="preserve"> </w:t>
      </w:r>
      <w:r>
        <w:rPr>
          <w:szCs w:val="22"/>
        </w:rPr>
        <w:t>febrero</w:t>
      </w:r>
      <w:r w:rsidRPr="00AF5DD6">
        <w:rPr>
          <w:szCs w:val="22"/>
        </w:rPr>
        <w:t xml:space="preserve"> </w:t>
      </w:r>
      <w:r w:rsidR="008E3BB5">
        <w:rPr>
          <w:szCs w:val="22"/>
        </w:rPr>
        <w:t xml:space="preserve">de este año </w:t>
      </w:r>
      <w:r w:rsidRPr="00AF5DD6">
        <w:rPr>
          <w:szCs w:val="22"/>
        </w:rPr>
        <w:t xml:space="preserve">de los índices subyacente y no subyacente fue </w:t>
      </w:r>
      <w:r w:rsidR="00D93DC5">
        <w:rPr>
          <w:szCs w:val="22"/>
        </w:rPr>
        <w:t xml:space="preserve">de </w:t>
      </w:r>
      <w:r w:rsidRPr="00AF5DD6">
        <w:rPr>
          <w:szCs w:val="22"/>
        </w:rPr>
        <w:t>0.</w:t>
      </w:r>
      <w:r>
        <w:rPr>
          <w:szCs w:val="22"/>
        </w:rPr>
        <w:t xml:space="preserve">36 y </w:t>
      </w:r>
      <w:r w:rsidR="008E3BB5">
        <w:rPr>
          <w:szCs w:val="22"/>
        </w:rPr>
        <w:t xml:space="preserve">de </w:t>
      </w:r>
      <w:r>
        <w:rPr>
          <w:szCs w:val="22"/>
        </w:rPr>
        <w:t>0.57</w:t>
      </w:r>
      <w:r w:rsidRPr="00AF5DD6">
        <w:rPr>
          <w:szCs w:val="22"/>
        </w:rPr>
        <w:t xml:space="preserve"> por ciento</w:t>
      </w:r>
      <w:r w:rsidR="008E3BB5">
        <w:rPr>
          <w:szCs w:val="22"/>
        </w:rPr>
        <w:t>,</w:t>
      </w:r>
      <w:r w:rsidRPr="00AF5DD6">
        <w:rPr>
          <w:szCs w:val="22"/>
        </w:rPr>
        <w:t xml:space="preserve"> respectivamente</w:t>
      </w:r>
      <w:r w:rsidR="008E3BB5">
        <w:rPr>
          <w:szCs w:val="22"/>
        </w:rPr>
        <w:t xml:space="preserve">. Los </w:t>
      </w:r>
      <w:r>
        <w:rPr>
          <w:szCs w:val="22"/>
        </w:rPr>
        <w:t>d</w:t>
      </w:r>
      <w:r w:rsidRPr="00AF5DD6">
        <w:rPr>
          <w:szCs w:val="22"/>
        </w:rPr>
        <w:t>atos compara</w:t>
      </w:r>
      <w:r w:rsidR="008E3BB5">
        <w:rPr>
          <w:szCs w:val="22"/>
        </w:rPr>
        <w:t xml:space="preserve">bles para </w:t>
      </w:r>
      <w:r w:rsidRPr="00AF5DD6">
        <w:rPr>
          <w:szCs w:val="22"/>
        </w:rPr>
        <w:t xml:space="preserve">el mismo </w:t>
      </w:r>
      <w:r w:rsidR="007444FF">
        <w:rPr>
          <w:szCs w:val="22"/>
        </w:rPr>
        <w:t xml:space="preserve">mes </w:t>
      </w:r>
      <w:r w:rsidRPr="00AF5DD6">
        <w:rPr>
          <w:szCs w:val="22"/>
        </w:rPr>
        <w:t>de 201</w:t>
      </w:r>
      <w:r>
        <w:rPr>
          <w:szCs w:val="22"/>
        </w:rPr>
        <w:t>9</w:t>
      </w:r>
      <w:r w:rsidRPr="00AF5DD6">
        <w:rPr>
          <w:szCs w:val="22"/>
        </w:rPr>
        <w:t xml:space="preserve"> </w:t>
      </w:r>
      <w:r>
        <w:rPr>
          <w:szCs w:val="22"/>
        </w:rPr>
        <w:t>fuer</w:t>
      </w:r>
      <w:r w:rsidRPr="00AF5DD6">
        <w:rPr>
          <w:szCs w:val="22"/>
        </w:rPr>
        <w:t>on</w:t>
      </w:r>
      <w:r w:rsidR="007444FF">
        <w:rPr>
          <w:szCs w:val="22"/>
        </w:rPr>
        <w:t xml:space="preserve"> de</w:t>
      </w:r>
      <w:r w:rsidRPr="00AF5DD6">
        <w:rPr>
          <w:szCs w:val="22"/>
        </w:rPr>
        <w:t xml:space="preserve"> </w:t>
      </w:r>
      <w:r w:rsidR="00D93DC5">
        <w:rPr>
          <w:szCs w:val="22"/>
        </w:rPr>
        <w:t xml:space="preserve">un alza de </w:t>
      </w:r>
      <w:r w:rsidRPr="00AF5DD6">
        <w:rPr>
          <w:szCs w:val="22"/>
        </w:rPr>
        <w:t>0.</w:t>
      </w:r>
      <w:r>
        <w:rPr>
          <w:szCs w:val="22"/>
        </w:rPr>
        <w:t>43</w:t>
      </w:r>
      <w:r w:rsidRPr="00AF5DD6">
        <w:rPr>
          <w:szCs w:val="22"/>
        </w:rPr>
        <w:t xml:space="preserve"> y </w:t>
      </w:r>
      <w:r w:rsidR="007444FF">
        <w:rPr>
          <w:szCs w:val="22"/>
        </w:rPr>
        <w:t xml:space="preserve">de </w:t>
      </w:r>
      <w:r w:rsidR="00D93DC5">
        <w:rPr>
          <w:szCs w:val="22"/>
        </w:rPr>
        <w:t xml:space="preserve">una reducción de </w:t>
      </w:r>
      <w:r>
        <w:rPr>
          <w:szCs w:val="22"/>
        </w:rPr>
        <w:t>(-)1.38 por ciento.</w:t>
      </w:r>
    </w:p>
    <w:p w14:paraId="3F91DC63" w14:textId="3CD2CC4A" w:rsidR="00624F11" w:rsidRPr="007444FF" w:rsidRDefault="007444FF" w:rsidP="007444FF">
      <w:pPr>
        <w:keepNext/>
        <w:keepLines/>
        <w:spacing w:before="240"/>
        <w:jc w:val="center"/>
        <w:rPr>
          <w:b/>
          <w:bCs/>
          <w:smallCaps/>
          <w:color w:val="000000" w:themeColor="text1"/>
          <w:sz w:val="22"/>
          <w:szCs w:val="22"/>
        </w:rPr>
      </w:pPr>
      <w:r w:rsidRPr="007444FF">
        <w:rPr>
          <w:b/>
          <w:bCs/>
          <w:smallCaps/>
          <w:color w:val="000000" w:themeColor="text1"/>
          <w:sz w:val="22"/>
          <w:szCs w:val="22"/>
        </w:rPr>
        <w:lastRenderedPageBreak/>
        <w:t>Índice</w:t>
      </w:r>
      <w:r w:rsidR="00564A82">
        <w:rPr>
          <w:b/>
          <w:bCs/>
          <w:smallCaps/>
          <w:color w:val="000000" w:themeColor="text1"/>
          <w:sz w:val="22"/>
          <w:szCs w:val="22"/>
        </w:rPr>
        <w:t>s</w:t>
      </w:r>
      <w:r w:rsidRPr="007444FF">
        <w:rPr>
          <w:b/>
          <w:bCs/>
          <w:smallCaps/>
          <w:color w:val="000000" w:themeColor="text1"/>
          <w:sz w:val="22"/>
          <w:szCs w:val="22"/>
        </w:rPr>
        <w:t xml:space="preserve"> </w:t>
      </w:r>
      <w:r>
        <w:rPr>
          <w:b/>
          <w:bCs/>
          <w:smallCaps/>
          <w:color w:val="000000" w:themeColor="text1"/>
          <w:sz w:val="22"/>
          <w:szCs w:val="22"/>
        </w:rPr>
        <w:t>d</w:t>
      </w:r>
      <w:r w:rsidRPr="007444FF">
        <w:rPr>
          <w:b/>
          <w:bCs/>
          <w:smallCaps/>
          <w:color w:val="000000" w:themeColor="text1"/>
          <w:sz w:val="22"/>
          <w:szCs w:val="22"/>
        </w:rPr>
        <w:t xml:space="preserve">e Precios Subyacente </w:t>
      </w:r>
      <w:r>
        <w:rPr>
          <w:b/>
          <w:bCs/>
          <w:smallCaps/>
          <w:color w:val="000000" w:themeColor="text1"/>
          <w:sz w:val="22"/>
          <w:szCs w:val="22"/>
        </w:rPr>
        <w:t>y</w:t>
      </w:r>
      <w:r w:rsidRPr="007444FF">
        <w:rPr>
          <w:b/>
          <w:bCs/>
          <w:smallCaps/>
          <w:color w:val="000000" w:themeColor="text1"/>
          <w:sz w:val="22"/>
          <w:szCs w:val="22"/>
        </w:rPr>
        <w:t xml:space="preserve"> No Subyacente</w:t>
      </w:r>
    </w:p>
    <w:p w14:paraId="59C0A877" w14:textId="06871FC3" w:rsidR="00624F11" w:rsidRPr="007444FF" w:rsidRDefault="00624F11" w:rsidP="007444FF">
      <w:pPr>
        <w:keepNext/>
        <w:keepLines/>
        <w:widowControl w:val="0"/>
        <w:autoSpaceDE w:val="0"/>
        <w:autoSpaceDN w:val="0"/>
        <w:adjustRightInd w:val="0"/>
        <w:jc w:val="center"/>
        <w:rPr>
          <w:sz w:val="18"/>
        </w:rPr>
      </w:pPr>
      <w:r w:rsidRPr="007444FF">
        <w:rPr>
          <w:sz w:val="18"/>
        </w:rPr>
        <w:t xml:space="preserve">Variación porcentual </w:t>
      </w:r>
      <w:r w:rsidR="00D93DC5">
        <w:rPr>
          <w:sz w:val="18"/>
        </w:rPr>
        <w:t xml:space="preserve">mensual </w:t>
      </w:r>
      <w:r w:rsidRPr="007444FF">
        <w:rPr>
          <w:sz w:val="18"/>
        </w:rPr>
        <w:t>en febrero de los años que se indican</w:t>
      </w:r>
    </w:p>
    <w:p w14:paraId="1243DF24" w14:textId="1A51894A" w:rsidR="00624F11" w:rsidRDefault="00F133A7" w:rsidP="00624F11">
      <w:pPr>
        <w:pStyle w:val="n01"/>
        <w:keepLines w:val="0"/>
        <w:spacing w:before="0"/>
        <w:ind w:left="0" w:firstLine="0"/>
        <w:jc w:val="center"/>
        <w:rPr>
          <w:rFonts w:ascii="Arial" w:hAnsi="Arial"/>
          <w:color w:val="auto"/>
          <w:sz w:val="22"/>
          <w:szCs w:val="22"/>
        </w:rPr>
      </w:pPr>
      <w:r>
        <w:rPr>
          <w:noProof/>
        </w:rPr>
        <w:drawing>
          <wp:inline distT="0" distB="0" distL="0" distR="0" wp14:anchorId="450C8E4F" wp14:editId="0DBC4FE8">
            <wp:extent cx="5052953" cy="2886673"/>
            <wp:effectExtent l="0" t="0" r="14605" b="9525"/>
            <wp:docPr id="6" name="Gráfico 6">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57B4D22" w14:textId="475121B5" w:rsidR="00624F11" w:rsidRPr="00D25428" w:rsidRDefault="007444FF" w:rsidP="007444FF">
      <w:pPr>
        <w:autoSpaceDE w:val="0"/>
        <w:autoSpaceDN w:val="0"/>
        <w:adjustRightInd w:val="0"/>
        <w:spacing w:before="360"/>
        <w:rPr>
          <w:color w:val="000000" w:themeColor="text1"/>
        </w:rPr>
      </w:pPr>
      <w:r>
        <w:rPr>
          <w:color w:val="000000" w:themeColor="text1"/>
        </w:rPr>
        <w:t xml:space="preserve">El comportamiento </w:t>
      </w:r>
      <w:r w:rsidR="00624F11" w:rsidRPr="00D25428">
        <w:rPr>
          <w:color w:val="000000" w:themeColor="text1"/>
        </w:rPr>
        <w:t xml:space="preserve">anual del INPC en </w:t>
      </w:r>
      <w:r w:rsidR="00D93DC5">
        <w:rPr>
          <w:color w:val="000000" w:themeColor="text1"/>
        </w:rPr>
        <w:t xml:space="preserve">el segundo mes </w:t>
      </w:r>
      <w:r w:rsidR="00624F11">
        <w:rPr>
          <w:color w:val="000000" w:themeColor="text1"/>
        </w:rPr>
        <w:t>d</w:t>
      </w:r>
      <w:r w:rsidR="00624F11" w:rsidRPr="00D25428">
        <w:rPr>
          <w:color w:val="000000" w:themeColor="text1"/>
        </w:rPr>
        <w:t>e 20</w:t>
      </w:r>
      <w:r w:rsidR="00624F11">
        <w:rPr>
          <w:color w:val="000000" w:themeColor="text1"/>
        </w:rPr>
        <w:t>20</w:t>
      </w:r>
      <w:r w:rsidR="00624F11" w:rsidRPr="00D25428">
        <w:rPr>
          <w:color w:val="000000" w:themeColor="text1"/>
        </w:rPr>
        <w:t xml:space="preserve"> fue de </w:t>
      </w:r>
      <w:r>
        <w:rPr>
          <w:color w:val="000000" w:themeColor="text1"/>
        </w:rPr>
        <w:t xml:space="preserve">un incremento de </w:t>
      </w:r>
      <w:r w:rsidR="00624F11">
        <w:rPr>
          <w:color w:val="000000" w:themeColor="text1"/>
        </w:rPr>
        <w:t>3.70</w:t>
      </w:r>
      <w:r w:rsidR="00624F11" w:rsidRPr="00D25428">
        <w:rPr>
          <w:color w:val="000000" w:themeColor="text1"/>
        </w:rPr>
        <w:t xml:space="preserve"> por ciento</w:t>
      </w:r>
      <w:r>
        <w:rPr>
          <w:color w:val="000000" w:themeColor="text1"/>
        </w:rPr>
        <w:t>;</w:t>
      </w:r>
      <w:r w:rsidR="00624F11" w:rsidRPr="00D25428">
        <w:rPr>
          <w:color w:val="000000" w:themeColor="text1"/>
        </w:rPr>
        <w:t xml:space="preserve"> </w:t>
      </w:r>
      <w:r w:rsidR="00624F11">
        <w:rPr>
          <w:color w:val="000000" w:themeColor="text1"/>
        </w:rPr>
        <w:t>e</w:t>
      </w:r>
      <w:r w:rsidR="00624F11" w:rsidRPr="00D25428">
        <w:rPr>
          <w:color w:val="000000" w:themeColor="text1"/>
        </w:rPr>
        <w:t xml:space="preserve">n el mismo mes del año anterior </w:t>
      </w:r>
      <w:r>
        <w:rPr>
          <w:color w:val="000000" w:themeColor="text1"/>
        </w:rPr>
        <w:t xml:space="preserve">aumentó </w:t>
      </w:r>
      <w:r w:rsidR="00624F11">
        <w:rPr>
          <w:color w:val="000000" w:themeColor="text1"/>
        </w:rPr>
        <w:t>3.94</w:t>
      </w:r>
      <w:r w:rsidR="00624F11" w:rsidRPr="00D25428">
        <w:rPr>
          <w:color w:val="000000" w:themeColor="text1"/>
        </w:rPr>
        <w:t xml:space="preserve"> por ciento</w:t>
      </w:r>
      <w:r w:rsidR="00624F11">
        <w:rPr>
          <w:color w:val="000000" w:themeColor="text1"/>
        </w:rPr>
        <w:t>.</w:t>
      </w:r>
      <w:r w:rsidR="00624F11" w:rsidRPr="00D25428">
        <w:rPr>
          <w:color w:val="000000" w:themeColor="text1"/>
        </w:rPr>
        <w:t xml:space="preserve"> </w:t>
      </w:r>
      <w:r w:rsidR="00624F11">
        <w:rPr>
          <w:color w:val="000000" w:themeColor="text1"/>
        </w:rPr>
        <w:t>A su interior,</w:t>
      </w:r>
      <w:r w:rsidR="00624F11" w:rsidRPr="00D25428">
        <w:rPr>
          <w:color w:val="000000" w:themeColor="text1"/>
        </w:rPr>
        <w:t xml:space="preserve"> la variación anual de los índices subyacente y no subyacente fue</w:t>
      </w:r>
      <w:r w:rsidR="00624F11">
        <w:rPr>
          <w:color w:val="000000" w:themeColor="text1"/>
        </w:rPr>
        <w:t xml:space="preserve"> de</w:t>
      </w:r>
      <w:r w:rsidR="00624F11" w:rsidRPr="00D25428">
        <w:rPr>
          <w:color w:val="000000" w:themeColor="text1"/>
        </w:rPr>
        <w:t xml:space="preserve"> </w:t>
      </w:r>
      <w:r w:rsidR="00624F11">
        <w:rPr>
          <w:color w:val="000000" w:themeColor="text1"/>
        </w:rPr>
        <w:t>3.66</w:t>
      </w:r>
      <w:r w:rsidR="00624F11" w:rsidRPr="00D25428">
        <w:rPr>
          <w:color w:val="000000" w:themeColor="text1"/>
        </w:rPr>
        <w:t xml:space="preserve"> y </w:t>
      </w:r>
      <w:r>
        <w:rPr>
          <w:color w:val="000000" w:themeColor="text1"/>
        </w:rPr>
        <w:t xml:space="preserve">de </w:t>
      </w:r>
      <w:r w:rsidR="00624F11">
        <w:rPr>
          <w:color w:val="000000" w:themeColor="text1"/>
        </w:rPr>
        <w:t>3.81</w:t>
      </w:r>
      <w:r w:rsidR="00624F11" w:rsidRPr="00D25428">
        <w:rPr>
          <w:color w:val="000000" w:themeColor="text1"/>
        </w:rPr>
        <w:t xml:space="preserve"> por ciento</w:t>
      </w:r>
      <w:r>
        <w:rPr>
          <w:color w:val="000000" w:themeColor="text1"/>
        </w:rPr>
        <w:t>, en ese orden;</w:t>
      </w:r>
      <w:r w:rsidR="00624F11" w:rsidRPr="00D25428">
        <w:rPr>
          <w:color w:val="000000" w:themeColor="text1"/>
        </w:rPr>
        <w:t xml:space="preserve"> </w:t>
      </w:r>
      <w:r>
        <w:rPr>
          <w:color w:val="000000" w:themeColor="text1"/>
        </w:rPr>
        <w:t>e</w:t>
      </w:r>
      <w:r w:rsidR="00624F11" w:rsidRPr="00D25428">
        <w:rPr>
          <w:color w:val="000000" w:themeColor="text1"/>
        </w:rPr>
        <w:t xml:space="preserve">n </w:t>
      </w:r>
      <w:r>
        <w:rPr>
          <w:color w:val="000000" w:themeColor="text1"/>
        </w:rPr>
        <w:t xml:space="preserve">igual mes </w:t>
      </w:r>
      <w:r w:rsidR="00624F11" w:rsidRPr="00D25428">
        <w:rPr>
          <w:color w:val="000000" w:themeColor="text1"/>
        </w:rPr>
        <w:t>de 201</w:t>
      </w:r>
      <w:r w:rsidR="00624F11">
        <w:rPr>
          <w:color w:val="000000" w:themeColor="text1"/>
        </w:rPr>
        <w:t>9</w:t>
      </w:r>
      <w:r w:rsidR="00624F11" w:rsidRPr="00D25428">
        <w:rPr>
          <w:color w:val="000000" w:themeColor="text1"/>
        </w:rPr>
        <w:t xml:space="preserve"> las cifras correspondientes fueron</w:t>
      </w:r>
      <w:r w:rsidR="00624F11">
        <w:rPr>
          <w:color w:val="000000" w:themeColor="text1"/>
        </w:rPr>
        <w:t xml:space="preserve"> de</w:t>
      </w:r>
      <w:r w:rsidR="00624F11" w:rsidRPr="00D25428">
        <w:rPr>
          <w:color w:val="000000" w:themeColor="text1"/>
        </w:rPr>
        <w:t xml:space="preserve"> </w:t>
      </w:r>
      <w:r>
        <w:rPr>
          <w:color w:val="000000" w:themeColor="text1"/>
        </w:rPr>
        <w:br/>
      </w:r>
      <w:r w:rsidR="00624F11">
        <w:rPr>
          <w:color w:val="000000" w:themeColor="text1"/>
        </w:rPr>
        <w:t>3.54</w:t>
      </w:r>
      <w:r w:rsidR="00624F11" w:rsidRPr="00D25428">
        <w:rPr>
          <w:color w:val="000000" w:themeColor="text1"/>
        </w:rPr>
        <w:t xml:space="preserve"> y</w:t>
      </w:r>
      <w:r w:rsidR="00624F11">
        <w:rPr>
          <w:color w:val="000000" w:themeColor="text1"/>
        </w:rPr>
        <w:t xml:space="preserve"> </w:t>
      </w:r>
      <w:r>
        <w:rPr>
          <w:color w:val="000000" w:themeColor="text1"/>
        </w:rPr>
        <w:t xml:space="preserve">de </w:t>
      </w:r>
      <w:r w:rsidR="00624F11">
        <w:rPr>
          <w:color w:val="000000" w:themeColor="text1"/>
        </w:rPr>
        <w:t>5.25</w:t>
      </w:r>
      <w:r w:rsidR="00624F11" w:rsidRPr="00D25428">
        <w:rPr>
          <w:color w:val="000000" w:themeColor="text1"/>
        </w:rPr>
        <w:t xml:space="preserve"> por ciento.</w:t>
      </w:r>
    </w:p>
    <w:p w14:paraId="5814BA60" w14:textId="3FB2252F" w:rsidR="00624F11" w:rsidRPr="007444FF" w:rsidRDefault="007444FF" w:rsidP="007444FF">
      <w:pPr>
        <w:pStyle w:val="n01"/>
        <w:keepNext/>
        <w:ind w:left="0" w:firstLine="0"/>
        <w:jc w:val="center"/>
        <w:rPr>
          <w:rFonts w:ascii="Arial" w:hAnsi="Arial"/>
          <w:b/>
          <w:bCs/>
          <w:smallCaps/>
          <w:color w:val="000000" w:themeColor="text1"/>
          <w:sz w:val="22"/>
          <w:szCs w:val="22"/>
        </w:rPr>
      </w:pPr>
      <w:r w:rsidRPr="007444FF">
        <w:rPr>
          <w:rFonts w:ascii="Arial" w:hAnsi="Arial"/>
          <w:b/>
          <w:bCs/>
          <w:smallCaps/>
          <w:color w:val="000000" w:themeColor="text1"/>
          <w:sz w:val="22"/>
          <w:szCs w:val="22"/>
        </w:rPr>
        <w:t xml:space="preserve">INPC, Subyacente </w:t>
      </w:r>
      <w:r>
        <w:rPr>
          <w:rFonts w:ascii="Arial" w:hAnsi="Arial"/>
          <w:b/>
          <w:bCs/>
          <w:smallCaps/>
          <w:color w:val="000000" w:themeColor="text1"/>
          <w:sz w:val="22"/>
          <w:szCs w:val="22"/>
        </w:rPr>
        <w:t>y</w:t>
      </w:r>
      <w:r w:rsidRPr="007444FF">
        <w:rPr>
          <w:rFonts w:ascii="Arial" w:hAnsi="Arial"/>
          <w:b/>
          <w:bCs/>
          <w:smallCaps/>
          <w:color w:val="000000" w:themeColor="text1"/>
          <w:sz w:val="22"/>
          <w:szCs w:val="22"/>
        </w:rPr>
        <w:t xml:space="preserve"> No Subyacente</w:t>
      </w:r>
    </w:p>
    <w:p w14:paraId="2E3EE8CA" w14:textId="008E86AA" w:rsidR="00624F11" w:rsidRPr="007444FF" w:rsidRDefault="00624F11" w:rsidP="007444FF">
      <w:pPr>
        <w:keepNext/>
        <w:keepLines/>
        <w:autoSpaceDE w:val="0"/>
        <w:autoSpaceDN w:val="0"/>
        <w:adjustRightInd w:val="0"/>
        <w:jc w:val="center"/>
        <w:rPr>
          <w:sz w:val="18"/>
        </w:rPr>
      </w:pPr>
      <w:r w:rsidRPr="007444FF">
        <w:rPr>
          <w:sz w:val="18"/>
        </w:rPr>
        <w:t>Variaci</w:t>
      </w:r>
      <w:r w:rsidR="007444FF">
        <w:rPr>
          <w:sz w:val="18"/>
        </w:rPr>
        <w:t>ón</w:t>
      </w:r>
      <w:r w:rsidRPr="007444FF">
        <w:rPr>
          <w:sz w:val="18"/>
        </w:rPr>
        <w:t xml:space="preserve"> porcentual anual</w:t>
      </w:r>
      <w:r w:rsidR="007444FF">
        <w:rPr>
          <w:sz w:val="18"/>
        </w:rPr>
        <w:t xml:space="preserve"> a febrero de 2020</w:t>
      </w:r>
    </w:p>
    <w:p w14:paraId="3E756726" w14:textId="09E195BC" w:rsidR="00624F11" w:rsidRDefault="00F133A7" w:rsidP="007444FF">
      <w:pPr>
        <w:pStyle w:val="n01"/>
        <w:spacing w:before="0"/>
        <w:ind w:left="0" w:firstLine="0"/>
        <w:jc w:val="center"/>
        <w:rPr>
          <w:rFonts w:ascii="Arial" w:hAnsi="Arial"/>
          <w:color w:val="auto"/>
          <w:sz w:val="22"/>
          <w:szCs w:val="22"/>
        </w:rPr>
      </w:pPr>
      <w:r>
        <w:rPr>
          <w:noProof/>
        </w:rPr>
        <w:drawing>
          <wp:inline distT="0" distB="0" distL="0" distR="0" wp14:anchorId="2E39F370" wp14:editId="003CD4A0">
            <wp:extent cx="5053084" cy="2888242"/>
            <wp:effectExtent l="0" t="0" r="14605" b="26670"/>
            <wp:docPr id="12" name="Gráfico 12">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023698F" w14:textId="0E86FA0B" w:rsidR="00624F11" w:rsidRDefault="00624F11" w:rsidP="00624F11">
      <w:pPr>
        <w:autoSpaceDE w:val="0"/>
        <w:autoSpaceDN w:val="0"/>
        <w:adjustRightInd w:val="0"/>
        <w:spacing w:before="240"/>
      </w:pPr>
      <w:r w:rsidRPr="0004061B">
        <w:lastRenderedPageBreak/>
        <w:t xml:space="preserve">A continuación se presentan los principales genéricos cuyas variaciones de precios al alza y a la baja destacaron por su incidencia sobre la inflación general. </w:t>
      </w:r>
    </w:p>
    <w:p w14:paraId="59955975" w14:textId="77777777" w:rsidR="00624F11" w:rsidRPr="00442560" w:rsidRDefault="00624F11" w:rsidP="00624F11">
      <w:pPr>
        <w:widowControl w:val="0"/>
        <w:tabs>
          <w:tab w:val="left" w:pos="1220"/>
        </w:tabs>
        <w:autoSpaceDE w:val="0"/>
        <w:autoSpaceDN w:val="0"/>
        <w:adjustRightInd w:val="0"/>
        <w:spacing w:before="240"/>
        <w:jc w:val="center"/>
        <w:rPr>
          <w:b/>
          <w:bCs/>
          <w:smallCaps/>
          <w:color w:val="000000" w:themeColor="text1"/>
          <w:spacing w:val="1"/>
          <w:sz w:val="22"/>
          <w:szCs w:val="22"/>
        </w:rPr>
      </w:pPr>
      <w:r w:rsidRPr="00442560">
        <w:rPr>
          <w:b/>
          <w:bCs/>
          <w:smallCaps/>
          <w:color w:val="000000" w:themeColor="text1"/>
          <w:spacing w:val="1"/>
          <w:sz w:val="22"/>
          <w:szCs w:val="22"/>
        </w:rPr>
        <w:t>Índice Nacional de Precios al Consumidor</w:t>
      </w:r>
    </w:p>
    <w:p w14:paraId="5195B46C" w14:textId="096522C3" w:rsidR="00624F11" w:rsidRPr="007311F0" w:rsidRDefault="00624F11" w:rsidP="00624F11">
      <w:pPr>
        <w:widowControl w:val="0"/>
        <w:tabs>
          <w:tab w:val="left" w:pos="1220"/>
        </w:tabs>
        <w:autoSpaceDE w:val="0"/>
        <w:autoSpaceDN w:val="0"/>
        <w:adjustRightInd w:val="0"/>
        <w:jc w:val="center"/>
        <w:rPr>
          <w:b/>
          <w:bCs/>
          <w:smallCaps/>
          <w:color w:val="000000" w:themeColor="text1"/>
          <w:spacing w:val="1"/>
          <w:sz w:val="22"/>
          <w:szCs w:val="22"/>
        </w:rPr>
      </w:pPr>
      <w:r w:rsidRPr="007311F0">
        <w:rPr>
          <w:b/>
          <w:bCs/>
          <w:smallCaps/>
          <w:color w:val="000000" w:themeColor="text1"/>
          <w:spacing w:val="1"/>
          <w:sz w:val="22"/>
          <w:szCs w:val="22"/>
        </w:rPr>
        <w:t xml:space="preserve">Genéricos con mayor y menor </w:t>
      </w:r>
      <w:r w:rsidR="007444FF" w:rsidRPr="007311F0">
        <w:rPr>
          <w:b/>
          <w:bCs/>
          <w:smallCaps/>
          <w:color w:val="000000" w:themeColor="text1"/>
          <w:spacing w:val="1"/>
          <w:sz w:val="22"/>
          <w:szCs w:val="22"/>
        </w:rPr>
        <w:t>incidencia</w:t>
      </w:r>
      <w:r w:rsidR="007444FF">
        <w:rPr>
          <w:b/>
          <w:bCs/>
          <w:smallCaps/>
          <w:color w:val="000000" w:themeColor="text1"/>
          <w:spacing w:val="1"/>
          <w:sz w:val="22"/>
          <w:szCs w:val="22"/>
        </w:rPr>
        <w:t xml:space="preserve"> *</w:t>
      </w:r>
    </w:p>
    <w:p w14:paraId="773761AE" w14:textId="77777777" w:rsidR="00624F11" w:rsidRPr="007444FF" w:rsidRDefault="00624F11" w:rsidP="00624F11">
      <w:pPr>
        <w:autoSpaceDE w:val="0"/>
        <w:autoSpaceDN w:val="0"/>
        <w:adjustRightInd w:val="0"/>
        <w:jc w:val="center"/>
        <w:rPr>
          <w:bCs/>
          <w:color w:val="000000" w:themeColor="text1"/>
          <w:spacing w:val="1"/>
          <w:sz w:val="18"/>
          <w:szCs w:val="22"/>
        </w:rPr>
      </w:pPr>
      <w:r w:rsidRPr="007444FF">
        <w:rPr>
          <w:bCs/>
          <w:color w:val="000000" w:themeColor="text1"/>
          <w:spacing w:val="1"/>
          <w:sz w:val="18"/>
          <w:szCs w:val="22"/>
        </w:rPr>
        <w:t>Febrero de 2020</w:t>
      </w:r>
    </w:p>
    <w:p w14:paraId="22AB573C" w14:textId="7407E365" w:rsidR="00624F11" w:rsidRDefault="00F133A7" w:rsidP="00624F11">
      <w:pPr>
        <w:autoSpaceDE w:val="0"/>
        <w:autoSpaceDN w:val="0"/>
        <w:adjustRightInd w:val="0"/>
        <w:jc w:val="center"/>
      </w:pPr>
      <w:r w:rsidRPr="00F133A7">
        <w:rPr>
          <w:noProof/>
        </w:rPr>
        <w:drawing>
          <wp:inline distT="0" distB="0" distL="0" distR="0" wp14:anchorId="677C4B05" wp14:editId="16506845">
            <wp:extent cx="5972810" cy="1708150"/>
            <wp:effectExtent l="0" t="0" r="889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2810" cy="1708150"/>
                    </a:xfrm>
                    <a:prstGeom prst="rect">
                      <a:avLst/>
                    </a:prstGeom>
                    <a:noFill/>
                    <a:ln>
                      <a:noFill/>
                    </a:ln>
                  </pic:spPr>
                </pic:pic>
              </a:graphicData>
            </a:graphic>
          </wp:inline>
        </w:drawing>
      </w:r>
    </w:p>
    <w:p w14:paraId="7265ABDC" w14:textId="77777777" w:rsidR="007444FF" w:rsidRPr="00F95ED3" w:rsidRDefault="007444FF" w:rsidP="007444FF">
      <w:pPr>
        <w:autoSpaceDE w:val="0"/>
        <w:autoSpaceDN w:val="0"/>
        <w:adjustRightInd w:val="0"/>
        <w:ind w:left="283" w:right="113" w:hanging="170"/>
        <w:rPr>
          <w:color w:val="006600"/>
          <w:sz w:val="16"/>
          <w:szCs w:val="16"/>
        </w:rPr>
      </w:pPr>
      <w:r w:rsidRPr="005A1D8D">
        <w:rPr>
          <w:color w:val="006600"/>
          <w:sz w:val="18"/>
          <w:szCs w:val="16"/>
        </w:rPr>
        <w:t>*</w:t>
      </w:r>
      <w:r w:rsidRPr="005A1D8D">
        <w:rPr>
          <w:color w:val="006600"/>
          <w:sz w:val="18"/>
          <w:szCs w:val="16"/>
          <w:vertAlign w:val="superscript"/>
        </w:rPr>
        <w:tab/>
      </w:r>
      <w:r w:rsidRPr="005A1D8D">
        <w:rPr>
          <w:color w:val="006600"/>
          <w:sz w:val="16"/>
          <w:szCs w:val="16"/>
        </w:rPr>
        <w:t>Las desagregaciones del INPC solo tienen valor informativo.</w:t>
      </w:r>
    </w:p>
    <w:p w14:paraId="4CD855E4" w14:textId="686933D4" w:rsidR="00624F11" w:rsidRPr="007444FF" w:rsidRDefault="00624F11" w:rsidP="007444FF">
      <w:pPr>
        <w:autoSpaceDE w:val="0"/>
        <w:autoSpaceDN w:val="0"/>
        <w:adjustRightInd w:val="0"/>
        <w:ind w:left="283" w:right="113" w:hanging="170"/>
        <w:rPr>
          <w:color w:val="006600"/>
          <w:sz w:val="16"/>
          <w:szCs w:val="14"/>
        </w:rPr>
      </w:pPr>
      <w:r w:rsidRPr="007444FF">
        <w:rPr>
          <w:color w:val="006600"/>
          <w:sz w:val="18"/>
          <w:szCs w:val="16"/>
          <w:vertAlign w:val="superscript"/>
        </w:rPr>
        <w:t>1/</w:t>
      </w:r>
      <w:r w:rsidR="007444FF">
        <w:rPr>
          <w:color w:val="006600"/>
          <w:sz w:val="18"/>
          <w:szCs w:val="16"/>
          <w:vertAlign w:val="superscript"/>
        </w:rPr>
        <w:tab/>
      </w:r>
      <w:r w:rsidRPr="007444FF">
        <w:rPr>
          <w:color w:val="006600"/>
          <w:sz w:val="16"/>
          <w:szCs w:val="14"/>
        </w:rPr>
        <w:t>La incidencia se refiere a la contribución en puntos porcentuales de cada componente del INPC a la inflación general. Ésta se calcula utilizando los ponderadores de cada subíndice, así como los precios relativos y sus respectivas variaciones.</w:t>
      </w:r>
    </w:p>
    <w:p w14:paraId="69D7568C" w14:textId="0C740DF5" w:rsidR="00624F11" w:rsidRPr="0004061B" w:rsidRDefault="00624F11" w:rsidP="007444FF">
      <w:pPr>
        <w:keepNext/>
        <w:keepLines/>
        <w:autoSpaceDE w:val="0"/>
        <w:autoSpaceDN w:val="0"/>
        <w:adjustRightInd w:val="0"/>
        <w:spacing w:before="360"/>
      </w:pPr>
      <w:r w:rsidRPr="0004061B">
        <w:t xml:space="preserve">En el siguiente cuadro se </w:t>
      </w:r>
      <w:r>
        <w:t xml:space="preserve">muestran </w:t>
      </w:r>
      <w:r w:rsidRPr="0004061B">
        <w:t xml:space="preserve">las principales </w:t>
      </w:r>
      <w:r>
        <w:t>ciudades</w:t>
      </w:r>
      <w:r w:rsidRPr="0004061B">
        <w:t xml:space="preserve"> </w:t>
      </w:r>
      <w:r w:rsidR="007444FF">
        <w:t xml:space="preserve">con </w:t>
      </w:r>
      <w:r w:rsidRPr="0004061B">
        <w:t>la mayor y menor variaci</w:t>
      </w:r>
      <w:r>
        <w:t>ón</w:t>
      </w:r>
      <w:r w:rsidRPr="0004061B">
        <w:t xml:space="preserve"> </w:t>
      </w:r>
      <w:r>
        <w:t>del INPC durante febrero de 2020</w:t>
      </w:r>
      <w:r w:rsidRPr="0004061B">
        <w:t>.</w:t>
      </w:r>
    </w:p>
    <w:p w14:paraId="3D516DFB" w14:textId="3EDC291B" w:rsidR="00624F11" w:rsidRPr="00AF5DD6" w:rsidRDefault="007444FF" w:rsidP="007444FF">
      <w:pPr>
        <w:keepNext/>
        <w:keepLines/>
        <w:tabs>
          <w:tab w:val="left" w:pos="1220"/>
        </w:tabs>
        <w:autoSpaceDE w:val="0"/>
        <w:autoSpaceDN w:val="0"/>
        <w:adjustRightInd w:val="0"/>
        <w:spacing w:before="360"/>
        <w:jc w:val="center"/>
        <w:rPr>
          <w:b/>
          <w:bCs/>
          <w:color w:val="000000" w:themeColor="text1"/>
          <w:spacing w:val="1"/>
          <w:sz w:val="22"/>
          <w:szCs w:val="22"/>
        </w:rPr>
      </w:pPr>
      <w:r w:rsidRPr="00512118">
        <w:rPr>
          <w:b/>
          <w:bCs/>
          <w:smallCaps/>
          <w:color w:val="000000" w:themeColor="text1"/>
          <w:spacing w:val="1"/>
          <w:sz w:val="22"/>
        </w:rPr>
        <w:t xml:space="preserve">Índice Nacional </w:t>
      </w:r>
      <w:r>
        <w:rPr>
          <w:b/>
          <w:bCs/>
          <w:smallCaps/>
          <w:color w:val="000000" w:themeColor="text1"/>
          <w:spacing w:val="1"/>
          <w:sz w:val="22"/>
        </w:rPr>
        <w:t>d</w:t>
      </w:r>
      <w:r w:rsidRPr="00512118">
        <w:rPr>
          <w:b/>
          <w:bCs/>
          <w:smallCaps/>
          <w:color w:val="000000" w:themeColor="text1"/>
          <w:spacing w:val="1"/>
          <w:sz w:val="22"/>
        </w:rPr>
        <w:t xml:space="preserve">e Precios </w:t>
      </w:r>
      <w:r w:rsidR="00E45F62">
        <w:rPr>
          <w:b/>
          <w:bCs/>
          <w:smallCaps/>
          <w:color w:val="000000" w:themeColor="text1"/>
          <w:spacing w:val="1"/>
          <w:sz w:val="22"/>
        </w:rPr>
        <w:t>a</w:t>
      </w:r>
      <w:r w:rsidRPr="00512118">
        <w:rPr>
          <w:b/>
          <w:bCs/>
          <w:smallCaps/>
          <w:color w:val="000000" w:themeColor="text1"/>
          <w:spacing w:val="1"/>
          <w:sz w:val="22"/>
        </w:rPr>
        <w:t>l Consumidor</w:t>
      </w:r>
    </w:p>
    <w:p w14:paraId="77F508C0" w14:textId="0E1AB85B" w:rsidR="00624F11" w:rsidRPr="00866182" w:rsidRDefault="00E45F62" w:rsidP="00624F11">
      <w:pPr>
        <w:keepNext/>
        <w:keepLines/>
        <w:tabs>
          <w:tab w:val="left" w:pos="1220"/>
        </w:tabs>
        <w:autoSpaceDE w:val="0"/>
        <w:autoSpaceDN w:val="0"/>
        <w:adjustRightInd w:val="0"/>
        <w:jc w:val="center"/>
        <w:rPr>
          <w:b/>
          <w:bCs/>
          <w:smallCaps/>
          <w:color w:val="000000" w:themeColor="text1"/>
          <w:spacing w:val="1"/>
          <w:sz w:val="22"/>
        </w:rPr>
      </w:pPr>
      <w:r>
        <w:rPr>
          <w:b/>
          <w:bCs/>
          <w:smallCaps/>
          <w:color w:val="000000" w:themeColor="text1"/>
          <w:spacing w:val="1"/>
          <w:sz w:val="22"/>
        </w:rPr>
        <w:t>C</w:t>
      </w:r>
      <w:r w:rsidR="00624F11">
        <w:rPr>
          <w:b/>
          <w:bCs/>
          <w:smallCaps/>
          <w:color w:val="000000" w:themeColor="text1"/>
          <w:spacing w:val="1"/>
          <w:sz w:val="22"/>
        </w:rPr>
        <w:t>iudades</w:t>
      </w:r>
      <w:r w:rsidR="00624F11" w:rsidRPr="00866182">
        <w:rPr>
          <w:b/>
          <w:bCs/>
          <w:smallCaps/>
          <w:color w:val="000000" w:themeColor="text1"/>
          <w:spacing w:val="1"/>
          <w:sz w:val="22"/>
        </w:rPr>
        <w:t xml:space="preserve"> con mayor y menor variación</w:t>
      </w:r>
      <w:r>
        <w:rPr>
          <w:b/>
          <w:bCs/>
          <w:smallCaps/>
          <w:color w:val="000000" w:themeColor="text1"/>
          <w:spacing w:val="1"/>
          <w:sz w:val="22"/>
        </w:rPr>
        <w:t xml:space="preserve"> </w:t>
      </w:r>
      <w:r w:rsidR="00624F11">
        <w:rPr>
          <w:b/>
          <w:bCs/>
          <w:smallCaps/>
          <w:color w:val="000000" w:themeColor="text1"/>
          <w:spacing w:val="1"/>
          <w:sz w:val="22"/>
        </w:rPr>
        <w:t>*</w:t>
      </w:r>
    </w:p>
    <w:p w14:paraId="0E5DB466" w14:textId="5983DD8B" w:rsidR="00624F11" w:rsidRDefault="00624F11" w:rsidP="00E45F62">
      <w:pPr>
        <w:widowControl w:val="0"/>
        <w:tabs>
          <w:tab w:val="left" w:pos="1220"/>
        </w:tabs>
        <w:autoSpaceDE w:val="0"/>
        <w:autoSpaceDN w:val="0"/>
        <w:adjustRightInd w:val="0"/>
        <w:jc w:val="center"/>
        <w:rPr>
          <w:noProof/>
          <w:lang w:val="es-MX" w:eastAsia="es-MX"/>
        </w:rPr>
      </w:pPr>
      <w:r w:rsidRPr="00E45F62">
        <w:rPr>
          <w:bCs/>
          <w:color w:val="000000" w:themeColor="text1"/>
          <w:spacing w:val="1"/>
          <w:sz w:val="18"/>
          <w:szCs w:val="22"/>
        </w:rPr>
        <w:t>Febrero de 2020</w:t>
      </w:r>
    </w:p>
    <w:p w14:paraId="32D70B44" w14:textId="6471CB8E" w:rsidR="00F133A7" w:rsidRPr="00916CCB" w:rsidRDefault="00F133A7" w:rsidP="00E45F62">
      <w:pPr>
        <w:widowControl w:val="0"/>
        <w:tabs>
          <w:tab w:val="left" w:pos="1220"/>
        </w:tabs>
        <w:autoSpaceDE w:val="0"/>
        <w:autoSpaceDN w:val="0"/>
        <w:adjustRightInd w:val="0"/>
        <w:jc w:val="center"/>
        <w:rPr>
          <w:sz w:val="22"/>
          <w:szCs w:val="22"/>
        </w:rPr>
      </w:pPr>
      <w:r w:rsidRPr="00F133A7">
        <w:rPr>
          <w:noProof/>
        </w:rPr>
        <w:drawing>
          <wp:inline distT="0" distB="0" distL="0" distR="0" wp14:anchorId="31D478F9" wp14:editId="7D8784CC">
            <wp:extent cx="5972810" cy="1906905"/>
            <wp:effectExtent l="0" t="0" r="889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2810" cy="1906905"/>
                    </a:xfrm>
                    <a:prstGeom prst="rect">
                      <a:avLst/>
                    </a:prstGeom>
                    <a:noFill/>
                    <a:ln>
                      <a:noFill/>
                    </a:ln>
                  </pic:spPr>
                </pic:pic>
              </a:graphicData>
            </a:graphic>
          </wp:inline>
        </w:drawing>
      </w:r>
    </w:p>
    <w:p w14:paraId="3BDE7044" w14:textId="77777777" w:rsidR="00624F11" w:rsidRPr="00D93DC5" w:rsidRDefault="00624F11" w:rsidP="00624F11">
      <w:pPr>
        <w:autoSpaceDE w:val="0"/>
        <w:autoSpaceDN w:val="0"/>
        <w:adjustRightInd w:val="0"/>
        <w:ind w:left="283" w:right="113" w:hanging="170"/>
        <w:rPr>
          <w:color w:val="006600"/>
          <w:sz w:val="16"/>
          <w:szCs w:val="14"/>
        </w:rPr>
      </w:pPr>
      <w:r w:rsidRPr="00E45F62">
        <w:rPr>
          <w:color w:val="006600"/>
          <w:sz w:val="18"/>
          <w:szCs w:val="16"/>
        </w:rPr>
        <w:t>*</w:t>
      </w:r>
      <w:r w:rsidRPr="00E45F62">
        <w:rPr>
          <w:color w:val="006600"/>
          <w:sz w:val="18"/>
          <w:szCs w:val="16"/>
        </w:rPr>
        <w:tab/>
      </w:r>
      <w:r w:rsidRPr="00D93DC5">
        <w:rPr>
          <w:color w:val="006600"/>
          <w:sz w:val="16"/>
          <w:szCs w:val="14"/>
        </w:rPr>
        <w:t>Las desagregaciones del INPC solo tienen valor informativo.</w:t>
      </w:r>
    </w:p>
    <w:p w14:paraId="19C5B98A" w14:textId="77777777" w:rsidR="00F133A7" w:rsidRDefault="00F133A7">
      <w:pPr>
        <w:jc w:val="left"/>
        <w:rPr>
          <w:color w:val="000000" w:themeColor="text1"/>
        </w:rPr>
      </w:pPr>
      <w:r>
        <w:rPr>
          <w:color w:val="000000" w:themeColor="text1"/>
        </w:rPr>
        <w:br w:type="page"/>
      </w:r>
    </w:p>
    <w:p w14:paraId="7C84455D" w14:textId="6B3330F0" w:rsidR="00E45F62" w:rsidRDefault="00624F11" w:rsidP="00E45F62">
      <w:pPr>
        <w:keepNext/>
        <w:keepLines/>
        <w:autoSpaceDE w:val="0"/>
        <w:autoSpaceDN w:val="0"/>
        <w:adjustRightInd w:val="0"/>
        <w:spacing w:before="240"/>
      </w:pPr>
      <w:r w:rsidRPr="00866182">
        <w:rPr>
          <w:color w:val="000000" w:themeColor="text1"/>
        </w:rPr>
        <w:lastRenderedPageBreak/>
        <w:t>A continuación</w:t>
      </w:r>
      <w:r>
        <w:rPr>
          <w:color w:val="000000" w:themeColor="text1"/>
        </w:rPr>
        <w:t xml:space="preserve"> se presentan</w:t>
      </w:r>
      <w:r w:rsidRPr="00E45F62">
        <w:rPr>
          <w:color w:val="000000" w:themeColor="text1"/>
        </w:rPr>
        <w:t xml:space="preserve"> las entidades </w:t>
      </w:r>
      <w:r w:rsidR="00E45F62">
        <w:rPr>
          <w:color w:val="000000" w:themeColor="text1"/>
        </w:rPr>
        <w:t xml:space="preserve">con </w:t>
      </w:r>
      <w:r w:rsidRPr="00E45F62">
        <w:rPr>
          <w:color w:val="000000" w:themeColor="text1"/>
        </w:rPr>
        <w:t>la mayor y</w:t>
      </w:r>
      <w:r>
        <w:t xml:space="preserve"> menor </w:t>
      </w:r>
      <w:r w:rsidRPr="0004061B">
        <w:t>variaci</w:t>
      </w:r>
      <w:r w:rsidR="00E45F62">
        <w:t>ón</w:t>
      </w:r>
      <w:r>
        <w:t xml:space="preserve"> de</w:t>
      </w:r>
      <w:r w:rsidR="00E45F62">
        <w:t>l</w:t>
      </w:r>
      <w:r>
        <w:t xml:space="preserve"> INPC</w:t>
      </w:r>
      <w:r w:rsidR="00E45F62">
        <w:t xml:space="preserve"> en el mes en cuestión</w:t>
      </w:r>
      <w:r>
        <w:t>.</w:t>
      </w:r>
    </w:p>
    <w:p w14:paraId="7EA88137" w14:textId="430D9E72" w:rsidR="00624F11" w:rsidRPr="00866182" w:rsidRDefault="00624F11" w:rsidP="00E45F62">
      <w:pPr>
        <w:keepNext/>
        <w:keepLines/>
        <w:tabs>
          <w:tab w:val="left" w:pos="1220"/>
        </w:tabs>
        <w:autoSpaceDE w:val="0"/>
        <w:autoSpaceDN w:val="0"/>
        <w:adjustRightInd w:val="0"/>
        <w:spacing w:before="240"/>
        <w:jc w:val="center"/>
        <w:rPr>
          <w:b/>
          <w:bCs/>
          <w:smallCaps/>
          <w:color w:val="000000" w:themeColor="text1"/>
          <w:spacing w:val="1"/>
          <w:sz w:val="22"/>
        </w:rPr>
      </w:pPr>
      <w:r w:rsidRPr="00866182">
        <w:rPr>
          <w:b/>
          <w:bCs/>
          <w:smallCaps/>
          <w:color w:val="000000" w:themeColor="text1"/>
          <w:spacing w:val="1"/>
          <w:sz w:val="22"/>
        </w:rPr>
        <w:t>Índice Nacional de Precios al Consumidor</w:t>
      </w:r>
    </w:p>
    <w:p w14:paraId="21721544" w14:textId="142809CB" w:rsidR="00624F11" w:rsidRPr="00866182" w:rsidRDefault="00E45F62" w:rsidP="00E45F62">
      <w:pPr>
        <w:keepNext/>
        <w:keepLines/>
        <w:tabs>
          <w:tab w:val="left" w:pos="1220"/>
        </w:tabs>
        <w:autoSpaceDE w:val="0"/>
        <w:autoSpaceDN w:val="0"/>
        <w:adjustRightInd w:val="0"/>
        <w:jc w:val="center"/>
        <w:rPr>
          <w:b/>
          <w:bCs/>
          <w:smallCaps/>
          <w:color w:val="000000" w:themeColor="text1"/>
          <w:spacing w:val="1"/>
          <w:sz w:val="22"/>
        </w:rPr>
      </w:pPr>
      <w:r>
        <w:rPr>
          <w:b/>
          <w:bCs/>
          <w:smallCaps/>
          <w:color w:val="000000" w:themeColor="text1"/>
          <w:spacing w:val="1"/>
          <w:sz w:val="22"/>
        </w:rPr>
        <w:t>E</w:t>
      </w:r>
      <w:r w:rsidR="00624F11" w:rsidRPr="00866182">
        <w:rPr>
          <w:b/>
          <w:bCs/>
          <w:smallCaps/>
          <w:color w:val="000000" w:themeColor="text1"/>
          <w:spacing w:val="1"/>
          <w:sz w:val="22"/>
        </w:rPr>
        <w:t>ntidades federativas</w:t>
      </w:r>
      <w:r w:rsidR="00624F11">
        <w:rPr>
          <w:b/>
          <w:bCs/>
          <w:smallCaps/>
          <w:color w:val="000000" w:themeColor="text1"/>
          <w:spacing w:val="1"/>
          <w:sz w:val="22"/>
        </w:rPr>
        <w:t xml:space="preserve"> </w:t>
      </w:r>
      <w:r w:rsidR="00624F11" w:rsidRPr="00866182">
        <w:rPr>
          <w:b/>
          <w:bCs/>
          <w:smallCaps/>
          <w:color w:val="000000" w:themeColor="text1"/>
          <w:spacing w:val="1"/>
          <w:sz w:val="22"/>
        </w:rPr>
        <w:t xml:space="preserve">con mayor y menor variación </w:t>
      </w:r>
      <w:r w:rsidR="00624F11">
        <w:rPr>
          <w:b/>
          <w:bCs/>
          <w:smallCaps/>
          <w:color w:val="000000" w:themeColor="text1"/>
          <w:spacing w:val="1"/>
          <w:sz w:val="22"/>
        </w:rPr>
        <w:t>*</w:t>
      </w:r>
    </w:p>
    <w:p w14:paraId="30A695F7" w14:textId="0B988430" w:rsidR="00624F11" w:rsidRDefault="00624F11" w:rsidP="00624F11">
      <w:pPr>
        <w:widowControl w:val="0"/>
        <w:tabs>
          <w:tab w:val="left" w:pos="1220"/>
        </w:tabs>
        <w:autoSpaceDE w:val="0"/>
        <w:autoSpaceDN w:val="0"/>
        <w:adjustRightInd w:val="0"/>
        <w:jc w:val="center"/>
        <w:rPr>
          <w:noProof/>
          <w:lang w:val="es-MX" w:eastAsia="es-MX"/>
        </w:rPr>
      </w:pPr>
      <w:r w:rsidRPr="00E45F62">
        <w:rPr>
          <w:bCs/>
          <w:color w:val="000000" w:themeColor="text1"/>
          <w:spacing w:val="1"/>
          <w:sz w:val="18"/>
          <w:szCs w:val="22"/>
        </w:rPr>
        <w:t>Febrero de 2020</w:t>
      </w:r>
    </w:p>
    <w:p w14:paraId="7513D28B" w14:textId="48209AF6" w:rsidR="00F133A7" w:rsidRDefault="00F133A7" w:rsidP="00624F11">
      <w:pPr>
        <w:widowControl w:val="0"/>
        <w:tabs>
          <w:tab w:val="left" w:pos="1220"/>
        </w:tabs>
        <w:autoSpaceDE w:val="0"/>
        <w:autoSpaceDN w:val="0"/>
        <w:adjustRightInd w:val="0"/>
        <w:jc w:val="center"/>
        <w:rPr>
          <w:bCs/>
          <w:color w:val="000000" w:themeColor="text1"/>
          <w:spacing w:val="1"/>
        </w:rPr>
      </w:pPr>
      <w:r w:rsidRPr="00F133A7">
        <w:rPr>
          <w:noProof/>
        </w:rPr>
        <w:drawing>
          <wp:inline distT="0" distB="0" distL="0" distR="0" wp14:anchorId="14AEFD7F" wp14:editId="5D282DC3">
            <wp:extent cx="5972810" cy="1171575"/>
            <wp:effectExtent l="0" t="0" r="889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2810" cy="1171575"/>
                    </a:xfrm>
                    <a:prstGeom prst="rect">
                      <a:avLst/>
                    </a:prstGeom>
                    <a:noFill/>
                    <a:ln>
                      <a:noFill/>
                    </a:ln>
                  </pic:spPr>
                </pic:pic>
              </a:graphicData>
            </a:graphic>
          </wp:inline>
        </w:drawing>
      </w:r>
    </w:p>
    <w:p w14:paraId="01D3EA6B" w14:textId="77777777" w:rsidR="00624F11" w:rsidRPr="00E45F62" w:rsidRDefault="00624F11" w:rsidP="00624F11">
      <w:pPr>
        <w:autoSpaceDE w:val="0"/>
        <w:autoSpaceDN w:val="0"/>
        <w:adjustRightInd w:val="0"/>
        <w:ind w:left="283" w:right="113" w:hanging="170"/>
        <w:rPr>
          <w:color w:val="006600"/>
          <w:sz w:val="18"/>
          <w:szCs w:val="16"/>
        </w:rPr>
      </w:pPr>
      <w:r w:rsidRPr="00E45F62">
        <w:rPr>
          <w:color w:val="006600"/>
          <w:sz w:val="18"/>
          <w:szCs w:val="16"/>
        </w:rPr>
        <w:t>*</w:t>
      </w:r>
      <w:r w:rsidRPr="00E45F62">
        <w:rPr>
          <w:color w:val="006600"/>
          <w:sz w:val="18"/>
          <w:szCs w:val="16"/>
        </w:rPr>
        <w:tab/>
        <w:t>Las desagregaciones del INPC solo tienen valor informativo.</w:t>
      </w:r>
    </w:p>
    <w:p w14:paraId="5AEFE9E8" w14:textId="378A7AEB" w:rsidR="00624F11" w:rsidRPr="0004061B" w:rsidRDefault="00624F11" w:rsidP="00E45F62">
      <w:pPr>
        <w:widowControl w:val="0"/>
        <w:autoSpaceDE w:val="0"/>
        <w:autoSpaceDN w:val="0"/>
        <w:adjustRightInd w:val="0"/>
        <w:spacing w:before="360"/>
      </w:pPr>
      <w:r>
        <w:t>El comportamiento durante</w:t>
      </w:r>
      <w:r w:rsidRPr="0004061B">
        <w:t xml:space="preserve"> </w:t>
      </w:r>
      <w:r>
        <w:t>febrero</w:t>
      </w:r>
      <w:r w:rsidRPr="0004061B">
        <w:t xml:space="preserve"> de</w:t>
      </w:r>
      <w:r w:rsidR="00D93DC5">
        <w:t xml:space="preserve"> este </w:t>
      </w:r>
      <w:r w:rsidR="00E45F62">
        <w:t>año</w:t>
      </w:r>
      <w:r w:rsidRPr="0004061B">
        <w:t xml:space="preserve"> de los subíndices que integran al INPC según la </w:t>
      </w:r>
      <w:r>
        <w:t>C</w:t>
      </w:r>
      <w:r w:rsidRPr="0004061B">
        <w:t xml:space="preserve">lasificación del </w:t>
      </w:r>
      <w:r>
        <w:t>C</w:t>
      </w:r>
      <w:r w:rsidRPr="0004061B">
        <w:t xml:space="preserve">onsumo </w:t>
      </w:r>
      <w:r>
        <w:t>I</w:t>
      </w:r>
      <w:r w:rsidRPr="0004061B">
        <w:t xml:space="preserve">ndividual por </w:t>
      </w:r>
      <w:r>
        <w:t>F</w:t>
      </w:r>
      <w:r w:rsidRPr="0004061B">
        <w:t>inalidades (CCIF), utilizada internacionalmente para los índices de precios al consumidor</w:t>
      </w:r>
      <w:r w:rsidRPr="0004061B">
        <w:rPr>
          <w:vertAlign w:val="superscript"/>
        </w:rPr>
        <w:footnoteReference w:id="2"/>
      </w:r>
      <w:r w:rsidRPr="0004061B">
        <w:t xml:space="preserve">, se </w:t>
      </w:r>
      <w:r>
        <w:t xml:space="preserve">muestra </w:t>
      </w:r>
      <w:r w:rsidRPr="0004061B">
        <w:t>a continuación:</w:t>
      </w:r>
    </w:p>
    <w:p w14:paraId="6D341FE4" w14:textId="7BE03089" w:rsidR="00624F11" w:rsidRPr="00E45F62" w:rsidRDefault="00E45F62" w:rsidP="00E45F62">
      <w:pPr>
        <w:keepNext/>
        <w:keepLines/>
        <w:tabs>
          <w:tab w:val="left" w:pos="1220"/>
        </w:tabs>
        <w:autoSpaceDE w:val="0"/>
        <w:autoSpaceDN w:val="0"/>
        <w:adjustRightInd w:val="0"/>
        <w:spacing w:before="360"/>
        <w:jc w:val="center"/>
        <w:rPr>
          <w:b/>
          <w:bCs/>
          <w:smallCaps/>
          <w:color w:val="000000" w:themeColor="text1"/>
          <w:spacing w:val="1"/>
          <w:sz w:val="22"/>
          <w:szCs w:val="22"/>
        </w:rPr>
      </w:pPr>
      <w:r w:rsidRPr="00E45F62">
        <w:rPr>
          <w:b/>
          <w:bCs/>
          <w:smallCaps/>
          <w:color w:val="000000" w:themeColor="text1"/>
          <w:spacing w:val="1"/>
          <w:sz w:val="22"/>
          <w:szCs w:val="22"/>
        </w:rPr>
        <w:t xml:space="preserve">Índice Nacional </w:t>
      </w:r>
      <w:r>
        <w:rPr>
          <w:b/>
          <w:bCs/>
          <w:smallCaps/>
          <w:color w:val="000000" w:themeColor="text1"/>
          <w:spacing w:val="1"/>
          <w:sz w:val="22"/>
          <w:szCs w:val="22"/>
        </w:rPr>
        <w:t>d</w:t>
      </w:r>
      <w:r w:rsidRPr="00E45F62">
        <w:rPr>
          <w:b/>
          <w:bCs/>
          <w:smallCaps/>
          <w:color w:val="000000" w:themeColor="text1"/>
          <w:spacing w:val="1"/>
          <w:sz w:val="22"/>
          <w:szCs w:val="22"/>
        </w:rPr>
        <w:t xml:space="preserve">e Precios </w:t>
      </w:r>
      <w:r>
        <w:rPr>
          <w:b/>
          <w:bCs/>
          <w:smallCaps/>
          <w:color w:val="000000" w:themeColor="text1"/>
          <w:spacing w:val="1"/>
          <w:sz w:val="22"/>
          <w:szCs w:val="22"/>
        </w:rPr>
        <w:t>a</w:t>
      </w:r>
      <w:r w:rsidRPr="00E45F62">
        <w:rPr>
          <w:b/>
          <w:bCs/>
          <w:smallCaps/>
          <w:color w:val="000000" w:themeColor="text1"/>
          <w:spacing w:val="1"/>
          <w:sz w:val="22"/>
          <w:szCs w:val="22"/>
        </w:rPr>
        <w:t>l Consumidor</w:t>
      </w:r>
    </w:p>
    <w:p w14:paraId="03B8644B" w14:textId="09825B66" w:rsidR="00624F11" w:rsidRPr="00E45F62" w:rsidRDefault="00E45F62" w:rsidP="00E45F62">
      <w:pPr>
        <w:keepNext/>
        <w:keepLines/>
        <w:autoSpaceDE w:val="0"/>
        <w:autoSpaceDN w:val="0"/>
        <w:adjustRightInd w:val="0"/>
        <w:jc w:val="center"/>
        <w:rPr>
          <w:b/>
          <w:bCs/>
          <w:smallCaps/>
          <w:color w:val="000000"/>
          <w:spacing w:val="1"/>
          <w:sz w:val="22"/>
          <w:szCs w:val="22"/>
        </w:rPr>
      </w:pPr>
      <w:r>
        <w:rPr>
          <w:b/>
          <w:bCs/>
          <w:smallCaps/>
          <w:color w:val="000000"/>
          <w:spacing w:val="1"/>
          <w:sz w:val="22"/>
          <w:szCs w:val="22"/>
        </w:rPr>
        <w:t>C</w:t>
      </w:r>
      <w:r w:rsidRPr="00E45F62">
        <w:rPr>
          <w:b/>
          <w:bCs/>
          <w:smallCaps/>
          <w:color w:val="000000"/>
          <w:spacing w:val="1"/>
          <w:sz w:val="22"/>
          <w:szCs w:val="22"/>
        </w:rPr>
        <w:t xml:space="preserve">lasificación del consumo individual por finalidades </w:t>
      </w:r>
    </w:p>
    <w:p w14:paraId="53EC4B77" w14:textId="77777777" w:rsidR="00624F11" w:rsidRPr="00E45F62" w:rsidRDefault="00624F11" w:rsidP="00E45F62">
      <w:pPr>
        <w:keepNext/>
        <w:keepLines/>
        <w:autoSpaceDE w:val="0"/>
        <w:autoSpaceDN w:val="0"/>
        <w:adjustRightInd w:val="0"/>
        <w:jc w:val="center"/>
        <w:rPr>
          <w:sz w:val="18"/>
          <w:szCs w:val="22"/>
        </w:rPr>
      </w:pPr>
      <w:r w:rsidRPr="00E45F62">
        <w:rPr>
          <w:sz w:val="18"/>
          <w:szCs w:val="22"/>
        </w:rPr>
        <w:t>Variación porcentual</w:t>
      </w:r>
    </w:p>
    <w:p w14:paraId="2B17F33E" w14:textId="1015D071" w:rsidR="00624F11" w:rsidRDefault="00F133A7" w:rsidP="00F133A7">
      <w:pPr>
        <w:pStyle w:val="Prrafodelista"/>
        <w:autoSpaceDE w:val="0"/>
        <w:autoSpaceDN w:val="0"/>
        <w:adjustRightInd w:val="0"/>
        <w:ind w:left="0"/>
        <w:jc w:val="center"/>
        <w:rPr>
          <w:sz w:val="22"/>
          <w:szCs w:val="22"/>
        </w:rPr>
      </w:pPr>
      <w:r w:rsidRPr="00F133A7">
        <w:rPr>
          <w:noProof/>
        </w:rPr>
        <w:drawing>
          <wp:inline distT="0" distB="0" distL="0" distR="0" wp14:anchorId="4636D6E1" wp14:editId="53492C06">
            <wp:extent cx="5972810" cy="2673985"/>
            <wp:effectExtent l="0" t="0" r="889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2810" cy="2673985"/>
                    </a:xfrm>
                    <a:prstGeom prst="rect">
                      <a:avLst/>
                    </a:prstGeom>
                    <a:noFill/>
                    <a:ln>
                      <a:noFill/>
                    </a:ln>
                  </pic:spPr>
                </pic:pic>
              </a:graphicData>
            </a:graphic>
          </wp:inline>
        </w:drawing>
      </w:r>
    </w:p>
    <w:p w14:paraId="08CA4D77" w14:textId="77777777" w:rsidR="00624F11" w:rsidRPr="00E4402D" w:rsidRDefault="00624F11" w:rsidP="00624F11">
      <w:pPr>
        <w:autoSpaceDE w:val="0"/>
        <w:autoSpaceDN w:val="0"/>
        <w:adjustRightInd w:val="0"/>
        <w:ind w:left="283" w:right="113" w:hanging="170"/>
        <w:rPr>
          <w:color w:val="006600"/>
          <w:sz w:val="16"/>
          <w:szCs w:val="16"/>
        </w:rPr>
      </w:pPr>
      <w:r w:rsidRPr="00E4402D">
        <w:rPr>
          <w:color w:val="006600"/>
          <w:sz w:val="18"/>
          <w:szCs w:val="16"/>
          <w:vertAlign w:val="superscript"/>
        </w:rPr>
        <w:t>1/</w:t>
      </w:r>
      <w:r w:rsidRPr="00E4402D">
        <w:rPr>
          <w:color w:val="006600"/>
          <w:sz w:val="16"/>
          <w:szCs w:val="16"/>
          <w:vertAlign w:val="superscript"/>
        </w:rPr>
        <w:tab/>
      </w:r>
      <w:r w:rsidRPr="00E4402D">
        <w:rPr>
          <w:color w:val="006600"/>
          <w:sz w:val="16"/>
          <w:szCs w:val="16"/>
        </w:rPr>
        <w:t>Incluye productos y servicios de cuidado personal, relojes, maletas, seguro de automóvil, servicios funerarios y profesionales, entre otros.</w:t>
      </w:r>
    </w:p>
    <w:p w14:paraId="3B249C37" w14:textId="3529D488" w:rsidR="00624F11" w:rsidRPr="00D25428" w:rsidRDefault="00624F11" w:rsidP="00E45F62">
      <w:pPr>
        <w:autoSpaceDE w:val="0"/>
        <w:autoSpaceDN w:val="0"/>
        <w:adjustRightInd w:val="0"/>
        <w:spacing w:before="240"/>
        <w:rPr>
          <w:color w:val="000000" w:themeColor="text1"/>
        </w:rPr>
      </w:pPr>
      <w:r w:rsidRPr="00D25428">
        <w:rPr>
          <w:color w:val="000000" w:themeColor="text1"/>
        </w:rPr>
        <w:lastRenderedPageBreak/>
        <w:t xml:space="preserve">En la segunda quincena de </w:t>
      </w:r>
      <w:r>
        <w:rPr>
          <w:color w:val="000000" w:themeColor="text1"/>
        </w:rPr>
        <w:t>febrero</w:t>
      </w:r>
      <w:r w:rsidRPr="00D25428">
        <w:rPr>
          <w:color w:val="000000" w:themeColor="text1"/>
        </w:rPr>
        <w:t xml:space="preserve"> de 20</w:t>
      </w:r>
      <w:r>
        <w:rPr>
          <w:color w:val="000000" w:themeColor="text1"/>
        </w:rPr>
        <w:t>20</w:t>
      </w:r>
      <w:r w:rsidRPr="00D25428">
        <w:rPr>
          <w:color w:val="000000" w:themeColor="text1"/>
        </w:rPr>
        <w:t xml:space="preserve"> el INPC </w:t>
      </w:r>
      <w:r w:rsidR="00A85732">
        <w:rPr>
          <w:color w:val="000000" w:themeColor="text1"/>
        </w:rPr>
        <w:t>mo</w:t>
      </w:r>
      <w:r>
        <w:rPr>
          <w:color w:val="000000" w:themeColor="text1"/>
        </w:rPr>
        <w:t>stró</w:t>
      </w:r>
      <w:r w:rsidRPr="00D25428">
        <w:rPr>
          <w:color w:val="000000" w:themeColor="text1"/>
        </w:rPr>
        <w:t xml:space="preserve"> un</w:t>
      </w:r>
      <w:r w:rsidR="00A85732">
        <w:rPr>
          <w:color w:val="000000" w:themeColor="text1"/>
        </w:rPr>
        <w:t xml:space="preserve"> </w:t>
      </w:r>
      <w:r w:rsidRPr="00D25428">
        <w:rPr>
          <w:color w:val="000000" w:themeColor="text1"/>
        </w:rPr>
        <w:t>a</w:t>
      </w:r>
      <w:r w:rsidR="00A85732">
        <w:rPr>
          <w:color w:val="000000" w:themeColor="text1"/>
        </w:rPr>
        <w:t>lza</w:t>
      </w:r>
      <w:r w:rsidRPr="00D25428">
        <w:rPr>
          <w:color w:val="000000" w:themeColor="text1"/>
        </w:rPr>
        <w:t xml:space="preserve"> de </w:t>
      </w:r>
      <w:r>
        <w:rPr>
          <w:color w:val="000000" w:themeColor="text1"/>
        </w:rPr>
        <w:t>0.47</w:t>
      </w:r>
      <w:r w:rsidRPr="00D25428">
        <w:rPr>
          <w:color w:val="000000" w:themeColor="text1"/>
        </w:rPr>
        <w:t xml:space="preserve"> por ciento, resultado de los índices </w:t>
      </w:r>
      <w:r w:rsidR="00A85732">
        <w:rPr>
          <w:color w:val="000000" w:themeColor="text1"/>
        </w:rPr>
        <w:t xml:space="preserve">de </w:t>
      </w:r>
      <w:r w:rsidRPr="004507DB">
        <w:rPr>
          <w:color w:val="000000" w:themeColor="text1"/>
        </w:rPr>
        <w:t>1</w:t>
      </w:r>
      <w:r>
        <w:rPr>
          <w:color w:val="000000" w:themeColor="text1"/>
        </w:rPr>
        <w:t>06.636</w:t>
      </w:r>
      <w:r w:rsidRPr="004507DB">
        <w:rPr>
          <w:color w:val="000000" w:themeColor="text1"/>
        </w:rPr>
        <w:t xml:space="preserve"> y </w:t>
      </w:r>
      <w:r w:rsidR="00A85732">
        <w:rPr>
          <w:color w:val="000000" w:themeColor="text1"/>
        </w:rPr>
        <w:t>de</w:t>
      </w:r>
      <w:r w:rsidR="002E4005">
        <w:rPr>
          <w:color w:val="000000" w:themeColor="text1"/>
        </w:rPr>
        <w:t xml:space="preserve"> </w:t>
      </w:r>
      <w:r w:rsidRPr="004507DB">
        <w:rPr>
          <w:color w:val="000000" w:themeColor="text1"/>
        </w:rPr>
        <w:t>1</w:t>
      </w:r>
      <w:r>
        <w:rPr>
          <w:color w:val="000000" w:themeColor="text1"/>
        </w:rPr>
        <w:t>07</w:t>
      </w:r>
      <w:r w:rsidRPr="004507DB">
        <w:rPr>
          <w:color w:val="000000" w:themeColor="text1"/>
        </w:rPr>
        <w:t>.</w:t>
      </w:r>
      <w:r>
        <w:rPr>
          <w:color w:val="000000" w:themeColor="text1"/>
        </w:rPr>
        <w:t>141</w:t>
      </w:r>
      <w:r w:rsidRPr="00D25428">
        <w:rPr>
          <w:color w:val="000000" w:themeColor="text1"/>
        </w:rPr>
        <w:t xml:space="preserve"> registrados en la primera y segunda quincena del mes</w:t>
      </w:r>
      <w:r w:rsidR="00A85732">
        <w:rPr>
          <w:color w:val="000000" w:themeColor="text1"/>
        </w:rPr>
        <w:t>,</w:t>
      </w:r>
      <w:r w:rsidRPr="00D25428">
        <w:rPr>
          <w:color w:val="000000" w:themeColor="text1"/>
        </w:rPr>
        <w:t xml:space="preserve"> respectivamente.</w:t>
      </w:r>
    </w:p>
    <w:p w14:paraId="3C429DCC" w14:textId="6144F739" w:rsidR="00624F11" w:rsidRPr="00AF5DD6" w:rsidRDefault="00624F11" w:rsidP="00E45F62">
      <w:pPr>
        <w:autoSpaceDE w:val="0"/>
        <w:autoSpaceDN w:val="0"/>
        <w:adjustRightInd w:val="0"/>
        <w:spacing w:before="240"/>
        <w:rPr>
          <w:color w:val="000000" w:themeColor="text1"/>
        </w:rPr>
      </w:pPr>
      <w:r w:rsidRPr="00AF5DD6">
        <w:rPr>
          <w:color w:val="000000" w:themeColor="text1"/>
        </w:rPr>
        <w:t>El índice de precios de la canasta básica</w:t>
      </w:r>
      <w:r w:rsidRPr="00A60146">
        <w:rPr>
          <w:rStyle w:val="Refdenotaalpie"/>
        </w:rPr>
        <w:footnoteReference w:id="3"/>
      </w:r>
      <w:r w:rsidRPr="00AF5DD6">
        <w:rPr>
          <w:color w:val="000000" w:themeColor="text1"/>
        </w:rPr>
        <w:t xml:space="preserve"> </w:t>
      </w:r>
      <w:r w:rsidR="00A85732">
        <w:rPr>
          <w:color w:val="000000" w:themeColor="text1"/>
        </w:rPr>
        <w:t xml:space="preserve">presentó </w:t>
      </w:r>
      <w:r w:rsidRPr="00AF5DD6">
        <w:rPr>
          <w:color w:val="000000" w:themeColor="text1"/>
        </w:rPr>
        <w:t>un</w:t>
      </w:r>
      <w:r w:rsidR="00A85732">
        <w:rPr>
          <w:color w:val="000000" w:themeColor="text1"/>
        </w:rPr>
        <w:t xml:space="preserve"> </w:t>
      </w:r>
      <w:r>
        <w:rPr>
          <w:color w:val="000000" w:themeColor="text1"/>
        </w:rPr>
        <w:t>a</w:t>
      </w:r>
      <w:r w:rsidR="00A85732">
        <w:rPr>
          <w:color w:val="000000" w:themeColor="text1"/>
        </w:rPr>
        <w:t>umento</w:t>
      </w:r>
      <w:r>
        <w:rPr>
          <w:color w:val="000000" w:themeColor="text1"/>
        </w:rPr>
        <w:t xml:space="preserve"> mensual de</w:t>
      </w:r>
      <w:r w:rsidRPr="00AF5DD6">
        <w:rPr>
          <w:color w:val="000000" w:themeColor="text1"/>
        </w:rPr>
        <w:t xml:space="preserve"> </w:t>
      </w:r>
      <w:r>
        <w:rPr>
          <w:color w:val="000000" w:themeColor="text1"/>
        </w:rPr>
        <w:t>0.19</w:t>
      </w:r>
      <w:r w:rsidRPr="00AF5DD6">
        <w:rPr>
          <w:color w:val="000000" w:themeColor="text1"/>
        </w:rPr>
        <w:t xml:space="preserve"> por ciento</w:t>
      </w:r>
      <w:r w:rsidR="00D93DC5">
        <w:rPr>
          <w:color w:val="000000" w:themeColor="text1"/>
        </w:rPr>
        <w:t xml:space="preserve"> y </w:t>
      </w:r>
      <w:r w:rsidRPr="00AF5DD6">
        <w:rPr>
          <w:color w:val="000000" w:themeColor="text1"/>
        </w:rPr>
        <w:t xml:space="preserve">anual de </w:t>
      </w:r>
      <w:r>
        <w:rPr>
          <w:color w:val="000000" w:themeColor="text1"/>
        </w:rPr>
        <w:t>2.82</w:t>
      </w:r>
      <w:r w:rsidRPr="00AF5DD6">
        <w:rPr>
          <w:color w:val="000000" w:themeColor="text1"/>
        </w:rPr>
        <w:t xml:space="preserve"> por ciento. En el mismo mes de 201</w:t>
      </w:r>
      <w:r>
        <w:rPr>
          <w:color w:val="000000" w:themeColor="text1"/>
        </w:rPr>
        <w:t>9</w:t>
      </w:r>
      <w:r w:rsidRPr="00AF5DD6">
        <w:rPr>
          <w:color w:val="000000" w:themeColor="text1"/>
        </w:rPr>
        <w:t xml:space="preserve"> las cifras correspondientes fueron de </w:t>
      </w:r>
      <w:r>
        <w:rPr>
          <w:color w:val="000000" w:themeColor="text1"/>
        </w:rPr>
        <w:t>0.60</w:t>
      </w:r>
      <w:r w:rsidRPr="00AF5DD6">
        <w:rPr>
          <w:color w:val="000000" w:themeColor="text1"/>
        </w:rPr>
        <w:t xml:space="preserve"> y </w:t>
      </w:r>
      <w:r w:rsidR="00D93DC5">
        <w:rPr>
          <w:color w:val="000000" w:themeColor="text1"/>
        </w:rPr>
        <w:t xml:space="preserve">de </w:t>
      </w:r>
      <w:r>
        <w:rPr>
          <w:color w:val="000000" w:themeColor="text1"/>
        </w:rPr>
        <w:t>3.80</w:t>
      </w:r>
      <w:r w:rsidRPr="00AF5DD6">
        <w:rPr>
          <w:color w:val="000000" w:themeColor="text1"/>
        </w:rPr>
        <w:t xml:space="preserve"> por ciento</w:t>
      </w:r>
      <w:r w:rsidR="00A85732">
        <w:rPr>
          <w:color w:val="000000" w:themeColor="text1"/>
        </w:rPr>
        <w:t>, en ese orden</w:t>
      </w:r>
      <w:r w:rsidRPr="00AF5DD6">
        <w:rPr>
          <w:color w:val="000000" w:themeColor="text1"/>
        </w:rPr>
        <w:t>.</w:t>
      </w:r>
    </w:p>
    <w:p w14:paraId="7ED08BCA" w14:textId="1D9FFFE1" w:rsidR="00624F11" w:rsidRPr="00E45F62" w:rsidRDefault="00624F11" w:rsidP="00E45F62">
      <w:pPr>
        <w:widowControl w:val="0"/>
        <w:autoSpaceDE w:val="0"/>
        <w:autoSpaceDN w:val="0"/>
        <w:adjustRightInd w:val="0"/>
        <w:spacing w:before="480"/>
        <w:rPr>
          <w:b/>
          <w:i/>
        </w:rPr>
      </w:pPr>
      <w:r w:rsidRPr="00E45F62">
        <w:rPr>
          <w:b/>
          <w:i/>
        </w:rPr>
        <w:t>Nota metodológica</w:t>
      </w:r>
    </w:p>
    <w:p w14:paraId="218FB959" w14:textId="77777777" w:rsidR="00624F11" w:rsidRPr="00E45F62" w:rsidRDefault="00624F11" w:rsidP="00E45F62">
      <w:pPr>
        <w:pStyle w:val="Prrafodelista"/>
        <w:autoSpaceDE w:val="0"/>
        <w:autoSpaceDN w:val="0"/>
        <w:adjustRightInd w:val="0"/>
        <w:spacing w:before="240"/>
        <w:ind w:left="0"/>
        <w:rPr>
          <w:lang w:val="es-MX"/>
        </w:rPr>
      </w:pPr>
      <w:r w:rsidRPr="00E45F62">
        <w:rPr>
          <w:lang w:val="es-MX"/>
        </w:rPr>
        <w:t>El Índice Nacional de Precios al Consumidor (INPC) es un indicador económico que mide, a lo largo del tiempo, la variación promedio de los precios de una canasta de bienes y servicios representativa del consumo de los hogares del país. Estas variaciones de precios repercuten directamente en el poder adquisitivo y en el bienestar de los consumidores, razón por la cual el INPC es un indicador trascendente y de interés general para la sociedad en su conjunto. La tasa de crecimiento del INPC de un periodo a otro permite medir el fenómeno económico conocido como inflación.</w:t>
      </w:r>
    </w:p>
    <w:p w14:paraId="21C653A4" w14:textId="77777777" w:rsidR="00624F11" w:rsidRPr="00E45F62" w:rsidRDefault="00624F11" w:rsidP="00624F11">
      <w:pPr>
        <w:pStyle w:val="Texto"/>
        <w:autoSpaceDE w:val="0"/>
        <w:autoSpaceDN w:val="0"/>
        <w:adjustRightInd w:val="0"/>
        <w:spacing w:before="240" w:after="0" w:line="240" w:lineRule="auto"/>
        <w:ind w:firstLine="0"/>
        <w:rPr>
          <w:sz w:val="24"/>
          <w:szCs w:val="24"/>
          <w:lang w:val="es-MX"/>
        </w:rPr>
      </w:pPr>
      <w:r w:rsidRPr="00E45F62">
        <w:rPr>
          <w:sz w:val="24"/>
          <w:szCs w:val="24"/>
          <w:lang w:val="es-MX"/>
        </w:rPr>
        <w:t>Las características metodológicas del INPC son:</w:t>
      </w:r>
    </w:p>
    <w:p w14:paraId="508378EB"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Periodo de referencia</w:t>
      </w:r>
    </w:p>
    <w:p w14:paraId="5EC2AE01" w14:textId="77777777" w:rsidR="00624F11" w:rsidRPr="00E45F62" w:rsidRDefault="00624F11" w:rsidP="00E45F62">
      <w:pPr>
        <w:pStyle w:val="Texto"/>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 xml:space="preserve">El periodo de referencia del INPC es </w:t>
      </w:r>
      <w:r w:rsidRPr="00E45F62">
        <w:rPr>
          <w:color w:val="000000" w:themeColor="text1"/>
          <w:sz w:val="24"/>
          <w:szCs w:val="24"/>
          <w:lang w:val="es-ES_tradnl"/>
        </w:rPr>
        <w:t>la segunda quincena de julio de 2018=100. A partir de este periodo se efectúan las comparaciones de los precios, por lo que se le denomina periodo base de comparación de los precios.</w:t>
      </w:r>
    </w:p>
    <w:p w14:paraId="6D9A4602" w14:textId="2DCD3B6C"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Canasta de bienes y servicios</w:t>
      </w:r>
    </w:p>
    <w:p w14:paraId="527CBF46" w14:textId="7591AFEC" w:rsidR="00624F11" w:rsidRPr="00E45F62" w:rsidRDefault="00624F11" w:rsidP="00E45F62">
      <w:pPr>
        <w:pStyle w:val="Texto"/>
        <w:autoSpaceDE w:val="0"/>
        <w:autoSpaceDN w:val="0"/>
        <w:adjustRightInd w:val="0"/>
        <w:spacing w:before="60" w:after="0" w:line="240" w:lineRule="auto"/>
        <w:ind w:left="357" w:firstLine="0"/>
        <w:rPr>
          <w:sz w:val="24"/>
          <w:szCs w:val="24"/>
          <w:lang w:val="es-MX"/>
        </w:rPr>
      </w:pPr>
      <w:r w:rsidRPr="00E45F62">
        <w:rPr>
          <w:sz w:val="24"/>
          <w:szCs w:val="24"/>
          <w:lang w:val="es-MX"/>
        </w:rPr>
        <w:t xml:space="preserve">La </w:t>
      </w:r>
      <w:r w:rsidRPr="00E45F62">
        <w:rPr>
          <w:sz w:val="24"/>
          <w:szCs w:val="24"/>
        </w:rPr>
        <w:t>canasta</w:t>
      </w:r>
      <w:r w:rsidRPr="00E45F62">
        <w:rPr>
          <w:sz w:val="24"/>
          <w:szCs w:val="24"/>
          <w:lang w:val="es-MX"/>
        </w:rPr>
        <w:t xml:space="preserve"> está integrada por una muestra de alrededor de 120 mil productos y servicios específicos, agrupados en 299 genéricos</w:t>
      </w:r>
      <w:r w:rsidRPr="00E45F62">
        <w:rPr>
          <w:rStyle w:val="Refdenotaalpie"/>
          <w:sz w:val="24"/>
          <w:szCs w:val="24"/>
          <w:lang w:val="es-MX"/>
        </w:rPr>
        <w:footnoteReference w:id="4"/>
      </w:r>
      <w:r w:rsidRPr="00E45F62">
        <w:rPr>
          <w:sz w:val="24"/>
          <w:szCs w:val="24"/>
          <w:lang w:val="es-MX"/>
        </w:rPr>
        <w:t>, con lo cual 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16C2C6B6" w14:textId="77777777" w:rsidR="00624F11" w:rsidRPr="00E45F62" w:rsidRDefault="00624F11" w:rsidP="002E4005">
      <w:pPr>
        <w:pStyle w:val="Texto"/>
        <w:widowControl w:val="0"/>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Estructura de ponderación</w:t>
      </w:r>
    </w:p>
    <w:p w14:paraId="494DE545" w14:textId="77777777" w:rsidR="00624F11" w:rsidRPr="00E45F62" w:rsidRDefault="00624F11" w:rsidP="002E4005">
      <w:pPr>
        <w:pStyle w:val="Texto"/>
        <w:widowControl w:val="0"/>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 xml:space="preserve">Define la participación del gasto de un bien o servicio en la canasta de bienes y servicios representativa del consumo de los hogares del país. La suma del total de ponderaciones de la canasta es igual a 1. Para poder considerar un Genérico en la canasta de bienes y servicios del INPC su ponderación debe ser igual o mayor a </w:t>
      </w:r>
      <w:r w:rsidRPr="00E45F62">
        <w:rPr>
          <w:sz w:val="24"/>
          <w:szCs w:val="24"/>
          <w:lang w:val="es-MX"/>
        </w:rPr>
        <w:lastRenderedPageBreak/>
        <w:t>0.01%. La estructura de las ponderaciones se construyó con información de la Engasto 2012 y 2013 y la ENIGH 2014. El alcance de los ponderadores es de los hogares</w:t>
      </w:r>
      <w:r w:rsidRPr="00E45F62">
        <w:rPr>
          <w:color w:val="000000" w:themeColor="text1"/>
          <w:sz w:val="24"/>
          <w:szCs w:val="24"/>
          <w:lang w:val="es-ES_tradnl"/>
        </w:rPr>
        <w:t xml:space="preserve"> a nivel nacional.</w:t>
      </w:r>
    </w:p>
    <w:p w14:paraId="2B0EE14E"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Muestreo de puntos de venta </w:t>
      </w:r>
    </w:p>
    <w:p w14:paraId="74E63B42" w14:textId="77777777"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color w:val="000000"/>
          <w:sz w:val="24"/>
          <w:szCs w:val="24"/>
        </w:rPr>
        <w:t xml:space="preserve">Los puntos de venta son las unidades económicas o establecimientos donde los investigadores de precios cotizan los precios de los productos específicos de la canasta del INPC. Para el INPC 2018 fueron seleccionados a través de un </w:t>
      </w:r>
      <w:r w:rsidRPr="00E45F62">
        <w:rPr>
          <w:sz w:val="24"/>
          <w:szCs w:val="24"/>
          <w:lang w:val="es-ES_tradnl"/>
        </w:rPr>
        <w:t xml:space="preserve">esquema de muestreo probabilístico, en el caso de 248 genéricos, y un muestreo no probabilístico para los 51 genéricos restantes. </w:t>
      </w:r>
      <w:r w:rsidRPr="00E45F62">
        <w:rPr>
          <w:color w:val="000000"/>
          <w:sz w:val="24"/>
          <w:szCs w:val="24"/>
        </w:rPr>
        <w:t>En este último caso se consideran los genéricos cuyas tarifas son autorizadas o reguladas por el gobierno, solo existe uno o pocos oferentes de los servicios, no se cuenta con un marco de muestreo u otros genéricos cuyo precio es muy semejante, por lo que no es necesario aplicar un muestreo probabilístico.</w:t>
      </w:r>
    </w:p>
    <w:p w14:paraId="3F7C4F95"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Cobertura geográfica de las cotizaciones</w:t>
      </w:r>
    </w:p>
    <w:p w14:paraId="1F05E3AB" w14:textId="22620229"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sz w:val="24"/>
          <w:szCs w:val="24"/>
          <w:lang w:val="es-ES_tradnl"/>
        </w:rPr>
        <w:t xml:space="preserve">Las </w:t>
      </w:r>
      <w:r w:rsidRPr="00E45F62">
        <w:rPr>
          <w:color w:val="000000"/>
          <w:sz w:val="24"/>
          <w:szCs w:val="24"/>
        </w:rPr>
        <w:t>cotizaciones</w:t>
      </w:r>
      <w:r w:rsidRPr="00E45F62">
        <w:rPr>
          <w:sz w:val="24"/>
          <w:szCs w:val="24"/>
          <w:lang w:val="es-ES_tradnl"/>
        </w:rPr>
        <w:t xml:space="preserve"> de precios se realizan en una muestra de establecimientos ubicados en 55 áreas geográficas de las 32 Entidades Federativas del país. Se cotizan en promedio 159 mil 500 precios quincenalmente de los productos y servicios específicos de los 299 genéricos. Las cotizaciones de alimentos se realiza</w:t>
      </w:r>
      <w:r w:rsidR="00E45F62">
        <w:rPr>
          <w:sz w:val="24"/>
          <w:szCs w:val="24"/>
          <w:lang w:val="es-ES_tradnl"/>
        </w:rPr>
        <w:t>n</w:t>
      </w:r>
      <w:r w:rsidRPr="00E45F62">
        <w:rPr>
          <w:sz w:val="24"/>
          <w:szCs w:val="24"/>
          <w:lang w:val="es-ES_tradnl"/>
        </w:rPr>
        <w:t xml:space="preserve"> por lo menos dos veces durante la quincena que se reporta; para el resto de los productos se obtienen por lo menos una vez en dicho periodo.</w:t>
      </w:r>
    </w:p>
    <w:p w14:paraId="3B782BA8" w14:textId="77777777" w:rsidR="00624F11" w:rsidRPr="00E45F62" w:rsidRDefault="00624F11" w:rsidP="002E4005">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Cálculo del INPC</w:t>
      </w:r>
    </w:p>
    <w:p w14:paraId="0C2FA7BF" w14:textId="77777777"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sz w:val="24"/>
          <w:szCs w:val="24"/>
          <w:lang w:val="es-MX"/>
        </w:rPr>
        <w:t xml:space="preserve">El Código Fiscal de la Federación, en su artículo 20-Bis, fracción V, establece que el INPC se calculará utilizando la fórmula de Laspeyres. Se calcula </w:t>
      </w:r>
      <w:r w:rsidRPr="00E45F62">
        <w:rPr>
          <w:sz w:val="24"/>
          <w:szCs w:val="24"/>
          <w:lang w:val="es-ES_tradnl"/>
        </w:rPr>
        <w:t>en dos etapas. En la primera se calculan los índices elementales por genérico y área geográfica mediante un Índice de Jevons. En la segunda etapa se calculan los índices de precios de nivel superior con el Índice de Laspeyres.</w:t>
      </w:r>
    </w:p>
    <w:p w14:paraId="75F4C33A"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Publicación de resultados </w:t>
      </w:r>
    </w:p>
    <w:p w14:paraId="49F28606" w14:textId="77777777"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sz w:val="24"/>
          <w:szCs w:val="24"/>
        </w:rPr>
        <w:t>El cálculo y divulgación del INPC se hace quincenal y mensualmente; se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la segunda quincena del mes anterior. Por internet se difunden en la página del INEGI, un día antes de su publicación en el Diario Oficial, junto con un Comunicado de prensa.</w:t>
      </w:r>
    </w:p>
    <w:p w14:paraId="3148D9EC" w14:textId="77777777" w:rsidR="002E4005" w:rsidRDefault="002E4005">
      <w:pPr>
        <w:jc w:val="left"/>
        <w:rPr>
          <w:b/>
          <w:i/>
        </w:rPr>
      </w:pPr>
      <w:r>
        <w:rPr>
          <w:b/>
          <w:i/>
        </w:rPr>
        <w:br w:type="page"/>
      </w:r>
    </w:p>
    <w:p w14:paraId="0C5CCCFC" w14:textId="20CB45FE" w:rsidR="00624F11" w:rsidRPr="00E45F62" w:rsidRDefault="00624F11" w:rsidP="00E45F62">
      <w:pPr>
        <w:widowControl w:val="0"/>
        <w:autoSpaceDE w:val="0"/>
        <w:autoSpaceDN w:val="0"/>
        <w:adjustRightInd w:val="0"/>
        <w:spacing w:before="480"/>
        <w:rPr>
          <w:b/>
          <w:i/>
        </w:rPr>
      </w:pPr>
      <w:r w:rsidRPr="00E45F62">
        <w:rPr>
          <w:b/>
          <w:i/>
        </w:rPr>
        <w:lastRenderedPageBreak/>
        <w:t xml:space="preserve">Herramientas de análisis </w:t>
      </w:r>
    </w:p>
    <w:p w14:paraId="6390F55A" w14:textId="095355E5" w:rsidR="00624F11" w:rsidRPr="00E45F62" w:rsidRDefault="00624F11" w:rsidP="00E45F62">
      <w:pPr>
        <w:pStyle w:val="Texto"/>
        <w:autoSpaceDE w:val="0"/>
        <w:autoSpaceDN w:val="0"/>
        <w:adjustRightInd w:val="0"/>
        <w:spacing w:before="240" w:after="0" w:line="240" w:lineRule="auto"/>
        <w:ind w:firstLine="0"/>
        <w:rPr>
          <w:sz w:val="24"/>
          <w:szCs w:val="24"/>
        </w:rPr>
      </w:pPr>
      <w:r w:rsidRPr="00E45F62">
        <w:rPr>
          <w:sz w:val="24"/>
          <w:szCs w:val="24"/>
        </w:rPr>
        <w:t>El INEGI lo invita a conocer y hacer uso de las herramientas para el análisis y entendimiento de los índices nacionales de precios, disponibles en el apartado Herramientas dentro del apartado Índice Nacional de Precios al Consumidor de su página web</w:t>
      </w:r>
      <w:r w:rsidR="00E45F62">
        <w:rPr>
          <w:sz w:val="24"/>
          <w:szCs w:val="24"/>
        </w:rPr>
        <w:t xml:space="preserve">: </w:t>
      </w:r>
      <w:hyperlink r:id="rId34" w:anchor="Herramientas" w:history="1">
        <w:r w:rsidRPr="00E45F62">
          <w:rPr>
            <w:rStyle w:val="Hipervnculo"/>
            <w:sz w:val="24"/>
            <w:szCs w:val="24"/>
          </w:rPr>
          <w:t>https://www.inegi.org.mx/programas/inpc/2018/default.html#Herramientas</w:t>
        </w:r>
      </w:hyperlink>
    </w:p>
    <w:p w14:paraId="54915E64" w14:textId="33EEE6EB"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Calculadora de inflación.</w:t>
      </w:r>
      <w:r w:rsidR="004C5CD0" w:rsidRPr="004C5CD0">
        <w:rPr>
          <w:bCs/>
          <w:i/>
          <w:iCs/>
          <w:sz w:val="24"/>
          <w:szCs w:val="24"/>
          <w:lang w:val="es-ES_tradnl"/>
        </w:rPr>
        <w:t xml:space="preserve"> </w:t>
      </w:r>
      <w:r w:rsidRPr="004C5CD0">
        <w:rPr>
          <w:sz w:val="24"/>
          <w:szCs w:val="24"/>
        </w:rPr>
        <w:t>Permite calcular la Tasa de Inflación de un Índice de Precios, en un intervalo de tiempo. Calcula dos tipos de tasas de inflación porcentuales: la implícita entre cualquiera de dos fechas, y la tasa de inflación porcentual promedio en un período.</w:t>
      </w:r>
    </w:p>
    <w:p w14:paraId="1AA38E48" w14:textId="1B836C85"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Caleidoscopio.</w:t>
      </w:r>
      <w:r w:rsidR="004C5CD0">
        <w:rPr>
          <w:bCs/>
          <w:i/>
          <w:iCs/>
          <w:sz w:val="24"/>
          <w:szCs w:val="24"/>
          <w:lang w:val="es-ES_tradnl"/>
        </w:rPr>
        <w:t xml:space="preserve"> </w:t>
      </w:r>
      <w:r w:rsidRPr="00D93DC5">
        <w:rPr>
          <w:sz w:val="24"/>
          <w:szCs w:val="24"/>
        </w:rPr>
        <w:t xml:space="preserve">Muestra la forma en que los consumidores, en promedio, distribuyen su gasto en 8 grupos y 36 subgrupos, así como, las variaciones en los precios de </w:t>
      </w:r>
      <w:proofErr w:type="gramStart"/>
      <w:r w:rsidRPr="00D93DC5">
        <w:rPr>
          <w:sz w:val="24"/>
          <w:szCs w:val="24"/>
        </w:rPr>
        <w:t>los mismo</w:t>
      </w:r>
      <w:r w:rsidRPr="00D93DC5">
        <w:rPr>
          <w:spacing w:val="-6"/>
          <w:sz w:val="24"/>
          <w:szCs w:val="24"/>
        </w:rPr>
        <w:t>s</w:t>
      </w:r>
      <w:proofErr w:type="gramEnd"/>
      <w:r w:rsidRPr="00D93DC5">
        <w:rPr>
          <w:spacing w:val="-6"/>
          <w:sz w:val="24"/>
          <w:szCs w:val="24"/>
        </w:rPr>
        <w:t>.</w:t>
      </w:r>
    </w:p>
    <w:p w14:paraId="50549F02" w14:textId="5B47102C"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Mapa de precios.</w:t>
      </w:r>
      <w:r w:rsidR="004C5CD0" w:rsidRPr="004C5CD0">
        <w:rPr>
          <w:bCs/>
          <w:i/>
          <w:iCs/>
          <w:sz w:val="24"/>
          <w:szCs w:val="24"/>
          <w:lang w:val="es-ES_tradnl"/>
        </w:rPr>
        <w:t xml:space="preserve"> </w:t>
      </w:r>
      <w:r w:rsidRPr="004C5CD0">
        <w:rPr>
          <w:sz w:val="24"/>
          <w:szCs w:val="24"/>
        </w:rPr>
        <w:t>Presenta en forma dinámica las variaciones anualizadas de los precios por ciudad, entidad y región, así como la participación o peso que tienen estos en el INPC.</w:t>
      </w:r>
    </w:p>
    <w:p w14:paraId="00932561" w14:textId="64A19ED6"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Consulta de precios promedio.</w:t>
      </w:r>
      <w:r w:rsidR="004C5CD0">
        <w:rPr>
          <w:bCs/>
          <w:i/>
          <w:iCs/>
          <w:sz w:val="24"/>
          <w:szCs w:val="24"/>
          <w:lang w:val="es-ES_tradnl"/>
        </w:rPr>
        <w:t xml:space="preserve"> </w:t>
      </w:r>
      <w:r w:rsidRPr="004C5CD0">
        <w:rPr>
          <w:sz w:val="24"/>
          <w:szCs w:val="24"/>
        </w:rPr>
        <w:t>Permite consultar y exportar el precio promedio mensual de cada uno de los productos específicos utilizados para el cálculo del INPC.</w:t>
      </w:r>
    </w:p>
    <w:p w14:paraId="4AF3F204" w14:textId="77777777" w:rsidR="004C5CD0" w:rsidRPr="009C5908" w:rsidRDefault="004C5CD0" w:rsidP="004C5CD0">
      <w:pPr>
        <w:pStyle w:val="Texto"/>
        <w:autoSpaceDE w:val="0"/>
        <w:autoSpaceDN w:val="0"/>
        <w:adjustRightInd w:val="0"/>
        <w:spacing w:before="240" w:after="0" w:line="240" w:lineRule="auto"/>
        <w:ind w:firstLine="0"/>
        <w:rPr>
          <w:sz w:val="24"/>
          <w:szCs w:val="24"/>
        </w:rPr>
      </w:pPr>
      <w:r w:rsidRPr="00636E0F">
        <w:rPr>
          <w:sz w:val="24"/>
          <w:szCs w:val="24"/>
        </w:rPr>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Pr="00636E0F">
        <w:rPr>
          <w:snapToGrid w:val="0"/>
          <w:sz w:val="24"/>
          <w:szCs w:val="24"/>
        </w:rPr>
        <w:t>difusión de información estadística y geográfica y de Interés Nacional</w:t>
      </w:r>
      <w:r w:rsidRPr="00636E0F">
        <w:rPr>
          <w:sz w:val="24"/>
          <w:szCs w:val="24"/>
        </w:rPr>
        <w:t>.</w:t>
      </w:r>
    </w:p>
    <w:p w14:paraId="33D3DDC7" w14:textId="154DBE25" w:rsidR="00E45F62" w:rsidRPr="00E45F62" w:rsidRDefault="00E45F62" w:rsidP="00E45F62">
      <w:pPr>
        <w:pStyle w:val="Texto"/>
        <w:autoSpaceDE w:val="0"/>
        <w:autoSpaceDN w:val="0"/>
        <w:adjustRightInd w:val="0"/>
        <w:spacing w:before="240" w:after="0" w:line="240" w:lineRule="auto"/>
        <w:ind w:firstLine="0"/>
        <w:rPr>
          <w:sz w:val="24"/>
          <w:szCs w:val="24"/>
        </w:rPr>
      </w:pPr>
      <w:r w:rsidRPr="00E45F62">
        <w:rPr>
          <w:sz w:val="24"/>
          <w:szCs w:val="24"/>
          <w:lang w:val="es-ES_tradnl"/>
        </w:rPr>
        <w:t>Para mayor detalle del diseño conceptual y metodológico del INPC consultar la página en Internet del INEGI:</w:t>
      </w:r>
      <w:r w:rsidRPr="00E45F62">
        <w:rPr>
          <w:sz w:val="24"/>
          <w:szCs w:val="24"/>
        </w:rPr>
        <w:t xml:space="preserve"> </w:t>
      </w:r>
      <w:hyperlink r:id="rId35" w:history="1">
        <w:r w:rsidRPr="00E45F62">
          <w:rPr>
            <w:rStyle w:val="Hipervnculo"/>
            <w:sz w:val="24"/>
            <w:szCs w:val="24"/>
          </w:rPr>
          <w:t>https://www.inegi.org.mx/programas/inpc/2018/</w:t>
        </w:r>
      </w:hyperlink>
      <w:r w:rsidRPr="00E45F62">
        <w:rPr>
          <w:rStyle w:val="Hipervnculo"/>
          <w:sz w:val="24"/>
          <w:szCs w:val="24"/>
        </w:rPr>
        <w:t>,</w:t>
      </w:r>
      <w:r w:rsidRPr="00E45F62">
        <w:rPr>
          <w:sz w:val="24"/>
          <w:szCs w:val="24"/>
        </w:rPr>
        <w:t xml:space="preserve"> en el apartado Documentación. En la misma liga se pueden consultar los tabulados de resultados del índice (por agregados geográficos, clasificadores…), series históricas, precios promedio, y las herramientas de análisis del indicador</w:t>
      </w:r>
      <w:r w:rsidR="004C5CD0">
        <w:rPr>
          <w:sz w:val="24"/>
          <w:szCs w:val="24"/>
        </w:rPr>
        <w:t>.</w:t>
      </w:r>
    </w:p>
    <w:p w14:paraId="0EB26E36" w14:textId="77777777" w:rsidR="00624F11" w:rsidRPr="00A71198" w:rsidRDefault="00624F11" w:rsidP="00A85732">
      <w:pPr>
        <w:pStyle w:val="Texto"/>
        <w:autoSpaceDE w:val="0"/>
        <w:autoSpaceDN w:val="0"/>
        <w:adjustRightInd w:val="0"/>
        <w:spacing w:before="240" w:after="0" w:line="240" w:lineRule="auto"/>
        <w:ind w:firstLine="0"/>
        <w:jc w:val="center"/>
        <w:rPr>
          <w:sz w:val="24"/>
          <w:szCs w:val="24"/>
        </w:rPr>
      </w:pPr>
      <w:r w:rsidRPr="00553D4D">
        <w:rPr>
          <w:rStyle w:val="nfasis"/>
          <w:noProof/>
          <w:lang w:val="es-MX" w:eastAsia="es-MX"/>
        </w:rPr>
        <w:drawing>
          <wp:inline distT="0" distB="0" distL="0" distR="0" wp14:anchorId="0B1276AB" wp14:editId="5E5F2B14">
            <wp:extent cx="4686646" cy="1692000"/>
            <wp:effectExtent l="38100" t="0" r="38100" b="419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86646" cy="1692000"/>
                    </a:xfrm>
                    <a:prstGeom prst="rect">
                      <a:avLst/>
                    </a:prstGeom>
                    <a:noFill/>
                    <a:ln>
                      <a:noFill/>
                    </a:ln>
                    <a:effectLst>
                      <a:outerShdw blurRad="50800" dist="50800" dir="5400000" algn="ctr" rotWithShape="0">
                        <a:srgbClr val="000000">
                          <a:alpha val="0"/>
                        </a:srgbClr>
                      </a:outerShdw>
                    </a:effectLst>
                  </pic:spPr>
                </pic:pic>
              </a:graphicData>
            </a:graphic>
          </wp:inline>
        </w:drawing>
      </w:r>
    </w:p>
    <w:sectPr w:rsidR="00624F11" w:rsidRPr="00A71198" w:rsidSect="00416893">
      <w:headerReference w:type="default" r:id="rId37"/>
      <w:footerReference w:type="default" r:id="rId38"/>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3F531" w14:textId="77777777" w:rsidR="00026589" w:rsidRDefault="00026589">
      <w:r>
        <w:separator/>
      </w:r>
    </w:p>
  </w:endnote>
  <w:endnote w:type="continuationSeparator" w:id="0">
    <w:p w14:paraId="70186CFE" w14:textId="77777777" w:rsidR="00026589" w:rsidRDefault="0002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53B3E" w14:textId="77777777" w:rsidR="00DA0C77" w:rsidRDefault="00DA0C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CAFCC" w14:textId="77777777" w:rsidR="006172C1" w:rsidRPr="006F4552" w:rsidRDefault="006172C1" w:rsidP="004E4A3C">
    <w:pPr>
      <w:pStyle w:val="Piedepgina"/>
      <w:contextualSpacing/>
      <w:jc w:val="center"/>
      <w:rPr>
        <w:color w:val="002060"/>
        <w:sz w:val="18"/>
        <w:szCs w:val="18"/>
      </w:rPr>
    </w:pPr>
    <w:r w:rsidRPr="006F4552">
      <w:rPr>
        <w:b/>
        <w:color w:val="002060"/>
        <w:sz w:val="18"/>
        <w:szCs w:val="18"/>
      </w:rPr>
      <w:t>COMUNICACIÓN SOCIAL</w:t>
    </w:r>
  </w:p>
  <w:p w14:paraId="1EF11368" w14:textId="77777777" w:rsidR="006172C1" w:rsidRDefault="006172C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9F69" w14:textId="77777777" w:rsidR="00DA0C77" w:rsidRDefault="00DA0C7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8910" w14:textId="77777777"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FF17C" w14:textId="77777777" w:rsidR="00026589" w:rsidRDefault="00026589">
      <w:r>
        <w:separator/>
      </w:r>
    </w:p>
  </w:footnote>
  <w:footnote w:type="continuationSeparator" w:id="0">
    <w:p w14:paraId="439288A5" w14:textId="77777777" w:rsidR="00026589" w:rsidRDefault="00026589">
      <w:r>
        <w:continuationSeparator/>
      </w:r>
    </w:p>
  </w:footnote>
  <w:footnote w:id="1">
    <w:p w14:paraId="1167F0B7" w14:textId="77777777" w:rsidR="006172C1" w:rsidRDefault="006172C1" w:rsidP="00E30B60">
      <w:pPr>
        <w:pStyle w:val="Textonotapie"/>
        <w:spacing w:before="60"/>
        <w:ind w:left="170" w:right="-263" w:hanging="170"/>
        <w:rPr>
          <w:sz w:val="16"/>
          <w:szCs w:val="16"/>
        </w:rPr>
      </w:pPr>
      <w:r>
        <w:rPr>
          <w:rStyle w:val="Refdenotaalpie"/>
        </w:rPr>
        <w:footnoteRef/>
      </w:r>
      <w:r>
        <w:tab/>
      </w:r>
      <w:r w:rsidRPr="00866182">
        <w:rPr>
          <w:color w:val="000000" w:themeColor="text1"/>
          <w:sz w:val="16"/>
          <w:szCs w:val="16"/>
        </w:rPr>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en el indicador subyacente son los siguientes: agropecuarios</w:t>
      </w:r>
      <w:r>
        <w:rPr>
          <w:sz w:val="16"/>
          <w:szCs w:val="16"/>
        </w:rPr>
        <w:t xml:space="preserve"> y</w:t>
      </w:r>
      <w:r w:rsidRPr="00CA39BA">
        <w:rPr>
          <w:sz w:val="16"/>
          <w:szCs w:val="16"/>
        </w:rPr>
        <w:t xml:space="preserve">, energéticos y tarifas autorizadas por distintos </w:t>
      </w:r>
      <w:r>
        <w:rPr>
          <w:sz w:val="16"/>
          <w:szCs w:val="16"/>
        </w:rPr>
        <w:t>ó</w:t>
      </w:r>
      <w:r w:rsidRPr="00CA39BA">
        <w:rPr>
          <w:sz w:val="16"/>
          <w:szCs w:val="16"/>
        </w:rPr>
        <w:t>rdenes de gobierno.</w:t>
      </w:r>
    </w:p>
    <w:p w14:paraId="5B8A5EDE" w14:textId="77777777" w:rsidR="006172C1" w:rsidRPr="00624F11" w:rsidRDefault="006172C1" w:rsidP="00E30B60">
      <w:pPr>
        <w:pStyle w:val="Textonotapie"/>
        <w:spacing w:before="60"/>
        <w:ind w:left="170" w:right="-263" w:hanging="170"/>
        <w:rPr>
          <w:lang w:val="es-MX"/>
        </w:rPr>
      </w:pPr>
    </w:p>
  </w:footnote>
  <w:footnote w:id="2">
    <w:p w14:paraId="04047782" w14:textId="77777777" w:rsidR="00624F11" w:rsidRPr="00CA39BA" w:rsidRDefault="00624F11" w:rsidP="00624F11">
      <w:pPr>
        <w:pStyle w:val="Textonotapie"/>
        <w:ind w:left="170" w:hanging="170"/>
        <w:rPr>
          <w:sz w:val="16"/>
          <w:szCs w:val="16"/>
          <w:lang w:val="es-MX"/>
        </w:rPr>
      </w:pPr>
      <w:r w:rsidRPr="00F7583A">
        <w:rPr>
          <w:rStyle w:val="Refdenotaalpie"/>
          <w:sz w:val="18"/>
          <w:szCs w:val="16"/>
        </w:rPr>
        <w:footnoteRef/>
      </w:r>
      <w:r w:rsidRPr="00F7583A">
        <w:rPr>
          <w:sz w:val="18"/>
          <w:szCs w:val="16"/>
        </w:rPr>
        <w:tab/>
      </w:r>
      <w:r>
        <w:rPr>
          <w:sz w:val="16"/>
          <w:szCs w:val="16"/>
        </w:rPr>
        <w:t>Manual del Índice de Precios al Consumidor: Teoría y Práctica, pagina 26. OIT, FMI, OCDE, Eurostat, UNECE, Banco Mundial.</w:t>
      </w:r>
    </w:p>
  </w:footnote>
  <w:footnote w:id="3">
    <w:p w14:paraId="3A697684" w14:textId="11E80745" w:rsidR="00624F11" w:rsidRPr="00D93DC5" w:rsidRDefault="00624F11" w:rsidP="00624F11">
      <w:pPr>
        <w:autoSpaceDE w:val="0"/>
        <w:autoSpaceDN w:val="0"/>
        <w:spacing w:before="40" w:after="40"/>
        <w:ind w:left="170" w:hanging="170"/>
        <w:rPr>
          <w:bCs/>
          <w:color w:val="C00000"/>
          <w:sz w:val="16"/>
          <w:lang w:val="es-MX"/>
        </w:rPr>
      </w:pPr>
      <w:r w:rsidRPr="00166951">
        <w:rPr>
          <w:rStyle w:val="Refdenotaalpie"/>
          <w:sz w:val="18"/>
          <w:szCs w:val="16"/>
        </w:rPr>
        <w:footnoteRef/>
      </w:r>
      <w:r>
        <w:rPr>
          <w:color w:val="000000" w:themeColor="text1"/>
          <w:sz w:val="16"/>
          <w:szCs w:val="16"/>
        </w:rPr>
        <w:tab/>
      </w:r>
      <w:r>
        <w:rPr>
          <w:sz w:val="16"/>
          <w:szCs w:val="16"/>
        </w:rPr>
        <w:t xml:space="preserve">Los componentes de la canasta básica se </w:t>
      </w:r>
      <w:r w:rsidRPr="003B6802">
        <w:rPr>
          <w:sz w:val="16"/>
          <w:szCs w:val="16"/>
        </w:rPr>
        <w:t xml:space="preserve">detallan en el documento metodológico ubicado en la siguiente liga: </w:t>
      </w:r>
      <w:hyperlink r:id="rId1" w:history="1">
        <w:r w:rsidR="002E4005" w:rsidRPr="0093112C">
          <w:rPr>
            <w:rStyle w:val="Hipervnculo"/>
            <w:sz w:val="16"/>
            <w:szCs w:val="16"/>
          </w:rPr>
          <w:t>https://www.inegi.org.mx/programas/inpc/2018/</w:t>
        </w:r>
      </w:hyperlink>
    </w:p>
  </w:footnote>
  <w:footnote w:id="4">
    <w:p w14:paraId="7AF479F2" w14:textId="395BE7E4" w:rsidR="00624F11" w:rsidRPr="00F133A7" w:rsidRDefault="00624F11" w:rsidP="00F133A7">
      <w:pPr>
        <w:autoSpaceDE w:val="0"/>
        <w:autoSpaceDN w:val="0"/>
        <w:spacing w:before="40" w:after="40"/>
        <w:ind w:left="170" w:hanging="170"/>
        <w:rPr>
          <w:sz w:val="16"/>
          <w:szCs w:val="16"/>
        </w:rPr>
      </w:pPr>
      <w:r w:rsidRPr="00F133A7">
        <w:rPr>
          <w:rStyle w:val="Refdenotaalpie"/>
          <w:sz w:val="18"/>
          <w:szCs w:val="18"/>
        </w:rPr>
        <w:footnoteRef/>
      </w:r>
      <w:r w:rsidR="00F133A7" w:rsidRPr="002E4005">
        <w:rPr>
          <w:sz w:val="16"/>
          <w:szCs w:val="16"/>
        </w:rPr>
        <w:tab/>
      </w:r>
      <w:r w:rsidRPr="006301B8">
        <w:rPr>
          <w:sz w:val="16"/>
          <w:szCs w:val="16"/>
        </w:rPr>
        <w:t xml:space="preserve">Producto Genérico. </w:t>
      </w:r>
      <w:r w:rsidRPr="006301B8">
        <w:rPr>
          <w:color w:val="000000"/>
          <w:sz w:val="16"/>
          <w:szCs w:val="16"/>
        </w:rPr>
        <w:t xml:space="preserve">Conjunto de bienes y servicios de la canasta del INPC que poseen alto grado de homogeneidad; se compone de productos específicos o variedades con características </w:t>
      </w:r>
      <w:r w:rsidRPr="00F133A7">
        <w:rPr>
          <w:color w:val="000000"/>
          <w:sz w:val="16"/>
          <w:szCs w:val="16"/>
        </w:rPr>
        <w:t>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03996" w14:textId="77777777" w:rsidR="00DA0C77" w:rsidRDefault="00DA0C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641F0" w14:textId="3FFD7EF4" w:rsidR="006172C1" w:rsidRPr="00265B8C" w:rsidRDefault="006172C1" w:rsidP="00DA0C77">
    <w:pPr>
      <w:pStyle w:val="Encabezado"/>
      <w:framePr w:w="5836" w:hSpace="141" w:wrap="auto" w:vAnchor="text" w:hAnchor="page" w:x="5263" w:y="32"/>
      <w:ind w:left="567" w:hanging="11"/>
      <w:jc w:val="right"/>
      <w:rPr>
        <w:b/>
        <w:color w:val="002060"/>
      </w:rPr>
    </w:pPr>
    <w:bookmarkStart w:id="1" w:name="_GoBack"/>
    <w:r w:rsidRPr="00265B8C">
      <w:rPr>
        <w:b/>
        <w:color w:val="002060"/>
      </w:rPr>
      <w:t xml:space="preserve">COMUNICADO </w:t>
    </w:r>
    <w:r w:rsidRPr="00E808E2">
      <w:rPr>
        <w:b/>
        <w:color w:val="002060"/>
      </w:rPr>
      <w:t xml:space="preserve">DE PRENSA </w:t>
    </w:r>
    <w:r w:rsidRPr="00265B8C">
      <w:rPr>
        <w:b/>
        <w:color w:val="002060"/>
      </w:rPr>
      <w:t xml:space="preserve">NÚM. </w:t>
    </w:r>
    <w:r w:rsidR="00DA0C77">
      <w:rPr>
        <w:b/>
        <w:color w:val="002060"/>
      </w:rPr>
      <w:t>128</w:t>
    </w:r>
    <w:r w:rsidRPr="00265B8C">
      <w:rPr>
        <w:b/>
        <w:color w:val="002060"/>
      </w:rPr>
      <w:t>/</w:t>
    </w:r>
    <w:r>
      <w:rPr>
        <w:b/>
        <w:color w:val="002060"/>
      </w:rPr>
      <w:t>20</w:t>
    </w:r>
  </w:p>
  <w:p w14:paraId="7BFC857A" w14:textId="77777777" w:rsidR="006172C1" w:rsidRPr="00265B8C" w:rsidRDefault="006172C1" w:rsidP="00DA0C77">
    <w:pPr>
      <w:pStyle w:val="Encabezado"/>
      <w:framePr w:w="5836" w:hSpace="141" w:wrap="auto" w:vAnchor="text" w:hAnchor="page" w:x="5263" w:y="32"/>
      <w:ind w:left="567" w:hanging="11"/>
      <w:jc w:val="right"/>
      <w:rPr>
        <w:b/>
        <w:color w:val="002060"/>
        <w:lang w:val="pt-BR"/>
      </w:rPr>
    </w:pPr>
    <w:r>
      <w:rPr>
        <w:b/>
        <w:color w:val="002060"/>
        <w:lang w:val="pt-BR"/>
      </w:rPr>
      <w:t xml:space="preserve">9 DE MARZO </w:t>
    </w:r>
    <w:r w:rsidRPr="00265B8C">
      <w:rPr>
        <w:b/>
        <w:color w:val="002060"/>
        <w:lang w:val="pt-BR"/>
      </w:rPr>
      <w:t>DE 20</w:t>
    </w:r>
    <w:r>
      <w:rPr>
        <w:b/>
        <w:color w:val="002060"/>
        <w:lang w:val="pt-BR"/>
      </w:rPr>
      <w:t>20</w:t>
    </w:r>
  </w:p>
  <w:p w14:paraId="21998BBD" w14:textId="77777777" w:rsidR="006172C1" w:rsidRPr="00265B8C" w:rsidRDefault="006172C1" w:rsidP="00DA0C77">
    <w:pPr>
      <w:pStyle w:val="Encabezado"/>
      <w:framePr w:w="5836" w:hSpace="141" w:wrap="auto" w:vAnchor="text" w:hAnchor="page" w:x="5263"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1"/>
  <w:p w14:paraId="1A92933A" w14:textId="77777777" w:rsidR="006172C1" w:rsidRDefault="006172C1" w:rsidP="004E4A3C">
    <w:pPr>
      <w:pStyle w:val="Encabezado"/>
      <w:ind w:left="-993"/>
    </w:pPr>
    <w:r>
      <w:rPr>
        <w:noProof/>
      </w:rPr>
      <w:drawing>
        <wp:inline distT="0" distB="0" distL="0" distR="0" wp14:anchorId="1CAA0CD2" wp14:editId="42BA95B4">
          <wp:extent cx="927615" cy="963545"/>
          <wp:effectExtent l="0" t="0" r="6350" b="825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7B863" w14:textId="77777777" w:rsidR="00DA0C77" w:rsidRDefault="00DA0C7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0772" w14:textId="3F108BA0" w:rsidR="003B5757" w:rsidRDefault="00AD3792" w:rsidP="006172C1">
    <w:pPr>
      <w:pStyle w:val="Encabezado"/>
      <w:jc w:val="center"/>
    </w:pPr>
    <w:r>
      <w:rPr>
        <w:noProof/>
        <w:lang w:val="es-MX" w:eastAsia="es-MX"/>
      </w:rPr>
      <w:drawing>
        <wp:inline distT="0" distB="0" distL="0" distR="0" wp14:anchorId="5B8D5AF8" wp14:editId="58E7D21B">
          <wp:extent cx="928799" cy="964800"/>
          <wp:effectExtent l="0" t="0" r="5080" b="6985"/>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799"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5EB67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F55323"/>
    <w:multiLevelType w:val="hybridMultilevel"/>
    <w:tmpl w:val="35161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9174B"/>
    <w:multiLevelType w:val="hybridMultilevel"/>
    <w:tmpl w:val="7222F2BC"/>
    <w:lvl w:ilvl="0" w:tplc="080A0001">
      <w:start w:val="1"/>
      <w:numFmt w:val="bullet"/>
      <w:lvlText w:val=""/>
      <w:lvlJc w:val="left"/>
      <w:pPr>
        <w:ind w:left="2137" w:hanging="360"/>
      </w:pPr>
      <w:rPr>
        <w:rFonts w:ascii="Symbol" w:hAnsi="Symbol" w:hint="default"/>
      </w:rPr>
    </w:lvl>
    <w:lvl w:ilvl="1" w:tplc="080A0003">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4" w15:restartNumberingAfterBreak="0">
    <w:nsid w:val="0D3B3A02"/>
    <w:multiLevelType w:val="hybridMultilevel"/>
    <w:tmpl w:val="3A98405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1F2BAE"/>
    <w:multiLevelType w:val="singleLevel"/>
    <w:tmpl w:val="FFFFFFFF"/>
    <w:lvl w:ilvl="0">
      <w:numFmt w:val="decimal"/>
      <w:lvlText w:val="*"/>
      <w:lvlJc w:val="left"/>
    </w:lvl>
  </w:abstractNum>
  <w:abstractNum w:abstractNumId="10" w15:restartNumberingAfterBreak="0">
    <w:nsid w:val="2A4E2829"/>
    <w:multiLevelType w:val="hybridMultilevel"/>
    <w:tmpl w:val="E228D7F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1"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2" w15:restartNumberingAfterBreak="0">
    <w:nsid w:val="2D2F3108"/>
    <w:multiLevelType w:val="hybridMultilevel"/>
    <w:tmpl w:val="5E147986"/>
    <w:lvl w:ilvl="0" w:tplc="080A0001">
      <w:start w:val="1"/>
      <w:numFmt w:val="bullet"/>
      <w:lvlText w:val=""/>
      <w:lvlJc w:val="left"/>
      <w:pPr>
        <w:ind w:left="1931"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245632"/>
    <w:multiLevelType w:val="hybridMultilevel"/>
    <w:tmpl w:val="8AB602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F774B52"/>
    <w:multiLevelType w:val="hybridMultilevel"/>
    <w:tmpl w:val="8B3AA0F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57EE5"/>
    <w:multiLevelType w:val="hybridMultilevel"/>
    <w:tmpl w:val="DF3E129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A533000"/>
    <w:multiLevelType w:val="hybridMultilevel"/>
    <w:tmpl w:val="733E7F5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6FE45C99"/>
    <w:multiLevelType w:val="hybridMultilevel"/>
    <w:tmpl w:val="52CA62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6"/>
  </w:num>
  <w:num w:numId="4">
    <w:abstractNumId w:val="9"/>
  </w:num>
  <w:num w:numId="5">
    <w:abstractNumId w:val="13"/>
  </w:num>
  <w:num w:numId="6">
    <w:abstractNumId w:val="5"/>
  </w:num>
  <w:num w:numId="7">
    <w:abstractNumId w:val="7"/>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8"/>
  </w:num>
  <w:num w:numId="13">
    <w:abstractNumId w:val="29"/>
  </w:num>
  <w:num w:numId="14">
    <w:abstractNumId w:val="18"/>
  </w:num>
  <w:num w:numId="15">
    <w:abstractNumId w:val="14"/>
  </w:num>
  <w:num w:numId="16">
    <w:abstractNumId w:val="22"/>
  </w:num>
  <w:num w:numId="17">
    <w:abstractNumId w:val="16"/>
  </w:num>
  <w:num w:numId="18">
    <w:abstractNumId w:val="20"/>
  </w:num>
  <w:num w:numId="19">
    <w:abstractNumId w:val="8"/>
  </w:num>
  <w:num w:numId="20">
    <w:abstractNumId w:val="0"/>
  </w:num>
  <w:num w:numId="21">
    <w:abstractNumId w:val="3"/>
  </w:num>
  <w:num w:numId="22">
    <w:abstractNumId w:val="7"/>
  </w:num>
  <w:num w:numId="23">
    <w:abstractNumId w:val="11"/>
  </w:num>
  <w:num w:numId="24">
    <w:abstractNumId w:val="27"/>
  </w:num>
  <w:num w:numId="25">
    <w:abstractNumId w:val="21"/>
  </w:num>
  <w:num w:numId="26">
    <w:abstractNumId w:val="4"/>
  </w:num>
  <w:num w:numId="27">
    <w:abstractNumId w:val="15"/>
  </w:num>
  <w:num w:numId="28">
    <w:abstractNumId w:val="12"/>
  </w:num>
  <w:num w:numId="29">
    <w:abstractNumId w:val="10"/>
  </w:num>
  <w:num w:numId="30">
    <w:abstractNumId w:val="2"/>
  </w:num>
  <w:num w:numId="31">
    <w:abstractNumId w:val="24"/>
  </w:num>
  <w:num w:numId="32">
    <w:abstractNumId w:val="19"/>
  </w:num>
  <w:num w:numId="33">
    <w:abstractNumId w:val="23"/>
  </w:num>
  <w:num w:numId="34">
    <w:abstractNumId w:val="1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E"/>
    <w:rsid w:val="0000043F"/>
    <w:rsid w:val="00000BEA"/>
    <w:rsid w:val="00001000"/>
    <w:rsid w:val="0000180F"/>
    <w:rsid w:val="00002466"/>
    <w:rsid w:val="00002665"/>
    <w:rsid w:val="000027BD"/>
    <w:rsid w:val="00002B26"/>
    <w:rsid w:val="00003C25"/>
    <w:rsid w:val="00003C68"/>
    <w:rsid w:val="00004291"/>
    <w:rsid w:val="0000458A"/>
    <w:rsid w:val="00004AAE"/>
    <w:rsid w:val="000050C6"/>
    <w:rsid w:val="00005940"/>
    <w:rsid w:val="000063CC"/>
    <w:rsid w:val="00006659"/>
    <w:rsid w:val="00006B5A"/>
    <w:rsid w:val="0000771B"/>
    <w:rsid w:val="000078B1"/>
    <w:rsid w:val="00007921"/>
    <w:rsid w:val="00007A1A"/>
    <w:rsid w:val="00010A59"/>
    <w:rsid w:val="000112A7"/>
    <w:rsid w:val="0001151F"/>
    <w:rsid w:val="00011840"/>
    <w:rsid w:val="00011AC0"/>
    <w:rsid w:val="00011BD3"/>
    <w:rsid w:val="00012278"/>
    <w:rsid w:val="000124BB"/>
    <w:rsid w:val="00012A27"/>
    <w:rsid w:val="00012E16"/>
    <w:rsid w:val="0001302A"/>
    <w:rsid w:val="000132A4"/>
    <w:rsid w:val="00013319"/>
    <w:rsid w:val="00013E55"/>
    <w:rsid w:val="00014418"/>
    <w:rsid w:val="0001447E"/>
    <w:rsid w:val="000144ED"/>
    <w:rsid w:val="00014FBD"/>
    <w:rsid w:val="00015302"/>
    <w:rsid w:val="00016590"/>
    <w:rsid w:val="000165EA"/>
    <w:rsid w:val="00016B4E"/>
    <w:rsid w:val="00016D3A"/>
    <w:rsid w:val="0001718D"/>
    <w:rsid w:val="000176AC"/>
    <w:rsid w:val="00021432"/>
    <w:rsid w:val="00021492"/>
    <w:rsid w:val="000216A3"/>
    <w:rsid w:val="000228C4"/>
    <w:rsid w:val="00022CA3"/>
    <w:rsid w:val="000260EE"/>
    <w:rsid w:val="00026589"/>
    <w:rsid w:val="00026B3C"/>
    <w:rsid w:val="00026B52"/>
    <w:rsid w:val="00030480"/>
    <w:rsid w:val="0003065F"/>
    <w:rsid w:val="00030D10"/>
    <w:rsid w:val="00031231"/>
    <w:rsid w:val="000314D3"/>
    <w:rsid w:val="00031BCF"/>
    <w:rsid w:val="00031CB0"/>
    <w:rsid w:val="00032B16"/>
    <w:rsid w:val="00032E8F"/>
    <w:rsid w:val="00033603"/>
    <w:rsid w:val="00033681"/>
    <w:rsid w:val="00033A14"/>
    <w:rsid w:val="00033AD7"/>
    <w:rsid w:val="0003447A"/>
    <w:rsid w:val="00034BC3"/>
    <w:rsid w:val="000350A7"/>
    <w:rsid w:val="000353F3"/>
    <w:rsid w:val="00035600"/>
    <w:rsid w:val="000356E8"/>
    <w:rsid w:val="00035B2D"/>
    <w:rsid w:val="00035DA7"/>
    <w:rsid w:val="00036D72"/>
    <w:rsid w:val="00037089"/>
    <w:rsid w:val="00037177"/>
    <w:rsid w:val="000371AF"/>
    <w:rsid w:val="000374FA"/>
    <w:rsid w:val="00037CC4"/>
    <w:rsid w:val="0004066E"/>
    <w:rsid w:val="00040F75"/>
    <w:rsid w:val="00041FF7"/>
    <w:rsid w:val="00042036"/>
    <w:rsid w:val="0004225C"/>
    <w:rsid w:val="00043535"/>
    <w:rsid w:val="00043B32"/>
    <w:rsid w:val="00043E2B"/>
    <w:rsid w:val="00044296"/>
    <w:rsid w:val="00044699"/>
    <w:rsid w:val="00044700"/>
    <w:rsid w:val="00044C5E"/>
    <w:rsid w:val="0004548F"/>
    <w:rsid w:val="0004596A"/>
    <w:rsid w:val="00045AF1"/>
    <w:rsid w:val="00045E9B"/>
    <w:rsid w:val="00045F3A"/>
    <w:rsid w:val="00046139"/>
    <w:rsid w:val="000465BF"/>
    <w:rsid w:val="00046822"/>
    <w:rsid w:val="00046AB6"/>
    <w:rsid w:val="00046D06"/>
    <w:rsid w:val="000471CD"/>
    <w:rsid w:val="0004735D"/>
    <w:rsid w:val="0004777C"/>
    <w:rsid w:val="00047DA7"/>
    <w:rsid w:val="000501E0"/>
    <w:rsid w:val="00050934"/>
    <w:rsid w:val="00050FB5"/>
    <w:rsid w:val="00051C72"/>
    <w:rsid w:val="00051D1C"/>
    <w:rsid w:val="00051D9E"/>
    <w:rsid w:val="00052F04"/>
    <w:rsid w:val="00052F1E"/>
    <w:rsid w:val="000536D2"/>
    <w:rsid w:val="00053B2C"/>
    <w:rsid w:val="00053EB7"/>
    <w:rsid w:val="00054674"/>
    <w:rsid w:val="00054A4F"/>
    <w:rsid w:val="00055047"/>
    <w:rsid w:val="00055B54"/>
    <w:rsid w:val="00056F51"/>
    <w:rsid w:val="000573F5"/>
    <w:rsid w:val="00057F37"/>
    <w:rsid w:val="000602B0"/>
    <w:rsid w:val="0006056C"/>
    <w:rsid w:val="000621E0"/>
    <w:rsid w:val="0006228A"/>
    <w:rsid w:val="00063614"/>
    <w:rsid w:val="00063838"/>
    <w:rsid w:val="0006433F"/>
    <w:rsid w:val="000646BA"/>
    <w:rsid w:val="00064BBC"/>
    <w:rsid w:val="00064E9D"/>
    <w:rsid w:val="00064FDB"/>
    <w:rsid w:val="00065106"/>
    <w:rsid w:val="000651F1"/>
    <w:rsid w:val="00065708"/>
    <w:rsid w:val="00065A07"/>
    <w:rsid w:val="00065BC1"/>
    <w:rsid w:val="00066394"/>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49E4"/>
    <w:rsid w:val="00075097"/>
    <w:rsid w:val="000753EC"/>
    <w:rsid w:val="0007567F"/>
    <w:rsid w:val="00075B3A"/>
    <w:rsid w:val="00075DEC"/>
    <w:rsid w:val="00076234"/>
    <w:rsid w:val="000767F7"/>
    <w:rsid w:val="00076EE9"/>
    <w:rsid w:val="00077C46"/>
    <w:rsid w:val="0008027F"/>
    <w:rsid w:val="0008084D"/>
    <w:rsid w:val="00081034"/>
    <w:rsid w:val="000814ED"/>
    <w:rsid w:val="0008175A"/>
    <w:rsid w:val="0008195B"/>
    <w:rsid w:val="00081E62"/>
    <w:rsid w:val="000826F7"/>
    <w:rsid w:val="00082F11"/>
    <w:rsid w:val="0008325D"/>
    <w:rsid w:val="000834DD"/>
    <w:rsid w:val="000844D1"/>
    <w:rsid w:val="00084687"/>
    <w:rsid w:val="00084956"/>
    <w:rsid w:val="00084A57"/>
    <w:rsid w:val="00084BED"/>
    <w:rsid w:val="00084EDB"/>
    <w:rsid w:val="00084FF2"/>
    <w:rsid w:val="0008524D"/>
    <w:rsid w:val="000856E9"/>
    <w:rsid w:val="00086295"/>
    <w:rsid w:val="0008756B"/>
    <w:rsid w:val="00087DB7"/>
    <w:rsid w:val="0009025D"/>
    <w:rsid w:val="00090B9C"/>
    <w:rsid w:val="00090D7B"/>
    <w:rsid w:val="00091313"/>
    <w:rsid w:val="00091474"/>
    <w:rsid w:val="000915F7"/>
    <w:rsid w:val="00091663"/>
    <w:rsid w:val="00092764"/>
    <w:rsid w:val="0009292F"/>
    <w:rsid w:val="00092F4C"/>
    <w:rsid w:val="00094496"/>
    <w:rsid w:val="000950E7"/>
    <w:rsid w:val="00095360"/>
    <w:rsid w:val="000955AA"/>
    <w:rsid w:val="000957BC"/>
    <w:rsid w:val="0009618D"/>
    <w:rsid w:val="00096737"/>
    <w:rsid w:val="00097C0A"/>
    <w:rsid w:val="000A0344"/>
    <w:rsid w:val="000A0823"/>
    <w:rsid w:val="000A21D6"/>
    <w:rsid w:val="000A2F4F"/>
    <w:rsid w:val="000A31EF"/>
    <w:rsid w:val="000A3354"/>
    <w:rsid w:val="000A372C"/>
    <w:rsid w:val="000A3733"/>
    <w:rsid w:val="000A3BE6"/>
    <w:rsid w:val="000A416E"/>
    <w:rsid w:val="000A43B0"/>
    <w:rsid w:val="000A53E6"/>
    <w:rsid w:val="000A574B"/>
    <w:rsid w:val="000A5B04"/>
    <w:rsid w:val="000A5E2A"/>
    <w:rsid w:val="000A643B"/>
    <w:rsid w:val="000A6BE3"/>
    <w:rsid w:val="000A707A"/>
    <w:rsid w:val="000A78BA"/>
    <w:rsid w:val="000B0710"/>
    <w:rsid w:val="000B0B76"/>
    <w:rsid w:val="000B141E"/>
    <w:rsid w:val="000B1C11"/>
    <w:rsid w:val="000B1D13"/>
    <w:rsid w:val="000B29B8"/>
    <w:rsid w:val="000B2A27"/>
    <w:rsid w:val="000B4A6A"/>
    <w:rsid w:val="000B50FB"/>
    <w:rsid w:val="000B515D"/>
    <w:rsid w:val="000B5A74"/>
    <w:rsid w:val="000B5FA3"/>
    <w:rsid w:val="000B6AF6"/>
    <w:rsid w:val="000B6B22"/>
    <w:rsid w:val="000C0403"/>
    <w:rsid w:val="000C1051"/>
    <w:rsid w:val="000C1F04"/>
    <w:rsid w:val="000C26A5"/>
    <w:rsid w:val="000C2892"/>
    <w:rsid w:val="000C2B3C"/>
    <w:rsid w:val="000C30D7"/>
    <w:rsid w:val="000C3105"/>
    <w:rsid w:val="000C34DD"/>
    <w:rsid w:val="000C37BC"/>
    <w:rsid w:val="000C47FF"/>
    <w:rsid w:val="000C482F"/>
    <w:rsid w:val="000C4992"/>
    <w:rsid w:val="000C5299"/>
    <w:rsid w:val="000C5468"/>
    <w:rsid w:val="000C55CC"/>
    <w:rsid w:val="000C5852"/>
    <w:rsid w:val="000C5D0E"/>
    <w:rsid w:val="000C6A4A"/>
    <w:rsid w:val="000C6AFD"/>
    <w:rsid w:val="000C7C88"/>
    <w:rsid w:val="000D06FA"/>
    <w:rsid w:val="000D0DDA"/>
    <w:rsid w:val="000D0ED5"/>
    <w:rsid w:val="000D113E"/>
    <w:rsid w:val="000D1169"/>
    <w:rsid w:val="000D15C5"/>
    <w:rsid w:val="000D28A5"/>
    <w:rsid w:val="000D2C1C"/>
    <w:rsid w:val="000D3167"/>
    <w:rsid w:val="000D31C1"/>
    <w:rsid w:val="000D36B2"/>
    <w:rsid w:val="000D39FD"/>
    <w:rsid w:val="000D3B51"/>
    <w:rsid w:val="000D4773"/>
    <w:rsid w:val="000D4833"/>
    <w:rsid w:val="000D49D2"/>
    <w:rsid w:val="000D4A88"/>
    <w:rsid w:val="000D4BBC"/>
    <w:rsid w:val="000D4D90"/>
    <w:rsid w:val="000D4E26"/>
    <w:rsid w:val="000D5176"/>
    <w:rsid w:val="000D5EDB"/>
    <w:rsid w:val="000D6C0F"/>
    <w:rsid w:val="000D6F1E"/>
    <w:rsid w:val="000D7A95"/>
    <w:rsid w:val="000D7BBD"/>
    <w:rsid w:val="000E03C0"/>
    <w:rsid w:val="000E0654"/>
    <w:rsid w:val="000E19B3"/>
    <w:rsid w:val="000E2970"/>
    <w:rsid w:val="000E2A06"/>
    <w:rsid w:val="000E30C2"/>
    <w:rsid w:val="000E3505"/>
    <w:rsid w:val="000E3CC1"/>
    <w:rsid w:val="000E5331"/>
    <w:rsid w:val="000E5526"/>
    <w:rsid w:val="000E5D6B"/>
    <w:rsid w:val="000E5FE0"/>
    <w:rsid w:val="000E6D5D"/>
    <w:rsid w:val="000E730C"/>
    <w:rsid w:val="000E7BDC"/>
    <w:rsid w:val="000F03F8"/>
    <w:rsid w:val="000F05D5"/>
    <w:rsid w:val="000F07C1"/>
    <w:rsid w:val="000F1DEB"/>
    <w:rsid w:val="000F3491"/>
    <w:rsid w:val="000F3DE6"/>
    <w:rsid w:val="000F44E7"/>
    <w:rsid w:val="000F49F1"/>
    <w:rsid w:val="000F4C41"/>
    <w:rsid w:val="000F4FA7"/>
    <w:rsid w:val="000F536A"/>
    <w:rsid w:val="000F541D"/>
    <w:rsid w:val="000F5AD1"/>
    <w:rsid w:val="000F630B"/>
    <w:rsid w:val="000F69FA"/>
    <w:rsid w:val="000F7577"/>
    <w:rsid w:val="000F7974"/>
    <w:rsid w:val="000F7ECD"/>
    <w:rsid w:val="000F7FB5"/>
    <w:rsid w:val="00100317"/>
    <w:rsid w:val="001011EC"/>
    <w:rsid w:val="00101546"/>
    <w:rsid w:val="001017C1"/>
    <w:rsid w:val="00101E92"/>
    <w:rsid w:val="00101F40"/>
    <w:rsid w:val="00102532"/>
    <w:rsid w:val="00103847"/>
    <w:rsid w:val="00103913"/>
    <w:rsid w:val="0010466B"/>
    <w:rsid w:val="0010490A"/>
    <w:rsid w:val="00105234"/>
    <w:rsid w:val="00105E2B"/>
    <w:rsid w:val="0010619C"/>
    <w:rsid w:val="0010664D"/>
    <w:rsid w:val="00110510"/>
    <w:rsid w:val="0011076D"/>
    <w:rsid w:val="00110DB1"/>
    <w:rsid w:val="00110DF0"/>
    <w:rsid w:val="00110DF8"/>
    <w:rsid w:val="001114D0"/>
    <w:rsid w:val="00111703"/>
    <w:rsid w:val="00111AA3"/>
    <w:rsid w:val="00111F29"/>
    <w:rsid w:val="00113117"/>
    <w:rsid w:val="00113348"/>
    <w:rsid w:val="00113404"/>
    <w:rsid w:val="001134B4"/>
    <w:rsid w:val="00113DE8"/>
    <w:rsid w:val="0011424C"/>
    <w:rsid w:val="0011478A"/>
    <w:rsid w:val="00114B56"/>
    <w:rsid w:val="00114B96"/>
    <w:rsid w:val="00114E47"/>
    <w:rsid w:val="001159B7"/>
    <w:rsid w:val="00115A20"/>
    <w:rsid w:val="00115A59"/>
    <w:rsid w:val="00115F12"/>
    <w:rsid w:val="00116647"/>
    <w:rsid w:val="00116F84"/>
    <w:rsid w:val="0011739E"/>
    <w:rsid w:val="00117D7A"/>
    <w:rsid w:val="00120112"/>
    <w:rsid w:val="00120EA1"/>
    <w:rsid w:val="0012181E"/>
    <w:rsid w:val="001218AA"/>
    <w:rsid w:val="00122048"/>
    <w:rsid w:val="001228A0"/>
    <w:rsid w:val="00122C28"/>
    <w:rsid w:val="00123EFF"/>
    <w:rsid w:val="001241F7"/>
    <w:rsid w:val="00124D1A"/>
    <w:rsid w:val="00125000"/>
    <w:rsid w:val="001251AF"/>
    <w:rsid w:val="00125654"/>
    <w:rsid w:val="00125D0D"/>
    <w:rsid w:val="00125D9D"/>
    <w:rsid w:val="001263E8"/>
    <w:rsid w:val="00127810"/>
    <w:rsid w:val="001301E6"/>
    <w:rsid w:val="001304F2"/>
    <w:rsid w:val="00130C4C"/>
    <w:rsid w:val="001313EB"/>
    <w:rsid w:val="0013222E"/>
    <w:rsid w:val="00134904"/>
    <w:rsid w:val="001349AB"/>
    <w:rsid w:val="00134F4E"/>
    <w:rsid w:val="00134FA4"/>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5018D"/>
    <w:rsid w:val="00150228"/>
    <w:rsid w:val="001502C3"/>
    <w:rsid w:val="001504E8"/>
    <w:rsid w:val="00150536"/>
    <w:rsid w:val="00150961"/>
    <w:rsid w:val="00151492"/>
    <w:rsid w:val="00152838"/>
    <w:rsid w:val="001533B2"/>
    <w:rsid w:val="001534CA"/>
    <w:rsid w:val="0015369A"/>
    <w:rsid w:val="0015386A"/>
    <w:rsid w:val="001540F9"/>
    <w:rsid w:val="001544BA"/>
    <w:rsid w:val="00154E90"/>
    <w:rsid w:val="001557A9"/>
    <w:rsid w:val="00155878"/>
    <w:rsid w:val="0015599D"/>
    <w:rsid w:val="00155A36"/>
    <w:rsid w:val="0015755C"/>
    <w:rsid w:val="001600C9"/>
    <w:rsid w:val="00160308"/>
    <w:rsid w:val="0016052B"/>
    <w:rsid w:val="00160957"/>
    <w:rsid w:val="00160B56"/>
    <w:rsid w:val="0016159C"/>
    <w:rsid w:val="0016175D"/>
    <w:rsid w:val="00161833"/>
    <w:rsid w:val="00161E62"/>
    <w:rsid w:val="00162393"/>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7D0"/>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3E"/>
    <w:rsid w:val="00181B78"/>
    <w:rsid w:val="0018211C"/>
    <w:rsid w:val="001821F8"/>
    <w:rsid w:val="00182CBE"/>
    <w:rsid w:val="001831B3"/>
    <w:rsid w:val="001845FA"/>
    <w:rsid w:val="0018522B"/>
    <w:rsid w:val="00185355"/>
    <w:rsid w:val="001854A8"/>
    <w:rsid w:val="00185BB9"/>
    <w:rsid w:val="00185D40"/>
    <w:rsid w:val="00186127"/>
    <w:rsid w:val="00186C17"/>
    <w:rsid w:val="00190180"/>
    <w:rsid w:val="00190A43"/>
    <w:rsid w:val="00190D0B"/>
    <w:rsid w:val="0019127A"/>
    <w:rsid w:val="0019127F"/>
    <w:rsid w:val="001912FB"/>
    <w:rsid w:val="00191608"/>
    <w:rsid w:val="00191664"/>
    <w:rsid w:val="00192065"/>
    <w:rsid w:val="001921B4"/>
    <w:rsid w:val="001941AA"/>
    <w:rsid w:val="00194910"/>
    <w:rsid w:val="00194C81"/>
    <w:rsid w:val="00194F73"/>
    <w:rsid w:val="00195EC2"/>
    <w:rsid w:val="00195F99"/>
    <w:rsid w:val="001A016C"/>
    <w:rsid w:val="001A0422"/>
    <w:rsid w:val="001A0556"/>
    <w:rsid w:val="001A102F"/>
    <w:rsid w:val="001A1685"/>
    <w:rsid w:val="001A1A27"/>
    <w:rsid w:val="001A1ED0"/>
    <w:rsid w:val="001A35A6"/>
    <w:rsid w:val="001A368A"/>
    <w:rsid w:val="001A3832"/>
    <w:rsid w:val="001A3963"/>
    <w:rsid w:val="001A41DF"/>
    <w:rsid w:val="001A43F5"/>
    <w:rsid w:val="001A4479"/>
    <w:rsid w:val="001A4E0E"/>
    <w:rsid w:val="001A4E8C"/>
    <w:rsid w:val="001A4EF7"/>
    <w:rsid w:val="001A4F6E"/>
    <w:rsid w:val="001A5ABD"/>
    <w:rsid w:val="001A5CE0"/>
    <w:rsid w:val="001A60E2"/>
    <w:rsid w:val="001A69F0"/>
    <w:rsid w:val="001A6B53"/>
    <w:rsid w:val="001A79AA"/>
    <w:rsid w:val="001A7F95"/>
    <w:rsid w:val="001B07B0"/>
    <w:rsid w:val="001B0992"/>
    <w:rsid w:val="001B0AC4"/>
    <w:rsid w:val="001B1120"/>
    <w:rsid w:val="001B15E2"/>
    <w:rsid w:val="001B163A"/>
    <w:rsid w:val="001B253D"/>
    <w:rsid w:val="001B277C"/>
    <w:rsid w:val="001B2C6A"/>
    <w:rsid w:val="001B2F19"/>
    <w:rsid w:val="001B35ED"/>
    <w:rsid w:val="001B369D"/>
    <w:rsid w:val="001B450E"/>
    <w:rsid w:val="001B46DB"/>
    <w:rsid w:val="001B4F75"/>
    <w:rsid w:val="001B5C28"/>
    <w:rsid w:val="001B5DDB"/>
    <w:rsid w:val="001B62D3"/>
    <w:rsid w:val="001B74BE"/>
    <w:rsid w:val="001B74F4"/>
    <w:rsid w:val="001B75DC"/>
    <w:rsid w:val="001C0136"/>
    <w:rsid w:val="001C0431"/>
    <w:rsid w:val="001C0A6E"/>
    <w:rsid w:val="001C0AD1"/>
    <w:rsid w:val="001C0BCC"/>
    <w:rsid w:val="001C117D"/>
    <w:rsid w:val="001C1F9C"/>
    <w:rsid w:val="001C226A"/>
    <w:rsid w:val="001C236E"/>
    <w:rsid w:val="001C29E7"/>
    <w:rsid w:val="001C32C6"/>
    <w:rsid w:val="001C3E2D"/>
    <w:rsid w:val="001C41E8"/>
    <w:rsid w:val="001C48C7"/>
    <w:rsid w:val="001C4A9E"/>
    <w:rsid w:val="001C6CAB"/>
    <w:rsid w:val="001C6CC1"/>
    <w:rsid w:val="001C7130"/>
    <w:rsid w:val="001C7E70"/>
    <w:rsid w:val="001D0068"/>
    <w:rsid w:val="001D01C6"/>
    <w:rsid w:val="001D092F"/>
    <w:rsid w:val="001D1AEF"/>
    <w:rsid w:val="001D244E"/>
    <w:rsid w:val="001D24F1"/>
    <w:rsid w:val="001D2AD6"/>
    <w:rsid w:val="001D3AD1"/>
    <w:rsid w:val="001D478B"/>
    <w:rsid w:val="001D4970"/>
    <w:rsid w:val="001D4DF4"/>
    <w:rsid w:val="001D4F4D"/>
    <w:rsid w:val="001D5F02"/>
    <w:rsid w:val="001D6186"/>
    <w:rsid w:val="001D62AF"/>
    <w:rsid w:val="001D637E"/>
    <w:rsid w:val="001D6652"/>
    <w:rsid w:val="001D69E5"/>
    <w:rsid w:val="001D6B3D"/>
    <w:rsid w:val="001D7104"/>
    <w:rsid w:val="001D7366"/>
    <w:rsid w:val="001E075F"/>
    <w:rsid w:val="001E0933"/>
    <w:rsid w:val="001E14E8"/>
    <w:rsid w:val="001E1627"/>
    <w:rsid w:val="001E18BD"/>
    <w:rsid w:val="001E1B8D"/>
    <w:rsid w:val="001E1DBA"/>
    <w:rsid w:val="001E1EF2"/>
    <w:rsid w:val="001E290B"/>
    <w:rsid w:val="001E331C"/>
    <w:rsid w:val="001E385F"/>
    <w:rsid w:val="001E39E4"/>
    <w:rsid w:val="001E490C"/>
    <w:rsid w:val="001E4C68"/>
    <w:rsid w:val="001E4D20"/>
    <w:rsid w:val="001E50FD"/>
    <w:rsid w:val="001E5310"/>
    <w:rsid w:val="001E59DC"/>
    <w:rsid w:val="001E5DD7"/>
    <w:rsid w:val="001E5EEE"/>
    <w:rsid w:val="001E692A"/>
    <w:rsid w:val="001E7358"/>
    <w:rsid w:val="001E7C72"/>
    <w:rsid w:val="001E7EDD"/>
    <w:rsid w:val="001F02CD"/>
    <w:rsid w:val="001F0B7F"/>
    <w:rsid w:val="001F0CD0"/>
    <w:rsid w:val="001F0F71"/>
    <w:rsid w:val="001F19D1"/>
    <w:rsid w:val="001F1B69"/>
    <w:rsid w:val="001F1D9A"/>
    <w:rsid w:val="001F2740"/>
    <w:rsid w:val="001F27FA"/>
    <w:rsid w:val="001F2C3A"/>
    <w:rsid w:val="001F3531"/>
    <w:rsid w:val="001F3696"/>
    <w:rsid w:val="001F42FF"/>
    <w:rsid w:val="001F43B8"/>
    <w:rsid w:val="001F44B4"/>
    <w:rsid w:val="001F44D3"/>
    <w:rsid w:val="001F4510"/>
    <w:rsid w:val="001F58D3"/>
    <w:rsid w:val="001F64D8"/>
    <w:rsid w:val="001F65A4"/>
    <w:rsid w:val="001F65E0"/>
    <w:rsid w:val="001F6EE3"/>
    <w:rsid w:val="001F7362"/>
    <w:rsid w:val="001F7AE9"/>
    <w:rsid w:val="001F7CFD"/>
    <w:rsid w:val="002011D5"/>
    <w:rsid w:val="00201C2D"/>
    <w:rsid w:val="00202299"/>
    <w:rsid w:val="00203367"/>
    <w:rsid w:val="00204438"/>
    <w:rsid w:val="00204A44"/>
    <w:rsid w:val="00206147"/>
    <w:rsid w:val="002064F3"/>
    <w:rsid w:val="002069A8"/>
    <w:rsid w:val="00206A60"/>
    <w:rsid w:val="00206EE7"/>
    <w:rsid w:val="0020789A"/>
    <w:rsid w:val="00207C83"/>
    <w:rsid w:val="00210869"/>
    <w:rsid w:val="002116AD"/>
    <w:rsid w:val="00211999"/>
    <w:rsid w:val="002123A4"/>
    <w:rsid w:val="002126CD"/>
    <w:rsid w:val="002130C4"/>
    <w:rsid w:val="00213773"/>
    <w:rsid w:val="00213B0E"/>
    <w:rsid w:val="00213CBC"/>
    <w:rsid w:val="002141FB"/>
    <w:rsid w:val="002146CA"/>
    <w:rsid w:val="00214733"/>
    <w:rsid w:val="002147D6"/>
    <w:rsid w:val="0021575B"/>
    <w:rsid w:val="00215783"/>
    <w:rsid w:val="002160A3"/>
    <w:rsid w:val="0021669B"/>
    <w:rsid w:val="00216876"/>
    <w:rsid w:val="0022018A"/>
    <w:rsid w:val="00220ADA"/>
    <w:rsid w:val="00220B7B"/>
    <w:rsid w:val="0022180E"/>
    <w:rsid w:val="00221A42"/>
    <w:rsid w:val="002220BA"/>
    <w:rsid w:val="002227B3"/>
    <w:rsid w:val="00222CE3"/>
    <w:rsid w:val="002235D7"/>
    <w:rsid w:val="002239C4"/>
    <w:rsid w:val="00224617"/>
    <w:rsid w:val="00225591"/>
    <w:rsid w:val="00225690"/>
    <w:rsid w:val="0022574F"/>
    <w:rsid w:val="0022593A"/>
    <w:rsid w:val="00225B52"/>
    <w:rsid w:val="00225CE3"/>
    <w:rsid w:val="002260D7"/>
    <w:rsid w:val="00226B17"/>
    <w:rsid w:val="0022712B"/>
    <w:rsid w:val="00227340"/>
    <w:rsid w:val="002276A4"/>
    <w:rsid w:val="00227843"/>
    <w:rsid w:val="00227A99"/>
    <w:rsid w:val="00227C8B"/>
    <w:rsid w:val="00230A44"/>
    <w:rsid w:val="00230A52"/>
    <w:rsid w:val="00230FA5"/>
    <w:rsid w:val="00231131"/>
    <w:rsid w:val="0023170E"/>
    <w:rsid w:val="00231839"/>
    <w:rsid w:val="0023262B"/>
    <w:rsid w:val="00232A4E"/>
    <w:rsid w:val="00233618"/>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8D4"/>
    <w:rsid w:val="00243AC5"/>
    <w:rsid w:val="0024405D"/>
    <w:rsid w:val="00244516"/>
    <w:rsid w:val="00244C88"/>
    <w:rsid w:val="00244CF8"/>
    <w:rsid w:val="002454F0"/>
    <w:rsid w:val="00245A39"/>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456"/>
    <w:rsid w:val="002526B9"/>
    <w:rsid w:val="00252DD3"/>
    <w:rsid w:val="0025394F"/>
    <w:rsid w:val="00253B97"/>
    <w:rsid w:val="002544CB"/>
    <w:rsid w:val="00254724"/>
    <w:rsid w:val="0025523F"/>
    <w:rsid w:val="00255D8E"/>
    <w:rsid w:val="00256584"/>
    <w:rsid w:val="00256C48"/>
    <w:rsid w:val="00256EF8"/>
    <w:rsid w:val="002570D5"/>
    <w:rsid w:val="00257177"/>
    <w:rsid w:val="00257730"/>
    <w:rsid w:val="00257803"/>
    <w:rsid w:val="00257B74"/>
    <w:rsid w:val="00257CD8"/>
    <w:rsid w:val="002610D8"/>
    <w:rsid w:val="00261A6C"/>
    <w:rsid w:val="002629E2"/>
    <w:rsid w:val="00262BA8"/>
    <w:rsid w:val="00262BC8"/>
    <w:rsid w:val="002641D9"/>
    <w:rsid w:val="00264382"/>
    <w:rsid w:val="002643C5"/>
    <w:rsid w:val="00264917"/>
    <w:rsid w:val="002651EC"/>
    <w:rsid w:val="00265AEA"/>
    <w:rsid w:val="00265DC2"/>
    <w:rsid w:val="0026638C"/>
    <w:rsid w:val="002665A1"/>
    <w:rsid w:val="00266F00"/>
    <w:rsid w:val="002670EF"/>
    <w:rsid w:val="002671A2"/>
    <w:rsid w:val="00267A38"/>
    <w:rsid w:val="00267A56"/>
    <w:rsid w:val="00267F5F"/>
    <w:rsid w:val="0027086F"/>
    <w:rsid w:val="00270965"/>
    <w:rsid w:val="00271E5D"/>
    <w:rsid w:val="00272082"/>
    <w:rsid w:val="00272AEB"/>
    <w:rsid w:val="0027349D"/>
    <w:rsid w:val="00273516"/>
    <w:rsid w:val="00273985"/>
    <w:rsid w:val="00273B82"/>
    <w:rsid w:val="00273E7A"/>
    <w:rsid w:val="00274372"/>
    <w:rsid w:val="0027475A"/>
    <w:rsid w:val="00275F56"/>
    <w:rsid w:val="002765B7"/>
    <w:rsid w:val="00276EAA"/>
    <w:rsid w:val="00277713"/>
    <w:rsid w:val="00277CFA"/>
    <w:rsid w:val="00277DBC"/>
    <w:rsid w:val="00277F64"/>
    <w:rsid w:val="00280550"/>
    <w:rsid w:val="00281063"/>
    <w:rsid w:val="00281676"/>
    <w:rsid w:val="00281E32"/>
    <w:rsid w:val="00282206"/>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6F1C"/>
    <w:rsid w:val="00287514"/>
    <w:rsid w:val="0028791B"/>
    <w:rsid w:val="00287E44"/>
    <w:rsid w:val="00287EB2"/>
    <w:rsid w:val="00287F79"/>
    <w:rsid w:val="002900A9"/>
    <w:rsid w:val="002908CE"/>
    <w:rsid w:val="00290C43"/>
    <w:rsid w:val="00290C90"/>
    <w:rsid w:val="002916DB"/>
    <w:rsid w:val="0029190A"/>
    <w:rsid w:val="0029288A"/>
    <w:rsid w:val="00293271"/>
    <w:rsid w:val="00293587"/>
    <w:rsid w:val="00293896"/>
    <w:rsid w:val="00293ED1"/>
    <w:rsid w:val="00294A06"/>
    <w:rsid w:val="00294FFB"/>
    <w:rsid w:val="00295038"/>
    <w:rsid w:val="002954FD"/>
    <w:rsid w:val="00296242"/>
    <w:rsid w:val="002964CA"/>
    <w:rsid w:val="00296CE6"/>
    <w:rsid w:val="002973DF"/>
    <w:rsid w:val="00297D6A"/>
    <w:rsid w:val="002A0190"/>
    <w:rsid w:val="002A0983"/>
    <w:rsid w:val="002A0BF5"/>
    <w:rsid w:val="002A1128"/>
    <w:rsid w:val="002A1227"/>
    <w:rsid w:val="002A158C"/>
    <w:rsid w:val="002A24EB"/>
    <w:rsid w:val="002A2C5E"/>
    <w:rsid w:val="002A2D66"/>
    <w:rsid w:val="002A428E"/>
    <w:rsid w:val="002A46FA"/>
    <w:rsid w:val="002A475A"/>
    <w:rsid w:val="002A5227"/>
    <w:rsid w:val="002A53E2"/>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830"/>
    <w:rsid w:val="002B3A06"/>
    <w:rsid w:val="002B4552"/>
    <w:rsid w:val="002B4C84"/>
    <w:rsid w:val="002B5746"/>
    <w:rsid w:val="002B63D3"/>
    <w:rsid w:val="002B6537"/>
    <w:rsid w:val="002B6815"/>
    <w:rsid w:val="002B6AB1"/>
    <w:rsid w:val="002B6E20"/>
    <w:rsid w:val="002B71D1"/>
    <w:rsid w:val="002C0144"/>
    <w:rsid w:val="002C0CAC"/>
    <w:rsid w:val="002C1F28"/>
    <w:rsid w:val="002C254B"/>
    <w:rsid w:val="002C25DE"/>
    <w:rsid w:val="002C27E8"/>
    <w:rsid w:val="002C2965"/>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55B"/>
    <w:rsid w:val="002D1AD3"/>
    <w:rsid w:val="002D3759"/>
    <w:rsid w:val="002D40A5"/>
    <w:rsid w:val="002D48E1"/>
    <w:rsid w:val="002D4ED0"/>
    <w:rsid w:val="002D612D"/>
    <w:rsid w:val="002D61C8"/>
    <w:rsid w:val="002D629E"/>
    <w:rsid w:val="002D6E9A"/>
    <w:rsid w:val="002D726B"/>
    <w:rsid w:val="002D75DB"/>
    <w:rsid w:val="002E0067"/>
    <w:rsid w:val="002E02D0"/>
    <w:rsid w:val="002E0489"/>
    <w:rsid w:val="002E04C0"/>
    <w:rsid w:val="002E0544"/>
    <w:rsid w:val="002E0C8E"/>
    <w:rsid w:val="002E1C5F"/>
    <w:rsid w:val="002E1DF4"/>
    <w:rsid w:val="002E211F"/>
    <w:rsid w:val="002E2C3B"/>
    <w:rsid w:val="002E320C"/>
    <w:rsid w:val="002E3C37"/>
    <w:rsid w:val="002E4005"/>
    <w:rsid w:val="002E4BA7"/>
    <w:rsid w:val="002E4D3D"/>
    <w:rsid w:val="002E5C58"/>
    <w:rsid w:val="002E5CA7"/>
    <w:rsid w:val="002E668B"/>
    <w:rsid w:val="002E7235"/>
    <w:rsid w:val="002E7DEA"/>
    <w:rsid w:val="002F0276"/>
    <w:rsid w:val="002F10E7"/>
    <w:rsid w:val="002F11F9"/>
    <w:rsid w:val="002F1274"/>
    <w:rsid w:val="002F13E0"/>
    <w:rsid w:val="002F16CB"/>
    <w:rsid w:val="002F1742"/>
    <w:rsid w:val="002F1AB0"/>
    <w:rsid w:val="002F1D0E"/>
    <w:rsid w:val="002F3C64"/>
    <w:rsid w:val="002F4431"/>
    <w:rsid w:val="002F47E7"/>
    <w:rsid w:val="002F510D"/>
    <w:rsid w:val="002F579D"/>
    <w:rsid w:val="002F57EC"/>
    <w:rsid w:val="002F5AB7"/>
    <w:rsid w:val="002F5F61"/>
    <w:rsid w:val="00300081"/>
    <w:rsid w:val="0030023E"/>
    <w:rsid w:val="0030059B"/>
    <w:rsid w:val="00300FC5"/>
    <w:rsid w:val="00301277"/>
    <w:rsid w:val="00301837"/>
    <w:rsid w:val="003019CD"/>
    <w:rsid w:val="0030302E"/>
    <w:rsid w:val="0030341B"/>
    <w:rsid w:val="003034D2"/>
    <w:rsid w:val="0030373E"/>
    <w:rsid w:val="00303A1B"/>
    <w:rsid w:val="00303EAC"/>
    <w:rsid w:val="003045BE"/>
    <w:rsid w:val="00305F53"/>
    <w:rsid w:val="003060F3"/>
    <w:rsid w:val="0030612A"/>
    <w:rsid w:val="003068EC"/>
    <w:rsid w:val="00306C01"/>
    <w:rsid w:val="0030759B"/>
    <w:rsid w:val="003076C4"/>
    <w:rsid w:val="003079A6"/>
    <w:rsid w:val="003106C8"/>
    <w:rsid w:val="00310E3F"/>
    <w:rsid w:val="003110E0"/>
    <w:rsid w:val="00311270"/>
    <w:rsid w:val="0031175D"/>
    <w:rsid w:val="003119DD"/>
    <w:rsid w:val="00312297"/>
    <w:rsid w:val="00313367"/>
    <w:rsid w:val="0031354F"/>
    <w:rsid w:val="00314614"/>
    <w:rsid w:val="00314739"/>
    <w:rsid w:val="00314773"/>
    <w:rsid w:val="00314F8A"/>
    <w:rsid w:val="003151F3"/>
    <w:rsid w:val="003152FA"/>
    <w:rsid w:val="003154DB"/>
    <w:rsid w:val="00316779"/>
    <w:rsid w:val="00317DA5"/>
    <w:rsid w:val="003201D0"/>
    <w:rsid w:val="003205E0"/>
    <w:rsid w:val="00320B8F"/>
    <w:rsid w:val="00320C20"/>
    <w:rsid w:val="00321386"/>
    <w:rsid w:val="00321788"/>
    <w:rsid w:val="00321848"/>
    <w:rsid w:val="00321CB3"/>
    <w:rsid w:val="00322341"/>
    <w:rsid w:val="0032345B"/>
    <w:rsid w:val="003235FE"/>
    <w:rsid w:val="00324FF5"/>
    <w:rsid w:val="003256A0"/>
    <w:rsid w:val="00325893"/>
    <w:rsid w:val="00325F80"/>
    <w:rsid w:val="003265DE"/>
    <w:rsid w:val="00326A08"/>
    <w:rsid w:val="003275D6"/>
    <w:rsid w:val="0032767E"/>
    <w:rsid w:val="003277C6"/>
    <w:rsid w:val="00327845"/>
    <w:rsid w:val="00327B0E"/>
    <w:rsid w:val="00327EC7"/>
    <w:rsid w:val="003302CF"/>
    <w:rsid w:val="00330559"/>
    <w:rsid w:val="00330B86"/>
    <w:rsid w:val="00330DB5"/>
    <w:rsid w:val="00331306"/>
    <w:rsid w:val="00331659"/>
    <w:rsid w:val="003319C5"/>
    <w:rsid w:val="00331A58"/>
    <w:rsid w:val="003320F9"/>
    <w:rsid w:val="00332404"/>
    <w:rsid w:val="003327BD"/>
    <w:rsid w:val="003338EB"/>
    <w:rsid w:val="00334446"/>
    <w:rsid w:val="0033444C"/>
    <w:rsid w:val="00334725"/>
    <w:rsid w:val="00334A38"/>
    <w:rsid w:val="00334AE6"/>
    <w:rsid w:val="00334AF1"/>
    <w:rsid w:val="003353D5"/>
    <w:rsid w:val="00335943"/>
    <w:rsid w:val="00335A53"/>
    <w:rsid w:val="003375E6"/>
    <w:rsid w:val="003379A4"/>
    <w:rsid w:val="00337BB0"/>
    <w:rsid w:val="00337CB6"/>
    <w:rsid w:val="003403AE"/>
    <w:rsid w:val="003409BD"/>
    <w:rsid w:val="0034111B"/>
    <w:rsid w:val="00342559"/>
    <w:rsid w:val="00342D1A"/>
    <w:rsid w:val="0034339B"/>
    <w:rsid w:val="00343860"/>
    <w:rsid w:val="00343AB5"/>
    <w:rsid w:val="0034487B"/>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2D0"/>
    <w:rsid w:val="00352775"/>
    <w:rsid w:val="00352F14"/>
    <w:rsid w:val="003530B3"/>
    <w:rsid w:val="00354CFB"/>
    <w:rsid w:val="0035546F"/>
    <w:rsid w:val="003554BD"/>
    <w:rsid w:val="003554CE"/>
    <w:rsid w:val="00356586"/>
    <w:rsid w:val="00356792"/>
    <w:rsid w:val="00356B44"/>
    <w:rsid w:val="003571E2"/>
    <w:rsid w:val="003572DA"/>
    <w:rsid w:val="00360A82"/>
    <w:rsid w:val="00361062"/>
    <w:rsid w:val="003610F5"/>
    <w:rsid w:val="003616F4"/>
    <w:rsid w:val="00362B5E"/>
    <w:rsid w:val="00363758"/>
    <w:rsid w:val="003638E9"/>
    <w:rsid w:val="003643A5"/>
    <w:rsid w:val="00364D97"/>
    <w:rsid w:val="0036533F"/>
    <w:rsid w:val="00365370"/>
    <w:rsid w:val="003661C9"/>
    <w:rsid w:val="0036693A"/>
    <w:rsid w:val="00366AFA"/>
    <w:rsid w:val="00366C31"/>
    <w:rsid w:val="00366E4E"/>
    <w:rsid w:val="00367407"/>
    <w:rsid w:val="003676E5"/>
    <w:rsid w:val="003676EA"/>
    <w:rsid w:val="00367886"/>
    <w:rsid w:val="00367AD9"/>
    <w:rsid w:val="00367CC7"/>
    <w:rsid w:val="00370219"/>
    <w:rsid w:val="0037051E"/>
    <w:rsid w:val="003706D1"/>
    <w:rsid w:val="00370859"/>
    <w:rsid w:val="00371208"/>
    <w:rsid w:val="0037187E"/>
    <w:rsid w:val="003718D9"/>
    <w:rsid w:val="0037207D"/>
    <w:rsid w:val="003721AC"/>
    <w:rsid w:val="00372389"/>
    <w:rsid w:val="00372564"/>
    <w:rsid w:val="00372644"/>
    <w:rsid w:val="0037334A"/>
    <w:rsid w:val="003734B3"/>
    <w:rsid w:val="0037443B"/>
    <w:rsid w:val="00374D3E"/>
    <w:rsid w:val="003750F4"/>
    <w:rsid w:val="00375820"/>
    <w:rsid w:val="00375B14"/>
    <w:rsid w:val="00375D85"/>
    <w:rsid w:val="003760FD"/>
    <w:rsid w:val="003769D5"/>
    <w:rsid w:val="00376B1C"/>
    <w:rsid w:val="00377475"/>
    <w:rsid w:val="00377A8C"/>
    <w:rsid w:val="003802D1"/>
    <w:rsid w:val="0038054C"/>
    <w:rsid w:val="0038061C"/>
    <w:rsid w:val="00380A95"/>
    <w:rsid w:val="00381168"/>
    <w:rsid w:val="00381E3D"/>
    <w:rsid w:val="003825F4"/>
    <w:rsid w:val="00383181"/>
    <w:rsid w:val="003831C2"/>
    <w:rsid w:val="00383338"/>
    <w:rsid w:val="00383373"/>
    <w:rsid w:val="0038339B"/>
    <w:rsid w:val="00383701"/>
    <w:rsid w:val="003840B4"/>
    <w:rsid w:val="00384187"/>
    <w:rsid w:val="0038458A"/>
    <w:rsid w:val="00384744"/>
    <w:rsid w:val="003847D4"/>
    <w:rsid w:val="00384900"/>
    <w:rsid w:val="00384D8F"/>
    <w:rsid w:val="00384DCE"/>
    <w:rsid w:val="00384EF8"/>
    <w:rsid w:val="003863B6"/>
    <w:rsid w:val="00386891"/>
    <w:rsid w:val="00386A21"/>
    <w:rsid w:val="0038735C"/>
    <w:rsid w:val="003874B4"/>
    <w:rsid w:val="00387631"/>
    <w:rsid w:val="00387823"/>
    <w:rsid w:val="00390044"/>
    <w:rsid w:val="003903FB"/>
    <w:rsid w:val="00390644"/>
    <w:rsid w:val="0039066F"/>
    <w:rsid w:val="00390D50"/>
    <w:rsid w:val="00390EAD"/>
    <w:rsid w:val="00390EAF"/>
    <w:rsid w:val="00390F3A"/>
    <w:rsid w:val="00391CBB"/>
    <w:rsid w:val="00391D90"/>
    <w:rsid w:val="00391DDE"/>
    <w:rsid w:val="0039208E"/>
    <w:rsid w:val="003920D2"/>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6B4"/>
    <w:rsid w:val="003A687F"/>
    <w:rsid w:val="003A701E"/>
    <w:rsid w:val="003A7161"/>
    <w:rsid w:val="003A7200"/>
    <w:rsid w:val="003A73F2"/>
    <w:rsid w:val="003A75C6"/>
    <w:rsid w:val="003A79FF"/>
    <w:rsid w:val="003A7DFF"/>
    <w:rsid w:val="003B00E9"/>
    <w:rsid w:val="003B02DF"/>
    <w:rsid w:val="003B0A8B"/>
    <w:rsid w:val="003B1083"/>
    <w:rsid w:val="003B1235"/>
    <w:rsid w:val="003B12DB"/>
    <w:rsid w:val="003B1C5D"/>
    <w:rsid w:val="003B1EAD"/>
    <w:rsid w:val="003B1F1C"/>
    <w:rsid w:val="003B23A8"/>
    <w:rsid w:val="003B258A"/>
    <w:rsid w:val="003B2C25"/>
    <w:rsid w:val="003B3822"/>
    <w:rsid w:val="003B3BAD"/>
    <w:rsid w:val="003B3F02"/>
    <w:rsid w:val="003B3F64"/>
    <w:rsid w:val="003B4644"/>
    <w:rsid w:val="003B469D"/>
    <w:rsid w:val="003B4B26"/>
    <w:rsid w:val="003B4E29"/>
    <w:rsid w:val="003B5306"/>
    <w:rsid w:val="003B5757"/>
    <w:rsid w:val="003B5DE6"/>
    <w:rsid w:val="003B6179"/>
    <w:rsid w:val="003B69D0"/>
    <w:rsid w:val="003B7B4D"/>
    <w:rsid w:val="003C0125"/>
    <w:rsid w:val="003C03F7"/>
    <w:rsid w:val="003C05CD"/>
    <w:rsid w:val="003C0FE5"/>
    <w:rsid w:val="003C1CAF"/>
    <w:rsid w:val="003C22D4"/>
    <w:rsid w:val="003C29AF"/>
    <w:rsid w:val="003C3F73"/>
    <w:rsid w:val="003C40A2"/>
    <w:rsid w:val="003C5519"/>
    <w:rsid w:val="003C5A97"/>
    <w:rsid w:val="003C616B"/>
    <w:rsid w:val="003C681D"/>
    <w:rsid w:val="003C69A7"/>
    <w:rsid w:val="003C6BED"/>
    <w:rsid w:val="003C7965"/>
    <w:rsid w:val="003C7D06"/>
    <w:rsid w:val="003C7EF7"/>
    <w:rsid w:val="003D0E1F"/>
    <w:rsid w:val="003D1182"/>
    <w:rsid w:val="003D1AE0"/>
    <w:rsid w:val="003D22DA"/>
    <w:rsid w:val="003D26ED"/>
    <w:rsid w:val="003D3779"/>
    <w:rsid w:val="003D425A"/>
    <w:rsid w:val="003D4866"/>
    <w:rsid w:val="003D48CF"/>
    <w:rsid w:val="003D507A"/>
    <w:rsid w:val="003D53DF"/>
    <w:rsid w:val="003D6280"/>
    <w:rsid w:val="003D66CB"/>
    <w:rsid w:val="003D687A"/>
    <w:rsid w:val="003D6E45"/>
    <w:rsid w:val="003D7A2D"/>
    <w:rsid w:val="003D7AA3"/>
    <w:rsid w:val="003D7C91"/>
    <w:rsid w:val="003E043F"/>
    <w:rsid w:val="003E07F1"/>
    <w:rsid w:val="003E0E8C"/>
    <w:rsid w:val="003E113F"/>
    <w:rsid w:val="003E1418"/>
    <w:rsid w:val="003E1AC4"/>
    <w:rsid w:val="003E3816"/>
    <w:rsid w:val="003E4979"/>
    <w:rsid w:val="003E4B79"/>
    <w:rsid w:val="003E4B85"/>
    <w:rsid w:val="003E555D"/>
    <w:rsid w:val="003E581F"/>
    <w:rsid w:val="003E5F16"/>
    <w:rsid w:val="003E634D"/>
    <w:rsid w:val="003E64BB"/>
    <w:rsid w:val="003E6AC1"/>
    <w:rsid w:val="003E7EEA"/>
    <w:rsid w:val="003F01E7"/>
    <w:rsid w:val="003F18CF"/>
    <w:rsid w:val="003F2BFE"/>
    <w:rsid w:val="003F3A44"/>
    <w:rsid w:val="003F3CDE"/>
    <w:rsid w:val="003F5325"/>
    <w:rsid w:val="003F5F0A"/>
    <w:rsid w:val="003F664F"/>
    <w:rsid w:val="003F6DF4"/>
    <w:rsid w:val="003F7022"/>
    <w:rsid w:val="003F7263"/>
    <w:rsid w:val="003F7D77"/>
    <w:rsid w:val="00400A5E"/>
    <w:rsid w:val="00400F61"/>
    <w:rsid w:val="004015B0"/>
    <w:rsid w:val="004016AD"/>
    <w:rsid w:val="00401A15"/>
    <w:rsid w:val="00401C5B"/>
    <w:rsid w:val="00401DB1"/>
    <w:rsid w:val="004020FB"/>
    <w:rsid w:val="0040230D"/>
    <w:rsid w:val="0040241D"/>
    <w:rsid w:val="004028D0"/>
    <w:rsid w:val="00402940"/>
    <w:rsid w:val="00403226"/>
    <w:rsid w:val="00403827"/>
    <w:rsid w:val="004040E3"/>
    <w:rsid w:val="00404D4D"/>
    <w:rsid w:val="00406AFE"/>
    <w:rsid w:val="00406F98"/>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11F"/>
    <w:rsid w:val="00416787"/>
    <w:rsid w:val="00416893"/>
    <w:rsid w:val="00420226"/>
    <w:rsid w:val="004203CA"/>
    <w:rsid w:val="004208D7"/>
    <w:rsid w:val="00420CA2"/>
    <w:rsid w:val="00421878"/>
    <w:rsid w:val="00421AEE"/>
    <w:rsid w:val="004228EE"/>
    <w:rsid w:val="00422BB1"/>
    <w:rsid w:val="00422D87"/>
    <w:rsid w:val="0042325A"/>
    <w:rsid w:val="0042336F"/>
    <w:rsid w:val="004234EF"/>
    <w:rsid w:val="004240A4"/>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81D"/>
    <w:rsid w:val="00431A68"/>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6BA8"/>
    <w:rsid w:val="00446C0F"/>
    <w:rsid w:val="00447603"/>
    <w:rsid w:val="00447999"/>
    <w:rsid w:val="00447AC5"/>
    <w:rsid w:val="00447EAD"/>
    <w:rsid w:val="004504A7"/>
    <w:rsid w:val="00450899"/>
    <w:rsid w:val="004508B7"/>
    <w:rsid w:val="00450FE9"/>
    <w:rsid w:val="00451A7B"/>
    <w:rsid w:val="004522A6"/>
    <w:rsid w:val="004529D7"/>
    <w:rsid w:val="00452A11"/>
    <w:rsid w:val="00453BF4"/>
    <w:rsid w:val="00453D94"/>
    <w:rsid w:val="00454571"/>
    <w:rsid w:val="00455AFA"/>
    <w:rsid w:val="00456308"/>
    <w:rsid w:val="004566BE"/>
    <w:rsid w:val="0045682E"/>
    <w:rsid w:val="004568B4"/>
    <w:rsid w:val="00457142"/>
    <w:rsid w:val="004573A4"/>
    <w:rsid w:val="00457493"/>
    <w:rsid w:val="00457958"/>
    <w:rsid w:val="0046043D"/>
    <w:rsid w:val="00460EF6"/>
    <w:rsid w:val="0046115F"/>
    <w:rsid w:val="0046148D"/>
    <w:rsid w:val="00461535"/>
    <w:rsid w:val="004627CF"/>
    <w:rsid w:val="00462977"/>
    <w:rsid w:val="00462DBA"/>
    <w:rsid w:val="00462F7B"/>
    <w:rsid w:val="004635B7"/>
    <w:rsid w:val="00463AFE"/>
    <w:rsid w:val="00464027"/>
    <w:rsid w:val="004641CB"/>
    <w:rsid w:val="0046443B"/>
    <w:rsid w:val="00464BC7"/>
    <w:rsid w:val="004651B8"/>
    <w:rsid w:val="00465580"/>
    <w:rsid w:val="00465972"/>
    <w:rsid w:val="004659F5"/>
    <w:rsid w:val="00465B94"/>
    <w:rsid w:val="00465E7E"/>
    <w:rsid w:val="00466BB5"/>
    <w:rsid w:val="004672E8"/>
    <w:rsid w:val="004677E9"/>
    <w:rsid w:val="00467EFD"/>
    <w:rsid w:val="00470535"/>
    <w:rsid w:val="00471183"/>
    <w:rsid w:val="0047123C"/>
    <w:rsid w:val="004714F6"/>
    <w:rsid w:val="0047289C"/>
    <w:rsid w:val="00472E22"/>
    <w:rsid w:val="00472F67"/>
    <w:rsid w:val="004739A1"/>
    <w:rsid w:val="0047418A"/>
    <w:rsid w:val="0047430D"/>
    <w:rsid w:val="00474ED0"/>
    <w:rsid w:val="00474FDF"/>
    <w:rsid w:val="00475688"/>
    <w:rsid w:val="004758F6"/>
    <w:rsid w:val="004759E3"/>
    <w:rsid w:val="00475C51"/>
    <w:rsid w:val="00476161"/>
    <w:rsid w:val="00476658"/>
    <w:rsid w:val="00476DF1"/>
    <w:rsid w:val="00476E34"/>
    <w:rsid w:val="00476EE1"/>
    <w:rsid w:val="00477163"/>
    <w:rsid w:val="00477B0E"/>
    <w:rsid w:val="00481688"/>
    <w:rsid w:val="004820E0"/>
    <w:rsid w:val="004822CA"/>
    <w:rsid w:val="00483F95"/>
    <w:rsid w:val="00484D20"/>
    <w:rsid w:val="004850C1"/>
    <w:rsid w:val="00486F54"/>
    <w:rsid w:val="004871B4"/>
    <w:rsid w:val="004876DD"/>
    <w:rsid w:val="0049067E"/>
    <w:rsid w:val="0049178A"/>
    <w:rsid w:val="00491C1D"/>
    <w:rsid w:val="00491DF1"/>
    <w:rsid w:val="00492535"/>
    <w:rsid w:val="00493435"/>
    <w:rsid w:val="00493C39"/>
    <w:rsid w:val="0049434C"/>
    <w:rsid w:val="00494B28"/>
    <w:rsid w:val="00495FFF"/>
    <w:rsid w:val="00496591"/>
    <w:rsid w:val="00496A9F"/>
    <w:rsid w:val="00496EB5"/>
    <w:rsid w:val="00497358"/>
    <w:rsid w:val="00497FA5"/>
    <w:rsid w:val="004A03B3"/>
    <w:rsid w:val="004A04D5"/>
    <w:rsid w:val="004A07CC"/>
    <w:rsid w:val="004A0F3D"/>
    <w:rsid w:val="004A1361"/>
    <w:rsid w:val="004A1B07"/>
    <w:rsid w:val="004A2E04"/>
    <w:rsid w:val="004A3226"/>
    <w:rsid w:val="004A399F"/>
    <w:rsid w:val="004A4096"/>
    <w:rsid w:val="004A4692"/>
    <w:rsid w:val="004A669F"/>
    <w:rsid w:val="004A6842"/>
    <w:rsid w:val="004A718C"/>
    <w:rsid w:val="004A7DBE"/>
    <w:rsid w:val="004A7F94"/>
    <w:rsid w:val="004B08AC"/>
    <w:rsid w:val="004B0D88"/>
    <w:rsid w:val="004B206E"/>
    <w:rsid w:val="004B229E"/>
    <w:rsid w:val="004B2870"/>
    <w:rsid w:val="004B29C2"/>
    <w:rsid w:val="004B29E1"/>
    <w:rsid w:val="004B2C52"/>
    <w:rsid w:val="004B2F46"/>
    <w:rsid w:val="004B395D"/>
    <w:rsid w:val="004B4194"/>
    <w:rsid w:val="004B457E"/>
    <w:rsid w:val="004B55F0"/>
    <w:rsid w:val="004B56C3"/>
    <w:rsid w:val="004B6928"/>
    <w:rsid w:val="004B79FA"/>
    <w:rsid w:val="004B7B5D"/>
    <w:rsid w:val="004B7D94"/>
    <w:rsid w:val="004C0FB7"/>
    <w:rsid w:val="004C104B"/>
    <w:rsid w:val="004C164A"/>
    <w:rsid w:val="004C2E14"/>
    <w:rsid w:val="004C2E3A"/>
    <w:rsid w:val="004C2FE3"/>
    <w:rsid w:val="004C305A"/>
    <w:rsid w:val="004C34B9"/>
    <w:rsid w:val="004C35EF"/>
    <w:rsid w:val="004C3BCF"/>
    <w:rsid w:val="004C4829"/>
    <w:rsid w:val="004C48E5"/>
    <w:rsid w:val="004C4D30"/>
    <w:rsid w:val="004C4EAB"/>
    <w:rsid w:val="004C5570"/>
    <w:rsid w:val="004C5BD0"/>
    <w:rsid w:val="004C5CD0"/>
    <w:rsid w:val="004C5D52"/>
    <w:rsid w:val="004C5DB0"/>
    <w:rsid w:val="004C60D8"/>
    <w:rsid w:val="004C62EE"/>
    <w:rsid w:val="004C6A0D"/>
    <w:rsid w:val="004C7F4F"/>
    <w:rsid w:val="004D1000"/>
    <w:rsid w:val="004D1D27"/>
    <w:rsid w:val="004D2EC3"/>
    <w:rsid w:val="004D2FF6"/>
    <w:rsid w:val="004D3FD6"/>
    <w:rsid w:val="004D405F"/>
    <w:rsid w:val="004D55CA"/>
    <w:rsid w:val="004D5A27"/>
    <w:rsid w:val="004D5B36"/>
    <w:rsid w:val="004D5F0E"/>
    <w:rsid w:val="004D604F"/>
    <w:rsid w:val="004D6626"/>
    <w:rsid w:val="004D6758"/>
    <w:rsid w:val="004D7B1A"/>
    <w:rsid w:val="004D7D84"/>
    <w:rsid w:val="004E0830"/>
    <w:rsid w:val="004E169C"/>
    <w:rsid w:val="004E1BF0"/>
    <w:rsid w:val="004E1E6A"/>
    <w:rsid w:val="004E28E1"/>
    <w:rsid w:val="004E2B01"/>
    <w:rsid w:val="004E34C7"/>
    <w:rsid w:val="004E356A"/>
    <w:rsid w:val="004E375D"/>
    <w:rsid w:val="004E3850"/>
    <w:rsid w:val="004E3FC1"/>
    <w:rsid w:val="004E58EA"/>
    <w:rsid w:val="004E5F65"/>
    <w:rsid w:val="004E6172"/>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667"/>
    <w:rsid w:val="004F7F0F"/>
    <w:rsid w:val="004F7FBC"/>
    <w:rsid w:val="005001AE"/>
    <w:rsid w:val="00500287"/>
    <w:rsid w:val="005007E7"/>
    <w:rsid w:val="005012FC"/>
    <w:rsid w:val="005019BC"/>
    <w:rsid w:val="00501EBE"/>
    <w:rsid w:val="00503551"/>
    <w:rsid w:val="005037BB"/>
    <w:rsid w:val="00503F38"/>
    <w:rsid w:val="005043FC"/>
    <w:rsid w:val="00504855"/>
    <w:rsid w:val="00504A55"/>
    <w:rsid w:val="00505F08"/>
    <w:rsid w:val="0050671D"/>
    <w:rsid w:val="0050672C"/>
    <w:rsid w:val="00506C4C"/>
    <w:rsid w:val="0050700E"/>
    <w:rsid w:val="005079D7"/>
    <w:rsid w:val="00507B2A"/>
    <w:rsid w:val="00507F8E"/>
    <w:rsid w:val="00510A22"/>
    <w:rsid w:val="00510D8A"/>
    <w:rsid w:val="005118DF"/>
    <w:rsid w:val="00511D6E"/>
    <w:rsid w:val="00511EBC"/>
    <w:rsid w:val="005125D5"/>
    <w:rsid w:val="00512D51"/>
    <w:rsid w:val="00512E95"/>
    <w:rsid w:val="00514674"/>
    <w:rsid w:val="0051477F"/>
    <w:rsid w:val="00514C46"/>
    <w:rsid w:val="005154D5"/>
    <w:rsid w:val="00515BCF"/>
    <w:rsid w:val="00516083"/>
    <w:rsid w:val="0051635A"/>
    <w:rsid w:val="0051646E"/>
    <w:rsid w:val="005166C3"/>
    <w:rsid w:val="00516EA5"/>
    <w:rsid w:val="00516F04"/>
    <w:rsid w:val="005179DA"/>
    <w:rsid w:val="00517E2A"/>
    <w:rsid w:val="00520C1C"/>
    <w:rsid w:val="00521439"/>
    <w:rsid w:val="00521490"/>
    <w:rsid w:val="00522133"/>
    <w:rsid w:val="0052292E"/>
    <w:rsid w:val="005232E0"/>
    <w:rsid w:val="0052373B"/>
    <w:rsid w:val="0052397B"/>
    <w:rsid w:val="00523E00"/>
    <w:rsid w:val="0052439F"/>
    <w:rsid w:val="005243EB"/>
    <w:rsid w:val="00524CF5"/>
    <w:rsid w:val="00525789"/>
    <w:rsid w:val="00525890"/>
    <w:rsid w:val="00526452"/>
    <w:rsid w:val="00526816"/>
    <w:rsid w:val="00526F09"/>
    <w:rsid w:val="00527B60"/>
    <w:rsid w:val="00527F4F"/>
    <w:rsid w:val="0053043F"/>
    <w:rsid w:val="00530512"/>
    <w:rsid w:val="00530799"/>
    <w:rsid w:val="0053109F"/>
    <w:rsid w:val="005311E8"/>
    <w:rsid w:val="005312C4"/>
    <w:rsid w:val="0053133A"/>
    <w:rsid w:val="00531822"/>
    <w:rsid w:val="005326D0"/>
    <w:rsid w:val="005327CB"/>
    <w:rsid w:val="00532800"/>
    <w:rsid w:val="00532A80"/>
    <w:rsid w:val="00532C0D"/>
    <w:rsid w:val="00532FDA"/>
    <w:rsid w:val="00533EE8"/>
    <w:rsid w:val="0053417D"/>
    <w:rsid w:val="0053490C"/>
    <w:rsid w:val="00534D5D"/>
    <w:rsid w:val="00535585"/>
    <w:rsid w:val="00536390"/>
    <w:rsid w:val="00536A58"/>
    <w:rsid w:val="00536AB4"/>
    <w:rsid w:val="00537127"/>
    <w:rsid w:val="0053764B"/>
    <w:rsid w:val="00537D26"/>
    <w:rsid w:val="0054069F"/>
    <w:rsid w:val="00541307"/>
    <w:rsid w:val="00541B60"/>
    <w:rsid w:val="00541DB8"/>
    <w:rsid w:val="00541F9A"/>
    <w:rsid w:val="00542599"/>
    <w:rsid w:val="00542EB4"/>
    <w:rsid w:val="005432BA"/>
    <w:rsid w:val="005448B9"/>
    <w:rsid w:val="00545136"/>
    <w:rsid w:val="005452C1"/>
    <w:rsid w:val="0054545C"/>
    <w:rsid w:val="00545B42"/>
    <w:rsid w:val="0054612B"/>
    <w:rsid w:val="00547753"/>
    <w:rsid w:val="005479F5"/>
    <w:rsid w:val="00547D90"/>
    <w:rsid w:val="005508EF"/>
    <w:rsid w:val="005510E3"/>
    <w:rsid w:val="0055173F"/>
    <w:rsid w:val="00551AE8"/>
    <w:rsid w:val="00551D57"/>
    <w:rsid w:val="00552E11"/>
    <w:rsid w:val="00552FEB"/>
    <w:rsid w:val="0055326B"/>
    <w:rsid w:val="005532A3"/>
    <w:rsid w:val="00553395"/>
    <w:rsid w:val="00553567"/>
    <w:rsid w:val="005538EF"/>
    <w:rsid w:val="00553D4D"/>
    <w:rsid w:val="0055400F"/>
    <w:rsid w:val="00554561"/>
    <w:rsid w:val="005548DD"/>
    <w:rsid w:val="00555500"/>
    <w:rsid w:val="00555A13"/>
    <w:rsid w:val="00555FC3"/>
    <w:rsid w:val="00556027"/>
    <w:rsid w:val="00556506"/>
    <w:rsid w:val="0055659A"/>
    <w:rsid w:val="00556731"/>
    <w:rsid w:val="00557401"/>
    <w:rsid w:val="0055747C"/>
    <w:rsid w:val="00557D41"/>
    <w:rsid w:val="00557F5B"/>
    <w:rsid w:val="00557FE2"/>
    <w:rsid w:val="00560729"/>
    <w:rsid w:val="00560A86"/>
    <w:rsid w:val="00561C64"/>
    <w:rsid w:val="00561F12"/>
    <w:rsid w:val="0056218D"/>
    <w:rsid w:val="00562E43"/>
    <w:rsid w:val="00562EAD"/>
    <w:rsid w:val="00563222"/>
    <w:rsid w:val="00563AEB"/>
    <w:rsid w:val="00564775"/>
    <w:rsid w:val="005647AB"/>
    <w:rsid w:val="00564A82"/>
    <w:rsid w:val="00564F25"/>
    <w:rsid w:val="00566C28"/>
    <w:rsid w:val="00566EBC"/>
    <w:rsid w:val="00567500"/>
    <w:rsid w:val="0056753D"/>
    <w:rsid w:val="0056778B"/>
    <w:rsid w:val="00567811"/>
    <w:rsid w:val="00567938"/>
    <w:rsid w:val="00567CDA"/>
    <w:rsid w:val="00570163"/>
    <w:rsid w:val="005701B3"/>
    <w:rsid w:val="005702BD"/>
    <w:rsid w:val="005704B1"/>
    <w:rsid w:val="0057182E"/>
    <w:rsid w:val="00572749"/>
    <w:rsid w:val="005739F4"/>
    <w:rsid w:val="00573A7F"/>
    <w:rsid w:val="00573EE1"/>
    <w:rsid w:val="0057406C"/>
    <w:rsid w:val="00575051"/>
    <w:rsid w:val="00575295"/>
    <w:rsid w:val="005758E3"/>
    <w:rsid w:val="0057605A"/>
    <w:rsid w:val="00576CB4"/>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90D18"/>
    <w:rsid w:val="00590EDD"/>
    <w:rsid w:val="00591988"/>
    <w:rsid w:val="005920C7"/>
    <w:rsid w:val="005921C8"/>
    <w:rsid w:val="005922A3"/>
    <w:rsid w:val="0059239E"/>
    <w:rsid w:val="005924DB"/>
    <w:rsid w:val="005929E8"/>
    <w:rsid w:val="00592A2E"/>
    <w:rsid w:val="00592E30"/>
    <w:rsid w:val="00593155"/>
    <w:rsid w:val="0059353B"/>
    <w:rsid w:val="005938DB"/>
    <w:rsid w:val="00594027"/>
    <w:rsid w:val="005949FB"/>
    <w:rsid w:val="00594C1A"/>
    <w:rsid w:val="00595106"/>
    <w:rsid w:val="00595692"/>
    <w:rsid w:val="00595B7B"/>
    <w:rsid w:val="00596020"/>
    <w:rsid w:val="0059632F"/>
    <w:rsid w:val="00597799"/>
    <w:rsid w:val="005977F9"/>
    <w:rsid w:val="00597BA8"/>
    <w:rsid w:val="005A01E7"/>
    <w:rsid w:val="005A02C8"/>
    <w:rsid w:val="005A09E5"/>
    <w:rsid w:val="005A1473"/>
    <w:rsid w:val="005A19FF"/>
    <w:rsid w:val="005A1D8D"/>
    <w:rsid w:val="005A2074"/>
    <w:rsid w:val="005A24AE"/>
    <w:rsid w:val="005A329B"/>
    <w:rsid w:val="005A3394"/>
    <w:rsid w:val="005A403A"/>
    <w:rsid w:val="005A43BE"/>
    <w:rsid w:val="005A4624"/>
    <w:rsid w:val="005A4B60"/>
    <w:rsid w:val="005A5011"/>
    <w:rsid w:val="005A508D"/>
    <w:rsid w:val="005A60BA"/>
    <w:rsid w:val="005A761B"/>
    <w:rsid w:val="005B096F"/>
    <w:rsid w:val="005B0987"/>
    <w:rsid w:val="005B0FB5"/>
    <w:rsid w:val="005B1191"/>
    <w:rsid w:val="005B1205"/>
    <w:rsid w:val="005B1512"/>
    <w:rsid w:val="005B1D3B"/>
    <w:rsid w:val="005B2088"/>
    <w:rsid w:val="005B2466"/>
    <w:rsid w:val="005B2BBB"/>
    <w:rsid w:val="005B2BF5"/>
    <w:rsid w:val="005B2FD3"/>
    <w:rsid w:val="005B41B3"/>
    <w:rsid w:val="005B4289"/>
    <w:rsid w:val="005B57DC"/>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2802"/>
    <w:rsid w:val="005C3964"/>
    <w:rsid w:val="005C428A"/>
    <w:rsid w:val="005C4330"/>
    <w:rsid w:val="005C4544"/>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D1F"/>
    <w:rsid w:val="005D1D60"/>
    <w:rsid w:val="005D205D"/>
    <w:rsid w:val="005D2F54"/>
    <w:rsid w:val="005D33D2"/>
    <w:rsid w:val="005D353D"/>
    <w:rsid w:val="005D3FD5"/>
    <w:rsid w:val="005D593D"/>
    <w:rsid w:val="005D5F0A"/>
    <w:rsid w:val="005D63A5"/>
    <w:rsid w:val="005D69A4"/>
    <w:rsid w:val="005D79B5"/>
    <w:rsid w:val="005D7BDA"/>
    <w:rsid w:val="005E0A1F"/>
    <w:rsid w:val="005E0DEA"/>
    <w:rsid w:val="005E1667"/>
    <w:rsid w:val="005E17B3"/>
    <w:rsid w:val="005E1BB5"/>
    <w:rsid w:val="005E1BD6"/>
    <w:rsid w:val="005E20D0"/>
    <w:rsid w:val="005E2177"/>
    <w:rsid w:val="005E2654"/>
    <w:rsid w:val="005E2A79"/>
    <w:rsid w:val="005E2D15"/>
    <w:rsid w:val="005E2EDB"/>
    <w:rsid w:val="005E2FB1"/>
    <w:rsid w:val="005E31F7"/>
    <w:rsid w:val="005E3850"/>
    <w:rsid w:val="005E3EB4"/>
    <w:rsid w:val="005E40C8"/>
    <w:rsid w:val="005E43DF"/>
    <w:rsid w:val="005E48DE"/>
    <w:rsid w:val="005E566F"/>
    <w:rsid w:val="005E64AF"/>
    <w:rsid w:val="005E6BE9"/>
    <w:rsid w:val="005E71A5"/>
    <w:rsid w:val="005E777B"/>
    <w:rsid w:val="005E7FA0"/>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61E9"/>
    <w:rsid w:val="005F764A"/>
    <w:rsid w:val="0060008E"/>
    <w:rsid w:val="006005C1"/>
    <w:rsid w:val="006011A0"/>
    <w:rsid w:val="00602A78"/>
    <w:rsid w:val="00602BCA"/>
    <w:rsid w:val="0060305F"/>
    <w:rsid w:val="006034C7"/>
    <w:rsid w:val="00604617"/>
    <w:rsid w:val="00604730"/>
    <w:rsid w:val="006049CE"/>
    <w:rsid w:val="00604AE3"/>
    <w:rsid w:val="00604C50"/>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1CCD"/>
    <w:rsid w:val="00612465"/>
    <w:rsid w:val="00612D19"/>
    <w:rsid w:val="0061330F"/>
    <w:rsid w:val="00613641"/>
    <w:rsid w:val="00613B4D"/>
    <w:rsid w:val="00614139"/>
    <w:rsid w:val="00614483"/>
    <w:rsid w:val="0061478C"/>
    <w:rsid w:val="0061516E"/>
    <w:rsid w:val="006151BC"/>
    <w:rsid w:val="00615204"/>
    <w:rsid w:val="006154F0"/>
    <w:rsid w:val="00615E77"/>
    <w:rsid w:val="00616128"/>
    <w:rsid w:val="00616221"/>
    <w:rsid w:val="006162A3"/>
    <w:rsid w:val="00616C7D"/>
    <w:rsid w:val="006172C1"/>
    <w:rsid w:val="0061735F"/>
    <w:rsid w:val="006205E1"/>
    <w:rsid w:val="006208EE"/>
    <w:rsid w:val="0062091D"/>
    <w:rsid w:val="00620C44"/>
    <w:rsid w:val="0062100E"/>
    <w:rsid w:val="006211A5"/>
    <w:rsid w:val="006219BC"/>
    <w:rsid w:val="00621DD8"/>
    <w:rsid w:val="00622789"/>
    <w:rsid w:val="006233C1"/>
    <w:rsid w:val="00623DB9"/>
    <w:rsid w:val="00624649"/>
    <w:rsid w:val="006249A7"/>
    <w:rsid w:val="006249D1"/>
    <w:rsid w:val="00624D4F"/>
    <w:rsid w:val="00624F11"/>
    <w:rsid w:val="00625713"/>
    <w:rsid w:val="00625B22"/>
    <w:rsid w:val="00625C53"/>
    <w:rsid w:val="00626415"/>
    <w:rsid w:val="0062768B"/>
    <w:rsid w:val="00627941"/>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AEB"/>
    <w:rsid w:val="006363E4"/>
    <w:rsid w:val="00636EF8"/>
    <w:rsid w:val="00636FEF"/>
    <w:rsid w:val="0063715F"/>
    <w:rsid w:val="0063764D"/>
    <w:rsid w:val="006377DB"/>
    <w:rsid w:val="006405A2"/>
    <w:rsid w:val="00640699"/>
    <w:rsid w:val="0064096C"/>
    <w:rsid w:val="006415EB"/>
    <w:rsid w:val="006417E0"/>
    <w:rsid w:val="006418D2"/>
    <w:rsid w:val="006419D4"/>
    <w:rsid w:val="00641B37"/>
    <w:rsid w:val="00641E1E"/>
    <w:rsid w:val="00642453"/>
    <w:rsid w:val="00642DB5"/>
    <w:rsid w:val="00643B5D"/>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52C"/>
    <w:rsid w:val="00652C8F"/>
    <w:rsid w:val="00653AC4"/>
    <w:rsid w:val="00653C52"/>
    <w:rsid w:val="006540C1"/>
    <w:rsid w:val="00654642"/>
    <w:rsid w:val="00654AF4"/>
    <w:rsid w:val="00654CB8"/>
    <w:rsid w:val="0065561D"/>
    <w:rsid w:val="00655785"/>
    <w:rsid w:val="00655F61"/>
    <w:rsid w:val="006562F3"/>
    <w:rsid w:val="006565D3"/>
    <w:rsid w:val="00656F87"/>
    <w:rsid w:val="00656FC3"/>
    <w:rsid w:val="00657693"/>
    <w:rsid w:val="00657861"/>
    <w:rsid w:val="00657B97"/>
    <w:rsid w:val="00660010"/>
    <w:rsid w:val="00660083"/>
    <w:rsid w:val="00660680"/>
    <w:rsid w:val="00660BFB"/>
    <w:rsid w:val="00660CB2"/>
    <w:rsid w:val="00660E23"/>
    <w:rsid w:val="00660F74"/>
    <w:rsid w:val="00662A70"/>
    <w:rsid w:val="00662AF9"/>
    <w:rsid w:val="00662C14"/>
    <w:rsid w:val="00662C97"/>
    <w:rsid w:val="00662CBB"/>
    <w:rsid w:val="00662F3E"/>
    <w:rsid w:val="00663065"/>
    <w:rsid w:val="0066398B"/>
    <w:rsid w:val="00663F53"/>
    <w:rsid w:val="0066486A"/>
    <w:rsid w:val="0066527F"/>
    <w:rsid w:val="0066591D"/>
    <w:rsid w:val="00666754"/>
    <w:rsid w:val="00666AEA"/>
    <w:rsid w:val="0066700F"/>
    <w:rsid w:val="00667FB2"/>
    <w:rsid w:val="00670D2E"/>
    <w:rsid w:val="0067269F"/>
    <w:rsid w:val="006726CB"/>
    <w:rsid w:val="0067272F"/>
    <w:rsid w:val="00673BA4"/>
    <w:rsid w:val="00674C5D"/>
    <w:rsid w:val="00674ED8"/>
    <w:rsid w:val="00675793"/>
    <w:rsid w:val="00675C5E"/>
    <w:rsid w:val="00676F0B"/>
    <w:rsid w:val="006773D1"/>
    <w:rsid w:val="006801BB"/>
    <w:rsid w:val="006802E3"/>
    <w:rsid w:val="00680CC6"/>
    <w:rsid w:val="00681010"/>
    <w:rsid w:val="0068241B"/>
    <w:rsid w:val="00683889"/>
    <w:rsid w:val="006842A2"/>
    <w:rsid w:val="006846DB"/>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ACB"/>
    <w:rsid w:val="00692C4E"/>
    <w:rsid w:val="006936DB"/>
    <w:rsid w:val="00693801"/>
    <w:rsid w:val="00693C26"/>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0E"/>
    <w:rsid w:val="006A0ECA"/>
    <w:rsid w:val="006A11F4"/>
    <w:rsid w:val="006A14A8"/>
    <w:rsid w:val="006A182D"/>
    <w:rsid w:val="006A1ADF"/>
    <w:rsid w:val="006A23AC"/>
    <w:rsid w:val="006A2835"/>
    <w:rsid w:val="006A3A19"/>
    <w:rsid w:val="006A3AC9"/>
    <w:rsid w:val="006A3B9E"/>
    <w:rsid w:val="006A3D6D"/>
    <w:rsid w:val="006A3D73"/>
    <w:rsid w:val="006A43EA"/>
    <w:rsid w:val="006A44E0"/>
    <w:rsid w:val="006A471A"/>
    <w:rsid w:val="006A5290"/>
    <w:rsid w:val="006A777A"/>
    <w:rsid w:val="006A7AE9"/>
    <w:rsid w:val="006A7C9D"/>
    <w:rsid w:val="006B0264"/>
    <w:rsid w:val="006B1E59"/>
    <w:rsid w:val="006B2995"/>
    <w:rsid w:val="006B2F13"/>
    <w:rsid w:val="006B3EFD"/>
    <w:rsid w:val="006B40C8"/>
    <w:rsid w:val="006B472A"/>
    <w:rsid w:val="006B549F"/>
    <w:rsid w:val="006B65CB"/>
    <w:rsid w:val="006B765D"/>
    <w:rsid w:val="006C0867"/>
    <w:rsid w:val="006C12F3"/>
    <w:rsid w:val="006C1D4C"/>
    <w:rsid w:val="006C215A"/>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2290"/>
    <w:rsid w:val="006E2C6D"/>
    <w:rsid w:val="006E33D2"/>
    <w:rsid w:val="006E374B"/>
    <w:rsid w:val="006E3B50"/>
    <w:rsid w:val="006E44D3"/>
    <w:rsid w:val="006E4705"/>
    <w:rsid w:val="006E470D"/>
    <w:rsid w:val="006E49DF"/>
    <w:rsid w:val="006E4E81"/>
    <w:rsid w:val="006E58CF"/>
    <w:rsid w:val="006E6241"/>
    <w:rsid w:val="006E645F"/>
    <w:rsid w:val="006E6F3D"/>
    <w:rsid w:val="006F0B4A"/>
    <w:rsid w:val="006F117D"/>
    <w:rsid w:val="006F1195"/>
    <w:rsid w:val="006F13F3"/>
    <w:rsid w:val="006F1DBD"/>
    <w:rsid w:val="006F1E00"/>
    <w:rsid w:val="006F28C3"/>
    <w:rsid w:val="006F301F"/>
    <w:rsid w:val="006F4EDA"/>
    <w:rsid w:val="006F5847"/>
    <w:rsid w:val="006F5B1A"/>
    <w:rsid w:val="006F5F76"/>
    <w:rsid w:val="006F6790"/>
    <w:rsid w:val="00700821"/>
    <w:rsid w:val="00700E98"/>
    <w:rsid w:val="007010A7"/>
    <w:rsid w:val="007011D1"/>
    <w:rsid w:val="007011D8"/>
    <w:rsid w:val="00702723"/>
    <w:rsid w:val="0070303A"/>
    <w:rsid w:val="0070328F"/>
    <w:rsid w:val="00704346"/>
    <w:rsid w:val="00704464"/>
    <w:rsid w:val="00704527"/>
    <w:rsid w:val="0070522E"/>
    <w:rsid w:val="00705BD7"/>
    <w:rsid w:val="007061EC"/>
    <w:rsid w:val="00706461"/>
    <w:rsid w:val="007068C5"/>
    <w:rsid w:val="00706995"/>
    <w:rsid w:val="00706C3A"/>
    <w:rsid w:val="00706E1E"/>
    <w:rsid w:val="007071D4"/>
    <w:rsid w:val="0070731B"/>
    <w:rsid w:val="00707C37"/>
    <w:rsid w:val="00710164"/>
    <w:rsid w:val="00710167"/>
    <w:rsid w:val="0071022D"/>
    <w:rsid w:val="00710595"/>
    <w:rsid w:val="00710870"/>
    <w:rsid w:val="007110B3"/>
    <w:rsid w:val="00712020"/>
    <w:rsid w:val="00712026"/>
    <w:rsid w:val="007121C0"/>
    <w:rsid w:val="00712638"/>
    <w:rsid w:val="0071276A"/>
    <w:rsid w:val="00712B22"/>
    <w:rsid w:val="00712D93"/>
    <w:rsid w:val="00713806"/>
    <w:rsid w:val="007139BF"/>
    <w:rsid w:val="00713C11"/>
    <w:rsid w:val="00714A38"/>
    <w:rsid w:val="00714B10"/>
    <w:rsid w:val="00714B64"/>
    <w:rsid w:val="00714BA7"/>
    <w:rsid w:val="00714F03"/>
    <w:rsid w:val="00715383"/>
    <w:rsid w:val="00715C06"/>
    <w:rsid w:val="00716D4E"/>
    <w:rsid w:val="0071717E"/>
    <w:rsid w:val="00720A2C"/>
    <w:rsid w:val="00720B85"/>
    <w:rsid w:val="00720C22"/>
    <w:rsid w:val="00720C6E"/>
    <w:rsid w:val="00720E58"/>
    <w:rsid w:val="00720E79"/>
    <w:rsid w:val="00721335"/>
    <w:rsid w:val="0072206C"/>
    <w:rsid w:val="007223DC"/>
    <w:rsid w:val="0072242A"/>
    <w:rsid w:val="00722BE6"/>
    <w:rsid w:val="00722CD9"/>
    <w:rsid w:val="00722E26"/>
    <w:rsid w:val="00722EF9"/>
    <w:rsid w:val="007232F1"/>
    <w:rsid w:val="00723F60"/>
    <w:rsid w:val="0072454A"/>
    <w:rsid w:val="007245B1"/>
    <w:rsid w:val="00724952"/>
    <w:rsid w:val="00724CD4"/>
    <w:rsid w:val="00725D1A"/>
    <w:rsid w:val="00725DF3"/>
    <w:rsid w:val="00726B7D"/>
    <w:rsid w:val="00726EC0"/>
    <w:rsid w:val="00727285"/>
    <w:rsid w:val="00727380"/>
    <w:rsid w:val="00727D91"/>
    <w:rsid w:val="00727E44"/>
    <w:rsid w:val="00730152"/>
    <w:rsid w:val="007301B7"/>
    <w:rsid w:val="0073071A"/>
    <w:rsid w:val="00730DD2"/>
    <w:rsid w:val="007310E4"/>
    <w:rsid w:val="00731129"/>
    <w:rsid w:val="00731791"/>
    <w:rsid w:val="00731884"/>
    <w:rsid w:val="00732732"/>
    <w:rsid w:val="00732AF5"/>
    <w:rsid w:val="0073397C"/>
    <w:rsid w:val="00734051"/>
    <w:rsid w:val="00734519"/>
    <w:rsid w:val="0073458B"/>
    <w:rsid w:val="00734B84"/>
    <w:rsid w:val="00735EBF"/>
    <w:rsid w:val="007365ED"/>
    <w:rsid w:val="00736927"/>
    <w:rsid w:val="00737A4B"/>
    <w:rsid w:val="00740008"/>
    <w:rsid w:val="00741355"/>
    <w:rsid w:val="00741C56"/>
    <w:rsid w:val="00741C83"/>
    <w:rsid w:val="00741E9A"/>
    <w:rsid w:val="0074283C"/>
    <w:rsid w:val="00742891"/>
    <w:rsid w:val="00742C3D"/>
    <w:rsid w:val="00742DAD"/>
    <w:rsid w:val="00743455"/>
    <w:rsid w:val="007435B8"/>
    <w:rsid w:val="007444AE"/>
    <w:rsid w:val="007444FF"/>
    <w:rsid w:val="007447C6"/>
    <w:rsid w:val="007449FE"/>
    <w:rsid w:val="00744CEC"/>
    <w:rsid w:val="00745A05"/>
    <w:rsid w:val="00745F8E"/>
    <w:rsid w:val="00746564"/>
    <w:rsid w:val="00746721"/>
    <w:rsid w:val="00747741"/>
    <w:rsid w:val="00747ACE"/>
    <w:rsid w:val="007505F4"/>
    <w:rsid w:val="00750979"/>
    <w:rsid w:val="00751313"/>
    <w:rsid w:val="007514AA"/>
    <w:rsid w:val="00751760"/>
    <w:rsid w:val="007518C9"/>
    <w:rsid w:val="0075218A"/>
    <w:rsid w:val="00752238"/>
    <w:rsid w:val="00752DE0"/>
    <w:rsid w:val="00752E14"/>
    <w:rsid w:val="00753DA5"/>
    <w:rsid w:val="00754E53"/>
    <w:rsid w:val="0075502B"/>
    <w:rsid w:val="007553C5"/>
    <w:rsid w:val="00755633"/>
    <w:rsid w:val="007559CB"/>
    <w:rsid w:val="00755B6F"/>
    <w:rsid w:val="007568DD"/>
    <w:rsid w:val="00756A17"/>
    <w:rsid w:val="00756B41"/>
    <w:rsid w:val="007576EC"/>
    <w:rsid w:val="00757957"/>
    <w:rsid w:val="00760978"/>
    <w:rsid w:val="00760D42"/>
    <w:rsid w:val="007623B0"/>
    <w:rsid w:val="00762A7D"/>
    <w:rsid w:val="00762F6E"/>
    <w:rsid w:val="00763B9E"/>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9C2"/>
    <w:rsid w:val="00772A29"/>
    <w:rsid w:val="00773B3E"/>
    <w:rsid w:val="00773E65"/>
    <w:rsid w:val="007741B0"/>
    <w:rsid w:val="007745D3"/>
    <w:rsid w:val="007746DC"/>
    <w:rsid w:val="0077558B"/>
    <w:rsid w:val="007756E4"/>
    <w:rsid w:val="00776874"/>
    <w:rsid w:val="00776F97"/>
    <w:rsid w:val="0077726C"/>
    <w:rsid w:val="00777AAB"/>
    <w:rsid w:val="00780FF9"/>
    <w:rsid w:val="0078285C"/>
    <w:rsid w:val="00782B30"/>
    <w:rsid w:val="00782FA6"/>
    <w:rsid w:val="00783A36"/>
    <w:rsid w:val="007845D4"/>
    <w:rsid w:val="00784DF0"/>
    <w:rsid w:val="00785A38"/>
    <w:rsid w:val="00785C2A"/>
    <w:rsid w:val="0078668F"/>
    <w:rsid w:val="0078700E"/>
    <w:rsid w:val="00787339"/>
    <w:rsid w:val="0078755B"/>
    <w:rsid w:val="00787B59"/>
    <w:rsid w:val="00787EB2"/>
    <w:rsid w:val="007900A9"/>
    <w:rsid w:val="00790DC4"/>
    <w:rsid w:val="007910C3"/>
    <w:rsid w:val="00791110"/>
    <w:rsid w:val="00791250"/>
    <w:rsid w:val="0079150D"/>
    <w:rsid w:val="00791DE1"/>
    <w:rsid w:val="00793181"/>
    <w:rsid w:val="007936BD"/>
    <w:rsid w:val="007936C1"/>
    <w:rsid w:val="00793D45"/>
    <w:rsid w:val="00795E20"/>
    <w:rsid w:val="00796787"/>
    <w:rsid w:val="007975BD"/>
    <w:rsid w:val="007978C7"/>
    <w:rsid w:val="00797B7E"/>
    <w:rsid w:val="007A05A2"/>
    <w:rsid w:val="007A10D6"/>
    <w:rsid w:val="007A12EE"/>
    <w:rsid w:val="007A138C"/>
    <w:rsid w:val="007A1834"/>
    <w:rsid w:val="007A1856"/>
    <w:rsid w:val="007A1C3A"/>
    <w:rsid w:val="007A1E52"/>
    <w:rsid w:val="007A2A4D"/>
    <w:rsid w:val="007A31B2"/>
    <w:rsid w:val="007A3629"/>
    <w:rsid w:val="007A385C"/>
    <w:rsid w:val="007A38F5"/>
    <w:rsid w:val="007A3D24"/>
    <w:rsid w:val="007A4755"/>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4B1"/>
    <w:rsid w:val="007C0508"/>
    <w:rsid w:val="007C057E"/>
    <w:rsid w:val="007C1541"/>
    <w:rsid w:val="007C19DF"/>
    <w:rsid w:val="007C1D76"/>
    <w:rsid w:val="007C25F8"/>
    <w:rsid w:val="007C3205"/>
    <w:rsid w:val="007C377E"/>
    <w:rsid w:val="007C44DC"/>
    <w:rsid w:val="007C4545"/>
    <w:rsid w:val="007C45F7"/>
    <w:rsid w:val="007C46D1"/>
    <w:rsid w:val="007C47C2"/>
    <w:rsid w:val="007C4822"/>
    <w:rsid w:val="007C4DEF"/>
    <w:rsid w:val="007C5091"/>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388"/>
    <w:rsid w:val="007D25B9"/>
    <w:rsid w:val="007D2BE8"/>
    <w:rsid w:val="007D3066"/>
    <w:rsid w:val="007D421B"/>
    <w:rsid w:val="007D4490"/>
    <w:rsid w:val="007D4579"/>
    <w:rsid w:val="007D48A9"/>
    <w:rsid w:val="007D4E28"/>
    <w:rsid w:val="007D50B3"/>
    <w:rsid w:val="007D51EB"/>
    <w:rsid w:val="007D58BB"/>
    <w:rsid w:val="007D5B4A"/>
    <w:rsid w:val="007D6835"/>
    <w:rsid w:val="007D6A93"/>
    <w:rsid w:val="007D7CDE"/>
    <w:rsid w:val="007D7DC7"/>
    <w:rsid w:val="007E01AF"/>
    <w:rsid w:val="007E0772"/>
    <w:rsid w:val="007E0D31"/>
    <w:rsid w:val="007E0E04"/>
    <w:rsid w:val="007E0EF9"/>
    <w:rsid w:val="007E21D9"/>
    <w:rsid w:val="007E287E"/>
    <w:rsid w:val="007E2BDD"/>
    <w:rsid w:val="007E45CA"/>
    <w:rsid w:val="007E48C0"/>
    <w:rsid w:val="007E5885"/>
    <w:rsid w:val="007E61B7"/>
    <w:rsid w:val="007E64FF"/>
    <w:rsid w:val="007E6F62"/>
    <w:rsid w:val="007E6FEA"/>
    <w:rsid w:val="007E7C7B"/>
    <w:rsid w:val="007E7DA1"/>
    <w:rsid w:val="007E7E0F"/>
    <w:rsid w:val="007E7F8F"/>
    <w:rsid w:val="007F015E"/>
    <w:rsid w:val="007F1160"/>
    <w:rsid w:val="007F194F"/>
    <w:rsid w:val="007F1D9B"/>
    <w:rsid w:val="007F21B0"/>
    <w:rsid w:val="007F26BE"/>
    <w:rsid w:val="007F2DE9"/>
    <w:rsid w:val="007F341B"/>
    <w:rsid w:val="007F3682"/>
    <w:rsid w:val="007F3AA2"/>
    <w:rsid w:val="007F3B45"/>
    <w:rsid w:val="007F3E3E"/>
    <w:rsid w:val="007F4A9E"/>
    <w:rsid w:val="007F4ABC"/>
    <w:rsid w:val="007F4D45"/>
    <w:rsid w:val="007F510F"/>
    <w:rsid w:val="007F545B"/>
    <w:rsid w:val="007F5687"/>
    <w:rsid w:val="007F59B2"/>
    <w:rsid w:val="007F61E3"/>
    <w:rsid w:val="007F6313"/>
    <w:rsid w:val="007F63DB"/>
    <w:rsid w:val="007F6607"/>
    <w:rsid w:val="007F7865"/>
    <w:rsid w:val="007F7A18"/>
    <w:rsid w:val="007F7CBF"/>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483"/>
    <w:rsid w:val="0080585D"/>
    <w:rsid w:val="00805A91"/>
    <w:rsid w:val="008060B8"/>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5339"/>
    <w:rsid w:val="008154F1"/>
    <w:rsid w:val="0081591F"/>
    <w:rsid w:val="00815A7E"/>
    <w:rsid w:val="00815A99"/>
    <w:rsid w:val="00815E5B"/>
    <w:rsid w:val="008160D1"/>
    <w:rsid w:val="008162B3"/>
    <w:rsid w:val="0081640D"/>
    <w:rsid w:val="0081687A"/>
    <w:rsid w:val="008169A1"/>
    <w:rsid w:val="00816B62"/>
    <w:rsid w:val="00816D37"/>
    <w:rsid w:val="00820160"/>
    <w:rsid w:val="0082022B"/>
    <w:rsid w:val="008205A2"/>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181"/>
    <w:rsid w:val="008262BC"/>
    <w:rsid w:val="008266A2"/>
    <w:rsid w:val="008267AE"/>
    <w:rsid w:val="00826970"/>
    <w:rsid w:val="008304AD"/>
    <w:rsid w:val="00830B33"/>
    <w:rsid w:val="0083118A"/>
    <w:rsid w:val="00831784"/>
    <w:rsid w:val="00831CBC"/>
    <w:rsid w:val="00832727"/>
    <w:rsid w:val="00833563"/>
    <w:rsid w:val="008337C1"/>
    <w:rsid w:val="00833C32"/>
    <w:rsid w:val="00834F23"/>
    <w:rsid w:val="00835092"/>
    <w:rsid w:val="008353B6"/>
    <w:rsid w:val="00836A67"/>
    <w:rsid w:val="00836CEB"/>
    <w:rsid w:val="00840EAF"/>
    <w:rsid w:val="008416BF"/>
    <w:rsid w:val="008416FD"/>
    <w:rsid w:val="0084188F"/>
    <w:rsid w:val="00841EF2"/>
    <w:rsid w:val="00842659"/>
    <w:rsid w:val="0084293A"/>
    <w:rsid w:val="0084354C"/>
    <w:rsid w:val="0084375D"/>
    <w:rsid w:val="00843F90"/>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F78"/>
    <w:rsid w:val="008558ED"/>
    <w:rsid w:val="008558FF"/>
    <w:rsid w:val="00855CFC"/>
    <w:rsid w:val="00855FD5"/>
    <w:rsid w:val="00856049"/>
    <w:rsid w:val="0085632A"/>
    <w:rsid w:val="008568BB"/>
    <w:rsid w:val="00856E96"/>
    <w:rsid w:val="00857822"/>
    <w:rsid w:val="00857C93"/>
    <w:rsid w:val="00860BEF"/>
    <w:rsid w:val="00860D51"/>
    <w:rsid w:val="008611C1"/>
    <w:rsid w:val="0086151A"/>
    <w:rsid w:val="0086173C"/>
    <w:rsid w:val="00861DA4"/>
    <w:rsid w:val="00862248"/>
    <w:rsid w:val="00862330"/>
    <w:rsid w:val="0086245E"/>
    <w:rsid w:val="0086264B"/>
    <w:rsid w:val="008626E9"/>
    <w:rsid w:val="008626EB"/>
    <w:rsid w:val="00862EFD"/>
    <w:rsid w:val="0086323F"/>
    <w:rsid w:val="00863252"/>
    <w:rsid w:val="008638FB"/>
    <w:rsid w:val="0086444C"/>
    <w:rsid w:val="008644B1"/>
    <w:rsid w:val="00864768"/>
    <w:rsid w:val="008658AB"/>
    <w:rsid w:val="00865B18"/>
    <w:rsid w:val="0086672E"/>
    <w:rsid w:val="0086697E"/>
    <w:rsid w:val="00866CF2"/>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6989"/>
    <w:rsid w:val="008772D9"/>
    <w:rsid w:val="00877B29"/>
    <w:rsid w:val="00880143"/>
    <w:rsid w:val="008808B9"/>
    <w:rsid w:val="00880B30"/>
    <w:rsid w:val="00880F1D"/>
    <w:rsid w:val="0088172A"/>
    <w:rsid w:val="00881784"/>
    <w:rsid w:val="00881F90"/>
    <w:rsid w:val="00882EC7"/>
    <w:rsid w:val="0088350D"/>
    <w:rsid w:val="00883DAB"/>
    <w:rsid w:val="008851C4"/>
    <w:rsid w:val="00885258"/>
    <w:rsid w:val="00885513"/>
    <w:rsid w:val="00885696"/>
    <w:rsid w:val="0088570A"/>
    <w:rsid w:val="00885E9D"/>
    <w:rsid w:val="0088636E"/>
    <w:rsid w:val="008864A7"/>
    <w:rsid w:val="0088666A"/>
    <w:rsid w:val="0088688A"/>
    <w:rsid w:val="00886A9E"/>
    <w:rsid w:val="00886DC9"/>
    <w:rsid w:val="00886EC7"/>
    <w:rsid w:val="00887184"/>
    <w:rsid w:val="008875B1"/>
    <w:rsid w:val="008879EA"/>
    <w:rsid w:val="00890139"/>
    <w:rsid w:val="0089160E"/>
    <w:rsid w:val="00891D15"/>
    <w:rsid w:val="008921B1"/>
    <w:rsid w:val="00892687"/>
    <w:rsid w:val="00893386"/>
    <w:rsid w:val="0089363C"/>
    <w:rsid w:val="00893657"/>
    <w:rsid w:val="00893671"/>
    <w:rsid w:val="00893D79"/>
    <w:rsid w:val="008940DF"/>
    <w:rsid w:val="008941FB"/>
    <w:rsid w:val="00894565"/>
    <w:rsid w:val="008950D6"/>
    <w:rsid w:val="00895B46"/>
    <w:rsid w:val="00896474"/>
    <w:rsid w:val="00896DBC"/>
    <w:rsid w:val="0089778E"/>
    <w:rsid w:val="00897B59"/>
    <w:rsid w:val="00897C6C"/>
    <w:rsid w:val="00897D1A"/>
    <w:rsid w:val="008A0905"/>
    <w:rsid w:val="008A0B02"/>
    <w:rsid w:val="008A0E0D"/>
    <w:rsid w:val="008A10E7"/>
    <w:rsid w:val="008A154A"/>
    <w:rsid w:val="008A155C"/>
    <w:rsid w:val="008A180E"/>
    <w:rsid w:val="008A197C"/>
    <w:rsid w:val="008A2545"/>
    <w:rsid w:val="008A2636"/>
    <w:rsid w:val="008A35DB"/>
    <w:rsid w:val="008A3AF9"/>
    <w:rsid w:val="008A3FBE"/>
    <w:rsid w:val="008A4013"/>
    <w:rsid w:val="008A42FA"/>
    <w:rsid w:val="008A4C9C"/>
    <w:rsid w:val="008A6041"/>
    <w:rsid w:val="008A60F8"/>
    <w:rsid w:val="008A66A8"/>
    <w:rsid w:val="008A69FE"/>
    <w:rsid w:val="008A6EC7"/>
    <w:rsid w:val="008A6F36"/>
    <w:rsid w:val="008A7286"/>
    <w:rsid w:val="008A7B50"/>
    <w:rsid w:val="008B0641"/>
    <w:rsid w:val="008B0EB7"/>
    <w:rsid w:val="008B138E"/>
    <w:rsid w:val="008B168B"/>
    <w:rsid w:val="008B1C78"/>
    <w:rsid w:val="008B1F87"/>
    <w:rsid w:val="008B28BD"/>
    <w:rsid w:val="008B2E96"/>
    <w:rsid w:val="008B2F53"/>
    <w:rsid w:val="008B3006"/>
    <w:rsid w:val="008B3139"/>
    <w:rsid w:val="008B3B50"/>
    <w:rsid w:val="008B3D47"/>
    <w:rsid w:val="008B423B"/>
    <w:rsid w:val="008B44CB"/>
    <w:rsid w:val="008B46D2"/>
    <w:rsid w:val="008B5253"/>
    <w:rsid w:val="008B53D8"/>
    <w:rsid w:val="008B63BE"/>
    <w:rsid w:val="008B640E"/>
    <w:rsid w:val="008B6505"/>
    <w:rsid w:val="008B688D"/>
    <w:rsid w:val="008B70EE"/>
    <w:rsid w:val="008B715C"/>
    <w:rsid w:val="008B75B8"/>
    <w:rsid w:val="008C0EAD"/>
    <w:rsid w:val="008C1442"/>
    <w:rsid w:val="008C1693"/>
    <w:rsid w:val="008C19D9"/>
    <w:rsid w:val="008C1A5E"/>
    <w:rsid w:val="008C1A81"/>
    <w:rsid w:val="008C29FE"/>
    <w:rsid w:val="008C32CA"/>
    <w:rsid w:val="008C3967"/>
    <w:rsid w:val="008C431E"/>
    <w:rsid w:val="008C54BD"/>
    <w:rsid w:val="008C54C4"/>
    <w:rsid w:val="008C6056"/>
    <w:rsid w:val="008C60C4"/>
    <w:rsid w:val="008C6628"/>
    <w:rsid w:val="008C69C9"/>
    <w:rsid w:val="008C6E38"/>
    <w:rsid w:val="008C6F75"/>
    <w:rsid w:val="008C790B"/>
    <w:rsid w:val="008C7C18"/>
    <w:rsid w:val="008C7CC4"/>
    <w:rsid w:val="008D047D"/>
    <w:rsid w:val="008D0B4C"/>
    <w:rsid w:val="008D14C4"/>
    <w:rsid w:val="008D1800"/>
    <w:rsid w:val="008D1964"/>
    <w:rsid w:val="008D221A"/>
    <w:rsid w:val="008D24D6"/>
    <w:rsid w:val="008D24E1"/>
    <w:rsid w:val="008D3E6A"/>
    <w:rsid w:val="008D53E2"/>
    <w:rsid w:val="008D5908"/>
    <w:rsid w:val="008D5AF1"/>
    <w:rsid w:val="008D626C"/>
    <w:rsid w:val="008D6A6E"/>
    <w:rsid w:val="008D781F"/>
    <w:rsid w:val="008D7DBE"/>
    <w:rsid w:val="008E02B7"/>
    <w:rsid w:val="008E20BE"/>
    <w:rsid w:val="008E241B"/>
    <w:rsid w:val="008E3096"/>
    <w:rsid w:val="008E330C"/>
    <w:rsid w:val="008E332F"/>
    <w:rsid w:val="008E3BB5"/>
    <w:rsid w:val="008E4114"/>
    <w:rsid w:val="008E45EA"/>
    <w:rsid w:val="008E4A1A"/>
    <w:rsid w:val="008E5E01"/>
    <w:rsid w:val="008E69A3"/>
    <w:rsid w:val="008E7562"/>
    <w:rsid w:val="008E7CC9"/>
    <w:rsid w:val="008F02A1"/>
    <w:rsid w:val="008F0624"/>
    <w:rsid w:val="008F0E69"/>
    <w:rsid w:val="008F0F3B"/>
    <w:rsid w:val="008F12FF"/>
    <w:rsid w:val="008F2672"/>
    <w:rsid w:val="008F3D3E"/>
    <w:rsid w:val="008F3F31"/>
    <w:rsid w:val="008F4655"/>
    <w:rsid w:val="008F4779"/>
    <w:rsid w:val="008F542B"/>
    <w:rsid w:val="008F5670"/>
    <w:rsid w:val="008F599F"/>
    <w:rsid w:val="008F63DF"/>
    <w:rsid w:val="008F6428"/>
    <w:rsid w:val="008F64E5"/>
    <w:rsid w:val="008F677E"/>
    <w:rsid w:val="008F7C28"/>
    <w:rsid w:val="0090034D"/>
    <w:rsid w:val="00900EC7"/>
    <w:rsid w:val="00900FFC"/>
    <w:rsid w:val="009011F9"/>
    <w:rsid w:val="00901244"/>
    <w:rsid w:val="00901979"/>
    <w:rsid w:val="00901C3E"/>
    <w:rsid w:val="00902357"/>
    <w:rsid w:val="0090242A"/>
    <w:rsid w:val="00902C85"/>
    <w:rsid w:val="00902DB3"/>
    <w:rsid w:val="009030F7"/>
    <w:rsid w:val="0090345A"/>
    <w:rsid w:val="009034D9"/>
    <w:rsid w:val="00903691"/>
    <w:rsid w:val="009046C9"/>
    <w:rsid w:val="009046F1"/>
    <w:rsid w:val="00904717"/>
    <w:rsid w:val="00904883"/>
    <w:rsid w:val="00904B0A"/>
    <w:rsid w:val="00904F84"/>
    <w:rsid w:val="009055DD"/>
    <w:rsid w:val="0090616A"/>
    <w:rsid w:val="00906527"/>
    <w:rsid w:val="00906BD9"/>
    <w:rsid w:val="00906EA0"/>
    <w:rsid w:val="0090737D"/>
    <w:rsid w:val="00907F4C"/>
    <w:rsid w:val="0091006A"/>
    <w:rsid w:val="00910B57"/>
    <w:rsid w:val="0091148A"/>
    <w:rsid w:val="00911FD7"/>
    <w:rsid w:val="00912347"/>
    <w:rsid w:val="0091268D"/>
    <w:rsid w:val="009129C1"/>
    <w:rsid w:val="00913B74"/>
    <w:rsid w:val="00913EBB"/>
    <w:rsid w:val="009141BB"/>
    <w:rsid w:val="00914B55"/>
    <w:rsid w:val="00914DC4"/>
    <w:rsid w:val="00915329"/>
    <w:rsid w:val="0091588C"/>
    <w:rsid w:val="00915DB5"/>
    <w:rsid w:val="00915DF4"/>
    <w:rsid w:val="00916068"/>
    <w:rsid w:val="00916BF5"/>
    <w:rsid w:val="00916CCB"/>
    <w:rsid w:val="00917DB8"/>
    <w:rsid w:val="00920EC8"/>
    <w:rsid w:val="00921102"/>
    <w:rsid w:val="00921305"/>
    <w:rsid w:val="00921783"/>
    <w:rsid w:val="009217D9"/>
    <w:rsid w:val="00921AC8"/>
    <w:rsid w:val="0092206F"/>
    <w:rsid w:val="00922482"/>
    <w:rsid w:val="00922A2B"/>
    <w:rsid w:val="00924A6C"/>
    <w:rsid w:val="00924ED4"/>
    <w:rsid w:val="00924F63"/>
    <w:rsid w:val="0092668D"/>
    <w:rsid w:val="009271AB"/>
    <w:rsid w:val="00927281"/>
    <w:rsid w:val="009273B8"/>
    <w:rsid w:val="00927A20"/>
    <w:rsid w:val="00930298"/>
    <w:rsid w:val="009302A6"/>
    <w:rsid w:val="00931325"/>
    <w:rsid w:val="009319DC"/>
    <w:rsid w:val="00931AAD"/>
    <w:rsid w:val="00931E6D"/>
    <w:rsid w:val="00932120"/>
    <w:rsid w:val="00932D04"/>
    <w:rsid w:val="00932E9E"/>
    <w:rsid w:val="00933B8A"/>
    <w:rsid w:val="00934141"/>
    <w:rsid w:val="009341AA"/>
    <w:rsid w:val="0093429A"/>
    <w:rsid w:val="009352D3"/>
    <w:rsid w:val="00935393"/>
    <w:rsid w:val="009355BB"/>
    <w:rsid w:val="00935789"/>
    <w:rsid w:val="009359C5"/>
    <w:rsid w:val="00935CFA"/>
    <w:rsid w:val="009361E8"/>
    <w:rsid w:val="00936247"/>
    <w:rsid w:val="00936501"/>
    <w:rsid w:val="009366AD"/>
    <w:rsid w:val="009377A1"/>
    <w:rsid w:val="00940850"/>
    <w:rsid w:val="00940B1D"/>
    <w:rsid w:val="0094243B"/>
    <w:rsid w:val="009425EB"/>
    <w:rsid w:val="00942810"/>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479BF"/>
    <w:rsid w:val="00950B18"/>
    <w:rsid w:val="00950C55"/>
    <w:rsid w:val="00950CB3"/>
    <w:rsid w:val="00950FFA"/>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15D7"/>
    <w:rsid w:val="00962D17"/>
    <w:rsid w:val="0096387B"/>
    <w:rsid w:val="00963D17"/>
    <w:rsid w:val="00963D45"/>
    <w:rsid w:val="009640B5"/>
    <w:rsid w:val="00964459"/>
    <w:rsid w:val="009657D5"/>
    <w:rsid w:val="00965F9F"/>
    <w:rsid w:val="00966141"/>
    <w:rsid w:val="009662EC"/>
    <w:rsid w:val="00966611"/>
    <w:rsid w:val="0096682A"/>
    <w:rsid w:val="009669CC"/>
    <w:rsid w:val="0096738E"/>
    <w:rsid w:val="00967655"/>
    <w:rsid w:val="00970F12"/>
    <w:rsid w:val="009710BF"/>
    <w:rsid w:val="00971874"/>
    <w:rsid w:val="00971F83"/>
    <w:rsid w:val="00972061"/>
    <w:rsid w:val="0097245C"/>
    <w:rsid w:val="0097252A"/>
    <w:rsid w:val="009725FE"/>
    <w:rsid w:val="0097282B"/>
    <w:rsid w:val="00972DAC"/>
    <w:rsid w:val="00973A35"/>
    <w:rsid w:val="00974218"/>
    <w:rsid w:val="00974A1E"/>
    <w:rsid w:val="0097559A"/>
    <w:rsid w:val="00975D48"/>
    <w:rsid w:val="00975EE7"/>
    <w:rsid w:val="00976546"/>
    <w:rsid w:val="00976A40"/>
    <w:rsid w:val="00976BD6"/>
    <w:rsid w:val="00976FCF"/>
    <w:rsid w:val="009809EA"/>
    <w:rsid w:val="00980BAC"/>
    <w:rsid w:val="00980DF0"/>
    <w:rsid w:val="00980F3F"/>
    <w:rsid w:val="0098117A"/>
    <w:rsid w:val="00981D1C"/>
    <w:rsid w:val="00982214"/>
    <w:rsid w:val="009823D4"/>
    <w:rsid w:val="00982474"/>
    <w:rsid w:val="00983285"/>
    <w:rsid w:val="00984672"/>
    <w:rsid w:val="00984F97"/>
    <w:rsid w:val="0098569D"/>
    <w:rsid w:val="00985A09"/>
    <w:rsid w:val="00986277"/>
    <w:rsid w:val="009864BB"/>
    <w:rsid w:val="009866A3"/>
    <w:rsid w:val="0098693D"/>
    <w:rsid w:val="00986A39"/>
    <w:rsid w:val="00990343"/>
    <w:rsid w:val="009905E1"/>
    <w:rsid w:val="0099064C"/>
    <w:rsid w:val="009906EC"/>
    <w:rsid w:val="0099078A"/>
    <w:rsid w:val="0099097F"/>
    <w:rsid w:val="00992097"/>
    <w:rsid w:val="00992158"/>
    <w:rsid w:val="00992869"/>
    <w:rsid w:val="00992914"/>
    <w:rsid w:val="00992C47"/>
    <w:rsid w:val="00993776"/>
    <w:rsid w:val="00993832"/>
    <w:rsid w:val="00993F15"/>
    <w:rsid w:val="009944B9"/>
    <w:rsid w:val="009947D5"/>
    <w:rsid w:val="00994B69"/>
    <w:rsid w:val="00994D20"/>
    <w:rsid w:val="00994E90"/>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2C1E"/>
    <w:rsid w:val="009A3101"/>
    <w:rsid w:val="009A3307"/>
    <w:rsid w:val="009A3520"/>
    <w:rsid w:val="009A3547"/>
    <w:rsid w:val="009A39FF"/>
    <w:rsid w:val="009A3CB5"/>
    <w:rsid w:val="009A3EAF"/>
    <w:rsid w:val="009A3F33"/>
    <w:rsid w:val="009A5501"/>
    <w:rsid w:val="009A5AE0"/>
    <w:rsid w:val="009A63DE"/>
    <w:rsid w:val="009A6621"/>
    <w:rsid w:val="009A6AEA"/>
    <w:rsid w:val="009A6C33"/>
    <w:rsid w:val="009A6CC5"/>
    <w:rsid w:val="009B1F3A"/>
    <w:rsid w:val="009B2766"/>
    <w:rsid w:val="009B32F0"/>
    <w:rsid w:val="009B3EB4"/>
    <w:rsid w:val="009B3F21"/>
    <w:rsid w:val="009B42BE"/>
    <w:rsid w:val="009B5167"/>
    <w:rsid w:val="009B5973"/>
    <w:rsid w:val="009B5B48"/>
    <w:rsid w:val="009B62E6"/>
    <w:rsid w:val="009B67C4"/>
    <w:rsid w:val="009B6A3F"/>
    <w:rsid w:val="009B6C5A"/>
    <w:rsid w:val="009B71E1"/>
    <w:rsid w:val="009B76C4"/>
    <w:rsid w:val="009B78E7"/>
    <w:rsid w:val="009C0448"/>
    <w:rsid w:val="009C0615"/>
    <w:rsid w:val="009C0CF8"/>
    <w:rsid w:val="009C0CF9"/>
    <w:rsid w:val="009C125A"/>
    <w:rsid w:val="009C1EB2"/>
    <w:rsid w:val="009C2675"/>
    <w:rsid w:val="009C2839"/>
    <w:rsid w:val="009C2D9D"/>
    <w:rsid w:val="009C2DC4"/>
    <w:rsid w:val="009C3042"/>
    <w:rsid w:val="009C386A"/>
    <w:rsid w:val="009C3E9C"/>
    <w:rsid w:val="009C4A32"/>
    <w:rsid w:val="009C4CD6"/>
    <w:rsid w:val="009C55DF"/>
    <w:rsid w:val="009C57BA"/>
    <w:rsid w:val="009C5B7E"/>
    <w:rsid w:val="009C62FE"/>
    <w:rsid w:val="009C63AB"/>
    <w:rsid w:val="009C6993"/>
    <w:rsid w:val="009C69D0"/>
    <w:rsid w:val="009C69F4"/>
    <w:rsid w:val="009C7163"/>
    <w:rsid w:val="009C77A3"/>
    <w:rsid w:val="009C7B71"/>
    <w:rsid w:val="009D03DD"/>
    <w:rsid w:val="009D0EFC"/>
    <w:rsid w:val="009D1082"/>
    <w:rsid w:val="009D20AC"/>
    <w:rsid w:val="009D20C9"/>
    <w:rsid w:val="009D21C8"/>
    <w:rsid w:val="009D26D8"/>
    <w:rsid w:val="009D2D25"/>
    <w:rsid w:val="009D2E22"/>
    <w:rsid w:val="009D30F9"/>
    <w:rsid w:val="009D3192"/>
    <w:rsid w:val="009D31C0"/>
    <w:rsid w:val="009D322C"/>
    <w:rsid w:val="009D334F"/>
    <w:rsid w:val="009D372A"/>
    <w:rsid w:val="009D3A26"/>
    <w:rsid w:val="009D3BAC"/>
    <w:rsid w:val="009D3EDD"/>
    <w:rsid w:val="009D48BA"/>
    <w:rsid w:val="009D4B7E"/>
    <w:rsid w:val="009D4D48"/>
    <w:rsid w:val="009D4DC6"/>
    <w:rsid w:val="009D4FAF"/>
    <w:rsid w:val="009D5106"/>
    <w:rsid w:val="009D66B9"/>
    <w:rsid w:val="009D6B77"/>
    <w:rsid w:val="009D6CE1"/>
    <w:rsid w:val="009E0D83"/>
    <w:rsid w:val="009E14B2"/>
    <w:rsid w:val="009E1D15"/>
    <w:rsid w:val="009E1DFA"/>
    <w:rsid w:val="009E23ED"/>
    <w:rsid w:val="009E26BC"/>
    <w:rsid w:val="009E2B34"/>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4F2"/>
    <w:rsid w:val="009F0620"/>
    <w:rsid w:val="009F0A8F"/>
    <w:rsid w:val="009F231C"/>
    <w:rsid w:val="009F2512"/>
    <w:rsid w:val="009F2B87"/>
    <w:rsid w:val="009F2C7D"/>
    <w:rsid w:val="009F3072"/>
    <w:rsid w:val="009F40CE"/>
    <w:rsid w:val="009F4CDA"/>
    <w:rsid w:val="009F59BF"/>
    <w:rsid w:val="009F5F68"/>
    <w:rsid w:val="009F776E"/>
    <w:rsid w:val="00A00F42"/>
    <w:rsid w:val="00A00FDC"/>
    <w:rsid w:val="00A01519"/>
    <w:rsid w:val="00A0195A"/>
    <w:rsid w:val="00A020BD"/>
    <w:rsid w:val="00A02BD4"/>
    <w:rsid w:val="00A02D3C"/>
    <w:rsid w:val="00A030F0"/>
    <w:rsid w:val="00A032EA"/>
    <w:rsid w:val="00A0408F"/>
    <w:rsid w:val="00A04E68"/>
    <w:rsid w:val="00A05975"/>
    <w:rsid w:val="00A05EAA"/>
    <w:rsid w:val="00A0608D"/>
    <w:rsid w:val="00A060BE"/>
    <w:rsid w:val="00A0695E"/>
    <w:rsid w:val="00A07D26"/>
    <w:rsid w:val="00A1036E"/>
    <w:rsid w:val="00A104A1"/>
    <w:rsid w:val="00A10BF6"/>
    <w:rsid w:val="00A10D80"/>
    <w:rsid w:val="00A10FC7"/>
    <w:rsid w:val="00A11671"/>
    <w:rsid w:val="00A1187C"/>
    <w:rsid w:val="00A11D6C"/>
    <w:rsid w:val="00A12CCC"/>
    <w:rsid w:val="00A12D1A"/>
    <w:rsid w:val="00A12E07"/>
    <w:rsid w:val="00A12F3D"/>
    <w:rsid w:val="00A13A4E"/>
    <w:rsid w:val="00A15566"/>
    <w:rsid w:val="00A15775"/>
    <w:rsid w:val="00A15AA3"/>
    <w:rsid w:val="00A15B2D"/>
    <w:rsid w:val="00A1616C"/>
    <w:rsid w:val="00A163CD"/>
    <w:rsid w:val="00A16778"/>
    <w:rsid w:val="00A16B57"/>
    <w:rsid w:val="00A20224"/>
    <w:rsid w:val="00A2120A"/>
    <w:rsid w:val="00A21424"/>
    <w:rsid w:val="00A21890"/>
    <w:rsid w:val="00A21997"/>
    <w:rsid w:val="00A22A08"/>
    <w:rsid w:val="00A23A98"/>
    <w:rsid w:val="00A24217"/>
    <w:rsid w:val="00A244E9"/>
    <w:rsid w:val="00A24622"/>
    <w:rsid w:val="00A246A3"/>
    <w:rsid w:val="00A250F1"/>
    <w:rsid w:val="00A259A8"/>
    <w:rsid w:val="00A25ABB"/>
    <w:rsid w:val="00A25E39"/>
    <w:rsid w:val="00A267F3"/>
    <w:rsid w:val="00A26827"/>
    <w:rsid w:val="00A26CDC"/>
    <w:rsid w:val="00A26D47"/>
    <w:rsid w:val="00A26DA7"/>
    <w:rsid w:val="00A26F41"/>
    <w:rsid w:val="00A26F88"/>
    <w:rsid w:val="00A275D1"/>
    <w:rsid w:val="00A27B57"/>
    <w:rsid w:val="00A313B3"/>
    <w:rsid w:val="00A31D00"/>
    <w:rsid w:val="00A32051"/>
    <w:rsid w:val="00A32AE0"/>
    <w:rsid w:val="00A32B77"/>
    <w:rsid w:val="00A32BB4"/>
    <w:rsid w:val="00A33983"/>
    <w:rsid w:val="00A33CCF"/>
    <w:rsid w:val="00A34BF6"/>
    <w:rsid w:val="00A3578D"/>
    <w:rsid w:val="00A35D65"/>
    <w:rsid w:val="00A3630A"/>
    <w:rsid w:val="00A36CF6"/>
    <w:rsid w:val="00A36EC5"/>
    <w:rsid w:val="00A37EDA"/>
    <w:rsid w:val="00A4035D"/>
    <w:rsid w:val="00A413A3"/>
    <w:rsid w:val="00A42CD1"/>
    <w:rsid w:val="00A43270"/>
    <w:rsid w:val="00A44D93"/>
    <w:rsid w:val="00A4539E"/>
    <w:rsid w:val="00A45DFF"/>
    <w:rsid w:val="00A46080"/>
    <w:rsid w:val="00A461CB"/>
    <w:rsid w:val="00A46C6C"/>
    <w:rsid w:val="00A46EB1"/>
    <w:rsid w:val="00A47A54"/>
    <w:rsid w:val="00A47C59"/>
    <w:rsid w:val="00A50FEC"/>
    <w:rsid w:val="00A51FC3"/>
    <w:rsid w:val="00A532FC"/>
    <w:rsid w:val="00A53624"/>
    <w:rsid w:val="00A539B2"/>
    <w:rsid w:val="00A54F72"/>
    <w:rsid w:val="00A565B6"/>
    <w:rsid w:val="00A567E2"/>
    <w:rsid w:val="00A56806"/>
    <w:rsid w:val="00A57B9D"/>
    <w:rsid w:val="00A57F15"/>
    <w:rsid w:val="00A60066"/>
    <w:rsid w:val="00A60179"/>
    <w:rsid w:val="00A61782"/>
    <w:rsid w:val="00A61FDA"/>
    <w:rsid w:val="00A621D2"/>
    <w:rsid w:val="00A625E9"/>
    <w:rsid w:val="00A63047"/>
    <w:rsid w:val="00A6325E"/>
    <w:rsid w:val="00A63850"/>
    <w:rsid w:val="00A642CB"/>
    <w:rsid w:val="00A64787"/>
    <w:rsid w:val="00A648E9"/>
    <w:rsid w:val="00A6654A"/>
    <w:rsid w:val="00A666CB"/>
    <w:rsid w:val="00A66C0D"/>
    <w:rsid w:val="00A66D15"/>
    <w:rsid w:val="00A6713D"/>
    <w:rsid w:val="00A6764D"/>
    <w:rsid w:val="00A67934"/>
    <w:rsid w:val="00A67D4A"/>
    <w:rsid w:val="00A703AE"/>
    <w:rsid w:val="00A70415"/>
    <w:rsid w:val="00A70456"/>
    <w:rsid w:val="00A708BA"/>
    <w:rsid w:val="00A709AE"/>
    <w:rsid w:val="00A70DCB"/>
    <w:rsid w:val="00A70E5B"/>
    <w:rsid w:val="00A71423"/>
    <w:rsid w:val="00A71FD1"/>
    <w:rsid w:val="00A720C2"/>
    <w:rsid w:val="00A7248F"/>
    <w:rsid w:val="00A72733"/>
    <w:rsid w:val="00A72BC8"/>
    <w:rsid w:val="00A72C04"/>
    <w:rsid w:val="00A72FE2"/>
    <w:rsid w:val="00A73341"/>
    <w:rsid w:val="00A748ED"/>
    <w:rsid w:val="00A75386"/>
    <w:rsid w:val="00A7593A"/>
    <w:rsid w:val="00A7597F"/>
    <w:rsid w:val="00A75D3F"/>
    <w:rsid w:val="00A76479"/>
    <w:rsid w:val="00A768C8"/>
    <w:rsid w:val="00A76C21"/>
    <w:rsid w:val="00A77727"/>
    <w:rsid w:val="00A77D8B"/>
    <w:rsid w:val="00A8226A"/>
    <w:rsid w:val="00A82941"/>
    <w:rsid w:val="00A834D6"/>
    <w:rsid w:val="00A83DBC"/>
    <w:rsid w:val="00A84746"/>
    <w:rsid w:val="00A847AE"/>
    <w:rsid w:val="00A84D2C"/>
    <w:rsid w:val="00A85084"/>
    <w:rsid w:val="00A855FE"/>
    <w:rsid w:val="00A85732"/>
    <w:rsid w:val="00A85836"/>
    <w:rsid w:val="00A85E79"/>
    <w:rsid w:val="00A85F29"/>
    <w:rsid w:val="00A8613B"/>
    <w:rsid w:val="00A861AD"/>
    <w:rsid w:val="00A86203"/>
    <w:rsid w:val="00A86D62"/>
    <w:rsid w:val="00A87124"/>
    <w:rsid w:val="00A87982"/>
    <w:rsid w:val="00A87C2F"/>
    <w:rsid w:val="00A904F2"/>
    <w:rsid w:val="00A90A9D"/>
    <w:rsid w:val="00A911A0"/>
    <w:rsid w:val="00A91363"/>
    <w:rsid w:val="00A91450"/>
    <w:rsid w:val="00A91B63"/>
    <w:rsid w:val="00A91BFA"/>
    <w:rsid w:val="00A920B1"/>
    <w:rsid w:val="00A92564"/>
    <w:rsid w:val="00A92DB9"/>
    <w:rsid w:val="00A93738"/>
    <w:rsid w:val="00A94084"/>
    <w:rsid w:val="00A9446E"/>
    <w:rsid w:val="00A9579F"/>
    <w:rsid w:val="00A96852"/>
    <w:rsid w:val="00A96C21"/>
    <w:rsid w:val="00A9791D"/>
    <w:rsid w:val="00A97D4A"/>
    <w:rsid w:val="00A97DB8"/>
    <w:rsid w:val="00AA0209"/>
    <w:rsid w:val="00AA03A6"/>
    <w:rsid w:val="00AA1128"/>
    <w:rsid w:val="00AA1A7C"/>
    <w:rsid w:val="00AA1ADA"/>
    <w:rsid w:val="00AA20B3"/>
    <w:rsid w:val="00AA2A7D"/>
    <w:rsid w:val="00AA2A95"/>
    <w:rsid w:val="00AA2ECC"/>
    <w:rsid w:val="00AA35EA"/>
    <w:rsid w:val="00AA3A3E"/>
    <w:rsid w:val="00AA3B94"/>
    <w:rsid w:val="00AA3C94"/>
    <w:rsid w:val="00AA41D4"/>
    <w:rsid w:val="00AA4203"/>
    <w:rsid w:val="00AA4775"/>
    <w:rsid w:val="00AA488F"/>
    <w:rsid w:val="00AA5515"/>
    <w:rsid w:val="00AA5582"/>
    <w:rsid w:val="00AA567F"/>
    <w:rsid w:val="00AA583C"/>
    <w:rsid w:val="00AA65CF"/>
    <w:rsid w:val="00AA6A88"/>
    <w:rsid w:val="00AA7A22"/>
    <w:rsid w:val="00AB02DD"/>
    <w:rsid w:val="00AB045C"/>
    <w:rsid w:val="00AB05BB"/>
    <w:rsid w:val="00AB090C"/>
    <w:rsid w:val="00AB0F9A"/>
    <w:rsid w:val="00AB1160"/>
    <w:rsid w:val="00AB1411"/>
    <w:rsid w:val="00AB142E"/>
    <w:rsid w:val="00AB1C10"/>
    <w:rsid w:val="00AB20E5"/>
    <w:rsid w:val="00AB2112"/>
    <w:rsid w:val="00AB212D"/>
    <w:rsid w:val="00AB2BF5"/>
    <w:rsid w:val="00AB32C1"/>
    <w:rsid w:val="00AB33CE"/>
    <w:rsid w:val="00AB3552"/>
    <w:rsid w:val="00AB49C3"/>
    <w:rsid w:val="00AB55F8"/>
    <w:rsid w:val="00AB5633"/>
    <w:rsid w:val="00AB5DF2"/>
    <w:rsid w:val="00AB6C4D"/>
    <w:rsid w:val="00AB7866"/>
    <w:rsid w:val="00AC112A"/>
    <w:rsid w:val="00AC1D3B"/>
    <w:rsid w:val="00AC226A"/>
    <w:rsid w:val="00AC246C"/>
    <w:rsid w:val="00AC2FB2"/>
    <w:rsid w:val="00AC32FB"/>
    <w:rsid w:val="00AC3ADE"/>
    <w:rsid w:val="00AC3F58"/>
    <w:rsid w:val="00AC4C92"/>
    <w:rsid w:val="00AC4E28"/>
    <w:rsid w:val="00AC4E71"/>
    <w:rsid w:val="00AC4F7E"/>
    <w:rsid w:val="00AC5700"/>
    <w:rsid w:val="00AC5A64"/>
    <w:rsid w:val="00AC7042"/>
    <w:rsid w:val="00AC752F"/>
    <w:rsid w:val="00AC76C9"/>
    <w:rsid w:val="00AC7B8D"/>
    <w:rsid w:val="00AC7E49"/>
    <w:rsid w:val="00AD099F"/>
    <w:rsid w:val="00AD0CA1"/>
    <w:rsid w:val="00AD1C10"/>
    <w:rsid w:val="00AD2E7B"/>
    <w:rsid w:val="00AD2F8F"/>
    <w:rsid w:val="00AD3685"/>
    <w:rsid w:val="00AD3792"/>
    <w:rsid w:val="00AD3F4F"/>
    <w:rsid w:val="00AD403C"/>
    <w:rsid w:val="00AD4153"/>
    <w:rsid w:val="00AD4838"/>
    <w:rsid w:val="00AD4F1D"/>
    <w:rsid w:val="00AD5420"/>
    <w:rsid w:val="00AD56CF"/>
    <w:rsid w:val="00AD5D1B"/>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9FC"/>
    <w:rsid w:val="00AE6363"/>
    <w:rsid w:val="00AE6AAF"/>
    <w:rsid w:val="00AE6C74"/>
    <w:rsid w:val="00AE6E97"/>
    <w:rsid w:val="00AE758E"/>
    <w:rsid w:val="00AF059D"/>
    <w:rsid w:val="00AF077D"/>
    <w:rsid w:val="00AF0992"/>
    <w:rsid w:val="00AF0C7C"/>
    <w:rsid w:val="00AF0D62"/>
    <w:rsid w:val="00AF0EB3"/>
    <w:rsid w:val="00AF1281"/>
    <w:rsid w:val="00AF14C8"/>
    <w:rsid w:val="00AF23D9"/>
    <w:rsid w:val="00AF23F3"/>
    <w:rsid w:val="00AF290E"/>
    <w:rsid w:val="00AF29FA"/>
    <w:rsid w:val="00AF37D5"/>
    <w:rsid w:val="00AF381B"/>
    <w:rsid w:val="00AF3BD8"/>
    <w:rsid w:val="00AF3F63"/>
    <w:rsid w:val="00AF4345"/>
    <w:rsid w:val="00AF463B"/>
    <w:rsid w:val="00AF4CC5"/>
    <w:rsid w:val="00AF5319"/>
    <w:rsid w:val="00AF608B"/>
    <w:rsid w:val="00AF6576"/>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88"/>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01"/>
    <w:rsid w:val="00B15075"/>
    <w:rsid w:val="00B15774"/>
    <w:rsid w:val="00B15DB9"/>
    <w:rsid w:val="00B16F5A"/>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9C"/>
    <w:rsid w:val="00B278D7"/>
    <w:rsid w:val="00B3091E"/>
    <w:rsid w:val="00B30F5B"/>
    <w:rsid w:val="00B31602"/>
    <w:rsid w:val="00B319FE"/>
    <w:rsid w:val="00B3232C"/>
    <w:rsid w:val="00B32F0B"/>
    <w:rsid w:val="00B331B8"/>
    <w:rsid w:val="00B33786"/>
    <w:rsid w:val="00B337A4"/>
    <w:rsid w:val="00B34725"/>
    <w:rsid w:val="00B355F0"/>
    <w:rsid w:val="00B3578C"/>
    <w:rsid w:val="00B36D9E"/>
    <w:rsid w:val="00B370D9"/>
    <w:rsid w:val="00B37304"/>
    <w:rsid w:val="00B37311"/>
    <w:rsid w:val="00B373FB"/>
    <w:rsid w:val="00B37975"/>
    <w:rsid w:val="00B4106F"/>
    <w:rsid w:val="00B41BE7"/>
    <w:rsid w:val="00B424F7"/>
    <w:rsid w:val="00B42568"/>
    <w:rsid w:val="00B4299C"/>
    <w:rsid w:val="00B4316E"/>
    <w:rsid w:val="00B4339F"/>
    <w:rsid w:val="00B4381B"/>
    <w:rsid w:val="00B4383C"/>
    <w:rsid w:val="00B43E2E"/>
    <w:rsid w:val="00B4403D"/>
    <w:rsid w:val="00B44101"/>
    <w:rsid w:val="00B45847"/>
    <w:rsid w:val="00B460A1"/>
    <w:rsid w:val="00B46275"/>
    <w:rsid w:val="00B463A5"/>
    <w:rsid w:val="00B464BB"/>
    <w:rsid w:val="00B464C7"/>
    <w:rsid w:val="00B4658A"/>
    <w:rsid w:val="00B4733F"/>
    <w:rsid w:val="00B4758E"/>
    <w:rsid w:val="00B47CBB"/>
    <w:rsid w:val="00B5083E"/>
    <w:rsid w:val="00B50ADB"/>
    <w:rsid w:val="00B51466"/>
    <w:rsid w:val="00B51604"/>
    <w:rsid w:val="00B517EE"/>
    <w:rsid w:val="00B51F64"/>
    <w:rsid w:val="00B52ACF"/>
    <w:rsid w:val="00B53B4E"/>
    <w:rsid w:val="00B53C5F"/>
    <w:rsid w:val="00B54BD8"/>
    <w:rsid w:val="00B5596C"/>
    <w:rsid w:val="00B569B2"/>
    <w:rsid w:val="00B56FBD"/>
    <w:rsid w:val="00B5715A"/>
    <w:rsid w:val="00B57327"/>
    <w:rsid w:val="00B6002D"/>
    <w:rsid w:val="00B6010B"/>
    <w:rsid w:val="00B6107E"/>
    <w:rsid w:val="00B61262"/>
    <w:rsid w:val="00B6210A"/>
    <w:rsid w:val="00B6220A"/>
    <w:rsid w:val="00B62644"/>
    <w:rsid w:val="00B629F3"/>
    <w:rsid w:val="00B63B5D"/>
    <w:rsid w:val="00B640CF"/>
    <w:rsid w:val="00B6569A"/>
    <w:rsid w:val="00B65828"/>
    <w:rsid w:val="00B65CF3"/>
    <w:rsid w:val="00B65E01"/>
    <w:rsid w:val="00B665BB"/>
    <w:rsid w:val="00B66800"/>
    <w:rsid w:val="00B668CA"/>
    <w:rsid w:val="00B66AB0"/>
    <w:rsid w:val="00B677D7"/>
    <w:rsid w:val="00B7095E"/>
    <w:rsid w:val="00B70C27"/>
    <w:rsid w:val="00B70ED8"/>
    <w:rsid w:val="00B710E0"/>
    <w:rsid w:val="00B7162D"/>
    <w:rsid w:val="00B71E56"/>
    <w:rsid w:val="00B726B1"/>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504"/>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59E"/>
    <w:rsid w:val="00B90825"/>
    <w:rsid w:val="00B9084F"/>
    <w:rsid w:val="00B90862"/>
    <w:rsid w:val="00B90DD5"/>
    <w:rsid w:val="00B912EC"/>
    <w:rsid w:val="00B917AC"/>
    <w:rsid w:val="00B91F77"/>
    <w:rsid w:val="00B926AC"/>
    <w:rsid w:val="00B92E6B"/>
    <w:rsid w:val="00B92F7F"/>
    <w:rsid w:val="00B93043"/>
    <w:rsid w:val="00B93431"/>
    <w:rsid w:val="00B93500"/>
    <w:rsid w:val="00B93D97"/>
    <w:rsid w:val="00B942F0"/>
    <w:rsid w:val="00B94392"/>
    <w:rsid w:val="00B94797"/>
    <w:rsid w:val="00B954F2"/>
    <w:rsid w:val="00B955F5"/>
    <w:rsid w:val="00B95663"/>
    <w:rsid w:val="00B95A36"/>
    <w:rsid w:val="00B95CCC"/>
    <w:rsid w:val="00B95F44"/>
    <w:rsid w:val="00B96D3C"/>
    <w:rsid w:val="00B97345"/>
    <w:rsid w:val="00B97577"/>
    <w:rsid w:val="00BA0FE9"/>
    <w:rsid w:val="00BA139F"/>
    <w:rsid w:val="00BA1A0B"/>
    <w:rsid w:val="00BA1E85"/>
    <w:rsid w:val="00BA359B"/>
    <w:rsid w:val="00BA3A93"/>
    <w:rsid w:val="00BA4D05"/>
    <w:rsid w:val="00BA5165"/>
    <w:rsid w:val="00BA5599"/>
    <w:rsid w:val="00BA5A40"/>
    <w:rsid w:val="00BA5FD5"/>
    <w:rsid w:val="00BA62AB"/>
    <w:rsid w:val="00BA7E0B"/>
    <w:rsid w:val="00BB034A"/>
    <w:rsid w:val="00BB0DE3"/>
    <w:rsid w:val="00BB0EA0"/>
    <w:rsid w:val="00BB10CD"/>
    <w:rsid w:val="00BB10F0"/>
    <w:rsid w:val="00BB122E"/>
    <w:rsid w:val="00BB25BB"/>
    <w:rsid w:val="00BB4A6F"/>
    <w:rsid w:val="00BB4EA2"/>
    <w:rsid w:val="00BB56B1"/>
    <w:rsid w:val="00BB5759"/>
    <w:rsid w:val="00BB5A30"/>
    <w:rsid w:val="00BB5B98"/>
    <w:rsid w:val="00BB67AC"/>
    <w:rsid w:val="00BB7BAC"/>
    <w:rsid w:val="00BC08D8"/>
    <w:rsid w:val="00BC08FC"/>
    <w:rsid w:val="00BC202D"/>
    <w:rsid w:val="00BC213B"/>
    <w:rsid w:val="00BC2964"/>
    <w:rsid w:val="00BC3112"/>
    <w:rsid w:val="00BC3776"/>
    <w:rsid w:val="00BC3D8E"/>
    <w:rsid w:val="00BC3E7F"/>
    <w:rsid w:val="00BC41B5"/>
    <w:rsid w:val="00BC4C63"/>
    <w:rsid w:val="00BC54D1"/>
    <w:rsid w:val="00BC6308"/>
    <w:rsid w:val="00BC63FE"/>
    <w:rsid w:val="00BC666D"/>
    <w:rsid w:val="00BC67A4"/>
    <w:rsid w:val="00BC6B4D"/>
    <w:rsid w:val="00BC6C4F"/>
    <w:rsid w:val="00BC76AA"/>
    <w:rsid w:val="00BD1290"/>
    <w:rsid w:val="00BD1CFB"/>
    <w:rsid w:val="00BD22AA"/>
    <w:rsid w:val="00BD2B8F"/>
    <w:rsid w:val="00BD3047"/>
    <w:rsid w:val="00BD35B9"/>
    <w:rsid w:val="00BD36EC"/>
    <w:rsid w:val="00BD4A52"/>
    <w:rsid w:val="00BD4B84"/>
    <w:rsid w:val="00BD51CA"/>
    <w:rsid w:val="00BD54F7"/>
    <w:rsid w:val="00BD5CD2"/>
    <w:rsid w:val="00BD605A"/>
    <w:rsid w:val="00BD75B8"/>
    <w:rsid w:val="00BD77DE"/>
    <w:rsid w:val="00BD79C2"/>
    <w:rsid w:val="00BE182B"/>
    <w:rsid w:val="00BE199C"/>
    <w:rsid w:val="00BE1F2E"/>
    <w:rsid w:val="00BE1FA7"/>
    <w:rsid w:val="00BE2AD7"/>
    <w:rsid w:val="00BE2BAA"/>
    <w:rsid w:val="00BE3237"/>
    <w:rsid w:val="00BE39E6"/>
    <w:rsid w:val="00BE4F8D"/>
    <w:rsid w:val="00BE53F7"/>
    <w:rsid w:val="00BE590A"/>
    <w:rsid w:val="00BE5EDB"/>
    <w:rsid w:val="00BE770F"/>
    <w:rsid w:val="00BE778C"/>
    <w:rsid w:val="00BE7B69"/>
    <w:rsid w:val="00BF01D4"/>
    <w:rsid w:val="00BF12E2"/>
    <w:rsid w:val="00BF1DEA"/>
    <w:rsid w:val="00BF20FB"/>
    <w:rsid w:val="00BF2997"/>
    <w:rsid w:val="00BF4C22"/>
    <w:rsid w:val="00BF4CD1"/>
    <w:rsid w:val="00BF4DD7"/>
    <w:rsid w:val="00BF51E4"/>
    <w:rsid w:val="00BF6043"/>
    <w:rsid w:val="00BF71B9"/>
    <w:rsid w:val="00BF76ED"/>
    <w:rsid w:val="00C00156"/>
    <w:rsid w:val="00C003C3"/>
    <w:rsid w:val="00C006F6"/>
    <w:rsid w:val="00C00838"/>
    <w:rsid w:val="00C008C6"/>
    <w:rsid w:val="00C00A3D"/>
    <w:rsid w:val="00C00BE6"/>
    <w:rsid w:val="00C00F80"/>
    <w:rsid w:val="00C01250"/>
    <w:rsid w:val="00C01619"/>
    <w:rsid w:val="00C03041"/>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28AE"/>
    <w:rsid w:val="00C129D2"/>
    <w:rsid w:val="00C12B63"/>
    <w:rsid w:val="00C12CC4"/>
    <w:rsid w:val="00C12CE6"/>
    <w:rsid w:val="00C12D9C"/>
    <w:rsid w:val="00C13208"/>
    <w:rsid w:val="00C133F5"/>
    <w:rsid w:val="00C1360E"/>
    <w:rsid w:val="00C13819"/>
    <w:rsid w:val="00C13CCA"/>
    <w:rsid w:val="00C142EA"/>
    <w:rsid w:val="00C14AD2"/>
    <w:rsid w:val="00C14CA5"/>
    <w:rsid w:val="00C15BE1"/>
    <w:rsid w:val="00C15F3C"/>
    <w:rsid w:val="00C160D9"/>
    <w:rsid w:val="00C16B32"/>
    <w:rsid w:val="00C16FF1"/>
    <w:rsid w:val="00C17007"/>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4DEB"/>
    <w:rsid w:val="00C26495"/>
    <w:rsid w:val="00C26CFA"/>
    <w:rsid w:val="00C273ED"/>
    <w:rsid w:val="00C27447"/>
    <w:rsid w:val="00C27891"/>
    <w:rsid w:val="00C27D45"/>
    <w:rsid w:val="00C300F5"/>
    <w:rsid w:val="00C30AED"/>
    <w:rsid w:val="00C31073"/>
    <w:rsid w:val="00C314B5"/>
    <w:rsid w:val="00C31C2C"/>
    <w:rsid w:val="00C31D3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E4A"/>
    <w:rsid w:val="00C43FD4"/>
    <w:rsid w:val="00C441BD"/>
    <w:rsid w:val="00C4445E"/>
    <w:rsid w:val="00C44846"/>
    <w:rsid w:val="00C44E74"/>
    <w:rsid w:val="00C45A51"/>
    <w:rsid w:val="00C469E3"/>
    <w:rsid w:val="00C47155"/>
    <w:rsid w:val="00C47987"/>
    <w:rsid w:val="00C47CD2"/>
    <w:rsid w:val="00C47D56"/>
    <w:rsid w:val="00C510DE"/>
    <w:rsid w:val="00C536E4"/>
    <w:rsid w:val="00C538AE"/>
    <w:rsid w:val="00C53C32"/>
    <w:rsid w:val="00C53E7A"/>
    <w:rsid w:val="00C54492"/>
    <w:rsid w:val="00C544B6"/>
    <w:rsid w:val="00C54601"/>
    <w:rsid w:val="00C54E26"/>
    <w:rsid w:val="00C55419"/>
    <w:rsid w:val="00C56A84"/>
    <w:rsid w:val="00C575E8"/>
    <w:rsid w:val="00C5777E"/>
    <w:rsid w:val="00C57EB0"/>
    <w:rsid w:val="00C60984"/>
    <w:rsid w:val="00C60E33"/>
    <w:rsid w:val="00C6111A"/>
    <w:rsid w:val="00C61801"/>
    <w:rsid w:val="00C618DF"/>
    <w:rsid w:val="00C62C6E"/>
    <w:rsid w:val="00C64227"/>
    <w:rsid w:val="00C65030"/>
    <w:rsid w:val="00C652A1"/>
    <w:rsid w:val="00C655E4"/>
    <w:rsid w:val="00C65738"/>
    <w:rsid w:val="00C6590A"/>
    <w:rsid w:val="00C65FFB"/>
    <w:rsid w:val="00C66663"/>
    <w:rsid w:val="00C668D8"/>
    <w:rsid w:val="00C66BCD"/>
    <w:rsid w:val="00C66D5A"/>
    <w:rsid w:val="00C66E74"/>
    <w:rsid w:val="00C67029"/>
    <w:rsid w:val="00C70B38"/>
    <w:rsid w:val="00C70B43"/>
    <w:rsid w:val="00C71A56"/>
    <w:rsid w:val="00C730CC"/>
    <w:rsid w:val="00C73EB1"/>
    <w:rsid w:val="00C7532A"/>
    <w:rsid w:val="00C75721"/>
    <w:rsid w:val="00C760A6"/>
    <w:rsid w:val="00C762B7"/>
    <w:rsid w:val="00C7674F"/>
    <w:rsid w:val="00C76825"/>
    <w:rsid w:val="00C77C4B"/>
    <w:rsid w:val="00C77D50"/>
    <w:rsid w:val="00C80DC6"/>
    <w:rsid w:val="00C815E4"/>
    <w:rsid w:val="00C8290C"/>
    <w:rsid w:val="00C8512B"/>
    <w:rsid w:val="00C8575D"/>
    <w:rsid w:val="00C858C8"/>
    <w:rsid w:val="00C85A79"/>
    <w:rsid w:val="00C86242"/>
    <w:rsid w:val="00C86D64"/>
    <w:rsid w:val="00C87CDD"/>
    <w:rsid w:val="00C909EE"/>
    <w:rsid w:val="00C90E27"/>
    <w:rsid w:val="00C910ED"/>
    <w:rsid w:val="00C914C9"/>
    <w:rsid w:val="00C9156F"/>
    <w:rsid w:val="00C916D2"/>
    <w:rsid w:val="00C91E57"/>
    <w:rsid w:val="00C922E8"/>
    <w:rsid w:val="00C93188"/>
    <w:rsid w:val="00C9353F"/>
    <w:rsid w:val="00C94E01"/>
    <w:rsid w:val="00C94EF3"/>
    <w:rsid w:val="00C9527E"/>
    <w:rsid w:val="00C952A9"/>
    <w:rsid w:val="00C9534F"/>
    <w:rsid w:val="00C95E98"/>
    <w:rsid w:val="00C95F67"/>
    <w:rsid w:val="00C961C0"/>
    <w:rsid w:val="00C965E4"/>
    <w:rsid w:val="00C9739A"/>
    <w:rsid w:val="00CA0A42"/>
    <w:rsid w:val="00CA13BF"/>
    <w:rsid w:val="00CA13F7"/>
    <w:rsid w:val="00CA1463"/>
    <w:rsid w:val="00CA14DE"/>
    <w:rsid w:val="00CA2A57"/>
    <w:rsid w:val="00CA2C4B"/>
    <w:rsid w:val="00CA30A9"/>
    <w:rsid w:val="00CA32D9"/>
    <w:rsid w:val="00CA35EC"/>
    <w:rsid w:val="00CA3D36"/>
    <w:rsid w:val="00CA3EC4"/>
    <w:rsid w:val="00CA4249"/>
    <w:rsid w:val="00CA4EF3"/>
    <w:rsid w:val="00CA575F"/>
    <w:rsid w:val="00CA5FB1"/>
    <w:rsid w:val="00CA66B5"/>
    <w:rsid w:val="00CA6F69"/>
    <w:rsid w:val="00CA6F7C"/>
    <w:rsid w:val="00CB0652"/>
    <w:rsid w:val="00CB0A8A"/>
    <w:rsid w:val="00CB138C"/>
    <w:rsid w:val="00CB14C7"/>
    <w:rsid w:val="00CB1BD3"/>
    <w:rsid w:val="00CB21EF"/>
    <w:rsid w:val="00CB25D4"/>
    <w:rsid w:val="00CB26B1"/>
    <w:rsid w:val="00CB2714"/>
    <w:rsid w:val="00CB2824"/>
    <w:rsid w:val="00CB2C75"/>
    <w:rsid w:val="00CB2F95"/>
    <w:rsid w:val="00CB30E7"/>
    <w:rsid w:val="00CB3270"/>
    <w:rsid w:val="00CB4DA4"/>
    <w:rsid w:val="00CB557A"/>
    <w:rsid w:val="00CB5DD1"/>
    <w:rsid w:val="00CB6108"/>
    <w:rsid w:val="00CB644A"/>
    <w:rsid w:val="00CB6807"/>
    <w:rsid w:val="00CB6A21"/>
    <w:rsid w:val="00CB7071"/>
    <w:rsid w:val="00CB75F9"/>
    <w:rsid w:val="00CB7D14"/>
    <w:rsid w:val="00CB7D9F"/>
    <w:rsid w:val="00CC07A1"/>
    <w:rsid w:val="00CC0824"/>
    <w:rsid w:val="00CC08D7"/>
    <w:rsid w:val="00CC0A9A"/>
    <w:rsid w:val="00CC0EA3"/>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5B1"/>
    <w:rsid w:val="00CD181E"/>
    <w:rsid w:val="00CD2C45"/>
    <w:rsid w:val="00CD387C"/>
    <w:rsid w:val="00CD474C"/>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157"/>
    <w:rsid w:val="00CE32AD"/>
    <w:rsid w:val="00CE3361"/>
    <w:rsid w:val="00CE3E3D"/>
    <w:rsid w:val="00CE3F49"/>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B17"/>
    <w:rsid w:val="00CF52EB"/>
    <w:rsid w:val="00CF585D"/>
    <w:rsid w:val="00CF5CA8"/>
    <w:rsid w:val="00CF72BD"/>
    <w:rsid w:val="00CF767E"/>
    <w:rsid w:val="00CF78C0"/>
    <w:rsid w:val="00D00418"/>
    <w:rsid w:val="00D015A8"/>
    <w:rsid w:val="00D024F9"/>
    <w:rsid w:val="00D0251A"/>
    <w:rsid w:val="00D027F9"/>
    <w:rsid w:val="00D032AA"/>
    <w:rsid w:val="00D03A3E"/>
    <w:rsid w:val="00D03B1A"/>
    <w:rsid w:val="00D03E97"/>
    <w:rsid w:val="00D040BB"/>
    <w:rsid w:val="00D056E9"/>
    <w:rsid w:val="00D05CB6"/>
    <w:rsid w:val="00D06325"/>
    <w:rsid w:val="00D07684"/>
    <w:rsid w:val="00D076A6"/>
    <w:rsid w:val="00D07F59"/>
    <w:rsid w:val="00D104B2"/>
    <w:rsid w:val="00D10986"/>
    <w:rsid w:val="00D119AE"/>
    <w:rsid w:val="00D11BB2"/>
    <w:rsid w:val="00D11EBF"/>
    <w:rsid w:val="00D12F1F"/>
    <w:rsid w:val="00D13207"/>
    <w:rsid w:val="00D13358"/>
    <w:rsid w:val="00D1342C"/>
    <w:rsid w:val="00D13FCA"/>
    <w:rsid w:val="00D142FA"/>
    <w:rsid w:val="00D14427"/>
    <w:rsid w:val="00D14873"/>
    <w:rsid w:val="00D14C06"/>
    <w:rsid w:val="00D14DAF"/>
    <w:rsid w:val="00D1564A"/>
    <w:rsid w:val="00D156E5"/>
    <w:rsid w:val="00D15AF0"/>
    <w:rsid w:val="00D16090"/>
    <w:rsid w:val="00D16747"/>
    <w:rsid w:val="00D175C7"/>
    <w:rsid w:val="00D17E09"/>
    <w:rsid w:val="00D20886"/>
    <w:rsid w:val="00D21B66"/>
    <w:rsid w:val="00D225A4"/>
    <w:rsid w:val="00D22B9C"/>
    <w:rsid w:val="00D22E00"/>
    <w:rsid w:val="00D251E6"/>
    <w:rsid w:val="00D259B0"/>
    <w:rsid w:val="00D25CCC"/>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640"/>
    <w:rsid w:val="00D3719F"/>
    <w:rsid w:val="00D371C8"/>
    <w:rsid w:val="00D4061B"/>
    <w:rsid w:val="00D411DD"/>
    <w:rsid w:val="00D431DA"/>
    <w:rsid w:val="00D43450"/>
    <w:rsid w:val="00D43D75"/>
    <w:rsid w:val="00D43F48"/>
    <w:rsid w:val="00D43F90"/>
    <w:rsid w:val="00D44156"/>
    <w:rsid w:val="00D44198"/>
    <w:rsid w:val="00D445B3"/>
    <w:rsid w:val="00D44C1D"/>
    <w:rsid w:val="00D453B5"/>
    <w:rsid w:val="00D45977"/>
    <w:rsid w:val="00D46DBF"/>
    <w:rsid w:val="00D46F26"/>
    <w:rsid w:val="00D47591"/>
    <w:rsid w:val="00D50F4A"/>
    <w:rsid w:val="00D51089"/>
    <w:rsid w:val="00D5228C"/>
    <w:rsid w:val="00D5267F"/>
    <w:rsid w:val="00D52D1F"/>
    <w:rsid w:val="00D52E06"/>
    <w:rsid w:val="00D53292"/>
    <w:rsid w:val="00D53650"/>
    <w:rsid w:val="00D540AD"/>
    <w:rsid w:val="00D54C85"/>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157"/>
    <w:rsid w:val="00D65280"/>
    <w:rsid w:val="00D6616F"/>
    <w:rsid w:val="00D6699B"/>
    <w:rsid w:val="00D67E68"/>
    <w:rsid w:val="00D7009E"/>
    <w:rsid w:val="00D70C63"/>
    <w:rsid w:val="00D70DB3"/>
    <w:rsid w:val="00D710C5"/>
    <w:rsid w:val="00D71316"/>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6039"/>
    <w:rsid w:val="00D801EB"/>
    <w:rsid w:val="00D80747"/>
    <w:rsid w:val="00D8099F"/>
    <w:rsid w:val="00D809FF"/>
    <w:rsid w:val="00D80E48"/>
    <w:rsid w:val="00D81046"/>
    <w:rsid w:val="00D810F2"/>
    <w:rsid w:val="00D81285"/>
    <w:rsid w:val="00D8168F"/>
    <w:rsid w:val="00D81B9A"/>
    <w:rsid w:val="00D822C6"/>
    <w:rsid w:val="00D82890"/>
    <w:rsid w:val="00D82E5F"/>
    <w:rsid w:val="00D843D6"/>
    <w:rsid w:val="00D84C30"/>
    <w:rsid w:val="00D85237"/>
    <w:rsid w:val="00D85475"/>
    <w:rsid w:val="00D85A2F"/>
    <w:rsid w:val="00D86605"/>
    <w:rsid w:val="00D87BDC"/>
    <w:rsid w:val="00D9096B"/>
    <w:rsid w:val="00D90D1C"/>
    <w:rsid w:val="00D90D5C"/>
    <w:rsid w:val="00D90ED4"/>
    <w:rsid w:val="00D90F48"/>
    <w:rsid w:val="00D90FF0"/>
    <w:rsid w:val="00D91327"/>
    <w:rsid w:val="00D91838"/>
    <w:rsid w:val="00D91E21"/>
    <w:rsid w:val="00D920E8"/>
    <w:rsid w:val="00D92722"/>
    <w:rsid w:val="00D92BF2"/>
    <w:rsid w:val="00D93295"/>
    <w:rsid w:val="00D9335B"/>
    <w:rsid w:val="00D93DAF"/>
    <w:rsid w:val="00D93DC5"/>
    <w:rsid w:val="00D941AE"/>
    <w:rsid w:val="00D94E5E"/>
    <w:rsid w:val="00D94F2C"/>
    <w:rsid w:val="00D9500C"/>
    <w:rsid w:val="00D96138"/>
    <w:rsid w:val="00D965AB"/>
    <w:rsid w:val="00D96B07"/>
    <w:rsid w:val="00D96BD2"/>
    <w:rsid w:val="00D974EC"/>
    <w:rsid w:val="00D97594"/>
    <w:rsid w:val="00DA002B"/>
    <w:rsid w:val="00DA0351"/>
    <w:rsid w:val="00DA0417"/>
    <w:rsid w:val="00DA059A"/>
    <w:rsid w:val="00DA0676"/>
    <w:rsid w:val="00DA08F0"/>
    <w:rsid w:val="00DA0C77"/>
    <w:rsid w:val="00DA0F27"/>
    <w:rsid w:val="00DA156A"/>
    <w:rsid w:val="00DA1DA8"/>
    <w:rsid w:val="00DA22C1"/>
    <w:rsid w:val="00DA24B0"/>
    <w:rsid w:val="00DA2582"/>
    <w:rsid w:val="00DA2694"/>
    <w:rsid w:val="00DA3CF1"/>
    <w:rsid w:val="00DA4B0E"/>
    <w:rsid w:val="00DA50E4"/>
    <w:rsid w:val="00DA5BEB"/>
    <w:rsid w:val="00DA6864"/>
    <w:rsid w:val="00DA6BFD"/>
    <w:rsid w:val="00DA7645"/>
    <w:rsid w:val="00DA7E15"/>
    <w:rsid w:val="00DA7FC8"/>
    <w:rsid w:val="00DB02FF"/>
    <w:rsid w:val="00DB10BD"/>
    <w:rsid w:val="00DB1112"/>
    <w:rsid w:val="00DB1433"/>
    <w:rsid w:val="00DB197C"/>
    <w:rsid w:val="00DB1AAF"/>
    <w:rsid w:val="00DB26B5"/>
    <w:rsid w:val="00DB3810"/>
    <w:rsid w:val="00DB3AA0"/>
    <w:rsid w:val="00DB3C49"/>
    <w:rsid w:val="00DB41B9"/>
    <w:rsid w:val="00DB42C2"/>
    <w:rsid w:val="00DB43E5"/>
    <w:rsid w:val="00DB444B"/>
    <w:rsid w:val="00DB4628"/>
    <w:rsid w:val="00DB4714"/>
    <w:rsid w:val="00DB4788"/>
    <w:rsid w:val="00DB4D04"/>
    <w:rsid w:val="00DB510A"/>
    <w:rsid w:val="00DB5178"/>
    <w:rsid w:val="00DB5386"/>
    <w:rsid w:val="00DB5ABE"/>
    <w:rsid w:val="00DB6292"/>
    <w:rsid w:val="00DB6689"/>
    <w:rsid w:val="00DB67E7"/>
    <w:rsid w:val="00DB68BB"/>
    <w:rsid w:val="00DB7F10"/>
    <w:rsid w:val="00DC1524"/>
    <w:rsid w:val="00DC17D7"/>
    <w:rsid w:val="00DC1889"/>
    <w:rsid w:val="00DC1CA3"/>
    <w:rsid w:val="00DC2A33"/>
    <w:rsid w:val="00DC3214"/>
    <w:rsid w:val="00DC3579"/>
    <w:rsid w:val="00DC3E0F"/>
    <w:rsid w:val="00DC43AE"/>
    <w:rsid w:val="00DC466F"/>
    <w:rsid w:val="00DC4841"/>
    <w:rsid w:val="00DC4CF6"/>
    <w:rsid w:val="00DC51EE"/>
    <w:rsid w:val="00DC5533"/>
    <w:rsid w:val="00DC5770"/>
    <w:rsid w:val="00DC59D7"/>
    <w:rsid w:val="00DC6E13"/>
    <w:rsid w:val="00DC6E1B"/>
    <w:rsid w:val="00DC79DC"/>
    <w:rsid w:val="00DC7EBE"/>
    <w:rsid w:val="00DD12EF"/>
    <w:rsid w:val="00DD158F"/>
    <w:rsid w:val="00DD16FB"/>
    <w:rsid w:val="00DD235A"/>
    <w:rsid w:val="00DD2381"/>
    <w:rsid w:val="00DD2B1D"/>
    <w:rsid w:val="00DD3821"/>
    <w:rsid w:val="00DD391B"/>
    <w:rsid w:val="00DD3DAF"/>
    <w:rsid w:val="00DD3F5F"/>
    <w:rsid w:val="00DD45D3"/>
    <w:rsid w:val="00DD48F3"/>
    <w:rsid w:val="00DD4E0C"/>
    <w:rsid w:val="00DD55A1"/>
    <w:rsid w:val="00DD5A2A"/>
    <w:rsid w:val="00DD662B"/>
    <w:rsid w:val="00DD6C92"/>
    <w:rsid w:val="00DD7BEE"/>
    <w:rsid w:val="00DE0048"/>
    <w:rsid w:val="00DE01AB"/>
    <w:rsid w:val="00DE02F3"/>
    <w:rsid w:val="00DE0778"/>
    <w:rsid w:val="00DE0B85"/>
    <w:rsid w:val="00DE12BD"/>
    <w:rsid w:val="00DE1532"/>
    <w:rsid w:val="00DE179B"/>
    <w:rsid w:val="00DE292D"/>
    <w:rsid w:val="00DE2AA3"/>
    <w:rsid w:val="00DE30D1"/>
    <w:rsid w:val="00DE3B74"/>
    <w:rsid w:val="00DE40F7"/>
    <w:rsid w:val="00DE441B"/>
    <w:rsid w:val="00DE47DF"/>
    <w:rsid w:val="00DE4D21"/>
    <w:rsid w:val="00DE5EA6"/>
    <w:rsid w:val="00DE5F41"/>
    <w:rsid w:val="00DE61FB"/>
    <w:rsid w:val="00DE6B6A"/>
    <w:rsid w:val="00DE6D03"/>
    <w:rsid w:val="00DE6F12"/>
    <w:rsid w:val="00DE730F"/>
    <w:rsid w:val="00DE731D"/>
    <w:rsid w:val="00DE7A1D"/>
    <w:rsid w:val="00DF0A8D"/>
    <w:rsid w:val="00DF0E97"/>
    <w:rsid w:val="00DF11F0"/>
    <w:rsid w:val="00DF1956"/>
    <w:rsid w:val="00DF19CC"/>
    <w:rsid w:val="00DF1AD2"/>
    <w:rsid w:val="00DF1D62"/>
    <w:rsid w:val="00DF2170"/>
    <w:rsid w:val="00DF2FC2"/>
    <w:rsid w:val="00DF3D62"/>
    <w:rsid w:val="00DF40B8"/>
    <w:rsid w:val="00DF48A8"/>
    <w:rsid w:val="00DF572E"/>
    <w:rsid w:val="00DF596A"/>
    <w:rsid w:val="00DF650F"/>
    <w:rsid w:val="00DF6BD1"/>
    <w:rsid w:val="00DF6DA6"/>
    <w:rsid w:val="00DF708D"/>
    <w:rsid w:val="00DF7EB8"/>
    <w:rsid w:val="00E0031E"/>
    <w:rsid w:val="00E00A61"/>
    <w:rsid w:val="00E00FD5"/>
    <w:rsid w:val="00E01956"/>
    <w:rsid w:val="00E02047"/>
    <w:rsid w:val="00E023E5"/>
    <w:rsid w:val="00E02837"/>
    <w:rsid w:val="00E0429B"/>
    <w:rsid w:val="00E0443C"/>
    <w:rsid w:val="00E04B0F"/>
    <w:rsid w:val="00E04B4F"/>
    <w:rsid w:val="00E061BA"/>
    <w:rsid w:val="00E06FD6"/>
    <w:rsid w:val="00E074C1"/>
    <w:rsid w:val="00E07B79"/>
    <w:rsid w:val="00E07CDC"/>
    <w:rsid w:val="00E1006A"/>
    <w:rsid w:val="00E105B9"/>
    <w:rsid w:val="00E1079E"/>
    <w:rsid w:val="00E10F6A"/>
    <w:rsid w:val="00E112FA"/>
    <w:rsid w:val="00E12CED"/>
    <w:rsid w:val="00E13A45"/>
    <w:rsid w:val="00E13D2C"/>
    <w:rsid w:val="00E13EE3"/>
    <w:rsid w:val="00E148CD"/>
    <w:rsid w:val="00E14E22"/>
    <w:rsid w:val="00E14FF5"/>
    <w:rsid w:val="00E15713"/>
    <w:rsid w:val="00E16682"/>
    <w:rsid w:val="00E1678A"/>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D57"/>
    <w:rsid w:val="00E26257"/>
    <w:rsid w:val="00E264AD"/>
    <w:rsid w:val="00E27074"/>
    <w:rsid w:val="00E273AF"/>
    <w:rsid w:val="00E27C73"/>
    <w:rsid w:val="00E27E1C"/>
    <w:rsid w:val="00E300F2"/>
    <w:rsid w:val="00E30B60"/>
    <w:rsid w:val="00E31966"/>
    <w:rsid w:val="00E3203D"/>
    <w:rsid w:val="00E32AE4"/>
    <w:rsid w:val="00E32D6A"/>
    <w:rsid w:val="00E33396"/>
    <w:rsid w:val="00E335C5"/>
    <w:rsid w:val="00E33D24"/>
    <w:rsid w:val="00E33E8E"/>
    <w:rsid w:val="00E34706"/>
    <w:rsid w:val="00E34791"/>
    <w:rsid w:val="00E34C42"/>
    <w:rsid w:val="00E34ED4"/>
    <w:rsid w:val="00E35580"/>
    <w:rsid w:val="00E36DD5"/>
    <w:rsid w:val="00E37347"/>
    <w:rsid w:val="00E3751A"/>
    <w:rsid w:val="00E377A6"/>
    <w:rsid w:val="00E4005E"/>
    <w:rsid w:val="00E40A1E"/>
    <w:rsid w:val="00E41CF2"/>
    <w:rsid w:val="00E41D23"/>
    <w:rsid w:val="00E420C4"/>
    <w:rsid w:val="00E42108"/>
    <w:rsid w:val="00E4297F"/>
    <w:rsid w:val="00E42D22"/>
    <w:rsid w:val="00E438F7"/>
    <w:rsid w:val="00E43DB5"/>
    <w:rsid w:val="00E43E29"/>
    <w:rsid w:val="00E43EE5"/>
    <w:rsid w:val="00E441A9"/>
    <w:rsid w:val="00E44ACD"/>
    <w:rsid w:val="00E44CB9"/>
    <w:rsid w:val="00E45343"/>
    <w:rsid w:val="00E45B97"/>
    <w:rsid w:val="00E45F62"/>
    <w:rsid w:val="00E46852"/>
    <w:rsid w:val="00E46AB1"/>
    <w:rsid w:val="00E4775D"/>
    <w:rsid w:val="00E479FF"/>
    <w:rsid w:val="00E51392"/>
    <w:rsid w:val="00E515B1"/>
    <w:rsid w:val="00E51662"/>
    <w:rsid w:val="00E5269A"/>
    <w:rsid w:val="00E535D1"/>
    <w:rsid w:val="00E536FC"/>
    <w:rsid w:val="00E53AA6"/>
    <w:rsid w:val="00E53C6C"/>
    <w:rsid w:val="00E53CB2"/>
    <w:rsid w:val="00E53D6A"/>
    <w:rsid w:val="00E54898"/>
    <w:rsid w:val="00E55558"/>
    <w:rsid w:val="00E55BB8"/>
    <w:rsid w:val="00E56344"/>
    <w:rsid w:val="00E57E87"/>
    <w:rsid w:val="00E60DE1"/>
    <w:rsid w:val="00E60EA4"/>
    <w:rsid w:val="00E61076"/>
    <w:rsid w:val="00E61812"/>
    <w:rsid w:val="00E62CF0"/>
    <w:rsid w:val="00E62E5D"/>
    <w:rsid w:val="00E65073"/>
    <w:rsid w:val="00E65C86"/>
    <w:rsid w:val="00E65E8C"/>
    <w:rsid w:val="00E66800"/>
    <w:rsid w:val="00E66D78"/>
    <w:rsid w:val="00E67196"/>
    <w:rsid w:val="00E673C1"/>
    <w:rsid w:val="00E67C5C"/>
    <w:rsid w:val="00E67E4D"/>
    <w:rsid w:val="00E67E55"/>
    <w:rsid w:val="00E7027B"/>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6497"/>
    <w:rsid w:val="00E76C33"/>
    <w:rsid w:val="00E77D1D"/>
    <w:rsid w:val="00E8011B"/>
    <w:rsid w:val="00E801FE"/>
    <w:rsid w:val="00E80768"/>
    <w:rsid w:val="00E80E1E"/>
    <w:rsid w:val="00E82135"/>
    <w:rsid w:val="00E82862"/>
    <w:rsid w:val="00E82CA0"/>
    <w:rsid w:val="00E82E17"/>
    <w:rsid w:val="00E84AD4"/>
    <w:rsid w:val="00E8534F"/>
    <w:rsid w:val="00E854EA"/>
    <w:rsid w:val="00E85E9E"/>
    <w:rsid w:val="00E85EC9"/>
    <w:rsid w:val="00E86BAE"/>
    <w:rsid w:val="00E870A0"/>
    <w:rsid w:val="00E876A3"/>
    <w:rsid w:val="00E87DC5"/>
    <w:rsid w:val="00E903A5"/>
    <w:rsid w:val="00E90A19"/>
    <w:rsid w:val="00E91460"/>
    <w:rsid w:val="00E915F1"/>
    <w:rsid w:val="00E91C42"/>
    <w:rsid w:val="00E91E26"/>
    <w:rsid w:val="00E92341"/>
    <w:rsid w:val="00E9331A"/>
    <w:rsid w:val="00E93635"/>
    <w:rsid w:val="00E94F06"/>
    <w:rsid w:val="00E95243"/>
    <w:rsid w:val="00E956CB"/>
    <w:rsid w:val="00E960B8"/>
    <w:rsid w:val="00E96AEE"/>
    <w:rsid w:val="00E96D1C"/>
    <w:rsid w:val="00E977CB"/>
    <w:rsid w:val="00E977CE"/>
    <w:rsid w:val="00E97990"/>
    <w:rsid w:val="00E97CCC"/>
    <w:rsid w:val="00E97D2F"/>
    <w:rsid w:val="00E97EA7"/>
    <w:rsid w:val="00E97FB1"/>
    <w:rsid w:val="00EA01C6"/>
    <w:rsid w:val="00EA0ABD"/>
    <w:rsid w:val="00EA1514"/>
    <w:rsid w:val="00EA16E1"/>
    <w:rsid w:val="00EA1767"/>
    <w:rsid w:val="00EA1F8E"/>
    <w:rsid w:val="00EA2360"/>
    <w:rsid w:val="00EA272B"/>
    <w:rsid w:val="00EA2F5D"/>
    <w:rsid w:val="00EA301E"/>
    <w:rsid w:val="00EA3B15"/>
    <w:rsid w:val="00EA3BA1"/>
    <w:rsid w:val="00EA449C"/>
    <w:rsid w:val="00EA4F1E"/>
    <w:rsid w:val="00EA4F7D"/>
    <w:rsid w:val="00EA5386"/>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7E2"/>
    <w:rsid w:val="00EB4926"/>
    <w:rsid w:val="00EB4B58"/>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552D"/>
    <w:rsid w:val="00EC5B93"/>
    <w:rsid w:val="00EC6B07"/>
    <w:rsid w:val="00EC774B"/>
    <w:rsid w:val="00ED13EB"/>
    <w:rsid w:val="00ED1462"/>
    <w:rsid w:val="00ED14A1"/>
    <w:rsid w:val="00ED17FA"/>
    <w:rsid w:val="00ED1856"/>
    <w:rsid w:val="00ED1E7C"/>
    <w:rsid w:val="00ED24B6"/>
    <w:rsid w:val="00ED25D2"/>
    <w:rsid w:val="00ED3424"/>
    <w:rsid w:val="00ED35C0"/>
    <w:rsid w:val="00ED3F38"/>
    <w:rsid w:val="00ED4124"/>
    <w:rsid w:val="00ED5030"/>
    <w:rsid w:val="00ED547D"/>
    <w:rsid w:val="00ED596C"/>
    <w:rsid w:val="00ED5ACF"/>
    <w:rsid w:val="00EE0174"/>
    <w:rsid w:val="00EE01D1"/>
    <w:rsid w:val="00EE083C"/>
    <w:rsid w:val="00EE0D6A"/>
    <w:rsid w:val="00EE12E9"/>
    <w:rsid w:val="00EE13A7"/>
    <w:rsid w:val="00EE18F3"/>
    <w:rsid w:val="00EE2972"/>
    <w:rsid w:val="00EE2B55"/>
    <w:rsid w:val="00EE3341"/>
    <w:rsid w:val="00EE3445"/>
    <w:rsid w:val="00EE4436"/>
    <w:rsid w:val="00EE4BBE"/>
    <w:rsid w:val="00EE5181"/>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A0C"/>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01"/>
    <w:rsid w:val="00EF5B95"/>
    <w:rsid w:val="00EF60B7"/>
    <w:rsid w:val="00EF613D"/>
    <w:rsid w:val="00F00922"/>
    <w:rsid w:val="00F00AE5"/>
    <w:rsid w:val="00F0102C"/>
    <w:rsid w:val="00F0106B"/>
    <w:rsid w:val="00F0137B"/>
    <w:rsid w:val="00F0139C"/>
    <w:rsid w:val="00F01C88"/>
    <w:rsid w:val="00F020E1"/>
    <w:rsid w:val="00F0221D"/>
    <w:rsid w:val="00F02DE5"/>
    <w:rsid w:val="00F0324F"/>
    <w:rsid w:val="00F03AA2"/>
    <w:rsid w:val="00F043F9"/>
    <w:rsid w:val="00F046C5"/>
    <w:rsid w:val="00F04E02"/>
    <w:rsid w:val="00F05558"/>
    <w:rsid w:val="00F0595E"/>
    <w:rsid w:val="00F05A7B"/>
    <w:rsid w:val="00F05F59"/>
    <w:rsid w:val="00F06454"/>
    <w:rsid w:val="00F06CB2"/>
    <w:rsid w:val="00F06E72"/>
    <w:rsid w:val="00F07C8A"/>
    <w:rsid w:val="00F07D8B"/>
    <w:rsid w:val="00F104D0"/>
    <w:rsid w:val="00F106FC"/>
    <w:rsid w:val="00F10840"/>
    <w:rsid w:val="00F116E1"/>
    <w:rsid w:val="00F11E4F"/>
    <w:rsid w:val="00F1272B"/>
    <w:rsid w:val="00F12DE0"/>
    <w:rsid w:val="00F13033"/>
    <w:rsid w:val="00F13232"/>
    <w:rsid w:val="00F132E7"/>
    <w:rsid w:val="00F133A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1CB"/>
    <w:rsid w:val="00F20776"/>
    <w:rsid w:val="00F207D4"/>
    <w:rsid w:val="00F21051"/>
    <w:rsid w:val="00F2106E"/>
    <w:rsid w:val="00F21514"/>
    <w:rsid w:val="00F21AE7"/>
    <w:rsid w:val="00F21B8E"/>
    <w:rsid w:val="00F21CAF"/>
    <w:rsid w:val="00F223BD"/>
    <w:rsid w:val="00F223EA"/>
    <w:rsid w:val="00F2285E"/>
    <w:rsid w:val="00F22EE2"/>
    <w:rsid w:val="00F232DA"/>
    <w:rsid w:val="00F23613"/>
    <w:rsid w:val="00F242C5"/>
    <w:rsid w:val="00F24874"/>
    <w:rsid w:val="00F24980"/>
    <w:rsid w:val="00F24B20"/>
    <w:rsid w:val="00F24EF6"/>
    <w:rsid w:val="00F2539D"/>
    <w:rsid w:val="00F257C8"/>
    <w:rsid w:val="00F25C36"/>
    <w:rsid w:val="00F26145"/>
    <w:rsid w:val="00F26345"/>
    <w:rsid w:val="00F2634C"/>
    <w:rsid w:val="00F26D6D"/>
    <w:rsid w:val="00F27E08"/>
    <w:rsid w:val="00F30616"/>
    <w:rsid w:val="00F30CBB"/>
    <w:rsid w:val="00F319F9"/>
    <w:rsid w:val="00F32AF9"/>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3B41"/>
    <w:rsid w:val="00F443B0"/>
    <w:rsid w:val="00F444E7"/>
    <w:rsid w:val="00F447EA"/>
    <w:rsid w:val="00F44943"/>
    <w:rsid w:val="00F453DF"/>
    <w:rsid w:val="00F466CA"/>
    <w:rsid w:val="00F4737E"/>
    <w:rsid w:val="00F47D5F"/>
    <w:rsid w:val="00F47E5F"/>
    <w:rsid w:val="00F50623"/>
    <w:rsid w:val="00F508D7"/>
    <w:rsid w:val="00F511EE"/>
    <w:rsid w:val="00F51D28"/>
    <w:rsid w:val="00F51E4D"/>
    <w:rsid w:val="00F5232E"/>
    <w:rsid w:val="00F533F9"/>
    <w:rsid w:val="00F539AC"/>
    <w:rsid w:val="00F53D94"/>
    <w:rsid w:val="00F5420D"/>
    <w:rsid w:val="00F5457E"/>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EF9"/>
    <w:rsid w:val="00F713E2"/>
    <w:rsid w:val="00F7187B"/>
    <w:rsid w:val="00F718A4"/>
    <w:rsid w:val="00F72698"/>
    <w:rsid w:val="00F728AA"/>
    <w:rsid w:val="00F72AD3"/>
    <w:rsid w:val="00F72C8A"/>
    <w:rsid w:val="00F72CA8"/>
    <w:rsid w:val="00F72D90"/>
    <w:rsid w:val="00F741FA"/>
    <w:rsid w:val="00F7430B"/>
    <w:rsid w:val="00F745D9"/>
    <w:rsid w:val="00F7523E"/>
    <w:rsid w:val="00F759D7"/>
    <w:rsid w:val="00F75B3D"/>
    <w:rsid w:val="00F7609A"/>
    <w:rsid w:val="00F76924"/>
    <w:rsid w:val="00F76FD6"/>
    <w:rsid w:val="00F77293"/>
    <w:rsid w:val="00F7777C"/>
    <w:rsid w:val="00F77C33"/>
    <w:rsid w:val="00F77D71"/>
    <w:rsid w:val="00F808F0"/>
    <w:rsid w:val="00F80927"/>
    <w:rsid w:val="00F819E1"/>
    <w:rsid w:val="00F822A0"/>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A0A"/>
    <w:rsid w:val="00F94A71"/>
    <w:rsid w:val="00F94CCA"/>
    <w:rsid w:val="00F9535C"/>
    <w:rsid w:val="00F95780"/>
    <w:rsid w:val="00F95ED3"/>
    <w:rsid w:val="00F95EFB"/>
    <w:rsid w:val="00F9624E"/>
    <w:rsid w:val="00F966D1"/>
    <w:rsid w:val="00F96923"/>
    <w:rsid w:val="00F96E26"/>
    <w:rsid w:val="00F970DB"/>
    <w:rsid w:val="00F9766C"/>
    <w:rsid w:val="00FA008C"/>
    <w:rsid w:val="00FA0431"/>
    <w:rsid w:val="00FA0577"/>
    <w:rsid w:val="00FA086C"/>
    <w:rsid w:val="00FA0870"/>
    <w:rsid w:val="00FA0FFB"/>
    <w:rsid w:val="00FA1441"/>
    <w:rsid w:val="00FA176E"/>
    <w:rsid w:val="00FA203F"/>
    <w:rsid w:val="00FA38A1"/>
    <w:rsid w:val="00FA3A91"/>
    <w:rsid w:val="00FA3C01"/>
    <w:rsid w:val="00FA3F41"/>
    <w:rsid w:val="00FA4A3B"/>
    <w:rsid w:val="00FA529B"/>
    <w:rsid w:val="00FA559F"/>
    <w:rsid w:val="00FA62C1"/>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FB0"/>
    <w:rsid w:val="00FB6720"/>
    <w:rsid w:val="00FB6F0E"/>
    <w:rsid w:val="00FC06BF"/>
    <w:rsid w:val="00FC0AE4"/>
    <w:rsid w:val="00FC0E21"/>
    <w:rsid w:val="00FC1694"/>
    <w:rsid w:val="00FC1C90"/>
    <w:rsid w:val="00FC1CF2"/>
    <w:rsid w:val="00FC2124"/>
    <w:rsid w:val="00FC2576"/>
    <w:rsid w:val="00FC2A8A"/>
    <w:rsid w:val="00FC2E45"/>
    <w:rsid w:val="00FC351E"/>
    <w:rsid w:val="00FC35DE"/>
    <w:rsid w:val="00FC38A5"/>
    <w:rsid w:val="00FC4398"/>
    <w:rsid w:val="00FC4B62"/>
    <w:rsid w:val="00FC4BA2"/>
    <w:rsid w:val="00FC503B"/>
    <w:rsid w:val="00FC5301"/>
    <w:rsid w:val="00FC588B"/>
    <w:rsid w:val="00FC5B26"/>
    <w:rsid w:val="00FC5F5C"/>
    <w:rsid w:val="00FC6028"/>
    <w:rsid w:val="00FC635D"/>
    <w:rsid w:val="00FC64BB"/>
    <w:rsid w:val="00FC66B8"/>
    <w:rsid w:val="00FC6947"/>
    <w:rsid w:val="00FC6E6C"/>
    <w:rsid w:val="00FC6E74"/>
    <w:rsid w:val="00FC7186"/>
    <w:rsid w:val="00FC742F"/>
    <w:rsid w:val="00FC7959"/>
    <w:rsid w:val="00FC7C89"/>
    <w:rsid w:val="00FD0F61"/>
    <w:rsid w:val="00FD10F4"/>
    <w:rsid w:val="00FD1280"/>
    <w:rsid w:val="00FD143C"/>
    <w:rsid w:val="00FD1946"/>
    <w:rsid w:val="00FD2965"/>
    <w:rsid w:val="00FD2A64"/>
    <w:rsid w:val="00FD2CC3"/>
    <w:rsid w:val="00FD3D61"/>
    <w:rsid w:val="00FD436D"/>
    <w:rsid w:val="00FD491D"/>
    <w:rsid w:val="00FD49DB"/>
    <w:rsid w:val="00FD4FE1"/>
    <w:rsid w:val="00FD5062"/>
    <w:rsid w:val="00FD7318"/>
    <w:rsid w:val="00FD7407"/>
    <w:rsid w:val="00FD764D"/>
    <w:rsid w:val="00FD7B35"/>
    <w:rsid w:val="00FD7C6C"/>
    <w:rsid w:val="00FD7CDC"/>
    <w:rsid w:val="00FD7F20"/>
    <w:rsid w:val="00FE01A6"/>
    <w:rsid w:val="00FE02F8"/>
    <w:rsid w:val="00FE0BA6"/>
    <w:rsid w:val="00FE1445"/>
    <w:rsid w:val="00FE153E"/>
    <w:rsid w:val="00FE18EF"/>
    <w:rsid w:val="00FE1CE2"/>
    <w:rsid w:val="00FE1DFC"/>
    <w:rsid w:val="00FE1F56"/>
    <w:rsid w:val="00FE235B"/>
    <w:rsid w:val="00FE27FE"/>
    <w:rsid w:val="00FE2852"/>
    <w:rsid w:val="00FE2F5F"/>
    <w:rsid w:val="00FE2FED"/>
    <w:rsid w:val="00FE393B"/>
    <w:rsid w:val="00FE4456"/>
    <w:rsid w:val="00FE4608"/>
    <w:rsid w:val="00FE4826"/>
    <w:rsid w:val="00FE5DD2"/>
    <w:rsid w:val="00FE5ED4"/>
    <w:rsid w:val="00FE66DF"/>
    <w:rsid w:val="00FE6845"/>
    <w:rsid w:val="00FE6AD1"/>
    <w:rsid w:val="00FE6B43"/>
    <w:rsid w:val="00FE78FD"/>
    <w:rsid w:val="00FE7BA2"/>
    <w:rsid w:val="00FF0586"/>
    <w:rsid w:val="00FF09BD"/>
    <w:rsid w:val="00FF1744"/>
    <w:rsid w:val="00FF2265"/>
    <w:rsid w:val="00FF3496"/>
    <w:rsid w:val="00FF3AA2"/>
    <w:rsid w:val="00FF3CA1"/>
    <w:rsid w:val="00FF4177"/>
    <w:rsid w:val="00FF4675"/>
    <w:rsid w:val="00FF48C8"/>
    <w:rsid w:val="00FF68D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774D28"/>
  <w15:docId w15:val="{2CD460B6-4FE5-46D2-910F-D2D43630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link w:val="MapadeldocumentoCar"/>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09618D"/>
    <w:pPr>
      <w:numPr>
        <w:numId w:val="20"/>
      </w:numPr>
      <w:contextualSpacing/>
    </w:pPr>
  </w:style>
  <w:style w:type="paragraph" w:styleId="Sangradetextonormal">
    <w:name w:val="Body Text Indent"/>
    <w:basedOn w:val="Normal"/>
    <w:link w:val="SangradetextonormalCar"/>
    <w:semiHidden/>
    <w:unhideWhenUsed/>
    <w:rsid w:val="0009618D"/>
    <w:pPr>
      <w:spacing w:after="120"/>
      <w:ind w:left="283"/>
    </w:pPr>
  </w:style>
  <w:style w:type="character" w:customStyle="1" w:styleId="SangradetextonormalCar">
    <w:name w:val="Sangría de texto normal Car"/>
    <w:basedOn w:val="Fuentedeprrafopredeter"/>
    <w:link w:val="Sangradetextonormal"/>
    <w:semiHidden/>
    <w:rsid w:val="0009618D"/>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09618D"/>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09618D"/>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CD15B1"/>
    <w:rPr>
      <w:color w:val="808080"/>
      <w:shd w:val="clear" w:color="auto" w:fill="E6E6E6"/>
    </w:rPr>
  </w:style>
  <w:style w:type="character" w:customStyle="1" w:styleId="Mencinsinresolver2">
    <w:name w:val="Mención sin resolver2"/>
    <w:basedOn w:val="Fuentedeprrafopredeter"/>
    <w:uiPriority w:val="99"/>
    <w:semiHidden/>
    <w:unhideWhenUsed/>
    <w:rsid w:val="0029288A"/>
    <w:rPr>
      <w:color w:val="605E5C"/>
      <w:shd w:val="clear" w:color="auto" w:fill="E1DFDD"/>
    </w:rPr>
  </w:style>
  <w:style w:type="character" w:customStyle="1" w:styleId="MapadeldocumentoCar">
    <w:name w:val="Mapa del documento Car"/>
    <w:basedOn w:val="Fuentedeprrafopredeter"/>
    <w:link w:val="Mapadeldocumento"/>
    <w:semiHidden/>
    <w:rsid w:val="003B469D"/>
    <w:rPr>
      <w:rFonts w:ascii="Tahoma" w:hAnsi="Tahoma" w:cs="Tahoma"/>
      <w:sz w:val="24"/>
      <w:szCs w:val="24"/>
      <w:shd w:val="clear" w:color="auto" w:fill="000080"/>
      <w:lang w:val="es-ES_tradnl" w:eastAsia="es-ES"/>
    </w:rPr>
  </w:style>
  <w:style w:type="character" w:customStyle="1" w:styleId="Mencinsinresolver3">
    <w:name w:val="Mención sin resolver3"/>
    <w:basedOn w:val="Fuentedeprrafopredeter"/>
    <w:uiPriority w:val="99"/>
    <w:semiHidden/>
    <w:unhideWhenUsed/>
    <w:rsid w:val="009C4CD6"/>
    <w:rPr>
      <w:color w:val="605E5C"/>
      <w:shd w:val="clear" w:color="auto" w:fill="E1DFDD"/>
    </w:rPr>
  </w:style>
  <w:style w:type="character" w:customStyle="1" w:styleId="Mencinsinresolver4">
    <w:name w:val="Mención sin resolver4"/>
    <w:basedOn w:val="Fuentedeprrafopredeter"/>
    <w:uiPriority w:val="99"/>
    <w:semiHidden/>
    <w:unhideWhenUsed/>
    <w:rsid w:val="00F046C5"/>
    <w:rPr>
      <w:color w:val="605E5C"/>
      <w:shd w:val="clear" w:color="auto" w:fill="E1DFDD"/>
    </w:rPr>
  </w:style>
  <w:style w:type="character" w:styleId="Mencinsinresolver">
    <w:name w:val="Unresolved Mention"/>
    <w:basedOn w:val="Fuentedeprrafopredeter"/>
    <w:uiPriority w:val="99"/>
    <w:semiHidden/>
    <w:unhideWhenUsed/>
    <w:rsid w:val="00F133A7"/>
    <w:rPr>
      <w:color w:val="605E5C"/>
      <w:shd w:val="clear" w:color="auto" w:fill="E1DFDD"/>
    </w:rPr>
  </w:style>
  <w:style w:type="paragraph" w:customStyle="1" w:styleId="p01">
    <w:name w:val="p01"/>
    <w:basedOn w:val="Normal1"/>
    <w:next w:val="p0"/>
    <w:rsid w:val="006172C1"/>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6172C1"/>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910">
      <w:bodyDiv w:val="1"/>
      <w:marLeft w:val="0"/>
      <w:marRight w:val="0"/>
      <w:marTop w:val="0"/>
      <w:marBottom w:val="0"/>
      <w:divBdr>
        <w:top w:val="none" w:sz="0" w:space="0" w:color="auto"/>
        <w:left w:val="none" w:sz="0" w:space="0" w:color="auto"/>
        <w:bottom w:val="none" w:sz="0" w:space="0" w:color="auto"/>
        <w:right w:val="none" w:sz="0" w:space="0" w:color="auto"/>
      </w:divBdr>
    </w:div>
    <w:div w:id="63534393">
      <w:bodyDiv w:val="1"/>
      <w:marLeft w:val="0"/>
      <w:marRight w:val="0"/>
      <w:marTop w:val="0"/>
      <w:marBottom w:val="0"/>
      <w:divBdr>
        <w:top w:val="none" w:sz="0" w:space="0" w:color="auto"/>
        <w:left w:val="none" w:sz="0" w:space="0" w:color="auto"/>
        <w:bottom w:val="none" w:sz="0" w:space="0" w:color="auto"/>
        <w:right w:val="none" w:sz="0" w:space="0" w:color="auto"/>
      </w:divBdr>
    </w:div>
    <w:div w:id="82533486">
      <w:bodyDiv w:val="1"/>
      <w:marLeft w:val="0"/>
      <w:marRight w:val="0"/>
      <w:marTop w:val="0"/>
      <w:marBottom w:val="0"/>
      <w:divBdr>
        <w:top w:val="none" w:sz="0" w:space="0" w:color="auto"/>
        <w:left w:val="none" w:sz="0" w:space="0" w:color="auto"/>
        <w:bottom w:val="none" w:sz="0" w:space="0" w:color="auto"/>
        <w:right w:val="none" w:sz="0" w:space="0" w:color="auto"/>
      </w:divBdr>
    </w:div>
    <w:div w:id="127018167">
      <w:bodyDiv w:val="1"/>
      <w:marLeft w:val="0"/>
      <w:marRight w:val="0"/>
      <w:marTop w:val="0"/>
      <w:marBottom w:val="0"/>
      <w:divBdr>
        <w:top w:val="none" w:sz="0" w:space="0" w:color="auto"/>
        <w:left w:val="none" w:sz="0" w:space="0" w:color="auto"/>
        <w:bottom w:val="none" w:sz="0" w:space="0" w:color="auto"/>
        <w:right w:val="none" w:sz="0" w:space="0" w:color="auto"/>
      </w:divBdr>
    </w:div>
    <w:div w:id="153960150">
      <w:bodyDiv w:val="1"/>
      <w:marLeft w:val="0"/>
      <w:marRight w:val="0"/>
      <w:marTop w:val="0"/>
      <w:marBottom w:val="0"/>
      <w:divBdr>
        <w:top w:val="none" w:sz="0" w:space="0" w:color="auto"/>
        <w:left w:val="none" w:sz="0" w:space="0" w:color="auto"/>
        <w:bottom w:val="none" w:sz="0" w:space="0" w:color="auto"/>
        <w:right w:val="none" w:sz="0" w:space="0" w:color="auto"/>
      </w:divBdr>
    </w:div>
    <w:div w:id="305359769">
      <w:bodyDiv w:val="1"/>
      <w:marLeft w:val="0"/>
      <w:marRight w:val="0"/>
      <w:marTop w:val="0"/>
      <w:marBottom w:val="0"/>
      <w:divBdr>
        <w:top w:val="none" w:sz="0" w:space="0" w:color="auto"/>
        <w:left w:val="none" w:sz="0" w:space="0" w:color="auto"/>
        <w:bottom w:val="none" w:sz="0" w:space="0" w:color="auto"/>
        <w:right w:val="none" w:sz="0" w:space="0" w:color="auto"/>
      </w:divBdr>
    </w:div>
    <w:div w:id="309866094">
      <w:bodyDiv w:val="1"/>
      <w:marLeft w:val="0"/>
      <w:marRight w:val="0"/>
      <w:marTop w:val="0"/>
      <w:marBottom w:val="0"/>
      <w:divBdr>
        <w:top w:val="none" w:sz="0" w:space="0" w:color="auto"/>
        <w:left w:val="none" w:sz="0" w:space="0" w:color="auto"/>
        <w:bottom w:val="none" w:sz="0" w:space="0" w:color="auto"/>
        <w:right w:val="none" w:sz="0" w:space="0" w:color="auto"/>
      </w:divBdr>
    </w:div>
    <w:div w:id="369652275">
      <w:bodyDiv w:val="1"/>
      <w:marLeft w:val="0"/>
      <w:marRight w:val="0"/>
      <w:marTop w:val="0"/>
      <w:marBottom w:val="0"/>
      <w:divBdr>
        <w:top w:val="none" w:sz="0" w:space="0" w:color="auto"/>
        <w:left w:val="none" w:sz="0" w:space="0" w:color="auto"/>
        <w:bottom w:val="none" w:sz="0" w:space="0" w:color="auto"/>
        <w:right w:val="none" w:sz="0" w:space="0" w:color="auto"/>
      </w:divBdr>
    </w:div>
    <w:div w:id="43490452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240558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5670200">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2964254">
      <w:bodyDiv w:val="1"/>
      <w:marLeft w:val="0"/>
      <w:marRight w:val="0"/>
      <w:marTop w:val="0"/>
      <w:marBottom w:val="0"/>
      <w:divBdr>
        <w:top w:val="none" w:sz="0" w:space="0" w:color="auto"/>
        <w:left w:val="none" w:sz="0" w:space="0" w:color="auto"/>
        <w:bottom w:val="none" w:sz="0" w:space="0" w:color="auto"/>
        <w:right w:val="none" w:sz="0" w:space="0" w:color="auto"/>
      </w:divBdr>
    </w:div>
    <w:div w:id="832332092">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989977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8360328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955045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564812">
      <w:bodyDiv w:val="1"/>
      <w:marLeft w:val="0"/>
      <w:marRight w:val="0"/>
      <w:marTop w:val="0"/>
      <w:marBottom w:val="0"/>
      <w:divBdr>
        <w:top w:val="none" w:sz="0" w:space="0" w:color="auto"/>
        <w:left w:val="none" w:sz="0" w:space="0" w:color="auto"/>
        <w:bottom w:val="none" w:sz="0" w:space="0" w:color="auto"/>
        <w:right w:val="none" w:sz="0" w:space="0" w:color="auto"/>
      </w:divBdr>
    </w:div>
    <w:div w:id="178245403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6830352">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hyperlink" Target="https://www.inegi.org.mx/programas/inpc/2018/default.htm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image" Target="media/image12.emf"/><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image" Target="media/image11.emf"/><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2.xml"/><Relationship Id="rId36" Type="http://schemas.openxmlformats.org/officeDocument/2006/relationships/image" Target="media/image13.png"/><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chart" Target="charts/chart1.xml"/><Relationship Id="rId30" Type="http://schemas.openxmlformats.org/officeDocument/2006/relationships/image" Target="media/image9.emf"/><Relationship Id="rId35" Type="http://schemas.openxmlformats.org/officeDocument/2006/relationships/hyperlink" Target="https://www.inegi.org.mx/programas/inpc/2018/" TargetMode="External"/><Relationship Id="rId8" Type="http://schemas.openxmlformats.org/officeDocument/2006/relationships/image" Target="media/image1.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inpc/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63731166294637E-2"/>
          <c:y val="4.4033297494158651E-2"/>
          <c:w val="0.90063575645545857"/>
          <c:h val="0.86234463093682401"/>
        </c:manualLayout>
      </c:layout>
      <c:barChart>
        <c:barDir val="col"/>
        <c:grouping val="clustered"/>
        <c:varyColors val="0"/>
        <c:ser>
          <c:idx val="0"/>
          <c:order val="0"/>
          <c:spPr>
            <a:solidFill>
              <a:srgbClr val="77933C"/>
            </a:solidFill>
          </c:spPr>
          <c:invertIfNegative val="0"/>
          <c:dLbls>
            <c:spPr>
              <a:noFill/>
              <a:ln>
                <a:noFill/>
              </a:ln>
              <a:effectLst/>
            </c:spPr>
            <c:txPr>
              <a:bodyPr wrap="square" lIns="0" tIns="0" rIns="0" bIns="0" anchor="ctr">
                <a:spAutoFit/>
              </a:bodyPr>
              <a:lstStyle/>
              <a:p>
                <a:pPr>
                  <a:defRPr sz="700"/>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base 2q jul 2018'!$P$189:$Y$189</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2018'!$P$191:$Y$191</c:f>
              <c:numCache>
                <c:formatCode>0.00</c:formatCode>
                <c:ptCount val="10"/>
                <c:pt idx="0">
                  <c:v>0.3751446701520722</c:v>
                </c:pt>
                <c:pt idx="1">
                  <c:v>0.2032910130029375</c:v>
                </c:pt>
                <c:pt idx="2">
                  <c:v>0.49220825052469497</c:v>
                </c:pt>
                <c:pt idx="3">
                  <c:v>0.2533220745744913</c:v>
                </c:pt>
                <c:pt idx="4">
                  <c:v>0.18973041033514271</c:v>
                </c:pt>
                <c:pt idx="5">
                  <c:v>0.43787399986554565</c:v>
                </c:pt>
                <c:pt idx="6">
                  <c:v>0.57785839259056893</c:v>
                </c:pt>
                <c:pt idx="7">
                  <c:v>0.3809654165525922</c:v>
                </c:pt>
                <c:pt idx="8">
                  <c:v>-2.8125848624749317E-2</c:v>
                </c:pt>
                <c:pt idx="9">
                  <c:v>0.41523011451707337</c:v>
                </c:pt>
              </c:numCache>
            </c:numRef>
          </c:val>
          <c:extLst>
            <c:ext xmlns:c16="http://schemas.microsoft.com/office/drawing/2014/chart" uri="{C3380CC4-5D6E-409C-BE32-E72D297353CC}">
              <c16:uniqueId val="{00000000-8B3E-4DA7-9AFA-CE4AA2FA4931}"/>
            </c:ext>
          </c:extLst>
        </c:ser>
        <c:dLbls>
          <c:dLblPos val="outEnd"/>
          <c:showLegendKey val="0"/>
          <c:showVal val="1"/>
          <c:showCatName val="0"/>
          <c:showSerName val="0"/>
          <c:showPercent val="0"/>
          <c:showBubbleSize val="0"/>
        </c:dLbls>
        <c:gapWidth val="40"/>
        <c:axId val="206024928"/>
        <c:axId val="206017872"/>
      </c:barChart>
      <c:catAx>
        <c:axId val="206024928"/>
        <c:scaling>
          <c:orientation val="minMax"/>
        </c:scaling>
        <c:delete val="0"/>
        <c:axPos val="b"/>
        <c:numFmt formatCode="General" sourceLinked="1"/>
        <c:majorTickMark val="cross"/>
        <c:minorTickMark val="none"/>
        <c:tickLblPos val="low"/>
        <c:spPr>
          <a:noFill/>
          <a:ln w="9525">
            <a:solidFill>
              <a:schemeClr val="tx1"/>
            </a:solidFill>
          </a:ln>
        </c:spPr>
        <c:crossAx val="206017872"/>
        <c:crosses val="autoZero"/>
        <c:auto val="1"/>
        <c:lblAlgn val="ctr"/>
        <c:lblOffset val="100"/>
        <c:noMultiLvlLbl val="0"/>
      </c:catAx>
      <c:valAx>
        <c:axId val="206017872"/>
        <c:scaling>
          <c:orientation val="minMax"/>
          <c:max val="0.70000000000000007"/>
          <c:min val="-0.1"/>
        </c:scaling>
        <c:delete val="0"/>
        <c:axPos val="l"/>
        <c:majorGridlines>
          <c:spPr>
            <a:ln w="3175">
              <a:solidFill>
                <a:schemeClr val="bg1">
                  <a:lumMod val="75000"/>
                </a:schemeClr>
              </a:solidFill>
            </a:ln>
          </c:spPr>
        </c:majorGridlines>
        <c:numFmt formatCode="#,##0.00" sourceLinked="0"/>
        <c:majorTickMark val="out"/>
        <c:minorTickMark val="none"/>
        <c:tickLblPos val="low"/>
        <c:spPr>
          <a:noFill/>
          <a:ln w="9525">
            <a:solidFill>
              <a:schemeClr val="tx1"/>
            </a:solidFill>
          </a:ln>
        </c:spPr>
        <c:txPr>
          <a:bodyPr/>
          <a:lstStyle/>
          <a:p>
            <a:pPr>
              <a:defRPr sz="700"/>
            </a:pPr>
            <a:endParaRPr lang="es-MX"/>
          </a:p>
        </c:txPr>
        <c:crossAx val="206024928"/>
        <c:crosses val="autoZero"/>
        <c:crossBetween val="between"/>
        <c:majorUnit val="0.1"/>
      </c:valAx>
      <c:spPr>
        <a:noFill/>
        <a:ln w="9525">
          <a:no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b="1"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187896825396824E-2"/>
          <c:y val="4.8870486111111111E-2"/>
          <c:w val="0.90065292371289585"/>
          <c:h val="0.82223212220735709"/>
        </c:manualLayout>
      </c:layout>
      <c:barChart>
        <c:barDir val="col"/>
        <c:grouping val="clustered"/>
        <c:varyColors val="0"/>
        <c:ser>
          <c:idx val="1"/>
          <c:order val="0"/>
          <c:tx>
            <c:strRef>
              <c:f>'Datos base 2q jul 2018'!$M$203</c:f>
              <c:strCache>
                <c:ptCount val="1"/>
                <c:pt idx="0">
                  <c:v>Subyacente</c:v>
                </c:pt>
              </c:strCache>
            </c:strRef>
          </c:tx>
          <c:spPr>
            <a:solidFill>
              <a:srgbClr val="77933C"/>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2018'!$P$189:$Y$189</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2018'!$P$206:$Y$206</c:f>
              <c:numCache>
                <c:formatCode>0.00</c:formatCode>
                <c:ptCount val="10"/>
                <c:pt idx="0">
                  <c:v>0.40247385929206292</c:v>
                </c:pt>
                <c:pt idx="1">
                  <c:v>0.43</c:v>
                </c:pt>
                <c:pt idx="2">
                  <c:v>0.50891051990336056</c:v>
                </c:pt>
                <c:pt idx="3">
                  <c:v>0.28000000000000003</c:v>
                </c:pt>
                <c:pt idx="4">
                  <c:v>0.33998769388083883</c:v>
                </c:pt>
                <c:pt idx="5">
                  <c:v>0.36</c:v>
                </c:pt>
                <c:pt idx="6">
                  <c:v>0.7642310475899361</c:v>
                </c:pt>
                <c:pt idx="7">
                  <c:v>0.48820781316685213</c:v>
                </c:pt>
                <c:pt idx="8">
                  <c:v>0.43</c:v>
                </c:pt>
                <c:pt idx="9">
                  <c:v>0.36</c:v>
                </c:pt>
              </c:numCache>
            </c:numRef>
          </c:val>
          <c:extLst>
            <c:ext xmlns:c16="http://schemas.microsoft.com/office/drawing/2014/chart" uri="{C3380CC4-5D6E-409C-BE32-E72D297353CC}">
              <c16:uniqueId val="{00000000-7573-4519-A2DD-096CBBF84004}"/>
            </c:ext>
          </c:extLst>
        </c:ser>
        <c:ser>
          <c:idx val="2"/>
          <c:order val="1"/>
          <c:tx>
            <c:strRef>
              <c:f>'Datos base 2q jul 2018'!$M$218</c:f>
              <c:strCache>
                <c:ptCount val="1"/>
                <c:pt idx="0">
                  <c:v>No Subyacente</c:v>
                </c:pt>
              </c:strCache>
            </c:strRef>
          </c:tx>
          <c:spPr>
            <a:pattFill prst="pct60">
              <a:fgClr>
                <a:srgbClr val="ABC674"/>
              </a:fgClr>
              <a:bgClr>
                <a:srgbClr val="FFFFFF"/>
              </a:bgClr>
            </a:pattFill>
          </c:spPr>
          <c:invertIfNegative val="0"/>
          <c:dLbls>
            <c:dLbl>
              <c:idx val="8"/>
              <c:layout>
                <c:manualLayout>
                  <c:x val="-9.2415501316437818E-17"/>
                  <c:y val="8.94844813123639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73-4519-A2DD-096CBBF84004}"/>
                </c:ext>
              </c:extLst>
            </c:dLbl>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2018'!$P$189:$Y$189</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2018'!$P$221:$Y$221</c:f>
              <c:numCache>
                <c:formatCode>0.00</c:formatCode>
                <c:ptCount val="10"/>
                <c:pt idx="0">
                  <c:v>0.28000000000000003</c:v>
                </c:pt>
                <c:pt idx="1">
                  <c:v>-0.51177234438523067</c:v>
                </c:pt>
                <c:pt idx="2">
                  <c:v>0.44283683564216858</c:v>
                </c:pt>
                <c:pt idx="3">
                  <c:v>0.1653899064827602</c:v>
                </c:pt>
                <c:pt idx="4">
                  <c:v>-0.266675416008888</c:v>
                </c:pt>
                <c:pt idx="5">
                  <c:v>0.6784688106414194</c:v>
                </c:pt>
                <c:pt idx="6">
                  <c:v>3.1350343396496783E-2</c:v>
                </c:pt>
                <c:pt idx="7">
                  <c:v>7.8952604499460399E-2</c:v>
                </c:pt>
                <c:pt idx="8">
                  <c:v>-1.3779170795009676</c:v>
                </c:pt>
                <c:pt idx="9">
                  <c:v>0.56718742841435077</c:v>
                </c:pt>
              </c:numCache>
            </c:numRef>
          </c:val>
          <c:extLst>
            <c:ext xmlns:c16="http://schemas.microsoft.com/office/drawing/2014/chart" uri="{C3380CC4-5D6E-409C-BE32-E72D297353CC}">
              <c16:uniqueId val="{00000002-7573-4519-A2DD-096CBBF84004}"/>
            </c:ext>
          </c:extLst>
        </c:ser>
        <c:dLbls>
          <c:dLblPos val="outEnd"/>
          <c:showLegendKey val="0"/>
          <c:showVal val="1"/>
          <c:showCatName val="0"/>
          <c:showSerName val="0"/>
          <c:showPercent val="0"/>
          <c:showBubbleSize val="0"/>
        </c:dLbls>
        <c:gapWidth val="40"/>
        <c:overlap val="-10"/>
        <c:axId val="206021400"/>
        <c:axId val="206018656"/>
      </c:barChart>
      <c:catAx>
        <c:axId val="206021400"/>
        <c:scaling>
          <c:orientation val="minMax"/>
        </c:scaling>
        <c:delete val="0"/>
        <c:axPos val="b"/>
        <c:numFmt formatCode="General" sourceLinked="1"/>
        <c:majorTickMark val="cross"/>
        <c:minorTickMark val="none"/>
        <c:tickLblPos val="low"/>
        <c:spPr>
          <a:noFill/>
          <a:ln w="9525">
            <a:solidFill>
              <a:sysClr val="windowText" lastClr="000000"/>
            </a:solidFill>
          </a:ln>
        </c:spPr>
        <c:txPr>
          <a:bodyPr/>
          <a:lstStyle/>
          <a:p>
            <a:pPr>
              <a:defRPr sz="800" b="1" i="0" baseline="0"/>
            </a:pPr>
            <a:endParaRPr lang="es-MX"/>
          </a:p>
        </c:txPr>
        <c:crossAx val="206018656"/>
        <c:crosses val="autoZero"/>
        <c:auto val="1"/>
        <c:lblAlgn val="ctr"/>
        <c:lblOffset val="100"/>
        <c:noMultiLvlLbl val="0"/>
      </c:catAx>
      <c:valAx>
        <c:axId val="206018656"/>
        <c:scaling>
          <c:orientation val="minMax"/>
          <c:max val="1"/>
          <c:min val="-1.5"/>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9525">
            <a:solidFill>
              <a:schemeClr val="tx1"/>
            </a:solidFill>
          </a:ln>
        </c:spPr>
        <c:txPr>
          <a:bodyPr/>
          <a:lstStyle/>
          <a:p>
            <a:pPr>
              <a:defRPr sz="700" b="1" i="0" baseline="0"/>
            </a:pPr>
            <a:endParaRPr lang="es-MX"/>
          </a:p>
        </c:txPr>
        <c:crossAx val="206021400"/>
        <c:crosses val="autoZero"/>
        <c:crossBetween val="between"/>
        <c:majorUnit val="0.5"/>
        <c:minorUnit val="0.5"/>
      </c:valAx>
      <c:spPr>
        <a:noFill/>
        <a:ln>
          <a:noFill/>
        </a:ln>
      </c:spPr>
    </c:plotArea>
    <c:legend>
      <c:legendPos val="l"/>
      <c:layout>
        <c:manualLayout>
          <c:xMode val="edge"/>
          <c:yMode val="edge"/>
          <c:x val="0.16193815608332446"/>
          <c:y val="0.94656429960751032"/>
          <c:w val="0.67390167820775237"/>
          <c:h val="4.3873838409956262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7921084673156091"/>
          <c:h val="0.78191932193178237"/>
        </c:manualLayout>
      </c:layout>
      <c:lineChart>
        <c:grouping val="standard"/>
        <c:varyColors val="0"/>
        <c:ser>
          <c:idx val="0"/>
          <c:order val="0"/>
          <c:tx>
            <c:strRef>
              <c:f>'Datos base 2q jul 2018'!$I$4</c:f>
              <c:strCache>
                <c:ptCount val="1"/>
                <c:pt idx="0">
                  <c:v>INPC</c:v>
                </c:pt>
              </c:strCache>
            </c:strRef>
          </c:tx>
          <c:spPr>
            <a:ln w="25400" cap="rnd">
              <a:solidFill>
                <a:srgbClr val="4F6228"/>
              </a:solidFill>
              <a:round/>
            </a:ln>
            <a:effectLst/>
          </c:spPr>
          <c:marker>
            <c:symbol val="none"/>
          </c:marker>
          <c:dLbls>
            <c:dLbl>
              <c:idx val="108"/>
              <c:layout>
                <c:manualLayout>
                  <c:x val="-2.4414804851481077E-3"/>
                  <c:y val="-9.123422233221902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26-4E96-8A90-01D24605F2E4}"/>
                </c:ext>
              </c:extLst>
            </c:dLbl>
            <c:spPr>
              <a:noFill/>
              <a:ln>
                <a:noFill/>
              </a:ln>
              <a:effectLst/>
            </c:spPr>
            <c:txPr>
              <a:bodyPr wrap="square" lIns="38100" tIns="19050" rIns="252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 base 2q jul 2018'!$A$68:$B$176</c:f>
              <c:multiLvlStrCache>
                <c:ptCount val="109"/>
                <c:lvl>
                  <c:pt idx="0">
                    <c:v>Feb</c:v>
                  </c:pt>
                  <c:pt idx="1">
                    <c:v>Mar</c:v>
                  </c:pt>
                  <c:pt idx="2">
                    <c:v>Abr</c:v>
                  </c:pt>
                  <c:pt idx="3">
                    <c:v>May</c:v>
                  </c:pt>
                  <c:pt idx="4">
                    <c:v>Jun</c:v>
                  </c:pt>
                  <c:pt idx="5">
                    <c:v>Jul</c:v>
                  </c:pt>
                  <c:pt idx="6">
                    <c:v>Ago</c:v>
                  </c:pt>
                  <c:pt idx="7">
                    <c:v>Sep</c:v>
                  </c:pt>
                  <c:pt idx="8">
                    <c:v>Oct</c:v>
                  </c:pt>
                  <c:pt idx="9">
                    <c:v>Nov</c:v>
                  </c:pt>
                  <c:pt idx="10">
                    <c:v>Dic</c:v>
                  </c:pt>
                  <c:pt idx="11">
                    <c:v>Ene</c:v>
                  </c:pt>
                  <c:pt idx="12">
                    <c:v>Feb</c:v>
                  </c:pt>
                  <c:pt idx="13">
                    <c:v>Mar</c:v>
                  </c:pt>
                  <c:pt idx="14">
                    <c:v>Abr</c:v>
                  </c:pt>
                  <c:pt idx="15">
                    <c:v>May</c:v>
                  </c:pt>
                  <c:pt idx="16">
                    <c:v>Jun</c:v>
                  </c:pt>
                  <c:pt idx="17">
                    <c:v>Jul</c:v>
                  </c:pt>
                  <c:pt idx="18">
                    <c:v>Ago</c:v>
                  </c:pt>
                  <c:pt idx="19">
                    <c:v>Sep</c:v>
                  </c:pt>
                  <c:pt idx="20">
                    <c:v>Oct</c:v>
                  </c:pt>
                  <c:pt idx="21">
                    <c:v>Nov</c:v>
                  </c:pt>
                  <c:pt idx="22">
                    <c:v>Dic</c:v>
                  </c:pt>
                  <c:pt idx="23">
                    <c:v>Ene</c:v>
                  </c:pt>
                  <c:pt idx="24">
                    <c:v>Feb</c:v>
                  </c:pt>
                  <c:pt idx="25">
                    <c:v>Mar</c:v>
                  </c:pt>
                  <c:pt idx="26">
                    <c:v>Abr</c:v>
                  </c:pt>
                  <c:pt idx="27">
                    <c:v>May</c:v>
                  </c:pt>
                  <c:pt idx="28">
                    <c:v>Jun</c:v>
                  </c:pt>
                  <c:pt idx="29">
                    <c:v>Jul</c:v>
                  </c:pt>
                  <c:pt idx="30">
                    <c:v>Ago</c:v>
                  </c:pt>
                  <c:pt idx="31">
                    <c:v>Sep</c:v>
                  </c:pt>
                  <c:pt idx="32">
                    <c:v>Oct</c:v>
                  </c:pt>
                  <c:pt idx="33">
                    <c:v>Nov</c:v>
                  </c:pt>
                  <c:pt idx="34">
                    <c:v>Dic</c:v>
                  </c:pt>
                  <c:pt idx="35">
                    <c:v>Ene</c:v>
                  </c:pt>
                  <c:pt idx="36">
                    <c:v>Feb</c:v>
                  </c:pt>
                  <c:pt idx="37">
                    <c:v>Mar</c:v>
                  </c:pt>
                  <c:pt idx="38">
                    <c:v>Abr</c:v>
                  </c:pt>
                  <c:pt idx="39">
                    <c:v>May</c:v>
                  </c:pt>
                  <c:pt idx="40">
                    <c:v>Jun</c:v>
                  </c:pt>
                  <c:pt idx="41">
                    <c:v>Jul</c:v>
                  </c:pt>
                  <c:pt idx="42">
                    <c:v>Ago</c:v>
                  </c:pt>
                  <c:pt idx="43">
                    <c:v>Sep</c:v>
                  </c:pt>
                  <c:pt idx="44">
                    <c:v>Oct</c:v>
                  </c:pt>
                  <c:pt idx="45">
                    <c:v>Nov</c:v>
                  </c:pt>
                  <c:pt idx="46">
                    <c:v>Dic</c:v>
                  </c:pt>
                  <c:pt idx="47">
                    <c:v>Ene</c:v>
                  </c:pt>
                  <c:pt idx="48">
                    <c:v>Feb</c:v>
                  </c:pt>
                  <c:pt idx="49">
                    <c:v>Mar</c:v>
                  </c:pt>
                  <c:pt idx="50">
                    <c:v>Abr</c:v>
                  </c:pt>
                  <c:pt idx="51">
                    <c:v>May</c:v>
                  </c:pt>
                  <c:pt idx="52">
                    <c:v>Jun</c:v>
                  </c:pt>
                  <c:pt idx="53">
                    <c:v>Jul</c:v>
                  </c:pt>
                  <c:pt idx="54">
                    <c:v>Ago</c:v>
                  </c:pt>
                  <c:pt idx="55">
                    <c:v>Sep</c:v>
                  </c:pt>
                  <c:pt idx="56">
                    <c:v>Oct</c:v>
                  </c:pt>
                  <c:pt idx="57">
                    <c:v>Nov</c:v>
                  </c:pt>
                  <c:pt idx="58">
                    <c:v>Dic</c:v>
                  </c:pt>
                  <c:pt idx="59">
                    <c:v>Ene </c:v>
                  </c:pt>
                  <c:pt idx="60">
                    <c:v>Feb</c:v>
                  </c:pt>
                  <c:pt idx="61">
                    <c:v>Mar</c:v>
                  </c:pt>
                  <c:pt idx="62">
                    <c:v>Abr</c:v>
                  </c:pt>
                  <c:pt idx="63">
                    <c:v>May</c:v>
                  </c:pt>
                  <c:pt idx="64">
                    <c:v>Jun</c:v>
                  </c:pt>
                  <c:pt idx="65">
                    <c:v>Jul</c:v>
                  </c:pt>
                  <c:pt idx="66">
                    <c:v>Ago</c:v>
                  </c:pt>
                  <c:pt idx="67">
                    <c:v>Sep</c:v>
                  </c:pt>
                  <c:pt idx="68">
                    <c:v>Oct</c:v>
                  </c:pt>
                  <c:pt idx="69">
                    <c:v>Nov</c:v>
                  </c:pt>
                  <c:pt idx="70">
                    <c:v>Dic</c:v>
                  </c:pt>
                  <c:pt idx="71">
                    <c:v>Ene </c:v>
                  </c:pt>
                  <c:pt idx="72">
                    <c:v>Feb</c:v>
                  </c:pt>
                  <c:pt idx="73">
                    <c:v>Mar</c:v>
                  </c:pt>
                  <c:pt idx="74">
                    <c:v>Abr</c:v>
                  </c:pt>
                  <c:pt idx="75">
                    <c:v>May</c:v>
                  </c:pt>
                  <c:pt idx="76">
                    <c:v>Jun</c:v>
                  </c:pt>
                  <c:pt idx="77">
                    <c:v>Jul</c:v>
                  </c:pt>
                  <c:pt idx="78">
                    <c:v>Ago</c:v>
                  </c:pt>
                  <c:pt idx="79">
                    <c:v>Sep</c:v>
                  </c:pt>
                  <c:pt idx="80">
                    <c:v>Oct</c:v>
                  </c:pt>
                  <c:pt idx="81">
                    <c:v>Nov</c:v>
                  </c:pt>
                  <c:pt idx="82">
                    <c:v>Dic</c:v>
                  </c:pt>
                  <c:pt idx="83">
                    <c:v>Ene </c:v>
                  </c:pt>
                  <c:pt idx="84">
                    <c:v>Feb</c:v>
                  </c:pt>
                  <c:pt idx="85">
                    <c:v>Mar</c:v>
                  </c:pt>
                  <c:pt idx="86">
                    <c:v>Abr</c:v>
                  </c:pt>
                  <c:pt idx="87">
                    <c:v>May</c:v>
                  </c:pt>
                  <c:pt idx="88">
                    <c:v>Jun</c:v>
                  </c:pt>
                  <c:pt idx="89">
                    <c:v>Jul</c:v>
                  </c:pt>
                  <c:pt idx="90">
                    <c:v>Ago</c:v>
                  </c:pt>
                  <c:pt idx="91">
                    <c:v>Sep</c:v>
                  </c:pt>
                  <c:pt idx="92">
                    <c:v>Oct</c:v>
                  </c:pt>
                  <c:pt idx="93">
                    <c:v>Nov</c:v>
                  </c:pt>
                  <c:pt idx="94">
                    <c:v>Dic</c:v>
                  </c:pt>
                  <c:pt idx="95">
                    <c:v>Ene </c:v>
                  </c:pt>
                  <c:pt idx="96">
                    <c:v>Feb</c:v>
                  </c:pt>
                  <c:pt idx="97">
                    <c:v>Mar</c:v>
                  </c:pt>
                  <c:pt idx="98">
                    <c:v>Abr</c:v>
                  </c:pt>
                  <c:pt idx="99">
                    <c:v>May</c:v>
                  </c:pt>
                  <c:pt idx="100">
                    <c:v>Jun</c:v>
                  </c:pt>
                  <c:pt idx="101">
                    <c:v>Jul</c:v>
                  </c:pt>
                  <c:pt idx="102">
                    <c:v>Ago</c:v>
                  </c:pt>
                  <c:pt idx="103">
                    <c:v>Sep</c:v>
                  </c:pt>
                  <c:pt idx="104">
                    <c:v>Oct</c:v>
                  </c:pt>
                  <c:pt idx="105">
                    <c:v>Nov</c:v>
                  </c:pt>
                  <c:pt idx="106">
                    <c:v>Dic</c:v>
                  </c:pt>
                  <c:pt idx="107">
                    <c:v>Ene </c:v>
                  </c:pt>
                  <c:pt idx="108">
                    <c:v>Feb</c:v>
                  </c:pt>
                </c:lvl>
                <c:lvl>
                  <c:pt idx="0">
                    <c:v>2011</c:v>
                  </c:pt>
                  <c:pt idx="1">
                    <c:v>2011</c:v>
                  </c:pt>
                  <c:pt idx="2">
                    <c:v>2011</c:v>
                  </c:pt>
                  <c:pt idx="3">
                    <c:v>2011</c:v>
                  </c:pt>
                  <c:pt idx="4">
                    <c:v>2011</c:v>
                  </c:pt>
                  <c:pt idx="5">
                    <c:v>2011</c:v>
                  </c:pt>
                  <c:pt idx="6">
                    <c:v>2011</c:v>
                  </c:pt>
                  <c:pt idx="7">
                    <c:v>2011</c:v>
                  </c:pt>
                  <c:pt idx="8">
                    <c:v>2011</c:v>
                  </c:pt>
                  <c:pt idx="9">
                    <c:v>2011</c:v>
                  </c:pt>
                  <c:pt idx="10">
                    <c:v>2011</c:v>
                  </c:pt>
                  <c:pt idx="11">
                    <c:v>2012</c:v>
                  </c:pt>
                  <c:pt idx="12">
                    <c:v>2012</c:v>
                  </c:pt>
                  <c:pt idx="13">
                    <c:v>2012</c:v>
                  </c:pt>
                  <c:pt idx="14">
                    <c:v>2012</c:v>
                  </c:pt>
                  <c:pt idx="15">
                    <c:v>2012</c:v>
                  </c:pt>
                  <c:pt idx="16">
                    <c:v>2012</c:v>
                  </c:pt>
                  <c:pt idx="17">
                    <c:v>2012</c:v>
                  </c:pt>
                  <c:pt idx="18">
                    <c:v>2012</c:v>
                  </c:pt>
                  <c:pt idx="19">
                    <c:v>2012</c:v>
                  </c:pt>
                  <c:pt idx="20">
                    <c:v>2012</c:v>
                  </c:pt>
                  <c:pt idx="21">
                    <c:v>2012</c:v>
                  </c:pt>
                  <c:pt idx="22">
                    <c:v>2012</c:v>
                  </c:pt>
                  <c:pt idx="23">
                    <c:v>2013</c:v>
                  </c:pt>
                  <c:pt idx="24">
                    <c:v>2013</c:v>
                  </c:pt>
                  <c:pt idx="25">
                    <c:v>2013</c:v>
                  </c:pt>
                  <c:pt idx="26">
                    <c:v>2013</c:v>
                  </c:pt>
                  <c:pt idx="27">
                    <c:v>2013</c:v>
                  </c:pt>
                  <c:pt idx="28">
                    <c:v>2013</c:v>
                  </c:pt>
                  <c:pt idx="29">
                    <c:v>2013</c:v>
                  </c:pt>
                  <c:pt idx="30">
                    <c:v>2013</c:v>
                  </c:pt>
                  <c:pt idx="31">
                    <c:v>2013</c:v>
                  </c:pt>
                  <c:pt idx="32">
                    <c:v>2013</c:v>
                  </c:pt>
                  <c:pt idx="33">
                    <c:v>2013</c:v>
                  </c:pt>
                  <c:pt idx="34">
                    <c:v>2013</c:v>
                  </c:pt>
                  <c:pt idx="35">
                    <c:v>2014</c:v>
                  </c:pt>
                  <c:pt idx="36">
                    <c:v>2014</c:v>
                  </c:pt>
                  <c:pt idx="37">
                    <c:v>2014</c:v>
                  </c:pt>
                  <c:pt idx="38">
                    <c:v>2014</c:v>
                  </c:pt>
                  <c:pt idx="39">
                    <c:v>2014</c:v>
                  </c:pt>
                  <c:pt idx="40">
                    <c:v>2014</c:v>
                  </c:pt>
                  <c:pt idx="41">
                    <c:v>2014</c:v>
                  </c:pt>
                  <c:pt idx="42">
                    <c:v>2014</c:v>
                  </c:pt>
                  <c:pt idx="43">
                    <c:v>2014</c:v>
                  </c:pt>
                  <c:pt idx="44">
                    <c:v>2014</c:v>
                  </c:pt>
                  <c:pt idx="45">
                    <c:v>2014</c:v>
                  </c:pt>
                  <c:pt idx="46">
                    <c:v>2014</c:v>
                  </c:pt>
                  <c:pt idx="47">
                    <c:v>2015</c:v>
                  </c:pt>
                  <c:pt idx="48">
                    <c:v>2015</c:v>
                  </c:pt>
                  <c:pt idx="49">
                    <c:v>2015</c:v>
                  </c:pt>
                  <c:pt idx="50">
                    <c:v>2015</c:v>
                  </c:pt>
                  <c:pt idx="51">
                    <c:v>2015</c:v>
                  </c:pt>
                  <c:pt idx="52">
                    <c:v>2015</c:v>
                  </c:pt>
                  <c:pt idx="53">
                    <c:v>2015</c:v>
                  </c:pt>
                  <c:pt idx="54">
                    <c:v>2015</c:v>
                  </c:pt>
                  <c:pt idx="55">
                    <c:v>2015</c:v>
                  </c:pt>
                  <c:pt idx="56">
                    <c:v>2015</c:v>
                  </c:pt>
                  <c:pt idx="57">
                    <c:v>2015</c:v>
                  </c:pt>
                  <c:pt idx="58">
                    <c:v>2015</c:v>
                  </c:pt>
                  <c:pt idx="59">
                    <c:v>2016</c:v>
                  </c:pt>
                  <c:pt idx="60">
                    <c:v>2016</c:v>
                  </c:pt>
                  <c:pt idx="61">
                    <c:v>2016</c:v>
                  </c:pt>
                  <c:pt idx="62">
                    <c:v>2016</c:v>
                  </c:pt>
                  <c:pt idx="63">
                    <c:v>2016</c:v>
                  </c:pt>
                  <c:pt idx="64">
                    <c:v>2016</c:v>
                  </c:pt>
                  <c:pt idx="65">
                    <c:v>2016</c:v>
                  </c:pt>
                  <c:pt idx="66">
                    <c:v>2016</c:v>
                  </c:pt>
                  <c:pt idx="67">
                    <c:v>2016</c:v>
                  </c:pt>
                  <c:pt idx="68">
                    <c:v>2016</c:v>
                  </c:pt>
                  <c:pt idx="69">
                    <c:v>2016</c:v>
                  </c:pt>
                  <c:pt idx="70">
                    <c:v>2016</c:v>
                  </c:pt>
                  <c:pt idx="71">
                    <c:v>2017</c:v>
                  </c:pt>
                  <c:pt idx="72">
                    <c:v>2017</c:v>
                  </c:pt>
                  <c:pt idx="73">
                    <c:v>2017</c:v>
                  </c:pt>
                  <c:pt idx="74">
                    <c:v>2017</c:v>
                  </c:pt>
                  <c:pt idx="75">
                    <c:v>2017</c:v>
                  </c:pt>
                  <c:pt idx="76">
                    <c:v>2017</c:v>
                  </c:pt>
                  <c:pt idx="77">
                    <c:v>2017</c:v>
                  </c:pt>
                  <c:pt idx="78">
                    <c:v>2017</c:v>
                  </c:pt>
                  <c:pt idx="79">
                    <c:v>2017</c:v>
                  </c:pt>
                  <c:pt idx="80">
                    <c:v>2017</c:v>
                  </c:pt>
                  <c:pt idx="81">
                    <c:v>2017</c:v>
                  </c:pt>
                  <c:pt idx="82">
                    <c:v>2017</c:v>
                  </c:pt>
                  <c:pt idx="83">
                    <c:v>2018</c:v>
                  </c:pt>
                  <c:pt idx="84">
                    <c:v>2018</c:v>
                  </c:pt>
                  <c:pt idx="85">
                    <c:v>2018</c:v>
                  </c:pt>
                  <c:pt idx="86">
                    <c:v>2018</c:v>
                  </c:pt>
                  <c:pt idx="87">
                    <c:v>2018</c:v>
                  </c:pt>
                  <c:pt idx="88">
                    <c:v>2018</c:v>
                  </c:pt>
                  <c:pt idx="89">
                    <c:v>2018</c:v>
                  </c:pt>
                  <c:pt idx="90">
                    <c:v>2018</c:v>
                  </c:pt>
                  <c:pt idx="91">
                    <c:v>2018</c:v>
                  </c:pt>
                  <c:pt idx="92">
                    <c:v>2018</c:v>
                  </c:pt>
                  <c:pt idx="93">
                    <c:v>2018</c:v>
                  </c:pt>
                  <c:pt idx="94">
                    <c:v>2018</c:v>
                  </c:pt>
                  <c:pt idx="95">
                    <c:v>2019</c:v>
                  </c:pt>
                  <c:pt idx="96">
                    <c:v>2019</c:v>
                  </c:pt>
                  <c:pt idx="97">
                    <c:v>2019</c:v>
                  </c:pt>
                  <c:pt idx="98">
                    <c:v>2019</c:v>
                  </c:pt>
                  <c:pt idx="99">
                    <c:v>2019</c:v>
                  </c:pt>
                  <c:pt idx="100">
                    <c:v>2019</c:v>
                  </c:pt>
                  <c:pt idx="101">
                    <c:v>2019</c:v>
                  </c:pt>
                  <c:pt idx="102">
                    <c:v>2019</c:v>
                  </c:pt>
                  <c:pt idx="103">
                    <c:v>2019</c:v>
                  </c:pt>
                  <c:pt idx="104">
                    <c:v>2019</c:v>
                  </c:pt>
                  <c:pt idx="105">
                    <c:v>2019</c:v>
                  </c:pt>
                  <c:pt idx="106">
                    <c:v>2019</c:v>
                  </c:pt>
                  <c:pt idx="107">
                    <c:v>2020</c:v>
                  </c:pt>
                  <c:pt idx="108">
                    <c:v>2020</c:v>
                  </c:pt>
                </c:lvl>
              </c:multiLvlStrCache>
            </c:multiLvlStrRef>
          </c:cat>
          <c:val>
            <c:numRef>
              <c:f>'Datos base 2q jul 2018'!$I$68:$I$176</c:f>
              <c:numCache>
                <c:formatCode>0.00</c:formatCode>
                <c:ptCount val="109"/>
                <c:pt idx="0">
                  <c:v>3.5723311727497773</c:v>
                </c:pt>
                <c:pt idx="1">
                  <c:v>3.0395071163208081</c:v>
                </c:pt>
                <c:pt idx="2">
                  <c:v>3.3606679891096611</c:v>
                </c:pt>
                <c:pt idx="3">
                  <c:v>3.2492890245807029</c:v>
                </c:pt>
                <c:pt idx="4">
                  <c:v>3.276468519968899</c:v>
                </c:pt>
                <c:pt idx="5">
                  <c:v>3.5471623015452378</c:v>
                </c:pt>
                <c:pt idx="6">
                  <c:v>3.4236915404563013</c:v>
                </c:pt>
                <c:pt idx="7">
                  <c:v>3.1367739982804239</c:v>
                </c:pt>
                <c:pt idx="8">
                  <c:v>3.1956472384470684</c:v>
                </c:pt>
                <c:pt idx="9">
                  <c:v>3.4826938218248089</c:v>
                </c:pt>
                <c:pt idx="10">
                  <c:v>3.8187567875879109</c:v>
                </c:pt>
                <c:pt idx="11">
                  <c:v>4.0467733567466455</c:v>
                </c:pt>
                <c:pt idx="12">
                  <c:v>3.8686334539382132</c:v>
                </c:pt>
                <c:pt idx="13">
                  <c:v>3.7292776570731734</c:v>
                </c:pt>
                <c:pt idx="14">
                  <c:v>3.4120786990644083</c:v>
                </c:pt>
                <c:pt idx="15">
                  <c:v>3.8512284349199053</c:v>
                </c:pt>
                <c:pt idx="16">
                  <c:v>4.3352225587509281</c:v>
                </c:pt>
                <c:pt idx="17">
                  <c:v>4.4199719461605227</c:v>
                </c:pt>
                <c:pt idx="18">
                  <c:v>4.5679380214540846</c:v>
                </c:pt>
                <c:pt idx="19">
                  <c:v>4.7717657316674353</c:v>
                </c:pt>
                <c:pt idx="20">
                  <c:v>4.5960947956853309</c:v>
                </c:pt>
                <c:pt idx="21">
                  <c:v>4.1798514220062986</c:v>
                </c:pt>
                <c:pt idx="22">
                  <c:v>3.5682900213421407</c:v>
                </c:pt>
                <c:pt idx="23">
                  <c:v>3.2545740477925587</c:v>
                </c:pt>
                <c:pt idx="24">
                  <c:v>3.5522890828357059</c:v>
                </c:pt>
                <c:pt idx="25">
                  <c:v>4.2522667278778643</c:v>
                </c:pt>
                <c:pt idx="26">
                  <c:v>4.649422420079059</c:v>
                </c:pt>
                <c:pt idx="27">
                  <c:v>4.6314208991424595</c:v>
                </c:pt>
                <c:pt idx="28">
                  <c:v>4.0880262124202291</c:v>
                </c:pt>
                <c:pt idx="29">
                  <c:v>3.4726191837201417</c:v>
                </c:pt>
                <c:pt idx="30">
                  <c:v>3.4565297922662892</c:v>
                </c:pt>
                <c:pt idx="31">
                  <c:v>3.390295338698551</c:v>
                </c:pt>
                <c:pt idx="32">
                  <c:v>3.3591147744594587</c:v>
                </c:pt>
                <c:pt idx="33">
                  <c:v>3.6186915887850466</c:v>
                </c:pt>
                <c:pt idx="34">
                  <c:v>3.974040989873723</c:v>
                </c:pt>
                <c:pt idx="35">
                  <c:v>4.4828098590241172</c:v>
                </c:pt>
                <c:pt idx="36">
                  <c:v>4.2344373798610366</c:v>
                </c:pt>
                <c:pt idx="37">
                  <c:v>3.7586466303370716</c:v>
                </c:pt>
                <c:pt idx="38">
                  <c:v>3.4967086565084369</c:v>
                </c:pt>
                <c:pt idx="39">
                  <c:v>3.5102243563208941</c:v>
                </c:pt>
                <c:pt idx="40">
                  <c:v>3.7525887063371495</c:v>
                </c:pt>
                <c:pt idx="41">
                  <c:v>4.0724065224797199</c:v>
                </c:pt>
                <c:pt idx="42">
                  <c:v>4.1499109421766818</c:v>
                </c:pt>
                <c:pt idx="43">
                  <c:v>4.2175837845748534</c:v>
                </c:pt>
                <c:pt idx="44">
                  <c:v>4.2977569004442557</c:v>
                </c:pt>
                <c:pt idx="45">
                  <c:v>4.1678692546359812</c:v>
                </c:pt>
                <c:pt idx="46">
                  <c:v>4.0813215195322616</c:v>
                </c:pt>
                <c:pt idx="47">
                  <c:v>3.06564152704324</c:v>
                </c:pt>
                <c:pt idx="48">
                  <c:v>3.0002659810266707</c:v>
                </c:pt>
                <c:pt idx="49">
                  <c:v>3.1370745983607202</c:v>
                </c:pt>
                <c:pt idx="50">
                  <c:v>3.0623272624193829</c:v>
                </c:pt>
                <c:pt idx="51">
                  <c:v>2.8766429390279602</c:v>
                </c:pt>
                <c:pt idx="52">
                  <c:v>2.8707794396834565</c:v>
                </c:pt>
                <c:pt idx="53">
                  <c:v>2.7390473494231591</c:v>
                </c:pt>
                <c:pt idx="54">
                  <c:v>2.5873164195419496</c:v>
                </c:pt>
                <c:pt idx="55">
                  <c:v>2.5188916876574323</c:v>
                </c:pt>
                <c:pt idx="56">
                  <c:v>2.479728373294678</c:v>
                </c:pt>
                <c:pt idx="57">
                  <c:v>2.2148528482245649</c:v>
                </c:pt>
                <c:pt idx="58">
                  <c:v>2.1308127762603513</c:v>
                </c:pt>
                <c:pt idx="59">
                  <c:v>2.6131051968884234</c:v>
                </c:pt>
                <c:pt idx="60">
                  <c:v>2.8672508478661238</c:v>
                </c:pt>
                <c:pt idx="61">
                  <c:v>2.6010098845233833</c:v>
                </c:pt>
                <c:pt idx="62">
                  <c:v>2.5415789247496594</c:v>
                </c:pt>
                <c:pt idx="63">
                  <c:v>2.5966621747693539</c:v>
                </c:pt>
                <c:pt idx="64">
                  <c:v>2.5379878921678647</c:v>
                </c:pt>
                <c:pt idx="65">
                  <c:v>2.6548291540369364</c:v>
                </c:pt>
                <c:pt idx="66">
                  <c:v>2.7274367765718939</c:v>
                </c:pt>
                <c:pt idx="67">
                  <c:v>2.9689493104127496</c:v>
                </c:pt>
                <c:pt idx="68">
                  <c:v>3.0636232007495217</c:v>
                </c:pt>
                <c:pt idx="69">
                  <c:v>3.3053510770768644</c:v>
                </c:pt>
                <c:pt idx="70">
                  <c:v>3.3602740188303559</c:v>
                </c:pt>
                <c:pt idx="71">
                  <c:v>4.7182814496066863</c:v>
                </c:pt>
                <c:pt idx="72">
                  <c:v>4.864231622107857</c:v>
                </c:pt>
                <c:pt idx="73">
                  <c:v>5.3525622279225669</c:v>
                </c:pt>
                <c:pt idx="74">
                  <c:v>5.8171698714187592</c:v>
                </c:pt>
                <c:pt idx="75">
                  <c:v>6.1640144817714893</c:v>
                </c:pt>
                <c:pt idx="76">
                  <c:v>6.3136558986047531</c:v>
                </c:pt>
                <c:pt idx="77">
                  <c:v>6.4381642633649552</c:v>
                </c:pt>
                <c:pt idx="78">
                  <c:v>6.6634880005353336</c:v>
                </c:pt>
                <c:pt idx="79">
                  <c:v>6.3478470530525177</c:v>
                </c:pt>
                <c:pt idx="80">
                  <c:v>6.3715322254084645</c:v>
                </c:pt>
                <c:pt idx="81">
                  <c:v>6.6345231359622225</c:v>
                </c:pt>
                <c:pt idx="82">
                  <c:v>6.773048198179799</c:v>
                </c:pt>
                <c:pt idx="83">
                  <c:v>5.5458354066678268</c:v>
                </c:pt>
                <c:pt idx="84">
                  <c:v>5.3392170318709091</c:v>
                </c:pt>
                <c:pt idx="85">
                  <c:v>5.0354120567544696</c:v>
                </c:pt>
                <c:pt idx="86">
                  <c:v>4.5507834159788176</c:v>
                </c:pt>
                <c:pt idx="87">
                  <c:v>4.5062692817092405</c:v>
                </c:pt>
                <c:pt idx="88">
                  <c:v>4.6468577938105033</c:v>
                </c:pt>
                <c:pt idx="89">
                  <c:v>4.8114055136106577</c:v>
                </c:pt>
                <c:pt idx="90">
                  <c:v>4.9045281971250159</c:v>
                </c:pt>
                <c:pt idx="91">
                  <c:v>5.0195736443805039</c:v>
                </c:pt>
                <c:pt idx="92">
                  <c:v>4.9036357279923948</c:v>
                </c:pt>
                <c:pt idx="93">
                  <c:v>4.7165339115991411</c:v>
                </c:pt>
                <c:pt idx="94">
                  <c:v>4.830546199536756</c:v>
                </c:pt>
                <c:pt idx="95">
                  <c:v>4.3656058642820295</c:v>
                </c:pt>
                <c:pt idx="96">
                  <c:v>3.9402756478725154</c:v>
                </c:pt>
                <c:pt idx="97">
                  <c:v>4.0041779576550196</c:v>
                </c:pt>
                <c:pt idx="98">
                  <c:v>4.4134533855607172</c:v>
                </c:pt>
                <c:pt idx="99">
                  <c:v>4.28199324596088</c:v>
                </c:pt>
                <c:pt idx="100">
                  <c:v>3.9471469134122472</c:v>
                </c:pt>
                <c:pt idx="101">
                  <c:v>3.7813381657405332</c:v>
                </c:pt>
                <c:pt idx="102">
                  <c:v>3.1624407913067643</c:v>
                </c:pt>
                <c:pt idx="103">
                  <c:v>2.9975128075547142</c:v>
                </c:pt>
                <c:pt idx="104">
                  <c:v>3.0195189274447864</c:v>
                </c:pt>
                <c:pt idx="105">
                  <c:v>2.9744973265691144</c:v>
                </c:pt>
                <c:pt idx="106">
                  <c:v>2.8285769753445988</c:v>
                </c:pt>
                <c:pt idx="107">
                  <c:v>3.2383520192419635</c:v>
                </c:pt>
                <c:pt idx="108">
                  <c:v>3.6961941811620269</c:v>
                </c:pt>
              </c:numCache>
            </c:numRef>
          </c:val>
          <c:smooth val="0"/>
          <c:extLst>
            <c:ext xmlns:c16="http://schemas.microsoft.com/office/drawing/2014/chart" uri="{C3380CC4-5D6E-409C-BE32-E72D297353CC}">
              <c16:uniqueId val="{00000001-5226-4E96-8A90-01D24605F2E4}"/>
            </c:ext>
          </c:extLst>
        </c:ser>
        <c:ser>
          <c:idx val="1"/>
          <c:order val="1"/>
          <c:tx>
            <c:strRef>
              <c:f>'Datos base 2q jul 2018'!$J$4</c:f>
              <c:strCache>
                <c:ptCount val="1"/>
                <c:pt idx="0">
                  <c:v>Subyacente</c:v>
                </c:pt>
              </c:strCache>
            </c:strRef>
          </c:tx>
          <c:spPr>
            <a:ln w="15875" cap="rnd">
              <a:solidFill>
                <a:srgbClr val="33CC33"/>
              </a:solidFill>
              <a:round/>
            </a:ln>
            <a:effectLst/>
          </c:spPr>
          <c:marker>
            <c:symbol val="none"/>
          </c:marker>
          <c:dLbls>
            <c:dLbl>
              <c:idx val="108"/>
              <c:layout>
                <c:manualLayout>
                  <c:x val="-3.0212572920992344E-3"/>
                  <c:y val="2.57993234753500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226-4E96-8A90-01D24605F2E4}"/>
                </c:ext>
              </c:extLst>
            </c:dLbl>
            <c:spPr>
              <a:noFill/>
              <a:ln>
                <a:noFill/>
              </a:ln>
              <a:effectLst/>
            </c:spPr>
            <c:txPr>
              <a:bodyPr wrap="square" lIns="38100" tIns="19050" rIns="252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 base 2q jul 2018'!$A$68:$B$176</c:f>
              <c:multiLvlStrCache>
                <c:ptCount val="109"/>
                <c:lvl>
                  <c:pt idx="0">
                    <c:v>Feb</c:v>
                  </c:pt>
                  <c:pt idx="1">
                    <c:v>Mar</c:v>
                  </c:pt>
                  <c:pt idx="2">
                    <c:v>Abr</c:v>
                  </c:pt>
                  <c:pt idx="3">
                    <c:v>May</c:v>
                  </c:pt>
                  <c:pt idx="4">
                    <c:v>Jun</c:v>
                  </c:pt>
                  <c:pt idx="5">
                    <c:v>Jul</c:v>
                  </c:pt>
                  <c:pt idx="6">
                    <c:v>Ago</c:v>
                  </c:pt>
                  <c:pt idx="7">
                    <c:v>Sep</c:v>
                  </c:pt>
                  <c:pt idx="8">
                    <c:v>Oct</c:v>
                  </c:pt>
                  <c:pt idx="9">
                    <c:v>Nov</c:v>
                  </c:pt>
                  <c:pt idx="10">
                    <c:v>Dic</c:v>
                  </c:pt>
                  <c:pt idx="11">
                    <c:v>Ene</c:v>
                  </c:pt>
                  <c:pt idx="12">
                    <c:v>Feb</c:v>
                  </c:pt>
                  <c:pt idx="13">
                    <c:v>Mar</c:v>
                  </c:pt>
                  <c:pt idx="14">
                    <c:v>Abr</c:v>
                  </c:pt>
                  <c:pt idx="15">
                    <c:v>May</c:v>
                  </c:pt>
                  <c:pt idx="16">
                    <c:v>Jun</c:v>
                  </c:pt>
                  <c:pt idx="17">
                    <c:v>Jul</c:v>
                  </c:pt>
                  <c:pt idx="18">
                    <c:v>Ago</c:v>
                  </c:pt>
                  <c:pt idx="19">
                    <c:v>Sep</c:v>
                  </c:pt>
                  <c:pt idx="20">
                    <c:v>Oct</c:v>
                  </c:pt>
                  <c:pt idx="21">
                    <c:v>Nov</c:v>
                  </c:pt>
                  <c:pt idx="22">
                    <c:v>Dic</c:v>
                  </c:pt>
                  <c:pt idx="23">
                    <c:v>Ene</c:v>
                  </c:pt>
                  <c:pt idx="24">
                    <c:v>Feb</c:v>
                  </c:pt>
                  <c:pt idx="25">
                    <c:v>Mar</c:v>
                  </c:pt>
                  <c:pt idx="26">
                    <c:v>Abr</c:v>
                  </c:pt>
                  <c:pt idx="27">
                    <c:v>May</c:v>
                  </c:pt>
                  <c:pt idx="28">
                    <c:v>Jun</c:v>
                  </c:pt>
                  <c:pt idx="29">
                    <c:v>Jul</c:v>
                  </c:pt>
                  <c:pt idx="30">
                    <c:v>Ago</c:v>
                  </c:pt>
                  <c:pt idx="31">
                    <c:v>Sep</c:v>
                  </c:pt>
                  <c:pt idx="32">
                    <c:v>Oct</c:v>
                  </c:pt>
                  <c:pt idx="33">
                    <c:v>Nov</c:v>
                  </c:pt>
                  <c:pt idx="34">
                    <c:v>Dic</c:v>
                  </c:pt>
                  <c:pt idx="35">
                    <c:v>Ene</c:v>
                  </c:pt>
                  <c:pt idx="36">
                    <c:v>Feb</c:v>
                  </c:pt>
                  <c:pt idx="37">
                    <c:v>Mar</c:v>
                  </c:pt>
                  <c:pt idx="38">
                    <c:v>Abr</c:v>
                  </c:pt>
                  <c:pt idx="39">
                    <c:v>May</c:v>
                  </c:pt>
                  <c:pt idx="40">
                    <c:v>Jun</c:v>
                  </c:pt>
                  <c:pt idx="41">
                    <c:v>Jul</c:v>
                  </c:pt>
                  <c:pt idx="42">
                    <c:v>Ago</c:v>
                  </c:pt>
                  <c:pt idx="43">
                    <c:v>Sep</c:v>
                  </c:pt>
                  <c:pt idx="44">
                    <c:v>Oct</c:v>
                  </c:pt>
                  <c:pt idx="45">
                    <c:v>Nov</c:v>
                  </c:pt>
                  <c:pt idx="46">
                    <c:v>Dic</c:v>
                  </c:pt>
                  <c:pt idx="47">
                    <c:v>Ene</c:v>
                  </c:pt>
                  <c:pt idx="48">
                    <c:v>Feb</c:v>
                  </c:pt>
                  <c:pt idx="49">
                    <c:v>Mar</c:v>
                  </c:pt>
                  <c:pt idx="50">
                    <c:v>Abr</c:v>
                  </c:pt>
                  <c:pt idx="51">
                    <c:v>May</c:v>
                  </c:pt>
                  <c:pt idx="52">
                    <c:v>Jun</c:v>
                  </c:pt>
                  <c:pt idx="53">
                    <c:v>Jul</c:v>
                  </c:pt>
                  <c:pt idx="54">
                    <c:v>Ago</c:v>
                  </c:pt>
                  <c:pt idx="55">
                    <c:v>Sep</c:v>
                  </c:pt>
                  <c:pt idx="56">
                    <c:v>Oct</c:v>
                  </c:pt>
                  <c:pt idx="57">
                    <c:v>Nov</c:v>
                  </c:pt>
                  <c:pt idx="58">
                    <c:v>Dic</c:v>
                  </c:pt>
                  <c:pt idx="59">
                    <c:v>Ene </c:v>
                  </c:pt>
                  <c:pt idx="60">
                    <c:v>Feb</c:v>
                  </c:pt>
                  <c:pt idx="61">
                    <c:v>Mar</c:v>
                  </c:pt>
                  <c:pt idx="62">
                    <c:v>Abr</c:v>
                  </c:pt>
                  <c:pt idx="63">
                    <c:v>May</c:v>
                  </c:pt>
                  <c:pt idx="64">
                    <c:v>Jun</c:v>
                  </c:pt>
                  <c:pt idx="65">
                    <c:v>Jul</c:v>
                  </c:pt>
                  <c:pt idx="66">
                    <c:v>Ago</c:v>
                  </c:pt>
                  <c:pt idx="67">
                    <c:v>Sep</c:v>
                  </c:pt>
                  <c:pt idx="68">
                    <c:v>Oct</c:v>
                  </c:pt>
                  <c:pt idx="69">
                    <c:v>Nov</c:v>
                  </c:pt>
                  <c:pt idx="70">
                    <c:v>Dic</c:v>
                  </c:pt>
                  <c:pt idx="71">
                    <c:v>Ene </c:v>
                  </c:pt>
                  <c:pt idx="72">
                    <c:v>Feb</c:v>
                  </c:pt>
                  <c:pt idx="73">
                    <c:v>Mar</c:v>
                  </c:pt>
                  <c:pt idx="74">
                    <c:v>Abr</c:v>
                  </c:pt>
                  <c:pt idx="75">
                    <c:v>May</c:v>
                  </c:pt>
                  <c:pt idx="76">
                    <c:v>Jun</c:v>
                  </c:pt>
                  <c:pt idx="77">
                    <c:v>Jul</c:v>
                  </c:pt>
                  <c:pt idx="78">
                    <c:v>Ago</c:v>
                  </c:pt>
                  <c:pt idx="79">
                    <c:v>Sep</c:v>
                  </c:pt>
                  <c:pt idx="80">
                    <c:v>Oct</c:v>
                  </c:pt>
                  <c:pt idx="81">
                    <c:v>Nov</c:v>
                  </c:pt>
                  <c:pt idx="82">
                    <c:v>Dic</c:v>
                  </c:pt>
                  <c:pt idx="83">
                    <c:v>Ene </c:v>
                  </c:pt>
                  <c:pt idx="84">
                    <c:v>Feb</c:v>
                  </c:pt>
                  <c:pt idx="85">
                    <c:v>Mar</c:v>
                  </c:pt>
                  <c:pt idx="86">
                    <c:v>Abr</c:v>
                  </c:pt>
                  <c:pt idx="87">
                    <c:v>May</c:v>
                  </c:pt>
                  <c:pt idx="88">
                    <c:v>Jun</c:v>
                  </c:pt>
                  <c:pt idx="89">
                    <c:v>Jul</c:v>
                  </c:pt>
                  <c:pt idx="90">
                    <c:v>Ago</c:v>
                  </c:pt>
                  <c:pt idx="91">
                    <c:v>Sep</c:v>
                  </c:pt>
                  <c:pt idx="92">
                    <c:v>Oct</c:v>
                  </c:pt>
                  <c:pt idx="93">
                    <c:v>Nov</c:v>
                  </c:pt>
                  <c:pt idx="94">
                    <c:v>Dic</c:v>
                  </c:pt>
                  <c:pt idx="95">
                    <c:v>Ene </c:v>
                  </c:pt>
                  <c:pt idx="96">
                    <c:v>Feb</c:v>
                  </c:pt>
                  <c:pt idx="97">
                    <c:v>Mar</c:v>
                  </c:pt>
                  <c:pt idx="98">
                    <c:v>Abr</c:v>
                  </c:pt>
                  <c:pt idx="99">
                    <c:v>May</c:v>
                  </c:pt>
                  <c:pt idx="100">
                    <c:v>Jun</c:v>
                  </c:pt>
                  <c:pt idx="101">
                    <c:v>Jul</c:v>
                  </c:pt>
                  <c:pt idx="102">
                    <c:v>Ago</c:v>
                  </c:pt>
                  <c:pt idx="103">
                    <c:v>Sep</c:v>
                  </c:pt>
                  <c:pt idx="104">
                    <c:v>Oct</c:v>
                  </c:pt>
                  <c:pt idx="105">
                    <c:v>Nov</c:v>
                  </c:pt>
                  <c:pt idx="106">
                    <c:v>Dic</c:v>
                  </c:pt>
                  <c:pt idx="107">
                    <c:v>Ene </c:v>
                  </c:pt>
                  <c:pt idx="108">
                    <c:v>Feb</c:v>
                  </c:pt>
                </c:lvl>
                <c:lvl>
                  <c:pt idx="0">
                    <c:v>2011</c:v>
                  </c:pt>
                  <c:pt idx="1">
                    <c:v>2011</c:v>
                  </c:pt>
                  <c:pt idx="2">
                    <c:v>2011</c:v>
                  </c:pt>
                  <c:pt idx="3">
                    <c:v>2011</c:v>
                  </c:pt>
                  <c:pt idx="4">
                    <c:v>2011</c:v>
                  </c:pt>
                  <c:pt idx="5">
                    <c:v>2011</c:v>
                  </c:pt>
                  <c:pt idx="6">
                    <c:v>2011</c:v>
                  </c:pt>
                  <c:pt idx="7">
                    <c:v>2011</c:v>
                  </c:pt>
                  <c:pt idx="8">
                    <c:v>2011</c:v>
                  </c:pt>
                  <c:pt idx="9">
                    <c:v>2011</c:v>
                  </c:pt>
                  <c:pt idx="10">
                    <c:v>2011</c:v>
                  </c:pt>
                  <c:pt idx="11">
                    <c:v>2012</c:v>
                  </c:pt>
                  <c:pt idx="12">
                    <c:v>2012</c:v>
                  </c:pt>
                  <c:pt idx="13">
                    <c:v>2012</c:v>
                  </c:pt>
                  <c:pt idx="14">
                    <c:v>2012</c:v>
                  </c:pt>
                  <c:pt idx="15">
                    <c:v>2012</c:v>
                  </c:pt>
                  <c:pt idx="16">
                    <c:v>2012</c:v>
                  </c:pt>
                  <c:pt idx="17">
                    <c:v>2012</c:v>
                  </c:pt>
                  <c:pt idx="18">
                    <c:v>2012</c:v>
                  </c:pt>
                  <c:pt idx="19">
                    <c:v>2012</c:v>
                  </c:pt>
                  <c:pt idx="20">
                    <c:v>2012</c:v>
                  </c:pt>
                  <c:pt idx="21">
                    <c:v>2012</c:v>
                  </c:pt>
                  <c:pt idx="22">
                    <c:v>2012</c:v>
                  </c:pt>
                  <c:pt idx="23">
                    <c:v>2013</c:v>
                  </c:pt>
                  <c:pt idx="24">
                    <c:v>2013</c:v>
                  </c:pt>
                  <c:pt idx="25">
                    <c:v>2013</c:v>
                  </c:pt>
                  <c:pt idx="26">
                    <c:v>2013</c:v>
                  </c:pt>
                  <c:pt idx="27">
                    <c:v>2013</c:v>
                  </c:pt>
                  <c:pt idx="28">
                    <c:v>2013</c:v>
                  </c:pt>
                  <c:pt idx="29">
                    <c:v>2013</c:v>
                  </c:pt>
                  <c:pt idx="30">
                    <c:v>2013</c:v>
                  </c:pt>
                  <c:pt idx="31">
                    <c:v>2013</c:v>
                  </c:pt>
                  <c:pt idx="32">
                    <c:v>2013</c:v>
                  </c:pt>
                  <c:pt idx="33">
                    <c:v>2013</c:v>
                  </c:pt>
                  <c:pt idx="34">
                    <c:v>2013</c:v>
                  </c:pt>
                  <c:pt idx="35">
                    <c:v>2014</c:v>
                  </c:pt>
                  <c:pt idx="36">
                    <c:v>2014</c:v>
                  </c:pt>
                  <c:pt idx="37">
                    <c:v>2014</c:v>
                  </c:pt>
                  <c:pt idx="38">
                    <c:v>2014</c:v>
                  </c:pt>
                  <c:pt idx="39">
                    <c:v>2014</c:v>
                  </c:pt>
                  <c:pt idx="40">
                    <c:v>2014</c:v>
                  </c:pt>
                  <c:pt idx="41">
                    <c:v>2014</c:v>
                  </c:pt>
                  <c:pt idx="42">
                    <c:v>2014</c:v>
                  </c:pt>
                  <c:pt idx="43">
                    <c:v>2014</c:v>
                  </c:pt>
                  <c:pt idx="44">
                    <c:v>2014</c:v>
                  </c:pt>
                  <c:pt idx="45">
                    <c:v>2014</c:v>
                  </c:pt>
                  <c:pt idx="46">
                    <c:v>2014</c:v>
                  </c:pt>
                  <c:pt idx="47">
                    <c:v>2015</c:v>
                  </c:pt>
                  <c:pt idx="48">
                    <c:v>2015</c:v>
                  </c:pt>
                  <c:pt idx="49">
                    <c:v>2015</c:v>
                  </c:pt>
                  <c:pt idx="50">
                    <c:v>2015</c:v>
                  </c:pt>
                  <c:pt idx="51">
                    <c:v>2015</c:v>
                  </c:pt>
                  <c:pt idx="52">
                    <c:v>2015</c:v>
                  </c:pt>
                  <c:pt idx="53">
                    <c:v>2015</c:v>
                  </c:pt>
                  <c:pt idx="54">
                    <c:v>2015</c:v>
                  </c:pt>
                  <c:pt idx="55">
                    <c:v>2015</c:v>
                  </c:pt>
                  <c:pt idx="56">
                    <c:v>2015</c:v>
                  </c:pt>
                  <c:pt idx="57">
                    <c:v>2015</c:v>
                  </c:pt>
                  <c:pt idx="58">
                    <c:v>2015</c:v>
                  </c:pt>
                  <c:pt idx="59">
                    <c:v>2016</c:v>
                  </c:pt>
                  <c:pt idx="60">
                    <c:v>2016</c:v>
                  </c:pt>
                  <c:pt idx="61">
                    <c:v>2016</c:v>
                  </c:pt>
                  <c:pt idx="62">
                    <c:v>2016</c:v>
                  </c:pt>
                  <c:pt idx="63">
                    <c:v>2016</c:v>
                  </c:pt>
                  <c:pt idx="64">
                    <c:v>2016</c:v>
                  </c:pt>
                  <c:pt idx="65">
                    <c:v>2016</c:v>
                  </c:pt>
                  <c:pt idx="66">
                    <c:v>2016</c:v>
                  </c:pt>
                  <c:pt idx="67">
                    <c:v>2016</c:v>
                  </c:pt>
                  <c:pt idx="68">
                    <c:v>2016</c:v>
                  </c:pt>
                  <c:pt idx="69">
                    <c:v>2016</c:v>
                  </c:pt>
                  <c:pt idx="70">
                    <c:v>2016</c:v>
                  </c:pt>
                  <c:pt idx="71">
                    <c:v>2017</c:v>
                  </c:pt>
                  <c:pt idx="72">
                    <c:v>2017</c:v>
                  </c:pt>
                  <c:pt idx="73">
                    <c:v>2017</c:v>
                  </c:pt>
                  <c:pt idx="74">
                    <c:v>2017</c:v>
                  </c:pt>
                  <c:pt idx="75">
                    <c:v>2017</c:v>
                  </c:pt>
                  <c:pt idx="76">
                    <c:v>2017</c:v>
                  </c:pt>
                  <c:pt idx="77">
                    <c:v>2017</c:v>
                  </c:pt>
                  <c:pt idx="78">
                    <c:v>2017</c:v>
                  </c:pt>
                  <c:pt idx="79">
                    <c:v>2017</c:v>
                  </c:pt>
                  <c:pt idx="80">
                    <c:v>2017</c:v>
                  </c:pt>
                  <c:pt idx="81">
                    <c:v>2017</c:v>
                  </c:pt>
                  <c:pt idx="82">
                    <c:v>2017</c:v>
                  </c:pt>
                  <c:pt idx="83">
                    <c:v>2018</c:v>
                  </c:pt>
                  <c:pt idx="84">
                    <c:v>2018</c:v>
                  </c:pt>
                  <c:pt idx="85">
                    <c:v>2018</c:v>
                  </c:pt>
                  <c:pt idx="86">
                    <c:v>2018</c:v>
                  </c:pt>
                  <c:pt idx="87">
                    <c:v>2018</c:v>
                  </c:pt>
                  <c:pt idx="88">
                    <c:v>2018</c:v>
                  </c:pt>
                  <c:pt idx="89">
                    <c:v>2018</c:v>
                  </c:pt>
                  <c:pt idx="90">
                    <c:v>2018</c:v>
                  </c:pt>
                  <c:pt idx="91">
                    <c:v>2018</c:v>
                  </c:pt>
                  <c:pt idx="92">
                    <c:v>2018</c:v>
                  </c:pt>
                  <c:pt idx="93">
                    <c:v>2018</c:v>
                  </c:pt>
                  <c:pt idx="94">
                    <c:v>2018</c:v>
                  </c:pt>
                  <c:pt idx="95">
                    <c:v>2019</c:v>
                  </c:pt>
                  <c:pt idx="96">
                    <c:v>2019</c:v>
                  </c:pt>
                  <c:pt idx="97">
                    <c:v>2019</c:v>
                  </c:pt>
                  <c:pt idx="98">
                    <c:v>2019</c:v>
                  </c:pt>
                  <c:pt idx="99">
                    <c:v>2019</c:v>
                  </c:pt>
                  <c:pt idx="100">
                    <c:v>2019</c:v>
                  </c:pt>
                  <c:pt idx="101">
                    <c:v>2019</c:v>
                  </c:pt>
                  <c:pt idx="102">
                    <c:v>2019</c:v>
                  </c:pt>
                  <c:pt idx="103">
                    <c:v>2019</c:v>
                  </c:pt>
                  <c:pt idx="104">
                    <c:v>2019</c:v>
                  </c:pt>
                  <c:pt idx="105">
                    <c:v>2019</c:v>
                  </c:pt>
                  <c:pt idx="106">
                    <c:v>2019</c:v>
                  </c:pt>
                  <c:pt idx="107">
                    <c:v>2020</c:v>
                  </c:pt>
                  <c:pt idx="108">
                    <c:v>2020</c:v>
                  </c:pt>
                </c:lvl>
              </c:multiLvlStrCache>
            </c:multiLvlStrRef>
          </c:cat>
          <c:val>
            <c:numRef>
              <c:f>'Datos base 2q jul 2018'!$J$68:$J$176</c:f>
              <c:numCache>
                <c:formatCode>0.00</c:formatCode>
                <c:ptCount val="109"/>
                <c:pt idx="0">
                  <c:v>3.2630675883391329</c:v>
                </c:pt>
                <c:pt idx="1">
                  <c:v>3.2091217758050599</c:v>
                </c:pt>
                <c:pt idx="2">
                  <c:v>3.1757703324359698</c:v>
                </c:pt>
                <c:pt idx="3">
                  <c:v>3.119019422989187</c:v>
                </c:pt>
                <c:pt idx="4">
                  <c:v>3.1764990231993271</c:v>
                </c:pt>
                <c:pt idx="5">
                  <c:v>3.1932744089474538</c:v>
                </c:pt>
                <c:pt idx="6">
                  <c:v>3.2169767950597743</c:v>
                </c:pt>
                <c:pt idx="7">
                  <c:v>3.1183055023675901</c:v>
                </c:pt>
                <c:pt idx="8">
                  <c:v>3.1883275389076449</c:v>
                </c:pt>
                <c:pt idx="9">
                  <c:v>3.2765420338781643</c:v>
                </c:pt>
                <c:pt idx="10">
                  <c:v>3.3530622204483231</c:v>
                </c:pt>
                <c:pt idx="11">
                  <c:v>3.3436930809268399</c:v>
                </c:pt>
                <c:pt idx="12">
                  <c:v>3.3671046021780144</c:v>
                </c:pt>
                <c:pt idx="13">
                  <c:v>3.3113498039227229</c:v>
                </c:pt>
                <c:pt idx="14">
                  <c:v>3.3889839670201529</c:v>
                </c:pt>
                <c:pt idx="15">
                  <c:v>3.4793422084359085</c:v>
                </c:pt>
                <c:pt idx="16">
                  <c:v>3.5024590654229684</c:v>
                </c:pt>
                <c:pt idx="17">
                  <c:v>3.5920821039862001</c:v>
                </c:pt>
                <c:pt idx="18">
                  <c:v>3.7002444070869589</c:v>
                </c:pt>
                <c:pt idx="19">
                  <c:v>3.6082675568587601</c:v>
                </c:pt>
                <c:pt idx="20">
                  <c:v>3.5757597306912232</c:v>
                </c:pt>
                <c:pt idx="21">
                  <c:v>3.2959752573821817</c:v>
                </c:pt>
                <c:pt idx="22">
                  <c:v>2.900125067472791</c:v>
                </c:pt>
                <c:pt idx="23">
                  <c:v>2.8758972112390766</c:v>
                </c:pt>
                <c:pt idx="24">
                  <c:v>2.9616309791473272</c:v>
                </c:pt>
                <c:pt idx="25">
                  <c:v>3.0196390513881881</c:v>
                </c:pt>
                <c:pt idx="26">
                  <c:v>2.9470356969381024</c:v>
                </c:pt>
                <c:pt idx="27">
                  <c:v>2.877045105571669</c:v>
                </c:pt>
                <c:pt idx="28">
                  <c:v>2.7872047408431238</c:v>
                </c:pt>
                <c:pt idx="29">
                  <c:v>2.5028703370876233</c:v>
                </c:pt>
                <c:pt idx="30">
                  <c:v>2.3658177804721046</c:v>
                </c:pt>
                <c:pt idx="31">
                  <c:v>2.515920717630256</c:v>
                </c:pt>
                <c:pt idx="32">
                  <c:v>2.4794464775631813</c:v>
                </c:pt>
                <c:pt idx="33">
                  <c:v>2.5649870805356052</c:v>
                </c:pt>
                <c:pt idx="34">
                  <c:v>2.7768966976377301</c:v>
                </c:pt>
                <c:pt idx="35">
                  <c:v>3.2149549463724112</c:v>
                </c:pt>
                <c:pt idx="36">
                  <c:v>2.9815992803587128</c:v>
                </c:pt>
                <c:pt idx="37">
                  <c:v>2.8932252163082919</c:v>
                </c:pt>
                <c:pt idx="38">
                  <c:v>3.1101473946244109</c:v>
                </c:pt>
                <c:pt idx="39">
                  <c:v>3.0035274507757586</c:v>
                </c:pt>
                <c:pt idx="40">
                  <c:v>3.0900897382228592</c:v>
                </c:pt>
                <c:pt idx="41">
                  <c:v>3.2487794255958073</c:v>
                </c:pt>
                <c:pt idx="42">
                  <c:v>3.3745783859321801</c:v>
                </c:pt>
                <c:pt idx="43">
                  <c:v>3.3426914882561221</c:v>
                </c:pt>
                <c:pt idx="44">
                  <c:v>3.3163350058599472</c:v>
                </c:pt>
                <c:pt idx="45">
                  <c:v>3.3433053168902909</c:v>
                </c:pt>
                <c:pt idx="46">
                  <c:v>3.2448177346399127</c:v>
                </c:pt>
                <c:pt idx="47">
                  <c:v>2.3383998327657349</c:v>
                </c:pt>
                <c:pt idx="48">
                  <c:v>2.3979106641053143</c:v>
                </c:pt>
                <c:pt idx="49">
                  <c:v>2.4463932612693524</c:v>
                </c:pt>
                <c:pt idx="50">
                  <c:v>2.3081554852986721</c:v>
                </c:pt>
                <c:pt idx="51">
                  <c:v>2.3305900684862193</c:v>
                </c:pt>
                <c:pt idx="52">
                  <c:v>2.3269537481242435</c:v>
                </c:pt>
                <c:pt idx="53">
                  <c:v>2.3112445832250934</c:v>
                </c:pt>
                <c:pt idx="54">
                  <c:v>2.2994746549221601</c:v>
                </c:pt>
                <c:pt idx="55">
                  <c:v>2.3789168680112285</c:v>
                </c:pt>
                <c:pt idx="56">
                  <c:v>2.4656820691800654</c:v>
                </c:pt>
                <c:pt idx="57">
                  <c:v>2.3365787531201514</c:v>
                </c:pt>
                <c:pt idx="58">
                  <c:v>2.4119558744003973</c:v>
                </c:pt>
                <c:pt idx="59">
                  <c:v>2.6434226555474014</c:v>
                </c:pt>
                <c:pt idx="60">
                  <c:v>2.6623814836084652</c:v>
                </c:pt>
                <c:pt idx="61">
                  <c:v>2.760648466857702</c:v>
                </c:pt>
                <c:pt idx="62">
                  <c:v>2.827165397588026</c:v>
                </c:pt>
                <c:pt idx="63">
                  <c:v>2.9277923611219818</c:v>
                </c:pt>
                <c:pt idx="64">
                  <c:v>2.9744353574629447</c:v>
                </c:pt>
                <c:pt idx="65">
                  <c:v>2.9725376004903468</c:v>
                </c:pt>
                <c:pt idx="66">
                  <c:v>2.9609191830223178</c:v>
                </c:pt>
                <c:pt idx="67">
                  <c:v>3.0690587086750285</c:v>
                </c:pt>
                <c:pt idx="68">
                  <c:v>3.0980049382589616</c:v>
                </c:pt>
                <c:pt idx="69">
                  <c:v>3.2930623557082486</c:v>
                </c:pt>
                <c:pt idx="70">
                  <c:v>3.4373659982048181</c:v>
                </c:pt>
                <c:pt idx="71">
                  <c:v>3.8357376467426549</c:v>
                </c:pt>
                <c:pt idx="72">
                  <c:v>4.2555046474677471</c:v>
                </c:pt>
                <c:pt idx="73">
                  <c:v>4.4783374612475164</c:v>
                </c:pt>
                <c:pt idx="74">
                  <c:v>4.7173262046135154</c:v>
                </c:pt>
                <c:pt idx="75">
                  <c:v>4.7815776448548775</c:v>
                </c:pt>
                <c:pt idx="76">
                  <c:v>4.8338438131124217</c:v>
                </c:pt>
                <c:pt idx="77">
                  <c:v>4.935516841380946</c:v>
                </c:pt>
                <c:pt idx="78">
                  <c:v>5.0029580594435865</c:v>
                </c:pt>
                <c:pt idx="79">
                  <c:v>4.8001484368885379</c:v>
                </c:pt>
                <c:pt idx="80">
                  <c:v>4.7718024040299234</c:v>
                </c:pt>
                <c:pt idx="81">
                  <c:v>4.8971034253443557</c:v>
                </c:pt>
                <c:pt idx="82">
                  <c:v>4.868778362354127</c:v>
                </c:pt>
                <c:pt idx="83">
                  <c:v>4.5610867697520128</c:v>
                </c:pt>
                <c:pt idx="84">
                  <c:v>4.2746628168778127</c:v>
                </c:pt>
                <c:pt idx="85">
                  <c:v>4.0228686863965315</c:v>
                </c:pt>
                <c:pt idx="86">
                  <c:v>3.7095644217896755</c:v>
                </c:pt>
                <c:pt idx="87">
                  <c:v>3.6906558377127872</c:v>
                </c:pt>
                <c:pt idx="88">
                  <c:v>3.6152923643841275</c:v>
                </c:pt>
                <c:pt idx="89">
                  <c:v>3.6349156535127221</c:v>
                </c:pt>
                <c:pt idx="90">
                  <c:v>3.6268947226102743</c:v>
                </c:pt>
                <c:pt idx="91">
                  <c:v>3.6697723796647042</c:v>
                </c:pt>
                <c:pt idx="92">
                  <c:v>3.7294081492161624</c:v>
                </c:pt>
                <c:pt idx="93">
                  <c:v>3.6336719347377811</c:v>
                </c:pt>
                <c:pt idx="94">
                  <c:v>3.6830818113137154</c:v>
                </c:pt>
                <c:pt idx="95">
                  <c:v>3.5956327388364739</c:v>
                </c:pt>
                <c:pt idx="96">
                  <c:v>3.5373492702235998</c:v>
                </c:pt>
                <c:pt idx="97">
                  <c:v>3.5522683456014059</c:v>
                </c:pt>
                <c:pt idx="98">
                  <c:v>3.8709212669734594</c:v>
                </c:pt>
                <c:pt idx="99">
                  <c:v>3.7745907093303721</c:v>
                </c:pt>
                <c:pt idx="100">
                  <c:v>3.8492317375587115</c:v>
                </c:pt>
                <c:pt idx="101">
                  <c:v>3.8210955621749809</c:v>
                </c:pt>
                <c:pt idx="102">
                  <c:v>3.7767203638696234</c:v>
                </c:pt>
                <c:pt idx="103">
                  <c:v>3.7497990358150046</c:v>
                </c:pt>
                <c:pt idx="104">
                  <c:v>3.6838383356078586</c:v>
                </c:pt>
                <c:pt idx="105">
                  <c:v>3.6529927423974762</c:v>
                </c:pt>
                <c:pt idx="106">
                  <c:v>3.5946407097393385</c:v>
                </c:pt>
                <c:pt idx="107">
                  <c:v>3.725708133157446</c:v>
                </c:pt>
                <c:pt idx="108">
                  <c:v>3.6555222096642526</c:v>
                </c:pt>
              </c:numCache>
            </c:numRef>
          </c:val>
          <c:smooth val="0"/>
          <c:extLst>
            <c:ext xmlns:c16="http://schemas.microsoft.com/office/drawing/2014/chart" uri="{C3380CC4-5D6E-409C-BE32-E72D297353CC}">
              <c16:uniqueId val="{00000003-5226-4E96-8A90-01D24605F2E4}"/>
            </c:ext>
          </c:extLst>
        </c:ser>
        <c:ser>
          <c:idx val="2"/>
          <c:order val="2"/>
          <c:tx>
            <c:strRef>
              <c:f>'Datos base 2q jul 2018'!$K$4</c:f>
              <c:strCache>
                <c:ptCount val="1"/>
                <c:pt idx="0">
                  <c:v>No subyacente</c:v>
                </c:pt>
              </c:strCache>
            </c:strRef>
          </c:tx>
          <c:spPr>
            <a:ln w="12700" cap="rnd">
              <a:solidFill>
                <a:srgbClr val="7F64A0"/>
              </a:solidFill>
              <a:prstDash val="sysDash"/>
              <a:round/>
            </a:ln>
            <a:effectLst/>
          </c:spPr>
          <c:marker>
            <c:symbol val="none"/>
          </c:marker>
          <c:dLbls>
            <c:dLbl>
              <c:idx val="108"/>
              <c:layout>
                <c:manualLayout>
                  <c:x val="-1.5982406236516957E-3"/>
                  <c:y val="-4.03831607274197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26-4E96-8A90-01D24605F2E4}"/>
                </c:ext>
              </c:extLst>
            </c:dLbl>
            <c:spPr>
              <a:noFill/>
              <a:ln>
                <a:noFill/>
              </a:ln>
              <a:effectLst/>
            </c:spPr>
            <c:txPr>
              <a:bodyPr wrap="square" lIns="38100" tIns="19050" rIns="252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 base 2q jul 2018'!$A$68:$B$176</c:f>
              <c:multiLvlStrCache>
                <c:ptCount val="109"/>
                <c:lvl>
                  <c:pt idx="0">
                    <c:v>Feb</c:v>
                  </c:pt>
                  <c:pt idx="1">
                    <c:v>Mar</c:v>
                  </c:pt>
                  <c:pt idx="2">
                    <c:v>Abr</c:v>
                  </c:pt>
                  <c:pt idx="3">
                    <c:v>May</c:v>
                  </c:pt>
                  <c:pt idx="4">
                    <c:v>Jun</c:v>
                  </c:pt>
                  <c:pt idx="5">
                    <c:v>Jul</c:v>
                  </c:pt>
                  <c:pt idx="6">
                    <c:v>Ago</c:v>
                  </c:pt>
                  <c:pt idx="7">
                    <c:v>Sep</c:v>
                  </c:pt>
                  <c:pt idx="8">
                    <c:v>Oct</c:v>
                  </c:pt>
                  <c:pt idx="9">
                    <c:v>Nov</c:v>
                  </c:pt>
                  <c:pt idx="10">
                    <c:v>Dic</c:v>
                  </c:pt>
                  <c:pt idx="11">
                    <c:v>Ene</c:v>
                  </c:pt>
                  <c:pt idx="12">
                    <c:v>Feb</c:v>
                  </c:pt>
                  <c:pt idx="13">
                    <c:v>Mar</c:v>
                  </c:pt>
                  <c:pt idx="14">
                    <c:v>Abr</c:v>
                  </c:pt>
                  <c:pt idx="15">
                    <c:v>May</c:v>
                  </c:pt>
                  <c:pt idx="16">
                    <c:v>Jun</c:v>
                  </c:pt>
                  <c:pt idx="17">
                    <c:v>Jul</c:v>
                  </c:pt>
                  <c:pt idx="18">
                    <c:v>Ago</c:v>
                  </c:pt>
                  <c:pt idx="19">
                    <c:v>Sep</c:v>
                  </c:pt>
                  <c:pt idx="20">
                    <c:v>Oct</c:v>
                  </c:pt>
                  <c:pt idx="21">
                    <c:v>Nov</c:v>
                  </c:pt>
                  <c:pt idx="22">
                    <c:v>Dic</c:v>
                  </c:pt>
                  <c:pt idx="23">
                    <c:v>Ene</c:v>
                  </c:pt>
                  <c:pt idx="24">
                    <c:v>Feb</c:v>
                  </c:pt>
                  <c:pt idx="25">
                    <c:v>Mar</c:v>
                  </c:pt>
                  <c:pt idx="26">
                    <c:v>Abr</c:v>
                  </c:pt>
                  <c:pt idx="27">
                    <c:v>May</c:v>
                  </c:pt>
                  <c:pt idx="28">
                    <c:v>Jun</c:v>
                  </c:pt>
                  <c:pt idx="29">
                    <c:v>Jul</c:v>
                  </c:pt>
                  <c:pt idx="30">
                    <c:v>Ago</c:v>
                  </c:pt>
                  <c:pt idx="31">
                    <c:v>Sep</c:v>
                  </c:pt>
                  <c:pt idx="32">
                    <c:v>Oct</c:v>
                  </c:pt>
                  <c:pt idx="33">
                    <c:v>Nov</c:v>
                  </c:pt>
                  <c:pt idx="34">
                    <c:v>Dic</c:v>
                  </c:pt>
                  <c:pt idx="35">
                    <c:v>Ene</c:v>
                  </c:pt>
                  <c:pt idx="36">
                    <c:v>Feb</c:v>
                  </c:pt>
                  <c:pt idx="37">
                    <c:v>Mar</c:v>
                  </c:pt>
                  <c:pt idx="38">
                    <c:v>Abr</c:v>
                  </c:pt>
                  <c:pt idx="39">
                    <c:v>May</c:v>
                  </c:pt>
                  <c:pt idx="40">
                    <c:v>Jun</c:v>
                  </c:pt>
                  <c:pt idx="41">
                    <c:v>Jul</c:v>
                  </c:pt>
                  <c:pt idx="42">
                    <c:v>Ago</c:v>
                  </c:pt>
                  <c:pt idx="43">
                    <c:v>Sep</c:v>
                  </c:pt>
                  <c:pt idx="44">
                    <c:v>Oct</c:v>
                  </c:pt>
                  <c:pt idx="45">
                    <c:v>Nov</c:v>
                  </c:pt>
                  <c:pt idx="46">
                    <c:v>Dic</c:v>
                  </c:pt>
                  <c:pt idx="47">
                    <c:v>Ene</c:v>
                  </c:pt>
                  <c:pt idx="48">
                    <c:v>Feb</c:v>
                  </c:pt>
                  <c:pt idx="49">
                    <c:v>Mar</c:v>
                  </c:pt>
                  <c:pt idx="50">
                    <c:v>Abr</c:v>
                  </c:pt>
                  <c:pt idx="51">
                    <c:v>May</c:v>
                  </c:pt>
                  <c:pt idx="52">
                    <c:v>Jun</c:v>
                  </c:pt>
                  <c:pt idx="53">
                    <c:v>Jul</c:v>
                  </c:pt>
                  <c:pt idx="54">
                    <c:v>Ago</c:v>
                  </c:pt>
                  <c:pt idx="55">
                    <c:v>Sep</c:v>
                  </c:pt>
                  <c:pt idx="56">
                    <c:v>Oct</c:v>
                  </c:pt>
                  <c:pt idx="57">
                    <c:v>Nov</c:v>
                  </c:pt>
                  <c:pt idx="58">
                    <c:v>Dic</c:v>
                  </c:pt>
                  <c:pt idx="59">
                    <c:v>Ene </c:v>
                  </c:pt>
                  <c:pt idx="60">
                    <c:v>Feb</c:v>
                  </c:pt>
                  <c:pt idx="61">
                    <c:v>Mar</c:v>
                  </c:pt>
                  <c:pt idx="62">
                    <c:v>Abr</c:v>
                  </c:pt>
                  <c:pt idx="63">
                    <c:v>May</c:v>
                  </c:pt>
                  <c:pt idx="64">
                    <c:v>Jun</c:v>
                  </c:pt>
                  <c:pt idx="65">
                    <c:v>Jul</c:v>
                  </c:pt>
                  <c:pt idx="66">
                    <c:v>Ago</c:v>
                  </c:pt>
                  <c:pt idx="67">
                    <c:v>Sep</c:v>
                  </c:pt>
                  <c:pt idx="68">
                    <c:v>Oct</c:v>
                  </c:pt>
                  <c:pt idx="69">
                    <c:v>Nov</c:v>
                  </c:pt>
                  <c:pt idx="70">
                    <c:v>Dic</c:v>
                  </c:pt>
                  <c:pt idx="71">
                    <c:v>Ene </c:v>
                  </c:pt>
                  <c:pt idx="72">
                    <c:v>Feb</c:v>
                  </c:pt>
                  <c:pt idx="73">
                    <c:v>Mar</c:v>
                  </c:pt>
                  <c:pt idx="74">
                    <c:v>Abr</c:v>
                  </c:pt>
                  <c:pt idx="75">
                    <c:v>May</c:v>
                  </c:pt>
                  <c:pt idx="76">
                    <c:v>Jun</c:v>
                  </c:pt>
                  <c:pt idx="77">
                    <c:v>Jul</c:v>
                  </c:pt>
                  <c:pt idx="78">
                    <c:v>Ago</c:v>
                  </c:pt>
                  <c:pt idx="79">
                    <c:v>Sep</c:v>
                  </c:pt>
                  <c:pt idx="80">
                    <c:v>Oct</c:v>
                  </c:pt>
                  <c:pt idx="81">
                    <c:v>Nov</c:v>
                  </c:pt>
                  <c:pt idx="82">
                    <c:v>Dic</c:v>
                  </c:pt>
                  <c:pt idx="83">
                    <c:v>Ene </c:v>
                  </c:pt>
                  <c:pt idx="84">
                    <c:v>Feb</c:v>
                  </c:pt>
                  <c:pt idx="85">
                    <c:v>Mar</c:v>
                  </c:pt>
                  <c:pt idx="86">
                    <c:v>Abr</c:v>
                  </c:pt>
                  <c:pt idx="87">
                    <c:v>May</c:v>
                  </c:pt>
                  <c:pt idx="88">
                    <c:v>Jun</c:v>
                  </c:pt>
                  <c:pt idx="89">
                    <c:v>Jul</c:v>
                  </c:pt>
                  <c:pt idx="90">
                    <c:v>Ago</c:v>
                  </c:pt>
                  <c:pt idx="91">
                    <c:v>Sep</c:v>
                  </c:pt>
                  <c:pt idx="92">
                    <c:v>Oct</c:v>
                  </c:pt>
                  <c:pt idx="93">
                    <c:v>Nov</c:v>
                  </c:pt>
                  <c:pt idx="94">
                    <c:v>Dic</c:v>
                  </c:pt>
                  <c:pt idx="95">
                    <c:v>Ene </c:v>
                  </c:pt>
                  <c:pt idx="96">
                    <c:v>Feb</c:v>
                  </c:pt>
                  <c:pt idx="97">
                    <c:v>Mar</c:v>
                  </c:pt>
                  <c:pt idx="98">
                    <c:v>Abr</c:v>
                  </c:pt>
                  <c:pt idx="99">
                    <c:v>May</c:v>
                  </c:pt>
                  <c:pt idx="100">
                    <c:v>Jun</c:v>
                  </c:pt>
                  <c:pt idx="101">
                    <c:v>Jul</c:v>
                  </c:pt>
                  <c:pt idx="102">
                    <c:v>Ago</c:v>
                  </c:pt>
                  <c:pt idx="103">
                    <c:v>Sep</c:v>
                  </c:pt>
                  <c:pt idx="104">
                    <c:v>Oct</c:v>
                  </c:pt>
                  <c:pt idx="105">
                    <c:v>Nov</c:v>
                  </c:pt>
                  <c:pt idx="106">
                    <c:v>Dic</c:v>
                  </c:pt>
                  <c:pt idx="107">
                    <c:v>Ene </c:v>
                  </c:pt>
                  <c:pt idx="108">
                    <c:v>Feb</c:v>
                  </c:pt>
                </c:lvl>
                <c:lvl>
                  <c:pt idx="0">
                    <c:v>2011</c:v>
                  </c:pt>
                  <c:pt idx="1">
                    <c:v>2011</c:v>
                  </c:pt>
                  <c:pt idx="2">
                    <c:v>2011</c:v>
                  </c:pt>
                  <c:pt idx="3">
                    <c:v>2011</c:v>
                  </c:pt>
                  <c:pt idx="4">
                    <c:v>2011</c:v>
                  </c:pt>
                  <c:pt idx="5">
                    <c:v>2011</c:v>
                  </c:pt>
                  <c:pt idx="6">
                    <c:v>2011</c:v>
                  </c:pt>
                  <c:pt idx="7">
                    <c:v>2011</c:v>
                  </c:pt>
                  <c:pt idx="8">
                    <c:v>2011</c:v>
                  </c:pt>
                  <c:pt idx="9">
                    <c:v>2011</c:v>
                  </c:pt>
                  <c:pt idx="10">
                    <c:v>2011</c:v>
                  </c:pt>
                  <c:pt idx="11">
                    <c:v>2012</c:v>
                  </c:pt>
                  <c:pt idx="12">
                    <c:v>2012</c:v>
                  </c:pt>
                  <c:pt idx="13">
                    <c:v>2012</c:v>
                  </c:pt>
                  <c:pt idx="14">
                    <c:v>2012</c:v>
                  </c:pt>
                  <c:pt idx="15">
                    <c:v>2012</c:v>
                  </c:pt>
                  <c:pt idx="16">
                    <c:v>2012</c:v>
                  </c:pt>
                  <c:pt idx="17">
                    <c:v>2012</c:v>
                  </c:pt>
                  <c:pt idx="18">
                    <c:v>2012</c:v>
                  </c:pt>
                  <c:pt idx="19">
                    <c:v>2012</c:v>
                  </c:pt>
                  <c:pt idx="20">
                    <c:v>2012</c:v>
                  </c:pt>
                  <c:pt idx="21">
                    <c:v>2012</c:v>
                  </c:pt>
                  <c:pt idx="22">
                    <c:v>2012</c:v>
                  </c:pt>
                  <c:pt idx="23">
                    <c:v>2013</c:v>
                  </c:pt>
                  <c:pt idx="24">
                    <c:v>2013</c:v>
                  </c:pt>
                  <c:pt idx="25">
                    <c:v>2013</c:v>
                  </c:pt>
                  <c:pt idx="26">
                    <c:v>2013</c:v>
                  </c:pt>
                  <c:pt idx="27">
                    <c:v>2013</c:v>
                  </c:pt>
                  <c:pt idx="28">
                    <c:v>2013</c:v>
                  </c:pt>
                  <c:pt idx="29">
                    <c:v>2013</c:v>
                  </c:pt>
                  <c:pt idx="30">
                    <c:v>2013</c:v>
                  </c:pt>
                  <c:pt idx="31">
                    <c:v>2013</c:v>
                  </c:pt>
                  <c:pt idx="32">
                    <c:v>2013</c:v>
                  </c:pt>
                  <c:pt idx="33">
                    <c:v>2013</c:v>
                  </c:pt>
                  <c:pt idx="34">
                    <c:v>2013</c:v>
                  </c:pt>
                  <c:pt idx="35">
                    <c:v>2014</c:v>
                  </c:pt>
                  <c:pt idx="36">
                    <c:v>2014</c:v>
                  </c:pt>
                  <c:pt idx="37">
                    <c:v>2014</c:v>
                  </c:pt>
                  <c:pt idx="38">
                    <c:v>2014</c:v>
                  </c:pt>
                  <c:pt idx="39">
                    <c:v>2014</c:v>
                  </c:pt>
                  <c:pt idx="40">
                    <c:v>2014</c:v>
                  </c:pt>
                  <c:pt idx="41">
                    <c:v>2014</c:v>
                  </c:pt>
                  <c:pt idx="42">
                    <c:v>2014</c:v>
                  </c:pt>
                  <c:pt idx="43">
                    <c:v>2014</c:v>
                  </c:pt>
                  <c:pt idx="44">
                    <c:v>2014</c:v>
                  </c:pt>
                  <c:pt idx="45">
                    <c:v>2014</c:v>
                  </c:pt>
                  <c:pt idx="46">
                    <c:v>2014</c:v>
                  </c:pt>
                  <c:pt idx="47">
                    <c:v>2015</c:v>
                  </c:pt>
                  <c:pt idx="48">
                    <c:v>2015</c:v>
                  </c:pt>
                  <c:pt idx="49">
                    <c:v>2015</c:v>
                  </c:pt>
                  <c:pt idx="50">
                    <c:v>2015</c:v>
                  </c:pt>
                  <c:pt idx="51">
                    <c:v>2015</c:v>
                  </c:pt>
                  <c:pt idx="52">
                    <c:v>2015</c:v>
                  </c:pt>
                  <c:pt idx="53">
                    <c:v>2015</c:v>
                  </c:pt>
                  <c:pt idx="54">
                    <c:v>2015</c:v>
                  </c:pt>
                  <c:pt idx="55">
                    <c:v>2015</c:v>
                  </c:pt>
                  <c:pt idx="56">
                    <c:v>2015</c:v>
                  </c:pt>
                  <c:pt idx="57">
                    <c:v>2015</c:v>
                  </c:pt>
                  <c:pt idx="58">
                    <c:v>2015</c:v>
                  </c:pt>
                  <c:pt idx="59">
                    <c:v>2016</c:v>
                  </c:pt>
                  <c:pt idx="60">
                    <c:v>2016</c:v>
                  </c:pt>
                  <c:pt idx="61">
                    <c:v>2016</c:v>
                  </c:pt>
                  <c:pt idx="62">
                    <c:v>2016</c:v>
                  </c:pt>
                  <c:pt idx="63">
                    <c:v>2016</c:v>
                  </c:pt>
                  <c:pt idx="64">
                    <c:v>2016</c:v>
                  </c:pt>
                  <c:pt idx="65">
                    <c:v>2016</c:v>
                  </c:pt>
                  <c:pt idx="66">
                    <c:v>2016</c:v>
                  </c:pt>
                  <c:pt idx="67">
                    <c:v>2016</c:v>
                  </c:pt>
                  <c:pt idx="68">
                    <c:v>2016</c:v>
                  </c:pt>
                  <c:pt idx="69">
                    <c:v>2016</c:v>
                  </c:pt>
                  <c:pt idx="70">
                    <c:v>2016</c:v>
                  </c:pt>
                  <c:pt idx="71">
                    <c:v>2017</c:v>
                  </c:pt>
                  <c:pt idx="72">
                    <c:v>2017</c:v>
                  </c:pt>
                  <c:pt idx="73">
                    <c:v>2017</c:v>
                  </c:pt>
                  <c:pt idx="74">
                    <c:v>2017</c:v>
                  </c:pt>
                  <c:pt idx="75">
                    <c:v>2017</c:v>
                  </c:pt>
                  <c:pt idx="76">
                    <c:v>2017</c:v>
                  </c:pt>
                  <c:pt idx="77">
                    <c:v>2017</c:v>
                  </c:pt>
                  <c:pt idx="78">
                    <c:v>2017</c:v>
                  </c:pt>
                  <c:pt idx="79">
                    <c:v>2017</c:v>
                  </c:pt>
                  <c:pt idx="80">
                    <c:v>2017</c:v>
                  </c:pt>
                  <c:pt idx="81">
                    <c:v>2017</c:v>
                  </c:pt>
                  <c:pt idx="82">
                    <c:v>2017</c:v>
                  </c:pt>
                  <c:pt idx="83">
                    <c:v>2018</c:v>
                  </c:pt>
                  <c:pt idx="84">
                    <c:v>2018</c:v>
                  </c:pt>
                  <c:pt idx="85">
                    <c:v>2018</c:v>
                  </c:pt>
                  <c:pt idx="86">
                    <c:v>2018</c:v>
                  </c:pt>
                  <c:pt idx="87">
                    <c:v>2018</c:v>
                  </c:pt>
                  <c:pt idx="88">
                    <c:v>2018</c:v>
                  </c:pt>
                  <c:pt idx="89">
                    <c:v>2018</c:v>
                  </c:pt>
                  <c:pt idx="90">
                    <c:v>2018</c:v>
                  </c:pt>
                  <c:pt idx="91">
                    <c:v>2018</c:v>
                  </c:pt>
                  <c:pt idx="92">
                    <c:v>2018</c:v>
                  </c:pt>
                  <c:pt idx="93">
                    <c:v>2018</c:v>
                  </c:pt>
                  <c:pt idx="94">
                    <c:v>2018</c:v>
                  </c:pt>
                  <c:pt idx="95">
                    <c:v>2019</c:v>
                  </c:pt>
                  <c:pt idx="96">
                    <c:v>2019</c:v>
                  </c:pt>
                  <c:pt idx="97">
                    <c:v>2019</c:v>
                  </c:pt>
                  <c:pt idx="98">
                    <c:v>2019</c:v>
                  </c:pt>
                  <c:pt idx="99">
                    <c:v>2019</c:v>
                  </c:pt>
                  <c:pt idx="100">
                    <c:v>2019</c:v>
                  </c:pt>
                  <c:pt idx="101">
                    <c:v>2019</c:v>
                  </c:pt>
                  <c:pt idx="102">
                    <c:v>2019</c:v>
                  </c:pt>
                  <c:pt idx="103">
                    <c:v>2019</c:v>
                  </c:pt>
                  <c:pt idx="104">
                    <c:v>2019</c:v>
                  </c:pt>
                  <c:pt idx="105">
                    <c:v>2019</c:v>
                  </c:pt>
                  <c:pt idx="106">
                    <c:v>2019</c:v>
                  </c:pt>
                  <c:pt idx="107">
                    <c:v>2020</c:v>
                  </c:pt>
                  <c:pt idx="108">
                    <c:v>2020</c:v>
                  </c:pt>
                </c:lvl>
              </c:multiLvlStrCache>
            </c:multiLvlStrRef>
          </c:cat>
          <c:val>
            <c:numRef>
              <c:f>'Datos base 2q jul 2018'!$K$68:$K$176</c:f>
              <c:numCache>
                <c:formatCode>0.00</c:formatCode>
                <c:ptCount val="109"/>
                <c:pt idx="0">
                  <c:v>4.5345641153719685</c:v>
                </c:pt>
                <c:pt idx="1">
                  <c:v>2.4648462234248494</c:v>
                </c:pt>
                <c:pt idx="2">
                  <c:v>3.89639423890348</c:v>
                </c:pt>
                <c:pt idx="3">
                  <c:v>3.4500093610638216</c:v>
                </c:pt>
                <c:pt idx="4">
                  <c:v>3.3413938088757646</c:v>
                </c:pt>
                <c:pt idx="5">
                  <c:v>4.5080335390273563</c:v>
                </c:pt>
                <c:pt idx="6">
                  <c:v>3.8964383552134692</c:v>
                </c:pt>
                <c:pt idx="7">
                  <c:v>2.9817286937933694</c:v>
                </c:pt>
                <c:pt idx="8">
                  <c:v>3.0858071205758351</c:v>
                </c:pt>
                <c:pt idx="9">
                  <c:v>4.1333009967056169</c:v>
                </c:pt>
                <c:pt idx="10">
                  <c:v>5.3411593585055428</c:v>
                </c:pt>
                <c:pt idx="11">
                  <c:v>6.3752939517453839</c:v>
                </c:pt>
                <c:pt idx="12">
                  <c:v>5.5308679142962145</c:v>
                </c:pt>
                <c:pt idx="13">
                  <c:v>5.1231830404691898</c:v>
                </c:pt>
                <c:pt idx="14">
                  <c:v>3.4856017350560009</c:v>
                </c:pt>
                <c:pt idx="15">
                  <c:v>5.1488014748264641</c:v>
                </c:pt>
                <c:pt idx="16">
                  <c:v>7.2616639973355168</c:v>
                </c:pt>
                <c:pt idx="17">
                  <c:v>7.2952114289320082</c:v>
                </c:pt>
                <c:pt idx="18">
                  <c:v>7.578300127544976</c:v>
                </c:pt>
                <c:pt idx="19">
                  <c:v>8.8128831721662895</c:v>
                </c:pt>
                <c:pt idx="20">
                  <c:v>8.0714067682061614</c:v>
                </c:pt>
                <c:pt idx="21">
                  <c:v>7.0935808610731188</c:v>
                </c:pt>
                <c:pt idx="22">
                  <c:v>5.7421467047290484</c:v>
                </c:pt>
                <c:pt idx="23">
                  <c:v>4.4719628150791753</c:v>
                </c:pt>
                <c:pt idx="24">
                  <c:v>5.474391917585435</c:v>
                </c:pt>
                <c:pt idx="25">
                  <c:v>8.291168551724736</c:v>
                </c:pt>
                <c:pt idx="26">
                  <c:v>10.3205668093381</c:v>
                </c:pt>
                <c:pt idx="27">
                  <c:v>10.556592713019041</c:v>
                </c:pt>
                <c:pt idx="28">
                  <c:v>8.3879525922339031</c:v>
                </c:pt>
                <c:pt idx="29">
                  <c:v>6.6047027563408358</c:v>
                </c:pt>
                <c:pt idx="30">
                  <c:v>7.0100062040655855</c:v>
                </c:pt>
                <c:pt idx="31">
                  <c:v>6.1951632005662605</c:v>
                </c:pt>
                <c:pt idx="32">
                  <c:v>6.1824504951925601</c:v>
                </c:pt>
                <c:pt idx="33">
                  <c:v>7.017016415926693</c:v>
                </c:pt>
                <c:pt idx="34">
                  <c:v>7.8424026575887362</c:v>
                </c:pt>
                <c:pt idx="35">
                  <c:v>8.582372700473222</c:v>
                </c:pt>
                <c:pt idx="36">
                  <c:v>8.2824424434665769</c:v>
                </c:pt>
                <c:pt idx="37">
                  <c:v>6.5354997126406733</c:v>
                </c:pt>
                <c:pt idx="38">
                  <c:v>4.7475792496286298</c:v>
                </c:pt>
                <c:pt idx="39">
                  <c:v>5.1863578239874082</c:v>
                </c:pt>
                <c:pt idx="40">
                  <c:v>5.9617265692740871</c:v>
                </c:pt>
                <c:pt idx="41">
                  <c:v>6.8271579641693165</c:v>
                </c:pt>
                <c:pt idx="42">
                  <c:v>6.7182708744115081</c:v>
                </c:pt>
                <c:pt idx="43">
                  <c:v>7.1119588300636041</c:v>
                </c:pt>
                <c:pt idx="44">
                  <c:v>7.5060565081171537</c:v>
                </c:pt>
                <c:pt idx="45">
                  <c:v>6.7763144885481852</c:v>
                </c:pt>
                <c:pt idx="46">
                  <c:v>6.6991037192450129</c:v>
                </c:pt>
                <c:pt idx="47">
                  <c:v>5.338364978916446</c:v>
                </c:pt>
                <c:pt idx="48">
                  <c:v>4.8839859296475376</c:v>
                </c:pt>
                <c:pt idx="49">
                  <c:v>5.2924328408390062</c:v>
                </c:pt>
                <c:pt idx="50">
                  <c:v>5.4633403420644067</c:v>
                </c:pt>
                <c:pt idx="51">
                  <c:v>4.6431485542286817</c:v>
                </c:pt>
                <c:pt idx="52">
                  <c:v>4.6336651275337841</c:v>
                </c:pt>
                <c:pt idx="53">
                  <c:v>4.1241442964936512</c:v>
                </c:pt>
                <c:pt idx="54">
                  <c:v>3.5125321367639772</c:v>
                </c:pt>
                <c:pt idx="55">
                  <c:v>2.963926777529815</c:v>
                </c:pt>
                <c:pt idx="56">
                  <c:v>2.5249797574191013</c:v>
                </c:pt>
                <c:pt idx="57">
                  <c:v>1.843026887014072</c:v>
                </c:pt>
                <c:pt idx="58">
                  <c:v>1.2762511606747</c:v>
                </c:pt>
                <c:pt idx="59">
                  <c:v>2.522246807825427</c:v>
                </c:pt>
                <c:pt idx="60">
                  <c:v>3.4938208536903983</c:v>
                </c:pt>
                <c:pt idx="61">
                  <c:v>2.1164916182627671</c:v>
                </c:pt>
                <c:pt idx="62">
                  <c:v>1.6595743619222199</c:v>
                </c:pt>
                <c:pt idx="63">
                  <c:v>1.5477448099930948</c:v>
                </c:pt>
                <c:pt idx="64">
                  <c:v>1.1555817183581019</c:v>
                </c:pt>
                <c:pt idx="65">
                  <c:v>1.6461385320237307</c:v>
                </c:pt>
                <c:pt idx="66">
                  <c:v>1.9876330916648821</c:v>
                </c:pt>
                <c:pt idx="67">
                  <c:v>2.6526253855259565</c:v>
                </c:pt>
                <c:pt idx="68">
                  <c:v>2.9532598018049154</c:v>
                </c:pt>
                <c:pt idx="69">
                  <c:v>3.3414816660668851</c:v>
                </c:pt>
                <c:pt idx="70">
                  <c:v>3.1263239622002197</c:v>
                </c:pt>
                <c:pt idx="71">
                  <c:v>7.399186009491145</c:v>
                </c:pt>
                <c:pt idx="72">
                  <c:v>6.7088696245197807</c:v>
                </c:pt>
                <c:pt idx="73">
                  <c:v>8.0239017559605941</c:v>
                </c:pt>
                <c:pt idx="74">
                  <c:v>9.2498471387532266</c:v>
                </c:pt>
                <c:pt idx="75">
                  <c:v>10.603551237535402</c:v>
                </c:pt>
                <c:pt idx="76">
                  <c:v>11.0921132755296</c:v>
                </c:pt>
                <c:pt idx="77">
                  <c:v>11.271739327633481</c:v>
                </c:pt>
                <c:pt idx="78">
                  <c:v>11.984296254130735</c:v>
                </c:pt>
                <c:pt idx="79">
                  <c:v>11.27940701705263</c:v>
                </c:pt>
                <c:pt idx="80">
                  <c:v>11.401788332337997</c:v>
                </c:pt>
                <c:pt idx="81">
                  <c:v>11.9730078319096</c:v>
                </c:pt>
                <c:pt idx="82">
                  <c:v>12.621131109032941</c:v>
                </c:pt>
                <c:pt idx="83">
                  <c:v>8.4396254977826892</c:v>
                </c:pt>
                <c:pt idx="84">
                  <c:v>8.491229033565558</c:v>
                </c:pt>
                <c:pt idx="85">
                  <c:v>8.0270896801162657</c:v>
                </c:pt>
                <c:pt idx="86">
                  <c:v>7.0713450732142382</c:v>
                </c:pt>
                <c:pt idx="87">
                  <c:v>6.9879395591619682</c:v>
                </c:pt>
                <c:pt idx="88">
                  <c:v>7.7916771163987235</c:v>
                </c:pt>
                <c:pt idx="89">
                  <c:v>8.381461263852346</c:v>
                </c:pt>
                <c:pt idx="90">
                  <c:v>8.8021172100991283</c:v>
                </c:pt>
                <c:pt idx="91">
                  <c:v>9.1504116117487211</c:v>
                </c:pt>
                <c:pt idx="92">
                  <c:v>8.4990813438131205</c:v>
                </c:pt>
                <c:pt idx="93">
                  <c:v>8.0727173955203568</c:v>
                </c:pt>
                <c:pt idx="94">
                  <c:v>8.3985017457426814</c:v>
                </c:pt>
                <c:pt idx="95">
                  <c:v>6.8077764553492903</c:v>
                </c:pt>
                <c:pt idx="96">
                  <c:v>5.2529539129089642</c:v>
                </c:pt>
                <c:pt idx="97">
                  <c:v>5.4665367537646503</c:v>
                </c:pt>
                <c:pt idx="98">
                  <c:v>6.0820526568256206</c:v>
                </c:pt>
                <c:pt idx="99">
                  <c:v>5.7798859220474119</c:v>
                </c:pt>
                <c:pt idx="100">
                  <c:v>4.1879028979615152</c:v>
                </c:pt>
                <c:pt idx="101">
                  <c:v>3.6443895185500175</c:v>
                </c:pt>
                <c:pt idx="102">
                  <c:v>1.2826704768500674</c:v>
                </c:pt>
                <c:pt idx="103">
                  <c:v>0.70609573204361009</c:v>
                </c:pt>
                <c:pt idx="104">
                  <c:v>1.0130453924242833</c:v>
                </c:pt>
                <c:pt idx="105">
                  <c:v>0.97682795762952246</c:v>
                </c:pt>
                <c:pt idx="106">
                  <c:v>0.58876764232136392</c:v>
                </c:pt>
                <c:pt idx="107">
                  <c:v>1.8057923017696931</c:v>
                </c:pt>
                <c:pt idx="108">
                  <c:v>3.8136885018296152</c:v>
                </c:pt>
              </c:numCache>
            </c:numRef>
          </c:val>
          <c:smooth val="0"/>
          <c:extLst>
            <c:ext xmlns:c16="http://schemas.microsoft.com/office/drawing/2014/chart" uri="{C3380CC4-5D6E-409C-BE32-E72D297353CC}">
              <c16:uniqueId val="{00000005-5226-4E96-8A90-01D24605F2E4}"/>
            </c:ext>
          </c:extLst>
        </c:ser>
        <c:dLbls>
          <c:showLegendKey val="0"/>
          <c:showVal val="0"/>
          <c:showCatName val="0"/>
          <c:showSerName val="0"/>
          <c:showPercent val="0"/>
          <c:showBubbleSize val="0"/>
        </c:dLbls>
        <c:smooth val="0"/>
        <c:axId val="206023752"/>
        <c:axId val="206020224"/>
      </c:lineChart>
      <c:catAx>
        <c:axId val="206023752"/>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60000000" spcFirstLastPara="1" vertOverflow="ellipsis" vert="horz" wrap="square" anchor="ctr" anchorCtr="0"/>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6020224"/>
        <c:crosses val="autoZero"/>
        <c:auto val="0"/>
        <c:lblAlgn val="ctr"/>
        <c:lblOffset val="100"/>
        <c:tickLblSkip val="12"/>
        <c:tickMarkSkip val="12"/>
        <c:noMultiLvlLbl val="1"/>
      </c:catAx>
      <c:valAx>
        <c:axId val="206020224"/>
        <c:scaling>
          <c:orientation val="minMax"/>
          <c:max val="14"/>
          <c:min val="0"/>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6023752"/>
        <c:crossesAt val="1"/>
        <c:crossBetween val="midCat"/>
        <c:majorUnit val="2"/>
      </c:valAx>
      <c:spPr>
        <a:noFill/>
        <a:ln>
          <a:noFill/>
        </a:ln>
        <a:effectLst/>
      </c:spPr>
    </c:plotArea>
    <c:legend>
      <c:legendPos val="r"/>
      <c:layout>
        <c:manualLayout>
          <c:xMode val="edge"/>
          <c:yMode val="edge"/>
          <c:x val="0.1233002574771998"/>
          <c:y val="0.9388903342416236"/>
          <c:w val="0.75111762283296291"/>
          <c:h val="5.117278963727731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29AA6-C5C1-49C5-8712-C0561FDB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1146</TotalTime>
  <Pages>10</Pages>
  <Words>2004</Words>
  <Characters>10677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Comunicado de Prensa. Índice Nacional de Precios al Consumidor</vt:lpstr>
    </vt:vector>
  </TitlesOfParts>
  <Company>INEGI</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INDICE DE PRECIOS AL CONSUMIDOR</cp:keywords>
  <cp:lastModifiedBy>SALA DE PRENSA</cp:lastModifiedBy>
  <cp:revision>102</cp:revision>
  <cp:lastPrinted>2020-03-04T16:46:00Z</cp:lastPrinted>
  <dcterms:created xsi:type="dcterms:W3CDTF">2019-04-05T19:16:00Z</dcterms:created>
  <dcterms:modified xsi:type="dcterms:W3CDTF">2020-03-06T23:54:00Z</dcterms:modified>
  <cp:category>ÍNDICES DE PRECIOS</cp:category>
  <cp:version>1</cp:version>
</cp:coreProperties>
</file>