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3233789"/>
    <w:bookmarkEnd w:id="0"/>
    <w:p w14:paraId="1B77A1C2" w14:textId="77777777" w:rsidR="00EB7B70" w:rsidRDefault="00EB7B70" w:rsidP="00EB7B70">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5DE5950F" wp14:editId="4B94511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9661002" w14:textId="77777777" w:rsidR="00EB7B70" w:rsidRPr="00265B8C" w:rsidRDefault="00EB7B70" w:rsidP="00EB7B7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5950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9661002" w14:textId="77777777" w:rsidR="00EB7B70" w:rsidRPr="00265B8C" w:rsidRDefault="00EB7B70" w:rsidP="00EB7B7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  </w:t>
                      </w:r>
                    </w:p>
                  </w:txbxContent>
                </v:textbox>
                <w10:wrap type="square"/>
              </v:shape>
            </w:pict>
          </mc:Fallback>
        </mc:AlternateContent>
      </w:r>
    </w:p>
    <w:p w14:paraId="57855396" w14:textId="77777777" w:rsidR="00EB7B70" w:rsidRDefault="00EB7B70" w:rsidP="00EB7B70">
      <w:pPr>
        <w:pStyle w:val="Profesin"/>
        <w:spacing w:before="240"/>
      </w:pPr>
      <w:r>
        <w:t xml:space="preserve">  </w:t>
      </w:r>
    </w:p>
    <w:p w14:paraId="30E47F9A" w14:textId="77777777" w:rsidR="00EB7B70" w:rsidRPr="00B6569A" w:rsidRDefault="00EB7B70" w:rsidP="00EB7B70">
      <w:pPr>
        <w:pStyle w:val="Profesin"/>
      </w:pPr>
      <w:r>
        <w:t>Í</w:t>
      </w:r>
      <w:r w:rsidRPr="00B6569A">
        <w:t>NDICE NACIONAL DE PRECIOS AL CONSUMIDOR</w:t>
      </w:r>
    </w:p>
    <w:p w14:paraId="4900162E" w14:textId="77777777" w:rsidR="00EB7B70" w:rsidRPr="00B6569A" w:rsidRDefault="00EB7B70" w:rsidP="00EB7B70">
      <w:pPr>
        <w:pStyle w:val="Profesin"/>
        <w:rPr>
          <w:caps w:val="0"/>
        </w:rPr>
      </w:pPr>
      <w:r>
        <w:rPr>
          <w:caps w:val="0"/>
        </w:rPr>
        <w:t xml:space="preserve">MAYO </w:t>
      </w:r>
      <w:r w:rsidRPr="003110E0">
        <w:rPr>
          <w:caps w:val="0"/>
        </w:rPr>
        <w:t>DE 20</w:t>
      </w:r>
      <w:r>
        <w:rPr>
          <w:caps w:val="0"/>
        </w:rPr>
        <w:t>20</w:t>
      </w:r>
    </w:p>
    <w:p w14:paraId="235FB762" w14:textId="77777777" w:rsidR="00EB7B70" w:rsidRPr="00731839" w:rsidRDefault="00EB7B70" w:rsidP="00EB7B70">
      <w:pPr>
        <w:spacing w:before="240"/>
        <w:ind w:right="-263"/>
      </w:pPr>
      <w:r w:rsidRPr="00731839">
        <w:t>El Instituto Nacional de Estadística y Geografía (INEGI) informa que en mayo de 2020 el Índice Nacional de Precios al Consumidor (INPC) presentó un crecimiento de 0.38 por ciento respecto al mes inmediato anterior, así como una inflación anual de 2.84 por ciento. En el mismo mes de 2019 las cifras fueron de (-)0.29 por ciento mensual y de 4.28 por ciento anual.</w:t>
      </w:r>
    </w:p>
    <w:p w14:paraId="2A0AE7D2" w14:textId="77777777" w:rsidR="00EB7B70" w:rsidRPr="00731839" w:rsidRDefault="00EB7B70" w:rsidP="00EB7B70">
      <w:pPr>
        <w:spacing w:before="160"/>
        <w:ind w:right="-263"/>
      </w:pPr>
      <w:r w:rsidRPr="00731839">
        <w:t>Al interior del INPC, el índice de precios subyacente</w:t>
      </w:r>
      <w:r w:rsidRPr="00731839">
        <w:rPr>
          <w:rStyle w:val="Refdenotaalpie"/>
        </w:rPr>
        <w:footnoteReference w:id="1"/>
      </w:r>
      <w:r w:rsidRPr="00731839">
        <w:t xml:space="preserve"> aumentó 0.30 por ciento mensual y 3.64 por ciento anual; por su parte, el índice de precios no subyacente se incrementó 0.66 por ciento mensual y 0.35 por ciento anual.</w:t>
      </w:r>
    </w:p>
    <w:p w14:paraId="7F6C261F" w14:textId="77777777" w:rsidR="00EB7B70" w:rsidRPr="00731839" w:rsidRDefault="00EB7B70" w:rsidP="00EB7B70">
      <w:pPr>
        <w:spacing w:before="160"/>
        <w:ind w:right="-263"/>
      </w:pPr>
      <w:r w:rsidRPr="00731839">
        <w:t>En el índice de precios subyacente, los precios de las mercancías se elevaron 0.46 por ciento y los de los servicios 0.12 por ciento mensual.</w:t>
      </w:r>
    </w:p>
    <w:p w14:paraId="72FF745C" w14:textId="77777777" w:rsidR="00EB7B70" w:rsidRPr="00731839" w:rsidRDefault="00EB7B70" w:rsidP="00EB7B70">
      <w:pPr>
        <w:spacing w:before="160"/>
        <w:ind w:right="-263"/>
      </w:pPr>
      <w:r w:rsidRPr="00731839">
        <w:t>En cuanto al índice de precios no subyacente, los precios de los productos agropecuarios subieron 1.34 por ciento mensual y los de los energéticos y tarifas autorizadas por el gobierno 0.09 por ciento. La reducción en las tarifas eléctricas en 11 ciudades del país dentro del esquema de temporada cálida fue contrarrestada por el alza en el precio de las gasolinas.</w:t>
      </w:r>
    </w:p>
    <w:p w14:paraId="4D1FEC6D" w14:textId="77777777" w:rsidR="00EB7B70" w:rsidRPr="00731839" w:rsidRDefault="00EB7B70" w:rsidP="00EB7B70">
      <w:pPr>
        <w:spacing w:before="160"/>
        <w:ind w:right="-263"/>
      </w:pPr>
      <w:r w:rsidRPr="00731839">
        <w:t>Como se informó oportunamente, dadas las medidas extraordinarias adoptadas por el INEGI ante el estado de emergencia sanitaria originada por el COVID-19, a partir del mes de abril y mientras dure esta emergencia sanitaria, la medición del Índice Nacional de Precios al Consumidor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r w:rsidRPr="00731839">
        <w:rPr>
          <w:rStyle w:val="Refdenotaalpie"/>
        </w:rPr>
        <w:footnoteReference w:id="2"/>
      </w:r>
      <w:r w:rsidRPr="00731839">
        <w:t>.</w:t>
      </w:r>
    </w:p>
    <w:p w14:paraId="5CBDE6F1" w14:textId="77777777" w:rsidR="00EB7B70" w:rsidRPr="009A6E77" w:rsidRDefault="00EB7B70" w:rsidP="00EB7B70">
      <w:pPr>
        <w:spacing w:before="240"/>
        <w:ind w:right="-121"/>
      </w:pPr>
    </w:p>
    <w:p w14:paraId="7C51811E" w14:textId="77777777" w:rsidR="00EB7B70" w:rsidRPr="009A6E77" w:rsidRDefault="00EB7B70" w:rsidP="00EB7B70">
      <w:pPr>
        <w:pStyle w:val="Profesin"/>
        <w:spacing w:before="360"/>
        <w:rPr>
          <w:b w:val="0"/>
          <w:bCs w:val="0"/>
          <w:caps w:val="0"/>
          <w:sz w:val="24"/>
          <w:szCs w:val="24"/>
        </w:rPr>
      </w:pPr>
      <w:r w:rsidRPr="009A6E77">
        <w:rPr>
          <w:b w:val="0"/>
          <w:bCs w:val="0"/>
          <w:sz w:val="24"/>
          <w:szCs w:val="24"/>
        </w:rPr>
        <w:t xml:space="preserve">  </w:t>
      </w:r>
    </w:p>
    <w:p w14:paraId="5DD3465F" w14:textId="77777777" w:rsidR="00EB7B70" w:rsidRDefault="00EB7B70" w:rsidP="00EB7B70">
      <w:pPr>
        <w:spacing w:before="360"/>
        <w:ind w:right="162" w:hanging="785"/>
        <w:rPr>
          <w:b/>
          <w:bCs/>
          <w:smallCaps/>
          <w:color w:val="000000" w:themeColor="text1"/>
          <w:sz w:val="22"/>
          <w:szCs w:val="22"/>
        </w:rPr>
      </w:pPr>
      <w:r w:rsidRPr="00FE475D">
        <w:rPr>
          <w:color w:val="000000" w:themeColor="text1"/>
        </w:rPr>
        <w:lastRenderedPageBreak/>
        <w:tab/>
      </w:r>
    </w:p>
    <w:p w14:paraId="0D3F88B3" w14:textId="77777777" w:rsidR="00EB7B70" w:rsidRPr="002239B6" w:rsidRDefault="00EB7B70" w:rsidP="00EB7B70">
      <w:pPr>
        <w:keepNext/>
        <w:keepLines/>
        <w:spacing w:before="240"/>
        <w:jc w:val="center"/>
        <w:rPr>
          <w:b/>
          <w:bCs/>
          <w:smallCaps/>
          <w:color w:val="000000" w:themeColor="text1"/>
          <w:sz w:val="22"/>
          <w:szCs w:val="22"/>
        </w:rPr>
      </w:pPr>
      <w:r w:rsidRPr="002239B6">
        <w:rPr>
          <w:b/>
          <w:bCs/>
          <w:smallCaps/>
          <w:color w:val="000000" w:themeColor="text1"/>
          <w:sz w:val="22"/>
          <w:szCs w:val="22"/>
        </w:rPr>
        <w:t xml:space="preserve">INPC, Subyacente </w:t>
      </w:r>
      <w:r>
        <w:rPr>
          <w:b/>
          <w:bCs/>
          <w:smallCaps/>
          <w:color w:val="000000" w:themeColor="text1"/>
          <w:sz w:val="22"/>
          <w:szCs w:val="22"/>
        </w:rPr>
        <w:t>y</w:t>
      </w:r>
      <w:r w:rsidRPr="002239B6">
        <w:rPr>
          <w:b/>
          <w:bCs/>
          <w:smallCaps/>
          <w:color w:val="000000" w:themeColor="text1"/>
          <w:sz w:val="22"/>
          <w:szCs w:val="22"/>
        </w:rPr>
        <w:t xml:space="preserve"> No Subyacente</w:t>
      </w:r>
    </w:p>
    <w:p w14:paraId="596BFADD" w14:textId="77777777" w:rsidR="00EB7B70" w:rsidRPr="00FE6169" w:rsidRDefault="00EB7B70" w:rsidP="00EB7B70">
      <w:pPr>
        <w:keepNext/>
        <w:keepLines/>
        <w:widowControl w:val="0"/>
        <w:autoSpaceDE w:val="0"/>
        <w:autoSpaceDN w:val="0"/>
        <w:adjustRightInd w:val="0"/>
        <w:jc w:val="center"/>
        <w:rPr>
          <w:sz w:val="18"/>
          <w:szCs w:val="18"/>
        </w:rPr>
      </w:pPr>
      <w:r w:rsidRPr="00FE6169">
        <w:rPr>
          <w:sz w:val="18"/>
          <w:szCs w:val="18"/>
        </w:rPr>
        <w:t xml:space="preserve">Variación porcentual e incidencia durante mayo </w:t>
      </w:r>
      <w:r>
        <w:rPr>
          <w:sz w:val="18"/>
          <w:szCs w:val="18"/>
        </w:rPr>
        <w:t>d</w:t>
      </w:r>
      <w:r w:rsidRPr="00FE6169">
        <w:rPr>
          <w:sz w:val="18"/>
          <w:szCs w:val="18"/>
        </w:rPr>
        <w:t>e los años que se indican</w:t>
      </w:r>
    </w:p>
    <w:p w14:paraId="1E83E733" w14:textId="77777777" w:rsidR="00EB7B70" w:rsidRPr="000D49D2" w:rsidRDefault="00EB7B70" w:rsidP="00EB7B70">
      <w:pPr>
        <w:widowControl w:val="0"/>
        <w:autoSpaceDE w:val="0"/>
        <w:autoSpaceDN w:val="0"/>
        <w:adjustRightInd w:val="0"/>
        <w:jc w:val="center"/>
        <w:rPr>
          <w:b/>
          <w:sz w:val="22"/>
          <w:szCs w:val="22"/>
        </w:rPr>
      </w:pPr>
      <w:r w:rsidRPr="00100A8D">
        <w:rPr>
          <w:noProof/>
        </w:rPr>
        <w:drawing>
          <wp:inline distT="0" distB="0" distL="0" distR="0" wp14:anchorId="13F6EA3F" wp14:editId="02852A0A">
            <wp:extent cx="5972810" cy="2418773"/>
            <wp:effectExtent l="0" t="0" r="889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2810" cy="2418773"/>
                    </a:xfrm>
                    <a:prstGeom prst="rect">
                      <a:avLst/>
                    </a:prstGeom>
                    <a:noFill/>
                    <a:ln>
                      <a:noFill/>
                    </a:ln>
                  </pic:spPr>
                </pic:pic>
              </a:graphicData>
            </a:graphic>
          </wp:inline>
        </w:drawing>
      </w:r>
    </w:p>
    <w:p w14:paraId="45494D1E" w14:textId="77777777" w:rsidR="00EB7B70" w:rsidRPr="00FE6169" w:rsidRDefault="00EB7B70" w:rsidP="00EB7B70">
      <w:pPr>
        <w:autoSpaceDE w:val="0"/>
        <w:autoSpaceDN w:val="0"/>
        <w:adjustRightInd w:val="0"/>
        <w:ind w:left="283" w:right="-263" w:hanging="170"/>
        <w:rPr>
          <w:color w:val="006600"/>
          <w:sz w:val="16"/>
          <w:szCs w:val="16"/>
        </w:rPr>
      </w:pPr>
      <w:r w:rsidRPr="003B2C91">
        <w:rPr>
          <w:color w:val="006600"/>
          <w:sz w:val="18"/>
          <w:szCs w:val="16"/>
          <w:vertAlign w:val="superscript"/>
        </w:rPr>
        <w:t>1/</w:t>
      </w:r>
      <w:r w:rsidRPr="00FE6169">
        <w:rPr>
          <w:color w:val="006600"/>
          <w:sz w:val="18"/>
          <w:szCs w:val="16"/>
          <w:vertAlign w:val="superscript"/>
        </w:rPr>
        <w:tab/>
      </w:r>
      <w:r w:rsidRPr="00FE6169">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28205D94" w14:textId="77777777" w:rsidR="00EB7B70" w:rsidRPr="00FE6169" w:rsidRDefault="00EB7B70" w:rsidP="00EB7B70">
      <w:pPr>
        <w:autoSpaceDE w:val="0"/>
        <w:autoSpaceDN w:val="0"/>
        <w:adjustRightInd w:val="0"/>
        <w:ind w:left="283" w:right="-263" w:hanging="170"/>
        <w:rPr>
          <w:color w:val="006600"/>
          <w:sz w:val="16"/>
          <w:szCs w:val="16"/>
        </w:rPr>
      </w:pPr>
      <w:r w:rsidRPr="003B2C91">
        <w:rPr>
          <w:color w:val="006600"/>
          <w:sz w:val="18"/>
          <w:szCs w:val="16"/>
          <w:vertAlign w:val="superscript"/>
        </w:rPr>
        <w:t>2/</w:t>
      </w:r>
      <w:r w:rsidRPr="00FE6169">
        <w:rPr>
          <w:color w:val="006600"/>
          <w:sz w:val="16"/>
          <w:szCs w:val="16"/>
        </w:rPr>
        <w:tab/>
        <w:t>Incluye alimentos procesados, bebidas y tabaco, no incluye productos agropecuarios.</w:t>
      </w:r>
    </w:p>
    <w:p w14:paraId="7CB2BCE5" w14:textId="77777777" w:rsidR="00EB7B70" w:rsidRPr="00FE6169" w:rsidRDefault="00EB7B70" w:rsidP="00EB7B70">
      <w:pPr>
        <w:autoSpaceDE w:val="0"/>
        <w:autoSpaceDN w:val="0"/>
        <w:adjustRightInd w:val="0"/>
        <w:ind w:left="283" w:right="-263" w:hanging="170"/>
        <w:rPr>
          <w:color w:val="006600"/>
          <w:sz w:val="16"/>
          <w:szCs w:val="16"/>
        </w:rPr>
      </w:pPr>
      <w:r w:rsidRPr="003B2C91">
        <w:rPr>
          <w:color w:val="006600"/>
          <w:sz w:val="18"/>
          <w:szCs w:val="16"/>
          <w:vertAlign w:val="superscript"/>
        </w:rPr>
        <w:t>3/</w:t>
      </w:r>
      <w:r w:rsidRPr="00FE6169">
        <w:rPr>
          <w:color w:val="006600"/>
          <w:sz w:val="18"/>
          <w:szCs w:val="16"/>
          <w:vertAlign w:val="superscript"/>
        </w:rPr>
        <w:tab/>
      </w:r>
      <w:r w:rsidRPr="00FE6169">
        <w:rPr>
          <w:color w:val="006600"/>
          <w:sz w:val="16"/>
          <w:szCs w:val="16"/>
        </w:rPr>
        <w:t>Incluye vivienda propia, renta de vivienda, servicio doméstico y otros servicios para el hogar.</w:t>
      </w:r>
    </w:p>
    <w:p w14:paraId="70059DFE" w14:textId="77777777" w:rsidR="00EB7B70" w:rsidRPr="00FE6169" w:rsidRDefault="00EB7B70" w:rsidP="00EB7B70">
      <w:pPr>
        <w:autoSpaceDE w:val="0"/>
        <w:autoSpaceDN w:val="0"/>
        <w:adjustRightInd w:val="0"/>
        <w:ind w:left="283" w:right="-263" w:hanging="170"/>
        <w:rPr>
          <w:color w:val="006600"/>
          <w:sz w:val="16"/>
          <w:szCs w:val="16"/>
        </w:rPr>
      </w:pPr>
      <w:r w:rsidRPr="003B2C91">
        <w:rPr>
          <w:color w:val="006600"/>
          <w:sz w:val="18"/>
          <w:szCs w:val="16"/>
          <w:vertAlign w:val="superscript"/>
        </w:rPr>
        <w:t>4/</w:t>
      </w:r>
      <w:r w:rsidRPr="00FE6169">
        <w:rPr>
          <w:color w:val="006600"/>
          <w:sz w:val="16"/>
          <w:szCs w:val="16"/>
        </w:rPr>
        <w:tab/>
        <w:t>Incluye loncherías, fondas y taquerías, restaurantes y similares, servicio de telefonía móvil, mantenimiento de automóvil, consulta médica, servicios turísticos en paquete, entre otros.</w:t>
      </w:r>
    </w:p>
    <w:p w14:paraId="228AFC68" w14:textId="77777777" w:rsidR="00EB7B70" w:rsidRDefault="00EB7B70" w:rsidP="00EB7B70">
      <w:pPr>
        <w:autoSpaceDE w:val="0"/>
        <w:autoSpaceDN w:val="0"/>
        <w:adjustRightInd w:val="0"/>
        <w:ind w:left="283" w:right="-263" w:hanging="170"/>
        <w:rPr>
          <w:color w:val="006600"/>
          <w:sz w:val="16"/>
          <w:szCs w:val="16"/>
        </w:rPr>
      </w:pPr>
    </w:p>
    <w:p w14:paraId="4901E13F" w14:textId="77777777" w:rsidR="00EB7B70" w:rsidRDefault="00EB7B70" w:rsidP="00EB7B70">
      <w:pPr>
        <w:spacing w:before="20"/>
        <w:ind w:left="142" w:right="-263" w:hanging="548"/>
        <w:outlineLvl w:val="0"/>
        <w:rPr>
          <w:sz w:val="4"/>
          <w:szCs w:val="4"/>
        </w:rPr>
      </w:pPr>
    </w:p>
    <w:p w14:paraId="682B01F4" w14:textId="77777777" w:rsidR="00EB7B70" w:rsidRDefault="00EB7B70" w:rsidP="00EB7B70">
      <w:pPr>
        <w:spacing w:before="20"/>
        <w:ind w:left="142" w:right="-263" w:hanging="548"/>
        <w:jc w:val="right"/>
        <w:outlineLvl w:val="0"/>
        <w:rPr>
          <w:sz w:val="4"/>
          <w:szCs w:val="4"/>
        </w:rPr>
      </w:pPr>
      <w:r>
        <w:rPr>
          <w:noProof/>
          <w:lang w:val="es-MX" w:eastAsia="es-MX"/>
        </w:rPr>
        <w:drawing>
          <wp:inline distT="0" distB="0" distL="0" distR="0" wp14:anchorId="49AA691F" wp14:editId="298F998A">
            <wp:extent cx="4112373" cy="1466005"/>
            <wp:effectExtent l="0" t="0" r="254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0218" cy="1486626"/>
                    </a:xfrm>
                    <a:prstGeom prst="rect">
                      <a:avLst/>
                    </a:prstGeom>
                    <a:noFill/>
                  </pic:spPr>
                </pic:pic>
              </a:graphicData>
            </a:graphic>
          </wp:inline>
        </w:drawing>
      </w:r>
    </w:p>
    <w:p w14:paraId="54F6E633" w14:textId="77777777" w:rsidR="00EB7B70" w:rsidRDefault="00EB7B70" w:rsidP="00EB7B70">
      <w:pPr>
        <w:pStyle w:val="p01"/>
        <w:keepLines w:val="0"/>
        <w:tabs>
          <w:tab w:val="left" w:pos="3261"/>
        </w:tabs>
        <w:spacing w:before="100" w:beforeAutospacing="1"/>
        <w:ind w:left="1418"/>
        <w:mirrorIndents/>
        <w:outlineLvl w:val="0"/>
        <w:rPr>
          <w:rFonts w:cs="Arial"/>
          <w:szCs w:val="24"/>
        </w:rPr>
      </w:pPr>
      <w:r>
        <w:rPr>
          <w:rFonts w:ascii="Arial" w:hAnsi="Arial" w:cs="Arial"/>
          <w:b/>
          <w:color w:val="000000"/>
          <w:szCs w:val="24"/>
        </w:rPr>
        <w:tab/>
        <w:t xml:space="preserve">   S</w:t>
      </w:r>
      <w:r w:rsidRPr="003B1ACA">
        <w:rPr>
          <w:rFonts w:ascii="Arial" w:hAnsi="Arial" w:cs="Arial"/>
          <w:b/>
          <w:color w:val="000000"/>
          <w:szCs w:val="24"/>
        </w:rPr>
        <w:t>e anexa Nota Técnica</w:t>
      </w:r>
      <w:r>
        <w:rPr>
          <w:rFonts w:cs="Arial"/>
          <w:szCs w:val="24"/>
        </w:rPr>
        <w:tab/>
      </w:r>
    </w:p>
    <w:p w14:paraId="1EEA1656" w14:textId="77777777" w:rsidR="00EB7B70" w:rsidRPr="00D51A7C" w:rsidRDefault="00EB7B70" w:rsidP="00EB7B70">
      <w:pPr>
        <w:pStyle w:val="p0"/>
      </w:pPr>
    </w:p>
    <w:p w14:paraId="1567929F" w14:textId="77777777" w:rsidR="00EB7B70" w:rsidRDefault="00EB7B70" w:rsidP="00EB7B70">
      <w:pPr>
        <w:pStyle w:val="NormalWeb"/>
        <w:spacing w:before="0" w:beforeAutospacing="0" w:after="0" w:afterAutospacing="0"/>
        <w:ind w:left="-426" w:right="-518"/>
        <w:contextualSpacing/>
        <w:jc w:val="center"/>
        <w:rPr>
          <w:rFonts w:ascii="Arial" w:hAnsi="Arial" w:cs="Arial"/>
          <w:sz w:val="20"/>
          <w:szCs w:val="20"/>
        </w:rPr>
      </w:pPr>
    </w:p>
    <w:p w14:paraId="4170AC23" w14:textId="77777777" w:rsidR="00EB7B70" w:rsidRPr="00D51A7C" w:rsidRDefault="00EB7B70" w:rsidP="00EB7B70">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Para consultas de medios y periodistas, contactar a: </w:t>
      </w:r>
      <w:hyperlink r:id="rId10" w:history="1">
        <w:r w:rsidRPr="00D51A7C">
          <w:rPr>
            <w:rStyle w:val="Hipervnculo"/>
            <w:rFonts w:ascii="Arial" w:hAnsi="Arial" w:cs="Arial"/>
            <w:sz w:val="20"/>
            <w:szCs w:val="20"/>
          </w:rPr>
          <w:t>comunicacionsocial@inegi.org.mx</w:t>
        </w:r>
      </w:hyperlink>
      <w:r w:rsidRPr="00D51A7C">
        <w:rPr>
          <w:rFonts w:ascii="Arial" w:hAnsi="Arial" w:cs="Arial"/>
          <w:sz w:val="20"/>
          <w:szCs w:val="20"/>
        </w:rPr>
        <w:t xml:space="preserve"> </w:t>
      </w:r>
    </w:p>
    <w:p w14:paraId="1A889468" w14:textId="77777777" w:rsidR="00EB7B70" w:rsidRPr="00D51A7C" w:rsidRDefault="00EB7B70" w:rsidP="00EB7B70">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o llamar al teléfono (55) 52-78-10-00, </w:t>
      </w:r>
      <w:proofErr w:type="spellStart"/>
      <w:r w:rsidRPr="00D51A7C">
        <w:rPr>
          <w:rFonts w:ascii="Arial" w:hAnsi="Arial" w:cs="Arial"/>
          <w:sz w:val="20"/>
          <w:szCs w:val="20"/>
        </w:rPr>
        <w:t>exts</w:t>
      </w:r>
      <w:proofErr w:type="spellEnd"/>
      <w:r w:rsidRPr="00D51A7C">
        <w:rPr>
          <w:rFonts w:ascii="Arial" w:hAnsi="Arial" w:cs="Arial"/>
          <w:sz w:val="20"/>
          <w:szCs w:val="20"/>
        </w:rPr>
        <w:t>. 1134, 1260 y 1241.</w:t>
      </w:r>
    </w:p>
    <w:p w14:paraId="04B21D85" w14:textId="77777777" w:rsidR="00EB7B70" w:rsidRPr="00D51A7C" w:rsidRDefault="00EB7B70" w:rsidP="00EB7B70">
      <w:pPr>
        <w:ind w:left="-426" w:right="-518"/>
        <w:contextualSpacing/>
        <w:jc w:val="center"/>
        <w:rPr>
          <w:sz w:val="20"/>
          <w:szCs w:val="20"/>
        </w:rPr>
      </w:pPr>
    </w:p>
    <w:p w14:paraId="40233296" w14:textId="77777777" w:rsidR="00EB7B70" w:rsidRPr="00D51A7C" w:rsidRDefault="00EB7B70" w:rsidP="00EB7B70">
      <w:pPr>
        <w:ind w:left="-426" w:right="-518"/>
        <w:contextualSpacing/>
        <w:jc w:val="center"/>
        <w:rPr>
          <w:sz w:val="20"/>
          <w:szCs w:val="20"/>
        </w:rPr>
      </w:pPr>
      <w:r w:rsidRPr="00D51A7C">
        <w:rPr>
          <w:sz w:val="20"/>
          <w:szCs w:val="20"/>
        </w:rPr>
        <w:t>Dirección de Atención a Medios / Dirección General Adjunta de Comunicación</w:t>
      </w:r>
    </w:p>
    <w:p w14:paraId="215871F8" w14:textId="77777777" w:rsidR="00EB7B70" w:rsidRPr="00D51A7C" w:rsidRDefault="00EB7B70" w:rsidP="00EB7B70">
      <w:pPr>
        <w:ind w:left="-426" w:right="-518"/>
        <w:contextualSpacing/>
        <w:jc w:val="center"/>
        <w:rPr>
          <w:sz w:val="20"/>
          <w:szCs w:val="20"/>
        </w:rPr>
      </w:pPr>
    </w:p>
    <w:p w14:paraId="591909E3" w14:textId="77777777" w:rsidR="00EB7B70" w:rsidRPr="008F0992" w:rsidRDefault="00EB7B70" w:rsidP="00EB7B70">
      <w:pPr>
        <w:ind w:left="-425" w:right="-516"/>
        <w:contextualSpacing/>
        <w:jc w:val="center"/>
        <w:rPr>
          <w:noProof/>
          <w:lang w:eastAsia="es-MX"/>
        </w:rPr>
      </w:pPr>
      <w:r w:rsidRPr="00FF1218">
        <w:rPr>
          <w:noProof/>
          <w:lang w:val="es-MX" w:eastAsia="es-MX"/>
        </w:rPr>
        <w:drawing>
          <wp:inline distT="0" distB="0" distL="0" distR="0" wp14:anchorId="0502145C" wp14:editId="3BD3BD00">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5068FF4" wp14:editId="27CD4D26">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15658D" wp14:editId="71E59548">
            <wp:extent cx="365760" cy="365760"/>
            <wp:effectExtent l="0" t="0" r="0" b="0"/>
            <wp:docPr id="9" name="Imagen 9"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F9CDACD" wp14:editId="0F82B6D4">
            <wp:extent cx="365760" cy="365760"/>
            <wp:effectExtent l="0" t="0" r="0" b="0"/>
            <wp:docPr id="12" name="Imagen 12"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4AC9A04" wp14:editId="0C9D4B5F">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09D3EA7" w14:textId="77777777" w:rsidR="00EB7B70" w:rsidRDefault="00EB7B70" w:rsidP="00EB7B70">
      <w:pPr>
        <w:pStyle w:val="NormalWeb"/>
        <w:spacing w:before="0" w:beforeAutospacing="0" w:after="0" w:afterAutospacing="0"/>
        <w:ind w:left="-426" w:right="-518"/>
        <w:jc w:val="center"/>
        <w:rPr>
          <w:rFonts w:ascii="Arial" w:hAnsi="Arial" w:cs="Arial"/>
          <w:sz w:val="18"/>
          <w:szCs w:val="18"/>
        </w:rPr>
      </w:pPr>
    </w:p>
    <w:p w14:paraId="1B7969CE" w14:textId="77777777" w:rsidR="00EB7B70" w:rsidRPr="005167F5" w:rsidRDefault="00EB7B70" w:rsidP="00EB7B70">
      <w:pPr>
        <w:pStyle w:val="p0"/>
        <w:jc w:val="center"/>
        <w:rPr>
          <w:sz w:val="18"/>
          <w:szCs w:val="18"/>
        </w:rPr>
        <w:sectPr w:rsidR="00EB7B70" w:rsidRPr="005167F5" w:rsidSect="004E4A3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p>
    <w:p w14:paraId="1BDCD536" w14:textId="77777777" w:rsidR="00EB7B70" w:rsidRDefault="00EB7B70" w:rsidP="00EB7B70">
      <w:pPr>
        <w:tabs>
          <w:tab w:val="left" w:pos="8789"/>
        </w:tabs>
        <w:ind w:right="51"/>
        <w:jc w:val="center"/>
        <w:rPr>
          <w:b/>
          <w:color w:val="000000" w:themeColor="text1"/>
          <w:sz w:val="28"/>
          <w:szCs w:val="28"/>
        </w:rPr>
      </w:pPr>
      <w:r w:rsidRPr="00C26721">
        <w:rPr>
          <w:b/>
          <w:color w:val="000000" w:themeColor="text1"/>
          <w:sz w:val="28"/>
          <w:szCs w:val="28"/>
        </w:rPr>
        <w:lastRenderedPageBreak/>
        <w:t xml:space="preserve">    </w:t>
      </w:r>
      <w:r w:rsidRPr="0011753D">
        <w:rPr>
          <w:b/>
          <w:color w:val="000000" w:themeColor="text1"/>
          <w:sz w:val="28"/>
          <w:szCs w:val="28"/>
        </w:rPr>
        <w:t>NOTA TÉCNICA</w:t>
      </w:r>
    </w:p>
    <w:p w14:paraId="01EC3623" w14:textId="77777777" w:rsidR="00EB7B70" w:rsidRPr="00556DA4" w:rsidRDefault="00EB7B70" w:rsidP="00EB7B70">
      <w:pPr>
        <w:tabs>
          <w:tab w:val="left" w:pos="8789"/>
        </w:tabs>
        <w:ind w:right="51"/>
        <w:jc w:val="center"/>
        <w:rPr>
          <w:b/>
          <w:color w:val="000000" w:themeColor="text1"/>
          <w:sz w:val="16"/>
          <w:szCs w:val="16"/>
        </w:rPr>
      </w:pPr>
    </w:p>
    <w:p w14:paraId="55036B6E" w14:textId="77777777" w:rsidR="00B63B5D" w:rsidRPr="00B6569A" w:rsidRDefault="00935393" w:rsidP="00020CF1">
      <w:pPr>
        <w:pStyle w:val="Profesin"/>
      </w:pPr>
      <w:r>
        <w:t>Í</w:t>
      </w:r>
      <w:r w:rsidR="00B63B5D" w:rsidRPr="00B6569A">
        <w:t>NDICE NACIONAL DE PRECIOS AL CONSUMIDOR</w:t>
      </w:r>
    </w:p>
    <w:p w14:paraId="7F3D4C40" w14:textId="55313582" w:rsidR="00B63B5D" w:rsidRPr="00B6569A" w:rsidRDefault="008C2933" w:rsidP="00B63B5D">
      <w:pPr>
        <w:pStyle w:val="Profesin"/>
        <w:rPr>
          <w:caps w:val="0"/>
        </w:rPr>
      </w:pPr>
      <w:r>
        <w:rPr>
          <w:caps w:val="0"/>
        </w:rPr>
        <w:t>MAYO</w:t>
      </w:r>
      <w:r w:rsidR="00A928B7">
        <w:rPr>
          <w:caps w:val="0"/>
        </w:rPr>
        <w:t xml:space="preserve"> </w:t>
      </w:r>
      <w:r w:rsidR="003110E0" w:rsidRPr="003110E0">
        <w:rPr>
          <w:caps w:val="0"/>
        </w:rPr>
        <w:t>DE 20</w:t>
      </w:r>
      <w:r w:rsidR="008F2672">
        <w:rPr>
          <w:caps w:val="0"/>
        </w:rPr>
        <w:t>20</w:t>
      </w:r>
    </w:p>
    <w:p w14:paraId="0ED64511" w14:textId="77777777" w:rsidR="00F4559B" w:rsidRDefault="00F4559B" w:rsidP="00901955">
      <w:pPr>
        <w:keepNext/>
        <w:keepLines/>
        <w:widowControl w:val="0"/>
        <w:jc w:val="left"/>
        <w:rPr>
          <w:b/>
          <w:i/>
          <w:color w:val="000000" w:themeColor="text1"/>
        </w:rPr>
      </w:pPr>
    </w:p>
    <w:p w14:paraId="7DF24C6E" w14:textId="776F95E4" w:rsidR="00E0429B" w:rsidRPr="00AD3792" w:rsidRDefault="00E0429B" w:rsidP="00901955">
      <w:pPr>
        <w:keepNext/>
        <w:keepLines/>
        <w:widowControl w:val="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3A1B836E" w14:textId="0DDA73AE" w:rsidR="00317334" w:rsidRPr="00D25428" w:rsidRDefault="00317334" w:rsidP="002753BE">
      <w:pPr>
        <w:keepNext/>
        <w:keepLines/>
        <w:widowControl w:val="0"/>
        <w:autoSpaceDE w:val="0"/>
        <w:autoSpaceDN w:val="0"/>
        <w:adjustRightInd w:val="0"/>
        <w:spacing w:before="360"/>
      </w:pPr>
      <w:r>
        <w:rPr>
          <w:color w:val="000000" w:themeColor="text1"/>
        </w:rPr>
        <w:t xml:space="preserve">En mayo de 2020 el </w:t>
      </w:r>
      <w:r w:rsidRPr="00D25428">
        <w:rPr>
          <w:color w:val="000000" w:themeColor="text1"/>
        </w:rPr>
        <w:t xml:space="preserve">Índice Nacional de Precios al Consumidor (INPC) </w:t>
      </w:r>
      <w:r>
        <w:rPr>
          <w:color w:val="000000" w:themeColor="text1"/>
        </w:rPr>
        <w:t>aumentó</w:t>
      </w:r>
      <w:r w:rsidRPr="00D25428">
        <w:rPr>
          <w:color w:val="000000" w:themeColor="text1"/>
        </w:rPr>
        <w:t xml:space="preserve"> </w:t>
      </w:r>
      <w:r>
        <w:rPr>
          <w:color w:val="000000" w:themeColor="text1"/>
        </w:rPr>
        <w:t>0.38</w:t>
      </w:r>
      <w:r w:rsidRPr="00D25428">
        <w:rPr>
          <w:color w:val="000000" w:themeColor="text1"/>
        </w:rPr>
        <w:t xml:space="preserve"> por ciento</w:t>
      </w:r>
      <w:r w:rsidR="002753BE">
        <w:rPr>
          <w:color w:val="000000" w:themeColor="text1"/>
        </w:rPr>
        <w:t xml:space="preserve"> con relación al mes inmediato anterior</w:t>
      </w:r>
      <w:r>
        <w:rPr>
          <w:color w:val="000000" w:themeColor="text1"/>
        </w:rPr>
        <w:t>.</w:t>
      </w:r>
      <w:r w:rsidRPr="00D25428">
        <w:rPr>
          <w:color w:val="000000" w:themeColor="text1"/>
        </w:rPr>
        <w:t xml:space="preserve"> </w:t>
      </w:r>
      <w:r w:rsidR="002753BE">
        <w:rPr>
          <w:color w:val="000000" w:themeColor="text1"/>
        </w:rPr>
        <w:t xml:space="preserve">Para </w:t>
      </w:r>
      <w:r>
        <w:rPr>
          <w:color w:val="000000" w:themeColor="text1"/>
        </w:rPr>
        <w:t xml:space="preserve">el mismo periodo de 2019 </w:t>
      </w:r>
      <w:r w:rsidR="002753BE">
        <w:rPr>
          <w:color w:val="000000" w:themeColor="text1"/>
        </w:rPr>
        <w:t xml:space="preserve">registró </w:t>
      </w:r>
      <w:r w:rsidR="00FE6169">
        <w:rPr>
          <w:color w:val="000000" w:themeColor="text1"/>
        </w:rPr>
        <w:t>un descenso de</w:t>
      </w:r>
      <w:r>
        <w:rPr>
          <w:color w:val="000000" w:themeColor="text1"/>
        </w:rPr>
        <w:t xml:space="preserve"> (-)0.29 por ciento.</w:t>
      </w:r>
    </w:p>
    <w:p w14:paraId="4396CF7C" w14:textId="77777777" w:rsidR="00FE6169" w:rsidRPr="002239B6" w:rsidRDefault="00FE6169" w:rsidP="00FE6169">
      <w:pPr>
        <w:pStyle w:val="n01"/>
        <w:keepNext/>
        <w:spacing w:before="360"/>
        <w:ind w:left="0" w:firstLine="0"/>
        <w:jc w:val="center"/>
        <w:rPr>
          <w:rFonts w:ascii="Arial" w:hAnsi="Arial"/>
          <w:b/>
          <w:bCs/>
          <w:smallCaps/>
          <w:color w:val="000000" w:themeColor="text1"/>
          <w:sz w:val="22"/>
          <w:szCs w:val="22"/>
        </w:rPr>
      </w:pPr>
      <w:r w:rsidRPr="002239B6">
        <w:rPr>
          <w:rFonts w:ascii="Arial" w:hAnsi="Arial"/>
          <w:b/>
          <w:bCs/>
          <w:smallCaps/>
          <w:color w:val="000000" w:themeColor="text1"/>
          <w:sz w:val="22"/>
          <w:szCs w:val="22"/>
        </w:rPr>
        <w:t xml:space="preserve">Índice Nacional </w:t>
      </w:r>
      <w:r>
        <w:rPr>
          <w:rFonts w:ascii="Arial" w:hAnsi="Arial"/>
          <w:b/>
          <w:bCs/>
          <w:smallCaps/>
          <w:color w:val="000000" w:themeColor="text1"/>
          <w:sz w:val="22"/>
          <w:szCs w:val="22"/>
        </w:rPr>
        <w:t>d</w:t>
      </w:r>
      <w:r w:rsidRPr="002239B6">
        <w:rPr>
          <w:rFonts w:ascii="Arial" w:hAnsi="Arial"/>
          <w:b/>
          <w:bCs/>
          <w:smallCaps/>
          <w:color w:val="000000" w:themeColor="text1"/>
          <w:sz w:val="22"/>
          <w:szCs w:val="22"/>
        </w:rPr>
        <w:t xml:space="preserve">e Precios </w:t>
      </w:r>
      <w:r>
        <w:rPr>
          <w:rFonts w:ascii="Arial" w:hAnsi="Arial"/>
          <w:b/>
          <w:bCs/>
          <w:smallCaps/>
          <w:color w:val="000000" w:themeColor="text1"/>
          <w:sz w:val="22"/>
          <w:szCs w:val="22"/>
        </w:rPr>
        <w:t>a</w:t>
      </w:r>
      <w:r w:rsidRPr="002239B6">
        <w:rPr>
          <w:rFonts w:ascii="Arial" w:hAnsi="Arial"/>
          <w:b/>
          <w:bCs/>
          <w:smallCaps/>
          <w:color w:val="000000" w:themeColor="text1"/>
          <w:sz w:val="22"/>
          <w:szCs w:val="22"/>
        </w:rPr>
        <w:t>l Consumidor</w:t>
      </w:r>
    </w:p>
    <w:p w14:paraId="5B6E0205" w14:textId="066EAE94" w:rsidR="00317334" w:rsidRPr="00FE6169" w:rsidRDefault="00317334" w:rsidP="00317334">
      <w:pPr>
        <w:widowControl w:val="0"/>
        <w:autoSpaceDE w:val="0"/>
        <w:autoSpaceDN w:val="0"/>
        <w:adjustRightInd w:val="0"/>
        <w:spacing w:before="3" w:line="225" w:lineRule="exact"/>
        <w:ind w:right="-20"/>
        <w:jc w:val="center"/>
        <w:rPr>
          <w:sz w:val="18"/>
          <w:szCs w:val="22"/>
        </w:rPr>
      </w:pPr>
      <w:r w:rsidRPr="00FE6169">
        <w:rPr>
          <w:sz w:val="18"/>
          <w:szCs w:val="22"/>
        </w:rPr>
        <w:t xml:space="preserve">Variación porcentual </w:t>
      </w:r>
      <w:r w:rsidR="00FE6169">
        <w:rPr>
          <w:sz w:val="18"/>
          <w:szCs w:val="22"/>
        </w:rPr>
        <w:t xml:space="preserve">mensual </w:t>
      </w:r>
      <w:r w:rsidRPr="00FE6169">
        <w:rPr>
          <w:sz w:val="18"/>
          <w:szCs w:val="22"/>
        </w:rPr>
        <w:t>en mayo de los años que se indican</w:t>
      </w:r>
    </w:p>
    <w:p w14:paraId="0C6E6ED5" w14:textId="500115A6" w:rsidR="00317334" w:rsidRDefault="002B1F67" w:rsidP="00FE6169">
      <w:pPr>
        <w:autoSpaceDE w:val="0"/>
        <w:autoSpaceDN w:val="0"/>
        <w:adjustRightInd w:val="0"/>
        <w:jc w:val="center"/>
        <w:rPr>
          <w:color w:val="000000" w:themeColor="text1"/>
          <w:sz w:val="22"/>
          <w:szCs w:val="22"/>
        </w:rPr>
      </w:pPr>
      <w:r>
        <w:rPr>
          <w:noProof/>
        </w:rPr>
        <w:drawing>
          <wp:inline distT="0" distB="0" distL="0" distR="0" wp14:anchorId="54A86F00" wp14:editId="2880AA47">
            <wp:extent cx="5039565" cy="2880000"/>
            <wp:effectExtent l="0" t="0" r="27940"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BB0E71" w14:textId="7234CA01" w:rsidR="00317334" w:rsidRPr="00D25428" w:rsidRDefault="00317334" w:rsidP="00FE6169">
      <w:pPr>
        <w:autoSpaceDE w:val="0"/>
        <w:autoSpaceDN w:val="0"/>
        <w:adjustRightInd w:val="0"/>
        <w:spacing w:before="360"/>
        <w:rPr>
          <w:color w:val="000000" w:themeColor="text1"/>
        </w:rPr>
      </w:pPr>
      <w:r w:rsidRPr="00D25428">
        <w:rPr>
          <w:color w:val="000000" w:themeColor="text1"/>
        </w:rPr>
        <w:t>En el siguiente cuadro se presentan las variaciones e incidencias</w:t>
      </w:r>
      <w:r w:rsidR="00FE6169">
        <w:rPr>
          <w:color w:val="000000" w:themeColor="text1"/>
        </w:rPr>
        <w:t>,</w:t>
      </w:r>
      <w:r w:rsidRPr="00D25428">
        <w:rPr>
          <w:color w:val="000000" w:themeColor="text1"/>
        </w:rPr>
        <w:t xml:space="preserve"> durante </w:t>
      </w:r>
      <w:r w:rsidR="00FE6169">
        <w:rPr>
          <w:color w:val="000000" w:themeColor="text1"/>
        </w:rPr>
        <w:t>el quinto mes de este año,</w:t>
      </w:r>
      <w:r w:rsidRPr="00D25428">
        <w:rPr>
          <w:color w:val="000000" w:themeColor="text1"/>
        </w:rPr>
        <w:t xml:space="preserve"> </w:t>
      </w:r>
      <w:r>
        <w:rPr>
          <w:color w:val="000000" w:themeColor="text1"/>
        </w:rPr>
        <w:t>en el INPC</w:t>
      </w:r>
      <w:r w:rsidR="00FE6169">
        <w:rPr>
          <w:color w:val="000000" w:themeColor="text1"/>
        </w:rPr>
        <w:t>,</w:t>
      </w:r>
      <w:r>
        <w:rPr>
          <w:color w:val="000000" w:themeColor="text1"/>
        </w:rPr>
        <w:t xml:space="preserve"> </w:t>
      </w:r>
      <w:r w:rsidRPr="00D25428">
        <w:rPr>
          <w:color w:val="000000" w:themeColor="text1"/>
        </w:rPr>
        <w:t xml:space="preserve">así como </w:t>
      </w:r>
      <w:r>
        <w:rPr>
          <w:color w:val="000000" w:themeColor="text1"/>
        </w:rPr>
        <w:t xml:space="preserve">en </w:t>
      </w:r>
      <w:r w:rsidRPr="00D25428">
        <w:rPr>
          <w:color w:val="000000" w:themeColor="text1"/>
        </w:rPr>
        <w:t xml:space="preserve">los subíndices que </w:t>
      </w:r>
      <w:r>
        <w:rPr>
          <w:color w:val="000000" w:themeColor="text1"/>
        </w:rPr>
        <w:t xml:space="preserve">lo </w:t>
      </w:r>
      <w:r w:rsidRPr="00D25428">
        <w:rPr>
          <w:color w:val="000000" w:themeColor="text1"/>
        </w:rPr>
        <w:t>integran</w:t>
      </w:r>
      <w:r w:rsidR="00FE6169">
        <w:rPr>
          <w:color w:val="000000" w:themeColor="text1"/>
        </w:rPr>
        <w:t>.</w:t>
      </w:r>
    </w:p>
    <w:p w14:paraId="2A0737E8" w14:textId="77777777" w:rsidR="00FE6169" w:rsidRPr="002239B6" w:rsidRDefault="00FE6169" w:rsidP="00FE6169">
      <w:pPr>
        <w:keepNext/>
        <w:keepLines/>
        <w:spacing w:before="240"/>
        <w:jc w:val="center"/>
        <w:rPr>
          <w:b/>
          <w:bCs/>
          <w:smallCaps/>
          <w:color w:val="000000" w:themeColor="text1"/>
          <w:sz w:val="22"/>
          <w:szCs w:val="22"/>
        </w:rPr>
      </w:pPr>
      <w:r w:rsidRPr="002239B6">
        <w:rPr>
          <w:b/>
          <w:bCs/>
          <w:smallCaps/>
          <w:color w:val="000000" w:themeColor="text1"/>
          <w:sz w:val="22"/>
          <w:szCs w:val="22"/>
        </w:rPr>
        <w:lastRenderedPageBreak/>
        <w:t xml:space="preserve">INPC, Subyacente </w:t>
      </w:r>
      <w:r>
        <w:rPr>
          <w:b/>
          <w:bCs/>
          <w:smallCaps/>
          <w:color w:val="000000" w:themeColor="text1"/>
          <w:sz w:val="22"/>
          <w:szCs w:val="22"/>
        </w:rPr>
        <w:t>y</w:t>
      </w:r>
      <w:r w:rsidRPr="002239B6">
        <w:rPr>
          <w:b/>
          <w:bCs/>
          <w:smallCaps/>
          <w:color w:val="000000" w:themeColor="text1"/>
          <w:sz w:val="22"/>
          <w:szCs w:val="22"/>
        </w:rPr>
        <w:t xml:space="preserve"> No Subyacente</w:t>
      </w:r>
    </w:p>
    <w:p w14:paraId="200A9E97" w14:textId="38462274" w:rsidR="00317334" w:rsidRPr="00FE6169" w:rsidRDefault="00317334" w:rsidP="00FE6169">
      <w:pPr>
        <w:keepNext/>
        <w:keepLines/>
        <w:widowControl w:val="0"/>
        <w:autoSpaceDE w:val="0"/>
        <w:autoSpaceDN w:val="0"/>
        <w:adjustRightInd w:val="0"/>
        <w:jc w:val="center"/>
        <w:rPr>
          <w:sz w:val="18"/>
          <w:szCs w:val="18"/>
        </w:rPr>
      </w:pPr>
      <w:r w:rsidRPr="00FE6169">
        <w:rPr>
          <w:sz w:val="18"/>
          <w:szCs w:val="18"/>
        </w:rPr>
        <w:t xml:space="preserve">Variación porcentual e incidencia durante mayo </w:t>
      </w:r>
      <w:r w:rsidR="00FE6169">
        <w:rPr>
          <w:sz w:val="18"/>
          <w:szCs w:val="18"/>
        </w:rPr>
        <w:t>d</w:t>
      </w:r>
      <w:r w:rsidRPr="00FE6169">
        <w:rPr>
          <w:sz w:val="18"/>
          <w:szCs w:val="18"/>
        </w:rPr>
        <w:t>e los años que se indican</w:t>
      </w:r>
    </w:p>
    <w:p w14:paraId="19685DC4" w14:textId="442DF3DF" w:rsidR="00317334" w:rsidRPr="000D49D2" w:rsidRDefault="00100A8D" w:rsidP="00FE6169">
      <w:pPr>
        <w:widowControl w:val="0"/>
        <w:autoSpaceDE w:val="0"/>
        <w:autoSpaceDN w:val="0"/>
        <w:adjustRightInd w:val="0"/>
        <w:jc w:val="center"/>
        <w:rPr>
          <w:b/>
          <w:sz w:val="22"/>
          <w:szCs w:val="22"/>
        </w:rPr>
      </w:pPr>
      <w:r w:rsidRPr="00100A8D">
        <w:rPr>
          <w:noProof/>
        </w:rPr>
        <w:drawing>
          <wp:inline distT="0" distB="0" distL="0" distR="0" wp14:anchorId="770FAF91" wp14:editId="56F53439">
            <wp:extent cx="5972810" cy="2418773"/>
            <wp:effectExtent l="0" t="0" r="8890" b="63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2810" cy="2418773"/>
                    </a:xfrm>
                    <a:prstGeom prst="rect">
                      <a:avLst/>
                    </a:prstGeom>
                    <a:noFill/>
                    <a:ln>
                      <a:noFill/>
                    </a:ln>
                  </pic:spPr>
                </pic:pic>
              </a:graphicData>
            </a:graphic>
          </wp:inline>
        </w:drawing>
      </w:r>
    </w:p>
    <w:p w14:paraId="53E1DF33" w14:textId="77777777" w:rsidR="00317334" w:rsidRPr="00FE6169" w:rsidRDefault="00317334" w:rsidP="00317334">
      <w:pPr>
        <w:autoSpaceDE w:val="0"/>
        <w:autoSpaceDN w:val="0"/>
        <w:adjustRightInd w:val="0"/>
        <w:ind w:left="283" w:right="113" w:hanging="170"/>
        <w:rPr>
          <w:color w:val="006600"/>
          <w:sz w:val="16"/>
          <w:szCs w:val="16"/>
        </w:rPr>
      </w:pPr>
      <w:r w:rsidRPr="003B2C91">
        <w:rPr>
          <w:color w:val="006600"/>
          <w:sz w:val="18"/>
          <w:szCs w:val="16"/>
          <w:vertAlign w:val="superscript"/>
        </w:rPr>
        <w:t>1/</w:t>
      </w:r>
      <w:r w:rsidRPr="00FE6169">
        <w:rPr>
          <w:color w:val="006600"/>
          <w:sz w:val="18"/>
          <w:szCs w:val="16"/>
          <w:vertAlign w:val="superscript"/>
        </w:rPr>
        <w:tab/>
      </w:r>
      <w:r w:rsidRPr="00FE6169">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1B3C8DCF" w14:textId="77777777" w:rsidR="00317334" w:rsidRPr="00FE6169" w:rsidRDefault="00317334" w:rsidP="00317334">
      <w:pPr>
        <w:autoSpaceDE w:val="0"/>
        <w:autoSpaceDN w:val="0"/>
        <w:adjustRightInd w:val="0"/>
        <w:ind w:left="283" w:right="113" w:hanging="170"/>
        <w:rPr>
          <w:color w:val="006600"/>
          <w:sz w:val="16"/>
          <w:szCs w:val="16"/>
        </w:rPr>
      </w:pPr>
      <w:r w:rsidRPr="003B2C91">
        <w:rPr>
          <w:color w:val="006600"/>
          <w:sz w:val="18"/>
          <w:szCs w:val="16"/>
          <w:vertAlign w:val="superscript"/>
        </w:rPr>
        <w:t>2/</w:t>
      </w:r>
      <w:r w:rsidRPr="00FE6169">
        <w:rPr>
          <w:color w:val="006600"/>
          <w:sz w:val="16"/>
          <w:szCs w:val="16"/>
        </w:rPr>
        <w:tab/>
        <w:t>Incluye alimentos procesados, bebidas y tabaco, no incluye productos agropecuarios.</w:t>
      </w:r>
    </w:p>
    <w:p w14:paraId="7D18EF59" w14:textId="77777777" w:rsidR="00317334" w:rsidRPr="00FE6169" w:rsidRDefault="00317334" w:rsidP="00317334">
      <w:pPr>
        <w:autoSpaceDE w:val="0"/>
        <w:autoSpaceDN w:val="0"/>
        <w:adjustRightInd w:val="0"/>
        <w:ind w:left="283" w:right="113" w:hanging="170"/>
        <w:rPr>
          <w:color w:val="006600"/>
          <w:sz w:val="16"/>
          <w:szCs w:val="16"/>
        </w:rPr>
      </w:pPr>
      <w:r w:rsidRPr="003B2C91">
        <w:rPr>
          <w:color w:val="006600"/>
          <w:sz w:val="18"/>
          <w:szCs w:val="16"/>
          <w:vertAlign w:val="superscript"/>
        </w:rPr>
        <w:t>3/</w:t>
      </w:r>
      <w:r w:rsidRPr="00FE6169">
        <w:rPr>
          <w:color w:val="006600"/>
          <w:sz w:val="18"/>
          <w:szCs w:val="16"/>
          <w:vertAlign w:val="superscript"/>
        </w:rPr>
        <w:tab/>
      </w:r>
      <w:r w:rsidRPr="00FE6169">
        <w:rPr>
          <w:color w:val="006600"/>
          <w:sz w:val="16"/>
          <w:szCs w:val="16"/>
        </w:rPr>
        <w:t>Incluye vivienda propia, renta de vivienda, servicio doméstico y otros servicios para el hogar.</w:t>
      </w:r>
    </w:p>
    <w:p w14:paraId="40A32F87" w14:textId="0F53437E" w:rsidR="00317334" w:rsidRPr="00FE6169" w:rsidRDefault="00317334" w:rsidP="00FE6169">
      <w:pPr>
        <w:autoSpaceDE w:val="0"/>
        <w:autoSpaceDN w:val="0"/>
        <w:adjustRightInd w:val="0"/>
        <w:ind w:left="283" w:right="113" w:hanging="170"/>
        <w:rPr>
          <w:color w:val="006600"/>
          <w:sz w:val="16"/>
          <w:szCs w:val="16"/>
        </w:rPr>
      </w:pPr>
      <w:r w:rsidRPr="003B2C91">
        <w:rPr>
          <w:color w:val="006600"/>
          <w:sz w:val="18"/>
          <w:szCs w:val="16"/>
          <w:vertAlign w:val="superscript"/>
        </w:rPr>
        <w:t>4/</w:t>
      </w:r>
      <w:r w:rsidRPr="00FE6169">
        <w:rPr>
          <w:color w:val="006600"/>
          <w:sz w:val="16"/>
          <w:szCs w:val="16"/>
        </w:rPr>
        <w:tab/>
        <w:t>Incluye loncherías, fondas y taquerías, restaurantes y similares, servicio de telefonía móvil, mantenimiento de automóvil, consulta médica, servicios turísticos en paquete, entre otros.</w:t>
      </w:r>
    </w:p>
    <w:p w14:paraId="4A5A0D82" w14:textId="77777777" w:rsidR="00317334" w:rsidRPr="007F75D1" w:rsidRDefault="00317334" w:rsidP="00FE6169">
      <w:pPr>
        <w:pStyle w:val="n01"/>
        <w:keepLines w:val="0"/>
        <w:spacing w:before="720"/>
        <w:ind w:left="0" w:firstLine="0"/>
        <w:rPr>
          <w:rFonts w:ascii="Arial" w:hAnsi="Arial"/>
          <w:b/>
          <w:i/>
          <w:color w:val="auto"/>
        </w:rPr>
      </w:pPr>
      <w:r w:rsidRPr="007F75D1">
        <w:rPr>
          <w:rFonts w:ascii="Arial" w:hAnsi="Arial"/>
          <w:b/>
          <w:i/>
          <w:color w:val="auto"/>
        </w:rPr>
        <w:t>Índices Subyacente y No Subyacente</w:t>
      </w:r>
    </w:p>
    <w:p w14:paraId="51F01164" w14:textId="6608295C" w:rsidR="00317334" w:rsidRPr="00AF5DD6" w:rsidRDefault="00FE6169" w:rsidP="00FE6169">
      <w:pPr>
        <w:autoSpaceDE w:val="0"/>
        <w:autoSpaceDN w:val="0"/>
        <w:adjustRightInd w:val="0"/>
        <w:spacing w:before="240"/>
        <w:rPr>
          <w:szCs w:val="22"/>
        </w:rPr>
      </w:pPr>
      <w:r>
        <w:rPr>
          <w:szCs w:val="22"/>
        </w:rPr>
        <w:t xml:space="preserve">El comportamiento </w:t>
      </w:r>
      <w:r w:rsidR="00317334" w:rsidRPr="00AF5DD6">
        <w:rPr>
          <w:szCs w:val="22"/>
        </w:rPr>
        <w:t>mensual e</w:t>
      </w:r>
      <w:r w:rsidR="00317334">
        <w:rPr>
          <w:szCs w:val="22"/>
        </w:rPr>
        <w:t>n</w:t>
      </w:r>
      <w:r w:rsidR="00317334" w:rsidRPr="00AF5DD6">
        <w:rPr>
          <w:szCs w:val="22"/>
        </w:rPr>
        <w:t xml:space="preserve"> </w:t>
      </w:r>
      <w:r w:rsidR="00317334">
        <w:rPr>
          <w:szCs w:val="22"/>
        </w:rPr>
        <w:t>mayo</w:t>
      </w:r>
      <w:r w:rsidR="00317334" w:rsidRPr="00AF5DD6">
        <w:rPr>
          <w:szCs w:val="22"/>
        </w:rPr>
        <w:t xml:space="preserve"> </w:t>
      </w:r>
      <w:r w:rsidR="00317334">
        <w:rPr>
          <w:szCs w:val="22"/>
        </w:rPr>
        <w:t xml:space="preserve">de 2020 </w:t>
      </w:r>
      <w:r w:rsidR="00317334" w:rsidRPr="00AF5DD6">
        <w:rPr>
          <w:szCs w:val="22"/>
        </w:rPr>
        <w:t xml:space="preserve">de los índices subyacente y no subyacente fue de </w:t>
      </w:r>
      <w:r w:rsidR="004A2F65">
        <w:rPr>
          <w:szCs w:val="22"/>
        </w:rPr>
        <w:t xml:space="preserve">incrementos de </w:t>
      </w:r>
      <w:r w:rsidR="00317334" w:rsidRPr="00AF5DD6">
        <w:rPr>
          <w:szCs w:val="22"/>
        </w:rPr>
        <w:t>0.</w:t>
      </w:r>
      <w:r w:rsidR="00317334">
        <w:rPr>
          <w:szCs w:val="22"/>
        </w:rPr>
        <w:t xml:space="preserve">30 </w:t>
      </w:r>
      <w:r w:rsidR="00F525A6" w:rsidRPr="00AF5DD6">
        <w:rPr>
          <w:szCs w:val="22"/>
        </w:rPr>
        <w:t>por ciento</w:t>
      </w:r>
      <w:r w:rsidR="00F525A6">
        <w:rPr>
          <w:szCs w:val="22"/>
        </w:rPr>
        <w:t xml:space="preserve"> </w:t>
      </w:r>
      <w:r w:rsidR="00317334">
        <w:rPr>
          <w:szCs w:val="22"/>
        </w:rPr>
        <w:t xml:space="preserve">y </w:t>
      </w:r>
      <w:r>
        <w:rPr>
          <w:szCs w:val="22"/>
        </w:rPr>
        <w:t xml:space="preserve">de </w:t>
      </w:r>
      <w:r w:rsidR="00317334">
        <w:rPr>
          <w:szCs w:val="22"/>
        </w:rPr>
        <w:t xml:space="preserve">0.66 </w:t>
      </w:r>
      <w:bookmarkStart w:id="1" w:name="_Hlk42176170"/>
      <w:r w:rsidR="00317334" w:rsidRPr="00AF5DD6">
        <w:rPr>
          <w:szCs w:val="22"/>
        </w:rPr>
        <w:t>por ciento</w:t>
      </w:r>
      <w:bookmarkEnd w:id="1"/>
      <w:r>
        <w:rPr>
          <w:szCs w:val="22"/>
        </w:rPr>
        <w:t>,</w:t>
      </w:r>
      <w:r w:rsidR="00317334" w:rsidRPr="00AF5DD6">
        <w:rPr>
          <w:szCs w:val="22"/>
        </w:rPr>
        <w:t xml:space="preserve"> respectivamente</w:t>
      </w:r>
      <w:r>
        <w:rPr>
          <w:szCs w:val="22"/>
        </w:rPr>
        <w:t>.</w:t>
      </w:r>
      <w:r w:rsidR="00317334" w:rsidRPr="00AF5DD6">
        <w:rPr>
          <w:szCs w:val="22"/>
        </w:rPr>
        <w:t xml:space="preserve"> </w:t>
      </w:r>
      <w:r>
        <w:rPr>
          <w:szCs w:val="22"/>
        </w:rPr>
        <w:t xml:space="preserve">Los </w:t>
      </w:r>
      <w:r w:rsidR="00317334">
        <w:rPr>
          <w:szCs w:val="22"/>
        </w:rPr>
        <w:t>d</w:t>
      </w:r>
      <w:r w:rsidR="00317334" w:rsidRPr="00AF5DD6">
        <w:rPr>
          <w:szCs w:val="22"/>
        </w:rPr>
        <w:t>atos compara</w:t>
      </w:r>
      <w:r>
        <w:rPr>
          <w:szCs w:val="22"/>
        </w:rPr>
        <w:t>bles</w:t>
      </w:r>
      <w:r w:rsidR="00317334" w:rsidRPr="00AF5DD6">
        <w:rPr>
          <w:szCs w:val="22"/>
        </w:rPr>
        <w:t xml:space="preserve"> </w:t>
      </w:r>
      <w:r>
        <w:rPr>
          <w:szCs w:val="22"/>
        </w:rPr>
        <w:t xml:space="preserve">para </w:t>
      </w:r>
      <w:r w:rsidR="00317334" w:rsidRPr="00AF5DD6">
        <w:rPr>
          <w:szCs w:val="22"/>
        </w:rPr>
        <w:t>el mismo periodo de</w:t>
      </w:r>
      <w:r>
        <w:rPr>
          <w:szCs w:val="22"/>
        </w:rPr>
        <w:t xml:space="preserve"> </w:t>
      </w:r>
      <w:r w:rsidR="00317334" w:rsidRPr="00AF5DD6">
        <w:rPr>
          <w:szCs w:val="22"/>
        </w:rPr>
        <w:t>201</w:t>
      </w:r>
      <w:r w:rsidR="00317334">
        <w:rPr>
          <w:szCs w:val="22"/>
        </w:rPr>
        <w:t>9</w:t>
      </w:r>
      <w:r w:rsidR="00317334" w:rsidRPr="00AF5DD6">
        <w:rPr>
          <w:szCs w:val="22"/>
        </w:rPr>
        <w:t xml:space="preserve"> </w:t>
      </w:r>
      <w:r w:rsidR="00317334">
        <w:rPr>
          <w:szCs w:val="22"/>
        </w:rPr>
        <w:t>fuer</w:t>
      </w:r>
      <w:r w:rsidR="00317334" w:rsidRPr="00AF5DD6">
        <w:rPr>
          <w:szCs w:val="22"/>
        </w:rPr>
        <w:t>on</w:t>
      </w:r>
      <w:r>
        <w:rPr>
          <w:szCs w:val="22"/>
        </w:rPr>
        <w:t xml:space="preserve"> de</w:t>
      </w:r>
      <w:r w:rsidR="00317334" w:rsidRPr="00AF5DD6">
        <w:rPr>
          <w:szCs w:val="22"/>
        </w:rPr>
        <w:t xml:space="preserve"> 0.</w:t>
      </w:r>
      <w:r w:rsidR="00317334">
        <w:rPr>
          <w:szCs w:val="22"/>
        </w:rPr>
        <w:t>16</w:t>
      </w:r>
      <w:r w:rsidR="00317334" w:rsidRPr="00AF5DD6">
        <w:rPr>
          <w:szCs w:val="22"/>
        </w:rPr>
        <w:t xml:space="preserve"> y </w:t>
      </w:r>
      <w:r>
        <w:rPr>
          <w:szCs w:val="22"/>
        </w:rPr>
        <w:t xml:space="preserve">de </w:t>
      </w:r>
      <w:r w:rsidR="00317334">
        <w:rPr>
          <w:szCs w:val="22"/>
        </w:rPr>
        <w:t>(-)1.66 por ciento</w:t>
      </w:r>
      <w:r>
        <w:rPr>
          <w:szCs w:val="22"/>
        </w:rPr>
        <w:t>.</w:t>
      </w:r>
    </w:p>
    <w:p w14:paraId="2A554394" w14:textId="77777777" w:rsidR="00FE6169" w:rsidRPr="005C619F" w:rsidRDefault="00FE6169" w:rsidP="00FE6169">
      <w:pPr>
        <w:keepNext/>
        <w:keepLines/>
        <w:spacing w:before="240"/>
        <w:jc w:val="center"/>
        <w:rPr>
          <w:b/>
          <w:bCs/>
          <w:smallCaps/>
          <w:color w:val="000000" w:themeColor="text1"/>
          <w:sz w:val="22"/>
          <w:szCs w:val="22"/>
        </w:rPr>
      </w:pPr>
      <w:r w:rsidRPr="005C619F">
        <w:rPr>
          <w:b/>
          <w:bCs/>
          <w:smallCaps/>
          <w:color w:val="000000" w:themeColor="text1"/>
          <w:sz w:val="22"/>
          <w:szCs w:val="22"/>
        </w:rPr>
        <w:lastRenderedPageBreak/>
        <w:t>Índice</w:t>
      </w:r>
      <w:r>
        <w:rPr>
          <w:b/>
          <w:bCs/>
          <w:smallCaps/>
          <w:color w:val="000000" w:themeColor="text1"/>
          <w:sz w:val="22"/>
          <w:szCs w:val="22"/>
        </w:rPr>
        <w:t>s</w:t>
      </w:r>
      <w:r w:rsidRPr="005C619F">
        <w:rPr>
          <w:b/>
          <w:bCs/>
          <w:smallCaps/>
          <w:color w:val="000000" w:themeColor="text1"/>
          <w:sz w:val="22"/>
          <w:szCs w:val="22"/>
        </w:rPr>
        <w:t xml:space="preserve"> </w:t>
      </w:r>
      <w:r>
        <w:rPr>
          <w:b/>
          <w:bCs/>
          <w:smallCaps/>
          <w:color w:val="000000" w:themeColor="text1"/>
          <w:sz w:val="22"/>
          <w:szCs w:val="22"/>
        </w:rPr>
        <w:t>d</w:t>
      </w:r>
      <w:r w:rsidRPr="005C619F">
        <w:rPr>
          <w:b/>
          <w:bCs/>
          <w:smallCaps/>
          <w:color w:val="000000" w:themeColor="text1"/>
          <w:sz w:val="22"/>
          <w:szCs w:val="22"/>
        </w:rPr>
        <w:t xml:space="preserve">e Precios Subyacente </w:t>
      </w:r>
      <w:r>
        <w:rPr>
          <w:b/>
          <w:bCs/>
          <w:smallCaps/>
          <w:color w:val="000000" w:themeColor="text1"/>
          <w:sz w:val="22"/>
          <w:szCs w:val="22"/>
        </w:rPr>
        <w:t>y</w:t>
      </w:r>
      <w:r w:rsidRPr="005C619F">
        <w:rPr>
          <w:b/>
          <w:bCs/>
          <w:smallCaps/>
          <w:color w:val="000000" w:themeColor="text1"/>
          <w:sz w:val="22"/>
          <w:szCs w:val="22"/>
        </w:rPr>
        <w:t xml:space="preserve"> No Subyacente</w:t>
      </w:r>
    </w:p>
    <w:p w14:paraId="64F1CA81" w14:textId="312D0AEB" w:rsidR="00317334" w:rsidRPr="00FE6169" w:rsidRDefault="00317334" w:rsidP="00FE6169">
      <w:pPr>
        <w:keepNext/>
        <w:keepLines/>
        <w:widowControl w:val="0"/>
        <w:autoSpaceDE w:val="0"/>
        <w:autoSpaceDN w:val="0"/>
        <w:adjustRightInd w:val="0"/>
        <w:jc w:val="center"/>
        <w:rPr>
          <w:sz w:val="18"/>
        </w:rPr>
      </w:pPr>
      <w:r w:rsidRPr="00FE6169">
        <w:rPr>
          <w:sz w:val="18"/>
        </w:rPr>
        <w:t xml:space="preserve">Variación porcentual </w:t>
      </w:r>
      <w:r w:rsidR="00FE6169">
        <w:rPr>
          <w:sz w:val="18"/>
        </w:rPr>
        <w:t xml:space="preserve">mensual </w:t>
      </w:r>
      <w:r w:rsidRPr="00FE6169">
        <w:rPr>
          <w:sz w:val="18"/>
        </w:rPr>
        <w:t>en mayo de los años que se indican</w:t>
      </w:r>
    </w:p>
    <w:p w14:paraId="3A3DF1AE" w14:textId="244911E8" w:rsidR="00317334" w:rsidRDefault="00100A8D" w:rsidP="00317334">
      <w:pPr>
        <w:pStyle w:val="n01"/>
        <w:keepLines w:val="0"/>
        <w:spacing w:before="0"/>
        <w:ind w:left="0" w:firstLine="0"/>
        <w:jc w:val="center"/>
        <w:rPr>
          <w:rFonts w:ascii="Arial" w:hAnsi="Arial"/>
          <w:color w:val="auto"/>
          <w:sz w:val="22"/>
          <w:szCs w:val="22"/>
        </w:rPr>
      </w:pPr>
      <w:r>
        <w:rPr>
          <w:noProof/>
        </w:rPr>
        <w:drawing>
          <wp:inline distT="0" distB="0" distL="0" distR="0" wp14:anchorId="2240A835" wp14:editId="3A0C3A1F">
            <wp:extent cx="5040000" cy="2880000"/>
            <wp:effectExtent l="0" t="0" r="27305" b="34925"/>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C3398CD" w14:textId="630C05D2" w:rsidR="00317334" w:rsidRPr="00D25428" w:rsidRDefault="00317334" w:rsidP="00FE6169">
      <w:pPr>
        <w:autoSpaceDE w:val="0"/>
        <w:autoSpaceDN w:val="0"/>
        <w:adjustRightInd w:val="0"/>
        <w:spacing w:before="360"/>
        <w:rPr>
          <w:color w:val="000000" w:themeColor="text1"/>
        </w:rPr>
      </w:pPr>
      <w:r w:rsidRPr="00D25428">
        <w:rPr>
          <w:color w:val="000000" w:themeColor="text1"/>
        </w:rPr>
        <w:t xml:space="preserve">La variación anual del INPC en </w:t>
      </w:r>
      <w:r>
        <w:rPr>
          <w:color w:val="000000" w:themeColor="text1"/>
        </w:rPr>
        <w:t>mayo d</w:t>
      </w:r>
      <w:r w:rsidRPr="00D25428">
        <w:rPr>
          <w:color w:val="000000" w:themeColor="text1"/>
        </w:rPr>
        <w:t>e</w:t>
      </w:r>
      <w:r w:rsidR="00FE6169">
        <w:rPr>
          <w:color w:val="000000" w:themeColor="text1"/>
        </w:rPr>
        <w:t>l año en curso</w:t>
      </w:r>
      <w:r w:rsidRPr="00D25428">
        <w:rPr>
          <w:color w:val="000000" w:themeColor="text1"/>
        </w:rPr>
        <w:t xml:space="preserve"> fue de </w:t>
      </w:r>
      <w:r>
        <w:rPr>
          <w:color w:val="000000" w:themeColor="text1"/>
        </w:rPr>
        <w:t xml:space="preserve">2.84 </w:t>
      </w:r>
      <w:r w:rsidRPr="00D25428">
        <w:rPr>
          <w:color w:val="000000" w:themeColor="text1"/>
        </w:rPr>
        <w:t>por ciento</w:t>
      </w:r>
      <w:r w:rsidR="00C53A75">
        <w:rPr>
          <w:color w:val="000000" w:themeColor="text1"/>
        </w:rPr>
        <w:t xml:space="preserve"> y</w:t>
      </w:r>
      <w:r>
        <w:rPr>
          <w:color w:val="000000" w:themeColor="text1"/>
        </w:rPr>
        <w:t xml:space="preserve"> </w:t>
      </w:r>
      <w:r w:rsidR="00C53A75">
        <w:rPr>
          <w:color w:val="000000" w:themeColor="text1"/>
        </w:rPr>
        <w:t xml:space="preserve">en igual </w:t>
      </w:r>
      <w:r w:rsidRPr="00D25428">
        <w:rPr>
          <w:color w:val="000000" w:themeColor="text1"/>
        </w:rPr>
        <w:t>mes de</w:t>
      </w:r>
      <w:r w:rsidR="00C53A75">
        <w:rPr>
          <w:color w:val="000000" w:themeColor="text1"/>
        </w:rPr>
        <w:t xml:space="preserve"> un</w:t>
      </w:r>
      <w:r w:rsidRPr="00D25428">
        <w:rPr>
          <w:color w:val="000000" w:themeColor="text1"/>
        </w:rPr>
        <w:t xml:space="preserve"> año ante</w:t>
      </w:r>
      <w:r w:rsidR="00C53A75">
        <w:rPr>
          <w:color w:val="000000" w:themeColor="text1"/>
        </w:rPr>
        <w:t>s</w:t>
      </w:r>
      <w:r w:rsidRPr="00D25428">
        <w:rPr>
          <w:color w:val="000000" w:themeColor="text1"/>
        </w:rPr>
        <w:t xml:space="preserve"> fue de </w:t>
      </w:r>
      <w:r>
        <w:rPr>
          <w:color w:val="000000" w:themeColor="text1"/>
        </w:rPr>
        <w:t>4.28</w:t>
      </w:r>
      <w:r w:rsidRPr="00D25428">
        <w:rPr>
          <w:color w:val="000000" w:themeColor="text1"/>
        </w:rPr>
        <w:t xml:space="preserve"> por ciento</w:t>
      </w:r>
      <w:r>
        <w:rPr>
          <w:color w:val="000000" w:themeColor="text1"/>
        </w:rPr>
        <w:t>.</w:t>
      </w:r>
      <w:r w:rsidRPr="00D25428">
        <w:rPr>
          <w:color w:val="000000" w:themeColor="text1"/>
        </w:rPr>
        <w:t xml:space="preserve"> </w:t>
      </w:r>
      <w:r>
        <w:rPr>
          <w:color w:val="000000" w:themeColor="text1"/>
        </w:rPr>
        <w:t>A su interior,</w:t>
      </w:r>
      <w:r w:rsidRPr="00D25428">
        <w:rPr>
          <w:color w:val="000000" w:themeColor="text1"/>
        </w:rPr>
        <w:t xml:space="preserve"> los índices subyacente y no subyacente </w:t>
      </w:r>
      <w:r w:rsidR="00C53A75">
        <w:rPr>
          <w:color w:val="000000" w:themeColor="text1"/>
        </w:rPr>
        <w:t xml:space="preserve">mostraron alzas </w:t>
      </w:r>
      <w:r>
        <w:rPr>
          <w:color w:val="000000" w:themeColor="text1"/>
        </w:rPr>
        <w:t>de</w:t>
      </w:r>
      <w:r w:rsidRPr="00D25428">
        <w:rPr>
          <w:color w:val="000000" w:themeColor="text1"/>
        </w:rPr>
        <w:t xml:space="preserve"> </w:t>
      </w:r>
      <w:r>
        <w:rPr>
          <w:color w:val="000000" w:themeColor="text1"/>
        </w:rPr>
        <w:t>3.64</w:t>
      </w:r>
      <w:r w:rsidRPr="00D25428">
        <w:rPr>
          <w:color w:val="000000" w:themeColor="text1"/>
        </w:rPr>
        <w:t xml:space="preserve"> y </w:t>
      </w:r>
      <w:r w:rsidR="00C53A75">
        <w:rPr>
          <w:color w:val="000000" w:themeColor="text1"/>
        </w:rPr>
        <w:t xml:space="preserve">de </w:t>
      </w:r>
      <w:r>
        <w:rPr>
          <w:color w:val="000000" w:themeColor="text1"/>
        </w:rPr>
        <w:t>0.35</w:t>
      </w:r>
      <w:r w:rsidRPr="00D25428">
        <w:rPr>
          <w:color w:val="000000" w:themeColor="text1"/>
        </w:rPr>
        <w:t xml:space="preserve"> por ciento</w:t>
      </w:r>
      <w:r w:rsidR="00C53A75">
        <w:rPr>
          <w:color w:val="000000" w:themeColor="text1"/>
        </w:rPr>
        <w:t>, en ese orden</w:t>
      </w:r>
      <w:r>
        <w:rPr>
          <w:color w:val="000000" w:themeColor="text1"/>
        </w:rPr>
        <w:t>.</w:t>
      </w:r>
      <w:r w:rsidRPr="00D25428">
        <w:rPr>
          <w:color w:val="000000" w:themeColor="text1"/>
        </w:rPr>
        <w:t xml:space="preserve"> </w:t>
      </w:r>
      <w:r>
        <w:rPr>
          <w:color w:val="000000" w:themeColor="text1"/>
        </w:rPr>
        <w:t>E</w:t>
      </w:r>
      <w:r w:rsidRPr="00D25428">
        <w:rPr>
          <w:color w:val="000000" w:themeColor="text1"/>
        </w:rPr>
        <w:t>n el mismo periodo de 201</w:t>
      </w:r>
      <w:r>
        <w:rPr>
          <w:color w:val="000000" w:themeColor="text1"/>
        </w:rPr>
        <w:t>9</w:t>
      </w:r>
      <w:r w:rsidRPr="00D25428">
        <w:rPr>
          <w:color w:val="000000" w:themeColor="text1"/>
        </w:rPr>
        <w:t xml:space="preserve"> las cifras correspondientes fueron</w:t>
      </w:r>
      <w:r>
        <w:rPr>
          <w:color w:val="000000" w:themeColor="text1"/>
        </w:rPr>
        <w:t xml:space="preserve"> de</w:t>
      </w:r>
      <w:r w:rsidRPr="00D25428">
        <w:rPr>
          <w:color w:val="000000" w:themeColor="text1"/>
        </w:rPr>
        <w:t xml:space="preserve"> </w:t>
      </w:r>
      <w:r>
        <w:rPr>
          <w:color w:val="000000" w:themeColor="text1"/>
        </w:rPr>
        <w:t>3.77</w:t>
      </w:r>
      <w:r w:rsidRPr="00D25428">
        <w:rPr>
          <w:color w:val="000000" w:themeColor="text1"/>
        </w:rPr>
        <w:t xml:space="preserve"> y</w:t>
      </w:r>
      <w:r>
        <w:rPr>
          <w:color w:val="000000" w:themeColor="text1"/>
        </w:rPr>
        <w:t xml:space="preserve"> </w:t>
      </w:r>
      <w:r w:rsidR="00C53A75">
        <w:rPr>
          <w:color w:val="000000" w:themeColor="text1"/>
        </w:rPr>
        <w:t xml:space="preserve">de </w:t>
      </w:r>
      <w:r>
        <w:rPr>
          <w:color w:val="000000" w:themeColor="text1"/>
        </w:rPr>
        <w:t>5.78</w:t>
      </w:r>
      <w:r w:rsidRPr="00D25428">
        <w:rPr>
          <w:color w:val="000000" w:themeColor="text1"/>
        </w:rPr>
        <w:t xml:space="preserve"> por ciento.</w:t>
      </w:r>
    </w:p>
    <w:p w14:paraId="6FA061D4" w14:textId="77777777" w:rsidR="00C53A75" w:rsidRPr="005C619F" w:rsidRDefault="00C53A75" w:rsidP="00C53A75">
      <w:pPr>
        <w:pStyle w:val="n01"/>
        <w:keepNext/>
        <w:ind w:left="0" w:firstLine="0"/>
        <w:jc w:val="center"/>
        <w:rPr>
          <w:rFonts w:ascii="Arial" w:hAnsi="Arial"/>
          <w:b/>
          <w:bCs/>
          <w:smallCaps/>
          <w:color w:val="000000" w:themeColor="text1"/>
          <w:sz w:val="22"/>
          <w:szCs w:val="22"/>
        </w:rPr>
      </w:pPr>
      <w:r w:rsidRPr="005C619F">
        <w:rPr>
          <w:rFonts w:ascii="Arial" w:hAnsi="Arial"/>
          <w:b/>
          <w:bCs/>
          <w:smallCaps/>
          <w:color w:val="000000" w:themeColor="text1"/>
          <w:sz w:val="22"/>
          <w:szCs w:val="22"/>
        </w:rPr>
        <w:t xml:space="preserve">INPC, Subyacente </w:t>
      </w:r>
      <w:r>
        <w:rPr>
          <w:rFonts w:ascii="Arial" w:hAnsi="Arial"/>
          <w:b/>
          <w:bCs/>
          <w:smallCaps/>
          <w:color w:val="000000" w:themeColor="text1"/>
          <w:sz w:val="22"/>
          <w:szCs w:val="22"/>
        </w:rPr>
        <w:t>y</w:t>
      </w:r>
      <w:r w:rsidRPr="005C619F">
        <w:rPr>
          <w:rFonts w:ascii="Arial" w:hAnsi="Arial"/>
          <w:b/>
          <w:bCs/>
          <w:smallCaps/>
          <w:color w:val="000000" w:themeColor="text1"/>
          <w:sz w:val="22"/>
          <w:szCs w:val="22"/>
        </w:rPr>
        <w:t xml:space="preserve"> No Subyacente</w:t>
      </w:r>
    </w:p>
    <w:p w14:paraId="095A2E5B" w14:textId="5FC04532" w:rsidR="00C53A75" w:rsidRPr="005C619F" w:rsidRDefault="00C53A75" w:rsidP="00C53A75">
      <w:pPr>
        <w:keepNext/>
        <w:keepLines/>
        <w:autoSpaceDE w:val="0"/>
        <w:autoSpaceDN w:val="0"/>
        <w:adjustRightInd w:val="0"/>
        <w:jc w:val="center"/>
        <w:rPr>
          <w:sz w:val="18"/>
        </w:rPr>
      </w:pPr>
      <w:r w:rsidRPr="005C619F">
        <w:rPr>
          <w:sz w:val="18"/>
        </w:rPr>
        <w:t>Variaci</w:t>
      </w:r>
      <w:r>
        <w:rPr>
          <w:sz w:val="18"/>
        </w:rPr>
        <w:t>ón</w:t>
      </w:r>
      <w:r w:rsidRPr="005C619F">
        <w:rPr>
          <w:sz w:val="18"/>
        </w:rPr>
        <w:t xml:space="preserve"> porcentual anual</w:t>
      </w:r>
      <w:r>
        <w:rPr>
          <w:sz w:val="18"/>
        </w:rPr>
        <w:t xml:space="preserve"> a mayo de 2020</w:t>
      </w:r>
    </w:p>
    <w:p w14:paraId="1F1DE910" w14:textId="6B5BE58C" w:rsidR="00317334" w:rsidRDefault="00100A8D" w:rsidP="00C53A75">
      <w:pPr>
        <w:pStyle w:val="n01"/>
        <w:spacing w:before="0"/>
        <w:ind w:left="0" w:firstLine="0"/>
        <w:jc w:val="center"/>
        <w:rPr>
          <w:rFonts w:ascii="Arial" w:hAnsi="Arial"/>
          <w:color w:val="auto"/>
          <w:sz w:val="22"/>
          <w:szCs w:val="22"/>
        </w:rPr>
      </w:pPr>
      <w:r>
        <w:rPr>
          <w:noProof/>
        </w:rPr>
        <w:drawing>
          <wp:inline distT="0" distB="0" distL="0" distR="0" wp14:anchorId="3F822EAF" wp14:editId="0045CF1D">
            <wp:extent cx="5034694" cy="2907801"/>
            <wp:effectExtent l="0" t="0" r="13970" b="26035"/>
            <wp:docPr id="21" name="Gráfico 2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09EC21E" w14:textId="45CB830D" w:rsidR="00317334" w:rsidRDefault="00317334" w:rsidP="00317334">
      <w:pPr>
        <w:autoSpaceDE w:val="0"/>
        <w:autoSpaceDN w:val="0"/>
        <w:adjustRightInd w:val="0"/>
        <w:spacing w:before="240"/>
      </w:pPr>
      <w:r w:rsidRPr="0004061B">
        <w:lastRenderedPageBreak/>
        <w:t>A continuación se presentan los principales genéricos cuya</w:t>
      </w:r>
      <w:r w:rsidR="00C53A75">
        <w:t>s</w:t>
      </w:r>
      <w:r w:rsidRPr="0004061B">
        <w:t xml:space="preserve"> variaci</w:t>
      </w:r>
      <w:r w:rsidR="00C53A75">
        <w:t>ones</w:t>
      </w:r>
      <w:r w:rsidRPr="0004061B">
        <w:t xml:space="preserve"> de precios al alza y a la baja destacaron por su incidencia sobre la inflación general. </w:t>
      </w:r>
    </w:p>
    <w:p w14:paraId="33DECA26" w14:textId="77777777" w:rsidR="00C53A75" w:rsidRPr="00442560" w:rsidRDefault="00C53A75" w:rsidP="00C53A75">
      <w:pPr>
        <w:widowControl w:val="0"/>
        <w:tabs>
          <w:tab w:val="left" w:pos="1220"/>
        </w:tabs>
        <w:autoSpaceDE w:val="0"/>
        <w:autoSpaceDN w:val="0"/>
        <w:adjustRightInd w:val="0"/>
        <w:spacing w:before="240"/>
        <w:jc w:val="center"/>
        <w:rPr>
          <w:b/>
          <w:bCs/>
          <w:smallCaps/>
          <w:color w:val="000000" w:themeColor="text1"/>
          <w:spacing w:val="1"/>
          <w:sz w:val="22"/>
          <w:szCs w:val="22"/>
        </w:rPr>
      </w:pPr>
      <w:r w:rsidRPr="00442560">
        <w:rPr>
          <w:b/>
          <w:bCs/>
          <w:smallCaps/>
          <w:color w:val="000000" w:themeColor="text1"/>
          <w:spacing w:val="1"/>
          <w:sz w:val="22"/>
          <w:szCs w:val="22"/>
        </w:rPr>
        <w:t>Índice Nacional de Precios al Consumidor</w:t>
      </w:r>
    </w:p>
    <w:p w14:paraId="04FDE614" w14:textId="24E30E58" w:rsidR="00C53A75" w:rsidRPr="007311F0" w:rsidRDefault="00C53A75" w:rsidP="00C53A75">
      <w:pPr>
        <w:widowControl w:val="0"/>
        <w:tabs>
          <w:tab w:val="left" w:pos="1220"/>
        </w:tabs>
        <w:autoSpaceDE w:val="0"/>
        <w:autoSpaceDN w:val="0"/>
        <w:adjustRightInd w:val="0"/>
        <w:jc w:val="center"/>
        <w:rPr>
          <w:b/>
          <w:bCs/>
          <w:smallCaps/>
          <w:color w:val="000000" w:themeColor="text1"/>
          <w:spacing w:val="1"/>
          <w:sz w:val="22"/>
          <w:szCs w:val="22"/>
        </w:rPr>
      </w:pPr>
      <w:r w:rsidRPr="007311F0">
        <w:rPr>
          <w:b/>
          <w:bCs/>
          <w:smallCaps/>
          <w:color w:val="000000" w:themeColor="text1"/>
          <w:spacing w:val="1"/>
          <w:sz w:val="22"/>
          <w:szCs w:val="22"/>
        </w:rPr>
        <w:t>Genéricos con mayor y menor incidencia</w:t>
      </w:r>
      <w:r>
        <w:rPr>
          <w:b/>
          <w:bCs/>
          <w:smallCaps/>
          <w:color w:val="000000" w:themeColor="text1"/>
          <w:spacing w:val="1"/>
          <w:sz w:val="22"/>
          <w:szCs w:val="22"/>
        </w:rPr>
        <w:t xml:space="preserve"> </w:t>
      </w:r>
    </w:p>
    <w:p w14:paraId="481CB861" w14:textId="77777777" w:rsidR="00317334" w:rsidRPr="00C53A75" w:rsidRDefault="00317334" w:rsidP="00317334">
      <w:pPr>
        <w:autoSpaceDE w:val="0"/>
        <w:autoSpaceDN w:val="0"/>
        <w:adjustRightInd w:val="0"/>
        <w:jc w:val="center"/>
        <w:rPr>
          <w:bCs/>
          <w:color w:val="000000" w:themeColor="text1"/>
          <w:spacing w:val="1"/>
          <w:sz w:val="18"/>
          <w:szCs w:val="22"/>
        </w:rPr>
      </w:pPr>
      <w:r w:rsidRPr="00C53A75">
        <w:rPr>
          <w:bCs/>
          <w:color w:val="000000" w:themeColor="text1"/>
          <w:spacing w:val="1"/>
          <w:sz w:val="18"/>
          <w:szCs w:val="22"/>
        </w:rPr>
        <w:t>Mayo de 2020</w:t>
      </w:r>
    </w:p>
    <w:p w14:paraId="10DA3A1B" w14:textId="67B4EC84" w:rsidR="00317334" w:rsidRDefault="00100A8D" w:rsidP="00317334">
      <w:pPr>
        <w:autoSpaceDE w:val="0"/>
        <w:autoSpaceDN w:val="0"/>
        <w:adjustRightInd w:val="0"/>
        <w:jc w:val="center"/>
      </w:pPr>
      <w:r w:rsidRPr="00100A8D">
        <w:rPr>
          <w:noProof/>
        </w:rPr>
        <w:drawing>
          <wp:inline distT="0" distB="0" distL="0" distR="0" wp14:anchorId="24D06DDB" wp14:editId="73675C6F">
            <wp:extent cx="5972810" cy="1608521"/>
            <wp:effectExtent l="0" t="0" r="889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72810" cy="1608521"/>
                    </a:xfrm>
                    <a:prstGeom prst="rect">
                      <a:avLst/>
                    </a:prstGeom>
                    <a:noFill/>
                    <a:ln>
                      <a:noFill/>
                    </a:ln>
                  </pic:spPr>
                </pic:pic>
              </a:graphicData>
            </a:graphic>
          </wp:inline>
        </w:drawing>
      </w:r>
    </w:p>
    <w:p w14:paraId="0D235300" w14:textId="7CC93E74" w:rsidR="00317334" w:rsidRPr="00F525A6" w:rsidRDefault="00317334" w:rsidP="00C53A75">
      <w:pPr>
        <w:autoSpaceDE w:val="0"/>
        <w:autoSpaceDN w:val="0"/>
        <w:adjustRightInd w:val="0"/>
        <w:ind w:left="283" w:right="113" w:hanging="170"/>
        <w:rPr>
          <w:color w:val="006600"/>
          <w:sz w:val="16"/>
          <w:szCs w:val="16"/>
        </w:rPr>
      </w:pPr>
      <w:r w:rsidRPr="00C53A75">
        <w:rPr>
          <w:color w:val="006600"/>
          <w:sz w:val="18"/>
          <w:szCs w:val="16"/>
          <w:vertAlign w:val="superscript"/>
        </w:rPr>
        <w:t>1/</w:t>
      </w:r>
      <w:r w:rsidR="00C53A75" w:rsidRPr="00C53A75">
        <w:rPr>
          <w:color w:val="006600"/>
          <w:sz w:val="18"/>
          <w:szCs w:val="16"/>
          <w:vertAlign w:val="superscript"/>
        </w:rPr>
        <w:tab/>
      </w:r>
      <w:r w:rsidRPr="00C53A75">
        <w:rPr>
          <w:color w:val="006600"/>
          <w:sz w:val="16"/>
          <w:szCs w:val="16"/>
        </w:rPr>
        <w:t xml:space="preserve">La incidencia se refiere a la contribución en puntos porcentuales de cada componente del INPC a la inflación general. Ésta se </w:t>
      </w:r>
      <w:r w:rsidRPr="00F525A6">
        <w:rPr>
          <w:color w:val="006600"/>
          <w:sz w:val="16"/>
          <w:szCs w:val="16"/>
        </w:rPr>
        <w:t>calcula utilizando los ponderadores de cada subíndice, así como los precios relativos y sus respectivas variaciones.</w:t>
      </w:r>
    </w:p>
    <w:p w14:paraId="2698A63B" w14:textId="5140AEC9" w:rsidR="00317334" w:rsidRPr="00C53A75" w:rsidRDefault="00317334" w:rsidP="00C53A75">
      <w:pPr>
        <w:autoSpaceDE w:val="0"/>
        <w:autoSpaceDN w:val="0"/>
        <w:adjustRightInd w:val="0"/>
        <w:ind w:left="283" w:right="113" w:hanging="170"/>
        <w:rPr>
          <w:color w:val="006600"/>
          <w:sz w:val="16"/>
          <w:szCs w:val="16"/>
        </w:rPr>
      </w:pPr>
      <w:r w:rsidRPr="00C53A75">
        <w:rPr>
          <w:color w:val="006600"/>
          <w:sz w:val="18"/>
          <w:szCs w:val="16"/>
          <w:vertAlign w:val="superscript"/>
        </w:rPr>
        <w:t>2/</w:t>
      </w:r>
      <w:r w:rsidR="00C53A75" w:rsidRPr="00C53A75">
        <w:rPr>
          <w:color w:val="006600"/>
          <w:sz w:val="18"/>
          <w:szCs w:val="16"/>
          <w:vertAlign w:val="superscript"/>
        </w:rPr>
        <w:tab/>
      </w:r>
      <w:r w:rsidRPr="00C53A75">
        <w:rPr>
          <w:color w:val="006600"/>
          <w:sz w:val="16"/>
          <w:szCs w:val="16"/>
        </w:rPr>
        <w:t>El programa de tarifas eléctricas de temporada cálida inició su periodo de vigencia durante mayo en las siguientes ciudades: Mexicali, Cd. Juárez, Culiacán, Chihuahua, Hermosillo, Matamoros, Colima, La Paz, Huatabampo, Cd. Jiménez y Esperanza.</w:t>
      </w:r>
    </w:p>
    <w:p w14:paraId="75BF6A19" w14:textId="5D1CEC59" w:rsidR="00317334" w:rsidRPr="0004061B" w:rsidRDefault="00317334" w:rsidP="00C53A75">
      <w:pPr>
        <w:keepNext/>
        <w:keepLines/>
        <w:autoSpaceDE w:val="0"/>
        <w:autoSpaceDN w:val="0"/>
        <w:adjustRightInd w:val="0"/>
        <w:spacing w:before="360"/>
      </w:pPr>
      <w:r w:rsidRPr="0004061B">
        <w:t xml:space="preserve">En el siguiente cuadro se </w:t>
      </w:r>
      <w:r>
        <w:t xml:space="preserve">muestran </w:t>
      </w:r>
      <w:r w:rsidRPr="0004061B">
        <w:t xml:space="preserve">las principales </w:t>
      </w:r>
      <w:r>
        <w:t>ciudades</w:t>
      </w:r>
      <w:r w:rsidRPr="0004061B">
        <w:t xml:space="preserve"> </w:t>
      </w:r>
      <w:r w:rsidR="00C53A75">
        <w:t>con</w:t>
      </w:r>
      <w:r w:rsidRPr="0004061B">
        <w:t xml:space="preserve"> la mayor y menor variaci</w:t>
      </w:r>
      <w:r>
        <w:t>ón</w:t>
      </w:r>
      <w:r w:rsidRPr="0004061B">
        <w:t xml:space="preserve"> </w:t>
      </w:r>
      <w:r>
        <w:t>del INPC durante mayo de 2020</w:t>
      </w:r>
      <w:r w:rsidRPr="0004061B">
        <w:t>.</w:t>
      </w:r>
    </w:p>
    <w:p w14:paraId="5B0C6F47" w14:textId="77777777" w:rsidR="00C53A75" w:rsidRPr="00BD7D45" w:rsidRDefault="00C53A75" w:rsidP="00C53A75">
      <w:pPr>
        <w:keepNext/>
        <w:keepLines/>
        <w:autoSpaceDE w:val="0"/>
        <w:autoSpaceDN w:val="0"/>
        <w:adjustRightInd w:val="0"/>
        <w:spacing w:before="360"/>
        <w:jc w:val="center"/>
        <w:rPr>
          <w:b/>
          <w:bCs/>
          <w:smallCaps/>
          <w:color w:val="000000" w:themeColor="text1"/>
          <w:spacing w:val="1"/>
          <w:sz w:val="22"/>
        </w:rPr>
      </w:pPr>
      <w:r w:rsidRPr="00512118">
        <w:rPr>
          <w:b/>
          <w:bCs/>
          <w:smallCaps/>
          <w:color w:val="000000" w:themeColor="text1"/>
          <w:spacing w:val="1"/>
          <w:sz w:val="22"/>
        </w:rPr>
        <w:t xml:space="preserve">Índice Nacional </w:t>
      </w:r>
      <w:r>
        <w:rPr>
          <w:b/>
          <w:bCs/>
          <w:smallCaps/>
          <w:color w:val="000000" w:themeColor="text1"/>
          <w:spacing w:val="1"/>
          <w:sz w:val="22"/>
        </w:rPr>
        <w:t>d</w:t>
      </w:r>
      <w:r w:rsidRPr="00512118">
        <w:rPr>
          <w:b/>
          <w:bCs/>
          <w:smallCaps/>
          <w:color w:val="000000" w:themeColor="text1"/>
          <w:spacing w:val="1"/>
          <w:sz w:val="22"/>
        </w:rPr>
        <w:t xml:space="preserve">e Precios </w:t>
      </w:r>
      <w:r>
        <w:rPr>
          <w:b/>
          <w:bCs/>
          <w:smallCaps/>
          <w:color w:val="000000" w:themeColor="text1"/>
          <w:spacing w:val="1"/>
          <w:sz w:val="22"/>
        </w:rPr>
        <w:t>a</w:t>
      </w:r>
      <w:r w:rsidRPr="00512118">
        <w:rPr>
          <w:b/>
          <w:bCs/>
          <w:smallCaps/>
          <w:color w:val="000000" w:themeColor="text1"/>
          <w:spacing w:val="1"/>
          <w:sz w:val="22"/>
        </w:rPr>
        <w:t>l Consumidor</w:t>
      </w:r>
    </w:p>
    <w:p w14:paraId="0715E504" w14:textId="77777777" w:rsidR="00C53A75" w:rsidRPr="00866182" w:rsidRDefault="00C53A75" w:rsidP="00C53A75">
      <w:pPr>
        <w:keepNext/>
        <w:keepLines/>
        <w:autoSpaceDE w:val="0"/>
        <w:autoSpaceDN w:val="0"/>
        <w:adjustRightInd w:val="0"/>
        <w:jc w:val="center"/>
        <w:rPr>
          <w:b/>
          <w:bCs/>
          <w:smallCaps/>
          <w:color w:val="000000" w:themeColor="text1"/>
          <w:spacing w:val="1"/>
          <w:sz w:val="22"/>
        </w:rPr>
      </w:pPr>
      <w:r>
        <w:rPr>
          <w:b/>
          <w:bCs/>
          <w:smallCaps/>
          <w:color w:val="000000" w:themeColor="text1"/>
          <w:spacing w:val="1"/>
          <w:sz w:val="22"/>
        </w:rPr>
        <w:t>Ciudades</w:t>
      </w:r>
      <w:r w:rsidRPr="00866182">
        <w:rPr>
          <w:b/>
          <w:bCs/>
          <w:smallCaps/>
          <w:color w:val="000000" w:themeColor="text1"/>
          <w:spacing w:val="1"/>
          <w:sz w:val="22"/>
        </w:rPr>
        <w:t xml:space="preserve"> con mayor y menor variación</w:t>
      </w:r>
      <w:r>
        <w:rPr>
          <w:b/>
          <w:bCs/>
          <w:smallCaps/>
          <w:color w:val="000000" w:themeColor="text1"/>
          <w:spacing w:val="1"/>
          <w:sz w:val="22"/>
        </w:rPr>
        <w:t xml:space="preserve"> *</w:t>
      </w:r>
    </w:p>
    <w:p w14:paraId="201C88EF" w14:textId="2201028B" w:rsidR="00317334" w:rsidRPr="00916CCB" w:rsidRDefault="00317334" w:rsidP="00C53A75">
      <w:pPr>
        <w:widowControl w:val="0"/>
        <w:tabs>
          <w:tab w:val="left" w:pos="1220"/>
        </w:tabs>
        <w:autoSpaceDE w:val="0"/>
        <w:autoSpaceDN w:val="0"/>
        <w:adjustRightInd w:val="0"/>
        <w:jc w:val="center"/>
        <w:rPr>
          <w:sz w:val="22"/>
          <w:szCs w:val="22"/>
        </w:rPr>
      </w:pPr>
      <w:r w:rsidRPr="00C53A75">
        <w:rPr>
          <w:bCs/>
          <w:color w:val="000000" w:themeColor="text1"/>
          <w:spacing w:val="1"/>
          <w:sz w:val="18"/>
          <w:szCs w:val="22"/>
        </w:rPr>
        <w:t>Mayo de 2020</w:t>
      </w:r>
      <w:r w:rsidR="00100A8D" w:rsidRPr="00100A8D">
        <w:rPr>
          <w:noProof/>
        </w:rPr>
        <w:drawing>
          <wp:inline distT="0" distB="0" distL="0" distR="0" wp14:anchorId="14F5FA9D" wp14:editId="2D9A7461">
            <wp:extent cx="5972810" cy="1816157"/>
            <wp:effectExtent l="0" t="0" r="889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72810" cy="1816157"/>
                    </a:xfrm>
                    <a:prstGeom prst="rect">
                      <a:avLst/>
                    </a:prstGeom>
                    <a:noFill/>
                    <a:ln>
                      <a:noFill/>
                    </a:ln>
                  </pic:spPr>
                </pic:pic>
              </a:graphicData>
            </a:graphic>
          </wp:inline>
        </w:drawing>
      </w:r>
    </w:p>
    <w:p w14:paraId="771FA826" w14:textId="77777777" w:rsidR="00C53A75" w:rsidRPr="00D93DC5" w:rsidRDefault="00C53A75" w:rsidP="00C53A75">
      <w:pPr>
        <w:autoSpaceDE w:val="0"/>
        <w:autoSpaceDN w:val="0"/>
        <w:adjustRightInd w:val="0"/>
        <w:ind w:left="283" w:right="113" w:hanging="170"/>
        <w:rPr>
          <w:color w:val="006600"/>
          <w:sz w:val="16"/>
          <w:szCs w:val="14"/>
        </w:rPr>
      </w:pPr>
      <w:r w:rsidRPr="00E45F62">
        <w:rPr>
          <w:color w:val="006600"/>
          <w:sz w:val="18"/>
          <w:szCs w:val="16"/>
        </w:rPr>
        <w:t>*</w:t>
      </w:r>
      <w:r w:rsidRPr="00E45F62">
        <w:rPr>
          <w:color w:val="006600"/>
          <w:sz w:val="18"/>
          <w:szCs w:val="16"/>
        </w:rPr>
        <w:tab/>
      </w:r>
      <w:r w:rsidRPr="00D93DC5">
        <w:rPr>
          <w:color w:val="006600"/>
          <w:sz w:val="16"/>
          <w:szCs w:val="14"/>
        </w:rPr>
        <w:t>Las desagregaciones del INPC solo tienen valor informativo.</w:t>
      </w:r>
    </w:p>
    <w:p w14:paraId="510F030E" w14:textId="35AA13F8" w:rsidR="00317334" w:rsidRDefault="00C53A75" w:rsidP="00100A8D">
      <w:pPr>
        <w:keepNext/>
        <w:keepLines/>
        <w:autoSpaceDE w:val="0"/>
        <w:autoSpaceDN w:val="0"/>
        <w:adjustRightInd w:val="0"/>
        <w:spacing w:before="240"/>
      </w:pPr>
      <w:r>
        <w:rPr>
          <w:color w:val="000000" w:themeColor="text1"/>
        </w:rPr>
        <w:lastRenderedPageBreak/>
        <w:t>A continuación,</w:t>
      </w:r>
      <w:r w:rsidR="00317334">
        <w:rPr>
          <w:color w:val="000000" w:themeColor="text1"/>
        </w:rPr>
        <w:t xml:space="preserve"> </w:t>
      </w:r>
      <w:r>
        <w:rPr>
          <w:color w:val="000000" w:themeColor="text1"/>
        </w:rPr>
        <w:t xml:space="preserve">se </w:t>
      </w:r>
      <w:r w:rsidR="00317334">
        <w:rPr>
          <w:color w:val="000000" w:themeColor="text1"/>
        </w:rPr>
        <w:t>presenta</w:t>
      </w:r>
      <w:r w:rsidR="00F525A6">
        <w:rPr>
          <w:color w:val="000000" w:themeColor="text1"/>
        </w:rPr>
        <w:t>n</w:t>
      </w:r>
      <w:r w:rsidR="00317334" w:rsidRPr="00C53A75">
        <w:rPr>
          <w:color w:val="000000" w:themeColor="text1"/>
        </w:rPr>
        <w:t xml:space="preserve"> las entidades </w:t>
      </w:r>
      <w:r>
        <w:rPr>
          <w:color w:val="000000" w:themeColor="text1"/>
        </w:rPr>
        <w:t xml:space="preserve">con </w:t>
      </w:r>
      <w:r w:rsidR="00317334" w:rsidRPr="00C53A75">
        <w:rPr>
          <w:color w:val="000000" w:themeColor="text1"/>
        </w:rPr>
        <w:t>la mayor y</w:t>
      </w:r>
      <w:r w:rsidR="00317334">
        <w:t xml:space="preserve"> menor </w:t>
      </w:r>
      <w:r w:rsidR="00317334" w:rsidRPr="0004061B">
        <w:t>variaci</w:t>
      </w:r>
      <w:r w:rsidR="00594BC7">
        <w:t>ón</w:t>
      </w:r>
      <w:r w:rsidR="00317334">
        <w:t xml:space="preserve"> del INPC.</w:t>
      </w:r>
      <w:r w:rsidR="00317334" w:rsidRPr="0004061B">
        <w:t xml:space="preserve"> </w:t>
      </w:r>
    </w:p>
    <w:p w14:paraId="6C9C5B29" w14:textId="77777777" w:rsidR="00594BC7" w:rsidRPr="00866182" w:rsidRDefault="00594BC7" w:rsidP="00100A8D">
      <w:pPr>
        <w:keepNext/>
        <w:keepLines/>
        <w:tabs>
          <w:tab w:val="left" w:pos="1220"/>
        </w:tabs>
        <w:autoSpaceDE w:val="0"/>
        <w:autoSpaceDN w:val="0"/>
        <w:adjustRightInd w:val="0"/>
        <w:spacing w:before="240"/>
        <w:jc w:val="center"/>
        <w:rPr>
          <w:b/>
          <w:bCs/>
          <w:smallCaps/>
          <w:color w:val="000000" w:themeColor="text1"/>
          <w:spacing w:val="1"/>
          <w:sz w:val="22"/>
        </w:rPr>
      </w:pPr>
      <w:r w:rsidRPr="00866182">
        <w:rPr>
          <w:b/>
          <w:bCs/>
          <w:smallCaps/>
          <w:color w:val="000000" w:themeColor="text1"/>
          <w:spacing w:val="1"/>
          <w:sz w:val="22"/>
        </w:rPr>
        <w:t>Índice Nacional de Precios al Consumidor</w:t>
      </w:r>
    </w:p>
    <w:p w14:paraId="45E44409" w14:textId="77777777" w:rsidR="00594BC7" w:rsidRDefault="00594BC7" w:rsidP="00100A8D">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Pr="00866182">
        <w:rPr>
          <w:b/>
          <w:bCs/>
          <w:smallCaps/>
          <w:color w:val="000000" w:themeColor="text1"/>
          <w:spacing w:val="1"/>
          <w:sz w:val="22"/>
        </w:rPr>
        <w:t>ntidades federativas</w:t>
      </w:r>
      <w:r>
        <w:rPr>
          <w:b/>
          <w:bCs/>
          <w:smallCaps/>
          <w:color w:val="000000" w:themeColor="text1"/>
          <w:spacing w:val="1"/>
          <w:sz w:val="22"/>
        </w:rPr>
        <w:t xml:space="preserve"> </w:t>
      </w:r>
      <w:r w:rsidRPr="00866182">
        <w:rPr>
          <w:b/>
          <w:bCs/>
          <w:smallCaps/>
          <w:color w:val="000000" w:themeColor="text1"/>
          <w:spacing w:val="1"/>
          <w:sz w:val="22"/>
        </w:rPr>
        <w:t xml:space="preserve">con mayor y menor variación </w:t>
      </w:r>
      <w:r>
        <w:rPr>
          <w:b/>
          <w:bCs/>
          <w:smallCaps/>
          <w:color w:val="000000" w:themeColor="text1"/>
          <w:spacing w:val="1"/>
          <w:sz w:val="22"/>
        </w:rPr>
        <w:t>*</w:t>
      </w:r>
    </w:p>
    <w:p w14:paraId="2089CC3F" w14:textId="625F4CD2" w:rsidR="00317334" w:rsidRDefault="00317334" w:rsidP="00100A8D">
      <w:pPr>
        <w:keepNext/>
        <w:keepLines/>
        <w:tabs>
          <w:tab w:val="left" w:pos="1220"/>
        </w:tabs>
        <w:autoSpaceDE w:val="0"/>
        <w:autoSpaceDN w:val="0"/>
        <w:adjustRightInd w:val="0"/>
        <w:jc w:val="center"/>
        <w:rPr>
          <w:noProof/>
          <w:lang w:val="es-MX" w:eastAsia="es-MX"/>
        </w:rPr>
      </w:pPr>
      <w:r w:rsidRPr="00594BC7">
        <w:rPr>
          <w:bCs/>
          <w:color w:val="000000" w:themeColor="text1"/>
          <w:spacing w:val="1"/>
          <w:sz w:val="18"/>
          <w:szCs w:val="22"/>
        </w:rPr>
        <w:t>Mayo de 2020</w:t>
      </w:r>
    </w:p>
    <w:p w14:paraId="7D1304E7" w14:textId="210C5B59" w:rsidR="00100A8D" w:rsidRDefault="00100A8D" w:rsidP="00100A8D">
      <w:pPr>
        <w:keepNext/>
        <w:keepLines/>
        <w:tabs>
          <w:tab w:val="left" w:pos="1220"/>
        </w:tabs>
        <w:autoSpaceDE w:val="0"/>
        <w:autoSpaceDN w:val="0"/>
        <w:adjustRightInd w:val="0"/>
        <w:jc w:val="center"/>
        <w:rPr>
          <w:bCs/>
          <w:color w:val="000000" w:themeColor="text1"/>
          <w:spacing w:val="1"/>
        </w:rPr>
      </w:pPr>
      <w:r w:rsidRPr="00100A8D">
        <w:rPr>
          <w:noProof/>
        </w:rPr>
        <w:drawing>
          <wp:inline distT="0" distB="0" distL="0" distR="0" wp14:anchorId="0BAE2D39" wp14:editId="6B75101F">
            <wp:extent cx="5972810" cy="1106608"/>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72810" cy="1106608"/>
                    </a:xfrm>
                    <a:prstGeom prst="rect">
                      <a:avLst/>
                    </a:prstGeom>
                    <a:noFill/>
                    <a:ln>
                      <a:noFill/>
                    </a:ln>
                  </pic:spPr>
                </pic:pic>
              </a:graphicData>
            </a:graphic>
          </wp:inline>
        </w:drawing>
      </w:r>
    </w:p>
    <w:p w14:paraId="0423B364" w14:textId="77777777" w:rsidR="00594BC7" w:rsidRPr="00B322C6" w:rsidRDefault="00594BC7" w:rsidP="00100A8D">
      <w:pPr>
        <w:keepNext/>
        <w:keepLines/>
        <w:autoSpaceDE w:val="0"/>
        <w:autoSpaceDN w:val="0"/>
        <w:adjustRightInd w:val="0"/>
        <w:ind w:left="283" w:right="113" w:hanging="170"/>
        <w:rPr>
          <w:color w:val="006600"/>
          <w:sz w:val="16"/>
          <w:szCs w:val="16"/>
        </w:rPr>
      </w:pPr>
      <w:r w:rsidRPr="00E45F62">
        <w:rPr>
          <w:color w:val="006600"/>
          <w:sz w:val="18"/>
          <w:szCs w:val="16"/>
        </w:rPr>
        <w:t>*</w:t>
      </w:r>
      <w:r w:rsidRPr="00E45F62">
        <w:rPr>
          <w:color w:val="006600"/>
          <w:sz w:val="18"/>
          <w:szCs w:val="16"/>
        </w:rPr>
        <w:tab/>
      </w:r>
      <w:r w:rsidRPr="00B322C6">
        <w:rPr>
          <w:color w:val="006600"/>
          <w:sz w:val="16"/>
          <w:szCs w:val="16"/>
        </w:rPr>
        <w:t>Las desagregaciones del INPC solo tienen valor informativo.</w:t>
      </w:r>
    </w:p>
    <w:p w14:paraId="4029BB37" w14:textId="1FA3C849" w:rsidR="00317334" w:rsidRPr="0004061B" w:rsidRDefault="00317334" w:rsidP="00317334">
      <w:pPr>
        <w:widowControl w:val="0"/>
        <w:autoSpaceDE w:val="0"/>
        <w:autoSpaceDN w:val="0"/>
        <w:adjustRightInd w:val="0"/>
        <w:spacing w:before="240"/>
      </w:pPr>
      <w:r>
        <w:t>El comportamiento durante</w:t>
      </w:r>
      <w:r w:rsidRPr="0004061B">
        <w:t xml:space="preserve"> </w:t>
      </w:r>
      <w:r w:rsidR="00594BC7">
        <w:t xml:space="preserve">el quinto mes </w:t>
      </w:r>
      <w:r w:rsidRPr="0004061B">
        <w:t>de 20</w:t>
      </w:r>
      <w:r>
        <w:t>20</w:t>
      </w:r>
      <w:r w:rsidRPr="0004061B">
        <w:t xml:space="preserve"> de los subíndices que integran al INPC según la </w:t>
      </w:r>
      <w:r>
        <w:t>C</w:t>
      </w:r>
      <w:r w:rsidRPr="0004061B">
        <w:t xml:space="preserve">lasificación del </w:t>
      </w:r>
      <w:r>
        <w:t>C</w:t>
      </w:r>
      <w:r w:rsidRPr="0004061B">
        <w:t xml:space="preserve">onsumo </w:t>
      </w:r>
      <w:r>
        <w:t>I</w:t>
      </w:r>
      <w:r w:rsidRPr="0004061B">
        <w:t xml:space="preserve">ndividual por </w:t>
      </w:r>
      <w:r>
        <w:t>F</w:t>
      </w:r>
      <w:r w:rsidRPr="0004061B">
        <w:t>inalidades (CCIF), utilizada internacionalmente para los índices de precios al consumidor</w:t>
      </w:r>
      <w:r w:rsidRPr="0004061B">
        <w:rPr>
          <w:vertAlign w:val="superscript"/>
        </w:rPr>
        <w:footnoteReference w:id="3"/>
      </w:r>
      <w:r w:rsidRPr="0004061B">
        <w:t xml:space="preserve">, se </w:t>
      </w:r>
      <w:r>
        <w:t xml:space="preserve">muestra </w:t>
      </w:r>
      <w:r w:rsidRPr="0004061B">
        <w:t>a continuación:</w:t>
      </w:r>
    </w:p>
    <w:p w14:paraId="3E15827A" w14:textId="77777777" w:rsidR="00594BC7" w:rsidRPr="00BD7D45" w:rsidRDefault="00594BC7" w:rsidP="00594BC7">
      <w:pPr>
        <w:keepNext/>
        <w:keepLines/>
        <w:tabs>
          <w:tab w:val="left" w:pos="1220"/>
        </w:tabs>
        <w:autoSpaceDE w:val="0"/>
        <w:autoSpaceDN w:val="0"/>
        <w:adjustRightInd w:val="0"/>
        <w:spacing w:before="360"/>
        <w:jc w:val="center"/>
        <w:rPr>
          <w:b/>
          <w:bCs/>
          <w:smallCaps/>
          <w:color w:val="000000" w:themeColor="text1"/>
          <w:spacing w:val="1"/>
          <w:sz w:val="22"/>
          <w:szCs w:val="22"/>
        </w:rPr>
      </w:pPr>
      <w:r w:rsidRPr="00BD7D45">
        <w:rPr>
          <w:b/>
          <w:bCs/>
          <w:smallCaps/>
          <w:color w:val="000000" w:themeColor="text1"/>
          <w:spacing w:val="1"/>
          <w:sz w:val="22"/>
          <w:szCs w:val="22"/>
        </w:rPr>
        <w:t xml:space="preserve">Índice Nacional </w:t>
      </w:r>
      <w:r>
        <w:rPr>
          <w:b/>
          <w:bCs/>
          <w:smallCaps/>
          <w:color w:val="000000" w:themeColor="text1"/>
          <w:spacing w:val="1"/>
          <w:sz w:val="22"/>
          <w:szCs w:val="22"/>
        </w:rPr>
        <w:t>d</w:t>
      </w:r>
      <w:r w:rsidRPr="00BD7D45">
        <w:rPr>
          <w:b/>
          <w:bCs/>
          <w:smallCaps/>
          <w:color w:val="000000" w:themeColor="text1"/>
          <w:spacing w:val="1"/>
          <w:sz w:val="22"/>
          <w:szCs w:val="22"/>
        </w:rPr>
        <w:t xml:space="preserve">e Precios </w:t>
      </w:r>
      <w:r>
        <w:rPr>
          <w:b/>
          <w:bCs/>
          <w:smallCaps/>
          <w:color w:val="000000" w:themeColor="text1"/>
          <w:spacing w:val="1"/>
          <w:sz w:val="22"/>
          <w:szCs w:val="22"/>
        </w:rPr>
        <w:t>a</w:t>
      </w:r>
      <w:r w:rsidRPr="00BD7D45">
        <w:rPr>
          <w:b/>
          <w:bCs/>
          <w:smallCaps/>
          <w:color w:val="000000" w:themeColor="text1"/>
          <w:spacing w:val="1"/>
          <w:sz w:val="22"/>
          <w:szCs w:val="22"/>
        </w:rPr>
        <w:t>l Consumidor</w:t>
      </w:r>
    </w:p>
    <w:p w14:paraId="5A3B605B" w14:textId="77777777" w:rsidR="00594BC7" w:rsidRPr="00BD7D45" w:rsidRDefault="00594BC7" w:rsidP="00594BC7">
      <w:pPr>
        <w:autoSpaceDE w:val="0"/>
        <w:autoSpaceDN w:val="0"/>
        <w:adjustRightInd w:val="0"/>
        <w:jc w:val="center"/>
        <w:rPr>
          <w:smallCaps/>
          <w:sz w:val="22"/>
          <w:szCs w:val="22"/>
        </w:rPr>
      </w:pPr>
      <w:r>
        <w:rPr>
          <w:b/>
          <w:bCs/>
          <w:smallCaps/>
          <w:color w:val="000000"/>
          <w:spacing w:val="1"/>
          <w:sz w:val="22"/>
          <w:szCs w:val="22"/>
        </w:rPr>
        <w:t>C</w:t>
      </w:r>
      <w:r w:rsidRPr="00BD7D45">
        <w:rPr>
          <w:b/>
          <w:bCs/>
          <w:smallCaps/>
          <w:color w:val="000000"/>
          <w:spacing w:val="1"/>
          <w:sz w:val="22"/>
          <w:szCs w:val="22"/>
        </w:rPr>
        <w:t>lasificación del consumo individual por finalidades</w:t>
      </w:r>
      <w:r w:rsidRPr="00BD7D45">
        <w:rPr>
          <w:smallCaps/>
          <w:sz w:val="22"/>
          <w:szCs w:val="22"/>
        </w:rPr>
        <w:t xml:space="preserve"> </w:t>
      </w:r>
    </w:p>
    <w:p w14:paraId="32EC5B53" w14:textId="77777777" w:rsidR="00594BC7" w:rsidRPr="00BD7D45" w:rsidRDefault="00594BC7" w:rsidP="00594BC7">
      <w:pPr>
        <w:keepNext/>
        <w:keepLines/>
        <w:autoSpaceDE w:val="0"/>
        <w:autoSpaceDN w:val="0"/>
        <w:adjustRightInd w:val="0"/>
        <w:jc w:val="center"/>
        <w:rPr>
          <w:sz w:val="18"/>
          <w:szCs w:val="22"/>
        </w:rPr>
      </w:pPr>
      <w:r w:rsidRPr="00BD7D45">
        <w:rPr>
          <w:sz w:val="18"/>
          <w:szCs w:val="22"/>
        </w:rPr>
        <w:t>Variación porcentual</w:t>
      </w:r>
    </w:p>
    <w:p w14:paraId="5821D70C" w14:textId="73CA814B" w:rsidR="00317334" w:rsidRDefault="00100A8D" w:rsidP="00100A8D">
      <w:pPr>
        <w:pStyle w:val="Prrafodelista"/>
        <w:autoSpaceDE w:val="0"/>
        <w:autoSpaceDN w:val="0"/>
        <w:adjustRightInd w:val="0"/>
        <w:ind w:left="0"/>
        <w:jc w:val="center"/>
        <w:rPr>
          <w:sz w:val="22"/>
          <w:szCs w:val="22"/>
        </w:rPr>
      </w:pPr>
      <w:r w:rsidRPr="00100A8D">
        <w:rPr>
          <w:noProof/>
        </w:rPr>
        <w:drawing>
          <wp:inline distT="0" distB="0" distL="0" distR="0" wp14:anchorId="303010F9" wp14:editId="6C3965E4">
            <wp:extent cx="5972810" cy="2529129"/>
            <wp:effectExtent l="0" t="0" r="0" b="508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72810" cy="2529129"/>
                    </a:xfrm>
                    <a:prstGeom prst="rect">
                      <a:avLst/>
                    </a:prstGeom>
                    <a:noFill/>
                    <a:ln>
                      <a:noFill/>
                    </a:ln>
                  </pic:spPr>
                </pic:pic>
              </a:graphicData>
            </a:graphic>
          </wp:inline>
        </w:drawing>
      </w:r>
    </w:p>
    <w:p w14:paraId="232D3777" w14:textId="77777777" w:rsidR="00594BC7" w:rsidRPr="00BD7D45" w:rsidRDefault="00594BC7" w:rsidP="00594BC7">
      <w:pPr>
        <w:autoSpaceDE w:val="0"/>
        <w:autoSpaceDN w:val="0"/>
        <w:adjustRightInd w:val="0"/>
        <w:ind w:left="283" w:right="113" w:hanging="170"/>
        <w:rPr>
          <w:color w:val="006600"/>
          <w:sz w:val="16"/>
          <w:szCs w:val="16"/>
        </w:rPr>
      </w:pPr>
      <w:r w:rsidRPr="00E4402D">
        <w:rPr>
          <w:color w:val="006600"/>
          <w:sz w:val="18"/>
          <w:szCs w:val="16"/>
          <w:vertAlign w:val="superscript"/>
        </w:rPr>
        <w:t>1/</w:t>
      </w:r>
      <w:r w:rsidRPr="00BD7D45">
        <w:rPr>
          <w:color w:val="006600"/>
          <w:sz w:val="18"/>
          <w:szCs w:val="16"/>
          <w:vertAlign w:val="superscript"/>
        </w:rPr>
        <w:tab/>
      </w:r>
      <w:r w:rsidRPr="00BD7D45">
        <w:rPr>
          <w:color w:val="006600"/>
          <w:sz w:val="16"/>
          <w:szCs w:val="16"/>
        </w:rPr>
        <w:t>Incluye productos y servicios de cuidado personal, relojes, maletas, seguro de automóvil, servicios funerarios y profesionales, entre otros.</w:t>
      </w:r>
    </w:p>
    <w:p w14:paraId="50C3ABFC" w14:textId="24E71A1E" w:rsidR="00317334" w:rsidRPr="00D25428" w:rsidRDefault="00317334" w:rsidP="00594BC7">
      <w:pPr>
        <w:keepNext/>
        <w:autoSpaceDE w:val="0"/>
        <w:autoSpaceDN w:val="0"/>
        <w:adjustRightInd w:val="0"/>
        <w:spacing w:before="240"/>
        <w:rPr>
          <w:color w:val="000000" w:themeColor="text1"/>
        </w:rPr>
      </w:pPr>
      <w:r w:rsidRPr="00D25428">
        <w:rPr>
          <w:color w:val="000000" w:themeColor="text1"/>
        </w:rPr>
        <w:lastRenderedPageBreak/>
        <w:t xml:space="preserve">En la segunda quincena de </w:t>
      </w:r>
      <w:r>
        <w:rPr>
          <w:color w:val="000000" w:themeColor="text1"/>
        </w:rPr>
        <w:t>mayo</w:t>
      </w:r>
      <w:r w:rsidRPr="00D25428">
        <w:rPr>
          <w:color w:val="000000" w:themeColor="text1"/>
        </w:rPr>
        <w:t xml:space="preserve"> de </w:t>
      </w:r>
      <w:r w:rsidR="00594BC7">
        <w:rPr>
          <w:color w:val="000000" w:themeColor="text1"/>
        </w:rPr>
        <w:t>este año</w:t>
      </w:r>
      <w:r w:rsidRPr="00D25428">
        <w:rPr>
          <w:color w:val="000000" w:themeColor="text1"/>
        </w:rPr>
        <w:t xml:space="preserve"> el INPC </w:t>
      </w:r>
      <w:r>
        <w:rPr>
          <w:color w:val="000000" w:themeColor="text1"/>
        </w:rPr>
        <w:t>registró</w:t>
      </w:r>
      <w:r w:rsidRPr="00D25428">
        <w:rPr>
          <w:color w:val="000000" w:themeColor="text1"/>
        </w:rPr>
        <w:t xml:space="preserve"> una </w:t>
      </w:r>
      <w:r w:rsidR="00594BC7">
        <w:rPr>
          <w:color w:val="000000" w:themeColor="text1"/>
        </w:rPr>
        <w:t>disminución</w:t>
      </w:r>
      <w:r w:rsidRPr="00D25428">
        <w:rPr>
          <w:color w:val="000000" w:themeColor="text1"/>
        </w:rPr>
        <w:t xml:space="preserve"> de </w:t>
      </w:r>
      <w:r>
        <w:rPr>
          <w:color w:val="000000" w:themeColor="text1"/>
        </w:rPr>
        <w:t>(-)0.01</w:t>
      </w:r>
      <w:r w:rsidRPr="00D25428">
        <w:rPr>
          <w:color w:val="000000" w:themeColor="text1"/>
        </w:rPr>
        <w:t xml:space="preserve"> por ciento, resultado de los índices </w:t>
      </w:r>
      <w:r w:rsidR="00594BC7">
        <w:rPr>
          <w:color w:val="000000" w:themeColor="text1"/>
        </w:rPr>
        <w:t xml:space="preserve">de </w:t>
      </w:r>
      <w:r w:rsidRPr="004507DB">
        <w:rPr>
          <w:color w:val="000000" w:themeColor="text1"/>
        </w:rPr>
        <w:t>1</w:t>
      </w:r>
      <w:r>
        <w:rPr>
          <w:color w:val="000000" w:themeColor="text1"/>
        </w:rPr>
        <w:t>06.167</w:t>
      </w:r>
      <w:r w:rsidRPr="004507DB">
        <w:rPr>
          <w:color w:val="000000" w:themeColor="text1"/>
        </w:rPr>
        <w:t xml:space="preserve"> y </w:t>
      </w:r>
      <w:r w:rsidR="00594BC7">
        <w:rPr>
          <w:color w:val="000000" w:themeColor="text1"/>
        </w:rPr>
        <w:t xml:space="preserve">de </w:t>
      </w:r>
      <w:r w:rsidRPr="004507DB">
        <w:rPr>
          <w:color w:val="000000" w:themeColor="text1"/>
        </w:rPr>
        <w:t>1</w:t>
      </w:r>
      <w:r>
        <w:rPr>
          <w:color w:val="000000" w:themeColor="text1"/>
        </w:rPr>
        <w:t>06.158</w:t>
      </w:r>
      <w:r w:rsidRPr="00D25428">
        <w:rPr>
          <w:color w:val="000000" w:themeColor="text1"/>
        </w:rPr>
        <w:t xml:space="preserve"> en la primera y segunda quincena del mes</w:t>
      </w:r>
      <w:r w:rsidR="00594BC7">
        <w:rPr>
          <w:color w:val="000000" w:themeColor="text1"/>
        </w:rPr>
        <w:t>,</w:t>
      </w:r>
      <w:r w:rsidRPr="00D25428">
        <w:rPr>
          <w:color w:val="000000" w:themeColor="text1"/>
        </w:rPr>
        <w:t xml:space="preserve"> respectivamente.</w:t>
      </w:r>
    </w:p>
    <w:p w14:paraId="6479CFFA" w14:textId="2DDD129C" w:rsidR="00317334" w:rsidRPr="00AF5DD6" w:rsidRDefault="00317334" w:rsidP="00594BC7">
      <w:pPr>
        <w:keepNext/>
        <w:autoSpaceDE w:val="0"/>
        <w:autoSpaceDN w:val="0"/>
        <w:adjustRightInd w:val="0"/>
        <w:spacing w:before="240"/>
        <w:rPr>
          <w:color w:val="000000" w:themeColor="text1"/>
        </w:rPr>
      </w:pPr>
      <w:r w:rsidRPr="00AF5DD6">
        <w:rPr>
          <w:color w:val="000000" w:themeColor="text1"/>
        </w:rPr>
        <w:t>El índice de precios de la canasta básica</w:t>
      </w:r>
      <w:r w:rsidRPr="00594BC7">
        <w:rPr>
          <w:color w:val="000000" w:themeColor="text1"/>
          <w:vertAlign w:val="superscript"/>
        </w:rPr>
        <w:footnoteReference w:id="4"/>
      </w:r>
      <w:r w:rsidRPr="00AF5DD6">
        <w:rPr>
          <w:color w:val="000000" w:themeColor="text1"/>
        </w:rPr>
        <w:t xml:space="preserve"> re</w:t>
      </w:r>
      <w:r w:rsidR="00594BC7">
        <w:rPr>
          <w:color w:val="000000" w:themeColor="text1"/>
        </w:rPr>
        <w:t>portó</w:t>
      </w:r>
      <w:r w:rsidRPr="00AF5DD6">
        <w:rPr>
          <w:color w:val="000000" w:themeColor="text1"/>
        </w:rPr>
        <w:t xml:space="preserve"> un</w:t>
      </w:r>
      <w:r w:rsidR="00594BC7">
        <w:rPr>
          <w:color w:val="000000" w:themeColor="text1"/>
        </w:rPr>
        <w:t xml:space="preserve"> aumento</w:t>
      </w:r>
      <w:r>
        <w:rPr>
          <w:color w:val="000000" w:themeColor="text1"/>
        </w:rPr>
        <w:t xml:space="preserve"> mensual de</w:t>
      </w:r>
      <w:r w:rsidRPr="00AF5DD6">
        <w:rPr>
          <w:color w:val="000000" w:themeColor="text1"/>
        </w:rPr>
        <w:t xml:space="preserve"> </w:t>
      </w:r>
      <w:r>
        <w:rPr>
          <w:color w:val="000000" w:themeColor="text1"/>
        </w:rPr>
        <w:t>0.52</w:t>
      </w:r>
      <w:r w:rsidRPr="00AF5DD6">
        <w:rPr>
          <w:color w:val="000000" w:themeColor="text1"/>
        </w:rPr>
        <w:t xml:space="preserve"> por ciento</w:t>
      </w:r>
      <w:r w:rsidR="00F525A6">
        <w:rPr>
          <w:color w:val="000000" w:themeColor="text1"/>
        </w:rPr>
        <w:t xml:space="preserve"> y</w:t>
      </w:r>
      <w:r w:rsidRPr="00AF5DD6">
        <w:rPr>
          <w:color w:val="000000" w:themeColor="text1"/>
        </w:rPr>
        <w:t xml:space="preserve"> anual de </w:t>
      </w:r>
      <w:r>
        <w:rPr>
          <w:color w:val="000000" w:themeColor="text1"/>
        </w:rPr>
        <w:t>1.21</w:t>
      </w:r>
      <w:r w:rsidRPr="00AF5DD6">
        <w:rPr>
          <w:color w:val="000000" w:themeColor="text1"/>
        </w:rPr>
        <w:t xml:space="preserve"> por ciento. En el mismo mes de 201</w:t>
      </w:r>
      <w:r>
        <w:rPr>
          <w:color w:val="000000" w:themeColor="text1"/>
        </w:rPr>
        <w:t>9</w:t>
      </w:r>
      <w:r w:rsidRPr="00AF5DD6">
        <w:rPr>
          <w:color w:val="000000" w:themeColor="text1"/>
        </w:rPr>
        <w:t xml:space="preserve"> las cifras correspondientes fueron de </w:t>
      </w:r>
      <w:r>
        <w:rPr>
          <w:color w:val="000000" w:themeColor="text1"/>
        </w:rPr>
        <w:t>(-)1.01</w:t>
      </w:r>
      <w:r w:rsidRPr="00AF5DD6">
        <w:rPr>
          <w:color w:val="000000" w:themeColor="text1"/>
        </w:rPr>
        <w:t xml:space="preserve"> </w:t>
      </w:r>
      <w:r w:rsidR="00594BC7">
        <w:rPr>
          <w:color w:val="000000" w:themeColor="text1"/>
        </w:rPr>
        <w:t xml:space="preserve">por ciento mensual </w:t>
      </w:r>
      <w:r w:rsidRPr="00AF5DD6">
        <w:rPr>
          <w:color w:val="000000" w:themeColor="text1"/>
        </w:rPr>
        <w:t xml:space="preserve">y </w:t>
      </w:r>
      <w:r w:rsidR="00594BC7">
        <w:rPr>
          <w:color w:val="000000" w:themeColor="text1"/>
        </w:rPr>
        <w:t xml:space="preserve">de </w:t>
      </w:r>
      <w:r>
        <w:rPr>
          <w:color w:val="000000" w:themeColor="text1"/>
        </w:rPr>
        <w:t>4.23</w:t>
      </w:r>
      <w:r w:rsidRPr="00AF5DD6">
        <w:rPr>
          <w:color w:val="000000" w:themeColor="text1"/>
        </w:rPr>
        <w:t xml:space="preserve"> por ciento</w:t>
      </w:r>
      <w:r w:rsidR="00594BC7">
        <w:rPr>
          <w:color w:val="000000" w:themeColor="text1"/>
        </w:rPr>
        <w:t xml:space="preserve"> anual</w:t>
      </w:r>
      <w:r w:rsidRPr="00AF5DD6">
        <w:rPr>
          <w:color w:val="000000" w:themeColor="text1"/>
        </w:rPr>
        <w:t>.</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0E88757C" w:rsidR="00CC5A86" w:rsidRPr="00695B57" w:rsidRDefault="00666ECC" w:rsidP="00CC5A86">
      <w:pPr>
        <w:pStyle w:val="Prrafodelista"/>
        <w:autoSpaceDE w:val="0"/>
        <w:autoSpaceDN w:val="0"/>
        <w:adjustRightInd w:val="0"/>
        <w:spacing w:before="240"/>
        <w:ind w:left="0"/>
        <w:rPr>
          <w:lang w:val="es-MX"/>
        </w:rPr>
      </w:pPr>
      <w:r w:rsidRPr="00695B57">
        <w:rPr>
          <w:lang w:val="es-MX"/>
        </w:rPr>
        <w:t>Como se informó oportunamente, dadas las medidas extraordinarias adoptadas por el INEGI ante el estado de emergencia sanitaria originada por el COVID-19, a partir del mes de abril y mientras dure esta emergencia sanitaria, la medición del Índice Nacional de Precios al Consumidor (INPC)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r w:rsidR="00533979" w:rsidRPr="00533979">
        <w:rPr>
          <w:b/>
          <w:bCs/>
          <w:noProof/>
          <w:sz w:val="22"/>
          <w:szCs w:val="22"/>
        </w:rPr>
        <w:t xml:space="preserve"> </w:t>
      </w:r>
    </w:p>
    <w:p w14:paraId="543AD40D" w14:textId="4E6C7FB9" w:rsidR="00666ECC" w:rsidRPr="00695B57" w:rsidRDefault="00C2370B" w:rsidP="00CC5A86">
      <w:pPr>
        <w:pStyle w:val="Prrafodelista"/>
        <w:autoSpaceDE w:val="0"/>
        <w:autoSpaceDN w:val="0"/>
        <w:adjustRightInd w:val="0"/>
        <w:spacing w:before="240"/>
        <w:ind w:left="0"/>
        <w:rPr>
          <w:lang w:val="es-MX"/>
        </w:rPr>
      </w:pPr>
      <w:r w:rsidRPr="00C2370B">
        <w:rPr>
          <w:lang w:val="es-MX"/>
        </w:rPr>
        <w:t>Desde el mes de abril,</w:t>
      </w:r>
      <w:r w:rsidR="00666ECC" w:rsidRPr="00C2370B">
        <w:rPr>
          <w:lang w:val="es-MX"/>
        </w:rPr>
        <w:t xml:space="preserve"> la recopilación de precios enfrentó el cierre temporal o la limitación de actividades en los establecimientos donde el INEGI cotiza los productos del INPC de manera regular, utilizando para ello</w:t>
      </w:r>
      <w:r w:rsidR="00D4083E" w:rsidRPr="00C2370B">
        <w:rPr>
          <w:lang w:val="es-MX"/>
        </w:rPr>
        <w:t xml:space="preserve"> los</w:t>
      </w:r>
      <w:r w:rsidR="00666ECC" w:rsidRPr="00C2370B">
        <w:rPr>
          <w:lang w:val="es-MX"/>
        </w:rPr>
        <w:t xml:space="preserve"> medios electrónicos </w:t>
      </w:r>
      <w:r w:rsidR="00D4083E" w:rsidRPr="00C2370B">
        <w:rPr>
          <w:lang w:val="es-MX"/>
        </w:rPr>
        <w:t>mencionados</w:t>
      </w:r>
      <w:r w:rsidR="00666ECC" w:rsidRPr="00C2370B">
        <w:rPr>
          <w:lang w:val="es-MX"/>
        </w:rPr>
        <w:t xml:space="preserve">. Lo anterior da lugar a un incremento en el número de artículos sin acceso a su precio. El cierre de los establecimientos ocurre durante este periodo de contingencia porque: son actividades económicas no esenciales, por otras medidas sanitarias o por voluntad del propio negocio. </w:t>
      </w:r>
      <w:r w:rsidR="00CA7DAA">
        <w:rPr>
          <w:lang w:val="es-MX"/>
        </w:rPr>
        <w:t>Así, para el mes de mayo l</w:t>
      </w:r>
      <w:r w:rsidR="00666ECC" w:rsidRPr="00C2370B">
        <w:rPr>
          <w:lang w:val="es-MX"/>
        </w:rPr>
        <w:t xml:space="preserve">a falta de precios se distribuyó entre todos los genéricos y estadísticamente solo afectó a aquellos que representan el </w:t>
      </w:r>
      <w:r w:rsidRPr="00C2370B">
        <w:rPr>
          <w:lang w:val="es-MX"/>
        </w:rPr>
        <w:t>11</w:t>
      </w:r>
      <w:r w:rsidR="008C174E" w:rsidRPr="00C2370B">
        <w:rPr>
          <w:lang w:val="es-MX"/>
        </w:rPr>
        <w:t>.2</w:t>
      </w:r>
      <w:r w:rsidR="00666ECC" w:rsidRPr="00C2370B">
        <w:rPr>
          <w:lang w:val="es-MX"/>
        </w:rPr>
        <w:t>% del ponderador de</w:t>
      </w:r>
      <w:r w:rsidR="00023A01" w:rsidRPr="00C2370B">
        <w:rPr>
          <w:lang w:val="es-MX"/>
        </w:rPr>
        <w:t>l</w:t>
      </w:r>
      <w:r w:rsidR="00666ECC" w:rsidRPr="00C2370B">
        <w:rPr>
          <w:lang w:val="es-MX"/>
        </w:rPr>
        <w:t xml:space="preserve"> gasto total de la canasta nacional. Estas medidas están apegadas a las recomendaciones que han propuesto los organismos internacionales debido a esta contingencia.</w:t>
      </w:r>
    </w:p>
    <w:p w14:paraId="7ED08BCA" w14:textId="216BFA63"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77777777" w:rsidR="00624F11" w:rsidRPr="00E45F62" w:rsidRDefault="00624F11" w:rsidP="00E45F62">
      <w:pPr>
        <w:pStyle w:val="Prrafodelista"/>
        <w:autoSpaceDE w:val="0"/>
        <w:autoSpaceDN w:val="0"/>
        <w:adjustRightInd w:val="0"/>
        <w:spacing w:before="240"/>
        <w:ind w:left="0"/>
        <w:rPr>
          <w:lang w:val="es-MX"/>
        </w:rPr>
      </w:pPr>
      <w:r w:rsidRPr="00E45F62">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 razón por la cual el INPC es un indicador trascendente y de interés general para la sociedad en su conjunto. La tasa de crecimiento del INPC de un periodo a otro permite medir el fenómeno económico conocido como 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lastRenderedPageBreak/>
        <w:t>Las características metodológicas del INPC son:</w:t>
      </w:r>
    </w:p>
    <w:p w14:paraId="508378EB"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Periodo de referencia</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7591AFEC"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alrededor de 120 mil productos y servicios específicos, agrupados en 299 genéricos</w:t>
      </w:r>
      <w:r w:rsidRPr="00E45F62">
        <w:rPr>
          <w:rStyle w:val="Refdenotaalpie"/>
          <w:sz w:val="24"/>
          <w:szCs w:val="24"/>
          <w:lang w:val="es-MX"/>
        </w:rPr>
        <w:footnoteReference w:id="5"/>
      </w:r>
      <w:r w:rsidRPr="00E45F62">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77777777"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Define la participación del gasto de un bien o servicio en la canasta de bienes y servicios representativa del consumo de los hogares del país. La suma del total de ponderaciones de la canasta es igual a 1. Para poder considerar un Genérico en la canasta de bienes y servicios del INPC su ponderación debe ser igual o mayor a 0.01%. La estructura de las ponderaciones se construyó con información de la Engasto 2012 y 2013 y la ENIGH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7777777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 xml:space="preserve">Los puntos de venta son las unidades económicas o establecimientos donde los investigadores de precios cotizan los precios de los productos específicos de la canasta del INPC. Para el INPC 2018 fueron seleccionados a través de un </w:t>
      </w:r>
      <w:r w:rsidRPr="00E45F62">
        <w:rPr>
          <w:sz w:val="24"/>
          <w:szCs w:val="24"/>
          <w:lang w:val="es-ES_tradnl"/>
        </w:rPr>
        <w:t xml:space="preserve">esquema de muestreo probabilístico, en el caso de 248 genéricos, y un muestreo no probabilístico para los 51 genéricos restantes. </w:t>
      </w:r>
      <w:r w:rsidRPr="00E45F62">
        <w:rPr>
          <w:color w:val="000000"/>
          <w:sz w:val="24"/>
          <w:szCs w:val="24"/>
        </w:rPr>
        <w:t>En este último caso se consideran los genéricos cuyas tarifas son autorizadas o reguladas por el gobierno, solo existe uno o pocos oferentes de los servicios, no se cuenta con un marco de muestreo u otros genéricos cuyo precio es muy semejante, por lo que no es necesario aplicar un muestreo probabilístico.</w:t>
      </w:r>
    </w:p>
    <w:p w14:paraId="3F7C4F95" w14:textId="77777777" w:rsidR="00624F11" w:rsidRPr="00E45F62" w:rsidRDefault="00624F11" w:rsidP="00695B57">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lastRenderedPageBreak/>
        <w:t>Cobertura geográfica de las cotizaciones</w:t>
      </w:r>
    </w:p>
    <w:p w14:paraId="1F05E3AB" w14:textId="22620229" w:rsidR="00624F11" w:rsidRPr="00E45F62" w:rsidRDefault="00624F11" w:rsidP="00695B57">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Entidades Federativas del país. Se cotizan en promedio 159 mil 500 precios quincenalmente de los productos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durante la quincena que se reporta; para el resto de los productos se obtienen 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7777777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6390F55A" w14:textId="095355E5" w:rsidR="00624F11" w:rsidRPr="00E45F62" w:rsidRDefault="00624F11" w:rsidP="00E45F62">
      <w:pPr>
        <w:pStyle w:val="Texto"/>
        <w:autoSpaceDE w:val="0"/>
        <w:autoSpaceDN w:val="0"/>
        <w:adjustRightInd w:val="0"/>
        <w:spacing w:before="240" w:after="0" w:line="240" w:lineRule="auto"/>
        <w:ind w:firstLine="0"/>
        <w:rPr>
          <w:sz w:val="24"/>
          <w:szCs w:val="24"/>
        </w:rPr>
      </w:pPr>
      <w:r w:rsidRPr="00E45F62">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E45F62">
        <w:rPr>
          <w:sz w:val="24"/>
          <w:szCs w:val="24"/>
        </w:rPr>
        <w:t xml:space="preserve">: </w:t>
      </w:r>
      <w:hyperlink r:id="rId34" w:anchor="Herramientas" w:history="1">
        <w:r w:rsidRPr="00E45F62">
          <w:rPr>
            <w:rStyle w:val="Hipervnculo"/>
            <w:sz w:val="24"/>
            <w:szCs w:val="24"/>
          </w:rPr>
          <w:t>https://www.inegi.org.mx/programas/inpc/2018/default.html#Herramientas</w:t>
        </w:r>
      </w:hyperlink>
    </w:p>
    <w:p w14:paraId="54915E64" w14:textId="33EEE6E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Permite calcular la Tasa de Inflación de un Índice de Precios, en un intervalo de tiempo. Calcula dos tipos de tasas de inflación porcentuales: la implícita entre cualquiera de dos fechas, y la tasa de inflación porcentual promedio en un período.</w:t>
      </w:r>
    </w:p>
    <w:p w14:paraId="1AA38E48" w14:textId="1B836C8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5B47102C"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Presenta en forma dinámica las variaciones anualizadas de los precios por ciudad, entidad y región, así como la participación o peso que tienen estos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lastRenderedPageBreak/>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77777777"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D3DDC7" w14:textId="154DBE25" w:rsidR="00E45F62" w:rsidRP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t>Para mayor detalle del diseño conceptual y metodológico del INPC consultar la página en Internet del INEGI:</w:t>
      </w:r>
      <w:r w:rsidRPr="00E45F62">
        <w:rPr>
          <w:sz w:val="24"/>
          <w:szCs w:val="24"/>
        </w:rPr>
        <w:t xml:space="preserve"> </w:t>
      </w:r>
      <w:hyperlink r:id="rId35" w:history="1">
        <w:r w:rsidRPr="00E45F62">
          <w:rPr>
            <w:rStyle w:val="Hipervnculo"/>
            <w:sz w:val="24"/>
            <w:szCs w:val="24"/>
          </w:rPr>
          <w:t>https://www.inegi.org.mx/programas/inpc/2018/</w:t>
        </w:r>
      </w:hyperlink>
      <w:r w:rsidRPr="00E45F62">
        <w:rPr>
          <w:rStyle w:val="Hipervnculo"/>
          <w:sz w:val="24"/>
          <w:szCs w:val="24"/>
        </w:rPr>
        <w:t>,</w:t>
      </w:r>
      <w:r w:rsidRPr="00E45F62">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r w:rsidR="004C5CD0">
        <w:rPr>
          <w:sz w:val="24"/>
          <w:szCs w:val="24"/>
        </w:rPr>
        <w:t>.</w:t>
      </w:r>
    </w:p>
    <w:p w14:paraId="0EB26E36" w14:textId="77777777" w:rsidR="00624F11" w:rsidRPr="00A71198" w:rsidRDefault="00624F11" w:rsidP="00A85732">
      <w:pPr>
        <w:pStyle w:val="Texto"/>
        <w:autoSpaceDE w:val="0"/>
        <w:autoSpaceDN w:val="0"/>
        <w:adjustRightInd w:val="0"/>
        <w:spacing w:before="240" w:after="0" w:line="240" w:lineRule="auto"/>
        <w:ind w:firstLine="0"/>
        <w:jc w:val="center"/>
        <w:rPr>
          <w:sz w:val="24"/>
          <w:szCs w:val="24"/>
        </w:rPr>
      </w:pPr>
      <w:r w:rsidRPr="00553D4D">
        <w:rPr>
          <w:rStyle w:val="nfasis"/>
          <w:noProof/>
          <w:lang w:val="en-US" w:eastAsia="en-US"/>
        </w:rPr>
        <w:drawing>
          <wp:inline distT="0" distB="0" distL="0" distR="0" wp14:anchorId="0B1276AB" wp14:editId="5E5F2B14">
            <wp:extent cx="4686646" cy="1692000"/>
            <wp:effectExtent l="38100" t="0" r="38100" b="419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624F11" w:rsidRPr="00A71198" w:rsidSect="00416893">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E722D" w14:textId="77777777" w:rsidR="00FF665D" w:rsidRDefault="00FF665D">
      <w:r>
        <w:separator/>
      </w:r>
    </w:p>
  </w:endnote>
  <w:endnote w:type="continuationSeparator" w:id="0">
    <w:p w14:paraId="7562E135" w14:textId="77777777" w:rsidR="00FF665D" w:rsidRDefault="00FF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F2778" w14:textId="77777777" w:rsidR="00C57ADD" w:rsidRDefault="00C57A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9E" w14:textId="77777777" w:rsidR="00EB7B70" w:rsidRPr="006F4552" w:rsidRDefault="00EB7B70" w:rsidP="004E4A3C">
    <w:pPr>
      <w:pStyle w:val="Piedepgina"/>
      <w:contextualSpacing/>
      <w:jc w:val="center"/>
      <w:rPr>
        <w:color w:val="002060"/>
        <w:sz w:val="18"/>
        <w:szCs w:val="18"/>
      </w:rPr>
    </w:pPr>
    <w:r w:rsidRPr="006F4552">
      <w:rPr>
        <w:b/>
        <w:color w:val="002060"/>
        <w:sz w:val="18"/>
        <w:szCs w:val="18"/>
      </w:rPr>
      <w:t>COMUNICACIÓN SOCIAL</w:t>
    </w:r>
  </w:p>
  <w:p w14:paraId="2CA33BC9" w14:textId="77777777" w:rsidR="00EB7B70" w:rsidRDefault="00EB7B7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71D62" w14:textId="77777777" w:rsidR="00C57ADD" w:rsidRDefault="00C57AD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8910"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E1373" w14:textId="77777777" w:rsidR="00FF665D" w:rsidRDefault="00FF665D">
      <w:r>
        <w:separator/>
      </w:r>
    </w:p>
  </w:footnote>
  <w:footnote w:type="continuationSeparator" w:id="0">
    <w:p w14:paraId="58AB5080" w14:textId="77777777" w:rsidR="00FF665D" w:rsidRDefault="00FF665D">
      <w:r>
        <w:continuationSeparator/>
      </w:r>
    </w:p>
  </w:footnote>
  <w:footnote w:id="1">
    <w:p w14:paraId="09612CAB" w14:textId="77777777" w:rsidR="00EB7B70" w:rsidRPr="008C2933" w:rsidRDefault="00EB7B70" w:rsidP="002D542F">
      <w:pPr>
        <w:pStyle w:val="Textonotapie"/>
        <w:spacing w:before="60"/>
        <w:ind w:left="170" w:right="-263" w:hanging="170"/>
        <w:rPr>
          <w:lang w:val="es-MX"/>
        </w:rPr>
      </w:pPr>
      <w:r>
        <w:rPr>
          <w:rStyle w:val="Refdenotaalpie"/>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p>
  </w:footnote>
  <w:footnote w:id="2">
    <w:p w14:paraId="6FFB5597" w14:textId="77777777" w:rsidR="00EB7B70" w:rsidRDefault="00EB7B70" w:rsidP="002D542F">
      <w:pPr>
        <w:pStyle w:val="Textonotapie"/>
        <w:spacing w:before="60"/>
        <w:ind w:left="170" w:right="-263" w:hanging="170"/>
        <w:rPr>
          <w:sz w:val="16"/>
        </w:rPr>
      </w:pPr>
      <w:r w:rsidRPr="004E5966">
        <w:rPr>
          <w:rStyle w:val="Refdenotaalpie"/>
          <w:sz w:val="18"/>
        </w:rPr>
        <w:footnoteRef/>
      </w:r>
      <w:r>
        <w:tab/>
      </w:r>
      <w:r w:rsidRPr="00C2370B">
        <w:rPr>
          <w:sz w:val="16"/>
        </w:rPr>
        <w:t>D</w:t>
      </w:r>
      <w:r>
        <w:rPr>
          <w:sz w:val="16"/>
        </w:rPr>
        <w:t>esde</w:t>
      </w:r>
      <w:r w:rsidRPr="00C2370B">
        <w:rPr>
          <w:sz w:val="16"/>
        </w:rPr>
        <w:t xml:space="preserve"> el mes de abril</w:t>
      </w:r>
      <w:r>
        <w:rPr>
          <w:sz w:val="16"/>
        </w:rPr>
        <w:t xml:space="preserve">, </w:t>
      </w:r>
      <w:r w:rsidRPr="00C2370B">
        <w:rPr>
          <w:sz w:val="16"/>
        </w:rPr>
        <w:t>la recopilación de precios enfrentó el cierre temporal o la limitación de actividades en los establecimientos donde el INEGI cotiza los productos del INPC de manera regular, utilizando para ello los medios electrónicos mencionados. Lo anterior da lugar a un incremento en el número de artículos sin acceso a su precio. El cierre de los establecimientos ocurre durante este periodo de contingencia porque: son actividades económicas no esenciales, por otras medidas sanitarias o por voluntad del propio negocio.</w:t>
      </w:r>
      <w:r>
        <w:rPr>
          <w:sz w:val="16"/>
        </w:rPr>
        <w:t xml:space="preserve"> Así, para el mes de mayo l</w:t>
      </w:r>
      <w:r w:rsidRPr="00C2370B">
        <w:rPr>
          <w:sz w:val="16"/>
        </w:rPr>
        <w:t xml:space="preserve">a falta de precios se distribuyó entre todos los genéricos y estadísticamente solo afectó a aquellos que representan el </w:t>
      </w:r>
      <w:r>
        <w:rPr>
          <w:sz w:val="16"/>
        </w:rPr>
        <w:t>11</w:t>
      </w:r>
      <w:r w:rsidRPr="00C2370B">
        <w:rPr>
          <w:sz w:val="16"/>
        </w:rPr>
        <w:t>.2% del ponderador del gasto total de la canasta nacional. Estas medidas están apegadas a las recomendaciones que han propuesto los organismos internacionales debido a esta contingencia.</w:t>
      </w:r>
    </w:p>
    <w:p w14:paraId="180F67E9" w14:textId="77777777" w:rsidR="00EB7B70" w:rsidRPr="00666ECC" w:rsidRDefault="00EB7B70" w:rsidP="002D542F">
      <w:pPr>
        <w:pStyle w:val="Textonotapie"/>
        <w:spacing w:before="60"/>
        <w:ind w:left="170" w:right="-263" w:hanging="170"/>
        <w:rPr>
          <w:sz w:val="16"/>
          <w:lang w:val="es-MX"/>
        </w:rPr>
      </w:pPr>
    </w:p>
  </w:footnote>
  <w:footnote w:id="3">
    <w:p w14:paraId="1D75A202" w14:textId="77777777" w:rsidR="00317334" w:rsidRPr="00CA39BA" w:rsidRDefault="00317334" w:rsidP="00317334">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4">
    <w:p w14:paraId="44D4E55E" w14:textId="2C00F248" w:rsidR="00317334" w:rsidRPr="009C5908" w:rsidRDefault="00317334" w:rsidP="00317334">
      <w:pPr>
        <w:autoSpaceDE w:val="0"/>
        <w:autoSpaceDN w:val="0"/>
        <w:spacing w:before="40" w:after="40"/>
        <w:ind w:left="170" w:hanging="170"/>
        <w:rPr>
          <w:b/>
          <w:color w:val="C00000"/>
          <w:sz w:val="16"/>
          <w:lang w:val="es-MX"/>
        </w:rPr>
      </w:pPr>
      <w:r w:rsidRPr="00166951">
        <w:rPr>
          <w:rStyle w:val="Refdenotaalpie"/>
          <w:sz w:val="18"/>
          <w:szCs w:val="16"/>
        </w:rPr>
        <w:footnoteRef/>
      </w:r>
      <w:r>
        <w:rPr>
          <w:color w:val="000000" w:themeColor="text1"/>
          <w:sz w:val="16"/>
          <w:szCs w:val="16"/>
        </w:rPr>
        <w:tab/>
      </w:r>
      <w:r>
        <w:rPr>
          <w:sz w:val="16"/>
          <w:szCs w:val="16"/>
        </w:rPr>
        <w:t xml:space="preserve">Los componentes de la canasta básica se </w:t>
      </w:r>
      <w:r w:rsidRPr="003B6802">
        <w:rPr>
          <w:sz w:val="16"/>
          <w:szCs w:val="16"/>
        </w:rPr>
        <w:t xml:space="preserve">detallan en el documento metodológico ubicado en la siguiente liga: </w:t>
      </w:r>
      <w:hyperlink r:id="rId1" w:history="1">
        <w:r w:rsidR="00594BC7" w:rsidRPr="00334677">
          <w:rPr>
            <w:rStyle w:val="Hipervnculo"/>
            <w:sz w:val="16"/>
            <w:szCs w:val="16"/>
          </w:rPr>
          <w:t>https://www.inegi.org.mx/programas/inpc/2018/</w:t>
        </w:r>
      </w:hyperlink>
    </w:p>
  </w:footnote>
  <w:footnote w:id="5">
    <w:p w14:paraId="7AF479F2" w14:textId="395BE7E4"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Genérico. </w:t>
      </w:r>
      <w:r w:rsidRPr="006301B8">
        <w:rPr>
          <w:color w:val="000000"/>
          <w:sz w:val="16"/>
          <w:szCs w:val="16"/>
        </w:rPr>
        <w:t xml:space="preserve">Conjunto de bienes y servicios de la canasta del INPC que poseen alto grado de homogeneidad; se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9928C" w14:textId="77777777" w:rsidR="00C57ADD" w:rsidRDefault="00C57A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21868" w14:textId="75CF9D5A" w:rsidR="00EB7B70" w:rsidRPr="00265B8C" w:rsidRDefault="00EB7B70" w:rsidP="00C57ADD">
    <w:pPr>
      <w:pStyle w:val="Encabezado"/>
      <w:framePr w:w="5236" w:hSpace="141" w:wrap="auto" w:vAnchor="text" w:hAnchor="page" w:x="5857" w:y="39"/>
      <w:ind w:left="567" w:hanging="11"/>
      <w:jc w:val="right"/>
      <w:rPr>
        <w:b/>
        <w:color w:val="002060"/>
      </w:rPr>
    </w:pPr>
    <w:r w:rsidRPr="00265B8C">
      <w:rPr>
        <w:b/>
        <w:color w:val="002060"/>
      </w:rPr>
      <w:t xml:space="preserve">COMUNICADO </w:t>
    </w:r>
    <w:r w:rsidRPr="00E808E2">
      <w:rPr>
        <w:b/>
        <w:color w:val="002060"/>
      </w:rPr>
      <w:t xml:space="preserve">DE PRENSA </w:t>
    </w:r>
    <w:r w:rsidRPr="00265B8C">
      <w:rPr>
        <w:b/>
        <w:color w:val="002060"/>
      </w:rPr>
      <w:t xml:space="preserve">NÚM. </w:t>
    </w:r>
    <w:r w:rsidR="00C57ADD">
      <w:rPr>
        <w:b/>
        <w:color w:val="002060"/>
      </w:rPr>
      <w:t>270</w:t>
    </w:r>
    <w:r w:rsidRPr="00265B8C">
      <w:rPr>
        <w:b/>
        <w:color w:val="002060"/>
      </w:rPr>
      <w:t>/</w:t>
    </w:r>
    <w:r>
      <w:rPr>
        <w:b/>
        <w:color w:val="002060"/>
      </w:rPr>
      <w:t>20</w:t>
    </w:r>
  </w:p>
  <w:p w14:paraId="2B3F218D" w14:textId="77777777" w:rsidR="00EB7B70" w:rsidRPr="00265B8C" w:rsidRDefault="00EB7B70" w:rsidP="00C57ADD">
    <w:pPr>
      <w:pStyle w:val="Encabezado"/>
      <w:framePr w:w="5236" w:hSpace="141" w:wrap="auto" w:vAnchor="text" w:hAnchor="page" w:x="5857" w:y="39"/>
      <w:ind w:left="567" w:hanging="11"/>
      <w:jc w:val="right"/>
      <w:rPr>
        <w:b/>
        <w:color w:val="002060"/>
        <w:lang w:val="pt-BR"/>
      </w:rPr>
    </w:pPr>
    <w:r>
      <w:rPr>
        <w:b/>
        <w:color w:val="002060"/>
        <w:lang w:val="pt-BR"/>
      </w:rPr>
      <w:t xml:space="preserve">9 DE JUNIO </w:t>
    </w:r>
    <w:r w:rsidRPr="00265B8C">
      <w:rPr>
        <w:b/>
        <w:color w:val="002060"/>
        <w:lang w:val="pt-BR"/>
      </w:rPr>
      <w:t>DE 20</w:t>
    </w:r>
    <w:r>
      <w:rPr>
        <w:b/>
        <w:color w:val="002060"/>
        <w:lang w:val="pt-BR"/>
      </w:rPr>
      <w:t>20</w:t>
    </w:r>
  </w:p>
  <w:p w14:paraId="2FF6FAE9" w14:textId="77777777" w:rsidR="00EB7B70" w:rsidRPr="00265B8C" w:rsidRDefault="00EB7B70" w:rsidP="00C57ADD">
    <w:pPr>
      <w:pStyle w:val="Encabezado"/>
      <w:framePr w:w="5236" w:hSpace="141" w:wrap="auto" w:vAnchor="text" w:hAnchor="page" w:x="5857"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31048A92" w14:textId="77777777" w:rsidR="00EB7B70" w:rsidRDefault="00EB7B70" w:rsidP="004E4A3C">
    <w:pPr>
      <w:pStyle w:val="Encabezado"/>
      <w:ind w:left="-993"/>
    </w:pPr>
    <w:r>
      <w:rPr>
        <w:noProof/>
      </w:rPr>
      <w:drawing>
        <wp:inline distT="0" distB="0" distL="0" distR="0" wp14:anchorId="69E2C7AD" wp14:editId="3C1321CC">
          <wp:extent cx="927615" cy="963545"/>
          <wp:effectExtent l="0" t="0" r="635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D422A" w14:textId="77777777" w:rsidR="00C57ADD" w:rsidRDefault="00C57A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0772" w14:textId="13811925" w:rsidR="003B5757" w:rsidRDefault="00AD3792" w:rsidP="00EB7B70">
    <w:pPr>
      <w:pStyle w:val="Encabezado"/>
      <w:jc w:val="center"/>
    </w:pPr>
    <w:r>
      <w:rPr>
        <w:noProof/>
        <w:lang w:val="en-US" w:eastAsia="en-US"/>
      </w:rPr>
      <w:drawing>
        <wp:inline distT="0" distB="0" distL="0" distR="0" wp14:anchorId="5B8D5AF8" wp14:editId="58E7D21B">
          <wp:extent cx="928799" cy="964800"/>
          <wp:effectExtent l="0" t="0" r="5080" b="6985"/>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3"/>
  </w:num>
  <w:num w:numId="6">
    <w:abstractNumId w:val="5"/>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8"/>
  </w:num>
  <w:num w:numId="13">
    <w:abstractNumId w:val="29"/>
  </w:num>
  <w:num w:numId="14">
    <w:abstractNumId w:val="18"/>
  </w:num>
  <w:num w:numId="15">
    <w:abstractNumId w:val="14"/>
  </w:num>
  <w:num w:numId="16">
    <w:abstractNumId w:val="22"/>
  </w:num>
  <w:num w:numId="17">
    <w:abstractNumId w:val="16"/>
  </w:num>
  <w:num w:numId="18">
    <w:abstractNumId w:val="20"/>
  </w:num>
  <w:num w:numId="19">
    <w:abstractNumId w:val="8"/>
  </w:num>
  <w:num w:numId="20">
    <w:abstractNumId w:val="0"/>
  </w:num>
  <w:num w:numId="21">
    <w:abstractNumId w:val="3"/>
  </w:num>
  <w:num w:numId="22">
    <w:abstractNumId w:val="7"/>
  </w:num>
  <w:num w:numId="23">
    <w:abstractNumId w:val="11"/>
  </w:num>
  <w:num w:numId="24">
    <w:abstractNumId w:val="27"/>
  </w:num>
  <w:num w:numId="25">
    <w:abstractNumId w:val="21"/>
  </w:num>
  <w:num w:numId="26">
    <w:abstractNumId w:val="4"/>
  </w:num>
  <w:num w:numId="27">
    <w:abstractNumId w:val="15"/>
  </w:num>
  <w:num w:numId="28">
    <w:abstractNumId w:val="12"/>
  </w:num>
  <w:num w:numId="29">
    <w:abstractNumId w:val="10"/>
  </w:num>
  <w:num w:numId="30">
    <w:abstractNumId w:val="2"/>
  </w:num>
  <w:num w:numId="31">
    <w:abstractNumId w:val="24"/>
  </w:num>
  <w:num w:numId="32">
    <w:abstractNumId w:val="19"/>
  </w:num>
  <w:num w:numId="33">
    <w:abstractNumId w:val="23"/>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1000"/>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A1A"/>
    <w:rsid w:val="00010A59"/>
    <w:rsid w:val="000112A7"/>
    <w:rsid w:val="0001151F"/>
    <w:rsid w:val="00011840"/>
    <w:rsid w:val="00011AC0"/>
    <w:rsid w:val="00011BD3"/>
    <w:rsid w:val="00012278"/>
    <w:rsid w:val="000124BB"/>
    <w:rsid w:val="00012A27"/>
    <w:rsid w:val="00012E16"/>
    <w:rsid w:val="0001302A"/>
    <w:rsid w:val="000132A4"/>
    <w:rsid w:val="00013319"/>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28C4"/>
    <w:rsid w:val="00022CA3"/>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F04"/>
    <w:rsid w:val="00052F1E"/>
    <w:rsid w:val="000536D2"/>
    <w:rsid w:val="00053B2C"/>
    <w:rsid w:val="00053EB7"/>
    <w:rsid w:val="00054674"/>
    <w:rsid w:val="00054A4F"/>
    <w:rsid w:val="00055047"/>
    <w:rsid w:val="00055B54"/>
    <w:rsid w:val="00056F51"/>
    <w:rsid w:val="000573F5"/>
    <w:rsid w:val="00057F37"/>
    <w:rsid w:val="000602B0"/>
    <w:rsid w:val="0006056C"/>
    <w:rsid w:val="000621E0"/>
    <w:rsid w:val="0006228A"/>
    <w:rsid w:val="00063614"/>
    <w:rsid w:val="00063838"/>
    <w:rsid w:val="0006433F"/>
    <w:rsid w:val="000646BA"/>
    <w:rsid w:val="00064BBC"/>
    <w:rsid w:val="00064E9D"/>
    <w:rsid w:val="00064FDB"/>
    <w:rsid w:val="00065106"/>
    <w:rsid w:val="000651F1"/>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EE9"/>
    <w:rsid w:val="00077C46"/>
    <w:rsid w:val="0008027F"/>
    <w:rsid w:val="0008084D"/>
    <w:rsid w:val="00081034"/>
    <w:rsid w:val="000814ED"/>
    <w:rsid w:val="0008175A"/>
    <w:rsid w:val="0008195B"/>
    <w:rsid w:val="00081E62"/>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2764"/>
    <w:rsid w:val="0009292F"/>
    <w:rsid w:val="00092F4C"/>
    <w:rsid w:val="00094496"/>
    <w:rsid w:val="000950E7"/>
    <w:rsid w:val="00095360"/>
    <w:rsid w:val="000955AA"/>
    <w:rsid w:val="000957BC"/>
    <w:rsid w:val="0009618D"/>
    <w:rsid w:val="00096737"/>
    <w:rsid w:val="00097C0A"/>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4A6A"/>
    <w:rsid w:val="000B50FB"/>
    <w:rsid w:val="000B515D"/>
    <w:rsid w:val="000B5A74"/>
    <w:rsid w:val="000B5FA3"/>
    <w:rsid w:val="000B6AF6"/>
    <w:rsid w:val="000B6B22"/>
    <w:rsid w:val="000C0403"/>
    <w:rsid w:val="000C1051"/>
    <w:rsid w:val="000C1F04"/>
    <w:rsid w:val="000C26A5"/>
    <w:rsid w:val="000C2892"/>
    <w:rsid w:val="000C2B3C"/>
    <w:rsid w:val="000C30D7"/>
    <w:rsid w:val="000C3105"/>
    <w:rsid w:val="000C34DD"/>
    <w:rsid w:val="000C37BC"/>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4773"/>
    <w:rsid w:val="000D4833"/>
    <w:rsid w:val="000D49D2"/>
    <w:rsid w:val="000D4A88"/>
    <w:rsid w:val="000D4BBC"/>
    <w:rsid w:val="000D4D90"/>
    <w:rsid w:val="000D4E26"/>
    <w:rsid w:val="000D5176"/>
    <w:rsid w:val="000D5EDB"/>
    <w:rsid w:val="000D64C6"/>
    <w:rsid w:val="000D6C0F"/>
    <w:rsid w:val="000D6F1E"/>
    <w:rsid w:val="000D7A95"/>
    <w:rsid w:val="000D7BBD"/>
    <w:rsid w:val="000E03C0"/>
    <w:rsid w:val="000E0654"/>
    <w:rsid w:val="000E19B3"/>
    <w:rsid w:val="000E2970"/>
    <w:rsid w:val="000E2A06"/>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491"/>
    <w:rsid w:val="000F3DE6"/>
    <w:rsid w:val="000F44E7"/>
    <w:rsid w:val="000F49F1"/>
    <w:rsid w:val="000F4C41"/>
    <w:rsid w:val="000F4FA7"/>
    <w:rsid w:val="000F536A"/>
    <w:rsid w:val="000F541D"/>
    <w:rsid w:val="000F5AD1"/>
    <w:rsid w:val="000F630B"/>
    <w:rsid w:val="000F69FA"/>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348"/>
    <w:rsid w:val="00113404"/>
    <w:rsid w:val="001134B4"/>
    <w:rsid w:val="00113DE8"/>
    <w:rsid w:val="0011424C"/>
    <w:rsid w:val="0011478A"/>
    <w:rsid w:val="00114B56"/>
    <w:rsid w:val="00114B96"/>
    <w:rsid w:val="00114E47"/>
    <w:rsid w:val="001159B7"/>
    <w:rsid w:val="00115A20"/>
    <w:rsid w:val="00115A59"/>
    <w:rsid w:val="00115F12"/>
    <w:rsid w:val="00116647"/>
    <w:rsid w:val="00116F84"/>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0961"/>
    <w:rsid w:val="00151492"/>
    <w:rsid w:val="00152838"/>
    <w:rsid w:val="001533B2"/>
    <w:rsid w:val="001534CA"/>
    <w:rsid w:val="0015369A"/>
    <w:rsid w:val="0015386A"/>
    <w:rsid w:val="001540F9"/>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93"/>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3E"/>
    <w:rsid w:val="00181B78"/>
    <w:rsid w:val="0018211C"/>
    <w:rsid w:val="001821F8"/>
    <w:rsid w:val="00182CBE"/>
    <w:rsid w:val="001831B3"/>
    <w:rsid w:val="001845FA"/>
    <w:rsid w:val="0018522B"/>
    <w:rsid w:val="00185355"/>
    <w:rsid w:val="001854A8"/>
    <w:rsid w:val="00185BB9"/>
    <w:rsid w:val="00185D40"/>
    <w:rsid w:val="00186127"/>
    <w:rsid w:val="00186C17"/>
    <w:rsid w:val="00190180"/>
    <w:rsid w:val="00190A43"/>
    <w:rsid w:val="00190D0B"/>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50E"/>
    <w:rsid w:val="001B46DB"/>
    <w:rsid w:val="001B4F75"/>
    <w:rsid w:val="001B5C28"/>
    <w:rsid w:val="001B5DD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E8"/>
    <w:rsid w:val="001C48C7"/>
    <w:rsid w:val="001C4A9E"/>
    <w:rsid w:val="001C6CAB"/>
    <w:rsid w:val="001C6CC1"/>
    <w:rsid w:val="001C7130"/>
    <w:rsid w:val="001C7E70"/>
    <w:rsid w:val="001D0068"/>
    <w:rsid w:val="001D01C6"/>
    <w:rsid w:val="001D092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B8D"/>
    <w:rsid w:val="001E1DBA"/>
    <w:rsid w:val="001E1EF2"/>
    <w:rsid w:val="001E290B"/>
    <w:rsid w:val="001E331C"/>
    <w:rsid w:val="001E385F"/>
    <w:rsid w:val="001E39E4"/>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8D3"/>
    <w:rsid w:val="001F64D8"/>
    <w:rsid w:val="001F65A4"/>
    <w:rsid w:val="001F65E0"/>
    <w:rsid w:val="001F6EE3"/>
    <w:rsid w:val="001F7362"/>
    <w:rsid w:val="001F7AE9"/>
    <w:rsid w:val="001F7CFD"/>
    <w:rsid w:val="002011D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75B"/>
    <w:rsid w:val="00215783"/>
    <w:rsid w:val="002160A3"/>
    <w:rsid w:val="0021669B"/>
    <w:rsid w:val="00216876"/>
    <w:rsid w:val="0022018A"/>
    <w:rsid w:val="00220ADA"/>
    <w:rsid w:val="00220B7B"/>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CB"/>
    <w:rsid w:val="00254724"/>
    <w:rsid w:val="0025523F"/>
    <w:rsid w:val="00255D8E"/>
    <w:rsid w:val="00256584"/>
    <w:rsid w:val="00256C48"/>
    <w:rsid w:val="00256EF8"/>
    <w:rsid w:val="002570D5"/>
    <w:rsid w:val="00257177"/>
    <w:rsid w:val="00257730"/>
    <w:rsid w:val="00257803"/>
    <w:rsid w:val="00257935"/>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38C"/>
    <w:rsid w:val="002665A1"/>
    <w:rsid w:val="00266F00"/>
    <w:rsid w:val="002670EF"/>
    <w:rsid w:val="002671A2"/>
    <w:rsid w:val="00267A38"/>
    <w:rsid w:val="00267A56"/>
    <w:rsid w:val="00267F5F"/>
    <w:rsid w:val="0027086F"/>
    <w:rsid w:val="00270965"/>
    <w:rsid w:val="00271E5D"/>
    <w:rsid w:val="00272082"/>
    <w:rsid w:val="00272AEB"/>
    <w:rsid w:val="0027349D"/>
    <w:rsid w:val="00273516"/>
    <w:rsid w:val="00273985"/>
    <w:rsid w:val="00273B82"/>
    <w:rsid w:val="00273E7A"/>
    <w:rsid w:val="00274372"/>
    <w:rsid w:val="0027475A"/>
    <w:rsid w:val="002753BE"/>
    <w:rsid w:val="00275F56"/>
    <w:rsid w:val="002764C4"/>
    <w:rsid w:val="002765B7"/>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38"/>
    <w:rsid w:val="002900A9"/>
    <w:rsid w:val="002908CE"/>
    <w:rsid w:val="00290C43"/>
    <w:rsid w:val="00290C90"/>
    <w:rsid w:val="002916DB"/>
    <w:rsid w:val="0029190A"/>
    <w:rsid w:val="0029288A"/>
    <w:rsid w:val="00293271"/>
    <w:rsid w:val="00293587"/>
    <w:rsid w:val="00293896"/>
    <w:rsid w:val="00293ED1"/>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1F67"/>
    <w:rsid w:val="002B2A55"/>
    <w:rsid w:val="002B2DA9"/>
    <w:rsid w:val="002B30C8"/>
    <w:rsid w:val="002B31FA"/>
    <w:rsid w:val="002B33D5"/>
    <w:rsid w:val="002B3830"/>
    <w:rsid w:val="002B3947"/>
    <w:rsid w:val="002B3A06"/>
    <w:rsid w:val="002B4552"/>
    <w:rsid w:val="002B4C84"/>
    <w:rsid w:val="002B5746"/>
    <w:rsid w:val="002B63D3"/>
    <w:rsid w:val="002B6537"/>
    <w:rsid w:val="002B6815"/>
    <w:rsid w:val="002B6AB1"/>
    <w:rsid w:val="002B6E20"/>
    <w:rsid w:val="002B71D1"/>
    <w:rsid w:val="002C0144"/>
    <w:rsid w:val="002C02B8"/>
    <w:rsid w:val="002C0CAC"/>
    <w:rsid w:val="002C1F28"/>
    <w:rsid w:val="002C254B"/>
    <w:rsid w:val="002C25DE"/>
    <w:rsid w:val="002C27E8"/>
    <w:rsid w:val="002C2965"/>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55B"/>
    <w:rsid w:val="002D1AD3"/>
    <w:rsid w:val="002D3759"/>
    <w:rsid w:val="002D40A5"/>
    <w:rsid w:val="002D48E1"/>
    <w:rsid w:val="002D4ED0"/>
    <w:rsid w:val="002D542F"/>
    <w:rsid w:val="002D612D"/>
    <w:rsid w:val="002D61C8"/>
    <w:rsid w:val="002D629E"/>
    <w:rsid w:val="002D6E9A"/>
    <w:rsid w:val="002D726B"/>
    <w:rsid w:val="002D75DB"/>
    <w:rsid w:val="002E0067"/>
    <w:rsid w:val="002E02D0"/>
    <w:rsid w:val="002E0489"/>
    <w:rsid w:val="002E04C0"/>
    <w:rsid w:val="002E0544"/>
    <w:rsid w:val="002E0C8E"/>
    <w:rsid w:val="002E1C5F"/>
    <w:rsid w:val="002E1DF4"/>
    <w:rsid w:val="002E211F"/>
    <w:rsid w:val="002E2C3B"/>
    <w:rsid w:val="002E320C"/>
    <w:rsid w:val="002E3C37"/>
    <w:rsid w:val="002E4005"/>
    <w:rsid w:val="002E4BA7"/>
    <w:rsid w:val="002E4D3D"/>
    <w:rsid w:val="002E5C58"/>
    <w:rsid w:val="002E5CA7"/>
    <w:rsid w:val="002E668B"/>
    <w:rsid w:val="002E7235"/>
    <w:rsid w:val="002E7DEA"/>
    <w:rsid w:val="002F0276"/>
    <w:rsid w:val="002F10E7"/>
    <w:rsid w:val="002F11F9"/>
    <w:rsid w:val="002F1274"/>
    <w:rsid w:val="002F13E0"/>
    <w:rsid w:val="002F16CB"/>
    <w:rsid w:val="002F1742"/>
    <w:rsid w:val="002F1AB0"/>
    <w:rsid w:val="002F1D0E"/>
    <w:rsid w:val="002F3C64"/>
    <w:rsid w:val="002F4431"/>
    <w:rsid w:val="002F4653"/>
    <w:rsid w:val="002F47E7"/>
    <w:rsid w:val="002F510D"/>
    <w:rsid w:val="002F579D"/>
    <w:rsid w:val="002F57EC"/>
    <w:rsid w:val="002F5AB7"/>
    <w:rsid w:val="002F5F61"/>
    <w:rsid w:val="00300081"/>
    <w:rsid w:val="0030023E"/>
    <w:rsid w:val="0030059B"/>
    <w:rsid w:val="00300FC5"/>
    <w:rsid w:val="00301277"/>
    <w:rsid w:val="00301837"/>
    <w:rsid w:val="003019CD"/>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367"/>
    <w:rsid w:val="0031354F"/>
    <w:rsid w:val="00314614"/>
    <w:rsid w:val="00314739"/>
    <w:rsid w:val="00314773"/>
    <w:rsid w:val="00314F8A"/>
    <w:rsid w:val="003151F3"/>
    <w:rsid w:val="003152FA"/>
    <w:rsid w:val="003154DB"/>
    <w:rsid w:val="00316779"/>
    <w:rsid w:val="00316B8F"/>
    <w:rsid w:val="00317334"/>
    <w:rsid w:val="00317DA5"/>
    <w:rsid w:val="003201D0"/>
    <w:rsid w:val="003205E0"/>
    <w:rsid w:val="00320B8F"/>
    <w:rsid w:val="00320C20"/>
    <w:rsid w:val="00321386"/>
    <w:rsid w:val="00321788"/>
    <w:rsid w:val="00321848"/>
    <w:rsid w:val="00321CB3"/>
    <w:rsid w:val="00322341"/>
    <w:rsid w:val="0032345B"/>
    <w:rsid w:val="003235FE"/>
    <w:rsid w:val="00324FF5"/>
    <w:rsid w:val="003256A0"/>
    <w:rsid w:val="00325893"/>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404"/>
    <w:rsid w:val="003327BD"/>
    <w:rsid w:val="003338EB"/>
    <w:rsid w:val="00334446"/>
    <w:rsid w:val="0033444C"/>
    <w:rsid w:val="00334725"/>
    <w:rsid w:val="00334A38"/>
    <w:rsid w:val="00334AE6"/>
    <w:rsid w:val="00334AF1"/>
    <w:rsid w:val="003353D5"/>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2D0"/>
    <w:rsid w:val="00352775"/>
    <w:rsid w:val="00352F14"/>
    <w:rsid w:val="003530B3"/>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B6"/>
    <w:rsid w:val="00386891"/>
    <w:rsid w:val="00386A21"/>
    <w:rsid w:val="0038735C"/>
    <w:rsid w:val="003874B4"/>
    <w:rsid w:val="00387631"/>
    <w:rsid w:val="00387823"/>
    <w:rsid w:val="00390044"/>
    <w:rsid w:val="003903FB"/>
    <w:rsid w:val="00390644"/>
    <w:rsid w:val="0039066F"/>
    <w:rsid w:val="00390D50"/>
    <w:rsid w:val="00390EAD"/>
    <w:rsid w:val="00390EAF"/>
    <w:rsid w:val="00390F3A"/>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E29"/>
    <w:rsid w:val="003B5306"/>
    <w:rsid w:val="003B5757"/>
    <w:rsid w:val="003B5DE6"/>
    <w:rsid w:val="003B6179"/>
    <w:rsid w:val="003B69D0"/>
    <w:rsid w:val="003B7B4D"/>
    <w:rsid w:val="003C0125"/>
    <w:rsid w:val="003C03F7"/>
    <w:rsid w:val="003C05CD"/>
    <w:rsid w:val="003C0F6E"/>
    <w:rsid w:val="003C0FE5"/>
    <w:rsid w:val="003C1CAF"/>
    <w:rsid w:val="003C22D4"/>
    <w:rsid w:val="003C29AF"/>
    <w:rsid w:val="003C3F73"/>
    <w:rsid w:val="003C40A2"/>
    <w:rsid w:val="003C5519"/>
    <w:rsid w:val="003C5A97"/>
    <w:rsid w:val="003C616B"/>
    <w:rsid w:val="003C681D"/>
    <w:rsid w:val="003C69A7"/>
    <w:rsid w:val="003C6BED"/>
    <w:rsid w:val="003C7965"/>
    <w:rsid w:val="003C7D06"/>
    <w:rsid w:val="003C7EF7"/>
    <w:rsid w:val="003D0E1F"/>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AC4"/>
    <w:rsid w:val="003E35DB"/>
    <w:rsid w:val="003E3816"/>
    <w:rsid w:val="003E4979"/>
    <w:rsid w:val="003E4B79"/>
    <w:rsid w:val="003E4B85"/>
    <w:rsid w:val="003E555D"/>
    <w:rsid w:val="003E581F"/>
    <w:rsid w:val="003E5F16"/>
    <w:rsid w:val="003E634D"/>
    <w:rsid w:val="003E64BB"/>
    <w:rsid w:val="003E6AC1"/>
    <w:rsid w:val="003E7EEA"/>
    <w:rsid w:val="003F01E7"/>
    <w:rsid w:val="003F18CF"/>
    <w:rsid w:val="003F1E07"/>
    <w:rsid w:val="003F2BFE"/>
    <w:rsid w:val="003F3A44"/>
    <w:rsid w:val="003F3CDE"/>
    <w:rsid w:val="003F5325"/>
    <w:rsid w:val="003F5F0A"/>
    <w:rsid w:val="003F664F"/>
    <w:rsid w:val="003F6DF4"/>
    <w:rsid w:val="003F7022"/>
    <w:rsid w:val="003F7263"/>
    <w:rsid w:val="003F7D77"/>
    <w:rsid w:val="00400A5E"/>
    <w:rsid w:val="00400F61"/>
    <w:rsid w:val="004015B0"/>
    <w:rsid w:val="004016AD"/>
    <w:rsid w:val="00401A15"/>
    <w:rsid w:val="00401C5B"/>
    <w:rsid w:val="00401DB1"/>
    <w:rsid w:val="004020FB"/>
    <w:rsid w:val="0040230D"/>
    <w:rsid w:val="0040241D"/>
    <w:rsid w:val="004028D0"/>
    <w:rsid w:val="00402940"/>
    <w:rsid w:val="00403226"/>
    <w:rsid w:val="00403827"/>
    <w:rsid w:val="004040E3"/>
    <w:rsid w:val="00404D4D"/>
    <w:rsid w:val="00406AF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11F"/>
    <w:rsid w:val="00416787"/>
    <w:rsid w:val="00416893"/>
    <w:rsid w:val="00420226"/>
    <w:rsid w:val="004203CA"/>
    <w:rsid w:val="004208D7"/>
    <w:rsid w:val="00420CA2"/>
    <w:rsid w:val="00421878"/>
    <w:rsid w:val="00421AEE"/>
    <w:rsid w:val="004228EE"/>
    <w:rsid w:val="00422BB1"/>
    <w:rsid w:val="00422C53"/>
    <w:rsid w:val="00422D87"/>
    <w:rsid w:val="0042325A"/>
    <w:rsid w:val="0042336F"/>
    <w:rsid w:val="004234EF"/>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81D"/>
    <w:rsid w:val="00431A01"/>
    <w:rsid w:val="00431A68"/>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29EB"/>
    <w:rsid w:val="00442BE9"/>
    <w:rsid w:val="004437F3"/>
    <w:rsid w:val="00443A3A"/>
    <w:rsid w:val="00443AE0"/>
    <w:rsid w:val="00443D1A"/>
    <w:rsid w:val="004442B1"/>
    <w:rsid w:val="004443FB"/>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3FC"/>
    <w:rsid w:val="004529D7"/>
    <w:rsid w:val="00452A11"/>
    <w:rsid w:val="00453BF4"/>
    <w:rsid w:val="00453D94"/>
    <w:rsid w:val="00454571"/>
    <w:rsid w:val="00455AFA"/>
    <w:rsid w:val="00456308"/>
    <w:rsid w:val="004566BE"/>
    <w:rsid w:val="0045682E"/>
    <w:rsid w:val="004568B4"/>
    <w:rsid w:val="00457142"/>
    <w:rsid w:val="004573A4"/>
    <w:rsid w:val="00457493"/>
    <w:rsid w:val="00457958"/>
    <w:rsid w:val="0046043D"/>
    <w:rsid w:val="00460EF6"/>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EFD"/>
    <w:rsid w:val="00470535"/>
    <w:rsid w:val="00471183"/>
    <w:rsid w:val="0047123C"/>
    <w:rsid w:val="004714F6"/>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B0E"/>
    <w:rsid w:val="00481688"/>
    <w:rsid w:val="004820E0"/>
    <w:rsid w:val="004822CA"/>
    <w:rsid w:val="00483F95"/>
    <w:rsid w:val="00484D20"/>
    <w:rsid w:val="004850C1"/>
    <w:rsid w:val="00486F54"/>
    <w:rsid w:val="004871B4"/>
    <w:rsid w:val="004876DD"/>
    <w:rsid w:val="0049067E"/>
    <w:rsid w:val="0049178A"/>
    <w:rsid w:val="00491C1D"/>
    <w:rsid w:val="00491DF1"/>
    <w:rsid w:val="00492535"/>
    <w:rsid w:val="00493435"/>
    <w:rsid w:val="00493C39"/>
    <w:rsid w:val="0049434C"/>
    <w:rsid w:val="00494B28"/>
    <w:rsid w:val="00495FFF"/>
    <w:rsid w:val="00496591"/>
    <w:rsid w:val="00496A9F"/>
    <w:rsid w:val="00496EB5"/>
    <w:rsid w:val="00497358"/>
    <w:rsid w:val="00497FA5"/>
    <w:rsid w:val="004A03B3"/>
    <w:rsid w:val="004A04D5"/>
    <w:rsid w:val="004A07CC"/>
    <w:rsid w:val="004A0F3D"/>
    <w:rsid w:val="004A1361"/>
    <w:rsid w:val="004A1B07"/>
    <w:rsid w:val="004A2E04"/>
    <w:rsid w:val="004A2F65"/>
    <w:rsid w:val="004A3226"/>
    <w:rsid w:val="004A399F"/>
    <w:rsid w:val="004A4096"/>
    <w:rsid w:val="004A4692"/>
    <w:rsid w:val="004A669F"/>
    <w:rsid w:val="004A6842"/>
    <w:rsid w:val="004A718C"/>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B5D"/>
    <w:rsid w:val="004B7D94"/>
    <w:rsid w:val="004C0FB7"/>
    <w:rsid w:val="004C104B"/>
    <w:rsid w:val="004C164A"/>
    <w:rsid w:val="004C2E14"/>
    <w:rsid w:val="004C2E3A"/>
    <w:rsid w:val="004C2FE3"/>
    <w:rsid w:val="004C305A"/>
    <w:rsid w:val="004C34B9"/>
    <w:rsid w:val="004C35EF"/>
    <w:rsid w:val="004C3BCF"/>
    <w:rsid w:val="004C4829"/>
    <w:rsid w:val="004C48E5"/>
    <w:rsid w:val="004C4D30"/>
    <w:rsid w:val="004C4EAB"/>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C7"/>
    <w:rsid w:val="004E356A"/>
    <w:rsid w:val="004E375D"/>
    <w:rsid w:val="004E3850"/>
    <w:rsid w:val="004E3FC1"/>
    <w:rsid w:val="004E58EA"/>
    <w:rsid w:val="004E5966"/>
    <w:rsid w:val="004E5F65"/>
    <w:rsid w:val="004E6172"/>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3551"/>
    <w:rsid w:val="005037BB"/>
    <w:rsid w:val="00503F38"/>
    <w:rsid w:val="005043FC"/>
    <w:rsid w:val="00504855"/>
    <w:rsid w:val="00504A55"/>
    <w:rsid w:val="00505F08"/>
    <w:rsid w:val="0050671D"/>
    <w:rsid w:val="0050672C"/>
    <w:rsid w:val="00506C4C"/>
    <w:rsid w:val="0050700E"/>
    <w:rsid w:val="005079D7"/>
    <w:rsid w:val="00507B2A"/>
    <w:rsid w:val="00507F8E"/>
    <w:rsid w:val="00510A22"/>
    <w:rsid w:val="00510D8A"/>
    <w:rsid w:val="005118DF"/>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439F"/>
    <w:rsid w:val="005243EB"/>
    <w:rsid w:val="00524CF5"/>
    <w:rsid w:val="00525789"/>
    <w:rsid w:val="00525890"/>
    <w:rsid w:val="00526452"/>
    <w:rsid w:val="00526816"/>
    <w:rsid w:val="00526F09"/>
    <w:rsid w:val="00527B60"/>
    <w:rsid w:val="00527F4F"/>
    <w:rsid w:val="0053043F"/>
    <w:rsid w:val="00530512"/>
    <w:rsid w:val="00530799"/>
    <w:rsid w:val="0053109F"/>
    <w:rsid w:val="005311E8"/>
    <w:rsid w:val="005312C4"/>
    <w:rsid w:val="0053133A"/>
    <w:rsid w:val="0053178D"/>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7753"/>
    <w:rsid w:val="005479F5"/>
    <w:rsid w:val="00547D90"/>
    <w:rsid w:val="005508EF"/>
    <w:rsid w:val="005510E3"/>
    <w:rsid w:val="0055173F"/>
    <w:rsid w:val="00551AE8"/>
    <w:rsid w:val="00551D57"/>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775"/>
    <w:rsid w:val="005647AB"/>
    <w:rsid w:val="00564A82"/>
    <w:rsid w:val="00564F25"/>
    <w:rsid w:val="00566C28"/>
    <w:rsid w:val="00566EBC"/>
    <w:rsid w:val="00567500"/>
    <w:rsid w:val="0056753D"/>
    <w:rsid w:val="0056778B"/>
    <w:rsid w:val="00567811"/>
    <w:rsid w:val="00567938"/>
    <w:rsid w:val="00567CDA"/>
    <w:rsid w:val="00570163"/>
    <w:rsid w:val="005701B3"/>
    <w:rsid w:val="005702BD"/>
    <w:rsid w:val="005704B1"/>
    <w:rsid w:val="0057182E"/>
    <w:rsid w:val="00572749"/>
    <w:rsid w:val="005739F4"/>
    <w:rsid w:val="00573A7F"/>
    <w:rsid w:val="00573EE1"/>
    <w:rsid w:val="0057406C"/>
    <w:rsid w:val="00575051"/>
    <w:rsid w:val="00575295"/>
    <w:rsid w:val="005758E3"/>
    <w:rsid w:val="0057605A"/>
    <w:rsid w:val="00576CB4"/>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D18"/>
    <w:rsid w:val="00590EDD"/>
    <w:rsid w:val="00591988"/>
    <w:rsid w:val="005921C8"/>
    <w:rsid w:val="005922A3"/>
    <w:rsid w:val="0059239E"/>
    <w:rsid w:val="005924DB"/>
    <w:rsid w:val="005929E8"/>
    <w:rsid w:val="00592A2E"/>
    <w:rsid w:val="00592E30"/>
    <w:rsid w:val="00593155"/>
    <w:rsid w:val="0059353B"/>
    <w:rsid w:val="005938DB"/>
    <w:rsid w:val="00594027"/>
    <w:rsid w:val="005949FB"/>
    <w:rsid w:val="00594BC7"/>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41B3"/>
    <w:rsid w:val="005B4289"/>
    <w:rsid w:val="005B57DC"/>
    <w:rsid w:val="005B5926"/>
    <w:rsid w:val="005B5A74"/>
    <w:rsid w:val="005B5DBE"/>
    <w:rsid w:val="005B66DA"/>
    <w:rsid w:val="005B6927"/>
    <w:rsid w:val="005B698D"/>
    <w:rsid w:val="005B6B33"/>
    <w:rsid w:val="005B6B72"/>
    <w:rsid w:val="005B6BFD"/>
    <w:rsid w:val="005B7164"/>
    <w:rsid w:val="005B7331"/>
    <w:rsid w:val="005B75B6"/>
    <w:rsid w:val="005B7F6E"/>
    <w:rsid w:val="005C12AC"/>
    <w:rsid w:val="005C1C90"/>
    <w:rsid w:val="005C1CEF"/>
    <w:rsid w:val="005C2802"/>
    <w:rsid w:val="005C3964"/>
    <w:rsid w:val="005C428A"/>
    <w:rsid w:val="005C4330"/>
    <w:rsid w:val="005C4544"/>
    <w:rsid w:val="005C4787"/>
    <w:rsid w:val="005C5113"/>
    <w:rsid w:val="005C54B8"/>
    <w:rsid w:val="005C557C"/>
    <w:rsid w:val="005C56B7"/>
    <w:rsid w:val="005C5CDF"/>
    <w:rsid w:val="005C619F"/>
    <w:rsid w:val="005C677E"/>
    <w:rsid w:val="005C6CD0"/>
    <w:rsid w:val="005C7072"/>
    <w:rsid w:val="005C740D"/>
    <w:rsid w:val="005C785E"/>
    <w:rsid w:val="005C78D5"/>
    <w:rsid w:val="005D00B6"/>
    <w:rsid w:val="005D101F"/>
    <w:rsid w:val="005D1247"/>
    <w:rsid w:val="005D1D1F"/>
    <w:rsid w:val="005D1D60"/>
    <w:rsid w:val="005D205D"/>
    <w:rsid w:val="005D2F54"/>
    <w:rsid w:val="005D33D2"/>
    <w:rsid w:val="005D353D"/>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EB4"/>
    <w:rsid w:val="005E40C8"/>
    <w:rsid w:val="005E43DF"/>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1E9"/>
    <w:rsid w:val="005F764A"/>
    <w:rsid w:val="005F7FCE"/>
    <w:rsid w:val="0060008E"/>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D19"/>
    <w:rsid w:val="0061330F"/>
    <w:rsid w:val="00613641"/>
    <w:rsid w:val="00613B4D"/>
    <w:rsid w:val="00614139"/>
    <w:rsid w:val="00614483"/>
    <w:rsid w:val="0061478C"/>
    <w:rsid w:val="0061516E"/>
    <w:rsid w:val="006151BC"/>
    <w:rsid w:val="00615204"/>
    <w:rsid w:val="006154F0"/>
    <w:rsid w:val="00615E77"/>
    <w:rsid w:val="00616128"/>
    <w:rsid w:val="00616221"/>
    <w:rsid w:val="006162A3"/>
    <w:rsid w:val="00616C7D"/>
    <w:rsid w:val="0061735F"/>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68B"/>
    <w:rsid w:val="00627941"/>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3E4"/>
    <w:rsid w:val="00636EF8"/>
    <w:rsid w:val="00636FEF"/>
    <w:rsid w:val="0063715F"/>
    <w:rsid w:val="0063764D"/>
    <w:rsid w:val="006377DB"/>
    <w:rsid w:val="006405A2"/>
    <w:rsid w:val="00640699"/>
    <w:rsid w:val="0064096C"/>
    <w:rsid w:val="006415EB"/>
    <w:rsid w:val="006417E0"/>
    <w:rsid w:val="006418D2"/>
    <w:rsid w:val="006419D4"/>
    <w:rsid w:val="00641B37"/>
    <w:rsid w:val="00641E1E"/>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B9B"/>
    <w:rsid w:val="00650C5E"/>
    <w:rsid w:val="00651147"/>
    <w:rsid w:val="0065131D"/>
    <w:rsid w:val="00651DC1"/>
    <w:rsid w:val="00651FD6"/>
    <w:rsid w:val="0065234B"/>
    <w:rsid w:val="0065252C"/>
    <w:rsid w:val="00652C8F"/>
    <w:rsid w:val="00653AC4"/>
    <w:rsid w:val="00653C52"/>
    <w:rsid w:val="006540C1"/>
    <w:rsid w:val="00654642"/>
    <w:rsid w:val="00654AF4"/>
    <w:rsid w:val="00654CB8"/>
    <w:rsid w:val="0065561D"/>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FB2"/>
    <w:rsid w:val="00670D2E"/>
    <w:rsid w:val="0067269F"/>
    <w:rsid w:val="006726CB"/>
    <w:rsid w:val="0067272F"/>
    <w:rsid w:val="00673BA4"/>
    <w:rsid w:val="00674C5D"/>
    <w:rsid w:val="00674ED8"/>
    <w:rsid w:val="00675793"/>
    <w:rsid w:val="00675C5E"/>
    <w:rsid w:val="00676F0B"/>
    <w:rsid w:val="006773D1"/>
    <w:rsid w:val="006801BB"/>
    <w:rsid w:val="006802E3"/>
    <w:rsid w:val="00680CC6"/>
    <w:rsid w:val="00681010"/>
    <w:rsid w:val="0068241B"/>
    <w:rsid w:val="00683889"/>
    <w:rsid w:val="006842A2"/>
    <w:rsid w:val="006846DB"/>
    <w:rsid w:val="006848BB"/>
    <w:rsid w:val="00685075"/>
    <w:rsid w:val="00685339"/>
    <w:rsid w:val="00685597"/>
    <w:rsid w:val="00686338"/>
    <w:rsid w:val="0068731C"/>
    <w:rsid w:val="00687F2E"/>
    <w:rsid w:val="006904AD"/>
    <w:rsid w:val="006905F1"/>
    <w:rsid w:val="006912E6"/>
    <w:rsid w:val="006914E9"/>
    <w:rsid w:val="00691815"/>
    <w:rsid w:val="00691E51"/>
    <w:rsid w:val="006920CA"/>
    <w:rsid w:val="006927F0"/>
    <w:rsid w:val="00692ACB"/>
    <w:rsid w:val="00692C4E"/>
    <w:rsid w:val="006936DB"/>
    <w:rsid w:val="00693801"/>
    <w:rsid w:val="00693C26"/>
    <w:rsid w:val="006944B8"/>
    <w:rsid w:val="00694706"/>
    <w:rsid w:val="00694DF8"/>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77A"/>
    <w:rsid w:val="006A7AE9"/>
    <w:rsid w:val="006A7C9D"/>
    <w:rsid w:val="006B0264"/>
    <w:rsid w:val="006B1E59"/>
    <w:rsid w:val="006B2995"/>
    <w:rsid w:val="006B2F13"/>
    <w:rsid w:val="006B3EFD"/>
    <w:rsid w:val="006B40C8"/>
    <w:rsid w:val="006B472A"/>
    <w:rsid w:val="006B549F"/>
    <w:rsid w:val="006B65CB"/>
    <w:rsid w:val="006B765D"/>
    <w:rsid w:val="006C0867"/>
    <w:rsid w:val="006C12F3"/>
    <w:rsid w:val="006C1D4C"/>
    <w:rsid w:val="006C215A"/>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2290"/>
    <w:rsid w:val="006E2C6D"/>
    <w:rsid w:val="006E33D2"/>
    <w:rsid w:val="006E374B"/>
    <w:rsid w:val="006E3B50"/>
    <w:rsid w:val="006E44D3"/>
    <w:rsid w:val="006E4705"/>
    <w:rsid w:val="006E470D"/>
    <w:rsid w:val="006E49DF"/>
    <w:rsid w:val="006E4E81"/>
    <w:rsid w:val="006E58CF"/>
    <w:rsid w:val="006E6241"/>
    <w:rsid w:val="006E645F"/>
    <w:rsid w:val="006E6F3D"/>
    <w:rsid w:val="006F0B4A"/>
    <w:rsid w:val="006F117D"/>
    <w:rsid w:val="006F1195"/>
    <w:rsid w:val="006F13F3"/>
    <w:rsid w:val="006F1DBD"/>
    <w:rsid w:val="006F1E00"/>
    <w:rsid w:val="006F28C3"/>
    <w:rsid w:val="006F301F"/>
    <w:rsid w:val="006F4EDA"/>
    <w:rsid w:val="006F5847"/>
    <w:rsid w:val="006F5B1A"/>
    <w:rsid w:val="006F5F76"/>
    <w:rsid w:val="006F6790"/>
    <w:rsid w:val="00700821"/>
    <w:rsid w:val="00700E98"/>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2020"/>
    <w:rsid w:val="00712026"/>
    <w:rsid w:val="007121C0"/>
    <w:rsid w:val="00712638"/>
    <w:rsid w:val="0071276A"/>
    <w:rsid w:val="00712B22"/>
    <w:rsid w:val="00712D93"/>
    <w:rsid w:val="00713806"/>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206C"/>
    <w:rsid w:val="007223DC"/>
    <w:rsid w:val="0072242A"/>
    <w:rsid w:val="00722BE6"/>
    <w:rsid w:val="00722CD9"/>
    <w:rsid w:val="00722E26"/>
    <w:rsid w:val="00722EF9"/>
    <w:rsid w:val="007232F1"/>
    <w:rsid w:val="00723F60"/>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927"/>
    <w:rsid w:val="00737A4B"/>
    <w:rsid w:val="00740008"/>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6EC"/>
    <w:rsid w:val="00757957"/>
    <w:rsid w:val="00760978"/>
    <w:rsid w:val="00760D42"/>
    <w:rsid w:val="007623B0"/>
    <w:rsid w:val="00762A7D"/>
    <w:rsid w:val="00762F6E"/>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FF9"/>
    <w:rsid w:val="0078285C"/>
    <w:rsid w:val="00782B30"/>
    <w:rsid w:val="00782FA6"/>
    <w:rsid w:val="00783A36"/>
    <w:rsid w:val="007845D4"/>
    <w:rsid w:val="00784DF0"/>
    <w:rsid w:val="00785A38"/>
    <w:rsid w:val="00785C2A"/>
    <w:rsid w:val="0078668F"/>
    <w:rsid w:val="0078700E"/>
    <w:rsid w:val="00787339"/>
    <w:rsid w:val="0078755B"/>
    <w:rsid w:val="00787B59"/>
    <w:rsid w:val="00787EB2"/>
    <w:rsid w:val="007900A9"/>
    <w:rsid w:val="00790DC4"/>
    <w:rsid w:val="007910C3"/>
    <w:rsid w:val="00791110"/>
    <w:rsid w:val="00791250"/>
    <w:rsid w:val="0079150D"/>
    <w:rsid w:val="00791DE1"/>
    <w:rsid w:val="00793181"/>
    <w:rsid w:val="007936BD"/>
    <w:rsid w:val="007936C1"/>
    <w:rsid w:val="00793D45"/>
    <w:rsid w:val="00795E20"/>
    <w:rsid w:val="00796787"/>
    <w:rsid w:val="007975BD"/>
    <w:rsid w:val="007978C7"/>
    <w:rsid w:val="00797B7E"/>
    <w:rsid w:val="007A05A2"/>
    <w:rsid w:val="007A10D6"/>
    <w:rsid w:val="007A12EE"/>
    <w:rsid w:val="007A138C"/>
    <w:rsid w:val="007A1834"/>
    <w:rsid w:val="007A1856"/>
    <w:rsid w:val="007A1C3A"/>
    <w:rsid w:val="007A1E52"/>
    <w:rsid w:val="007A2A4D"/>
    <w:rsid w:val="007A31B2"/>
    <w:rsid w:val="007A3629"/>
    <w:rsid w:val="007A385C"/>
    <w:rsid w:val="007A38F5"/>
    <w:rsid w:val="007A3D24"/>
    <w:rsid w:val="007A4755"/>
    <w:rsid w:val="007A4860"/>
    <w:rsid w:val="007A4CAF"/>
    <w:rsid w:val="007A4F7B"/>
    <w:rsid w:val="007A61E4"/>
    <w:rsid w:val="007A704A"/>
    <w:rsid w:val="007A7242"/>
    <w:rsid w:val="007B01CF"/>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388"/>
    <w:rsid w:val="007D25B9"/>
    <w:rsid w:val="007D2BE8"/>
    <w:rsid w:val="007D3066"/>
    <w:rsid w:val="007D421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45CA"/>
    <w:rsid w:val="007E48C0"/>
    <w:rsid w:val="007E5885"/>
    <w:rsid w:val="007E61B7"/>
    <w:rsid w:val="007E64FF"/>
    <w:rsid w:val="007E6F62"/>
    <w:rsid w:val="007E6FEA"/>
    <w:rsid w:val="007E7C7B"/>
    <w:rsid w:val="007E7DA1"/>
    <w:rsid w:val="007E7E0F"/>
    <w:rsid w:val="007E7F8F"/>
    <w:rsid w:val="007F015E"/>
    <w:rsid w:val="007F1160"/>
    <w:rsid w:val="007F194F"/>
    <w:rsid w:val="007F1D9B"/>
    <w:rsid w:val="007F21B0"/>
    <w:rsid w:val="007F26BE"/>
    <w:rsid w:val="007F2DE9"/>
    <w:rsid w:val="007F341B"/>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91F"/>
    <w:rsid w:val="00815A7E"/>
    <w:rsid w:val="00815A99"/>
    <w:rsid w:val="00815E5B"/>
    <w:rsid w:val="008160D1"/>
    <w:rsid w:val="008162B3"/>
    <w:rsid w:val="0081640D"/>
    <w:rsid w:val="0081687A"/>
    <w:rsid w:val="008169A1"/>
    <w:rsid w:val="00816B62"/>
    <w:rsid w:val="00816D37"/>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F18"/>
    <w:rsid w:val="008251E7"/>
    <w:rsid w:val="00825417"/>
    <w:rsid w:val="00826181"/>
    <w:rsid w:val="008262BC"/>
    <w:rsid w:val="008266A2"/>
    <w:rsid w:val="008267AE"/>
    <w:rsid w:val="00826970"/>
    <w:rsid w:val="008304AD"/>
    <w:rsid w:val="00830B33"/>
    <w:rsid w:val="0083118A"/>
    <w:rsid w:val="00831784"/>
    <w:rsid w:val="00831CBC"/>
    <w:rsid w:val="00832727"/>
    <w:rsid w:val="00833563"/>
    <w:rsid w:val="008337C1"/>
    <w:rsid w:val="00833C32"/>
    <w:rsid w:val="00834F23"/>
    <w:rsid w:val="00835092"/>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989"/>
    <w:rsid w:val="008772D9"/>
    <w:rsid w:val="00877B29"/>
    <w:rsid w:val="00880143"/>
    <w:rsid w:val="008808B9"/>
    <w:rsid w:val="00880B30"/>
    <w:rsid w:val="00880F1D"/>
    <w:rsid w:val="0088172A"/>
    <w:rsid w:val="00881784"/>
    <w:rsid w:val="00881F90"/>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184"/>
    <w:rsid w:val="008875B1"/>
    <w:rsid w:val="008879EA"/>
    <w:rsid w:val="00890139"/>
    <w:rsid w:val="0089160E"/>
    <w:rsid w:val="00891D15"/>
    <w:rsid w:val="008921B1"/>
    <w:rsid w:val="00892687"/>
    <w:rsid w:val="00893386"/>
    <w:rsid w:val="0089363C"/>
    <w:rsid w:val="00893657"/>
    <w:rsid w:val="00893671"/>
    <w:rsid w:val="00893D79"/>
    <w:rsid w:val="008940DF"/>
    <w:rsid w:val="008941FB"/>
    <w:rsid w:val="00894565"/>
    <w:rsid w:val="008950D6"/>
    <w:rsid w:val="00895B46"/>
    <w:rsid w:val="00896474"/>
    <w:rsid w:val="00896DBC"/>
    <w:rsid w:val="0089778E"/>
    <w:rsid w:val="00897B59"/>
    <w:rsid w:val="00897C6C"/>
    <w:rsid w:val="00897D1A"/>
    <w:rsid w:val="008A0905"/>
    <w:rsid w:val="008A0B02"/>
    <w:rsid w:val="008A0E0D"/>
    <w:rsid w:val="008A10E7"/>
    <w:rsid w:val="008A154A"/>
    <w:rsid w:val="008A155C"/>
    <w:rsid w:val="008A180E"/>
    <w:rsid w:val="008A197C"/>
    <w:rsid w:val="008A2545"/>
    <w:rsid w:val="008A2636"/>
    <w:rsid w:val="008A35DB"/>
    <w:rsid w:val="008A3AF9"/>
    <w:rsid w:val="008A3FBE"/>
    <w:rsid w:val="008A4013"/>
    <w:rsid w:val="008A42FA"/>
    <w:rsid w:val="008A4C9C"/>
    <w:rsid w:val="008A6041"/>
    <w:rsid w:val="008A60F8"/>
    <w:rsid w:val="008A66A8"/>
    <w:rsid w:val="008A69FE"/>
    <w:rsid w:val="008A6EC7"/>
    <w:rsid w:val="008A6F36"/>
    <w:rsid w:val="008A7286"/>
    <w:rsid w:val="008A7B50"/>
    <w:rsid w:val="008B0641"/>
    <w:rsid w:val="008B0EB7"/>
    <w:rsid w:val="008B138E"/>
    <w:rsid w:val="008B168B"/>
    <w:rsid w:val="008B1C78"/>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C0EAD"/>
    <w:rsid w:val="008C1442"/>
    <w:rsid w:val="008C1693"/>
    <w:rsid w:val="008C174E"/>
    <w:rsid w:val="008C19D9"/>
    <w:rsid w:val="008C1A5E"/>
    <w:rsid w:val="008C1A81"/>
    <w:rsid w:val="008C2933"/>
    <w:rsid w:val="008C29FE"/>
    <w:rsid w:val="008C32CA"/>
    <w:rsid w:val="008C3967"/>
    <w:rsid w:val="008C431E"/>
    <w:rsid w:val="008C54BD"/>
    <w:rsid w:val="008C54C4"/>
    <w:rsid w:val="008C55A5"/>
    <w:rsid w:val="008C6056"/>
    <w:rsid w:val="008C60C4"/>
    <w:rsid w:val="008C6628"/>
    <w:rsid w:val="008C69C9"/>
    <w:rsid w:val="008C6E38"/>
    <w:rsid w:val="008C6F75"/>
    <w:rsid w:val="008C790B"/>
    <w:rsid w:val="008C7C18"/>
    <w:rsid w:val="008C7CC4"/>
    <w:rsid w:val="008D047D"/>
    <w:rsid w:val="008D0B4C"/>
    <w:rsid w:val="008D14C4"/>
    <w:rsid w:val="008D1800"/>
    <w:rsid w:val="008D1964"/>
    <w:rsid w:val="008D221A"/>
    <w:rsid w:val="008D24D6"/>
    <w:rsid w:val="008D24E1"/>
    <w:rsid w:val="008D3E6A"/>
    <w:rsid w:val="008D53E2"/>
    <w:rsid w:val="008D5908"/>
    <w:rsid w:val="008D5AF1"/>
    <w:rsid w:val="008D626C"/>
    <w:rsid w:val="008D6A6E"/>
    <w:rsid w:val="008D781F"/>
    <w:rsid w:val="008D7DBE"/>
    <w:rsid w:val="008E02B7"/>
    <w:rsid w:val="008E20BE"/>
    <w:rsid w:val="008E241B"/>
    <w:rsid w:val="008E3096"/>
    <w:rsid w:val="008E330C"/>
    <w:rsid w:val="008E332F"/>
    <w:rsid w:val="008E3BB5"/>
    <w:rsid w:val="008E4114"/>
    <w:rsid w:val="008E45EA"/>
    <w:rsid w:val="008E4A1A"/>
    <w:rsid w:val="008E5E01"/>
    <w:rsid w:val="008E69A3"/>
    <w:rsid w:val="008E7562"/>
    <w:rsid w:val="008E7CC9"/>
    <w:rsid w:val="008F02A1"/>
    <w:rsid w:val="008F0624"/>
    <w:rsid w:val="008F0E69"/>
    <w:rsid w:val="008F0F3B"/>
    <w:rsid w:val="008F12FF"/>
    <w:rsid w:val="008F2672"/>
    <w:rsid w:val="008F2E53"/>
    <w:rsid w:val="008F3D3E"/>
    <w:rsid w:val="008F3F31"/>
    <w:rsid w:val="008F4655"/>
    <w:rsid w:val="008F4779"/>
    <w:rsid w:val="008F542B"/>
    <w:rsid w:val="008F5670"/>
    <w:rsid w:val="008F599F"/>
    <w:rsid w:val="008F63DF"/>
    <w:rsid w:val="008F6428"/>
    <w:rsid w:val="008F64E5"/>
    <w:rsid w:val="008F677E"/>
    <w:rsid w:val="008F7C28"/>
    <w:rsid w:val="0090034D"/>
    <w:rsid w:val="00900EC7"/>
    <w:rsid w:val="00900FFC"/>
    <w:rsid w:val="009011F9"/>
    <w:rsid w:val="00901244"/>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F4C"/>
    <w:rsid w:val="0091006A"/>
    <w:rsid w:val="00910B57"/>
    <w:rsid w:val="0091148A"/>
    <w:rsid w:val="00911FD7"/>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668D"/>
    <w:rsid w:val="009271AB"/>
    <w:rsid w:val="00927281"/>
    <w:rsid w:val="009273B8"/>
    <w:rsid w:val="00927A20"/>
    <w:rsid w:val="00930298"/>
    <w:rsid w:val="009302A6"/>
    <w:rsid w:val="00931325"/>
    <w:rsid w:val="009319DC"/>
    <w:rsid w:val="00931AAD"/>
    <w:rsid w:val="00931E6D"/>
    <w:rsid w:val="00932120"/>
    <w:rsid w:val="00932D04"/>
    <w:rsid w:val="00932E9E"/>
    <w:rsid w:val="00933B8A"/>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243B"/>
    <w:rsid w:val="009425EB"/>
    <w:rsid w:val="00942810"/>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459"/>
    <w:rsid w:val="009657D5"/>
    <w:rsid w:val="00965F9F"/>
    <w:rsid w:val="00966141"/>
    <w:rsid w:val="009662EC"/>
    <w:rsid w:val="00966611"/>
    <w:rsid w:val="0096682A"/>
    <w:rsid w:val="009669CC"/>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DF0"/>
    <w:rsid w:val="00980F3F"/>
    <w:rsid w:val="0098117A"/>
    <w:rsid w:val="00981D1C"/>
    <w:rsid w:val="00982214"/>
    <w:rsid w:val="009823D4"/>
    <w:rsid w:val="00982474"/>
    <w:rsid w:val="00983285"/>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2097"/>
    <w:rsid w:val="00992158"/>
    <w:rsid w:val="00992869"/>
    <w:rsid w:val="00992914"/>
    <w:rsid w:val="00992C47"/>
    <w:rsid w:val="00993776"/>
    <w:rsid w:val="00993832"/>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AEA"/>
    <w:rsid w:val="009A6C33"/>
    <w:rsid w:val="009A6CC5"/>
    <w:rsid w:val="009B1F3A"/>
    <w:rsid w:val="009B2766"/>
    <w:rsid w:val="009B32F0"/>
    <w:rsid w:val="009B3EB4"/>
    <w:rsid w:val="009B3F21"/>
    <w:rsid w:val="009B42BE"/>
    <w:rsid w:val="009B5167"/>
    <w:rsid w:val="009B5973"/>
    <w:rsid w:val="009B5B48"/>
    <w:rsid w:val="009B62E6"/>
    <w:rsid w:val="009B67C4"/>
    <w:rsid w:val="009B6A3F"/>
    <w:rsid w:val="009B6C5A"/>
    <w:rsid w:val="009B71E1"/>
    <w:rsid w:val="009B76C4"/>
    <w:rsid w:val="009B78E7"/>
    <w:rsid w:val="009C0448"/>
    <w:rsid w:val="009C0615"/>
    <w:rsid w:val="009C0CF8"/>
    <w:rsid w:val="009C0CF9"/>
    <w:rsid w:val="009C125A"/>
    <w:rsid w:val="009C1EB2"/>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95E"/>
    <w:rsid w:val="00A07D26"/>
    <w:rsid w:val="00A1036E"/>
    <w:rsid w:val="00A104A1"/>
    <w:rsid w:val="00A10BF6"/>
    <w:rsid w:val="00A10D80"/>
    <w:rsid w:val="00A10FC7"/>
    <w:rsid w:val="00A11671"/>
    <w:rsid w:val="00A1187C"/>
    <w:rsid w:val="00A11D6C"/>
    <w:rsid w:val="00A12CCC"/>
    <w:rsid w:val="00A12D1A"/>
    <w:rsid w:val="00A12E07"/>
    <w:rsid w:val="00A12F3D"/>
    <w:rsid w:val="00A13A4E"/>
    <w:rsid w:val="00A15566"/>
    <w:rsid w:val="00A15775"/>
    <w:rsid w:val="00A15AA3"/>
    <w:rsid w:val="00A15B2D"/>
    <w:rsid w:val="00A1616C"/>
    <w:rsid w:val="00A163CD"/>
    <w:rsid w:val="00A16778"/>
    <w:rsid w:val="00A16B57"/>
    <w:rsid w:val="00A20224"/>
    <w:rsid w:val="00A2120A"/>
    <w:rsid w:val="00A21424"/>
    <w:rsid w:val="00A21890"/>
    <w:rsid w:val="00A21997"/>
    <w:rsid w:val="00A22A08"/>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D00"/>
    <w:rsid w:val="00A32051"/>
    <w:rsid w:val="00A32AE0"/>
    <w:rsid w:val="00A32B77"/>
    <w:rsid w:val="00A32BB4"/>
    <w:rsid w:val="00A33983"/>
    <w:rsid w:val="00A33CCF"/>
    <w:rsid w:val="00A34BF6"/>
    <w:rsid w:val="00A3578D"/>
    <w:rsid w:val="00A35D65"/>
    <w:rsid w:val="00A3630A"/>
    <w:rsid w:val="00A36CF6"/>
    <w:rsid w:val="00A36EC5"/>
    <w:rsid w:val="00A37EDA"/>
    <w:rsid w:val="00A4035D"/>
    <w:rsid w:val="00A413A3"/>
    <w:rsid w:val="00A42CD1"/>
    <w:rsid w:val="00A43270"/>
    <w:rsid w:val="00A44D93"/>
    <w:rsid w:val="00A4539E"/>
    <w:rsid w:val="00A45DFF"/>
    <w:rsid w:val="00A46080"/>
    <w:rsid w:val="00A461CB"/>
    <w:rsid w:val="00A46C6C"/>
    <w:rsid w:val="00A46EB1"/>
    <w:rsid w:val="00A47A54"/>
    <w:rsid w:val="00A47C59"/>
    <w:rsid w:val="00A50FEC"/>
    <w:rsid w:val="00A51FC3"/>
    <w:rsid w:val="00A532FC"/>
    <w:rsid w:val="00A53624"/>
    <w:rsid w:val="00A539B2"/>
    <w:rsid w:val="00A54F72"/>
    <w:rsid w:val="00A565B6"/>
    <w:rsid w:val="00A567E2"/>
    <w:rsid w:val="00A56806"/>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8BA"/>
    <w:rsid w:val="00A709AE"/>
    <w:rsid w:val="00A70DCB"/>
    <w:rsid w:val="00A70E5B"/>
    <w:rsid w:val="00A71423"/>
    <w:rsid w:val="00A71FD1"/>
    <w:rsid w:val="00A720C2"/>
    <w:rsid w:val="00A7248F"/>
    <w:rsid w:val="00A72733"/>
    <w:rsid w:val="00A72BC8"/>
    <w:rsid w:val="00A72C04"/>
    <w:rsid w:val="00A72FE2"/>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8B7"/>
    <w:rsid w:val="00A92DB9"/>
    <w:rsid w:val="00A93738"/>
    <w:rsid w:val="00A94084"/>
    <w:rsid w:val="00A9446E"/>
    <w:rsid w:val="00A9579F"/>
    <w:rsid w:val="00A96852"/>
    <w:rsid w:val="00A96C21"/>
    <w:rsid w:val="00A9791D"/>
    <w:rsid w:val="00A97D4A"/>
    <w:rsid w:val="00A97DB8"/>
    <w:rsid w:val="00AA0209"/>
    <w:rsid w:val="00AA03A6"/>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204"/>
    <w:rsid w:val="00AD2E7B"/>
    <w:rsid w:val="00AD2F8F"/>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23D9"/>
    <w:rsid w:val="00AF23F3"/>
    <w:rsid w:val="00AF290E"/>
    <w:rsid w:val="00AF29FA"/>
    <w:rsid w:val="00AF37D5"/>
    <w:rsid w:val="00AF381B"/>
    <w:rsid w:val="00AF3BD8"/>
    <w:rsid w:val="00AF3F63"/>
    <w:rsid w:val="00AF4345"/>
    <w:rsid w:val="00AF463B"/>
    <w:rsid w:val="00AF4CC5"/>
    <w:rsid w:val="00AF5319"/>
    <w:rsid w:val="00AF608B"/>
    <w:rsid w:val="00AF6576"/>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88"/>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01"/>
    <w:rsid w:val="00B15075"/>
    <w:rsid w:val="00B15774"/>
    <w:rsid w:val="00B15DB9"/>
    <w:rsid w:val="00B16F5A"/>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6D9E"/>
    <w:rsid w:val="00B370D9"/>
    <w:rsid w:val="00B37304"/>
    <w:rsid w:val="00B37311"/>
    <w:rsid w:val="00B373FB"/>
    <w:rsid w:val="00B37975"/>
    <w:rsid w:val="00B4106F"/>
    <w:rsid w:val="00B41BE7"/>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33F"/>
    <w:rsid w:val="00B4758E"/>
    <w:rsid w:val="00B47CBB"/>
    <w:rsid w:val="00B5083E"/>
    <w:rsid w:val="00B50ADB"/>
    <w:rsid w:val="00B51466"/>
    <w:rsid w:val="00B51604"/>
    <w:rsid w:val="00B517EE"/>
    <w:rsid w:val="00B51F64"/>
    <w:rsid w:val="00B52ACF"/>
    <w:rsid w:val="00B53B4E"/>
    <w:rsid w:val="00B53C5F"/>
    <w:rsid w:val="00B54BD8"/>
    <w:rsid w:val="00B5596C"/>
    <w:rsid w:val="00B569B2"/>
    <w:rsid w:val="00B56FBD"/>
    <w:rsid w:val="00B5715A"/>
    <w:rsid w:val="00B57327"/>
    <w:rsid w:val="00B6002D"/>
    <w:rsid w:val="00B6010B"/>
    <w:rsid w:val="00B6107E"/>
    <w:rsid w:val="00B61262"/>
    <w:rsid w:val="00B6210A"/>
    <w:rsid w:val="00B6220A"/>
    <w:rsid w:val="00B62644"/>
    <w:rsid w:val="00B629F3"/>
    <w:rsid w:val="00B63B5D"/>
    <w:rsid w:val="00B640CF"/>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FE9"/>
    <w:rsid w:val="00BA139F"/>
    <w:rsid w:val="00BA1A0B"/>
    <w:rsid w:val="00BA1E85"/>
    <w:rsid w:val="00BA359B"/>
    <w:rsid w:val="00BA3A93"/>
    <w:rsid w:val="00BA4D05"/>
    <w:rsid w:val="00BA5165"/>
    <w:rsid w:val="00BA5370"/>
    <w:rsid w:val="00BA5599"/>
    <w:rsid w:val="00BA5A40"/>
    <w:rsid w:val="00BA5FD5"/>
    <w:rsid w:val="00BA62AB"/>
    <w:rsid w:val="00BA7B2D"/>
    <w:rsid w:val="00BA7E0B"/>
    <w:rsid w:val="00BB034A"/>
    <w:rsid w:val="00BB0DE3"/>
    <w:rsid w:val="00BB0EA0"/>
    <w:rsid w:val="00BB10CD"/>
    <w:rsid w:val="00BB10F0"/>
    <w:rsid w:val="00BB122E"/>
    <w:rsid w:val="00BB25BB"/>
    <w:rsid w:val="00BB4A6F"/>
    <w:rsid w:val="00BB4EA2"/>
    <w:rsid w:val="00BB56B1"/>
    <w:rsid w:val="00BB5759"/>
    <w:rsid w:val="00BB5A30"/>
    <w:rsid w:val="00BB5B98"/>
    <w:rsid w:val="00BB67AC"/>
    <w:rsid w:val="00BB7BAC"/>
    <w:rsid w:val="00BC08D8"/>
    <w:rsid w:val="00BC08FC"/>
    <w:rsid w:val="00BC202D"/>
    <w:rsid w:val="00BC213B"/>
    <w:rsid w:val="00BC22A2"/>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1290"/>
    <w:rsid w:val="00BD1CFB"/>
    <w:rsid w:val="00BD22AA"/>
    <w:rsid w:val="00BD2B8F"/>
    <w:rsid w:val="00BD3047"/>
    <w:rsid w:val="00BD35B9"/>
    <w:rsid w:val="00BD36EC"/>
    <w:rsid w:val="00BD4A52"/>
    <w:rsid w:val="00BD4B84"/>
    <w:rsid w:val="00BD51CA"/>
    <w:rsid w:val="00BD54F7"/>
    <w:rsid w:val="00BD5CD2"/>
    <w:rsid w:val="00BD605A"/>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12E2"/>
    <w:rsid w:val="00BF1DEA"/>
    <w:rsid w:val="00BF20FB"/>
    <w:rsid w:val="00BF2997"/>
    <w:rsid w:val="00BF4C22"/>
    <w:rsid w:val="00BF4CD1"/>
    <w:rsid w:val="00BF4DD7"/>
    <w:rsid w:val="00BF51E4"/>
    <w:rsid w:val="00BF6043"/>
    <w:rsid w:val="00BF71B9"/>
    <w:rsid w:val="00BF76ED"/>
    <w:rsid w:val="00C00156"/>
    <w:rsid w:val="00C003C3"/>
    <w:rsid w:val="00C006F6"/>
    <w:rsid w:val="00C00838"/>
    <w:rsid w:val="00C008C6"/>
    <w:rsid w:val="00C00A3D"/>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B32"/>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430"/>
    <w:rsid w:val="00C26495"/>
    <w:rsid w:val="00C26CFA"/>
    <w:rsid w:val="00C273ED"/>
    <w:rsid w:val="00C27447"/>
    <w:rsid w:val="00C27891"/>
    <w:rsid w:val="00C27D45"/>
    <w:rsid w:val="00C300F5"/>
    <w:rsid w:val="00C30AED"/>
    <w:rsid w:val="00C31073"/>
    <w:rsid w:val="00C314B5"/>
    <w:rsid w:val="00C31C2C"/>
    <w:rsid w:val="00C31D3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A84"/>
    <w:rsid w:val="00C575E8"/>
    <w:rsid w:val="00C5777E"/>
    <w:rsid w:val="00C57ADD"/>
    <w:rsid w:val="00C57EB0"/>
    <w:rsid w:val="00C60984"/>
    <w:rsid w:val="00C60E33"/>
    <w:rsid w:val="00C6111A"/>
    <w:rsid w:val="00C61801"/>
    <w:rsid w:val="00C618DF"/>
    <w:rsid w:val="00C62C6E"/>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532A"/>
    <w:rsid w:val="00C75721"/>
    <w:rsid w:val="00C760A6"/>
    <w:rsid w:val="00C762B7"/>
    <w:rsid w:val="00C7674F"/>
    <w:rsid w:val="00C76825"/>
    <w:rsid w:val="00C77C4B"/>
    <w:rsid w:val="00C77D50"/>
    <w:rsid w:val="00C80DC6"/>
    <w:rsid w:val="00C815E4"/>
    <w:rsid w:val="00C8290C"/>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EF3"/>
    <w:rsid w:val="00CA575F"/>
    <w:rsid w:val="00CA5FB1"/>
    <w:rsid w:val="00CA66B5"/>
    <w:rsid w:val="00CA6F69"/>
    <w:rsid w:val="00CA6F7C"/>
    <w:rsid w:val="00CA7DAA"/>
    <w:rsid w:val="00CB0652"/>
    <w:rsid w:val="00CB0A8A"/>
    <w:rsid w:val="00CB138C"/>
    <w:rsid w:val="00CB14C7"/>
    <w:rsid w:val="00CB1BD3"/>
    <w:rsid w:val="00CB21EF"/>
    <w:rsid w:val="00CB25D4"/>
    <w:rsid w:val="00CB26B1"/>
    <w:rsid w:val="00CB2714"/>
    <w:rsid w:val="00CB2824"/>
    <w:rsid w:val="00CB2C75"/>
    <w:rsid w:val="00CB2F95"/>
    <w:rsid w:val="00CB30E7"/>
    <w:rsid w:val="00CB3270"/>
    <w:rsid w:val="00CB4DA4"/>
    <w:rsid w:val="00CB557A"/>
    <w:rsid w:val="00CB5DD1"/>
    <w:rsid w:val="00CB6108"/>
    <w:rsid w:val="00CB644A"/>
    <w:rsid w:val="00CB6807"/>
    <w:rsid w:val="00CB6A21"/>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5A86"/>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75C7"/>
    <w:rsid w:val="00D17619"/>
    <w:rsid w:val="00D17E09"/>
    <w:rsid w:val="00D20886"/>
    <w:rsid w:val="00D21B66"/>
    <w:rsid w:val="00D225A4"/>
    <w:rsid w:val="00D22B9C"/>
    <w:rsid w:val="00D22E00"/>
    <w:rsid w:val="00D251E6"/>
    <w:rsid w:val="00D259B0"/>
    <w:rsid w:val="00D25CCC"/>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640"/>
    <w:rsid w:val="00D3719F"/>
    <w:rsid w:val="00D371C8"/>
    <w:rsid w:val="00D4061B"/>
    <w:rsid w:val="00D4083E"/>
    <w:rsid w:val="00D411DD"/>
    <w:rsid w:val="00D431DA"/>
    <w:rsid w:val="00D43450"/>
    <w:rsid w:val="00D43D75"/>
    <w:rsid w:val="00D43F48"/>
    <w:rsid w:val="00D43F90"/>
    <w:rsid w:val="00D44156"/>
    <w:rsid w:val="00D44198"/>
    <w:rsid w:val="00D445B3"/>
    <w:rsid w:val="00D44C1D"/>
    <w:rsid w:val="00D453B5"/>
    <w:rsid w:val="00D45977"/>
    <w:rsid w:val="00D46DBF"/>
    <w:rsid w:val="00D46F26"/>
    <w:rsid w:val="00D47591"/>
    <w:rsid w:val="00D50F4A"/>
    <w:rsid w:val="00D51089"/>
    <w:rsid w:val="00D5228C"/>
    <w:rsid w:val="00D5267F"/>
    <w:rsid w:val="00D52D1F"/>
    <w:rsid w:val="00D52E06"/>
    <w:rsid w:val="00D53292"/>
    <w:rsid w:val="00D53650"/>
    <w:rsid w:val="00D540AD"/>
    <w:rsid w:val="00D54C85"/>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316"/>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7BDC"/>
    <w:rsid w:val="00D9096B"/>
    <w:rsid w:val="00D90D1C"/>
    <w:rsid w:val="00D90D5C"/>
    <w:rsid w:val="00D90ED4"/>
    <w:rsid w:val="00D90F48"/>
    <w:rsid w:val="00D90FF0"/>
    <w:rsid w:val="00D91327"/>
    <w:rsid w:val="00D91838"/>
    <w:rsid w:val="00D91E21"/>
    <w:rsid w:val="00D920E8"/>
    <w:rsid w:val="00D92722"/>
    <w:rsid w:val="00D92BF2"/>
    <w:rsid w:val="00D93295"/>
    <w:rsid w:val="00D9335B"/>
    <w:rsid w:val="00D93DAF"/>
    <w:rsid w:val="00D93DC5"/>
    <w:rsid w:val="00D941AE"/>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810"/>
    <w:rsid w:val="00DB3AA0"/>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1524"/>
    <w:rsid w:val="00DC17D7"/>
    <w:rsid w:val="00DC1889"/>
    <w:rsid w:val="00DC1CA3"/>
    <w:rsid w:val="00DC2A33"/>
    <w:rsid w:val="00DC3214"/>
    <w:rsid w:val="00DC3579"/>
    <w:rsid w:val="00DC3E0F"/>
    <w:rsid w:val="00DC43AE"/>
    <w:rsid w:val="00DC466F"/>
    <w:rsid w:val="00DC4841"/>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292D"/>
    <w:rsid w:val="00DE2AA3"/>
    <w:rsid w:val="00DE30D1"/>
    <w:rsid w:val="00DE3B74"/>
    <w:rsid w:val="00DE40F7"/>
    <w:rsid w:val="00DE441B"/>
    <w:rsid w:val="00DE47DF"/>
    <w:rsid w:val="00DE4D21"/>
    <w:rsid w:val="00DE5978"/>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BD1"/>
    <w:rsid w:val="00DF6DA6"/>
    <w:rsid w:val="00DF708D"/>
    <w:rsid w:val="00DF7EB8"/>
    <w:rsid w:val="00E0031E"/>
    <w:rsid w:val="00E00A61"/>
    <w:rsid w:val="00E00FD5"/>
    <w:rsid w:val="00E01956"/>
    <w:rsid w:val="00E02047"/>
    <w:rsid w:val="00E023E5"/>
    <w:rsid w:val="00E02837"/>
    <w:rsid w:val="00E0429B"/>
    <w:rsid w:val="00E0443C"/>
    <w:rsid w:val="00E04B0F"/>
    <w:rsid w:val="00E04B4F"/>
    <w:rsid w:val="00E061BA"/>
    <w:rsid w:val="00E06FD6"/>
    <w:rsid w:val="00E074C1"/>
    <w:rsid w:val="00E07B79"/>
    <w:rsid w:val="00E07CDC"/>
    <w:rsid w:val="00E07E4F"/>
    <w:rsid w:val="00E1006A"/>
    <w:rsid w:val="00E105B9"/>
    <w:rsid w:val="00E1079E"/>
    <w:rsid w:val="00E10F6A"/>
    <w:rsid w:val="00E112FA"/>
    <w:rsid w:val="00E12CED"/>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3AF"/>
    <w:rsid w:val="00E27C73"/>
    <w:rsid w:val="00E27E1C"/>
    <w:rsid w:val="00E300F2"/>
    <w:rsid w:val="00E31966"/>
    <w:rsid w:val="00E3203D"/>
    <w:rsid w:val="00E32AE4"/>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5F62"/>
    <w:rsid w:val="00E46852"/>
    <w:rsid w:val="00E46AB1"/>
    <w:rsid w:val="00E4775D"/>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E87"/>
    <w:rsid w:val="00E60DE1"/>
    <w:rsid w:val="00E60EA4"/>
    <w:rsid w:val="00E61076"/>
    <w:rsid w:val="00E61812"/>
    <w:rsid w:val="00E62CF0"/>
    <w:rsid w:val="00E62E5D"/>
    <w:rsid w:val="00E65073"/>
    <w:rsid w:val="00E65C86"/>
    <w:rsid w:val="00E65E8C"/>
    <w:rsid w:val="00E66800"/>
    <w:rsid w:val="00E66D78"/>
    <w:rsid w:val="00E67196"/>
    <w:rsid w:val="00E673C1"/>
    <w:rsid w:val="00E67C5C"/>
    <w:rsid w:val="00E67E4D"/>
    <w:rsid w:val="00E67E55"/>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7D1D"/>
    <w:rsid w:val="00E8011B"/>
    <w:rsid w:val="00E801FE"/>
    <w:rsid w:val="00E80768"/>
    <w:rsid w:val="00E80E1E"/>
    <w:rsid w:val="00E82135"/>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4F0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7E2"/>
    <w:rsid w:val="00EB4926"/>
    <w:rsid w:val="00EB4B58"/>
    <w:rsid w:val="00EB4E5F"/>
    <w:rsid w:val="00EB5197"/>
    <w:rsid w:val="00EB5629"/>
    <w:rsid w:val="00EB5734"/>
    <w:rsid w:val="00EB75EB"/>
    <w:rsid w:val="00EB7605"/>
    <w:rsid w:val="00EB76CB"/>
    <w:rsid w:val="00EB7B70"/>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6B07"/>
    <w:rsid w:val="00EC774B"/>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E9"/>
    <w:rsid w:val="00EE13A7"/>
    <w:rsid w:val="00EE18F3"/>
    <w:rsid w:val="00EE297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C88"/>
    <w:rsid w:val="00F020E1"/>
    <w:rsid w:val="00F0221D"/>
    <w:rsid w:val="00F02DE5"/>
    <w:rsid w:val="00F0324F"/>
    <w:rsid w:val="00F03AA2"/>
    <w:rsid w:val="00F043F9"/>
    <w:rsid w:val="00F046C5"/>
    <w:rsid w:val="00F04E02"/>
    <w:rsid w:val="00F05558"/>
    <w:rsid w:val="00F0595E"/>
    <w:rsid w:val="00F05A7B"/>
    <w:rsid w:val="00F05F59"/>
    <w:rsid w:val="00F06454"/>
    <w:rsid w:val="00F06CB2"/>
    <w:rsid w:val="00F06E72"/>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D6D"/>
    <w:rsid w:val="00F27E08"/>
    <w:rsid w:val="00F30616"/>
    <w:rsid w:val="00F30CBB"/>
    <w:rsid w:val="00F319F9"/>
    <w:rsid w:val="00F32AF9"/>
    <w:rsid w:val="00F33B96"/>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59B"/>
    <w:rsid w:val="00F459D5"/>
    <w:rsid w:val="00F466CA"/>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88B"/>
    <w:rsid w:val="00FC5B26"/>
    <w:rsid w:val="00FC5F5C"/>
    <w:rsid w:val="00FC6028"/>
    <w:rsid w:val="00FC635D"/>
    <w:rsid w:val="00FC64BB"/>
    <w:rsid w:val="00FC66B8"/>
    <w:rsid w:val="00FC6947"/>
    <w:rsid w:val="00FC6E6C"/>
    <w:rsid w:val="00FC6E74"/>
    <w:rsid w:val="00FC7186"/>
    <w:rsid w:val="00FC742F"/>
    <w:rsid w:val="00FC7959"/>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7318"/>
    <w:rsid w:val="00FD7407"/>
    <w:rsid w:val="00FD764D"/>
    <w:rsid w:val="00FD7B35"/>
    <w:rsid w:val="00FD7C6C"/>
    <w:rsid w:val="00FD7CDC"/>
    <w:rsid w:val="00FD7F20"/>
    <w:rsid w:val="00FE01A6"/>
    <w:rsid w:val="00FE02F8"/>
    <w:rsid w:val="00FE0BA6"/>
    <w:rsid w:val="00FE1445"/>
    <w:rsid w:val="00FE153E"/>
    <w:rsid w:val="00FE18EF"/>
    <w:rsid w:val="00FE1CE2"/>
    <w:rsid w:val="00FE1DFC"/>
    <w:rsid w:val="00FE1F56"/>
    <w:rsid w:val="00FE235B"/>
    <w:rsid w:val="00FE27FE"/>
    <w:rsid w:val="00FE2852"/>
    <w:rsid w:val="00FE2F5F"/>
    <w:rsid w:val="00FE2FED"/>
    <w:rsid w:val="00FE393B"/>
    <w:rsid w:val="00FE3D61"/>
    <w:rsid w:val="00FE4456"/>
    <w:rsid w:val="00FE4608"/>
    <w:rsid w:val="00FE4826"/>
    <w:rsid w:val="00FE5DD2"/>
    <w:rsid w:val="00FE5ED4"/>
    <w:rsid w:val="00FE6169"/>
    <w:rsid w:val="00FE66DF"/>
    <w:rsid w:val="00FE6845"/>
    <w:rsid w:val="00FE6AD1"/>
    <w:rsid w:val="00FE6B43"/>
    <w:rsid w:val="00FE78FD"/>
    <w:rsid w:val="00FE7BA2"/>
    <w:rsid w:val="00FF0586"/>
    <w:rsid w:val="00FF09BD"/>
    <w:rsid w:val="00FF1744"/>
    <w:rsid w:val="00FF2265"/>
    <w:rsid w:val="00FF3496"/>
    <w:rsid w:val="00FF3AA2"/>
    <w:rsid w:val="00FF3CA1"/>
    <w:rsid w:val="00FF4177"/>
    <w:rsid w:val="00FF4675"/>
    <w:rsid w:val="00FF48C8"/>
    <w:rsid w:val="00FF665D"/>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paragraph" w:customStyle="1" w:styleId="p01">
    <w:name w:val="p01"/>
    <w:basedOn w:val="Normal1"/>
    <w:next w:val="p0"/>
    <w:rsid w:val="00EB7B70"/>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EB7B7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default.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s://www.inegi.org.mx/programas/inpc/2018/"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dLbl>
              <c:idx val="0"/>
              <c:layout>
                <c:manualLayout>
                  <c:x val="-1.1551937664554727E-17"/>
                  <c:y val="4.41006944444460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D7-48A4-AAA7-22996D4D856B}"/>
                </c:ext>
              </c:extLst>
            </c:dLbl>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'[INPC_Gráficas.xlsx]Datos base 2q jul 2018'!$P$189:$Y$189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'[INPC_Gráficas.xlsx]Datos base 2q jul 2018'!$P$194:$Y$194</c:f>
              <c:numCache>
                <c:formatCode>0.00</c:formatCode>
                <c:ptCount val="10"/>
                <c:pt idx="0">
                  <c:v>-0.73718362122847658</c:v>
                </c:pt>
                <c:pt idx="1">
                  <c:v>-0.31565414284071558</c:v>
                </c:pt>
                <c:pt idx="2">
                  <c:v>-0.33280158424555673</c:v>
                </c:pt>
                <c:pt idx="3">
                  <c:v>-0.31978598256680035</c:v>
                </c:pt>
                <c:pt idx="4">
                  <c:v>-0.49937685332417381</c:v>
                </c:pt>
                <c:pt idx="5">
                  <c:v>-0.44592714288109736</c:v>
                </c:pt>
                <c:pt idx="6">
                  <c:v>-0.11961153974114902</c:v>
                </c:pt>
                <c:pt idx="7">
                  <c:v>-0.16213718017683565</c:v>
                </c:pt>
                <c:pt idx="8">
                  <c:v>-0.28783649341743711</c:v>
                </c:pt>
                <c:pt idx="9">
                  <c:v>0.38485178005769338</c:v>
                </c:pt>
              </c:numCache>
            </c:numRef>
          </c:val>
          <c:extLst>
            <c:ext xmlns:c16="http://schemas.microsoft.com/office/drawing/2014/chart" uri="{C3380CC4-5D6E-409C-BE32-E72D297353CC}">
              <c16:uniqueId val="{00000001-BDD7-48A4-AAA7-22996D4D856B}"/>
            </c:ext>
          </c:extLst>
        </c:ser>
        <c:dLbls>
          <c:dLblPos val="outEnd"/>
          <c:showLegendKey val="0"/>
          <c:showVal val="1"/>
          <c:showCatName val="0"/>
          <c:showSerName val="0"/>
          <c:showPercent val="0"/>
          <c:showBubbleSize val="0"/>
        </c:dLbls>
        <c:gapWidth val="40"/>
        <c:axId val="402191712"/>
        <c:axId val="402188576"/>
      </c:barChart>
      <c:catAx>
        <c:axId val="402191712"/>
        <c:scaling>
          <c:orientation val="minMax"/>
        </c:scaling>
        <c:delete val="0"/>
        <c:axPos val="b"/>
        <c:numFmt formatCode="General" sourceLinked="1"/>
        <c:majorTickMark val="cross"/>
        <c:minorTickMark val="none"/>
        <c:tickLblPos val="low"/>
        <c:spPr>
          <a:noFill/>
          <a:ln w="9525">
            <a:solidFill>
              <a:schemeClr val="tx1"/>
            </a:solidFill>
          </a:ln>
        </c:spPr>
        <c:crossAx val="402188576"/>
        <c:crosses val="autoZero"/>
        <c:auto val="1"/>
        <c:lblAlgn val="ctr"/>
        <c:lblOffset val="100"/>
        <c:noMultiLvlLbl val="0"/>
      </c:catAx>
      <c:valAx>
        <c:axId val="402188576"/>
        <c:scaling>
          <c:orientation val="minMax"/>
          <c:max val="0.60000000000000009"/>
          <c:min val="-1"/>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402191712"/>
        <c:crosses val="autoZero"/>
        <c:crossBetween val="between"/>
        <c:majorUnit val="0.2"/>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'[INPC_Gráficas.xlsx]Datos base 2q jul 2018'!$M$203</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'[INPC_Gráficas.xlsx]Datos base 2q jul 2018'!$P$189:$Y$189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'[INPC_Gráficas.xlsx]Datos base 2q jul 2018'!$P$209:$Y$209</c:f>
              <c:numCache>
                <c:formatCode>0.00</c:formatCode>
                <c:ptCount val="10"/>
                <c:pt idx="0">
                  <c:v>0.17804797472529277</c:v>
                </c:pt>
                <c:pt idx="1">
                  <c:v>0.26559997394357548</c:v>
                </c:pt>
                <c:pt idx="2">
                  <c:v>0.19743241002707634</c:v>
                </c:pt>
                <c:pt idx="3">
                  <c:v>9.3824327919977968E-2</c:v>
                </c:pt>
                <c:pt idx="4">
                  <c:v>0.11577334281320795</c:v>
                </c:pt>
                <c:pt idx="5">
                  <c:v>0.21374693018563207</c:v>
                </c:pt>
                <c:pt idx="6">
                  <c:v>0.27523510798408424</c:v>
                </c:pt>
                <c:pt idx="7">
                  <c:v>0.25695267931475918</c:v>
                </c:pt>
                <c:pt idx="8">
                  <c:v>0.16397373928616066</c:v>
                </c:pt>
                <c:pt idx="9">
                  <c:v>0.29816040654826459</c:v>
                </c:pt>
              </c:numCache>
            </c:numRef>
          </c:val>
          <c:extLst>
            <c:ext xmlns:c16="http://schemas.microsoft.com/office/drawing/2014/chart" uri="{C3380CC4-5D6E-409C-BE32-E72D297353CC}">
              <c16:uniqueId val="{00000000-E296-446E-8D5F-131EBD58916C}"/>
            </c:ext>
          </c:extLst>
        </c:ser>
        <c:ser>
          <c:idx val="2"/>
          <c:order val="1"/>
          <c:tx>
            <c:strRef>
              <c:f>'[INPC_Gráficas.xlsx]Datos base 2q jul 2018'!$M$218</c:f>
              <c:strCache>
                <c:ptCount val="1"/>
                <c:pt idx="0">
                  <c:v>No Subyacente</c:v>
                </c:pt>
              </c:strCache>
            </c:strRef>
          </c:tx>
          <c:spPr>
            <a:pattFill prst="pct60">
              <a:fgClr>
                <a:srgbClr val="ABC674"/>
              </a:fgClr>
              <a:bgClr>
                <a:srgbClr val="FFFFFF"/>
              </a:bgClr>
            </a:pattFill>
          </c:spPr>
          <c:invertIfNegative val="0"/>
          <c:dLbls>
            <c:dLbl>
              <c:idx val="9"/>
              <c:layout>
                <c:manualLayout>
                  <c:x val="0"/>
                  <c:y val="4.33979723920552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96-446E-8D5F-131EBD58916C}"/>
                </c:ext>
              </c:extLst>
            </c:dLbl>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'[INPC_Gráficas.xlsx]Datos base 2q jul 2018'!$P$189:$Y$189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'[INPC_Gráficas.xlsx]Datos base 2q jul 2018'!$P$224:$Y$224</c:f>
              <c:numCache>
                <c:formatCode>0.00</c:formatCode>
                <c:ptCount val="10"/>
                <c:pt idx="0">
                  <c:v>-3.8018351180375776</c:v>
                </c:pt>
                <c:pt idx="1">
                  <c:v>-2.255757595024277</c:v>
                </c:pt>
                <c:pt idx="2">
                  <c:v>-2.0466381732294758</c:v>
                </c:pt>
                <c:pt idx="3">
                  <c:v>-1.6363199896123448</c:v>
                </c:pt>
                <c:pt idx="4">
                  <c:v>-2.40129749083835</c:v>
                </c:pt>
                <c:pt idx="5">
                  <c:v>-2.5086599231421425</c:v>
                </c:pt>
                <c:pt idx="6">
                  <c:v>-1.3006543275810301</c:v>
                </c:pt>
                <c:pt idx="7">
                  <c:v>-1.3775382936580649</c:v>
                </c:pt>
                <c:pt idx="8">
                  <c:v>-1.6584569456189024</c:v>
                </c:pt>
                <c:pt idx="9">
                  <c:v>0.66326134244873991</c:v>
                </c:pt>
              </c:numCache>
            </c:numRef>
          </c:val>
          <c:extLst>
            <c:ext xmlns:c16="http://schemas.microsoft.com/office/drawing/2014/chart" uri="{C3380CC4-5D6E-409C-BE32-E72D297353CC}">
              <c16:uniqueId val="{00000002-E296-446E-8D5F-131EBD58916C}"/>
            </c:ext>
          </c:extLst>
        </c:ser>
        <c:dLbls>
          <c:dLblPos val="outEnd"/>
          <c:showLegendKey val="0"/>
          <c:showVal val="1"/>
          <c:showCatName val="0"/>
          <c:showSerName val="0"/>
          <c:showPercent val="0"/>
          <c:showBubbleSize val="0"/>
        </c:dLbls>
        <c:gapWidth val="40"/>
        <c:overlap val="-10"/>
        <c:axId val="402192496"/>
        <c:axId val="402189752"/>
      </c:barChart>
      <c:catAx>
        <c:axId val="402192496"/>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402189752"/>
        <c:crosses val="autoZero"/>
        <c:auto val="1"/>
        <c:lblAlgn val="ctr"/>
        <c:lblOffset val="100"/>
        <c:noMultiLvlLbl val="0"/>
      </c:catAx>
      <c:valAx>
        <c:axId val="402189752"/>
        <c:scaling>
          <c:orientation val="minMax"/>
          <c:max val="2"/>
          <c:min val="-5"/>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402192496"/>
        <c:crosses val="autoZero"/>
        <c:crossBetween val="between"/>
        <c:majorUnit val="1"/>
        <c:minorUnit val="0.5"/>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'[INPC_Gráficas.xlsx]Datos base 2q jul 2018'!$I$4</c:f>
              <c:strCache>
                <c:ptCount val="1"/>
                <c:pt idx="0">
                  <c:v>INPC</c:v>
                </c:pt>
              </c:strCache>
            </c:strRef>
          </c:tx>
          <c:spPr>
            <a:ln w="25400" cap="rnd">
              <a:solidFill>
                <a:srgbClr val="4F6228"/>
              </a:solidFill>
              <a:round/>
            </a:ln>
            <a:effectLst/>
          </c:spPr>
          <c:marker>
            <c:symbol val="none"/>
          </c:marker>
          <c:dLbls>
            <c:dLbl>
              <c:idx val="108"/>
              <c:layout>
                <c:manualLayout>
                  <c:x val="-2.4863598576902375E-3"/>
                  <c:y val="-4.48056956964579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2F-4E89-A0F4-5B7BFDAB86FF}"/>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'[INPC_Gráficas.xlsx]Datos base 2q jul 2018'!$A$71:$B$179</c:f>
              <c:multiLvlStrCache>
                <c:ptCount val="109"/>
                <c:lvl>
                  <c:pt idx="0">
                    <c:v>May</c:v>
                  </c:pt>
                  <c:pt idx="1">
                    <c:v>Jun</c:v>
                  </c:pt>
                  <c:pt idx="2">
                    <c:v>Jul</c:v>
                  </c:pt>
                  <c:pt idx="3">
                    <c:v>Ago</c:v>
                  </c:pt>
                  <c:pt idx="4">
                    <c:v>Sep</c:v>
                  </c:pt>
                  <c:pt idx="5">
                    <c:v>Oct</c:v>
                  </c:pt>
                  <c:pt idx="6">
                    <c:v>Nov</c:v>
                  </c:pt>
                  <c:pt idx="7">
                    <c:v>Dic</c:v>
                  </c:pt>
                  <c:pt idx="8">
                    <c:v>Ene</c:v>
                  </c:pt>
                  <c:pt idx="9">
                    <c:v>Feb</c:v>
                  </c:pt>
                  <c:pt idx="10">
                    <c:v>Mar</c:v>
                  </c:pt>
                  <c:pt idx="11">
                    <c:v>Abr</c:v>
                  </c:pt>
                  <c:pt idx="12">
                    <c:v>May</c:v>
                  </c:pt>
                  <c:pt idx="13">
                    <c:v>Jun</c:v>
                  </c:pt>
                  <c:pt idx="14">
                    <c:v>Jul</c:v>
                  </c:pt>
                  <c:pt idx="15">
                    <c:v>Ago</c:v>
                  </c:pt>
                  <c:pt idx="16">
                    <c:v>Sep</c:v>
                  </c:pt>
                  <c:pt idx="17">
                    <c:v>Oct</c:v>
                  </c:pt>
                  <c:pt idx="18">
                    <c:v>Nov</c:v>
                  </c:pt>
                  <c:pt idx="19">
                    <c:v>Dic</c:v>
                  </c:pt>
                  <c:pt idx="20">
                    <c:v>Ene</c:v>
                  </c:pt>
                  <c:pt idx="21">
                    <c:v>Feb</c:v>
                  </c:pt>
                  <c:pt idx="22">
                    <c:v>Mar</c:v>
                  </c:pt>
                  <c:pt idx="23">
                    <c:v>Abr</c:v>
                  </c:pt>
                  <c:pt idx="24">
                    <c:v>May</c:v>
                  </c:pt>
                  <c:pt idx="25">
                    <c:v>Jun</c:v>
                  </c:pt>
                  <c:pt idx="26">
                    <c:v>Jul</c:v>
                  </c:pt>
                  <c:pt idx="27">
                    <c:v>Ago</c:v>
                  </c:pt>
                  <c:pt idx="28">
                    <c:v>Sep</c:v>
                  </c:pt>
                  <c:pt idx="29">
                    <c:v>Oct</c:v>
                  </c:pt>
                  <c:pt idx="30">
                    <c:v>Nov</c:v>
                  </c:pt>
                  <c:pt idx="31">
                    <c:v>Dic</c:v>
                  </c:pt>
                  <c:pt idx="32">
                    <c:v>Ene</c:v>
                  </c:pt>
                  <c:pt idx="33">
                    <c:v>Feb</c:v>
                  </c:pt>
                  <c:pt idx="34">
                    <c:v>Mar</c:v>
                  </c:pt>
                  <c:pt idx="35">
                    <c:v>Abr</c:v>
                  </c:pt>
                  <c:pt idx="36">
                    <c:v>May</c:v>
                  </c:pt>
                  <c:pt idx="37">
                    <c:v>Jun</c:v>
                  </c:pt>
                  <c:pt idx="38">
                    <c:v>Jul</c:v>
                  </c:pt>
                  <c:pt idx="39">
                    <c:v>Ago</c:v>
                  </c:pt>
                  <c:pt idx="40">
                    <c:v>Sep</c:v>
                  </c:pt>
                  <c:pt idx="41">
                    <c:v>Oct</c:v>
                  </c:pt>
                  <c:pt idx="42">
                    <c:v>Nov</c:v>
                  </c:pt>
                  <c:pt idx="43">
                    <c:v>Dic</c:v>
                  </c:pt>
                  <c:pt idx="44">
                    <c:v>Ene</c:v>
                  </c:pt>
                  <c:pt idx="45">
                    <c:v>Feb</c:v>
                  </c:pt>
                  <c:pt idx="46">
                    <c:v>Mar</c:v>
                  </c:pt>
                  <c:pt idx="47">
                    <c:v>Abr</c:v>
                  </c:pt>
                  <c:pt idx="48">
                    <c:v>May</c:v>
                  </c:pt>
                  <c:pt idx="49">
                    <c:v>Jun</c:v>
                  </c:pt>
                  <c:pt idx="50">
                    <c:v>Jul</c:v>
                  </c:pt>
                  <c:pt idx="51">
                    <c:v>Ago</c:v>
                  </c:pt>
                  <c:pt idx="52">
                    <c:v>Sep</c:v>
                  </c:pt>
                  <c:pt idx="53">
                    <c:v>Oct</c:v>
                  </c:pt>
                  <c:pt idx="54">
                    <c:v>Nov</c:v>
                  </c:pt>
                  <c:pt idx="55">
                    <c:v>Dic</c:v>
                  </c:pt>
                  <c:pt idx="56">
                    <c:v>Ene </c:v>
                  </c:pt>
                  <c:pt idx="57">
                    <c:v>Feb</c:v>
                  </c:pt>
                  <c:pt idx="58">
                    <c:v>Mar</c:v>
                  </c:pt>
                  <c:pt idx="59">
                    <c:v>Abr</c:v>
                  </c:pt>
                  <c:pt idx="60">
                    <c:v>May</c:v>
                  </c:pt>
                  <c:pt idx="61">
                    <c:v>Jun</c:v>
                  </c:pt>
                  <c:pt idx="62">
                    <c:v>Jul</c:v>
                  </c:pt>
                  <c:pt idx="63">
                    <c:v>Ago</c:v>
                  </c:pt>
                  <c:pt idx="64">
                    <c:v>Sep</c:v>
                  </c:pt>
                  <c:pt idx="65">
                    <c:v>Oct</c:v>
                  </c:pt>
                  <c:pt idx="66">
                    <c:v>Nov</c:v>
                  </c:pt>
                  <c:pt idx="67">
                    <c:v>Dic</c:v>
                  </c:pt>
                  <c:pt idx="68">
                    <c:v>Ene </c:v>
                  </c:pt>
                  <c:pt idx="69">
                    <c:v>Feb</c:v>
                  </c:pt>
                  <c:pt idx="70">
                    <c:v>Mar</c:v>
                  </c:pt>
                  <c:pt idx="71">
                    <c:v>Abr</c:v>
                  </c:pt>
                  <c:pt idx="72">
                    <c:v>May</c:v>
                  </c:pt>
                  <c:pt idx="73">
                    <c:v>Jun</c:v>
                  </c:pt>
                  <c:pt idx="74">
                    <c:v>Jul</c:v>
                  </c:pt>
                  <c:pt idx="75">
                    <c:v>Ago</c:v>
                  </c:pt>
                  <c:pt idx="76">
                    <c:v>Sep</c:v>
                  </c:pt>
                  <c:pt idx="77">
                    <c:v>Oct</c:v>
                  </c:pt>
                  <c:pt idx="78">
                    <c:v>Nov</c:v>
                  </c:pt>
                  <c:pt idx="79">
                    <c:v>Dic</c:v>
                  </c:pt>
                  <c:pt idx="80">
                    <c:v>Ene </c:v>
                  </c:pt>
                  <c:pt idx="81">
                    <c:v>Feb</c:v>
                  </c:pt>
                  <c:pt idx="82">
                    <c:v>Mar</c:v>
                  </c:pt>
                  <c:pt idx="83">
                    <c:v>Abr</c:v>
                  </c:pt>
                  <c:pt idx="84">
                    <c:v>May</c:v>
                  </c:pt>
                  <c:pt idx="85">
                    <c:v>Jun</c:v>
                  </c:pt>
                  <c:pt idx="86">
                    <c:v>Jul</c:v>
                  </c:pt>
                  <c:pt idx="87">
                    <c:v>Ago</c:v>
                  </c:pt>
                  <c:pt idx="88">
                    <c:v>Sep</c:v>
                  </c:pt>
                  <c:pt idx="89">
                    <c:v>Oct</c:v>
                  </c:pt>
                  <c:pt idx="90">
                    <c:v>Nov</c:v>
                  </c:pt>
                  <c:pt idx="91">
                    <c:v>Dic</c:v>
                  </c:pt>
                  <c:pt idx="92">
                    <c:v>Ene </c:v>
                  </c:pt>
                  <c:pt idx="93">
                    <c:v>Feb</c:v>
                  </c:pt>
                  <c:pt idx="94">
                    <c:v>Mar</c:v>
                  </c:pt>
                  <c:pt idx="95">
                    <c:v>Abr</c:v>
                  </c:pt>
                  <c:pt idx="96">
                    <c:v>May</c:v>
                  </c:pt>
                  <c:pt idx="97">
                    <c:v>Jun</c:v>
                  </c:pt>
                  <c:pt idx="98">
                    <c:v>Jul</c:v>
                  </c:pt>
                  <c:pt idx="99">
                    <c:v>Ago</c:v>
                  </c:pt>
                  <c:pt idx="100">
                    <c:v>Sep</c:v>
                  </c:pt>
                  <c:pt idx="101">
                    <c:v>Oct</c:v>
                  </c:pt>
                  <c:pt idx="102">
                    <c:v>Nov</c:v>
                  </c:pt>
                  <c:pt idx="103">
                    <c:v>Dic</c:v>
                  </c:pt>
                  <c:pt idx="104">
                    <c:v>Ene </c:v>
                  </c:pt>
                  <c:pt idx="105">
                    <c:v>Feb</c:v>
                  </c:pt>
                  <c:pt idx="106">
                    <c:v>Mar</c:v>
                  </c:pt>
                  <c:pt idx="107">
                    <c:v>Abr</c:v>
                  </c:pt>
                  <c:pt idx="108">
                    <c:v>May</c:v>
                  </c:pt>
                </c:lvl>
                <c:lvl>
                  <c:pt idx="0">
                    <c:v>2011</c:v>
                  </c:pt>
                  <c:pt idx="1">
                    <c:v>2011</c:v>
                  </c:pt>
                  <c:pt idx="2">
                    <c:v>2011</c:v>
                  </c:pt>
                  <c:pt idx="3">
                    <c:v>2011</c:v>
                  </c:pt>
                  <c:pt idx="4">
                    <c:v>2011</c:v>
                  </c:pt>
                  <c:pt idx="5">
                    <c:v>2011</c:v>
                  </c:pt>
                  <c:pt idx="6">
                    <c:v>2011</c:v>
                  </c:pt>
                  <c:pt idx="7">
                    <c:v>2011</c:v>
                  </c:pt>
                  <c:pt idx="8">
                    <c:v>2012</c:v>
                  </c:pt>
                  <c:pt idx="9">
                    <c:v>2012</c:v>
                  </c:pt>
                  <c:pt idx="10">
                    <c:v>2012</c:v>
                  </c:pt>
                  <c:pt idx="11">
                    <c:v>2012</c:v>
                  </c:pt>
                  <c:pt idx="12">
                    <c:v>2012</c:v>
                  </c:pt>
                  <c:pt idx="13">
                    <c:v>2012</c:v>
                  </c:pt>
                  <c:pt idx="14">
                    <c:v>2012</c:v>
                  </c:pt>
                  <c:pt idx="15">
                    <c:v>2012</c:v>
                  </c:pt>
                  <c:pt idx="16">
                    <c:v>2012</c:v>
                  </c:pt>
                  <c:pt idx="17">
                    <c:v>2012</c:v>
                  </c:pt>
                  <c:pt idx="18">
                    <c:v>2012</c:v>
                  </c:pt>
                  <c:pt idx="19">
                    <c:v>2012</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2015</c:v>
                  </c:pt>
                  <c:pt idx="45">
                    <c:v>2015</c:v>
                  </c:pt>
                  <c:pt idx="46">
                    <c:v>2015</c:v>
                  </c:pt>
                  <c:pt idx="47">
                    <c:v>2015</c:v>
                  </c:pt>
                  <c:pt idx="48">
                    <c:v>2015</c:v>
                  </c:pt>
                  <c:pt idx="49">
                    <c:v>2015</c:v>
                  </c:pt>
                  <c:pt idx="50">
                    <c:v>2015</c:v>
                  </c:pt>
                  <c:pt idx="51">
                    <c:v>2015</c:v>
                  </c:pt>
                  <c:pt idx="52">
                    <c:v>2015</c:v>
                  </c:pt>
                  <c:pt idx="53">
                    <c:v>2015</c:v>
                  </c:pt>
                  <c:pt idx="54">
                    <c:v>2015</c:v>
                  </c:pt>
                  <c:pt idx="55">
                    <c:v>2015</c:v>
                  </c:pt>
                  <c:pt idx="56">
                    <c:v>2016</c:v>
                  </c:pt>
                  <c:pt idx="57">
                    <c:v>2016</c:v>
                  </c:pt>
                  <c:pt idx="58">
                    <c:v>2016</c:v>
                  </c:pt>
                  <c:pt idx="59">
                    <c:v>2016</c:v>
                  </c:pt>
                  <c:pt idx="60">
                    <c:v>2016</c:v>
                  </c:pt>
                  <c:pt idx="61">
                    <c:v>2016</c:v>
                  </c:pt>
                  <c:pt idx="62">
                    <c:v>2016</c:v>
                  </c:pt>
                  <c:pt idx="63">
                    <c:v>2016</c:v>
                  </c:pt>
                  <c:pt idx="64">
                    <c:v>2016</c:v>
                  </c:pt>
                  <c:pt idx="65">
                    <c:v>2016</c:v>
                  </c:pt>
                  <c:pt idx="66">
                    <c:v>2016</c:v>
                  </c:pt>
                  <c:pt idx="67">
                    <c:v>2016</c:v>
                  </c:pt>
                  <c:pt idx="68">
                    <c:v>2017</c:v>
                  </c:pt>
                  <c:pt idx="69">
                    <c:v>2017</c:v>
                  </c:pt>
                  <c:pt idx="70">
                    <c:v>2017</c:v>
                  </c:pt>
                  <c:pt idx="71">
                    <c:v>2017</c:v>
                  </c:pt>
                  <c:pt idx="72">
                    <c:v>2017</c:v>
                  </c:pt>
                  <c:pt idx="73">
                    <c:v>2017</c:v>
                  </c:pt>
                  <c:pt idx="74">
                    <c:v>2017</c:v>
                  </c:pt>
                  <c:pt idx="75">
                    <c:v>2017</c:v>
                  </c:pt>
                  <c:pt idx="76">
                    <c:v>2017</c:v>
                  </c:pt>
                  <c:pt idx="77">
                    <c:v>2017</c:v>
                  </c:pt>
                  <c:pt idx="78">
                    <c:v>2017</c:v>
                  </c:pt>
                  <c:pt idx="79">
                    <c:v>2017</c:v>
                  </c:pt>
                  <c:pt idx="80">
                    <c:v>2018</c:v>
                  </c:pt>
                  <c:pt idx="81">
                    <c:v>2018</c:v>
                  </c:pt>
                  <c:pt idx="82">
                    <c:v>2018</c:v>
                  </c:pt>
                  <c:pt idx="83">
                    <c:v>2018</c:v>
                  </c:pt>
                  <c:pt idx="84">
                    <c:v>2018</c:v>
                  </c:pt>
                  <c:pt idx="85">
                    <c:v>2018</c:v>
                  </c:pt>
                  <c:pt idx="86">
                    <c:v>2018</c:v>
                  </c:pt>
                  <c:pt idx="87">
                    <c:v>2018</c:v>
                  </c:pt>
                  <c:pt idx="88">
                    <c:v>2018</c:v>
                  </c:pt>
                  <c:pt idx="89">
                    <c:v>2018</c:v>
                  </c:pt>
                  <c:pt idx="90">
                    <c:v>2018</c:v>
                  </c:pt>
                  <c:pt idx="91">
                    <c:v>2018</c:v>
                  </c:pt>
                  <c:pt idx="92">
                    <c:v>2019</c:v>
                  </c:pt>
                  <c:pt idx="93">
                    <c:v>2019</c:v>
                  </c:pt>
                  <c:pt idx="94">
                    <c:v>2019</c:v>
                  </c:pt>
                  <c:pt idx="95">
                    <c:v>2019</c:v>
                  </c:pt>
                  <c:pt idx="96">
                    <c:v>2019</c:v>
                  </c:pt>
                  <c:pt idx="97">
                    <c:v>2019</c:v>
                  </c:pt>
                  <c:pt idx="98">
                    <c:v>2019</c:v>
                  </c:pt>
                  <c:pt idx="99">
                    <c:v>2019</c:v>
                  </c:pt>
                  <c:pt idx="100">
                    <c:v>2019</c:v>
                  </c:pt>
                  <c:pt idx="101">
                    <c:v>2019</c:v>
                  </c:pt>
                  <c:pt idx="102">
                    <c:v>2019</c:v>
                  </c:pt>
                  <c:pt idx="103">
                    <c:v>2019</c:v>
                  </c:pt>
                  <c:pt idx="104">
                    <c:v>2020</c:v>
                  </c:pt>
                  <c:pt idx="105">
                    <c:v>2020</c:v>
                  </c:pt>
                  <c:pt idx="106">
                    <c:v>2020</c:v>
                  </c:pt>
                  <c:pt idx="107">
                    <c:v>2020</c:v>
                  </c:pt>
                  <c:pt idx="108">
                    <c:v>2020</c:v>
                  </c:pt>
                </c:lvl>
              </c:multiLvlStrCache>
            </c:multiLvlStrRef>
          </c:cat>
          <c:val>
            <c:numRef>
              <c:f>'[INPC_Gráficas.xlsx]Datos base 2q jul 2018'!$I$71:$I$179</c:f>
              <c:numCache>
                <c:formatCode>0.00</c:formatCode>
                <c:ptCount val="109"/>
                <c:pt idx="0">
                  <c:v>3.2492890245807029</c:v>
                </c:pt>
                <c:pt idx="1">
                  <c:v>3.276468519968899</c:v>
                </c:pt>
                <c:pt idx="2">
                  <c:v>3.5471623015452378</c:v>
                </c:pt>
                <c:pt idx="3">
                  <c:v>3.4236915404563013</c:v>
                </c:pt>
                <c:pt idx="4">
                  <c:v>3.1367739982804239</c:v>
                </c:pt>
                <c:pt idx="5">
                  <c:v>3.1956472384470684</c:v>
                </c:pt>
                <c:pt idx="6">
                  <c:v>3.4826938218248089</c:v>
                </c:pt>
                <c:pt idx="7">
                  <c:v>3.8187567875879109</c:v>
                </c:pt>
                <c:pt idx="8">
                  <c:v>4.0467733567466455</c:v>
                </c:pt>
                <c:pt idx="9">
                  <c:v>3.8686334539382132</c:v>
                </c:pt>
                <c:pt idx="10">
                  <c:v>3.7292776570731734</c:v>
                </c:pt>
                <c:pt idx="11">
                  <c:v>3.4120786990644083</c:v>
                </c:pt>
                <c:pt idx="12">
                  <c:v>3.8512284349199053</c:v>
                </c:pt>
                <c:pt idx="13">
                  <c:v>4.3352225587509281</c:v>
                </c:pt>
                <c:pt idx="14">
                  <c:v>4.4199719461605227</c:v>
                </c:pt>
                <c:pt idx="15">
                  <c:v>4.5679380214540846</c:v>
                </c:pt>
                <c:pt idx="16">
                  <c:v>4.7717657316674353</c:v>
                </c:pt>
                <c:pt idx="17">
                  <c:v>4.5960947956853309</c:v>
                </c:pt>
                <c:pt idx="18">
                  <c:v>4.1798514220062986</c:v>
                </c:pt>
                <c:pt idx="19">
                  <c:v>3.5682900213421407</c:v>
                </c:pt>
                <c:pt idx="20">
                  <c:v>3.2545740477925587</c:v>
                </c:pt>
                <c:pt idx="21">
                  <c:v>3.5522890828357059</c:v>
                </c:pt>
                <c:pt idx="22">
                  <c:v>4.2522667278778643</c:v>
                </c:pt>
                <c:pt idx="23">
                  <c:v>4.649422420079059</c:v>
                </c:pt>
                <c:pt idx="24">
                  <c:v>4.6314208991424595</c:v>
                </c:pt>
                <c:pt idx="25">
                  <c:v>4.0880262124202291</c:v>
                </c:pt>
                <c:pt idx="26">
                  <c:v>3.4726191837201417</c:v>
                </c:pt>
                <c:pt idx="27">
                  <c:v>3.4565297922662892</c:v>
                </c:pt>
                <c:pt idx="28">
                  <c:v>3.390295338698551</c:v>
                </c:pt>
                <c:pt idx="29">
                  <c:v>3.3591147744594587</c:v>
                </c:pt>
                <c:pt idx="30">
                  <c:v>3.6186915887850466</c:v>
                </c:pt>
                <c:pt idx="31">
                  <c:v>3.974040989873723</c:v>
                </c:pt>
                <c:pt idx="32">
                  <c:v>4.4828098590241172</c:v>
                </c:pt>
                <c:pt idx="33">
                  <c:v>4.2344373798610366</c:v>
                </c:pt>
                <c:pt idx="34">
                  <c:v>3.7586466303370716</c:v>
                </c:pt>
                <c:pt idx="35">
                  <c:v>3.4967086565084369</c:v>
                </c:pt>
                <c:pt idx="36">
                  <c:v>3.5102243563208941</c:v>
                </c:pt>
                <c:pt idx="37">
                  <c:v>3.7525887063371495</c:v>
                </c:pt>
                <c:pt idx="38">
                  <c:v>4.0724065224797199</c:v>
                </c:pt>
                <c:pt idx="39">
                  <c:v>4.1499109421766818</c:v>
                </c:pt>
                <c:pt idx="40">
                  <c:v>4.2175837845748534</c:v>
                </c:pt>
                <c:pt idx="41">
                  <c:v>4.2977569004442557</c:v>
                </c:pt>
                <c:pt idx="42">
                  <c:v>4.1678692546359812</c:v>
                </c:pt>
                <c:pt idx="43">
                  <c:v>4.0813215195322616</c:v>
                </c:pt>
                <c:pt idx="44">
                  <c:v>3.06564152704324</c:v>
                </c:pt>
                <c:pt idx="45">
                  <c:v>3.0002659810266707</c:v>
                </c:pt>
                <c:pt idx="46">
                  <c:v>3.1370745983607202</c:v>
                </c:pt>
                <c:pt idx="47">
                  <c:v>3.0623272624193829</c:v>
                </c:pt>
                <c:pt idx="48">
                  <c:v>2.8766429390279602</c:v>
                </c:pt>
                <c:pt idx="49">
                  <c:v>2.8707794396834565</c:v>
                </c:pt>
                <c:pt idx="50">
                  <c:v>2.7390473494231591</c:v>
                </c:pt>
                <c:pt idx="51">
                  <c:v>2.5873164195419496</c:v>
                </c:pt>
                <c:pt idx="52">
                  <c:v>2.5188916876574323</c:v>
                </c:pt>
                <c:pt idx="53">
                  <c:v>2.479728373294678</c:v>
                </c:pt>
                <c:pt idx="54">
                  <c:v>2.2148528482245649</c:v>
                </c:pt>
                <c:pt idx="55">
                  <c:v>2.1308127762603513</c:v>
                </c:pt>
                <c:pt idx="56">
                  <c:v>2.6131051968884234</c:v>
                </c:pt>
                <c:pt idx="57">
                  <c:v>2.8672508478661238</c:v>
                </c:pt>
                <c:pt idx="58">
                  <c:v>2.6010098845233833</c:v>
                </c:pt>
                <c:pt idx="59">
                  <c:v>2.5415789247496594</c:v>
                </c:pt>
                <c:pt idx="60">
                  <c:v>2.5966621747693539</c:v>
                </c:pt>
                <c:pt idx="61">
                  <c:v>2.5379878921678647</c:v>
                </c:pt>
                <c:pt idx="62">
                  <c:v>2.6548291540369364</c:v>
                </c:pt>
                <c:pt idx="63">
                  <c:v>2.7274367765718939</c:v>
                </c:pt>
                <c:pt idx="64">
                  <c:v>2.9689493104127496</c:v>
                </c:pt>
                <c:pt idx="65">
                  <c:v>3.0636232007495217</c:v>
                </c:pt>
                <c:pt idx="66">
                  <c:v>3.3053510770768644</c:v>
                </c:pt>
                <c:pt idx="67">
                  <c:v>3.3602740188303559</c:v>
                </c:pt>
                <c:pt idx="68">
                  <c:v>4.7182814496066863</c:v>
                </c:pt>
                <c:pt idx="69">
                  <c:v>4.864231622107857</c:v>
                </c:pt>
                <c:pt idx="70">
                  <c:v>5.3525622279225669</c:v>
                </c:pt>
                <c:pt idx="71">
                  <c:v>5.8171698714187592</c:v>
                </c:pt>
                <c:pt idx="72">
                  <c:v>6.1640144817714893</c:v>
                </c:pt>
                <c:pt idx="73">
                  <c:v>6.3136558986047531</c:v>
                </c:pt>
                <c:pt idx="74">
                  <c:v>6.4381642633649552</c:v>
                </c:pt>
                <c:pt idx="75">
                  <c:v>6.6634880005353336</c:v>
                </c:pt>
                <c:pt idx="76">
                  <c:v>6.3478470530525177</c:v>
                </c:pt>
                <c:pt idx="77">
                  <c:v>6.3715322254084645</c:v>
                </c:pt>
                <c:pt idx="78">
                  <c:v>6.6345231359622225</c:v>
                </c:pt>
                <c:pt idx="79">
                  <c:v>6.773048198179799</c:v>
                </c:pt>
                <c:pt idx="80">
                  <c:v>5.5458354066678268</c:v>
                </c:pt>
                <c:pt idx="81">
                  <c:v>5.3392170318709091</c:v>
                </c:pt>
                <c:pt idx="82">
                  <c:v>5.0354120567544696</c:v>
                </c:pt>
                <c:pt idx="83">
                  <c:v>4.5507834159788176</c:v>
                </c:pt>
                <c:pt idx="84">
                  <c:v>4.5062692817092405</c:v>
                </c:pt>
                <c:pt idx="85">
                  <c:v>4.6468577938105033</c:v>
                </c:pt>
                <c:pt idx="86">
                  <c:v>4.8114055136106577</c:v>
                </c:pt>
                <c:pt idx="87">
                  <c:v>4.9045281971250159</c:v>
                </c:pt>
                <c:pt idx="88">
                  <c:v>5.0195736443805039</c:v>
                </c:pt>
                <c:pt idx="89">
                  <c:v>4.9036357279923948</c:v>
                </c:pt>
                <c:pt idx="90">
                  <c:v>4.7165339115991411</c:v>
                </c:pt>
                <c:pt idx="91">
                  <c:v>4.830546199536756</c:v>
                </c:pt>
                <c:pt idx="92">
                  <c:v>4.3656058642820295</c:v>
                </c:pt>
                <c:pt idx="93">
                  <c:v>3.9402756478725154</c:v>
                </c:pt>
                <c:pt idx="94">
                  <c:v>4.0041779576550196</c:v>
                </c:pt>
                <c:pt idx="95">
                  <c:v>4.4134533855607172</c:v>
                </c:pt>
                <c:pt idx="96">
                  <c:v>4.28199324596088</c:v>
                </c:pt>
                <c:pt idx="97">
                  <c:v>3.9471469134122472</c:v>
                </c:pt>
                <c:pt idx="98">
                  <c:v>3.7813381657405332</c:v>
                </c:pt>
                <c:pt idx="99">
                  <c:v>3.1624407913067643</c:v>
                </c:pt>
                <c:pt idx="100">
                  <c:v>2.9975128075547142</c:v>
                </c:pt>
                <c:pt idx="101">
                  <c:v>3.0195189274447864</c:v>
                </c:pt>
                <c:pt idx="102">
                  <c:v>2.9744973265691144</c:v>
                </c:pt>
                <c:pt idx="103">
                  <c:v>2.8285769753445988</c:v>
                </c:pt>
                <c:pt idx="104">
                  <c:v>3.2383520192419635</c:v>
                </c:pt>
                <c:pt idx="105">
                  <c:v>3.6961941811620269</c:v>
                </c:pt>
                <c:pt idx="106">
                  <c:v>3.249062584560658</c:v>
                </c:pt>
                <c:pt idx="107">
                  <c:v>2.1481488636253765</c:v>
                </c:pt>
                <c:pt idx="108">
                  <c:v>2.8372710276752588</c:v>
                </c:pt>
              </c:numCache>
            </c:numRef>
          </c:val>
          <c:smooth val="0"/>
          <c:extLst>
            <c:ext xmlns:c16="http://schemas.microsoft.com/office/drawing/2014/chart" uri="{C3380CC4-5D6E-409C-BE32-E72D297353CC}">
              <c16:uniqueId val="{00000001-622F-4E89-A0F4-5B7BFDAB86FF}"/>
            </c:ext>
          </c:extLst>
        </c:ser>
        <c:ser>
          <c:idx val="1"/>
          <c:order val="1"/>
          <c:tx>
            <c:strRef>
              <c:f>'[INPC_Gráficas.xlsx]Datos base 2q jul 2018'!$J$4</c:f>
              <c:strCache>
                <c:ptCount val="1"/>
                <c:pt idx="0">
                  <c:v>Subyacente</c:v>
                </c:pt>
              </c:strCache>
            </c:strRef>
          </c:tx>
          <c:spPr>
            <a:ln w="15875" cap="rnd">
              <a:solidFill>
                <a:srgbClr val="33CC33"/>
              </a:solidFill>
              <a:round/>
            </a:ln>
            <a:effectLst/>
          </c:spPr>
          <c:marker>
            <c:symbol val="none"/>
          </c:marker>
          <c:dLbls>
            <c:dLbl>
              <c:idx val="108"/>
              <c:layout>
                <c:manualLayout>
                  <c:x val="-2.4863598576902375E-3"/>
                  <c:y val="-8.8520248615332926E-3"/>
                </c:manualLayout>
              </c:layout>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2F-4E89-A0F4-5B7BFDAB86FF}"/>
                </c:ext>
              </c:extLst>
            </c:dLbl>
            <c:spPr>
              <a:noFill/>
              <a:ln>
                <a:noFill/>
              </a:ln>
              <a:effectLst/>
            </c:spPr>
            <c:txPr>
              <a:bodyPr wrap="square" lIns="38100" tIns="19050" rIns="38100" bIns="19050" anchor="ctr">
                <a:spAutoFit/>
              </a:bodyPr>
              <a:lstStyle/>
              <a:p>
                <a:pPr>
                  <a:defRPr sz="700">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'[INPC_Gráficas.xlsx]Datos base 2q jul 2018'!$A$71:$B$179</c:f>
              <c:multiLvlStrCache>
                <c:ptCount val="109"/>
                <c:lvl>
                  <c:pt idx="0">
                    <c:v>May</c:v>
                  </c:pt>
                  <c:pt idx="1">
                    <c:v>Jun</c:v>
                  </c:pt>
                  <c:pt idx="2">
                    <c:v>Jul</c:v>
                  </c:pt>
                  <c:pt idx="3">
                    <c:v>Ago</c:v>
                  </c:pt>
                  <c:pt idx="4">
                    <c:v>Sep</c:v>
                  </c:pt>
                  <c:pt idx="5">
                    <c:v>Oct</c:v>
                  </c:pt>
                  <c:pt idx="6">
                    <c:v>Nov</c:v>
                  </c:pt>
                  <c:pt idx="7">
                    <c:v>Dic</c:v>
                  </c:pt>
                  <c:pt idx="8">
                    <c:v>Ene</c:v>
                  </c:pt>
                  <c:pt idx="9">
                    <c:v>Feb</c:v>
                  </c:pt>
                  <c:pt idx="10">
                    <c:v>Mar</c:v>
                  </c:pt>
                  <c:pt idx="11">
                    <c:v>Abr</c:v>
                  </c:pt>
                  <c:pt idx="12">
                    <c:v>May</c:v>
                  </c:pt>
                  <c:pt idx="13">
                    <c:v>Jun</c:v>
                  </c:pt>
                  <c:pt idx="14">
                    <c:v>Jul</c:v>
                  </c:pt>
                  <c:pt idx="15">
                    <c:v>Ago</c:v>
                  </c:pt>
                  <c:pt idx="16">
                    <c:v>Sep</c:v>
                  </c:pt>
                  <c:pt idx="17">
                    <c:v>Oct</c:v>
                  </c:pt>
                  <c:pt idx="18">
                    <c:v>Nov</c:v>
                  </c:pt>
                  <c:pt idx="19">
                    <c:v>Dic</c:v>
                  </c:pt>
                  <c:pt idx="20">
                    <c:v>Ene</c:v>
                  </c:pt>
                  <c:pt idx="21">
                    <c:v>Feb</c:v>
                  </c:pt>
                  <c:pt idx="22">
                    <c:v>Mar</c:v>
                  </c:pt>
                  <c:pt idx="23">
                    <c:v>Abr</c:v>
                  </c:pt>
                  <c:pt idx="24">
                    <c:v>May</c:v>
                  </c:pt>
                  <c:pt idx="25">
                    <c:v>Jun</c:v>
                  </c:pt>
                  <c:pt idx="26">
                    <c:v>Jul</c:v>
                  </c:pt>
                  <c:pt idx="27">
                    <c:v>Ago</c:v>
                  </c:pt>
                  <c:pt idx="28">
                    <c:v>Sep</c:v>
                  </c:pt>
                  <c:pt idx="29">
                    <c:v>Oct</c:v>
                  </c:pt>
                  <c:pt idx="30">
                    <c:v>Nov</c:v>
                  </c:pt>
                  <c:pt idx="31">
                    <c:v>Dic</c:v>
                  </c:pt>
                  <c:pt idx="32">
                    <c:v>Ene</c:v>
                  </c:pt>
                  <c:pt idx="33">
                    <c:v>Feb</c:v>
                  </c:pt>
                  <c:pt idx="34">
                    <c:v>Mar</c:v>
                  </c:pt>
                  <c:pt idx="35">
                    <c:v>Abr</c:v>
                  </c:pt>
                  <c:pt idx="36">
                    <c:v>May</c:v>
                  </c:pt>
                  <c:pt idx="37">
                    <c:v>Jun</c:v>
                  </c:pt>
                  <c:pt idx="38">
                    <c:v>Jul</c:v>
                  </c:pt>
                  <c:pt idx="39">
                    <c:v>Ago</c:v>
                  </c:pt>
                  <c:pt idx="40">
                    <c:v>Sep</c:v>
                  </c:pt>
                  <c:pt idx="41">
                    <c:v>Oct</c:v>
                  </c:pt>
                  <c:pt idx="42">
                    <c:v>Nov</c:v>
                  </c:pt>
                  <c:pt idx="43">
                    <c:v>Dic</c:v>
                  </c:pt>
                  <c:pt idx="44">
                    <c:v>Ene</c:v>
                  </c:pt>
                  <c:pt idx="45">
                    <c:v>Feb</c:v>
                  </c:pt>
                  <c:pt idx="46">
                    <c:v>Mar</c:v>
                  </c:pt>
                  <c:pt idx="47">
                    <c:v>Abr</c:v>
                  </c:pt>
                  <c:pt idx="48">
                    <c:v>May</c:v>
                  </c:pt>
                  <c:pt idx="49">
                    <c:v>Jun</c:v>
                  </c:pt>
                  <c:pt idx="50">
                    <c:v>Jul</c:v>
                  </c:pt>
                  <c:pt idx="51">
                    <c:v>Ago</c:v>
                  </c:pt>
                  <c:pt idx="52">
                    <c:v>Sep</c:v>
                  </c:pt>
                  <c:pt idx="53">
                    <c:v>Oct</c:v>
                  </c:pt>
                  <c:pt idx="54">
                    <c:v>Nov</c:v>
                  </c:pt>
                  <c:pt idx="55">
                    <c:v>Dic</c:v>
                  </c:pt>
                  <c:pt idx="56">
                    <c:v>Ene </c:v>
                  </c:pt>
                  <c:pt idx="57">
                    <c:v>Feb</c:v>
                  </c:pt>
                  <c:pt idx="58">
                    <c:v>Mar</c:v>
                  </c:pt>
                  <c:pt idx="59">
                    <c:v>Abr</c:v>
                  </c:pt>
                  <c:pt idx="60">
                    <c:v>May</c:v>
                  </c:pt>
                  <c:pt idx="61">
                    <c:v>Jun</c:v>
                  </c:pt>
                  <c:pt idx="62">
                    <c:v>Jul</c:v>
                  </c:pt>
                  <c:pt idx="63">
                    <c:v>Ago</c:v>
                  </c:pt>
                  <c:pt idx="64">
                    <c:v>Sep</c:v>
                  </c:pt>
                  <c:pt idx="65">
                    <c:v>Oct</c:v>
                  </c:pt>
                  <c:pt idx="66">
                    <c:v>Nov</c:v>
                  </c:pt>
                  <c:pt idx="67">
                    <c:v>Dic</c:v>
                  </c:pt>
                  <c:pt idx="68">
                    <c:v>Ene </c:v>
                  </c:pt>
                  <c:pt idx="69">
                    <c:v>Feb</c:v>
                  </c:pt>
                  <c:pt idx="70">
                    <c:v>Mar</c:v>
                  </c:pt>
                  <c:pt idx="71">
                    <c:v>Abr</c:v>
                  </c:pt>
                  <c:pt idx="72">
                    <c:v>May</c:v>
                  </c:pt>
                  <c:pt idx="73">
                    <c:v>Jun</c:v>
                  </c:pt>
                  <c:pt idx="74">
                    <c:v>Jul</c:v>
                  </c:pt>
                  <c:pt idx="75">
                    <c:v>Ago</c:v>
                  </c:pt>
                  <c:pt idx="76">
                    <c:v>Sep</c:v>
                  </c:pt>
                  <c:pt idx="77">
                    <c:v>Oct</c:v>
                  </c:pt>
                  <c:pt idx="78">
                    <c:v>Nov</c:v>
                  </c:pt>
                  <c:pt idx="79">
                    <c:v>Dic</c:v>
                  </c:pt>
                  <c:pt idx="80">
                    <c:v>Ene </c:v>
                  </c:pt>
                  <c:pt idx="81">
                    <c:v>Feb</c:v>
                  </c:pt>
                  <c:pt idx="82">
                    <c:v>Mar</c:v>
                  </c:pt>
                  <c:pt idx="83">
                    <c:v>Abr</c:v>
                  </c:pt>
                  <c:pt idx="84">
                    <c:v>May</c:v>
                  </c:pt>
                  <c:pt idx="85">
                    <c:v>Jun</c:v>
                  </c:pt>
                  <c:pt idx="86">
                    <c:v>Jul</c:v>
                  </c:pt>
                  <c:pt idx="87">
                    <c:v>Ago</c:v>
                  </c:pt>
                  <c:pt idx="88">
                    <c:v>Sep</c:v>
                  </c:pt>
                  <c:pt idx="89">
                    <c:v>Oct</c:v>
                  </c:pt>
                  <c:pt idx="90">
                    <c:v>Nov</c:v>
                  </c:pt>
                  <c:pt idx="91">
                    <c:v>Dic</c:v>
                  </c:pt>
                  <c:pt idx="92">
                    <c:v>Ene </c:v>
                  </c:pt>
                  <c:pt idx="93">
                    <c:v>Feb</c:v>
                  </c:pt>
                  <c:pt idx="94">
                    <c:v>Mar</c:v>
                  </c:pt>
                  <c:pt idx="95">
                    <c:v>Abr</c:v>
                  </c:pt>
                  <c:pt idx="96">
                    <c:v>May</c:v>
                  </c:pt>
                  <c:pt idx="97">
                    <c:v>Jun</c:v>
                  </c:pt>
                  <c:pt idx="98">
                    <c:v>Jul</c:v>
                  </c:pt>
                  <c:pt idx="99">
                    <c:v>Ago</c:v>
                  </c:pt>
                  <c:pt idx="100">
                    <c:v>Sep</c:v>
                  </c:pt>
                  <c:pt idx="101">
                    <c:v>Oct</c:v>
                  </c:pt>
                  <c:pt idx="102">
                    <c:v>Nov</c:v>
                  </c:pt>
                  <c:pt idx="103">
                    <c:v>Dic</c:v>
                  </c:pt>
                  <c:pt idx="104">
                    <c:v>Ene </c:v>
                  </c:pt>
                  <c:pt idx="105">
                    <c:v>Feb</c:v>
                  </c:pt>
                  <c:pt idx="106">
                    <c:v>Mar</c:v>
                  </c:pt>
                  <c:pt idx="107">
                    <c:v>Abr</c:v>
                  </c:pt>
                  <c:pt idx="108">
                    <c:v>May</c:v>
                  </c:pt>
                </c:lvl>
                <c:lvl>
                  <c:pt idx="0">
                    <c:v>2011</c:v>
                  </c:pt>
                  <c:pt idx="1">
                    <c:v>2011</c:v>
                  </c:pt>
                  <c:pt idx="2">
                    <c:v>2011</c:v>
                  </c:pt>
                  <c:pt idx="3">
                    <c:v>2011</c:v>
                  </c:pt>
                  <c:pt idx="4">
                    <c:v>2011</c:v>
                  </c:pt>
                  <c:pt idx="5">
                    <c:v>2011</c:v>
                  </c:pt>
                  <c:pt idx="6">
                    <c:v>2011</c:v>
                  </c:pt>
                  <c:pt idx="7">
                    <c:v>2011</c:v>
                  </c:pt>
                  <c:pt idx="8">
                    <c:v>2012</c:v>
                  </c:pt>
                  <c:pt idx="9">
                    <c:v>2012</c:v>
                  </c:pt>
                  <c:pt idx="10">
                    <c:v>2012</c:v>
                  </c:pt>
                  <c:pt idx="11">
                    <c:v>2012</c:v>
                  </c:pt>
                  <c:pt idx="12">
                    <c:v>2012</c:v>
                  </c:pt>
                  <c:pt idx="13">
                    <c:v>2012</c:v>
                  </c:pt>
                  <c:pt idx="14">
                    <c:v>2012</c:v>
                  </c:pt>
                  <c:pt idx="15">
                    <c:v>2012</c:v>
                  </c:pt>
                  <c:pt idx="16">
                    <c:v>2012</c:v>
                  </c:pt>
                  <c:pt idx="17">
                    <c:v>2012</c:v>
                  </c:pt>
                  <c:pt idx="18">
                    <c:v>2012</c:v>
                  </c:pt>
                  <c:pt idx="19">
                    <c:v>2012</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2015</c:v>
                  </c:pt>
                  <c:pt idx="45">
                    <c:v>2015</c:v>
                  </c:pt>
                  <c:pt idx="46">
                    <c:v>2015</c:v>
                  </c:pt>
                  <c:pt idx="47">
                    <c:v>2015</c:v>
                  </c:pt>
                  <c:pt idx="48">
                    <c:v>2015</c:v>
                  </c:pt>
                  <c:pt idx="49">
                    <c:v>2015</c:v>
                  </c:pt>
                  <c:pt idx="50">
                    <c:v>2015</c:v>
                  </c:pt>
                  <c:pt idx="51">
                    <c:v>2015</c:v>
                  </c:pt>
                  <c:pt idx="52">
                    <c:v>2015</c:v>
                  </c:pt>
                  <c:pt idx="53">
                    <c:v>2015</c:v>
                  </c:pt>
                  <c:pt idx="54">
                    <c:v>2015</c:v>
                  </c:pt>
                  <c:pt idx="55">
                    <c:v>2015</c:v>
                  </c:pt>
                  <c:pt idx="56">
                    <c:v>2016</c:v>
                  </c:pt>
                  <c:pt idx="57">
                    <c:v>2016</c:v>
                  </c:pt>
                  <c:pt idx="58">
                    <c:v>2016</c:v>
                  </c:pt>
                  <c:pt idx="59">
                    <c:v>2016</c:v>
                  </c:pt>
                  <c:pt idx="60">
                    <c:v>2016</c:v>
                  </c:pt>
                  <c:pt idx="61">
                    <c:v>2016</c:v>
                  </c:pt>
                  <c:pt idx="62">
                    <c:v>2016</c:v>
                  </c:pt>
                  <c:pt idx="63">
                    <c:v>2016</c:v>
                  </c:pt>
                  <c:pt idx="64">
                    <c:v>2016</c:v>
                  </c:pt>
                  <c:pt idx="65">
                    <c:v>2016</c:v>
                  </c:pt>
                  <c:pt idx="66">
                    <c:v>2016</c:v>
                  </c:pt>
                  <c:pt idx="67">
                    <c:v>2016</c:v>
                  </c:pt>
                  <c:pt idx="68">
                    <c:v>2017</c:v>
                  </c:pt>
                  <c:pt idx="69">
                    <c:v>2017</c:v>
                  </c:pt>
                  <c:pt idx="70">
                    <c:v>2017</c:v>
                  </c:pt>
                  <c:pt idx="71">
                    <c:v>2017</c:v>
                  </c:pt>
                  <c:pt idx="72">
                    <c:v>2017</c:v>
                  </c:pt>
                  <c:pt idx="73">
                    <c:v>2017</c:v>
                  </c:pt>
                  <c:pt idx="74">
                    <c:v>2017</c:v>
                  </c:pt>
                  <c:pt idx="75">
                    <c:v>2017</c:v>
                  </c:pt>
                  <c:pt idx="76">
                    <c:v>2017</c:v>
                  </c:pt>
                  <c:pt idx="77">
                    <c:v>2017</c:v>
                  </c:pt>
                  <c:pt idx="78">
                    <c:v>2017</c:v>
                  </c:pt>
                  <c:pt idx="79">
                    <c:v>2017</c:v>
                  </c:pt>
                  <c:pt idx="80">
                    <c:v>2018</c:v>
                  </c:pt>
                  <c:pt idx="81">
                    <c:v>2018</c:v>
                  </c:pt>
                  <c:pt idx="82">
                    <c:v>2018</c:v>
                  </c:pt>
                  <c:pt idx="83">
                    <c:v>2018</c:v>
                  </c:pt>
                  <c:pt idx="84">
                    <c:v>2018</c:v>
                  </c:pt>
                  <c:pt idx="85">
                    <c:v>2018</c:v>
                  </c:pt>
                  <c:pt idx="86">
                    <c:v>2018</c:v>
                  </c:pt>
                  <c:pt idx="87">
                    <c:v>2018</c:v>
                  </c:pt>
                  <c:pt idx="88">
                    <c:v>2018</c:v>
                  </c:pt>
                  <c:pt idx="89">
                    <c:v>2018</c:v>
                  </c:pt>
                  <c:pt idx="90">
                    <c:v>2018</c:v>
                  </c:pt>
                  <c:pt idx="91">
                    <c:v>2018</c:v>
                  </c:pt>
                  <c:pt idx="92">
                    <c:v>2019</c:v>
                  </c:pt>
                  <c:pt idx="93">
                    <c:v>2019</c:v>
                  </c:pt>
                  <c:pt idx="94">
                    <c:v>2019</c:v>
                  </c:pt>
                  <c:pt idx="95">
                    <c:v>2019</c:v>
                  </c:pt>
                  <c:pt idx="96">
                    <c:v>2019</c:v>
                  </c:pt>
                  <c:pt idx="97">
                    <c:v>2019</c:v>
                  </c:pt>
                  <c:pt idx="98">
                    <c:v>2019</c:v>
                  </c:pt>
                  <c:pt idx="99">
                    <c:v>2019</c:v>
                  </c:pt>
                  <c:pt idx="100">
                    <c:v>2019</c:v>
                  </c:pt>
                  <c:pt idx="101">
                    <c:v>2019</c:v>
                  </c:pt>
                  <c:pt idx="102">
                    <c:v>2019</c:v>
                  </c:pt>
                  <c:pt idx="103">
                    <c:v>2019</c:v>
                  </c:pt>
                  <c:pt idx="104">
                    <c:v>2020</c:v>
                  </c:pt>
                  <c:pt idx="105">
                    <c:v>2020</c:v>
                  </c:pt>
                  <c:pt idx="106">
                    <c:v>2020</c:v>
                  </c:pt>
                  <c:pt idx="107">
                    <c:v>2020</c:v>
                  </c:pt>
                  <c:pt idx="108">
                    <c:v>2020</c:v>
                  </c:pt>
                </c:lvl>
              </c:multiLvlStrCache>
            </c:multiLvlStrRef>
          </c:cat>
          <c:val>
            <c:numRef>
              <c:f>'[INPC_Gráficas.xlsx]Datos base 2q jul 2018'!$J$71:$J$179</c:f>
              <c:numCache>
                <c:formatCode>0.00</c:formatCode>
                <c:ptCount val="109"/>
                <c:pt idx="0">
                  <c:v>3.119019422989187</c:v>
                </c:pt>
                <c:pt idx="1">
                  <c:v>3.1764990231993271</c:v>
                </c:pt>
                <c:pt idx="2">
                  <c:v>3.1932744089474538</c:v>
                </c:pt>
                <c:pt idx="3">
                  <c:v>3.2169767950597743</c:v>
                </c:pt>
                <c:pt idx="4">
                  <c:v>3.1183055023675901</c:v>
                </c:pt>
                <c:pt idx="5">
                  <c:v>3.1883275389076449</c:v>
                </c:pt>
                <c:pt idx="6">
                  <c:v>3.2765420338781643</c:v>
                </c:pt>
                <c:pt idx="7">
                  <c:v>3.3530622204483231</c:v>
                </c:pt>
                <c:pt idx="8">
                  <c:v>3.3436930809268399</c:v>
                </c:pt>
                <c:pt idx="9">
                  <c:v>3.3671046021780144</c:v>
                </c:pt>
                <c:pt idx="10">
                  <c:v>3.3113498039227229</c:v>
                </c:pt>
                <c:pt idx="11">
                  <c:v>3.3889839670201529</c:v>
                </c:pt>
                <c:pt idx="12">
                  <c:v>3.4793422084359085</c:v>
                </c:pt>
                <c:pt idx="13">
                  <c:v>3.5024590654229684</c:v>
                </c:pt>
                <c:pt idx="14">
                  <c:v>3.5920821039862001</c:v>
                </c:pt>
                <c:pt idx="15">
                  <c:v>3.7002444070869589</c:v>
                </c:pt>
                <c:pt idx="16">
                  <c:v>3.6082675568587601</c:v>
                </c:pt>
                <c:pt idx="17">
                  <c:v>3.5757597306912232</c:v>
                </c:pt>
                <c:pt idx="18">
                  <c:v>3.2959752573821817</c:v>
                </c:pt>
                <c:pt idx="19">
                  <c:v>2.900125067472791</c:v>
                </c:pt>
                <c:pt idx="20">
                  <c:v>2.8758972112390766</c:v>
                </c:pt>
                <c:pt idx="21">
                  <c:v>2.9616309791473272</c:v>
                </c:pt>
                <c:pt idx="22">
                  <c:v>3.0196390513881881</c:v>
                </c:pt>
                <c:pt idx="23">
                  <c:v>2.9470356969381024</c:v>
                </c:pt>
                <c:pt idx="24">
                  <c:v>2.877045105571669</c:v>
                </c:pt>
                <c:pt idx="25">
                  <c:v>2.7872047408431238</c:v>
                </c:pt>
                <c:pt idx="26">
                  <c:v>2.5028703370876233</c:v>
                </c:pt>
                <c:pt idx="27">
                  <c:v>2.3658177804721046</c:v>
                </c:pt>
                <c:pt idx="28">
                  <c:v>2.515920717630256</c:v>
                </c:pt>
                <c:pt idx="29">
                  <c:v>2.4794464775631813</c:v>
                </c:pt>
                <c:pt idx="30">
                  <c:v>2.5649870805356052</c:v>
                </c:pt>
                <c:pt idx="31">
                  <c:v>2.7768966976377301</c:v>
                </c:pt>
                <c:pt idx="32">
                  <c:v>3.2149549463724112</c:v>
                </c:pt>
                <c:pt idx="33">
                  <c:v>2.9815992803587128</c:v>
                </c:pt>
                <c:pt idx="34">
                  <c:v>2.8932252163082919</c:v>
                </c:pt>
                <c:pt idx="35">
                  <c:v>3.1101473946244109</c:v>
                </c:pt>
                <c:pt idx="36">
                  <c:v>3.0035274507757586</c:v>
                </c:pt>
                <c:pt idx="37">
                  <c:v>3.0900897382228592</c:v>
                </c:pt>
                <c:pt idx="38">
                  <c:v>3.2487794255958073</c:v>
                </c:pt>
                <c:pt idx="39">
                  <c:v>3.3745783859321801</c:v>
                </c:pt>
                <c:pt idx="40">
                  <c:v>3.3426914882561221</c:v>
                </c:pt>
                <c:pt idx="41">
                  <c:v>3.3163350058599472</c:v>
                </c:pt>
                <c:pt idx="42">
                  <c:v>3.3433053168902909</c:v>
                </c:pt>
                <c:pt idx="43">
                  <c:v>3.2448177346399127</c:v>
                </c:pt>
                <c:pt idx="44">
                  <c:v>2.3383998327657349</c:v>
                </c:pt>
                <c:pt idx="45">
                  <c:v>2.3979106641053143</c:v>
                </c:pt>
                <c:pt idx="46">
                  <c:v>2.4463932612693524</c:v>
                </c:pt>
                <c:pt idx="47">
                  <c:v>2.3081554852986721</c:v>
                </c:pt>
                <c:pt idx="48">
                  <c:v>2.3305900684862193</c:v>
                </c:pt>
                <c:pt idx="49">
                  <c:v>2.3269537481242435</c:v>
                </c:pt>
                <c:pt idx="50">
                  <c:v>2.3112445832250934</c:v>
                </c:pt>
                <c:pt idx="51">
                  <c:v>2.2994746549221601</c:v>
                </c:pt>
                <c:pt idx="52">
                  <c:v>2.3789168680112285</c:v>
                </c:pt>
                <c:pt idx="53">
                  <c:v>2.4656820691800654</c:v>
                </c:pt>
                <c:pt idx="54">
                  <c:v>2.3365787531201514</c:v>
                </c:pt>
                <c:pt idx="55">
                  <c:v>2.4119558744003973</c:v>
                </c:pt>
                <c:pt idx="56">
                  <c:v>2.6434226555474014</c:v>
                </c:pt>
                <c:pt idx="57">
                  <c:v>2.6623814836084652</c:v>
                </c:pt>
                <c:pt idx="58">
                  <c:v>2.760648466857702</c:v>
                </c:pt>
                <c:pt idx="59">
                  <c:v>2.827165397588026</c:v>
                </c:pt>
                <c:pt idx="60">
                  <c:v>2.9277923611219818</c:v>
                </c:pt>
                <c:pt idx="61">
                  <c:v>2.9744353574629447</c:v>
                </c:pt>
                <c:pt idx="62">
                  <c:v>2.9725376004903468</c:v>
                </c:pt>
                <c:pt idx="63">
                  <c:v>2.9609191830223178</c:v>
                </c:pt>
                <c:pt idx="64">
                  <c:v>3.0690587086750285</c:v>
                </c:pt>
                <c:pt idx="65">
                  <c:v>3.0980049382589616</c:v>
                </c:pt>
                <c:pt idx="66">
                  <c:v>3.2930623557082486</c:v>
                </c:pt>
                <c:pt idx="67">
                  <c:v>3.4373659982048181</c:v>
                </c:pt>
                <c:pt idx="68">
                  <c:v>3.8357376467426549</c:v>
                </c:pt>
                <c:pt idx="69">
                  <c:v>4.2555046474677471</c:v>
                </c:pt>
                <c:pt idx="70">
                  <c:v>4.4783374612475164</c:v>
                </c:pt>
                <c:pt idx="71">
                  <c:v>4.7173262046135154</c:v>
                </c:pt>
                <c:pt idx="72">
                  <c:v>4.7815776448548775</c:v>
                </c:pt>
                <c:pt idx="73">
                  <c:v>4.8338438131124217</c:v>
                </c:pt>
                <c:pt idx="74">
                  <c:v>4.935516841380946</c:v>
                </c:pt>
                <c:pt idx="75">
                  <c:v>5.0029580594435865</c:v>
                </c:pt>
                <c:pt idx="76">
                  <c:v>4.8001484368885379</c:v>
                </c:pt>
                <c:pt idx="77">
                  <c:v>4.7718024040299234</c:v>
                </c:pt>
                <c:pt idx="78">
                  <c:v>4.8971034253443557</c:v>
                </c:pt>
                <c:pt idx="79">
                  <c:v>4.868778362354127</c:v>
                </c:pt>
                <c:pt idx="80">
                  <c:v>4.5610867697520128</c:v>
                </c:pt>
                <c:pt idx="81">
                  <c:v>4.2746628168778127</c:v>
                </c:pt>
                <c:pt idx="82">
                  <c:v>4.0228686863965315</c:v>
                </c:pt>
                <c:pt idx="83">
                  <c:v>3.7095644217896755</c:v>
                </c:pt>
                <c:pt idx="84">
                  <c:v>3.6906558377127872</c:v>
                </c:pt>
                <c:pt idx="85">
                  <c:v>3.6152923643841275</c:v>
                </c:pt>
                <c:pt idx="86">
                  <c:v>3.6349156535127221</c:v>
                </c:pt>
                <c:pt idx="87">
                  <c:v>3.6268947226102743</c:v>
                </c:pt>
                <c:pt idx="88">
                  <c:v>3.6697723796647042</c:v>
                </c:pt>
                <c:pt idx="89">
                  <c:v>3.7294081492161624</c:v>
                </c:pt>
                <c:pt idx="90">
                  <c:v>3.6336719347377811</c:v>
                </c:pt>
                <c:pt idx="91">
                  <c:v>3.6830818113137154</c:v>
                </c:pt>
                <c:pt idx="92">
                  <c:v>3.5956327388364739</c:v>
                </c:pt>
                <c:pt idx="93">
                  <c:v>3.5373492702235998</c:v>
                </c:pt>
                <c:pt idx="94">
                  <c:v>3.5522683456014059</c:v>
                </c:pt>
                <c:pt idx="95">
                  <c:v>3.8709212669734594</c:v>
                </c:pt>
                <c:pt idx="96">
                  <c:v>3.7745907093303721</c:v>
                </c:pt>
                <c:pt idx="97">
                  <c:v>3.8492317375587115</c:v>
                </c:pt>
                <c:pt idx="98">
                  <c:v>3.8210955621749809</c:v>
                </c:pt>
                <c:pt idx="99">
                  <c:v>3.7767203638696234</c:v>
                </c:pt>
                <c:pt idx="100">
                  <c:v>3.7497990358150046</c:v>
                </c:pt>
                <c:pt idx="101">
                  <c:v>3.6838383356078586</c:v>
                </c:pt>
                <c:pt idx="102">
                  <c:v>3.6529927423974762</c:v>
                </c:pt>
                <c:pt idx="103">
                  <c:v>3.5946407097393385</c:v>
                </c:pt>
                <c:pt idx="104">
                  <c:v>3.725708133157446</c:v>
                </c:pt>
                <c:pt idx="105">
                  <c:v>3.6555222096642526</c:v>
                </c:pt>
                <c:pt idx="106">
                  <c:v>3.6030403255272292</c:v>
                </c:pt>
                <c:pt idx="107">
                  <c:v>3.5040766537671963</c:v>
                </c:pt>
                <c:pt idx="108">
                  <c:v>3.6427379565861173</c:v>
                </c:pt>
              </c:numCache>
            </c:numRef>
          </c:val>
          <c:smooth val="0"/>
          <c:extLst>
            <c:ext xmlns:c16="http://schemas.microsoft.com/office/drawing/2014/chart" uri="{C3380CC4-5D6E-409C-BE32-E72D297353CC}">
              <c16:uniqueId val="{00000003-622F-4E89-A0F4-5B7BFDAB86FF}"/>
            </c:ext>
          </c:extLst>
        </c:ser>
        <c:ser>
          <c:idx val="2"/>
          <c:order val="2"/>
          <c:tx>
            <c:strRef>
              <c:f>'[INPC_Gráficas.xlsx]Datos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2.4863598576902375E-3"/>
                  <c:y val="-4.48056956964579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2F-4E89-A0F4-5B7BFDAB86FF}"/>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'[INPC_Gráficas.xlsx]Datos base 2q jul 2018'!$A$71:$B$179</c:f>
              <c:multiLvlStrCache>
                <c:ptCount val="109"/>
                <c:lvl>
                  <c:pt idx="0">
                    <c:v>May</c:v>
                  </c:pt>
                  <c:pt idx="1">
                    <c:v>Jun</c:v>
                  </c:pt>
                  <c:pt idx="2">
                    <c:v>Jul</c:v>
                  </c:pt>
                  <c:pt idx="3">
                    <c:v>Ago</c:v>
                  </c:pt>
                  <c:pt idx="4">
                    <c:v>Sep</c:v>
                  </c:pt>
                  <c:pt idx="5">
                    <c:v>Oct</c:v>
                  </c:pt>
                  <c:pt idx="6">
                    <c:v>Nov</c:v>
                  </c:pt>
                  <c:pt idx="7">
                    <c:v>Dic</c:v>
                  </c:pt>
                  <c:pt idx="8">
                    <c:v>Ene</c:v>
                  </c:pt>
                  <c:pt idx="9">
                    <c:v>Feb</c:v>
                  </c:pt>
                  <c:pt idx="10">
                    <c:v>Mar</c:v>
                  </c:pt>
                  <c:pt idx="11">
                    <c:v>Abr</c:v>
                  </c:pt>
                  <c:pt idx="12">
                    <c:v>May</c:v>
                  </c:pt>
                  <c:pt idx="13">
                    <c:v>Jun</c:v>
                  </c:pt>
                  <c:pt idx="14">
                    <c:v>Jul</c:v>
                  </c:pt>
                  <c:pt idx="15">
                    <c:v>Ago</c:v>
                  </c:pt>
                  <c:pt idx="16">
                    <c:v>Sep</c:v>
                  </c:pt>
                  <c:pt idx="17">
                    <c:v>Oct</c:v>
                  </c:pt>
                  <c:pt idx="18">
                    <c:v>Nov</c:v>
                  </c:pt>
                  <c:pt idx="19">
                    <c:v>Dic</c:v>
                  </c:pt>
                  <c:pt idx="20">
                    <c:v>Ene</c:v>
                  </c:pt>
                  <c:pt idx="21">
                    <c:v>Feb</c:v>
                  </c:pt>
                  <c:pt idx="22">
                    <c:v>Mar</c:v>
                  </c:pt>
                  <c:pt idx="23">
                    <c:v>Abr</c:v>
                  </c:pt>
                  <c:pt idx="24">
                    <c:v>May</c:v>
                  </c:pt>
                  <c:pt idx="25">
                    <c:v>Jun</c:v>
                  </c:pt>
                  <c:pt idx="26">
                    <c:v>Jul</c:v>
                  </c:pt>
                  <c:pt idx="27">
                    <c:v>Ago</c:v>
                  </c:pt>
                  <c:pt idx="28">
                    <c:v>Sep</c:v>
                  </c:pt>
                  <c:pt idx="29">
                    <c:v>Oct</c:v>
                  </c:pt>
                  <c:pt idx="30">
                    <c:v>Nov</c:v>
                  </c:pt>
                  <c:pt idx="31">
                    <c:v>Dic</c:v>
                  </c:pt>
                  <c:pt idx="32">
                    <c:v>Ene</c:v>
                  </c:pt>
                  <c:pt idx="33">
                    <c:v>Feb</c:v>
                  </c:pt>
                  <c:pt idx="34">
                    <c:v>Mar</c:v>
                  </c:pt>
                  <c:pt idx="35">
                    <c:v>Abr</c:v>
                  </c:pt>
                  <c:pt idx="36">
                    <c:v>May</c:v>
                  </c:pt>
                  <c:pt idx="37">
                    <c:v>Jun</c:v>
                  </c:pt>
                  <c:pt idx="38">
                    <c:v>Jul</c:v>
                  </c:pt>
                  <c:pt idx="39">
                    <c:v>Ago</c:v>
                  </c:pt>
                  <c:pt idx="40">
                    <c:v>Sep</c:v>
                  </c:pt>
                  <c:pt idx="41">
                    <c:v>Oct</c:v>
                  </c:pt>
                  <c:pt idx="42">
                    <c:v>Nov</c:v>
                  </c:pt>
                  <c:pt idx="43">
                    <c:v>Dic</c:v>
                  </c:pt>
                  <c:pt idx="44">
                    <c:v>Ene</c:v>
                  </c:pt>
                  <c:pt idx="45">
                    <c:v>Feb</c:v>
                  </c:pt>
                  <c:pt idx="46">
                    <c:v>Mar</c:v>
                  </c:pt>
                  <c:pt idx="47">
                    <c:v>Abr</c:v>
                  </c:pt>
                  <c:pt idx="48">
                    <c:v>May</c:v>
                  </c:pt>
                  <c:pt idx="49">
                    <c:v>Jun</c:v>
                  </c:pt>
                  <c:pt idx="50">
                    <c:v>Jul</c:v>
                  </c:pt>
                  <c:pt idx="51">
                    <c:v>Ago</c:v>
                  </c:pt>
                  <c:pt idx="52">
                    <c:v>Sep</c:v>
                  </c:pt>
                  <c:pt idx="53">
                    <c:v>Oct</c:v>
                  </c:pt>
                  <c:pt idx="54">
                    <c:v>Nov</c:v>
                  </c:pt>
                  <c:pt idx="55">
                    <c:v>Dic</c:v>
                  </c:pt>
                  <c:pt idx="56">
                    <c:v>Ene </c:v>
                  </c:pt>
                  <c:pt idx="57">
                    <c:v>Feb</c:v>
                  </c:pt>
                  <c:pt idx="58">
                    <c:v>Mar</c:v>
                  </c:pt>
                  <c:pt idx="59">
                    <c:v>Abr</c:v>
                  </c:pt>
                  <c:pt idx="60">
                    <c:v>May</c:v>
                  </c:pt>
                  <c:pt idx="61">
                    <c:v>Jun</c:v>
                  </c:pt>
                  <c:pt idx="62">
                    <c:v>Jul</c:v>
                  </c:pt>
                  <c:pt idx="63">
                    <c:v>Ago</c:v>
                  </c:pt>
                  <c:pt idx="64">
                    <c:v>Sep</c:v>
                  </c:pt>
                  <c:pt idx="65">
                    <c:v>Oct</c:v>
                  </c:pt>
                  <c:pt idx="66">
                    <c:v>Nov</c:v>
                  </c:pt>
                  <c:pt idx="67">
                    <c:v>Dic</c:v>
                  </c:pt>
                  <c:pt idx="68">
                    <c:v>Ene </c:v>
                  </c:pt>
                  <c:pt idx="69">
                    <c:v>Feb</c:v>
                  </c:pt>
                  <c:pt idx="70">
                    <c:v>Mar</c:v>
                  </c:pt>
                  <c:pt idx="71">
                    <c:v>Abr</c:v>
                  </c:pt>
                  <c:pt idx="72">
                    <c:v>May</c:v>
                  </c:pt>
                  <c:pt idx="73">
                    <c:v>Jun</c:v>
                  </c:pt>
                  <c:pt idx="74">
                    <c:v>Jul</c:v>
                  </c:pt>
                  <c:pt idx="75">
                    <c:v>Ago</c:v>
                  </c:pt>
                  <c:pt idx="76">
                    <c:v>Sep</c:v>
                  </c:pt>
                  <c:pt idx="77">
                    <c:v>Oct</c:v>
                  </c:pt>
                  <c:pt idx="78">
                    <c:v>Nov</c:v>
                  </c:pt>
                  <c:pt idx="79">
                    <c:v>Dic</c:v>
                  </c:pt>
                  <c:pt idx="80">
                    <c:v>Ene </c:v>
                  </c:pt>
                  <c:pt idx="81">
                    <c:v>Feb</c:v>
                  </c:pt>
                  <c:pt idx="82">
                    <c:v>Mar</c:v>
                  </c:pt>
                  <c:pt idx="83">
                    <c:v>Abr</c:v>
                  </c:pt>
                  <c:pt idx="84">
                    <c:v>May</c:v>
                  </c:pt>
                  <c:pt idx="85">
                    <c:v>Jun</c:v>
                  </c:pt>
                  <c:pt idx="86">
                    <c:v>Jul</c:v>
                  </c:pt>
                  <c:pt idx="87">
                    <c:v>Ago</c:v>
                  </c:pt>
                  <c:pt idx="88">
                    <c:v>Sep</c:v>
                  </c:pt>
                  <c:pt idx="89">
                    <c:v>Oct</c:v>
                  </c:pt>
                  <c:pt idx="90">
                    <c:v>Nov</c:v>
                  </c:pt>
                  <c:pt idx="91">
                    <c:v>Dic</c:v>
                  </c:pt>
                  <c:pt idx="92">
                    <c:v>Ene </c:v>
                  </c:pt>
                  <c:pt idx="93">
                    <c:v>Feb</c:v>
                  </c:pt>
                  <c:pt idx="94">
                    <c:v>Mar</c:v>
                  </c:pt>
                  <c:pt idx="95">
                    <c:v>Abr</c:v>
                  </c:pt>
                  <c:pt idx="96">
                    <c:v>May</c:v>
                  </c:pt>
                  <c:pt idx="97">
                    <c:v>Jun</c:v>
                  </c:pt>
                  <c:pt idx="98">
                    <c:v>Jul</c:v>
                  </c:pt>
                  <c:pt idx="99">
                    <c:v>Ago</c:v>
                  </c:pt>
                  <c:pt idx="100">
                    <c:v>Sep</c:v>
                  </c:pt>
                  <c:pt idx="101">
                    <c:v>Oct</c:v>
                  </c:pt>
                  <c:pt idx="102">
                    <c:v>Nov</c:v>
                  </c:pt>
                  <c:pt idx="103">
                    <c:v>Dic</c:v>
                  </c:pt>
                  <c:pt idx="104">
                    <c:v>Ene </c:v>
                  </c:pt>
                  <c:pt idx="105">
                    <c:v>Feb</c:v>
                  </c:pt>
                  <c:pt idx="106">
                    <c:v>Mar</c:v>
                  </c:pt>
                  <c:pt idx="107">
                    <c:v>Abr</c:v>
                  </c:pt>
                  <c:pt idx="108">
                    <c:v>May</c:v>
                  </c:pt>
                </c:lvl>
                <c:lvl>
                  <c:pt idx="0">
                    <c:v>2011</c:v>
                  </c:pt>
                  <c:pt idx="1">
                    <c:v>2011</c:v>
                  </c:pt>
                  <c:pt idx="2">
                    <c:v>2011</c:v>
                  </c:pt>
                  <c:pt idx="3">
                    <c:v>2011</c:v>
                  </c:pt>
                  <c:pt idx="4">
                    <c:v>2011</c:v>
                  </c:pt>
                  <c:pt idx="5">
                    <c:v>2011</c:v>
                  </c:pt>
                  <c:pt idx="6">
                    <c:v>2011</c:v>
                  </c:pt>
                  <c:pt idx="7">
                    <c:v>2011</c:v>
                  </c:pt>
                  <c:pt idx="8">
                    <c:v>2012</c:v>
                  </c:pt>
                  <c:pt idx="9">
                    <c:v>2012</c:v>
                  </c:pt>
                  <c:pt idx="10">
                    <c:v>2012</c:v>
                  </c:pt>
                  <c:pt idx="11">
                    <c:v>2012</c:v>
                  </c:pt>
                  <c:pt idx="12">
                    <c:v>2012</c:v>
                  </c:pt>
                  <c:pt idx="13">
                    <c:v>2012</c:v>
                  </c:pt>
                  <c:pt idx="14">
                    <c:v>2012</c:v>
                  </c:pt>
                  <c:pt idx="15">
                    <c:v>2012</c:v>
                  </c:pt>
                  <c:pt idx="16">
                    <c:v>2012</c:v>
                  </c:pt>
                  <c:pt idx="17">
                    <c:v>2012</c:v>
                  </c:pt>
                  <c:pt idx="18">
                    <c:v>2012</c:v>
                  </c:pt>
                  <c:pt idx="19">
                    <c:v>2012</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2015</c:v>
                  </c:pt>
                  <c:pt idx="45">
                    <c:v>2015</c:v>
                  </c:pt>
                  <c:pt idx="46">
                    <c:v>2015</c:v>
                  </c:pt>
                  <c:pt idx="47">
                    <c:v>2015</c:v>
                  </c:pt>
                  <c:pt idx="48">
                    <c:v>2015</c:v>
                  </c:pt>
                  <c:pt idx="49">
                    <c:v>2015</c:v>
                  </c:pt>
                  <c:pt idx="50">
                    <c:v>2015</c:v>
                  </c:pt>
                  <c:pt idx="51">
                    <c:v>2015</c:v>
                  </c:pt>
                  <c:pt idx="52">
                    <c:v>2015</c:v>
                  </c:pt>
                  <c:pt idx="53">
                    <c:v>2015</c:v>
                  </c:pt>
                  <c:pt idx="54">
                    <c:v>2015</c:v>
                  </c:pt>
                  <c:pt idx="55">
                    <c:v>2015</c:v>
                  </c:pt>
                  <c:pt idx="56">
                    <c:v>2016</c:v>
                  </c:pt>
                  <c:pt idx="57">
                    <c:v>2016</c:v>
                  </c:pt>
                  <c:pt idx="58">
                    <c:v>2016</c:v>
                  </c:pt>
                  <c:pt idx="59">
                    <c:v>2016</c:v>
                  </c:pt>
                  <c:pt idx="60">
                    <c:v>2016</c:v>
                  </c:pt>
                  <c:pt idx="61">
                    <c:v>2016</c:v>
                  </c:pt>
                  <c:pt idx="62">
                    <c:v>2016</c:v>
                  </c:pt>
                  <c:pt idx="63">
                    <c:v>2016</c:v>
                  </c:pt>
                  <c:pt idx="64">
                    <c:v>2016</c:v>
                  </c:pt>
                  <c:pt idx="65">
                    <c:v>2016</c:v>
                  </c:pt>
                  <c:pt idx="66">
                    <c:v>2016</c:v>
                  </c:pt>
                  <c:pt idx="67">
                    <c:v>2016</c:v>
                  </c:pt>
                  <c:pt idx="68">
                    <c:v>2017</c:v>
                  </c:pt>
                  <c:pt idx="69">
                    <c:v>2017</c:v>
                  </c:pt>
                  <c:pt idx="70">
                    <c:v>2017</c:v>
                  </c:pt>
                  <c:pt idx="71">
                    <c:v>2017</c:v>
                  </c:pt>
                  <c:pt idx="72">
                    <c:v>2017</c:v>
                  </c:pt>
                  <c:pt idx="73">
                    <c:v>2017</c:v>
                  </c:pt>
                  <c:pt idx="74">
                    <c:v>2017</c:v>
                  </c:pt>
                  <c:pt idx="75">
                    <c:v>2017</c:v>
                  </c:pt>
                  <c:pt idx="76">
                    <c:v>2017</c:v>
                  </c:pt>
                  <c:pt idx="77">
                    <c:v>2017</c:v>
                  </c:pt>
                  <c:pt idx="78">
                    <c:v>2017</c:v>
                  </c:pt>
                  <c:pt idx="79">
                    <c:v>2017</c:v>
                  </c:pt>
                  <c:pt idx="80">
                    <c:v>2018</c:v>
                  </c:pt>
                  <c:pt idx="81">
                    <c:v>2018</c:v>
                  </c:pt>
                  <c:pt idx="82">
                    <c:v>2018</c:v>
                  </c:pt>
                  <c:pt idx="83">
                    <c:v>2018</c:v>
                  </c:pt>
                  <c:pt idx="84">
                    <c:v>2018</c:v>
                  </c:pt>
                  <c:pt idx="85">
                    <c:v>2018</c:v>
                  </c:pt>
                  <c:pt idx="86">
                    <c:v>2018</c:v>
                  </c:pt>
                  <c:pt idx="87">
                    <c:v>2018</c:v>
                  </c:pt>
                  <c:pt idx="88">
                    <c:v>2018</c:v>
                  </c:pt>
                  <c:pt idx="89">
                    <c:v>2018</c:v>
                  </c:pt>
                  <c:pt idx="90">
                    <c:v>2018</c:v>
                  </c:pt>
                  <c:pt idx="91">
                    <c:v>2018</c:v>
                  </c:pt>
                  <c:pt idx="92">
                    <c:v>2019</c:v>
                  </c:pt>
                  <c:pt idx="93">
                    <c:v>2019</c:v>
                  </c:pt>
                  <c:pt idx="94">
                    <c:v>2019</c:v>
                  </c:pt>
                  <c:pt idx="95">
                    <c:v>2019</c:v>
                  </c:pt>
                  <c:pt idx="96">
                    <c:v>2019</c:v>
                  </c:pt>
                  <c:pt idx="97">
                    <c:v>2019</c:v>
                  </c:pt>
                  <c:pt idx="98">
                    <c:v>2019</c:v>
                  </c:pt>
                  <c:pt idx="99">
                    <c:v>2019</c:v>
                  </c:pt>
                  <c:pt idx="100">
                    <c:v>2019</c:v>
                  </c:pt>
                  <c:pt idx="101">
                    <c:v>2019</c:v>
                  </c:pt>
                  <c:pt idx="102">
                    <c:v>2019</c:v>
                  </c:pt>
                  <c:pt idx="103">
                    <c:v>2019</c:v>
                  </c:pt>
                  <c:pt idx="104">
                    <c:v>2020</c:v>
                  </c:pt>
                  <c:pt idx="105">
                    <c:v>2020</c:v>
                  </c:pt>
                  <c:pt idx="106">
                    <c:v>2020</c:v>
                  </c:pt>
                  <c:pt idx="107">
                    <c:v>2020</c:v>
                  </c:pt>
                  <c:pt idx="108">
                    <c:v>2020</c:v>
                  </c:pt>
                </c:lvl>
              </c:multiLvlStrCache>
            </c:multiLvlStrRef>
          </c:cat>
          <c:val>
            <c:numRef>
              <c:f>'[INPC_Gráficas.xlsx]Datos base 2q jul 2018'!$K$71:$K$179</c:f>
              <c:numCache>
                <c:formatCode>0.00</c:formatCode>
                <c:ptCount val="109"/>
                <c:pt idx="0">
                  <c:v>3.4500093610638216</c:v>
                </c:pt>
                <c:pt idx="1">
                  <c:v>3.3413938088757646</c:v>
                </c:pt>
                <c:pt idx="2">
                  <c:v>4.5080335390273563</c:v>
                </c:pt>
                <c:pt idx="3">
                  <c:v>3.8964383552134692</c:v>
                </c:pt>
                <c:pt idx="4">
                  <c:v>2.9817286937933694</c:v>
                </c:pt>
                <c:pt idx="5">
                  <c:v>3.0858071205758351</c:v>
                </c:pt>
                <c:pt idx="6">
                  <c:v>4.1333009967056169</c:v>
                </c:pt>
                <c:pt idx="7">
                  <c:v>5.3411593585055428</c:v>
                </c:pt>
                <c:pt idx="8">
                  <c:v>6.3752939517453839</c:v>
                </c:pt>
                <c:pt idx="9">
                  <c:v>5.5308679142962145</c:v>
                </c:pt>
                <c:pt idx="10">
                  <c:v>5.1231830404691898</c:v>
                </c:pt>
                <c:pt idx="11">
                  <c:v>3.4856017350560009</c:v>
                </c:pt>
                <c:pt idx="12">
                  <c:v>5.1488014748264641</c:v>
                </c:pt>
                <c:pt idx="13">
                  <c:v>7.2616639973355168</c:v>
                </c:pt>
                <c:pt idx="14">
                  <c:v>7.2952114289320082</c:v>
                </c:pt>
                <c:pt idx="15">
                  <c:v>7.578300127544976</c:v>
                </c:pt>
                <c:pt idx="16">
                  <c:v>8.8128831721662895</c:v>
                </c:pt>
                <c:pt idx="17">
                  <c:v>8.0714067682061614</c:v>
                </c:pt>
                <c:pt idx="18">
                  <c:v>7.0935808610731188</c:v>
                </c:pt>
                <c:pt idx="19">
                  <c:v>5.7421467047290484</c:v>
                </c:pt>
                <c:pt idx="20">
                  <c:v>4.4719628150791753</c:v>
                </c:pt>
                <c:pt idx="21">
                  <c:v>5.474391917585435</c:v>
                </c:pt>
                <c:pt idx="22">
                  <c:v>8.291168551724736</c:v>
                </c:pt>
                <c:pt idx="23">
                  <c:v>10.3205668093381</c:v>
                </c:pt>
                <c:pt idx="24">
                  <c:v>10.556592713019041</c:v>
                </c:pt>
                <c:pt idx="25">
                  <c:v>8.3879525922339031</c:v>
                </c:pt>
                <c:pt idx="26">
                  <c:v>6.6047027563408358</c:v>
                </c:pt>
                <c:pt idx="27">
                  <c:v>7.0100062040655855</c:v>
                </c:pt>
                <c:pt idx="28">
                  <c:v>6.1951632005662605</c:v>
                </c:pt>
                <c:pt idx="29">
                  <c:v>6.1824504951925601</c:v>
                </c:pt>
                <c:pt idx="30">
                  <c:v>7.017016415926693</c:v>
                </c:pt>
                <c:pt idx="31">
                  <c:v>7.8424026575887362</c:v>
                </c:pt>
                <c:pt idx="32">
                  <c:v>8.582372700473222</c:v>
                </c:pt>
                <c:pt idx="33">
                  <c:v>8.2824424434665769</c:v>
                </c:pt>
                <c:pt idx="34">
                  <c:v>6.5354997126406733</c:v>
                </c:pt>
                <c:pt idx="35">
                  <c:v>4.7475792496286298</c:v>
                </c:pt>
                <c:pt idx="36">
                  <c:v>5.1863578239874082</c:v>
                </c:pt>
                <c:pt idx="37">
                  <c:v>5.9617265692740871</c:v>
                </c:pt>
                <c:pt idx="38">
                  <c:v>6.8271579641693165</c:v>
                </c:pt>
                <c:pt idx="39">
                  <c:v>6.7182708744115081</c:v>
                </c:pt>
                <c:pt idx="40">
                  <c:v>7.1119588300636041</c:v>
                </c:pt>
                <c:pt idx="41">
                  <c:v>7.5060565081171537</c:v>
                </c:pt>
                <c:pt idx="42">
                  <c:v>6.7763144885481852</c:v>
                </c:pt>
                <c:pt idx="43">
                  <c:v>6.6991037192450129</c:v>
                </c:pt>
                <c:pt idx="44">
                  <c:v>5.338364978916446</c:v>
                </c:pt>
                <c:pt idx="45">
                  <c:v>4.8839859296475376</c:v>
                </c:pt>
                <c:pt idx="46">
                  <c:v>5.2924328408390062</c:v>
                </c:pt>
                <c:pt idx="47">
                  <c:v>5.4633403420644067</c:v>
                </c:pt>
                <c:pt idx="48">
                  <c:v>4.6431485542286817</c:v>
                </c:pt>
                <c:pt idx="49">
                  <c:v>4.6336651275337841</c:v>
                </c:pt>
                <c:pt idx="50">
                  <c:v>4.1241442964936512</c:v>
                </c:pt>
                <c:pt idx="51">
                  <c:v>3.5125321367639772</c:v>
                </c:pt>
                <c:pt idx="52">
                  <c:v>2.963926777529815</c:v>
                </c:pt>
                <c:pt idx="53">
                  <c:v>2.5249797574191013</c:v>
                </c:pt>
                <c:pt idx="54">
                  <c:v>1.843026887014072</c:v>
                </c:pt>
                <c:pt idx="55">
                  <c:v>1.2762511606747</c:v>
                </c:pt>
                <c:pt idx="56">
                  <c:v>2.522246807825427</c:v>
                </c:pt>
                <c:pt idx="57">
                  <c:v>3.4938208536903983</c:v>
                </c:pt>
                <c:pt idx="58">
                  <c:v>2.1164916182627671</c:v>
                </c:pt>
                <c:pt idx="59">
                  <c:v>1.6595743619222199</c:v>
                </c:pt>
                <c:pt idx="60">
                  <c:v>1.5477448099930948</c:v>
                </c:pt>
                <c:pt idx="61">
                  <c:v>1.1555817183581019</c:v>
                </c:pt>
                <c:pt idx="62">
                  <c:v>1.6461385320237307</c:v>
                </c:pt>
                <c:pt idx="63">
                  <c:v>1.9876330916648821</c:v>
                </c:pt>
                <c:pt idx="64">
                  <c:v>2.6526253855259565</c:v>
                </c:pt>
                <c:pt idx="65">
                  <c:v>2.9532598018049154</c:v>
                </c:pt>
                <c:pt idx="66">
                  <c:v>3.3414816660668851</c:v>
                </c:pt>
                <c:pt idx="67">
                  <c:v>3.1263239622002197</c:v>
                </c:pt>
                <c:pt idx="68">
                  <c:v>7.399186009491145</c:v>
                </c:pt>
                <c:pt idx="69">
                  <c:v>6.7088696245197807</c:v>
                </c:pt>
                <c:pt idx="70">
                  <c:v>8.0239017559605941</c:v>
                </c:pt>
                <c:pt idx="71">
                  <c:v>9.2498471387532266</c:v>
                </c:pt>
                <c:pt idx="72">
                  <c:v>10.603551237535402</c:v>
                </c:pt>
                <c:pt idx="73">
                  <c:v>11.0921132755296</c:v>
                </c:pt>
                <c:pt idx="74">
                  <c:v>11.271739327633481</c:v>
                </c:pt>
                <c:pt idx="75">
                  <c:v>11.984296254130735</c:v>
                </c:pt>
                <c:pt idx="76">
                  <c:v>11.27940701705263</c:v>
                </c:pt>
                <c:pt idx="77">
                  <c:v>11.401788332337997</c:v>
                </c:pt>
                <c:pt idx="78">
                  <c:v>11.9730078319096</c:v>
                </c:pt>
                <c:pt idx="79">
                  <c:v>12.621131109032941</c:v>
                </c:pt>
                <c:pt idx="80">
                  <c:v>8.4396254977826892</c:v>
                </c:pt>
                <c:pt idx="81">
                  <c:v>8.491229033565558</c:v>
                </c:pt>
                <c:pt idx="82">
                  <c:v>8.0270896801162657</c:v>
                </c:pt>
                <c:pt idx="83">
                  <c:v>7.0713450732142382</c:v>
                </c:pt>
                <c:pt idx="84">
                  <c:v>6.9879395591619682</c:v>
                </c:pt>
                <c:pt idx="85">
                  <c:v>7.7916771163987235</c:v>
                </c:pt>
                <c:pt idx="86">
                  <c:v>8.381461263852346</c:v>
                </c:pt>
                <c:pt idx="87">
                  <c:v>8.8021172100991283</c:v>
                </c:pt>
                <c:pt idx="88">
                  <c:v>9.1504116117487211</c:v>
                </c:pt>
                <c:pt idx="89">
                  <c:v>8.4990813438131205</c:v>
                </c:pt>
                <c:pt idx="90">
                  <c:v>8.0727173955203568</c:v>
                </c:pt>
                <c:pt idx="91">
                  <c:v>8.3985017457426814</c:v>
                </c:pt>
                <c:pt idx="92">
                  <c:v>6.8077764553492903</c:v>
                </c:pt>
                <c:pt idx="93">
                  <c:v>5.2529539129089642</c:v>
                </c:pt>
                <c:pt idx="94">
                  <c:v>5.4665367537646503</c:v>
                </c:pt>
                <c:pt idx="95">
                  <c:v>6.0820526568256206</c:v>
                </c:pt>
                <c:pt idx="96">
                  <c:v>5.7798859220474119</c:v>
                </c:pt>
                <c:pt idx="97">
                  <c:v>4.1879028979615152</c:v>
                </c:pt>
                <c:pt idx="98">
                  <c:v>3.6443895185500175</c:v>
                </c:pt>
                <c:pt idx="99">
                  <c:v>1.2826704768500674</c:v>
                </c:pt>
                <c:pt idx="100">
                  <c:v>0.70609573204361009</c:v>
                </c:pt>
                <c:pt idx="101">
                  <c:v>1.0130453924242833</c:v>
                </c:pt>
                <c:pt idx="102">
                  <c:v>0.97682795762952246</c:v>
                </c:pt>
                <c:pt idx="103">
                  <c:v>0.58876764232136392</c:v>
                </c:pt>
                <c:pt idx="104">
                  <c:v>1.8057923017696931</c:v>
                </c:pt>
                <c:pt idx="105">
                  <c:v>3.8136885018296152</c:v>
                </c:pt>
                <c:pt idx="106">
                  <c:v>2.1913362911220702</c:v>
                </c:pt>
                <c:pt idx="107">
                  <c:v>-1.9643560542747407</c:v>
                </c:pt>
                <c:pt idx="108">
                  <c:v>0.35014034635030278</c:v>
                </c:pt>
              </c:numCache>
            </c:numRef>
          </c:val>
          <c:smooth val="0"/>
          <c:extLst>
            <c:ext xmlns:c16="http://schemas.microsoft.com/office/drawing/2014/chart" uri="{C3380CC4-5D6E-409C-BE32-E72D297353CC}">
              <c16:uniqueId val="{00000005-622F-4E89-A0F4-5B7BFDAB86FF}"/>
            </c:ext>
          </c:extLst>
        </c:ser>
        <c:dLbls>
          <c:showLegendKey val="0"/>
          <c:showVal val="0"/>
          <c:showCatName val="0"/>
          <c:showSerName val="0"/>
          <c:showPercent val="0"/>
          <c:showBubbleSize val="0"/>
        </c:dLbls>
        <c:smooth val="0"/>
        <c:axId val="490432640"/>
        <c:axId val="490434208"/>
      </c:lineChart>
      <c:catAx>
        <c:axId val="490432640"/>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434208"/>
        <c:crosses val="autoZero"/>
        <c:auto val="0"/>
        <c:lblAlgn val="ctr"/>
        <c:lblOffset val="100"/>
        <c:tickLblSkip val="12"/>
        <c:tickMarkSkip val="12"/>
        <c:noMultiLvlLbl val="1"/>
      </c:catAx>
      <c:valAx>
        <c:axId val="490434208"/>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432640"/>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4B04B-EE88-42C8-917E-29542B89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27</TotalTime>
  <Pages>11</Pages>
  <Words>2356</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8</cp:revision>
  <cp:lastPrinted>2020-03-04T16:46:00Z</cp:lastPrinted>
  <dcterms:created xsi:type="dcterms:W3CDTF">2020-06-05T17:51:00Z</dcterms:created>
  <dcterms:modified xsi:type="dcterms:W3CDTF">2020-06-08T22:43:00Z</dcterms:modified>
  <cp:category>ÍNDICES DE PRECIOS</cp:category>
  <cp:version>1</cp:version>
</cp:coreProperties>
</file>