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5EB08" w14:textId="77777777" w:rsidR="00EB76A7" w:rsidRDefault="00EB76A7" w:rsidP="00EB76A7">
      <w:pPr>
        <w:tabs>
          <w:tab w:val="left" w:pos="8789"/>
        </w:tabs>
        <w:ind w:left="-284" w:right="51"/>
        <w:jc w:val="center"/>
        <w:rPr>
          <w:b/>
          <w:sz w:val="28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DDEB9D" wp14:editId="0CA4DA7A">
                <wp:simplePos x="0" y="0"/>
                <wp:positionH relativeFrom="column">
                  <wp:posOffset>2893695</wp:posOffset>
                </wp:positionH>
                <wp:positionV relativeFrom="paragraph">
                  <wp:posOffset>635</wp:posOffset>
                </wp:positionV>
                <wp:extent cx="3249930" cy="266700"/>
                <wp:effectExtent l="0" t="0" r="762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7BF05" w14:textId="77777777" w:rsidR="00EB76A7" w:rsidRPr="00265B8C" w:rsidRDefault="00EB76A7" w:rsidP="00EB76A7">
                            <w:pPr>
                              <w:jc w:val="right"/>
                            </w:pPr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publicación: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7 </w:t>
                            </w:r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febrero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DEB9D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27.85pt;margin-top:.05pt;width:255.9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kE6JgIAACYEAAAOAAAAZHJzL2Uyb0RvYy54bWysU9uO2yAQfa/Uf0C8N3a8uWysOKtttqkq&#10;bS/Sth+AAceowLhAYqdf3wFns9H2rSoPiGFmDjNnDuu7wWhylM4rsBWdTnJKpOUglN1X9Mf33btb&#10;SnxgVjANVlb0JD2927x9s+67UhbQghbSEQSxvuy7irYhdGWWed5Kw/wEOmnR2YAzLKDp9plwrEd0&#10;o7MizxdZD050Drj0Hm8fRifdJPymkTx8bRovA9EVxdpC2l3a67hnmzUr9451reLnMtg/VGGYsvjo&#10;BeqBBUYOTv0FZRR34KEJEw4mg6ZRXKYesJtp/qqbp5Z1MvWC5PjuQpP/f7D8y/GbI0pUtJguKbHM&#10;4JC2ByYcECFJkEMAEl1IVN/5EuOfOswIw3sYcOCpad89Av/piYVty+xe3jsHfSuZwEKnMTO7Sh1x&#10;fASp+88g8D12CJCAhsaZyCLyQhAdB3a6DAkrIRwvb4rZanWDLo6+YrFY5mmKGSufszvnw0cJhsRD&#10;RR2KIKGz46MPsRpWPofExzxoJXZK62S4fb3VjhwZCmaXVmrgVZi2pK/oal7ME7KFmJ+0ZFRAQWtl&#10;KnqbxzVKLLLxwYoUEpjS4xkr0fZMT2Rk5CYM9YCBkbMaxAmJcjAKFz8aHlpwvynpUbQV9b8OzElK&#10;9CeLZK+ms1lUeTJm82WBhrv21NceZjlCVTRQMh63If2MyIOFexxKoxJfL5Wca0UxJhrPHyeq/dpO&#10;US/fe/MHAAD//wMAUEsDBBQABgAIAAAAIQBG8Xik2wAAAAcBAAAPAAAAZHJzL2Rvd25yZXYueG1s&#10;TI7dToNAEIXvTXyHzZh4Y+zSpoBFlkZNNN725wEGmAKRnSXsttC3d3qll3O+kzNfvp1try40+s6x&#10;geUiAkVcubrjxsDx8Pn8AsoH5Bp7x2TgSh62xf1djlntJt7RZR8aJSPsMzTQhjBkWvuqJYt+4QZi&#10;YSc3Wgxyjo2uR5xk3PZ6FUWJttixfGhxoI+Wqp/92Ro4fU9P8WYqv8Ix3a2Td+zS0l2NeXyY315B&#10;BZrDXxlu+qIOhTiV7sy1V72BdRynUr0BJXiTpDGoUvLVEnSR6//+xS8AAAD//wMAUEsBAi0AFAAG&#10;AAgAAAAhALaDOJL+AAAA4QEAABMAAAAAAAAAAAAAAAAAAAAAAFtDb250ZW50X1R5cGVzXS54bWxQ&#10;SwECLQAUAAYACAAAACEAOP0h/9YAAACUAQAACwAAAAAAAAAAAAAAAAAvAQAAX3JlbHMvLnJlbHNQ&#10;SwECLQAUAAYACAAAACEAsxJBOiYCAAAmBAAADgAAAAAAAAAAAAAAAAAuAgAAZHJzL2Uyb0RvYy54&#10;bWxQSwECLQAUAAYACAAAACEARvF4pNsAAAAHAQAADwAAAAAAAAAAAAAAAACABAAAZHJzL2Rvd25y&#10;ZXYueG1sUEsFBgAAAAAEAAQA8wAAAIgFAAAAAA==&#10;" stroked="f">
                <v:textbox>
                  <w:txbxContent>
                    <w:p w14:paraId="2067BF05" w14:textId="77777777" w:rsidR="00EB76A7" w:rsidRPr="00265B8C" w:rsidRDefault="00EB76A7" w:rsidP="00EB76A7">
                      <w:pPr>
                        <w:jc w:val="right"/>
                      </w:pPr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Próxima publicación: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7 </w:t>
                      </w:r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febrero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C68C1D" w14:textId="77777777" w:rsidR="00EB76A7" w:rsidRDefault="00EB76A7" w:rsidP="00EB76A7">
      <w:pPr>
        <w:pStyle w:val="Profesin"/>
      </w:pPr>
      <w:r w:rsidRPr="009E234E">
        <w:t xml:space="preserve"> </w:t>
      </w:r>
      <w:r>
        <w:t xml:space="preserve">   </w:t>
      </w:r>
    </w:p>
    <w:p w14:paraId="5CFA1843" w14:textId="77777777" w:rsidR="00EB76A7" w:rsidRDefault="00EB76A7" w:rsidP="00EB76A7">
      <w:pPr>
        <w:pStyle w:val="Profesin"/>
      </w:pPr>
      <w:r w:rsidRPr="009E234E">
        <w:t xml:space="preserve"> </w:t>
      </w:r>
      <w:r>
        <w:t xml:space="preserve">   </w:t>
      </w:r>
    </w:p>
    <w:p w14:paraId="0181B98E" w14:textId="77777777" w:rsidR="00EB76A7" w:rsidRPr="004F04F0" w:rsidRDefault="00EB76A7" w:rsidP="00EB76A7">
      <w:pPr>
        <w:pStyle w:val="Profesin"/>
        <w:rPr>
          <w:b w:val="0"/>
        </w:rPr>
      </w:pPr>
      <w:r w:rsidRPr="0092783E">
        <w:t>ÍNDICE NACIONAL DE PRECIOS productor</w:t>
      </w:r>
    </w:p>
    <w:p w14:paraId="68B82FAF" w14:textId="77777777" w:rsidR="00EB76A7" w:rsidRPr="0092783E" w:rsidRDefault="00EB76A7" w:rsidP="00EB76A7">
      <w:pPr>
        <w:pStyle w:val="Profesin"/>
        <w:ind w:left="708" w:hanging="708"/>
      </w:pPr>
      <w:r>
        <w:t>DICIEMBRE DE 2019</w:t>
      </w:r>
    </w:p>
    <w:p w14:paraId="7D0A4821" w14:textId="77777777" w:rsidR="00EB76A7" w:rsidRPr="00405661" w:rsidRDefault="00EB76A7" w:rsidP="00EB76A7">
      <w:pPr>
        <w:spacing w:before="120"/>
        <w:ind w:left="-426" w:right="-738"/>
        <w:rPr>
          <w:bCs/>
        </w:rPr>
      </w:pPr>
      <w:r w:rsidRPr="00405661">
        <w:rPr>
          <w:bCs/>
        </w:rPr>
        <w:t>El Instituto Nacional de Estadística y Geografía (INEGI) informa que durante diciembre del año que recién concluyó el Índice Nacional de Precios Productor (INPP) Total, incluyendo petróleo, presentó un incremento de 0.47% mensual, alcanzando una tasa anual de 1.01 por ciento</w:t>
      </w:r>
      <w:r w:rsidRPr="00405661">
        <w:rPr>
          <w:vertAlign w:val="superscript"/>
        </w:rPr>
        <w:footnoteReference w:id="1"/>
      </w:r>
      <w:r w:rsidRPr="00405661">
        <w:rPr>
          <w:bCs/>
        </w:rPr>
        <w:t>. En igual mes de 2018 disminuyó (</w:t>
      </w:r>
      <w:r w:rsidRPr="00405661">
        <w:rPr>
          <w:bCs/>
        </w:rPr>
        <w:noBreakHyphen/>
        <w:t>)0.40% mensual, mientras que aumentó 6.11% anual.</w:t>
      </w:r>
    </w:p>
    <w:p w14:paraId="0E7E1373" w14:textId="77777777" w:rsidR="00EB76A7" w:rsidRPr="00405661" w:rsidRDefault="00EB76A7" w:rsidP="00EB76A7">
      <w:pPr>
        <w:spacing w:before="120"/>
        <w:ind w:left="-426" w:right="-738"/>
        <w:rPr>
          <w:bCs/>
        </w:rPr>
      </w:pPr>
      <w:r w:rsidRPr="00405661">
        <w:rPr>
          <w:bCs/>
        </w:rPr>
        <w:t>Por grupos de actividades económicas, los precios de las Actividades Primarias descendieron (</w:t>
      </w:r>
      <w:r w:rsidRPr="00405661">
        <w:rPr>
          <w:bCs/>
        </w:rPr>
        <w:noBreakHyphen/>
        <w:t>)1.09%, mientras que los de las Actividades Secundarias crecieron 0.40% y los de las Actividades Terciarias 0.85% a tasa mensual.</w:t>
      </w:r>
    </w:p>
    <w:p w14:paraId="15BCE731" w14:textId="77777777" w:rsidR="00EB76A7" w:rsidRPr="00405661" w:rsidRDefault="00EB76A7" w:rsidP="00EB76A7">
      <w:pPr>
        <w:spacing w:before="240"/>
        <w:ind w:left="-426" w:right="-738"/>
        <w:rPr>
          <w:bCs/>
        </w:rPr>
      </w:pPr>
      <w:r w:rsidRPr="00405661">
        <w:rPr>
          <w:bCs/>
        </w:rPr>
        <w:t>El Índice de Mercancías y Servicios de Uso Intermedio, incluyendo petróleo, mostró una variación mensual de 0.53%, ubicando su tasa anual en (</w:t>
      </w:r>
      <w:r w:rsidRPr="00405661">
        <w:rPr>
          <w:bCs/>
        </w:rPr>
        <w:noBreakHyphen/>
        <w:t>)0.76 por ciento.</w:t>
      </w:r>
    </w:p>
    <w:p w14:paraId="0AFDF010" w14:textId="77777777" w:rsidR="00EB76A7" w:rsidRPr="00405661" w:rsidRDefault="00EB76A7" w:rsidP="00EB76A7">
      <w:pPr>
        <w:spacing w:before="240"/>
        <w:ind w:left="-426" w:right="-738"/>
        <w:rPr>
          <w:bCs/>
        </w:rPr>
      </w:pPr>
      <w:r w:rsidRPr="00405661">
        <w:rPr>
          <w:bCs/>
        </w:rPr>
        <w:t>Por su parte, el Índice de Mercancías y Servicios Finales, incluyendo petróleo, registró un alza mensual de 0.45% y anual de 1.71 por ciento.</w:t>
      </w:r>
    </w:p>
    <w:p w14:paraId="4AEF3E33" w14:textId="77777777" w:rsidR="00EB76A7" w:rsidRPr="00171176" w:rsidRDefault="00EB76A7" w:rsidP="00EB76A7">
      <w:pPr>
        <w:pStyle w:val="Prrafodelista"/>
        <w:spacing w:before="360"/>
        <w:ind w:left="0"/>
        <w:jc w:val="center"/>
        <w:rPr>
          <w:snapToGrid w:val="0"/>
          <w:sz w:val="20"/>
          <w:szCs w:val="20"/>
        </w:rPr>
      </w:pPr>
      <w:r w:rsidRPr="00171176">
        <w:rPr>
          <w:snapToGrid w:val="0"/>
          <w:sz w:val="20"/>
          <w:szCs w:val="20"/>
        </w:rPr>
        <w:t>Cuadro 1</w:t>
      </w:r>
    </w:p>
    <w:p w14:paraId="573200B2" w14:textId="77777777" w:rsidR="00EB76A7" w:rsidRPr="002D3D3F" w:rsidRDefault="00EB76A7" w:rsidP="00EB76A7">
      <w:pPr>
        <w:widowControl w:val="0"/>
        <w:autoSpaceDE w:val="0"/>
        <w:autoSpaceDN w:val="0"/>
        <w:adjustRightInd w:val="0"/>
        <w:jc w:val="center"/>
        <w:rPr>
          <w:snapToGrid w:val="0"/>
          <w:sz w:val="20"/>
          <w:szCs w:val="20"/>
        </w:rPr>
      </w:pPr>
      <w:r w:rsidRPr="002D3D3F">
        <w:rPr>
          <w:b/>
          <w:snapToGrid w:val="0"/>
          <w:sz w:val="22"/>
          <w:szCs w:val="22"/>
        </w:rPr>
        <w:t xml:space="preserve">ÍNDICE NACIONAL DE PRECIOS PRODUCTOR </w:t>
      </w:r>
    </w:p>
    <w:p w14:paraId="34518229" w14:textId="77777777" w:rsidR="00EB76A7" w:rsidRPr="002D3D3F" w:rsidRDefault="00EB76A7" w:rsidP="00EB76A7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2D3D3F">
        <w:rPr>
          <w:b/>
          <w:snapToGrid w:val="0"/>
          <w:sz w:val="22"/>
          <w:szCs w:val="22"/>
        </w:rPr>
        <w:t>MERCANCÍAS Y SERVICIOS INTERMEDIOS,</w:t>
      </w:r>
      <w:r>
        <w:rPr>
          <w:b/>
          <w:snapToGrid w:val="0"/>
          <w:sz w:val="22"/>
          <w:szCs w:val="22"/>
        </w:rPr>
        <w:t xml:space="preserve"> FINALES Y PRODUCCIÓN TOTAL, </w:t>
      </w:r>
      <w:r>
        <w:rPr>
          <w:b/>
          <w:snapToGrid w:val="0"/>
          <w:sz w:val="22"/>
          <w:szCs w:val="22"/>
        </w:rPr>
        <w:br/>
      </w:r>
      <w:r w:rsidRPr="00DC48FE">
        <w:rPr>
          <w:b/>
          <w:snapToGrid w:val="0"/>
          <w:sz w:val="22"/>
          <w:szCs w:val="22"/>
        </w:rPr>
        <w:t>INCLUYENDO PETRÓLEO</w:t>
      </w:r>
      <w:r w:rsidRPr="002D3D3F">
        <w:rPr>
          <w:b/>
          <w:snapToGrid w:val="0"/>
          <w:sz w:val="22"/>
          <w:szCs w:val="22"/>
        </w:rPr>
        <w:t xml:space="preserve">, DURANTE </w:t>
      </w:r>
      <w:r>
        <w:rPr>
          <w:b/>
          <w:snapToGrid w:val="0"/>
          <w:sz w:val="22"/>
          <w:szCs w:val="22"/>
        </w:rPr>
        <w:t>DICIEMBRE</w:t>
      </w:r>
      <w:r w:rsidRPr="002D3D3F">
        <w:rPr>
          <w:b/>
          <w:snapToGrid w:val="0"/>
          <w:sz w:val="22"/>
          <w:szCs w:val="22"/>
        </w:rPr>
        <w:t xml:space="preserve"> DE 201</w:t>
      </w:r>
      <w:r>
        <w:rPr>
          <w:b/>
          <w:snapToGrid w:val="0"/>
          <w:sz w:val="22"/>
          <w:szCs w:val="22"/>
        </w:rPr>
        <w:t>9</w:t>
      </w:r>
    </w:p>
    <w:p w14:paraId="35FB1C09" w14:textId="77777777" w:rsidR="00EB76A7" w:rsidRPr="002D3D3F" w:rsidRDefault="00EB76A7" w:rsidP="00EB76A7">
      <w:pPr>
        <w:widowControl w:val="0"/>
        <w:autoSpaceDE w:val="0"/>
        <w:autoSpaceDN w:val="0"/>
        <w:adjustRightInd w:val="0"/>
        <w:jc w:val="center"/>
        <w:rPr>
          <w:snapToGrid w:val="0"/>
          <w:sz w:val="22"/>
          <w:szCs w:val="22"/>
        </w:rPr>
      </w:pPr>
      <w:r w:rsidRPr="002D3D3F">
        <w:rPr>
          <w:snapToGrid w:val="0"/>
          <w:sz w:val="22"/>
          <w:szCs w:val="22"/>
        </w:rPr>
        <w:t>Clasificación por origen</w:t>
      </w:r>
    </w:p>
    <w:p w14:paraId="7D6F677F" w14:textId="77777777" w:rsidR="00EB76A7" w:rsidRDefault="00EB76A7" w:rsidP="00EB76A7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 w:rsidRPr="002D3D3F">
        <w:rPr>
          <w:snapToGrid w:val="0"/>
          <w:sz w:val="18"/>
          <w:szCs w:val="18"/>
        </w:rPr>
        <w:t>Variación porcentual</w:t>
      </w:r>
    </w:p>
    <w:tbl>
      <w:tblPr>
        <w:tblW w:w="4934" w:type="pct"/>
        <w:tblInd w:w="-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5"/>
        <w:gridCol w:w="729"/>
        <w:gridCol w:w="729"/>
        <w:gridCol w:w="732"/>
        <w:gridCol w:w="729"/>
        <w:gridCol w:w="729"/>
        <w:gridCol w:w="732"/>
      </w:tblGrid>
      <w:tr w:rsidR="00EB76A7" w:rsidRPr="00A9663B" w14:paraId="2BF045AB" w14:textId="77777777" w:rsidTr="00FC3925">
        <w:trPr>
          <w:trHeight w:val="240"/>
        </w:trPr>
        <w:tc>
          <w:tcPr>
            <w:tcW w:w="4498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5E2785C" w14:textId="77777777" w:rsidR="00EB76A7" w:rsidRPr="00A9663B" w:rsidRDefault="00EB76A7" w:rsidP="00FC3925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382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C3039C3" w14:textId="77777777" w:rsidR="00EB76A7" w:rsidRPr="00A9663B" w:rsidRDefault="00EB76A7" w:rsidP="00FC392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Variación mensual</w:t>
            </w:r>
          </w:p>
        </w:tc>
        <w:tc>
          <w:tcPr>
            <w:tcW w:w="2382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124CD98" w14:textId="77777777" w:rsidR="00EB76A7" w:rsidRPr="00A9663B" w:rsidRDefault="00EB76A7" w:rsidP="00FC392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Variación anual</w:t>
            </w: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3A67B2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</w:tr>
      <w:tr w:rsidR="00EB76A7" w:rsidRPr="00A9663B" w14:paraId="3481021F" w14:textId="77777777" w:rsidTr="00FC3925">
        <w:trPr>
          <w:trHeight w:val="374"/>
        </w:trPr>
        <w:tc>
          <w:tcPr>
            <w:tcW w:w="4498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3BAD77EE" w14:textId="77777777" w:rsidR="00EB76A7" w:rsidRPr="00A9663B" w:rsidRDefault="00EB76A7" w:rsidP="00FC3925">
            <w:pPr>
              <w:jc w:val="center"/>
              <w:rPr>
                <w:bCs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793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8DEB1E4" w14:textId="77777777" w:rsidR="00EB76A7" w:rsidRPr="00A9663B" w:rsidRDefault="00EB76A7" w:rsidP="00FC392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proofErr w:type="spellStart"/>
            <w:proofErr w:type="gramStart"/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Inter-medios</w:t>
            </w:r>
            <w:proofErr w:type="spellEnd"/>
            <w:proofErr w:type="gramEnd"/>
          </w:p>
        </w:tc>
        <w:tc>
          <w:tcPr>
            <w:tcW w:w="793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625B35CB" w14:textId="77777777" w:rsidR="00EB76A7" w:rsidRPr="00A9663B" w:rsidRDefault="00EB76A7" w:rsidP="00FC392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794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02B8EE7" w14:textId="77777777" w:rsidR="00EB76A7" w:rsidRPr="00A9663B" w:rsidRDefault="00EB76A7" w:rsidP="00FC392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793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2160BD0" w14:textId="77777777" w:rsidR="00EB76A7" w:rsidRPr="00A9663B" w:rsidRDefault="00EB76A7" w:rsidP="00FC392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proofErr w:type="spellStart"/>
            <w:proofErr w:type="gramStart"/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Inter-medios</w:t>
            </w:r>
            <w:proofErr w:type="spellEnd"/>
            <w:proofErr w:type="gramEnd"/>
          </w:p>
        </w:tc>
        <w:tc>
          <w:tcPr>
            <w:tcW w:w="793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2CFE083" w14:textId="77777777" w:rsidR="00EB76A7" w:rsidRPr="00A9663B" w:rsidRDefault="00EB76A7" w:rsidP="00FC392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794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BE4D30B" w14:textId="77777777" w:rsidR="00EB76A7" w:rsidRPr="00A9663B" w:rsidRDefault="00EB76A7" w:rsidP="00FC392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</w:tr>
      <w:tr w:rsidR="00EB76A7" w:rsidRPr="00841586" w14:paraId="4532A6C2" w14:textId="77777777" w:rsidTr="00FC3925">
        <w:trPr>
          <w:trHeight w:val="213"/>
        </w:trPr>
        <w:tc>
          <w:tcPr>
            <w:tcW w:w="4498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43B30C8" w14:textId="77777777" w:rsidR="00EB76A7" w:rsidRPr="00841586" w:rsidRDefault="00EB76A7" w:rsidP="00FC3925">
            <w:pPr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793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DCB5A78" w14:textId="77777777" w:rsidR="00EB76A7" w:rsidRPr="00824547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547">
              <w:rPr>
                <w:b/>
                <w:bCs/>
                <w:color w:val="000000"/>
                <w:sz w:val="14"/>
                <w:szCs w:val="14"/>
              </w:rPr>
              <w:t>0.53</w:t>
            </w:r>
          </w:p>
        </w:tc>
        <w:tc>
          <w:tcPr>
            <w:tcW w:w="793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D5AAA6C" w14:textId="77777777" w:rsidR="00EB76A7" w:rsidRPr="00824547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547">
              <w:rPr>
                <w:b/>
                <w:bCs/>
                <w:color w:val="000000"/>
                <w:sz w:val="14"/>
                <w:szCs w:val="14"/>
              </w:rPr>
              <w:t>0.45</w:t>
            </w:r>
          </w:p>
        </w:tc>
        <w:tc>
          <w:tcPr>
            <w:tcW w:w="794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A48E2C1" w14:textId="77777777" w:rsidR="00EB76A7" w:rsidRPr="00824547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547">
              <w:rPr>
                <w:b/>
                <w:bCs/>
                <w:color w:val="000000"/>
                <w:sz w:val="14"/>
                <w:szCs w:val="14"/>
              </w:rPr>
              <w:t>0.47</w:t>
            </w:r>
          </w:p>
        </w:tc>
        <w:tc>
          <w:tcPr>
            <w:tcW w:w="793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92FC0C7" w14:textId="77777777" w:rsidR="00EB76A7" w:rsidRPr="00824547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547">
              <w:rPr>
                <w:b/>
                <w:bCs/>
                <w:color w:val="000000"/>
                <w:sz w:val="14"/>
                <w:szCs w:val="14"/>
              </w:rPr>
              <w:t>-0.76</w:t>
            </w:r>
          </w:p>
        </w:tc>
        <w:tc>
          <w:tcPr>
            <w:tcW w:w="793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8039B1D" w14:textId="77777777" w:rsidR="00EB76A7" w:rsidRPr="00824547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547">
              <w:rPr>
                <w:b/>
                <w:bCs/>
                <w:color w:val="000000"/>
                <w:sz w:val="14"/>
                <w:szCs w:val="14"/>
              </w:rPr>
              <w:t>1.71</w:t>
            </w:r>
          </w:p>
        </w:tc>
        <w:tc>
          <w:tcPr>
            <w:tcW w:w="794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D627515" w14:textId="77777777" w:rsidR="00EB76A7" w:rsidRPr="00824547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547">
              <w:rPr>
                <w:b/>
                <w:bCs/>
                <w:color w:val="000000"/>
                <w:sz w:val="14"/>
                <w:szCs w:val="14"/>
              </w:rPr>
              <w:t>1.01</w:t>
            </w:r>
          </w:p>
        </w:tc>
      </w:tr>
      <w:tr w:rsidR="00EB76A7" w:rsidRPr="00841586" w14:paraId="7878DC6D" w14:textId="77777777" w:rsidTr="00FC3925">
        <w:trPr>
          <w:trHeight w:val="213"/>
        </w:trPr>
        <w:tc>
          <w:tcPr>
            <w:tcW w:w="44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3342B54" w14:textId="77777777" w:rsidR="00EB76A7" w:rsidRPr="00841586" w:rsidRDefault="00EB76A7" w:rsidP="00FC3925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79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36F20F7" w14:textId="77777777" w:rsidR="00EB76A7" w:rsidRPr="00824547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547">
              <w:rPr>
                <w:b/>
                <w:bCs/>
                <w:color w:val="000000"/>
                <w:sz w:val="14"/>
                <w:szCs w:val="14"/>
              </w:rPr>
              <w:t>-1.46</w:t>
            </w:r>
          </w:p>
        </w:tc>
        <w:tc>
          <w:tcPr>
            <w:tcW w:w="79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9506957" w14:textId="77777777" w:rsidR="00EB76A7" w:rsidRPr="00824547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547">
              <w:rPr>
                <w:b/>
                <w:bCs/>
                <w:color w:val="000000"/>
                <w:sz w:val="14"/>
                <w:szCs w:val="14"/>
              </w:rPr>
              <w:t>-0.64</w:t>
            </w:r>
          </w:p>
        </w:tc>
        <w:tc>
          <w:tcPr>
            <w:tcW w:w="79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CE5FEA1" w14:textId="77777777" w:rsidR="00EB76A7" w:rsidRPr="00824547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547">
              <w:rPr>
                <w:b/>
                <w:bCs/>
                <w:color w:val="000000"/>
                <w:sz w:val="14"/>
                <w:szCs w:val="14"/>
              </w:rPr>
              <w:t>-1.09</w:t>
            </w:r>
          </w:p>
        </w:tc>
        <w:tc>
          <w:tcPr>
            <w:tcW w:w="79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E664007" w14:textId="77777777" w:rsidR="00EB76A7" w:rsidRPr="00824547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547">
              <w:rPr>
                <w:b/>
                <w:bCs/>
                <w:color w:val="000000"/>
                <w:sz w:val="14"/>
                <w:szCs w:val="14"/>
              </w:rPr>
              <w:t>-4.43</w:t>
            </w:r>
          </w:p>
        </w:tc>
        <w:tc>
          <w:tcPr>
            <w:tcW w:w="79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3B328B5" w14:textId="77777777" w:rsidR="00EB76A7" w:rsidRPr="00824547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547">
              <w:rPr>
                <w:b/>
                <w:bCs/>
                <w:color w:val="000000"/>
                <w:sz w:val="14"/>
                <w:szCs w:val="14"/>
              </w:rPr>
              <w:t>-3.92</w:t>
            </w:r>
          </w:p>
        </w:tc>
        <w:tc>
          <w:tcPr>
            <w:tcW w:w="79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B2D6B43" w14:textId="77777777" w:rsidR="00EB76A7" w:rsidRPr="00824547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547">
              <w:rPr>
                <w:b/>
                <w:bCs/>
                <w:color w:val="000000"/>
                <w:sz w:val="14"/>
                <w:szCs w:val="14"/>
              </w:rPr>
              <w:t>-4.22</w:t>
            </w:r>
          </w:p>
        </w:tc>
      </w:tr>
      <w:tr w:rsidR="00EB76A7" w:rsidRPr="00841586" w14:paraId="11099661" w14:textId="77777777" w:rsidTr="00FC3925">
        <w:trPr>
          <w:trHeight w:val="213"/>
        </w:trPr>
        <w:tc>
          <w:tcPr>
            <w:tcW w:w="44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FAD41CD" w14:textId="77777777" w:rsidR="00EB76A7" w:rsidRPr="00841586" w:rsidRDefault="00EB76A7" w:rsidP="00FC3925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79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4C22738" w14:textId="77777777" w:rsidR="00EB76A7" w:rsidRPr="00824547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547">
              <w:rPr>
                <w:b/>
                <w:bCs/>
                <w:color w:val="000000"/>
                <w:sz w:val="14"/>
                <w:szCs w:val="14"/>
              </w:rPr>
              <w:t>0.89</w:t>
            </w:r>
          </w:p>
        </w:tc>
        <w:tc>
          <w:tcPr>
            <w:tcW w:w="79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7676FB3" w14:textId="77777777" w:rsidR="00EB76A7" w:rsidRPr="00824547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547">
              <w:rPr>
                <w:b/>
                <w:bCs/>
                <w:color w:val="000000"/>
                <w:sz w:val="14"/>
                <w:szCs w:val="14"/>
              </w:rPr>
              <w:t>0.23</w:t>
            </w:r>
          </w:p>
        </w:tc>
        <w:tc>
          <w:tcPr>
            <w:tcW w:w="79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6351680" w14:textId="77777777" w:rsidR="00EB76A7" w:rsidRPr="00824547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547">
              <w:rPr>
                <w:b/>
                <w:bCs/>
                <w:color w:val="000000"/>
                <w:sz w:val="14"/>
                <w:szCs w:val="14"/>
              </w:rPr>
              <w:t>0.40</w:t>
            </w:r>
          </w:p>
        </w:tc>
        <w:tc>
          <w:tcPr>
            <w:tcW w:w="79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DACD244" w14:textId="77777777" w:rsidR="00EB76A7" w:rsidRPr="00824547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547">
              <w:rPr>
                <w:b/>
                <w:bCs/>
                <w:color w:val="000000"/>
                <w:sz w:val="14"/>
                <w:szCs w:val="14"/>
              </w:rPr>
              <w:t>-1.52</w:t>
            </w:r>
          </w:p>
        </w:tc>
        <w:tc>
          <w:tcPr>
            <w:tcW w:w="79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A0B4329" w14:textId="77777777" w:rsidR="00EB76A7" w:rsidRPr="00824547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547">
              <w:rPr>
                <w:b/>
                <w:bCs/>
                <w:color w:val="000000"/>
                <w:sz w:val="14"/>
                <w:szCs w:val="14"/>
              </w:rPr>
              <w:t>0.98</w:t>
            </w:r>
          </w:p>
        </w:tc>
        <w:tc>
          <w:tcPr>
            <w:tcW w:w="79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D1C482D" w14:textId="77777777" w:rsidR="00EB76A7" w:rsidRPr="00824547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547">
              <w:rPr>
                <w:b/>
                <w:bCs/>
                <w:color w:val="000000"/>
                <w:sz w:val="14"/>
                <w:szCs w:val="14"/>
              </w:rPr>
              <w:t>0.35</w:t>
            </w:r>
          </w:p>
        </w:tc>
      </w:tr>
      <w:tr w:rsidR="00EB76A7" w:rsidRPr="00841586" w14:paraId="65883F6C" w14:textId="77777777" w:rsidTr="00FC3925">
        <w:trPr>
          <w:trHeight w:val="213"/>
        </w:trPr>
        <w:tc>
          <w:tcPr>
            <w:tcW w:w="44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7DACB46" w14:textId="77777777" w:rsidR="00EB76A7" w:rsidRPr="00841586" w:rsidRDefault="00EB76A7" w:rsidP="00FC392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79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FB51392" w14:textId="77777777" w:rsidR="00EB76A7" w:rsidRPr="00824547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547">
              <w:rPr>
                <w:bCs/>
                <w:color w:val="000000"/>
                <w:sz w:val="14"/>
                <w:szCs w:val="14"/>
              </w:rPr>
              <w:t>4.37</w:t>
            </w:r>
          </w:p>
        </w:tc>
        <w:tc>
          <w:tcPr>
            <w:tcW w:w="79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0BCAB65" w14:textId="77777777" w:rsidR="00EB76A7" w:rsidRPr="00824547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547">
              <w:rPr>
                <w:bCs/>
                <w:color w:val="000000"/>
                <w:sz w:val="14"/>
                <w:szCs w:val="14"/>
              </w:rPr>
              <w:t>5.24</w:t>
            </w:r>
          </w:p>
        </w:tc>
        <w:tc>
          <w:tcPr>
            <w:tcW w:w="79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10815FD" w14:textId="77777777" w:rsidR="00EB76A7" w:rsidRPr="00824547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547">
              <w:rPr>
                <w:bCs/>
                <w:color w:val="000000"/>
                <w:sz w:val="14"/>
                <w:szCs w:val="14"/>
              </w:rPr>
              <w:t>4.78</w:t>
            </w:r>
          </w:p>
        </w:tc>
        <w:tc>
          <w:tcPr>
            <w:tcW w:w="79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E404BA6" w14:textId="77777777" w:rsidR="00EB76A7" w:rsidRPr="00824547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547">
              <w:rPr>
                <w:bCs/>
                <w:color w:val="000000"/>
                <w:sz w:val="14"/>
                <w:szCs w:val="14"/>
              </w:rPr>
              <w:t>-1.24</w:t>
            </w:r>
          </w:p>
        </w:tc>
        <w:tc>
          <w:tcPr>
            <w:tcW w:w="79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3A2F6C0" w14:textId="77777777" w:rsidR="00EB76A7" w:rsidRPr="00824547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547">
              <w:rPr>
                <w:bCs/>
                <w:color w:val="000000"/>
                <w:sz w:val="14"/>
                <w:szCs w:val="14"/>
              </w:rPr>
              <w:t>0.55</w:t>
            </w:r>
          </w:p>
        </w:tc>
        <w:tc>
          <w:tcPr>
            <w:tcW w:w="79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DE0D640" w14:textId="77777777" w:rsidR="00EB76A7" w:rsidRPr="00824547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547">
              <w:rPr>
                <w:bCs/>
                <w:color w:val="000000"/>
                <w:sz w:val="14"/>
                <w:szCs w:val="14"/>
              </w:rPr>
              <w:t>-0.27</w:t>
            </w:r>
          </w:p>
        </w:tc>
      </w:tr>
      <w:tr w:rsidR="00EB76A7" w:rsidRPr="00841586" w14:paraId="629626BD" w14:textId="77777777" w:rsidTr="00FC3925">
        <w:trPr>
          <w:trHeight w:val="213"/>
        </w:trPr>
        <w:tc>
          <w:tcPr>
            <w:tcW w:w="44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36F5FAE9" w14:textId="77777777" w:rsidR="00EB76A7" w:rsidRPr="00841586" w:rsidRDefault="00EB76A7" w:rsidP="00FC392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79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5A78CF8" w14:textId="77777777" w:rsidR="00EB76A7" w:rsidRPr="00824547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547">
              <w:rPr>
                <w:bCs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79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7D7D524" w14:textId="77777777" w:rsidR="00EB76A7" w:rsidRPr="00824547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547">
              <w:rPr>
                <w:bCs/>
                <w:color w:val="000000"/>
                <w:sz w:val="14"/>
                <w:szCs w:val="14"/>
              </w:rPr>
              <w:t>0.06</w:t>
            </w:r>
          </w:p>
        </w:tc>
        <w:tc>
          <w:tcPr>
            <w:tcW w:w="79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E18B81F" w14:textId="77777777" w:rsidR="00EB76A7" w:rsidRPr="00824547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547">
              <w:rPr>
                <w:bCs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79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55C4245" w14:textId="77777777" w:rsidR="00EB76A7" w:rsidRPr="00824547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547">
              <w:rPr>
                <w:bCs/>
                <w:color w:val="000000"/>
                <w:sz w:val="14"/>
                <w:szCs w:val="14"/>
              </w:rPr>
              <w:t>2.63</w:t>
            </w:r>
          </w:p>
        </w:tc>
        <w:tc>
          <w:tcPr>
            <w:tcW w:w="79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F673612" w14:textId="77777777" w:rsidR="00EB76A7" w:rsidRPr="00824547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547">
              <w:rPr>
                <w:bCs/>
                <w:color w:val="000000"/>
                <w:sz w:val="14"/>
                <w:szCs w:val="14"/>
              </w:rPr>
              <w:t>7.53</w:t>
            </w:r>
          </w:p>
        </w:tc>
        <w:tc>
          <w:tcPr>
            <w:tcW w:w="79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59224AF" w14:textId="77777777" w:rsidR="00EB76A7" w:rsidRPr="00824547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547">
              <w:rPr>
                <w:bCs/>
                <w:color w:val="000000"/>
                <w:sz w:val="14"/>
                <w:szCs w:val="14"/>
              </w:rPr>
              <w:t>1.64</w:t>
            </w:r>
          </w:p>
        </w:tc>
      </w:tr>
      <w:tr w:rsidR="00EB76A7" w:rsidRPr="00841586" w14:paraId="4E50E9FB" w14:textId="77777777" w:rsidTr="00FC3925">
        <w:trPr>
          <w:trHeight w:val="213"/>
        </w:trPr>
        <w:tc>
          <w:tcPr>
            <w:tcW w:w="44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5590058" w14:textId="77777777" w:rsidR="00EB76A7" w:rsidRPr="00841586" w:rsidRDefault="00EB76A7" w:rsidP="00FC392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Construcción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79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26F0816" w14:textId="77777777" w:rsidR="00EB76A7" w:rsidRPr="00824547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547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79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895FED8" w14:textId="77777777" w:rsidR="00EB76A7" w:rsidRPr="00824547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547">
              <w:rPr>
                <w:bCs/>
                <w:color w:val="000000"/>
                <w:sz w:val="14"/>
                <w:szCs w:val="14"/>
              </w:rPr>
              <w:t>-0.22</w:t>
            </w:r>
          </w:p>
        </w:tc>
        <w:tc>
          <w:tcPr>
            <w:tcW w:w="79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D5E8FEA" w14:textId="77777777" w:rsidR="00EB76A7" w:rsidRPr="00824547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547">
              <w:rPr>
                <w:bCs/>
                <w:color w:val="000000"/>
                <w:sz w:val="14"/>
                <w:szCs w:val="14"/>
              </w:rPr>
              <w:t>-0.22</w:t>
            </w:r>
          </w:p>
        </w:tc>
        <w:tc>
          <w:tcPr>
            <w:tcW w:w="79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FC3EFFC" w14:textId="77777777" w:rsidR="00EB76A7" w:rsidRPr="00824547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547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79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ADA4034" w14:textId="77777777" w:rsidR="00EB76A7" w:rsidRPr="00824547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547">
              <w:rPr>
                <w:bCs/>
                <w:color w:val="000000"/>
                <w:sz w:val="14"/>
                <w:szCs w:val="14"/>
              </w:rPr>
              <w:t>-0.05</w:t>
            </w:r>
          </w:p>
        </w:tc>
        <w:tc>
          <w:tcPr>
            <w:tcW w:w="79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1DE0ACB" w14:textId="77777777" w:rsidR="00EB76A7" w:rsidRPr="00824547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547">
              <w:rPr>
                <w:bCs/>
                <w:color w:val="000000"/>
                <w:sz w:val="14"/>
                <w:szCs w:val="14"/>
              </w:rPr>
              <w:t>-0.05</w:t>
            </w:r>
          </w:p>
        </w:tc>
      </w:tr>
      <w:tr w:rsidR="00EB76A7" w:rsidRPr="00841586" w14:paraId="2B15B34B" w14:textId="77777777" w:rsidTr="00FC3925">
        <w:trPr>
          <w:trHeight w:val="213"/>
        </w:trPr>
        <w:tc>
          <w:tcPr>
            <w:tcW w:w="44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12D3307" w14:textId="77777777" w:rsidR="00EB76A7" w:rsidRPr="00841586" w:rsidRDefault="00EB76A7" w:rsidP="00FC392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79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E0B5C27" w14:textId="77777777" w:rsidR="00EB76A7" w:rsidRPr="00824547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547">
              <w:rPr>
                <w:bCs/>
                <w:color w:val="000000"/>
                <w:sz w:val="14"/>
                <w:szCs w:val="14"/>
              </w:rPr>
              <w:t>0.35</w:t>
            </w:r>
          </w:p>
        </w:tc>
        <w:tc>
          <w:tcPr>
            <w:tcW w:w="79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4DAF804" w14:textId="77777777" w:rsidR="00EB76A7" w:rsidRPr="00824547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547">
              <w:rPr>
                <w:bCs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79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F69A5F8" w14:textId="77777777" w:rsidR="00EB76A7" w:rsidRPr="00824547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547">
              <w:rPr>
                <w:bCs/>
                <w:color w:val="000000"/>
                <w:sz w:val="14"/>
                <w:szCs w:val="14"/>
              </w:rPr>
              <w:t>0.13</w:t>
            </w:r>
          </w:p>
        </w:tc>
        <w:tc>
          <w:tcPr>
            <w:tcW w:w="79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310DFE1" w14:textId="77777777" w:rsidR="00EB76A7" w:rsidRPr="00824547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547">
              <w:rPr>
                <w:bCs/>
                <w:color w:val="000000"/>
                <w:sz w:val="14"/>
                <w:szCs w:val="14"/>
              </w:rPr>
              <w:t>-2.12</w:t>
            </w:r>
          </w:p>
        </w:tc>
        <w:tc>
          <w:tcPr>
            <w:tcW w:w="79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9698AD6" w14:textId="77777777" w:rsidR="00EB76A7" w:rsidRPr="00824547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547">
              <w:rPr>
                <w:bCs/>
                <w:color w:val="000000"/>
                <w:sz w:val="14"/>
                <w:szCs w:val="14"/>
              </w:rPr>
              <w:t>1.22</w:t>
            </w:r>
          </w:p>
        </w:tc>
        <w:tc>
          <w:tcPr>
            <w:tcW w:w="79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100143F" w14:textId="77777777" w:rsidR="00EB76A7" w:rsidRPr="00824547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547">
              <w:rPr>
                <w:bCs/>
                <w:color w:val="000000"/>
                <w:sz w:val="14"/>
                <w:szCs w:val="14"/>
              </w:rPr>
              <w:t>0.40</w:t>
            </w:r>
          </w:p>
        </w:tc>
      </w:tr>
      <w:tr w:rsidR="00EB76A7" w:rsidRPr="00841586" w14:paraId="28A2B77B" w14:textId="77777777" w:rsidTr="00FC3925">
        <w:trPr>
          <w:trHeight w:val="213"/>
        </w:trPr>
        <w:tc>
          <w:tcPr>
            <w:tcW w:w="4498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A8C0834" w14:textId="77777777" w:rsidR="00EB76A7" w:rsidRPr="00841586" w:rsidRDefault="00EB76A7" w:rsidP="00FC3925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793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923A96D" w14:textId="77777777" w:rsidR="00EB76A7" w:rsidRPr="00824547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547">
              <w:rPr>
                <w:b/>
                <w:bCs/>
                <w:color w:val="000000"/>
                <w:sz w:val="14"/>
                <w:szCs w:val="14"/>
              </w:rPr>
              <w:t>0.53</w:t>
            </w:r>
          </w:p>
        </w:tc>
        <w:tc>
          <w:tcPr>
            <w:tcW w:w="793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827A23A" w14:textId="77777777" w:rsidR="00EB76A7" w:rsidRPr="00824547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547">
              <w:rPr>
                <w:b/>
                <w:bCs/>
                <w:color w:val="000000"/>
                <w:sz w:val="14"/>
                <w:szCs w:val="14"/>
              </w:rPr>
              <w:t>0.97</w:t>
            </w:r>
          </w:p>
        </w:tc>
        <w:tc>
          <w:tcPr>
            <w:tcW w:w="794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3874690" w14:textId="77777777" w:rsidR="00EB76A7" w:rsidRPr="00824547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547">
              <w:rPr>
                <w:b/>
                <w:bCs/>
                <w:color w:val="000000"/>
                <w:sz w:val="14"/>
                <w:szCs w:val="14"/>
              </w:rPr>
              <w:t>0.85</w:t>
            </w:r>
          </w:p>
        </w:tc>
        <w:tc>
          <w:tcPr>
            <w:tcW w:w="793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7AAE4B2" w14:textId="77777777" w:rsidR="00EB76A7" w:rsidRPr="00824547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547">
              <w:rPr>
                <w:b/>
                <w:bCs/>
                <w:color w:val="000000"/>
                <w:sz w:val="14"/>
                <w:szCs w:val="14"/>
              </w:rPr>
              <w:t>1.89</w:t>
            </w:r>
          </w:p>
        </w:tc>
        <w:tc>
          <w:tcPr>
            <w:tcW w:w="793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2144719" w14:textId="77777777" w:rsidR="00EB76A7" w:rsidRPr="00824547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547">
              <w:rPr>
                <w:b/>
                <w:bCs/>
                <w:color w:val="000000"/>
                <w:sz w:val="14"/>
                <w:szCs w:val="14"/>
              </w:rPr>
              <w:t>3.56</w:t>
            </w:r>
          </w:p>
        </w:tc>
        <w:tc>
          <w:tcPr>
            <w:tcW w:w="794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EF85A08" w14:textId="77777777" w:rsidR="00EB76A7" w:rsidRPr="00824547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547">
              <w:rPr>
                <w:b/>
                <w:bCs/>
                <w:color w:val="000000"/>
                <w:sz w:val="14"/>
                <w:szCs w:val="14"/>
              </w:rPr>
              <w:t>3.08</w:t>
            </w:r>
          </w:p>
        </w:tc>
      </w:tr>
    </w:tbl>
    <w:p w14:paraId="0565A39B" w14:textId="77777777" w:rsidR="00EB76A7" w:rsidRPr="00034732" w:rsidRDefault="00EB76A7" w:rsidP="00EB76A7">
      <w:pPr>
        <w:widowControl w:val="0"/>
        <w:tabs>
          <w:tab w:val="left" w:pos="266"/>
        </w:tabs>
        <w:autoSpaceDE w:val="0"/>
        <w:autoSpaceDN w:val="0"/>
        <w:adjustRightInd w:val="0"/>
        <w:ind w:left="-11" w:right="113" w:firstLine="125"/>
        <w:jc w:val="left"/>
        <w:rPr>
          <w:color w:val="000000"/>
          <w:sz w:val="12"/>
          <w:szCs w:val="14"/>
        </w:rPr>
      </w:pPr>
      <w:r w:rsidRPr="003F5E65">
        <w:rPr>
          <w:sz w:val="16"/>
          <w:szCs w:val="14"/>
          <w:vertAlign w:val="superscript"/>
        </w:rPr>
        <w:t>1/</w:t>
      </w:r>
      <w:r w:rsidRPr="003F5E65">
        <w:rPr>
          <w:color w:val="000000"/>
          <w:sz w:val="14"/>
          <w:szCs w:val="14"/>
          <w:vertAlign w:val="superscript"/>
        </w:rPr>
        <w:tab/>
      </w:r>
      <w:r w:rsidRPr="00034732">
        <w:rPr>
          <w:spacing w:val="-2"/>
          <w:sz w:val="14"/>
          <w:szCs w:val="16"/>
        </w:rPr>
        <w:t>Las variaciones anuales durante el primer año del INPP base julio de 2019 se continuarán comparando con el índice de la base anterior.</w:t>
      </w:r>
    </w:p>
    <w:p w14:paraId="27423472" w14:textId="77777777" w:rsidR="00EB76A7" w:rsidRDefault="00EB76A7" w:rsidP="00EB76A7">
      <w:pPr>
        <w:widowControl w:val="0"/>
        <w:tabs>
          <w:tab w:val="left" w:pos="266"/>
        </w:tabs>
        <w:autoSpaceDE w:val="0"/>
        <w:autoSpaceDN w:val="0"/>
        <w:adjustRightInd w:val="0"/>
        <w:ind w:left="-11" w:firstLine="125"/>
        <w:jc w:val="left"/>
        <w:rPr>
          <w:color w:val="000000"/>
          <w:sz w:val="14"/>
          <w:szCs w:val="14"/>
        </w:rPr>
      </w:pPr>
      <w:r>
        <w:rPr>
          <w:sz w:val="16"/>
          <w:szCs w:val="14"/>
          <w:vertAlign w:val="superscript"/>
        </w:rPr>
        <w:t>2</w:t>
      </w:r>
      <w:r w:rsidRPr="003F5E65">
        <w:rPr>
          <w:sz w:val="16"/>
          <w:szCs w:val="14"/>
          <w:vertAlign w:val="superscript"/>
        </w:rPr>
        <w:t>/</w:t>
      </w:r>
      <w:r w:rsidRPr="003F5E65">
        <w:rPr>
          <w:color w:val="000000"/>
          <w:sz w:val="14"/>
          <w:szCs w:val="14"/>
          <w:vertAlign w:val="superscript"/>
        </w:rPr>
        <w:tab/>
      </w:r>
      <w:r w:rsidRPr="003F5E65">
        <w:rPr>
          <w:color w:val="000000"/>
          <w:sz w:val="14"/>
          <w:szCs w:val="14"/>
        </w:rPr>
        <w:t>Esta actividad no genera bienes de uso int</w:t>
      </w:r>
      <w:r>
        <w:rPr>
          <w:color w:val="000000"/>
          <w:sz w:val="14"/>
          <w:szCs w:val="14"/>
        </w:rPr>
        <w:t>e</w:t>
      </w:r>
      <w:r w:rsidRPr="003F5E65">
        <w:rPr>
          <w:color w:val="000000"/>
          <w:sz w:val="14"/>
          <w:szCs w:val="14"/>
        </w:rPr>
        <w:t>rmedio.</w:t>
      </w:r>
    </w:p>
    <w:p w14:paraId="31E2C9AA" w14:textId="77777777" w:rsidR="00EB76A7" w:rsidRDefault="00EB76A7" w:rsidP="00EB76A7">
      <w:pPr>
        <w:jc w:val="lef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br w:type="page"/>
      </w:r>
    </w:p>
    <w:p w14:paraId="645F46D6" w14:textId="77777777" w:rsidR="00EB76A7" w:rsidRDefault="00EB76A7" w:rsidP="00EB76A7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</w:p>
    <w:p w14:paraId="362D75E8" w14:textId="77777777" w:rsidR="00EB76A7" w:rsidRPr="00A51DE4" w:rsidRDefault="00EB76A7" w:rsidP="00C45782">
      <w:pPr>
        <w:widowControl w:val="0"/>
        <w:autoSpaceDE w:val="0"/>
        <w:autoSpaceDN w:val="0"/>
        <w:adjustRightInd w:val="0"/>
        <w:spacing w:before="600"/>
        <w:jc w:val="center"/>
        <w:rPr>
          <w:snapToGrid w:val="0"/>
          <w:sz w:val="20"/>
          <w:szCs w:val="20"/>
        </w:rPr>
      </w:pPr>
      <w:r w:rsidRPr="00A51DE4">
        <w:rPr>
          <w:snapToGrid w:val="0"/>
          <w:sz w:val="20"/>
          <w:szCs w:val="20"/>
        </w:rPr>
        <w:t xml:space="preserve">Cuadro </w:t>
      </w:r>
      <w:r>
        <w:rPr>
          <w:snapToGrid w:val="0"/>
          <w:sz w:val="20"/>
          <w:szCs w:val="20"/>
        </w:rPr>
        <w:t>2</w:t>
      </w:r>
    </w:p>
    <w:p w14:paraId="091109EB" w14:textId="77777777" w:rsidR="00EB76A7" w:rsidRPr="00875DDC" w:rsidRDefault="00EB76A7" w:rsidP="00EB76A7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ÍNDICE NACIONAL DE PRECIOS PRODUCTOR </w:t>
      </w:r>
    </w:p>
    <w:p w14:paraId="6DB63E88" w14:textId="77777777" w:rsidR="00EB76A7" w:rsidRPr="00875DDC" w:rsidRDefault="00EB76A7" w:rsidP="00EB76A7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>PRODUCCIÓN TOTAL,</w:t>
      </w:r>
      <w:r>
        <w:rPr>
          <w:b/>
          <w:snapToGrid w:val="0"/>
          <w:sz w:val="22"/>
          <w:szCs w:val="22"/>
        </w:rPr>
        <w:t xml:space="preserve"> </w:t>
      </w:r>
      <w:r w:rsidRPr="00DC48FE">
        <w:rPr>
          <w:b/>
          <w:snapToGrid w:val="0"/>
          <w:sz w:val="22"/>
          <w:szCs w:val="22"/>
        </w:rPr>
        <w:t>INCLUYENDO PETRÓLEO</w:t>
      </w:r>
      <w:r w:rsidRPr="00162D45">
        <w:rPr>
          <w:b/>
          <w:snapToGrid w:val="0"/>
          <w:sz w:val="22"/>
          <w:szCs w:val="22"/>
        </w:rPr>
        <w:t>,</w:t>
      </w:r>
      <w:r w:rsidRPr="00875DDC">
        <w:rPr>
          <w:b/>
          <w:snapToGrid w:val="0"/>
          <w:sz w:val="22"/>
          <w:szCs w:val="22"/>
        </w:rPr>
        <w:t xml:space="preserve"> DURANTE </w:t>
      </w:r>
      <w:r>
        <w:rPr>
          <w:b/>
          <w:snapToGrid w:val="0"/>
          <w:sz w:val="22"/>
          <w:szCs w:val="22"/>
        </w:rPr>
        <w:t>DICIEMBRE</w:t>
      </w:r>
    </w:p>
    <w:p w14:paraId="0389D029" w14:textId="77777777" w:rsidR="00EB76A7" w:rsidRDefault="00EB76A7" w:rsidP="00EB76A7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Variación porcentual durante diciembre </w:t>
      </w:r>
      <w:r w:rsidRPr="0092783E">
        <w:rPr>
          <w:snapToGrid w:val="0"/>
          <w:sz w:val="18"/>
          <w:szCs w:val="18"/>
        </w:rPr>
        <w:t>de los años que se indican</w:t>
      </w:r>
    </w:p>
    <w:tbl>
      <w:tblPr>
        <w:tblW w:w="497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8"/>
        <w:gridCol w:w="736"/>
        <w:gridCol w:w="736"/>
        <w:gridCol w:w="737"/>
        <w:gridCol w:w="737"/>
        <w:gridCol w:w="737"/>
        <w:gridCol w:w="737"/>
      </w:tblGrid>
      <w:tr w:rsidR="00EB76A7" w:rsidRPr="00A9663B" w14:paraId="4D8B770B" w14:textId="77777777" w:rsidTr="00FC3925">
        <w:trPr>
          <w:trHeight w:val="255"/>
          <w:jc w:val="center"/>
        </w:trPr>
        <w:tc>
          <w:tcPr>
            <w:tcW w:w="4535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90365F9" w14:textId="77777777" w:rsidR="00EB76A7" w:rsidRPr="00A9663B" w:rsidRDefault="00EB76A7" w:rsidP="00FC3925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8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8"/>
                <w:lang w:eastAsia="es-MX"/>
              </w:rPr>
              <w:t>Actividad económica</w:t>
            </w:r>
          </w:p>
        </w:tc>
        <w:tc>
          <w:tcPr>
            <w:tcW w:w="2403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26BDA52" w14:textId="77777777" w:rsidR="00EB76A7" w:rsidRPr="00A9663B" w:rsidRDefault="00EB76A7" w:rsidP="00FC3925">
            <w:pPr>
              <w:jc w:val="center"/>
              <w:rPr>
                <w:bCs/>
                <w:color w:val="000000"/>
                <w:sz w:val="16"/>
                <w:szCs w:val="18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8"/>
                <w:lang w:eastAsia="es-MX"/>
              </w:rPr>
              <w:t>Variación mensual</w:t>
            </w:r>
          </w:p>
        </w:tc>
        <w:tc>
          <w:tcPr>
            <w:tcW w:w="2403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EA365F7" w14:textId="77777777" w:rsidR="00EB76A7" w:rsidRPr="00A9663B" w:rsidRDefault="00EB76A7" w:rsidP="00FC3925">
            <w:pPr>
              <w:jc w:val="center"/>
              <w:rPr>
                <w:bCs/>
                <w:color w:val="000000"/>
                <w:sz w:val="16"/>
                <w:szCs w:val="18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8"/>
                <w:lang w:eastAsia="es-MX"/>
              </w:rPr>
              <w:t>Variación anual</w:t>
            </w:r>
            <w:r>
              <w:rPr>
                <w:bCs/>
                <w:color w:val="000000"/>
                <w:sz w:val="16"/>
                <w:szCs w:val="18"/>
                <w:lang w:eastAsia="es-MX"/>
              </w:rPr>
              <w:t xml:space="preserve"> </w:t>
            </w:r>
            <w:r w:rsidRPr="003A67B2">
              <w:rPr>
                <w:bCs/>
                <w:color w:val="000000"/>
                <w:sz w:val="16"/>
                <w:szCs w:val="18"/>
                <w:vertAlign w:val="superscript"/>
                <w:lang w:eastAsia="es-MX"/>
              </w:rPr>
              <w:t>1/</w:t>
            </w:r>
          </w:p>
        </w:tc>
      </w:tr>
      <w:tr w:rsidR="00EB76A7" w:rsidRPr="00A9663B" w14:paraId="185104A3" w14:textId="77777777" w:rsidTr="00FC3925">
        <w:trPr>
          <w:trHeight w:val="255"/>
          <w:jc w:val="center"/>
        </w:trPr>
        <w:tc>
          <w:tcPr>
            <w:tcW w:w="4535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7A62B151" w14:textId="77777777" w:rsidR="00EB76A7" w:rsidRPr="00A9663B" w:rsidRDefault="00EB76A7" w:rsidP="00FC3925">
            <w:pPr>
              <w:jc w:val="center"/>
              <w:rPr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01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73965D7" w14:textId="77777777" w:rsidR="00EB76A7" w:rsidRPr="00FA5D21" w:rsidRDefault="00EB76A7" w:rsidP="00FC392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A5D21">
              <w:rPr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004B4DC" w14:textId="77777777" w:rsidR="00EB76A7" w:rsidRPr="00FA5D21" w:rsidRDefault="00EB76A7" w:rsidP="00FC392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A5D21">
              <w:rPr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F9B27E6" w14:textId="77777777" w:rsidR="00EB76A7" w:rsidRPr="00FA5D21" w:rsidRDefault="00EB76A7" w:rsidP="00FC392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A5D21">
              <w:rPr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E568370" w14:textId="77777777" w:rsidR="00EB76A7" w:rsidRPr="00FA5D21" w:rsidRDefault="00EB76A7" w:rsidP="00FC392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A5D21">
              <w:rPr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17FD3436" w14:textId="77777777" w:rsidR="00EB76A7" w:rsidRPr="00FA5D21" w:rsidRDefault="00EB76A7" w:rsidP="00FC392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A5D21">
              <w:rPr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7C8AAE5" w14:textId="77777777" w:rsidR="00EB76A7" w:rsidRPr="00FA5D21" w:rsidRDefault="00EB76A7" w:rsidP="00FC392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A5D21">
              <w:rPr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EB76A7" w:rsidRPr="00841586" w14:paraId="5B0558C5" w14:textId="77777777" w:rsidTr="00FC3925">
        <w:trPr>
          <w:trHeight w:val="227"/>
          <w:jc w:val="center"/>
        </w:trPr>
        <w:tc>
          <w:tcPr>
            <w:tcW w:w="453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72B94D6" w14:textId="77777777" w:rsidR="00EB76A7" w:rsidRPr="00841586" w:rsidRDefault="00EB76A7" w:rsidP="00FC3925">
            <w:pPr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01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DF9DBB6" w14:textId="77777777" w:rsidR="00EB76A7" w:rsidRPr="000E29F4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0.52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56ECCA0" w14:textId="77777777" w:rsidR="00EB76A7" w:rsidRPr="000E29F4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-0.40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6AD0B77" w14:textId="77777777" w:rsidR="00EB76A7" w:rsidRPr="000E29F4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0.47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79D98F2" w14:textId="77777777" w:rsidR="00EB76A7" w:rsidRPr="000E29F4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5.17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4011EAE" w14:textId="77777777" w:rsidR="00EB76A7" w:rsidRPr="000E29F4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6.11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A02DDD6" w14:textId="77777777" w:rsidR="00EB76A7" w:rsidRPr="000E29F4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1.01</w:t>
            </w:r>
          </w:p>
        </w:tc>
      </w:tr>
      <w:tr w:rsidR="00EB76A7" w:rsidRPr="00841586" w14:paraId="01ACFE25" w14:textId="77777777" w:rsidTr="00FC3925">
        <w:trPr>
          <w:trHeight w:val="227"/>
          <w:jc w:val="center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72B6B7C" w14:textId="77777777" w:rsidR="00EB76A7" w:rsidRPr="00841586" w:rsidRDefault="00EB76A7" w:rsidP="00FC3925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7C75FCB" w14:textId="77777777" w:rsidR="00EB76A7" w:rsidRPr="000E29F4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0.90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6B2D061" w14:textId="77777777" w:rsidR="00EB76A7" w:rsidRPr="000E29F4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0.76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4F0E6B6" w14:textId="77777777" w:rsidR="00EB76A7" w:rsidRPr="000E29F4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-1.09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8CFCD48" w14:textId="77777777" w:rsidR="00EB76A7" w:rsidRPr="000E29F4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5.35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702EB9F" w14:textId="77777777" w:rsidR="00EB76A7" w:rsidRPr="000E29F4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4.69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615E989" w14:textId="77777777" w:rsidR="00EB76A7" w:rsidRPr="000E29F4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-4.22</w:t>
            </w:r>
          </w:p>
        </w:tc>
      </w:tr>
      <w:tr w:rsidR="00EB76A7" w:rsidRPr="00841586" w14:paraId="3B4C59A8" w14:textId="77777777" w:rsidTr="00FC3925">
        <w:trPr>
          <w:trHeight w:val="227"/>
          <w:jc w:val="center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49E8EF5" w14:textId="77777777" w:rsidR="00EB76A7" w:rsidRPr="00841586" w:rsidRDefault="00EB76A7" w:rsidP="00FC3925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1DF2BB8" w14:textId="77777777" w:rsidR="00EB76A7" w:rsidRPr="000E29F4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0.39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99CECBC" w14:textId="77777777" w:rsidR="00EB76A7" w:rsidRPr="000E29F4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-1.19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432DFA8" w14:textId="77777777" w:rsidR="00EB76A7" w:rsidRPr="000E29F4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0.40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EBB176E" w14:textId="77777777" w:rsidR="00EB76A7" w:rsidRPr="000E29F4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5.69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A7ECA46" w14:textId="77777777" w:rsidR="00EB76A7" w:rsidRPr="000E29F4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D22CE2C" w14:textId="77777777" w:rsidR="00EB76A7" w:rsidRPr="000E29F4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0.35</w:t>
            </w:r>
          </w:p>
        </w:tc>
      </w:tr>
      <w:tr w:rsidR="00EB76A7" w:rsidRPr="00841586" w14:paraId="1307374C" w14:textId="77777777" w:rsidTr="00FC3925">
        <w:trPr>
          <w:trHeight w:val="227"/>
          <w:jc w:val="center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B185C9E" w14:textId="77777777" w:rsidR="00EB76A7" w:rsidRPr="00841586" w:rsidRDefault="00EB76A7" w:rsidP="00FC392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0A60A63" w14:textId="77777777" w:rsidR="00EB76A7" w:rsidRPr="000E29F4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1.39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CE974DF" w14:textId="77777777" w:rsidR="00EB76A7" w:rsidRPr="000E29F4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-9.22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3356110" w14:textId="77777777" w:rsidR="00EB76A7" w:rsidRPr="000E29F4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4.78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1D95252" w14:textId="77777777" w:rsidR="00EB76A7" w:rsidRPr="000E29F4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11.20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937CD6A" w14:textId="77777777" w:rsidR="00EB76A7" w:rsidRPr="000E29F4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4.07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CD002C6" w14:textId="77777777" w:rsidR="00EB76A7" w:rsidRPr="000E29F4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-0.27</w:t>
            </w:r>
          </w:p>
        </w:tc>
      </w:tr>
      <w:tr w:rsidR="00EB76A7" w:rsidRPr="00841586" w14:paraId="39B22A98" w14:textId="77777777" w:rsidTr="00FC3925">
        <w:trPr>
          <w:trHeight w:val="227"/>
          <w:jc w:val="center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16E10CD8" w14:textId="77777777" w:rsidR="00EB76A7" w:rsidRPr="00841586" w:rsidRDefault="00EB76A7" w:rsidP="00FC392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2B670B7" w14:textId="77777777" w:rsidR="00EB76A7" w:rsidRPr="000E29F4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0.50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C0F09CD" w14:textId="77777777" w:rsidR="00EB76A7" w:rsidRPr="000E29F4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-4.11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7F7D7D7" w14:textId="77777777" w:rsidR="00EB76A7" w:rsidRPr="000E29F4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A2008D4" w14:textId="77777777" w:rsidR="00EB76A7" w:rsidRPr="000E29F4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6.68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9FF8FEB" w14:textId="77777777" w:rsidR="00EB76A7" w:rsidRPr="000E29F4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9.38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C412196" w14:textId="77777777" w:rsidR="00EB76A7" w:rsidRPr="000E29F4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1.64</w:t>
            </w:r>
          </w:p>
        </w:tc>
      </w:tr>
      <w:tr w:rsidR="00EB76A7" w:rsidRPr="00841586" w14:paraId="7CA2D3AF" w14:textId="77777777" w:rsidTr="00FC3925">
        <w:trPr>
          <w:trHeight w:val="227"/>
          <w:jc w:val="center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318DE6B" w14:textId="77777777" w:rsidR="00EB76A7" w:rsidRPr="00841586" w:rsidRDefault="00EB76A7" w:rsidP="00FC392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Construcción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C195023" w14:textId="77777777" w:rsidR="00EB76A7" w:rsidRPr="000E29F4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-0.02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224416F" w14:textId="77777777" w:rsidR="00EB76A7" w:rsidRPr="000E29F4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3EF0D53" w14:textId="77777777" w:rsidR="00EB76A7" w:rsidRPr="000E29F4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-0.22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4DF065C" w14:textId="77777777" w:rsidR="00EB76A7" w:rsidRPr="000E29F4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7.91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B03F620" w14:textId="77777777" w:rsidR="00EB76A7" w:rsidRPr="000E29F4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10.28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2060962" w14:textId="77777777" w:rsidR="00EB76A7" w:rsidRPr="000E29F4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-0.05</w:t>
            </w:r>
          </w:p>
        </w:tc>
      </w:tr>
      <w:tr w:rsidR="00EB76A7" w:rsidRPr="00841586" w14:paraId="4C4DC757" w14:textId="77777777" w:rsidTr="00FC3925">
        <w:trPr>
          <w:trHeight w:val="227"/>
          <w:jc w:val="center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D9FCDAC" w14:textId="77777777" w:rsidR="00EB76A7" w:rsidRPr="00841586" w:rsidRDefault="00EB76A7" w:rsidP="00FC392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6A204F1" w14:textId="77777777" w:rsidR="00EB76A7" w:rsidRPr="000E29F4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0.30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0A47A00" w14:textId="77777777" w:rsidR="00EB76A7" w:rsidRPr="000E29F4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0.07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0E933C8" w14:textId="77777777" w:rsidR="00EB76A7" w:rsidRPr="000E29F4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0.13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D745B12" w14:textId="77777777" w:rsidR="00EB76A7" w:rsidRPr="000E29F4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4.49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3D68C19" w14:textId="77777777" w:rsidR="00EB76A7" w:rsidRPr="000E29F4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7.05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8C9444B" w14:textId="77777777" w:rsidR="00EB76A7" w:rsidRPr="000E29F4" w:rsidRDefault="00EB76A7" w:rsidP="00FC392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0.40</w:t>
            </w:r>
          </w:p>
        </w:tc>
      </w:tr>
      <w:tr w:rsidR="00EB76A7" w:rsidRPr="00841586" w14:paraId="10D32B5F" w14:textId="77777777" w:rsidTr="00FC3925">
        <w:trPr>
          <w:trHeight w:val="227"/>
          <w:jc w:val="center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EE52321" w14:textId="77777777" w:rsidR="00EB76A7" w:rsidRPr="00841586" w:rsidRDefault="00EB76A7" w:rsidP="00FC3925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781909E" w14:textId="77777777" w:rsidR="00EB76A7" w:rsidRPr="000E29F4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0.71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095B8E4" w14:textId="77777777" w:rsidR="00EB76A7" w:rsidRPr="000E29F4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0.90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AE2E535" w14:textId="77777777" w:rsidR="00EB76A7" w:rsidRPr="000E29F4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0.85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D800F0D" w14:textId="77777777" w:rsidR="00EB76A7" w:rsidRPr="000E29F4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4.23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4CE35AC" w14:textId="77777777" w:rsidR="00EB76A7" w:rsidRPr="000E29F4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4.38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5EDDA0F" w14:textId="77777777" w:rsidR="00EB76A7" w:rsidRPr="000E29F4" w:rsidRDefault="00EB76A7" w:rsidP="00FC392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3.08</w:t>
            </w:r>
          </w:p>
        </w:tc>
      </w:tr>
    </w:tbl>
    <w:p w14:paraId="10339EA7" w14:textId="77777777" w:rsidR="00EB76A7" w:rsidRPr="008D68CA" w:rsidRDefault="00EB76A7" w:rsidP="00EB76A7">
      <w:pPr>
        <w:tabs>
          <w:tab w:val="left" w:pos="284"/>
        </w:tabs>
        <w:autoSpaceDE w:val="0"/>
        <w:autoSpaceDN w:val="0"/>
        <w:adjustRightInd w:val="0"/>
        <w:ind w:firstLine="126"/>
        <w:rPr>
          <w:sz w:val="14"/>
          <w:szCs w:val="14"/>
        </w:rPr>
      </w:pPr>
      <w:r w:rsidRPr="008D68CA">
        <w:rPr>
          <w:sz w:val="16"/>
          <w:szCs w:val="14"/>
          <w:vertAlign w:val="superscript"/>
        </w:rPr>
        <w:t>1</w:t>
      </w:r>
      <w:r w:rsidRPr="008D68CA">
        <w:rPr>
          <w:sz w:val="14"/>
          <w:szCs w:val="14"/>
          <w:vertAlign w:val="superscript"/>
        </w:rPr>
        <w:t>/</w:t>
      </w:r>
      <w:r>
        <w:rPr>
          <w:sz w:val="14"/>
          <w:szCs w:val="14"/>
        </w:rPr>
        <w:tab/>
      </w:r>
      <w:r w:rsidRPr="008D68CA">
        <w:rPr>
          <w:sz w:val="14"/>
          <w:szCs w:val="14"/>
        </w:rPr>
        <w:t>Las variaciones anuales durante el primer año del INPP base julio de 2019 se continuarán comparando con el índice de la base anterior</w:t>
      </w:r>
      <w:r>
        <w:rPr>
          <w:sz w:val="14"/>
          <w:szCs w:val="14"/>
        </w:rPr>
        <w:t>.</w:t>
      </w:r>
    </w:p>
    <w:p w14:paraId="275A168E" w14:textId="77777777" w:rsidR="00EB76A7" w:rsidRDefault="00EB76A7" w:rsidP="00EB76A7">
      <w:pPr>
        <w:spacing w:before="240"/>
        <w:jc w:val="center"/>
        <w:rPr>
          <w:snapToGrid w:val="0"/>
          <w:sz w:val="20"/>
          <w:szCs w:val="20"/>
        </w:rPr>
      </w:pPr>
    </w:p>
    <w:p w14:paraId="46200DAB" w14:textId="77777777" w:rsidR="00EB76A7" w:rsidRDefault="00EB76A7" w:rsidP="00EB76A7">
      <w:pPr>
        <w:widowControl w:val="0"/>
        <w:autoSpaceDE w:val="0"/>
        <w:autoSpaceDN w:val="0"/>
        <w:adjustRightInd w:val="0"/>
        <w:ind w:left="-426" w:right="-738"/>
        <w:rPr>
          <w:b/>
          <w:i/>
          <w:color w:val="000000" w:themeColor="text1"/>
        </w:rPr>
      </w:pPr>
    </w:p>
    <w:p w14:paraId="56B928EB" w14:textId="77777777" w:rsidR="00EB76A7" w:rsidRDefault="00EB76A7" w:rsidP="00EB76A7">
      <w:pPr>
        <w:jc w:val="left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1863AA5F" w14:textId="77777777" w:rsidR="00EB76A7" w:rsidRDefault="00EB76A7" w:rsidP="00EB76A7">
      <w:pPr>
        <w:jc w:val="center"/>
        <w:rPr>
          <w:b/>
          <w:color w:val="000000"/>
        </w:rPr>
      </w:pPr>
    </w:p>
    <w:p w14:paraId="428BC0AC" w14:textId="77777777" w:rsidR="00EB76A7" w:rsidRPr="008B302D" w:rsidRDefault="00EB76A7" w:rsidP="00EB76A7">
      <w:pPr>
        <w:jc w:val="center"/>
        <w:rPr>
          <w:b/>
          <w:color w:val="000000"/>
        </w:rPr>
      </w:pPr>
      <w:r w:rsidRPr="003B1ACA">
        <w:rPr>
          <w:b/>
          <w:color w:val="000000"/>
        </w:rPr>
        <w:t>Se anexa Nota Técnica</w:t>
      </w:r>
    </w:p>
    <w:p w14:paraId="066B6F3D" w14:textId="77777777" w:rsidR="00EB76A7" w:rsidRDefault="00EB76A7" w:rsidP="00EB76A7">
      <w:pPr>
        <w:jc w:val="center"/>
        <w:rPr>
          <w:sz w:val="18"/>
          <w:szCs w:val="18"/>
        </w:rPr>
      </w:pPr>
    </w:p>
    <w:p w14:paraId="62972816" w14:textId="77777777" w:rsidR="00EB76A7" w:rsidRDefault="00EB76A7" w:rsidP="00EB76A7">
      <w:pPr>
        <w:jc w:val="center"/>
        <w:rPr>
          <w:sz w:val="18"/>
          <w:szCs w:val="18"/>
        </w:rPr>
      </w:pPr>
    </w:p>
    <w:p w14:paraId="5BE9C548" w14:textId="77777777" w:rsidR="00EB76A7" w:rsidRDefault="00EB76A7" w:rsidP="00EB76A7">
      <w:pPr>
        <w:rPr>
          <w:sz w:val="18"/>
          <w:szCs w:val="18"/>
        </w:rPr>
      </w:pPr>
    </w:p>
    <w:p w14:paraId="32424D93" w14:textId="77777777" w:rsidR="00EB76A7" w:rsidRDefault="00EB76A7" w:rsidP="00EB76A7">
      <w:pPr>
        <w:rPr>
          <w:sz w:val="18"/>
          <w:szCs w:val="18"/>
        </w:rPr>
      </w:pPr>
    </w:p>
    <w:p w14:paraId="34A6C1E4" w14:textId="77777777" w:rsidR="00EB76A7" w:rsidRDefault="00EB76A7" w:rsidP="00EB76A7">
      <w:pPr>
        <w:rPr>
          <w:sz w:val="18"/>
          <w:szCs w:val="18"/>
        </w:rPr>
      </w:pPr>
    </w:p>
    <w:p w14:paraId="7C691839" w14:textId="77777777" w:rsidR="00EB76A7" w:rsidRDefault="00EB76A7" w:rsidP="00EB76A7">
      <w:pPr>
        <w:rPr>
          <w:sz w:val="18"/>
          <w:szCs w:val="18"/>
        </w:rPr>
      </w:pPr>
    </w:p>
    <w:p w14:paraId="66D33F16" w14:textId="77777777" w:rsidR="00EB76A7" w:rsidRDefault="00EB76A7" w:rsidP="00EB76A7">
      <w:pPr>
        <w:rPr>
          <w:sz w:val="18"/>
          <w:szCs w:val="18"/>
        </w:rPr>
      </w:pPr>
    </w:p>
    <w:p w14:paraId="51281CE9" w14:textId="77777777" w:rsidR="00EB76A7" w:rsidRDefault="00EB76A7" w:rsidP="00EB76A7">
      <w:pPr>
        <w:rPr>
          <w:sz w:val="18"/>
          <w:szCs w:val="18"/>
        </w:rPr>
      </w:pPr>
    </w:p>
    <w:p w14:paraId="0AEA0265" w14:textId="77777777" w:rsidR="00EB76A7" w:rsidRDefault="00EB76A7" w:rsidP="00EB76A7">
      <w:pPr>
        <w:rPr>
          <w:sz w:val="18"/>
          <w:szCs w:val="18"/>
        </w:rPr>
      </w:pPr>
    </w:p>
    <w:p w14:paraId="4E6A97CF" w14:textId="77777777" w:rsidR="00EB76A7" w:rsidRDefault="00EB76A7" w:rsidP="00EB76A7">
      <w:pPr>
        <w:rPr>
          <w:sz w:val="18"/>
          <w:szCs w:val="18"/>
        </w:rPr>
      </w:pPr>
    </w:p>
    <w:p w14:paraId="6A4EC619" w14:textId="77777777" w:rsidR="00EB76A7" w:rsidRDefault="00EB76A7" w:rsidP="00EB76A7">
      <w:pPr>
        <w:rPr>
          <w:sz w:val="18"/>
          <w:szCs w:val="18"/>
        </w:rPr>
      </w:pPr>
    </w:p>
    <w:p w14:paraId="6B12AE7B" w14:textId="77777777" w:rsidR="00EB76A7" w:rsidRDefault="00EB76A7" w:rsidP="00EB76A7">
      <w:pPr>
        <w:rPr>
          <w:sz w:val="18"/>
          <w:szCs w:val="18"/>
        </w:rPr>
      </w:pPr>
    </w:p>
    <w:p w14:paraId="46BC991F" w14:textId="77777777" w:rsidR="00EB76A7" w:rsidRDefault="00EB76A7" w:rsidP="00EB76A7">
      <w:pPr>
        <w:rPr>
          <w:sz w:val="18"/>
          <w:szCs w:val="18"/>
        </w:rPr>
      </w:pPr>
    </w:p>
    <w:p w14:paraId="4C4B1E97" w14:textId="77777777" w:rsidR="00EB76A7" w:rsidRDefault="00EB76A7" w:rsidP="00EB76A7">
      <w:pPr>
        <w:rPr>
          <w:sz w:val="18"/>
          <w:szCs w:val="18"/>
        </w:rPr>
      </w:pPr>
    </w:p>
    <w:p w14:paraId="78E16902" w14:textId="77777777" w:rsidR="00EB76A7" w:rsidRDefault="00EB76A7" w:rsidP="00EB76A7">
      <w:pPr>
        <w:rPr>
          <w:sz w:val="18"/>
          <w:szCs w:val="18"/>
        </w:rPr>
      </w:pPr>
    </w:p>
    <w:p w14:paraId="7A866FFA" w14:textId="77777777" w:rsidR="00EB76A7" w:rsidRPr="00AF228A" w:rsidRDefault="00EB76A7" w:rsidP="00EB76A7">
      <w:pPr>
        <w:rPr>
          <w:sz w:val="22"/>
          <w:szCs w:val="22"/>
        </w:rPr>
      </w:pPr>
    </w:p>
    <w:p w14:paraId="1282CC93" w14:textId="77777777" w:rsidR="00EB76A7" w:rsidRPr="00AF228A" w:rsidRDefault="00EB76A7" w:rsidP="00EB76A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AF228A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8" w:history="1">
        <w:r w:rsidRPr="00AF228A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AF228A">
        <w:rPr>
          <w:rFonts w:ascii="Arial" w:hAnsi="Arial" w:cs="Arial"/>
          <w:sz w:val="22"/>
          <w:szCs w:val="22"/>
        </w:rPr>
        <w:t xml:space="preserve"> </w:t>
      </w:r>
    </w:p>
    <w:p w14:paraId="3EEED588" w14:textId="77777777" w:rsidR="00EB76A7" w:rsidRPr="00AF228A" w:rsidRDefault="00EB76A7" w:rsidP="00EB76A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AF228A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AF228A">
        <w:rPr>
          <w:rFonts w:ascii="Arial" w:hAnsi="Arial" w:cs="Arial"/>
          <w:sz w:val="22"/>
          <w:szCs w:val="22"/>
        </w:rPr>
        <w:t>exts</w:t>
      </w:r>
      <w:proofErr w:type="spellEnd"/>
      <w:r w:rsidRPr="00AF228A">
        <w:rPr>
          <w:rFonts w:ascii="Arial" w:hAnsi="Arial" w:cs="Arial"/>
          <w:sz w:val="22"/>
          <w:szCs w:val="22"/>
        </w:rPr>
        <w:t>. 1134, 1260 y 1241</w:t>
      </w:r>
    </w:p>
    <w:p w14:paraId="6B8289BC" w14:textId="77777777" w:rsidR="00EB76A7" w:rsidRPr="00AF228A" w:rsidRDefault="00EB76A7" w:rsidP="00EB76A7">
      <w:pPr>
        <w:ind w:left="-426" w:right="-518"/>
        <w:contextualSpacing/>
        <w:jc w:val="center"/>
        <w:rPr>
          <w:sz w:val="22"/>
          <w:szCs w:val="22"/>
        </w:rPr>
      </w:pPr>
    </w:p>
    <w:p w14:paraId="09EAEE81" w14:textId="77777777" w:rsidR="00EB76A7" w:rsidRPr="00AF228A" w:rsidRDefault="00EB76A7" w:rsidP="00EB76A7">
      <w:pPr>
        <w:ind w:left="-426" w:right="-518"/>
        <w:contextualSpacing/>
        <w:jc w:val="center"/>
        <w:rPr>
          <w:sz w:val="22"/>
          <w:szCs w:val="22"/>
        </w:rPr>
      </w:pPr>
      <w:r w:rsidRPr="00AF228A">
        <w:rPr>
          <w:sz w:val="22"/>
          <w:szCs w:val="22"/>
        </w:rPr>
        <w:t>Dirección de Atención a Medios / Dirección General Adjunta de Comunicación</w:t>
      </w:r>
    </w:p>
    <w:p w14:paraId="14CC926C" w14:textId="77777777" w:rsidR="00EB76A7" w:rsidRPr="00AF228A" w:rsidRDefault="00EB76A7" w:rsidP="00EB76A7">
      <w:pPr>
        <w:ind w:left="-426" w:right="-518"/>
        <w:contextualSpacing/>
        <w:jc w:val="center"/>
        <w:rPr>
          <w:sz w:val="22"/>
          <w:szCs w:val="22"/>
        </w:rPr>
      </w:pPr>
    </w:p>
    <w:p w14:paraId="0719FE9F" w14:textId="77777777" w:rsidR="00EB76A7" w:rsidRPr="00412C31" w:rsidRDefault="00EB76A7" w:rsidP="00EB76A7">
      <w:pPr>
        <w:ind w:left="-425" w:right="-516"/>
        <w:contextualSpacing/>
        <w:jc w:val="center"/>
        <w:rPr>
          <w:rStyle w:val="Hipervnculo"/>
          <w:snapToGrid w:val="0"/>
        </w:rPr>
      </w:pPr>
      <w:r w:rsidRPr="00FF1218">
        <w:rPr>
          <w:noProof/>
          <w:lang w:val="es-MX" w:eastAsia="es-MX"/>
        </w:rPr>
        <w:drawing>
          <wp:inline distT="0" distB="0" distL="0" distR="0" wp14:anchorId="2B5E384A" wp14:editId="58A22AAD">
            <wp:extent cx="274320" cy="365760"/>
            <wp:effectExtent l="0" t="0" r="0" b="0"/>
            <wp:docPr id="2" name="Imagen 2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604C06BD" wp14:editId="5FAB5CF8">
            <wp:extent cx="365760" cy="365760"/>
            <wp:effectExtent l="0" t="0" r="0" b="0"/>
            <wp:docPr id="4" name="Imagen 4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C1A8DE7" wp14:editId="31C2C1C4">
            <wp:extent cx="365760" cy="365760"/>
            <wp:effectExtent l="0" t="0" r="0" b="0"/>
            <wp:docPr id="9" name="Imagen 9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179056CB" wp14:editId="175E7461">
            <wp:extent cx="365760" cy="365760"/>
            <wp:effectExtent l="0" t="0" r="0" b="0"/>
            <wp:docPr id="12" name="Imagen 12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1DA35D6B" wp14:editId="1F43A3D8">
            <wp:extent cx="2286000" cy="274320"/>
            <wp:effectExtent l="0" t="0" r="0" b="0"/>
            <wp:docPr id="6" name="Imagen 6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9D4E2" w14:textId="77777777" w:rsidR="00EB76A7" w:rsidRPr="00AC7545" w:rsidRDefault="00EB76A7" w:rsidP="00EB76A7">
      <w:pPr>
        <w:pStyle w:val="bullet"/>
        <w:tabs>
          <w:tab w:val="left" w:pos="8789"/>
        </w:tabs>
        <w:spacing w:before="0"/>
        <w:ind w:left="0" w:right="51" w:firstLine="0"/>
        <w:jc w:val="center"/>
        <w:rPr>
          <w:rFonts w:cs="Arial"/>
          <w:sz w:val="18"/>
          <w:szCs w:val="18"/>
        </w:rPr>
        <w:sectPr w:rsidR="00EB76A7" w:rsidRPr="00AC7545" w:rsidSect="00D6722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2240" w:h="15840" w:code="1"/>
          <w:pgMar w:top="1" w:right="2034" w:bottom="0" w:left="1588" w:header="510" w:footer="510" w:gutter="0"/>
          <w:cols w:space="720"/>
          <w:docGrid w:linePitch="272"/>
        </w:sectPr>
      </w:pPr>
    </w:p>
    <w:p w14:paraId="2A78A1A4" w14:textId="76502B38" w:rsidR="00EB76A7" w:rsidRDefault="00EB76A7" w:rsidP="00EB76A7">
      <w:pPr>
        <w:jc w:val="center"/>
        <w:rPr>
          <w:b/>
          <w:sz w:val="28"/>
          <w:szCs w:val="28"/>
        </w:rPr>
      </w:pPr>
      <w:r w:rsidRPr="00885869">
        <w:rPr>
          <w:b/>
          <w:sz w:val="28"/>
          <w:szCs w:val="28"/>
        </w:rPr>
        <w:lastRenderedPageBreak/>
        <w:t xml:space="preserve">    </w:t>
      </w:r>
      <w:r w:rsidRPr="00A8585B">
        <w:rPr>
          <w:b/>
          <w:sz w:val="28"/>
          <w:szCs w:val="28"/>
        </w:rPr>
        <w:t>NOTA TÉCNICA</w:t>
      </w:r>
    </w:p>
    <w:p w14:paraId="7C97021E" w14:textId="77777777" w:rsidR="00EB76A7" w:rsidRPr="00EB76A7" w:rsidRDefault="00EB76A7" w:rsidP="00EB76A7">
      <w:pPr>
        <w:jc w:val="center"/>
        <w:rPr>
          <w:b/>
          <w:sz w:val="20"/>
          <w:szCs w:val="20"/>
        </w:rPr>
      </w:pPr>
    </w:p>
    <w:p w14:paraId="40185CAE" w14:textId="77777777" w:rsidR="00C6515A" w:rsidRPr="004F04F0" w:rsidRDefault="00C6515A" w:rsidP="00372C6C">
      <w:pPr>
        <w:pStyle w:val="Profesin"/>
        <w:rPr>
          <w:b w:val="0"/>
        </w:rPr>
      </w:pPr>
      <w:r w:rsidRPr="0092783E">
        <w:t>ÍNDICE NACIONAL DE PRECIOS productor</w:t>
      </w:r>
    </w:p>
    <w:p w14:paraId="01A84DAA" w14:textId="2D0281F4" w:rsidR="00C6515A" w:rsidRPr="0092783E" w:rsidRDefault="00633B0E" w:rsidP="00C6515A">
      <w:pPr>
        <w:pStyle w:val="Profesin"/>
        <w:ind w:left="708" w:hanging="708"/>
      </w:pPr>
      <w:r>
        <w:t>DIC</w:t>
      </w:r>
      <w:r w:rsidR="00742B93">
        <w:t>IEM</w:t>
      </w:r>
      <w:r w:rsidR="004D5C5B">
        <w:t xml:space="preserve">BRE </w:t>
      </w:r>
      <w:r w:rsidR="00593F5D">
        <w:t>DE 201</w:t>
      </w:r>
      <w:r w:rsidR="007E5159">
        <w:t>9</w:t>
      </w:r>
    </w:p>
    <w:p w14:paraId="0DC6344F" w14:textId="0607963D" w:rsidR="0098436A" w:rsidRPr="00302483" w:rsidRDefault="0098436A" w:rsidP="00C963A9">
      <w:pPr>
        <w:autoSpaceDE w:val="0"/>
        <w:autoSpaceDN w:val="0"/>
        <w:adjustRightInd w:val="0"/>
        <w:spacing w:before="480"/>
        <w:rPr>
          <w:b/>
          <w:snapToGrid w:val="0"/>
          <w:u w:val="single"/>
        </w:rPr>
      </w:pPr>
      <w:bookmarkStart w:id="1" w:name="_Hlk21329855"/>
      <w:r w:rsidRPr="00302483">
        <w:rPr>
          <w:b/>
          <w:snapToGrid w:val="0"/>
          <w:u w:val="single"/>
        </w:rPr>
        <w:t>PRODUCCIÓN TOTAL</w:t>
      </w:r>
    </w:p>
    <w:bookmarkEnd w:id="1"/>
    <w:p w14:paraId="6D660402" w14:textId="7A23A5AC" w:rsidR="004D5C5B" w:rsidRDefault="00633B0E" w:rsidP="004D5C5B">
      <w:pPr>
        <w:pStyle w:val="n01"/>
        <w:keepLines w:val="0"/>
        <w:spacing w:before="360"/>
        <w:ind w:left="0" w:firstLine="0"/>
        <w:rPr>
          <w:rFonts w:ascii="Arial" w:hAnsi="Arial"/>
          <w:color w:val="auto"/>
        </w:rPr>
      </w:pPr>
      <w:r w:rsidRPr="00A242B6">
        <w:rPr>
          <w:rFonts w:ascii="Arial" w:hAnsi="Arial"/>
          <w:color w:val="auto"/>
        </w:rPr>
        <w:t>El INPP Total, incluyendo pet</w:t>
      </w:r>
      <w:r>
        <w:rPr>
          <w:rFonts w:ascii="Arial" w:hAnsi="Arial"/>
          <w:color w:val="auto"/>
        </w:rPr>
        <w:t>róleo, reportó durante diciembre</w:t>
      </w:r>
      <w:r w:rsidRPr="00A242B6">
        <w:rPr>
          <w:rFonts w:ascii="Arial" w:hAnsi="Arial"/>
          <w:color w:val="auto"/>
        </w:rPr>
        <w:t xml:space="preserve"> de 20</w:t>
      </w:r>
      <w:r>
        <w:rPr>
          <w:rFonts w:ascii="Arial" w:hAnsi="Arial"/>
          <w:color w:val="auto"/>
        </w:rPr>
        <w:t>19 un incremento mensual de 0.47% y anual de 1.01</w:t>
      </w:r>
      <w:r w:rsidRPr="00A242B6">
        <w:rPr>
          <w:rFonts w:ascii="Arial" w:hAnsi="Arial"/>
          <w:color w:val="auto"/>
        </w:rPr>
        <w:t xml:space="preserve"> por ciento. En el </w:t>
      </w:r>
      <w:r>
        <w:rPr>
          <w:rFonts w:ascii="Arial" w:hAnsi="Arial"/>
          <w:color w:val="auto"/>
        </w:rPr>
        <w:t>mismo mes de un año antes decreció (-)0.40%</w:t>
      </w:r>
      <w:r w:rsidRPr="00A242B6">
        <w:rPr>
          <w:rFonts w:ascii="Arial" w:hAnsi="Arial"/>
          <w:color w:val="auto"/>
        </w:rPr>
        <w:t xml:space="preserve"> a tasa mensual y </w:t>
      </w:r>
      <w:r>
        <w:rPr>
          <w:rFonts w:ascii="Arial" w:hAnsi="Arial"/>
          <w:color w:val="auto"/>
        </w:rPr>
        <w:t>aumentó 6.11%</w:t>
      </w:r>
      <w:r w:rsidRPr="00A242B6">
        <w:rPr>
          <w:rFonts w:ascii="Arial" w:hAnsi="Arial"/>
          <w:color w:val="auto"/>
        </w:rPr>
        <w:t xml:space="preserve"> </w:t>
      </w:r>
      <w:r w:rsidR="003D5B8A">
        <w:rPr>
          <w:rFonts w:ascii="Arial" w:hAnsi="Arial"/>
          <w:color w:val="auto"/>
        </w:rPr>
        <w:t xml:space="preserve">a tasa </w:t>
      </w:r>
      <w:r w:rsidRPr="00A242B6">
        <w:rPr>
          <w:rFonts w:ascii="Arial" w:hAnsi="Arial"/>
          <w:color w:val="auto"/>
        </w:rPr>
        <w:t>anua</w:t>
      </w:r>
      <w:r>
        <w:rPr>
          <w:rFonts w:ascii="Arial" w:hAnsi="Arial"/>
          <w:color w:val="auto"/>
        </w:rPr>
        <w:t>l</w:t>
      </w:r>
      <w:r w:rsidR="004D5C5B" w:rsidRPr="00CC582D">
        <w:rPr>
          <w:rFonts w:ascii="Arial" w:hAnsi="Arial"/>
          <w:color w:val="auto"/>
        </w:rPr>
        <w:t>.</w:t>
      </w:r>
    </w:p>
    <w:p w14:paraId="7DB4C0B3" w14:textId="77777777" w:rsidR="004D5C5B" w:rsidRPr="00EE234A" w:rsidRDefault="004D5C5B" w:rsidP="004D5C5B">
      <w:pPr>
        <w:pStyle w:val="n01"/>
        <w:keepLines w:val="0"/>
        <w:spacing w:before="480"/>
        <w:ind w:left="0" w:firstLine="0"/>
        <w:jc w:val="center"/>
        <w:rPr>
          <w:rFonts w:ascii="Arial" w:hAnsi="Arial"/>
          <w:color w:val="auto"/>
          <w:sz w:val="20"/>
        </w:rPr>
      </w:pPr>
      <w:r w:rsidRPr="00EE234A">
        <w:rPr>
          <w:rFonts w:ascii="Arial" w:hAnsi="Arial"/>
          <w:color w:val="auto"/>
          <w:sz w:val="20"/>
        </w:rPr>
        <w:t>Gráfica 1</w:t>
      </w:r>
    </w:p>
    <w:p w14:paraId="1A519C86" w14:textId="77777777" w:rsidR="004D5C5B" w:rsidRPr="00875DDC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ÍNDICE NACIONAL DE PRECIOS PRODUCTOR </w:t>
      </w:r>
    </w:p>
    <w:p w14:paraId="47EE8025" w14:textId="77777777" w:rsidR="004D5C5B" w:rsidRPr="00875DDC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>PRODUCCIÓN TOTAL, ACTIVIDADES PRIMARIAS, SECUNDARIAS Y TERCIARIAS,</w:t>
      </w:r>
    </w:p>
    <w:p w14:paraId="23B6DF83" w14:textId="20727477" w:rsidR="004D5C5B" w:rsidRPr="00801B18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DC48FE">
        <w:rPr>
          <w:b/>
          <w:snapToGrid w:val="0"/>
          <w:sz w:val="22"/>
          <w:szCs w:val="22"/>
        </w:rPr>
        <w:t>INCLUYENDO PETRÓLEO</w:t>
      </w:r>
      <w:r>
        <w:rPr>
          <w:b/>
          <w:snapToGrid w:val="0"/>
          <w:sz w:val="22"/>
          <w:szCs w:val="22"/>
        </w:rPr>
        <w:t xml:space="preserve">, DURANTE </w:t>
      </w:r>
      <w:r w:rsidR="00633B0E">
        <w:rPr>
          <w:b/>
          <w:snapToGrid w:val="0"/>
          <w:sz w:val="22"/>
          <w:szCs w:val="22"/>
        </w:rPr>
        <w:t>DIC</w:t>
      </w:r>
      <w:r w:rsidR="00A242B6">
        <w:rPr>
          <w:b/>
          <w:snapToGrid w:val="0"/>
          <w:sz w:val="22"/>
          <w:szCs w:val="22"/>
        </w:rPr>
        <w:t>IEM</w:t>
      </w:r>
      <w:r>
        <w:rPr>
          <w:b/>
          <w:snapToGrid w:val="0"/>
          <w:sz w:val="22"/>
          <w:szCs w:val="22"/>
        </w:rPr>
        <w:t>BRE</w:t>
      </w:r>
    </w:p>
    <w:p w14:paraId="39A976C9" w14:textId="054C1245" w:rsidR="004D5C5B" w:rsidRPr="00B55CC5" w:rsidRDefault="004D5C5B" w:rsidP="004D5C5B">
      <w:pPr>
        <w:widowControl w:val="0"/>
        <w:autoSpaceDE w:val="0"/>
        <w:autoSpaceDN w:val="0"/>
        <w:adjustRightInd w:val="0"/>
        <w:jc w:val="center"/>
        <w:rPr>
          <w:sz w:val="18"/>
        </w:rPr>
      </w:pPr>
      <w:r w:rsidRPr="0092783E">
        <w:rPr>
          <w:snapToGrid w:val="0"/>
          <w:color w:val="000000"/>
          <w:sz w:val="18"/>
          <w:szCs w:val="18"/>
        </w:rPr>
        <w:t>Variación porcentual anual</w:t>
      </w:r>
      <w:r>
        <w:rPr>
          <w:snapToGrid w:val="0"/>
          <w:color w:val="000000"/>
          <w:sz w:val="18"/>
          <w:szCs w:val="18"/>
        </w:rPr>
        <w:t xml:space="preserve"> durante </w:t>
      </w:r>
      <w:r w:rsidR="00633B0E">
        <w:rPr>
          <w:snapToGrid w:val="0"/>
          <w:color w:val="000000"/>
          <w:sz w:val="18"/>
          <w:szCs w:val="18"/>
        </w:rPr>
        <w:t>dic</w:t>
      </w:r>
      <w:r w:rsidR="00A242B6">
        <w:rPr>
          <w:snapToGrid w:val="0"/>
          <w:color w:val="000000"/>
          <w:sz w:val="18"/>
          <w:szCs w:val="18"/>
        </w:rPr>
        <w:t>iem</w:t>
      </w:r>
      <w:r>
        <w:rPr>
          <w:snapToGrid w:val="0"/>
          <w:color w:val="000000"/>
          <w:sz w:val="18"/>
          <w:szCs w:val="18"/>
        </w:rPr>
        <w:t xml:space="preserve">bre </w:t>
      </w:r>
      <w:r w:rsidRPr="0092783E">
        <w:rPr>
          <w:snapToGrid w:val="0"/>
          <w:color w:val="000000"/>
          <w:sz w:val="18"/>
          <w:szCs w:val="18"/>
        </w:rPr>
        <w:t>de los años que se indican</w:t>
      </w:r>
    </w:p>
    <w:p w14:paraId="353EE0D3" w14:textId="75E90FD3" w:rsidR="004D5C5B" w:rsidRDefault="0018496A" w:rsidP="004D5C5B">
      <w:pPr>
        <w:widowControl w:val="0"/>
        <w:autoSpaceDE w:val="0"/>
        <w:autoSpaceDN w:val="0"/>
        <w:adjustRightInd w:val="0"/>
        <w:jc w:val="center"/>
        <w:rPr>
          <w:snapToGrid w:val="0"/>
          <w:color w:val="000000"/>
          <w:sz w:val="18"/>
          <w:szCs w:val="18"/>
        </w:rPr>
      </w:pPr>
      <w:r>
        <w:rPr>
          <w:noProof/>
          <w:lang w:val="es-MX" w:eastAsia="es-MX"/>
        </w:rPr>
        <w:drawing>
          <wp:inline distT="0" distB="0" distL="0" distR="0" wp14:anchorId="5C8A6163" wp14:editId="05F8E01F">
            <wp:extent cx="5040000" cy="2880000"/>
            <wp:effectExtent l="0" t="0" r="27305" b="1587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843D665" w14:textId="65F11F30" w:rsidR="004D5C5B" w:rsidRDefault="00633B0E" w:rsidP="004D5C5B">
      <w:pPr>
        <w:pStyle w:val="n01"/>
        <w:keepLines w:val="0"/>
        <w:spacing w:before="360"/>
        <w:ind w:left="0" w:firstLine="0"/>
        <w:rPr>
          <w:rFonts w:ascii="Arial" w:hAnsi="Arial"/>
          <w:color w:val="auto"/>
        </w:rPr>
      </w:pPr>
      <w:r w:rsidRPr="00633B0E">
        <w:rPr>
          <w:rFonts w:ascii="Arial" w:hAnsi="Arial"/>
          <w:bCs/>
          <w:color w:val="auto"/>
        </w:rPr>
        <w:t>Por grupos de actividades económicas, los precios de las Actividades Primarias descendieron (</w:t>
      </w:r>
      <w:r>
        <w:rPr>
          <w:rFonts w:ascii="Arial" w:hAnsi="Arial"/>
          <w:bCs/>
          <w:color w:val="auto"/>
        </w:rPr>
        <w:noBreakHyphen/>
      </w:r>
      <w:r w:rsidRPr="00633B0E">
        <w:rPr>
          <w:rFonts w:ascii="Arial" w:hAnsi="Arial"/>
          <w:bCs/>
          <w:color w:val="auto"/>
        </w:rPr>
        <w:t>)1.09%, mientras que los de las Actividades Secundarias crecieron 0.40% y los de las Actividades Terciarias 0.85% a tasa mensual</w:t>
      </w:r>
      <w:r w:rsidR="004D5C5B" w:rsidRPr="00A2009F">
        <w:rPr>
          <w:rFonts w:ascii="Arial" w:hAnsi="Arial"/>
          <w:color w:val="auto"/>
        </w:rPr>
        <w:t>.</w:t>
      </w:r>
    </w:p>
    <w:p w14:paraId="17A93E49" w14:textId="77777777" w:rsidR="00E601B1" w:rsidRDefault="00E601B1" w:rsidP="004D5C5B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</w:p>
    <w:p w14:paraId="3FB0F5A4" w14:textId="77777777" w:rsidR="00E601B1" w:rsidRDefault="00E601B1" w:rsidP="004D5C5B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</w:p>
    <w:p w14:paraId="6787958B" w14:textId="52C737B5" w:rsidR="004D5C5B" w:rsidRPr="00A51DE4" w:rsidRDefault="004D5C5B" w:rsidP="004D5C5B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 xml:space="preserve">Cuadro </w:t>
      </w:r>
      <w:r w:rsidR="00AC59C9">
        <w:rPr>
          <w:snapToGrid w:val="0"/>
          <w:sz w:val="20"/>
          <w:szCs w:val="20"/>
        </w:rPr>
        <w:t>3</w:t>
      </w:r>
    </w:p>
    <w:p w14:paraId="5780D7BA" w14:textId="77777777" w:rsidR="004D5C5B" w:rsidRPr="00875DDC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ÍNDICE NACIONAL DE PRECIOS PRODUCTOR </w:t>
      </w:r>
    </w:p>
    <w:p w14:paraId="04E0D96F" w14:textId="77777777" w:rsidR="004D5C5B" w:rsidRPr="00875DDC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>MERCANCÍAS Y SERVICIOS INTERMEDIOS, FINALES Y PRODUCCIÓN TOTAL,</w:t>
      </w:r>
    </w:p>
    <w:p w14:paraId="41022927" w14:textId="1B411F71" w:rsidR="004D5C5B" w:rsidRPr="00875DDC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DC48FE">
        <w:rPr>
          <w:b/>
          <w:snapToGrid w:val="0"/>
          <w:sz w:val="22"/>
          <w:szCs w:val="22"/>
        </w:rPr>
        <w:t>INCLUYENDO PETRÓLEO</w:t>
      </w:r>
      <w:r w:rsidRPr="00875DDC">
        <w:rPr>
          <w:b/>
          <w:snapToGrid w:val="0"/>
          <w:sz w:val="22"/>
          <w:szCs w:val="22"/>
        </w:rPr>
        <w:t xml:space="preserve">, DURANTE </w:t>
      </w:r>
      <w:r w:rsidR="00633B0E">
        <w:rPr>
          <w:b/>
          <w:snapToGrid w:val="0"/>
          <w:sz w:val="22"/>
          <w:szCs w:val="22"/>
        </w:rPr>
        <w:t>DIC</w:t>
      </w:r>
      <w:r w:rsidR="00A242B6">
        <w:rPr>
          <w:b/>
          <w:snapToGrid w:val="0"/>
          <w:sz w:val="22"/>
          <w:szCs w:val="22"/>
        </w:rPr>
        <w:t>IEM</w:t>
      </w:r>
      <w:r w:rsidRPr="00162D45">
        <w:rPr>
          <w:b/>
          <w:snapToGrid w:val="0"/>
          <w:sz w:val="22"/>
          <w:szCs w:val="22"/>
        </w:rPr>
        <w:t>BRE</w:t>
      </w:r>
      <w:r>
        <w:rPr>
          <w:b/>
          <w:snapToGrid w:val="0"/>
          <w:sz w:val="22"/>
          <w:szCs w:val="22"/>
        </w:rPr>
        <w:t xml:space="preserve"> DE 2019</w:t>
      </w:r>
    </w:p>
    <w:p w14:paraId="0AF18EFE" w14:textId="77777777" w:rsidR="004D5C5B" w:rsidRPr="00910135" w:rsidRDefault="004D5C5B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22"/>
          <w:szCs w:val="22"/>
        </w:rPr>
      </w:pPr>
      <w:r w:rsidRPr="00910135">
        <w:rPr>
          <w:snapToGrid w:val="0"/>
          <w:sz w:val="22"/>
          <w:szCs w:val="22"/>
        </w:rPr>
        <w:t>Clasificación por origen</w:t>
      </w:r>
    </w:p>
    <w:p w14:paraId="7007673C" w14:textId="77777777" w:rsidR="004D5C5B" w:rsidRDefault="004D5C5B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Variación porcentual</w:t>
      </w:r>
    </w:p>
    <w:tbl>
      <w:tblPr>
        <w:tblW w:w="4986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1"/>
        <w:gridCol w:w="598"/>
        <w:gridCol w:w="599"/>
        <w:gridCol w:w="599"/>
        <w:gridCol w:w="599"/>
        <w:gridCol w:w="598"/>
        <w:gridCol w:w="599"/>
        <w:gridCol w:w="599"/>
        <w:gridCol w:w="599"/>
        <w:gridCol w:w="599"/>
      </w:tblGrid>
      <w:tr w:rsidR="007263DF" w:rsidRPr="00841586" w14:paraId="438DD374" w14:textId="77777777" w:rsidTr="007263DF">
        <w:trPr>
          <w:trHeight w:val="255"/>
          <w:jc w:val="center"/>
        </w:trPr>
        <w:tc>
          <w:tcPr>
            <w:tcW w:w="3969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F09D689" w14:textId="77777777" w:rsidR="007263DF" w:rsidRPr="00841586" w:rsidRDefault="007263DF" w:rsidP="007263DF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4"/>
                <w:lang w:eastAsia="es-MX"/>
              </w:rPr>
            </w:pPr>
            <w:bookmarkStart w:id="2" w:name="_Hlk2757803"/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Actividad económica</w:t>
            </w:r>
          </w:p>
        </w:tc>
        <w:tc>
          <w:tcPr>
            <w:tcW w:w="1796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777F9D8" w14:textId="77777777" w:rsidR="007263DF" w:rsidRPr="00841586" w:rsidRDefault="007263DF" w:rsidP="007263DF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Variación mensual</w:t>
            </w:r>
          </w:p>
        </w:tc>
        <w:tc>
          <w:tcPr>
            <w:tcW w:w="1796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0B8B686" w14:textId="77777777" w:rsidR="007263DF" w:rsidRPr="00841586" w:rsidRDefault="007263DF" w:rsidP="007263DF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Variación anual</w:t>
            </w:r>
            <w:r>
              <w:rPr>
                <w:bCs/>
                <w:color w:val="000000"/>
                <w:sz w:val="16"/>
                <w:szCs w:val="14"/>
                <w:lang w:eastAsia="es-MX"/>
              </w:rPr>
              <w:t xml:space="preserve"> </w:t>
            </w:r>
            <w:r w:rsidRPr="003A67B2">
              <w:rPr>
                <w:bCs/>
                <w:color w:val="000000"/>
                <w:sz w:val="16"/>
                <w:szCs w:val="14"/>
                <w:vertAlign w:val="superscript"/>
                <w:lang w:eastAsia="es-MX"/>
              </w:rPr>
              <w:t>1/</w:t>
            </w:r>
          </w:p>
        </w:tc>
        <w:tc>
          <w:tcPr>
            <w:tcW w:w="1797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93F1177" w14:textId="77777777" w:rsidR="007263DF" w:rsidRPr="00841586" w:rsidRDefault="007263DF" w:rsidP="007263DF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Incidencia mensual</w:t>
            </w:r>
            <w:r w:rsidRPr="00841586">
              <w:rPr>
                <w:bCs/>
                <w:color w:val="000000"/>
                <w:sz w:val="16"/>
                <w:szCs w:val="14"/>
                <w:vertAlign w:val="superscript"/>
                <w:lang w:eastAsia="es-MX"/>
              </w:rPr>
              <w:t xml:space="preserve"> </w:t>
            </w:r>
            <w:r>
              <w:rPr>
                <w:bCs/>
                <w:color w:val="000000"/>
                <w:position w:val="-1"/>
                <w:sz w:val="16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bCs/>
                <w:color w:val="000000"/>
                <w:position w:val="-1"/>
                <w:sz w:val="16"/>
                <w:szCs w:val="14"/>
                <w:vertAlign w:val="superscript"/>
                <w:lang w:eastAsia="es-MX"/>
              </w:rPr>
              <w:t>/</w:t>
            </w:r>
          </w:p>
        </w:tc>
      </w:tr>
      <w:tr w:rsidR="007263DF" w:rsidRPr="00841586" w14:paraId="658B9077" w14:textId="77777777" w:rsidTr="007263DF">
        <w:trPr>
          <w:trHeight w:val="397"/>
          <w:jc w:val="center"/>
        </w:trPr>
        <w:tc>
          <w:tcPr>
            <w:tcW w:w="3969" w:type="dxa"/>
            <w:vMerge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32F5DF16" w14:textId="77777777" w:rsidR="007263DF" w:rsidRPr="00841586" w:rsidRDefault="007263DF" w:rsidP="007263DF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598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1D7C0F95" w14:textId="77777777" w:rsidR="007263DF" w:rsidRPr="00841586" w:rsidRDefault="007263DF" w:rsidP="007263DF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proofErr w:type="spellStart"/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Inter-medios</w:t>
            </w:r>
            <w:proofErr w:type="spellEnd"/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B6E90A2" w14:textId="77777777" w:rsidR="007263DF" w:rsidRPr="00841586" w:rsidRDefault="007263DF" w:rsidP="007263DF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BAF77F6" w14:textId="77777777" w:rsidR="007263DF" w:rsidRPr="00841586" w:rsidRDefault="007263DF" w:rsidP="007263DF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Total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599DB6E" w14:textId="77777777" w:rsidR="007263DF" w:rsidRPr="00841586" w:rsidRDefault="007263DF" w:rsidP="007263DF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proofErr w:type="spellStart"/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Inter-medios</w:t>
            </w:r>
            <w:proofErr w:type="spellEnd"/>
          </w:p>
        </w:tc>
        <w:tc>
          <w:tcPr>
            <w:tcW w:w="598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6A83D43D" w14:textId="77777777" w:rsidR="007263DF" w:rsidRPr="00841586" w:rsidRDefault="007263DF" w:rsidP="007263DF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E721AB9" w14:textId="77777777" w:rsidR="007263DF" w:rsidRPr="00841586" w:rsidRDefault="007263DF" w:rsidP="007263DF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Total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A7820FE" w14:textId="77777777" w:rsidR="007263DF" w:rsidRPr="00841586" w:rsidRDefault="007263DF" w:rsidP="007263DF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proofErr w:type="spellStart"/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Inter-medios</w:t>
            </w:r>
            <w:proofErr w:type="spellEnd"/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D969ECB" w14:textId="77777777" w:rsidR="007263DF" w:rsidRPr="00841586" w:rsidRDefault="007263DF" w:rsidP="007263DF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656A884" w14:textId="77777777" w:rsidR="007263DF" w:rsidRPr="00841586" w:rsidRDefault="007263DF" w:rsidP="007263DF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Total</w:t>
            </w:r>
          </w:p>
        </w:tc>
      </w:tr>
      <w:tr w:rsidR="007263DF" w:rsidRPr="00841586" w14:paraId="2443E175" w14:textId="77777777" w:rsidTr="007263DF">
        <w:trPr>
          <w:trHeight w:val="198"/>
          <w:jc w:val="center"/>
        </w:trPr>
        <w:tc>
          <w:tcPr>
            <w:tcW w:w="3969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36320E22" w14:textId="77777777" w:rsidR="007263DF" w:rsidRPr="00841586" w:rsidRDefault="007263DF" w:rsidP="006A0B52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Índice General</w:t>
            </w:r>
          </w:p>
        </w:tc>
        <w:tc>
          <w:tcPr>
            <w:tcW w:w="598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954ED38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0.53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A1D4009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0.45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F2E3FB6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0.47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C4EE390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-0.76</w:t>
            </w:r>
          </w:p>
        </w:tc>
        <w:tc>
          <w:tcPr>
            <w:tcW w:w="598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97CD8DE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1.71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598700D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1.01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40F6D6E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0.534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EE5CC1C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0.449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0D41C06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0.473</w:t>
            </w:r>
          </w:p>
        </w:tc>
      </w:tr>
      <w:tr w:rsidR="007263DF" w:rsidRPr="00841586" w14:paraId="7C80F556" w14:textId="77777777" w:rsidTr="007263DF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5B2CFFB9" w14:textId="77777777" w:rsidR="007263DF" w:rsidRPr="00841586" w:rsidRDefault="007263DF" w:rsidP="006A0B52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85B3B37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-1.46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EFB931C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-0.64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44762C0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-1.09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1A447D4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-4.43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6644EF5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-3.92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135D6A9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-4.22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978DA13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-0.145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C52EC16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-0.020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437D205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-0.055</w:t>
            </w:r>
          </w:p>
        </w:tc>
      </w:tr>
      <w:tr w:rsidR="007263DF" w:rsidRPr="000556C8" w14:paraId="37ED2842" w14:textId="77777777" w:rsidTr="007263DF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7A50D72E" w14:textId="77777777" w:rsidR="007263DF" w:rsidRPr="000556C8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0556C8">
              <w:rPr>
                <w:color w:val="000000"/>
                <w:sz w:val="14"/>
                <w:szCs w:val="14"/>
                <w:lang w:eastAsia="es-MX"/>
              </w:rPr>
              <w:t>Agricultura, cría y explotación de animales, aprovechamiento forestal, pesca y caza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A5BF221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-1.46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4649D8E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-0.64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2FD0197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-1.09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F32CFC0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-4.43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B58E70C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-3.92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CA47938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-4.22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CCB4C96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-0.145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E45D7E8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-0.020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878A8B6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-0.055</w:t>
            </w:r>
          </w:p>
        </w:tc>
      </w:tr>
      <w:tr w:rsidR="007263DF" w:rsidRPr="00841586" w14:paraId="3609BE08" w14:textId="77777777" w:rsidTr="007263DF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02E3329" w14:textId="77777777" w:rsidR="007263DF" w:rsidRPr="00841586" w:rsidRDefault="007263DF" w:rsidP="006A0B52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secundarias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76D74CD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0.89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D26AC33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0.23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FA8DE32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0.40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C60EA72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-1.52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D0EFFCA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0.98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377C333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0.35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48834B3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0.493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85A8136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0.144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31BA159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0.241</w:t>
            </w:r>
          </w:p>
        </w:tc>
      </w:tr>
      <w:tr w:rsidR="007263DF" w:rsidRPr="00841586" w14:paraId="6FC06A4C" w14:textId="77777777" w:rsidTr="007263DF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ECC058F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3FE11D1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4.37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4FE7B15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5.24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1C4ADA5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4.78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14664B1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-1.24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491944D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0.55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FF2F1B7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-0.27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62FD11C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0.351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375C84E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0.145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8924DD4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0.202</w:t>
            </w:r>
          </w:p>
        </w:tc>
      </w:tr>
      <w:tr w:rsidR="007263DF" w:rsidRPr="00841586" w14:paraId="0FFC28E7" w14:textId="77777777" w:rsidTr="007263DF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43BACCDC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051F972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3DB8F57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916B912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7C6D7C9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2.63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250F13F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7.53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643AC58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1.64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D377720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3E1C138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6BE5CD5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0.001</w:t>
            </w:r>
          </w:p>
        </w:tc>
      </w:tr>
      <w:tr w:rsidR="007263DF" w:rsidRPr="00841586" w14:paraId="0BABE66F" w14:textId="77777777" w:rsidTr="007263DF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7B9F15F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Construcción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3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36D9FFB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F9F2B2F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-0.22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848A375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-0.22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5B3A33C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78A0591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-0.05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504848A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-0.05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95D5529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C98D41F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-0.026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E0E7503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-0.019</w:t>
            </w:r>
          </w:p>
        </w:tc>
      </w:tr>
      <w:tr w:rsidR="007263DF" w:rsidRPr="00841586" w14:paraId="6EB05E81" w14:textId="77777777" w:rsidTr="007263DF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CB3EAFE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Industrias manufactureras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D4AF4BA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0.35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F9B7756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A3DEA25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0.13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44C675B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-2.12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225E6B3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1.22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310364C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0.40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FFFD035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0.142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3E36FD8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0.025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746B590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0.057</w:t>
            </w:r>
          </w:p>
        </w:tc>
      </w:tr>
      <w:tr w:rsidR="007263DF" w:rsidRPr="00841586" w14:paraId="541791B4" w14:textId="77777777" w:rsidTr="007263DF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F266B2D" w14:textId="77777777" w:rsidR="007263DF" w:rsidRPr="00841586" w:rsidRDefault="007263DF" w:rsidP="006A0B52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FEAA856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0.53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848E958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0.97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02CC9C8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0.85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145DE50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1.89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06E890A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3.56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B8C26A4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3.08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AB32B89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0.186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699E4F6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0.326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8F18211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E29F4">
              <w:rPr>
                <w:b/>
                <w:bCs/>
                <w:color w:val="000000"/>
                <w:sz w:val="14"/>
                <w:szCs w:val="14"/>
              </w:rPr>
              <w:t>0.287</w:t>
            </w:r>
          </w:p>
        </w:tc>
      </w:tr>
      <w:tr w:rsidR="007263DF" w:rsidRPr="00841586" w14:paraId="440E0204" w14:textId="77777777" w:rsidTr="007263DF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73D83D4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Transportes, correos y almacenamiento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DF722E5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1.98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D02A4F4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2.76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97EDE90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2.58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32CFD73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2.60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003F508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3.44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2DBD5A0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3.24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69F2AED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0.140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33E988F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0.252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36F68A2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0.221</w:t>
            </w:r>
          </w:p>
        </w:tc>
      </w:tr>
      <w:tr w:rsidR="007263DF" w:rsidRPr="00841586" w14:paraId="4477D90D" w14:textId="77777777" w:rsidTr="007263DF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8703442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Información en medios masivos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391BBE4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-0.03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8E1F397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-0.04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F4AD8ED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-0.03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570B352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0.94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F9C259C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1.97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45B9CD2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1.60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99C2B9B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-0.001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741DB4E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-0.001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487453C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-0.001</w:t>
            </w:r>
          </w:p>
        </w:tc>
      </w:tr>
      <w:tr w:rsidR="007263DF" w:rsidRPr="00841586" w14:paraId="127D0129" w14:textId="77777777" w:rsidTr="007263DF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44CEA1C9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Servicios inmobiliarios y de alquiler de bienes muebles e intangibles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6218299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E9BF49D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0.20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003D406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0.18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DE9AB5D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1.05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860100A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2.82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8540FD8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2.43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BF0C4DB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EBCFB45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0.015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3006DB2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0.012</w:t>
            </w:r>
          </w:p>
        </w:tc>
      </w:tr>
      <w:tr w:rsidR="007263DF" w:rsidRPr="00841586" w14:paraId="0619FE81" w14:textId="77777777" w:rsidTr="007263DF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0A23DE9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Servicios profesionales, científicos y técnicos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B2E0071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-0.01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ED3BF00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0.22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C533592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F3B0252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1.78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5D4ED4A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4.30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4A00022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2.54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931E06F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-0.001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97BD21F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E38DA43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0.001</w:t>
            </w:r>
          </w:p>
        </w:tc>
      </w:tr>
      <w:tr w:rsidR="007263DF" w:rsidRPr="00841586" w14:paraId="4E04F17C" w14:textId="77777777" w:rsidTr="007263DF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2E455D40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de apoyo a los negocios y manejo de </w:t>
            </w:r>
            <w:r>
              <w:rPr>
                <w:color w:val="000000"/>
                <w:sz w:val="14"/>
                <w:szCs w:val="14"/>
                <w:lang w:eastAsia="es-MX"/>
              </w:rPr>
              <w:t xml:space="preserve">residuos y </w:t>
            </w:r>
            <w:r w:rsidRPr="00841586">
              <w:rPr>
                <w:color w:val="000000"/>
                <w:sz w:val="14"/>
                <w:szCs w:val="14"/>
                <w:lang w:eastAsia="es-MX"/>
              </w:rPr>
              <w:t>desechos</w:t>
            </w:r>
            <w:r>
              <w:rPr>
                <w:color w:val="000000"/>
                <w:sz w:val="14"/>
                <w:szCs w:val="14"/>
                <w:lang w:eastAsia="es-MX"/>
              </w:rPr>
              <w:t>,</w:t>
            </w: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 y servicios de remediación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617378B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0.22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3BA9A6D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5.60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8C313A7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0.50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ED5AF29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2.19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6AD61EE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-0.20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492BD7B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1.71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C7BDF3D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0.022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73012E8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0.012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A522FEA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0.015</w:t>
            </w:r>
          </w:p>
        </w:tc>
      </w:tr>
      <w:tr w:rsidR="007263DF" w:rsidRPr="00841586" w14:paraId="7140655D" w14:textId="77777777" w:rsidTr="007263DF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EB0F4D8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educativos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3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5ADD14B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8430763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E7F0BFA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AFB3356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1ED48F3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4.87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71482E6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4.87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8EE6542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CAF5531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D6405D4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0.000</w:t>
            </w:r>
          </w:p>
        </w:tc>
      </w:tr>
      <w:tr w:rsidR="007263DF" w:rsidRPr="00841586" w14:paraId="2C854FF1" w14:textId="77777777" w:rsidTr="007263DF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E7D8856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de salud y de asistencia social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3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0E42648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B9D663C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0.18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067C99D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0.18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8AE6042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4AF7DBE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4.11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B77E3F4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4.11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170B9EC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C9941A4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0.008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E77FF2E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0.006</w:t>
            </w:r>
          </w:p>
        </w:tc>
      </w:tr>
      <w:tr w:rsidR="007263DF" w:rsidRPr="00841586" w14:paraId="44D87E73" w14:textId="77777777" w:rsidTr="007263DF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1158AE4A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de esparcimiento culturales y deportivos, y otros servicios recreativos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3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2230947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527ABB4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0.32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DF2FA19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0.32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D716587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250BAB7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5.64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E17F40C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5.64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7FA23B0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237DAAC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3CCDA1D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0.001</w:t>
            </w:r>
          </w:p>
        </w:tc>
      </w:tr>
      <w:tr w:rsidR="007263DF" w:rsidRPr="00841586" w14:paraId="3EF79FA9" w14:textId="77777777" w:rsidTr="007263DF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4077DB8B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Servicios de alojamiento temporal y de preparación de alimentos y bebidas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12E2E33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1.56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3AF3809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1.08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405A57C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1.14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7AA5566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2.13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C9AEB3E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3.39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E3F8469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3.19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5C796A5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0.019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4EB245E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0.034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BDED754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0.030</w:t>
            </w:r>
          </w:p>
        </w:tc>
      </w:tr>
      <w:tr w:rsidR="007263DF" w:rsidRPr="00841586" w14:paraId="75B6DD7B" w14:textId="77777777" w:rsidTr="007263DF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3CB4F0AF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Otros servicios excepto actividades gubernamentales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4823EB2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0.16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3ABF355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0.21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6A2ADFD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0.19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9F99FE5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2.17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877FDFE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4.46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E57BF09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3.56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74873DE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191DCF3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3D60CD3" w14:textId="77777777" w:rsidR="007263DF" w:rsidRPr="000E29F4" w:rsidRDefault="007263DF" w:rsidP="007263D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E29F4">
              <w:rPr>
                <w:bCs/>
                <w:color w:val="000000"/>
                <w:sz w:val="14"/>
                <w:szCs w:val="14"/>
              </w:rPr>
              <w:t>0.003</w:t>
            </w:r>
          </w:p>
        </w:tc>
      </w:tr>
    </w:tbl>
    <w:bookmarkEnd w:id="2"/>
    <w:p w14:paraId="23C0048E" w14:textId="43FEBF9E" w:rsidR="00EB5FF4" w:rsidRPr="00F25470" w:rsidRDefault="00EB5FF4" w:rsidP="00633B0E">
      <w:pPr>
        <w:autoSpaceDE w:val="0"/>
        <w:autoSpaceDN w:val="0"/>
        <w:adjustRightInd w:val="0"/>
        <w:ind w:left="392" w:right="113" w:hanging="168"/>
        <w:rPr>
          <w:sz w:val="14"/>
          <w:szCs w:val="14"/>
        </w:rPr>
      </w:pPr>
      <w:r w:rsidRPr="00F25470">
        <w:rPr>
          <w:sz w:val="16"/>
          <w:szCs w:val="14"/>
          <w:vertAlign w:val="superscript"/>
        </w:rPr>
        <w:t>1/</w:t>
      </w:r>
      <w:r>
        <w:rPr>
          <w:sz w:val="16"/>
          <w:szCs w:val="14"/>
          <w:vertAlign w:val="superscript"/>
        </w:rPr>
        <w:tab/>
      </w:r>
      <w:r w:rsidR="00633B0E" w:rsidRPr="00F25470">
        <w:rPr>
          <w:sz w:val="14"/>
          <w:szCs w:val="14"/>
        </w:rPr>
        <w:t xml:space="preserve">Las variaciones anuales durante el primer año del INPP base julio </w:t>
      </w:r>
      <w:r w:rsidR="00633B0E">
        <w:rPr>
          <w:sz w:val="14"/>
          <w:szCs w:val="14"/>
        </w:rPr>
        <w:t xml:space="preserve">de </w:t>
      </w:r>
      <w:r w:rsidR="00633B0E" w:rsidRPr="00F25470">
        <w:rPr>
          <w:sz w:val="14"/>
          <w:szCs w:val="14"/>
        </w:rPr>
        <w:t>2019 se continuarán comparando con el índice de la base anterior</w:t>
      </w:r>
      <w:r>
        <w:rPr>
          <w:sz w:val="14"/>
          <w:szCs w:val="14"/>
        </w:rPr>
        <w:t>.</w:t>
      </w:r>
    </w:p>
    <w:p w14:paraId="187B6F84" w14:textId="77777777" w:rsidR="00EB5FF4" w:rsidRPr="003F5E65" w:rsidRDefault="00EB5FF4" w:rsidP="0092615A">
      <w:pPr>
        <w:autoSpaceDE w:val="0"/>
        <w:autoSpaceDN w:val="0"/>
        <w:adjustRightInd w:val="0"/>
        <w:ind w:left="392" w:right="113" w:hanging="168"/>
        <w:rPr>
          <w:sz w:val="14"/>
          <w:szCs w:val="14"/>
        </w:rPr>
      </w:pPr>
      <w:r>
        <w:rPr>
          <w:sz w:val="16"/>
          <w:szCs w:val="14"/>
          <w:vertAlign w:val="superscript"/>
        </w:rPr>
        <w:t>2</w:t>
      </w:r>
      <w:r w:rsidRPr="003F5E65">
        <w:rPr>
          <w:sz w:val="16"/>
          <w:szCs w:val="14"/>
          <w:vertAlign w:val="superscript"/>
        </w:rPr>
        <w:t>/</w:t>
      </w:r>
      <w:r w:rsidRPr="003F5E65">
        <w:rPr>
          <w:sz w:val="14"/>
          <w:szCs w:val="14"/>
          <w:vertAlign w:val="superscript"/>
        </w:rPr>
        <w:tab/>
      </w:r>
      <w:r w:rsidRPr="00395990">
        <w:rPr>
          <w:sz w:val="14"/>
          <w:szCs w:val="14"/>
        </w:rPr>
        <w:t>La incidencia se refiere a la contribución en puntos porcentuales de cada componente del INPP en la variación porcentual del índice general. Ésta se calcula utilizando los ponderadores de cada subíndice, así como los precios relativos y sus respectivas variaciones. En ciertos casos, la suma de los componentes de algún grupo de subíndices puede tener alguna discrepancia por efectos de redondeo</w:t>
      </w:r>
      <w:r w:rsidRPr="003F5E65">
        <w:rPr>
          <w:sz w:val="14"/>
          <w:szCs w:val="14"/>
        </w:rPr>
        <w:t>.</w:t>
      </w:r>
    </w:p>
    <w:p w14:paraId="5271C9B5" w14:textId="77777777" w:rsidR="00EB5FF4" w:rsidRPr="003F5E65" w:rsidRDefault="00EB5FF4" w:rsidP="0092615A">
      <w:pPr>
        <w:autoSpaceDE w:val="0"/>
        <w:autoSpaceDN w:val="0"/>
        <w:adjustRightInd w:val="0"/>
        <w:ind w:left="392" w:right="113" w:hanging="168"/>
        <w:rPr>
          <w:sz w:val="14"/>
          <w:szCs w:val="14"/>
        </w:rPr>
      </w:pPr>
      <w:r>
        <w:rPr>
          <w:sz w:val="16"/>
          <w:szCs w:val="14"/>
          <w:vertAlign w:val="superscript"/>
        </w:rPr>
        <w:t>3</w:t>
      </w:r>
      <w:r w:rsidRPr="003F5E65">
        <w:rPr>
          <w:sz w:val="16"/>
          <w:szCs w:val="14"/>
          <w:vertAlign w:val="superscript"/>
        </w:rPr>
        <w:t>/</w:t>
      </w:r>
      <w:r w:rsidRPr="003F5E65">
        <w:rPr>
          <w:sz w:val="14"/>
          <w:szCs w:val="14"/>
        </w:rPr>
        <w:tab/>
      </w:r>
      <w:r w:rsidRPr="00395990">
        <w:rPr>
          <w:sz w:val="14"/>
          <w:szCs w:val="14"/>
        </w:rPr>
        <w:t>Estas actividades no registran información ya que no generan bienes de uso intermedio</w:t>
      </w:r>
      <w:r w:rsidRPr="003F5E65">
        <w:rPr>
          <w:sz w:val="14"/>
          <w:szCs w:val="14"/>
        </w:rPr>
        <w:t>.</w:t>
      </w:r>
    </w:p>
    <w:p w14:paraId="50FF9A70" w14:textId="4591560E" w:rsidR="00AC59C9" w:rsidRDefault="00633B0E" w:rsidP="00AC59C9">
      <w:pPr>
        <w:widowControl w:val="0"/>
        <w:autoSpaceDE w:val="0"/>
        <w:autoSpaceDN w:val="0"/>
        <w:adjustRightInd w:val="0"/>
        <w:spacing w:before="360"/>
      </w:pPr>
      <w:r w:rsidRPr="00A242B6">
        <w:t xml:space="preserve">Por tipo de bien, los </w:t>
      </w:r>
      <w:r w:rsidRPr="00A242B6">
        <w:rPr>
          <w:bCs/>
        </w:rPr>
        <w:t>precios</w:t>
      </w:r>
      <w:r w:rsidRPr="00A242B6">
        <w:t xml:space="preserve"> de las Mercancías y Servicios de Uso Intermedio, incluyendo petróleo, mostr</w:t>
      </w:r>
      <w:r>
        <w:t>aron un aumento mensual de 0.53%,</w:t>
      </w:r>
      <w:r w:rsidRPr="00A242B6">
        <w:t xml:space="preserve"> ubicando su tasa anual en </w:t>
      </w:r>
      <w:r>
        <w:t>(</w:t>
      </w:r>
      <w:r>
        <w:noBreakHyphen/>
        <w:t>)0.76</w:t>
      </w:r>
      <w:r w:rsidRPr="00A242B6">
        <w:t xml:space="preserve"> por ciento. Por su parte, los precios de las Mercancías y S</w:t>
      </w:r>
      <w:r>
        <w:t xml:space="preserve">ervicios Finales </w:t>
      </w:r>
      <w:r w:rsidR="003D5B8A">
        <w:t>fuero</w:t>
      </w:r>
      <w:r>
        <w:t xml:space="preserve">n </w:t>
      </w:r>
      <w:r w:rsidR="003D5B8A">
        <w:t xml:space="preserve">mayores en </w:t>
      </w:r>
      <w:r>
        <w:t xml:space="preserve">0.45% mensual y </w:t>
      </w:r>
      <w:r w:rsidR="003D5B8A">
        <w:t xml:space="preserve">en </w:t>
      </w:r>
      <w:r>
        <w:t>1.71%</w:t>
      </w:r>
      <w:r w:rsidRPr="00A242B6">
        <w:t xml:space="preserve"> anual (véase cuadro 3)</w:t>
      </w:r>
      <w:r w:rsidR="00AC59C9" w:rsidRPr="003B15EF">
        <w:t>.</w:t>
      </w:r>
    </w:p>
    <w:p w14:paraId="39EB7481" w14:textId="77777777" w:rsidR="00C963A9" w:rsidRDefault="00C963A9">
      <w:pPr>
        <w:jc w:val="left"/>
        <w:rPr>
          <w:snapToGrid w:val="0"/>
          <w:sz w:val="20"/>
          <w:szCs w:val="20"/>
        </w:rPr>
      </w:pPr>
      <w:bookmarkStart w:id="3" w:name="OLE_LINK1"/>
      <w:r>
        <w:rPr>
          <w:snapToGrid w:val="0"/>
          <w:sz w:val="20"/>
          <w:szCs w:val="20"/>
        </w:rPr>
        <w:br w:type="page"/>
      </w:r>
    </w:p>
    <w:p w14:paraId="6BCAA640" w14:textId="07AE0466" w:rsidR="004D5C5B" w:rsidRPr="009028F8" w:rsidRDefault="004D5C5B" w:rsidP="00EB5FF4">
      <w:pPr>
        <w:widowControl w:val="0"/>
        <w:autoSpaceDE w:val="0"/>
        <w:autoSpaceDN w:val="0"/>
        <w:adjustRightInd w:val="0"/>
        <w:spacing w:before="360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 xml:space="preserve">Gráfica </w:t>
      </w:r>
      <w:r w:rsidR="00AC59C9">
        <w:rPr>
          <w:snapToGrid w:val="0"/>
          <w:sz w:val="20"/>
          <w:szCs w:val="20"/>
        </w:rPr>
        <w:t>2</w:t>
      </w:r>
    </w:p>
    <w:p w14:paraId="5858D830" w14:textId="77777777" w:rsidR="004D5C5B" w:rsidRPr="00875DDC" w:rsidRDefault="004D5C5B" w:rsidP="00EB5FF4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ÍNDICE NACIONAL DE PRECIOS PRODUCTOR </w:t>
      </w:r>
    </w:p>
    <w:p w14:paraId="636A9BDA" w14:textId="77777777" w:rsidR="004D5C5B" w:rsidRPr="00875DDC" w:rsidRDefault="004D5C5B" w:rsidP="00EB5FF4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>MERCANCÍAS Y SERVICIOS INTERMEDIOS, FINALES Y PRODUCCIÓN TOTAL,</w:t>
      </w:r>
    </w:p>
    <w:p w14:paraId="0BE9E20D" w14:textId="44C643A8" w:rsidR="004D5C5B" w:rsidRPr="00875DDC" w:rsidRDefault="004D5C5B" w:rsidP="00EB5FF4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5165A7">
        <w:rPr>
          <w:b/>
          <w:snapToGrid w:val="0"/>
          <w:sz w:val="22"/>
          <w:szCs w:val="22"/>
        </w:rPr>
        <w:t>INCLUYENDO PETRÓLEO</w:t>
      </w:r>
      <w:r w:rsidRPr="00875DDC">
        <w:rPr>
          <w:b/>
          <w:snapToGrid w:val="0"/>
          <w:sz w:val="22"/>
          <w:szCs w:val="22"/>
        </w:rPr>
        <w:t xml:space="preserve">, </w:t>
      </w:r>
      <w:r>
        <w:rPr>
          <w:b/>
          <w:snapToGrid w:val="0"/>
          <w:sz w:val="22"/>
          <w:szCs w:val="22"/>
        </w:rPr>
        <w:t xml:space="preserve">A </w:t>
      </w:r>
      <w:r w:rsidR="00633B0E">
        <w:rPr>
          <w:b/>
          <w:snapToGrid w:val="0"/>
          <w:sz w:val="22"/>
          <w:szCs w:val="22"/>
        </w:rPr>
        <w:t>DIC</w:t>
      </w:r>
      <w:r w:rsidR="00A242B6">
        <w:rPr>
          <w:b/>
          <w:snapToGrid w:val="0"/>
          <w:sz w:val="22"/>
          <w:szCs w:val="22"/>
        </w:rPr>
        <w:t>IEM</w:t>
      </w:r>
      <w:r w:rsidRPr="00162D45">
        <w:rPr>
          <w:b/>
          <w:snapToGrid w:val="0"/>
          <w:sz w:val="22"/>
          <w:szCs w:val="22"/>
        </w:rPr>
        <w:t>BRE</w:t>
      </w:r>
      <w:r>
        <w:rPr>
          <w:b/>
          <w:snapToGrid w:val="0"/>
          <w:sz w:val="22"/>
          <w:szCs w:val="22"/>
        </w:rPr>
        <w:t xml:space="preserve"> DE 2019</w:t>
      </w:r>
    </w:p>
    <w:p w14:paraId="2691B6C2" w14:textId="77777777" w:rsidR="004D5C5B" w:rsidRPr="00910135" w:rsidRDefault="004D5C5B" w:rsidP="00EB5FF4">
      <w:pPr>
        <w:widowControl w:val="0"/>
        <w:autoSpaceDE w:val="0"/>
        <w:autoSpaceDN w:val="0"/>
        <w:adjustRightInd w:val="0"/>
        <w:jc w:val="center"/>
        <w:rPr>
          <w:snapToGrid w:val="0"/>
          <w:sz w:val="22"/>
          <w:szCs w:val="22"/>
        </w:rPr>
      </w:pPr>
      <w:r w:rsidRPr="00910135">
        <w:rPr>
          <w:snapToGrid w:val="0"/>
          <w:sz w:val="22"/>
          <w:szCs w:val="22"/>
        </w:rPr>
        <w:t xml:space="preserve">Clasificación por origen </w:t>
      </w:r>
    </w:p>
    <w:p w14:paraId="3F1D067F" w14:textId="77777777" w:rsidR="004D5C5B" w:rsidRDefault="004D5C5B" w:rsidP="00EB5FF4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Variación porcentual anual</w:t>
      </w:r>
    </w:p>
    <w:p w14:paraId="578EFDB1" w14:textId="22A2AE44" w:rsidR="004D5C5B" w:rsidRDefault="00EC6414" w:rsidP="00EB5FF4">
      <w:pPr>
        <w:widowControl w:val="0"/>
        <w:autoSpaceDE w:val="0"/>
        <w:autoSpaceDN w:val="0"/>
        <w:adjustRightInd w:val="0"/>
        <w:jc w:val="center"/>
      </w:pPr>
      <w:r>
        <w:rPr>
          <w:noProof/>
          <w:lang w:val="es-MX" w:eastAsia="es-MX"/>
        </w:rPr>
        <w:drawing>
          <wp:inline distT="0" distB="0" distL="0" distR="0" wp14:anchorId="49A08980" wp14:editId="53CA9B0C">
            <wp:extent cx="5040000" cy="2880000"/>
            <wp:effectExtent l="0" t="0" r="27305" b="3492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2AA9D1AE" w14:textId="16DD8543" w:rsidR="004D5C5B" w:rsidRDefault="004D5C5B" w:rsidP="00EB5FF4">
      <w:pPr>
        <w:widowControl w:val="0"/>
        <w:autoSpaceDE w:val="0"/>
        <w:autoSpaceDN w:val="0"/>
        <w:adjustRightInd w:val="0"/>
        <w:jc w:val="center"/>
      </w:pPr>
    </w:p>
    <w:p w14:paraId="4FDDB9FB" w14:textId="77777777" w:rsidR="004D5C5B" w:rsidRPr="007E353A" w:rsidRDefault="004D5C5B" w:rsidP="004D5C5B">
      <w:pPr>
        <w:pStyle w:val="n01"/>
        <w:keepLines w:val="0"/>
        <w:spacing w:before="600"/>
        <w:ind w:left="709" w:firstLine="0"/>
        <w:rPr>
          <w:rFonts w:ascii="Arial" w:hAnsi="Arial"/>
          <w:b/>
          <w:i/>
          <w:snapToGrid w:val="0"/>
          <w:color w:val="000000"/>
        </w:rPr>
      </w:pPr>
      <w:r w:rsidRPr="007E353A">
        <w:rPr>
          <w:rFonts w:ascii="Arial" w:hAnsi="Arial"/>
          <w:b/>
          <w:i/>
          <w:snapToGrid w:val="0"/>
          <w:color w:val="000000"/>
        </w:rPr>
        <w:t>Actividades Primarias</w:t>
      </w:r>
    </w:p>
    <w:p w14:paraId="0EF6DE71" w14:textId="36D8414F" w:rsidR="00AC59C9" w:rsidRPr="0098397B" w:rsidRDefault="00633B0E" w:rsidP="00AC59C9">
      <w:pPr>
        <w:pStyle w:val="n01"/>
        <w:keepLines w:val="0"/>
        <w:ind w:left="0" w:firstLine="0"/>
        <w:rPr>
          <w:rFonts w:ascii="Arial" w:hAnsi="Arial"/>
          <w:color w:val="auto"/>
        </w:rPr>
      </w:pPr>
      <w:r w:rsidRPr="00A242B6">
        <w:rPr>
          <w:rFonts w:ascii="Arial" w:hAnsi="Arial"/>
          <w:color w:val="auto"/>
        </w:rPr>
        <w:t>Los precios de las Actividades</w:t>
      </w:r>
      <w:r>
        <w:rPr>
          <w:rFonts w:ascii="Arial" w:hAnsi="Arial"/>
          <w:color w:val="auto"/>
        </w:rPr>
        <w:t xml:space="preserve"> Primarias reportaron una baja mensual de (</w:t>
      </w:r>
      <w:r>
        <w:rPr>
          <w:rFonts w:ascii="Arial" w:hAnsi="Arial"/>
          <w:color w:val="auto"/>
        </w:rPr>
        <w:noBreakHyphen/>
        <w:t>)1.09% durante diciembre</w:t>
      </w:r>
      <w:r w:rsidRPr="00A242B6">
        <w:rPr>
          <w:rFonts w:ascii="Arial" w:hAnsi="Arial"/>
          <w:color w:val="auto"/>
        </w:rPr>
        <w:t xml:space="preserve"> de</w:t>
      </w:r>
      <w:r w:rsidR="003D5B8A">
        <w:rPr>
          <w:rFonts w:ascii="Arial" w:hAnsi="Arial"/>
          <w:color w:val="auto"/>
        </w:rPr>
        <w:t>l</w:t>
      </w:r>
      <w:r w:rsidRPr="00A242B6">
        <w:rPr>
          <w:rFonts w:ascii="Arial" w:hAnsi="Arial"/>
          <w:color w:val="auto"/>
        </w:rPr>
        <w:t xml:space="preserve"> año</w:t>
      </w:r>
      <w:r w:rsidR="003D5B8A">
        <w:rPr>
          <w:rFonts w:ascii="Arial" w:hAnsi="Arial"/>
          <w:color w:val="auto"/>
        </w:rPr>
        <w:t xml:space="preserve"> que recién concluyó</w:t>
      </w:r>
      <w:r w:rsidRPr="00A242B6">
        <w:rPr>
          <w:rFonts w:ascii="Arial" w:hAnsi="Arial"/>
          <w:color w:val="auto"/>
        </w:rPr>
        <w:t xml:space="preserve">. Los productos genéricos con la contribución más significativa en el índice total de dichas actividades fueron: </w:t>
      </w:r>
      <w:r w:rsidRPr="004B55A4">
        <w:rPr>
          <w:rFonts w:ascii="Arial" w:hAnsi="Arial"/>
          <w:color w:val="auto"/>
        </w:rPr>
        <w:t>Aves con una variación mensual de (</w:t>
      </w:r>
      <w:r>
        <w:rPr>
          <w:rFonts w:ascii="Arial" w:hAnsi="Arial"/>
          <w:color w:val="auto"/>
        </w:rPr>
        <w:noBreakHyphen/>
      </w:r>
      <w:r w:rsidRPr="004B55A4">
        <w:rPr>
          <w:rFonts w:ascii="Arial" w:hAnsi="Arial"/>
          <w:color w:val="auto"/>
        </w:rPr>
        <w:t>)10.00%, Aguacate (-)6.51% y Naranja con (</w:t>
      </w:r>
      <w:r>
        <w:rPr>
          <w:rFonts w:ascii="Arial" w:hAnsi="Arial"/>
          <w:color w:val="auto"/>
        </w:rPr>
        <w:noBreakHyphen/>
      </w:r>
      <w:r w:rsidRPr="004B55A4">
        <w:rPr>
          <w:rFonts w:ascii="Arial" w:hAnsi="Arial"/>
          <w:color w:val="auto"/>
        </w:rPr>
        <w:t>)7.58 por ciento</w:t>
      </w:r>
      <w:r w:rsidR="00AC59C9" w:rsidRPr="004900F9">
        <w:rPr>
          <w:rFonts w:ascii="Arial" w:hAnsi="Arial"/>
          <w:color w:val="auto"/>
        </w:rPr>
        <w:t>.</w:t>
      </w:r>
    </w:p>
    <w:p w14:paraId="67FA50E0" w14:textId="77777777" w:rsidR="004D5C5B" w:rsidRPr="007E353A" w:rsidRDefault="004D5C5B" w:rsidP="004D5C5B">
      <w:pPr>
        <w:pStyle w:val="n01"/>
        <w:keepLines w:val="0"/>
        <w:spacing w:before="600"/>
        <w:ind w:left="709" w:firstLine="0"/>
        <w:rPr>
          <w:rFonts w:ascii="Arial" w:hAnsi="Arial"/>
          <w:b/>
          <w:i/>
          <w:snapToGrid w:val="0"/>
          <w:color w:val="000000"/>
        </w:rPr>
      </w:pPr>
      <w:r w:rsidRPr="007E353A">
        <w:rPr>
          <w:rFonts w:ascii="Arial" w:hAnsi="Arial"/>
          <w:b/>
          <w:i/>
          <w:snapToGrid w:val="0"/>
          <w:color w:val="000000"/>
        </w:rPr>
        <w:t>Actividades Secundarias</w:t>
      </w:r>
    </w:p>
    <w:p w14:paraId="08FD8F13" w14:textId="592A9916" w:rsidR="004D5C5B" w:rsidRPr="00907F08" w:rsidRDefault="00633B0E" w:rsidP="004D5C5B">
      <w:pPr>
        <w:pStyle w:val="n01"/>
        <w:keepLines w:val="0"/>
        <w:ind w:left="0" w:firstLine="0"/>
        <w:rPr>
          <w:rFonts w:ascii="Arial" w:hAnsi="Arial"/>
          <w:color w:val="auto"/>
        </w:rPr>
      </w:pPr>
      <w:r w:rsidRPr="00A242B6">
        <w:rPr>
          <w:rFonts w:ascii="Arial" w:hAnsi="Arial"/>
          <w:color w:val="auto"/>
        </w:rPr>
        <w:t>Los precios de las Actividades Secundarias, incluyen</w:t>
      </w:r>
      <w:r>
        <w:rPr>
          <w:rFonts w:ascii="Arial" w:hAnsi="Arial"/>
          <w:color w:val="auto"/>
        </w:rPr>
        <w:t>do petróleo, observaron un alza mensual de 0.40% en el último</w:t>
      </w:r>
      <w:r w:rsidRPr="00A242B6">
        <w:rPr>
          <w:rFonts w:ascii="Arial" w:hAnsi="Arial"/>
          <w:color w:val="auto"/>
        </w:rPr>
        <w:t xml:space="preserve"> mes de 2019. Este resu</w:t>
      </w:r>
      <w:r>
        <w:rPr>
          <w:rFonts w:ascii="Arial" w:hAnsi="Arial"/>
          <w:color w:val="auto"/>
        </w:rPr>
        <w:t>ltado obedeció a los incrementos</w:t>
      </w:r>
      <w:r w:rsidRPr="00A242B6">
        <w:rPr>
          <w:rFonts w:ascii="Arial" w:hAnsi="Arial"/>
          <w:color w:val="auto"/>
        </w:rPr>
        <w:t xml:space="preserve"> en los precios de </w:t>
      </w:r>
      <w:r>
        <w:rPr>
          <w:rFonts w:ascii="Arial" w:hAnsi="Arial"/>
          <w:color w:val="auto"/>
        </w:rPr>
        <w:t xml:space="preserve">la Minería </w:t>
      </w:r>
      <w:r w:rsidR="003D5B8A">
        <w:rPr>
          <w:rFonts w:ascii="Arial" w:hAnsi="Arial"/>
          <w:color w:val="auto"/>
        </w:rPr>
        <w:t xml:space="preserve">de </w:t>
      </w:r>
      <w:r>
        <w:rPr>
          <w:rFonts w:ascii="Arial" w:hAnsi="Arial"/>
          <w:color w:val="auto"/>
        </w:rPr>
        <w:t xml:space="preserve">4.78%, </w:t>
      </w:r>
      <w:r w:rsidR="003D5B8A">
        <w:rPr>
          <w:rFonts w:ascii="Arial" w:hAnsi="Arial"/>
          <w:color w:val="auto"/>
        </w:rPr>
        <w:t xml:space="preserve">en </w:t>
      </w:r>
      <w:r w:rsidRPr="00A242B6">
        <w:rPr>
          <w:rFonts w:ascii="Arial" w:hAnsi="Arial"/>
          <w:color w:val="auto"/>
        </w:rPr>
        <w:t>la Generación, transmisión y distribución de energía eléctrica, suministro de agua y de gas por</w:t>
      </w:r>
      <w:r>
        <w:rPr>
          <w:rFonts w:ascii="Arial" w:hAnsi="Arial"/>
          <w:color w:val="auto"/>
        </w:rPr>
        <w:t xml:space="preserve"> ductos al consumidor final </w:t>
      </w:r>
      <w:r w:rsidR="003D5B8A">
        <w:rPr>
          <w:rFonts w:ascii="Arial" w:hAnsi="Arial"/>
          <w:color w:val="auto"/>
        </w:rPr>
        <w:t xml:space="preserve">de </w:t>
      </w:r>
      <w:r>
        <w:rPr>
          <w:rFonts w:ascii="Arial" w:hAnsi="Arial"/>
          <w:color w:val="auto"/>
        </w:rPr>
        <w:t xml:space="preserve">0.02% y </w:t>
      </w:r>
      <w:r w:rsidR="003D5B8A">
        <w:rPr>
          <w:rFonts w:ascii="Arial" w:hAnsi="Arial"/>
          <w:color w:val="auto"/>
        </w:rPr>
        <w:t xml:space="preserve">en </w:t>
      </w:r>
      <w:r>
        <w:rPr>
          <w:rFonts w:ascii="Arial" w:hAnsi="Arial"/>
          <w:color w:val="auto"/>
        </w:rPr>
        <w:t xml:space="preserve">las Industrias manufactureras </w:t>
      </w:r>
      <w:r w:rsidR="003D5B8A">
        <w:rPr>
          <w:rFonts w:ascii="Arial" w:hAnsi="Arial"/>
          <w:color w:val="auto"/>
        </w:rPr>
        <w:t xml:space="preserve">de </w:t>
      </w:r>
      <w:r>
        <w:rPr>
          <w:rFonts w:ascii="Arial" w:hAnsi="Arial"/>
          <w:color w:val="auto"/>
        </w:rPr>
        <w:t>0.13%, mientras que</w:t>
      </w:r>
      <w:r w:rsidRPr="004C7E6D">
        <w:rPr>
          <w:rFonts w:ascii="Arial" w:hAnsi="Arial"/>
          <w:color w:val="auto"/>
        </w:rPr>
        <w:t xml:space="preserve"> </w:t>
      </w:r>
      <w:r w:rsidR="003D5B8A">
        <w:rPr>
          <w:rFonts w:ascii="Arial" w:hAnsi="Arial"/>
          <w:color w:val="auto"/>
        </w:rPr>
        <w:t xml:space="preserve">en </w:t>
      </w:r>
      <w:r w:rsidRPr="00A242B6">
        <w:rPr>
          <w:rFonts w:ascii="Arial" w:hAnsi="Arial"/>
          <w:color w:val="auto"/>
        </w:rPr>
        <w:t>la Cons</w:t>
      </w:r>
      <w:r>
        <w:rPr>
          <w:rFonts w:ascii="Arial" w:hAnsi="Arial"/>
          <w:color w:val="auto"/>
        </w:rPr>
        <w:t xml:space="preserve">trucción </w:t>
      </w:r>
      <w:r w:rsidR="003D5B8A">
        <w:rPr>
          <w:rFonts w:ascii="Arial" w:hAnsi="Arial"/>
          <w:color w:val="auto"/>
        </w:rPr>
        <w:t>descendieron</w:t>
      </w:r>
      <w:r>
        <w:rPr>
          <w:rFonts w:ascii="Arial" w:hAnsi="Arial"/>
          <w:color w:val="auto"/>
        </w:rPr>
        <w:t xml:space="preserve"> (</w:t>
      </w:r>
      <w:r>
        <w:rPr>
          <w:rFonts w:ascii="Arial" w:hAnsi="Arial"/>
          <w:color w:val="auto"/>
        </w:rPr>
        <w:noBreakHyphen/>
        <w:t>)0.22 por ciento</w:t>
      </w:r>
      <w:r w:rsidR="00C963A9">
        <w:rPr>
          <w:rFonts w:ascii="Arial" w:hAnsi="Arial"/>
          <w:color w:val="auto"/>
        </w:rPr>
        <w:t>.</w:t>
      </w:r>
    </w:p>
    <w:p w14:paraId="30BE8316" w14:textId="77777777" w:rsidR="004D5C5B" w:rsidRPr="00CD6E5C" w:rsidRDefault="004D5C5B" w:rsidP="004D5C5B">
      <w:pPr>
        <w:pStyle w:val="n01"/>
        <w:keepNext/>
        <w:keepLines w:val="0"/>
        <w:spacing w:before="360"/>
        <w:ind w:left="709" w:firstLine="0"/>
        <w:rPr>
          <w:rFonts w:ascii="Arial" w:hAnsi="Arial"/>
          <w:b/>
          <w:i/>
          <w:snapToGrid w:val="0"/>
          <w:color w:val="000000"/>
        </w:rPr>
      </w:pPr>
      <w:r w:rsidRPr="00CD6E5C">
        <w:rPr>
          <w:rFonts w:ascii="Arial" w:hAnsi="Arial"/>
          <w:b/>
          <w:i/>
          <w:snapToGrid w:val="0"/>
          <w:color w:val="000000"/>
        </w:rPr>
        <w:lastRenderedPageBreak/>
        <w:t>Industrias Manufactureras</w:t>
      </w:r>
    </w:p>
    <w:bookmarkEnd w:id="3"/>
    <w:p w14:paraId="17B7A16A" w14:textId="5E65B411" w:rsidR="004D5C5B" w:rsidRDefault="00633B0E" w:rsidP="004D5C5B">
      <w:pPr>
        <w:pStyle w:val="p0"/>
        <w:keepNext/>
        <w:keepLines w:val="0"/>
        <w:widowControl/>
        <w:rPr>
          <w:rFonts w:ascii="Arial" w:hAnsi="Arial"/>
          <w:color w:val="auto"/>
        </w:rPr>
      </w:pPr>
      <w:r w:rsidRPr="00633B0E">
        <w:rPr>
          <w:rFonts w:ascii="Arial" w:hAnsi="Arial"/>
          <w:color w:val="auto"/>
        </w:rPr>
        <w:t xml:space="preserve">Los precios de las Industrias manufactureras aumentaron 0.13% a tasa mensual y 0.40% anual. Los subsectores que destacaron por el ascenso mensual en los precios fueron el de Fabricación de productos derivados del petróleo y del carbón con </w:t>
      </w:r>
      <w:r w:rsidR="003D5B8A">
        <w:rPr>
          <w:rFonts w:ascii="Arial" w:hAnsi="Arial"/>
          <w:color w:val="auto"/>
        </w:rPr>
        <w:t>una variación de 1</w:t>
      </w:r>
      <w:r w:rsidRPr="00633B0E">
        <w:rPr>
          <w:rFonts w:ascii="Arial" w:hAnsi="Arial"/>
          <w:color w:val="auto"/>
        </w:rPr>
        <w:t>.45%, Industria de la madera 0.44% y el de la Industria alimentaria con 0.33 por ciento</w:t>
      </w:r>
      <w:r w:rsidR="004D5C5B">
        <w:rPr>
          <w:rFonts w:ascii="Arial" w:hAnsi="Arial"/>
          <w:color w:val="auto"/>
        </w:rPr>
        <w:t>.</w:t>
      </w:r>
    </w:p>
    <w:p w14:paraId="0233256E" w14:textId="35126E6C" w:rsidR="004D5C5B" w:rsidRPr="00E35E14" w:rsidRDefault="004D5C5B" w:rsidP="00C963A9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  <w:r w:rsidRPr="00E35E14">
        <w:rPr>
          <w:snapToGrid w:val="0"/>
          <w:sz w:val="20"/>
          <w:szCs w:val="20"/>
        </w:rPr>
        <w:t xml:space="preserve">Cuadro </w:t>
      </w:r>
      <w:r w:rsidR="00420C77">
        <w:rPr>
          <w:snapToGrid w:val="0"/>
          <w:sz w:val="20"/>
          <w:szCs w:val="20"/>
        </w:rPr>
        <w:t>4</w:t>
      </w:r>
    </w:p>
    <w:p w14:paraId="7F2FA621" w14:textId="77777777" w:rsidR="004D5C5B" w:rsidRPr="00875DDC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ÍNDICE NACIONAL DE PRECIOS PRODUCTOR </w:t>
      </w:r>
    </w:p>
    <w:p w14:paraId="62053088" w14:textId="08BF2EDF" w:rsidR="004D5C5B" w:rsidRPr="0002523A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pacing w:val="1"/>
          <w:sz w:val="22"/>
          <w:szCs w:val="22"/>
        </w:rPr>
      </w:pPr>
      <w:r w:rsidRPr="00DC48FE">
        <w:rPr>
          <w:b/>
          <w:snapToGrid w:val="0"/>
          <w:sz w:val="22"/>
          <w:szCs w:val="22"/>
        </w:rPr>
        <w:t>INCLUYENDO PETRÓLEO</w:t>
      </w:r>
      <w:r w:rsidRPr="00875DDC">
        <w:rPr>
          <w:b/>
          <w:snapToGrid w:val="0"/>
          <w:sz w:val="22"/>
          <w:szCs w:val="22"/>
        </w:rPr>
        <w:t>, DURANTE</w:t>
      </w:r>
      <w:r>
        <w:rPr>
          <w:b/>
          <w:snapToGrid w:val="0"/>
          <w:sz w:val="22"/>
          <w:szCs w:val="22"/>
        </w:rPr>
        <w:t xml:space="preserve"> </w:t>
      </w:r>
      <w:r w:rsidR="00633B0E">
        <w:rPr>
          <w:b/>
          <w:snapToGrid w:val="0"/>
          <w:sz w:val="22"/>
          <w:szCs w:val="22"/>
        </w:rPr>
        <w:t>DIC</w:t>
      </w:r>
      <w:r w:rsidR="00A242B6">
        <w:rPr>
          <w:b/>
          <w:snapToGrid w:val="0"/>
          <w:sz w:val="22"/>
          <w:szCs w:val="22"/>
        </w:rPr>
        <w:t>IEM</w:t>
      </w:r>
      <w:r>
        <w:rPr>
          <w:b/>
          <w:snapToGrid w:val="0"/>
          <w:sz w:val="22"/>
          <w:szCs w:val="22"/>
        </w:rPr>
        <w:t>BRE</w:t>
      </w:r>
      <w:r>
        <w:rPr>
          <w:b/>
          <w:bCs/>
          <w:color w:val="000000"/>
          <w:spacing w:val="1"/>
          <w:sz w:val="22"/>
          <w:szCs w:val="22"/>
        </w:rPr>
        <w:t xml:space="preserve"> DE 2019</w:t>
      </w:r>
    </w:p>
    <w:p w14:paraId="7C23BB94" w14:textId="77777777" w:rsidR="004D5C5B" w:rsidRPr="00910135" w:rsidRDefault="004D5C5B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22"/>
          <w:szCs w:val="22"/>
        </w:rPr>
      </w:pPr>
      <w:r w:rsidRPr="00910135">
        <w:rPr>
          <w:snapToGrid w:val="0"/>
          <w:sz w:val="22"/>
          <w:szCs w:val="22"/>
        </w:rPr>
        <w:t>Industrias Manufactureras</w:t>
      </w:r>
    </w:p>
    <w:p w14:paraId="01E0055F" w14:textId="77777777" w:rsidR="004D5C5B" w:rsidRDefault="004D5C5B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Variación porcentual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3"/>
        <w:gridCol w:w="805"/>
        <w:gridCol w:w="806"/>
        <w:gridCol w:w="805"/>
        <w:gridCol w:w="806"/>
        <w:gridCol w:w="805"/>
        <w:gridCol w:w="806"/>
      </w:tblGrid>
      <w:tr w:rsidR="007263DF" w:rsidRPr="00A9663B" w14:paraId="1091258C" w14:textId="77777777" w:rsidTr="007263DF">
        <w:trPr>
          <w:trHeight w:val="255"/>
          <w:jc w:val="center"/>
        </w:trPr>
        <w:tc>
          <w:tcPr>
            <w:tcW w:w="4551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50DAFEF" w14:textId="77777777" w:rsidR="007263DF" w:rsidRPr="00A9663B" w:rsidRDefault="007263DF" w:rsidP="007263DF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bookmarkStart w:id="4" w:name="_Hlk2757840"/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16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92345C2" w14:textId="77777777" w:rsidR="007263DF" w:rsidRPr="00A9663B" w:rsidRDefault="007263DF" w:rsidP="007263DF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Variación mensual</w:t>
            </w:r>
          </w:p>
        </w:tc>
        <w:tc>
          <w:tcPr>
            <w:tcW w:w="2417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937E677" w14:textId="77777777" w:rsidR="007263DF" w:rsidRPr="00A9663B" w:rsidRDefault="007263DF" w:rsidP="007263DF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Variación anual</w:t>
            </w:r>
            <w:r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 xml:space="preserve"> </w:t>
            </w:r>
            <w:r w:rsidRPr="009102D0">
              <w:rPr>
                <w:bCs/>
                <w:color w:val="000000"/>
                <w:kern w:val="16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</w:tr>
      <w:tr w:rsidR="007263DF" w:rsidRPr="00A9663B" w14:paraId="6C398039" w14:textId="77777777" w:rsidTr="007263DF">
        <w:trPr>
          <w:trHeight w:val="397"/>
          <w:jc w:val="center"/>
        </w:trPr>
        <w:tc>
          <w:tcPr>
            <w:tcW w:w="4551" w:type="dxa"/>
            <w:vMerge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2B5A15D2" w14:textId="77777777" w:rsidR="007263DF" w:rsidRPr="00A9663B" w:rsidRDefault="007263DF" w:rsidP="007263DF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</w:p>
        </w:tc>
        <w:tc>
          <w:tcPr>
            <w:tcW w:w="805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A03E857" w14:textId="77777777" w:rsidR="007263DF" w:rsidRPr="00A9663B" w:rsidRDefault="007263DF" w:rsidP="007263DF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proofErr w:type="spellStart"/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Inter-medios</w:t>
            </w:r>
            <w:proofErr w:type="spellEnd"/>
          </w:p>
        </w:tc>
        <w:tc>
          <w:tcPr>
            <w:tcW w:w="8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2F51D48" w14:textId="77777777" w:rsidR="007263DF" w:rsidRPr="00A9663B" w:rsidRDefault="007263DF" w:rsidP="007263DF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0713E87" w14:textId="77777777" w:rsidR="007263DF" w:rsidRPr="00A9663B" w:rsidRDefault="007263DF" w:rsidP="007263DF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806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378A60C" w14:textId="77777777" w:rsidR="007263DF" w:rsidRPr="00A9663B" w:rsidRDefault="007263DF" w:rsidP="007263DF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proofErr w:type="spellStart"/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Inter-medios</w:t>
            </w:r>
            <w:proofErr w:type="spellEnd"/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6686EE80" w14:textId="77777777" w:rsidR="007263DF" w:rsidRPr="00A9663B" w:rsidRDefault="007263DF" w:rsidP="007263DF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178A407" w14:textId="77777777" w:rsidR="007263DF" w:rsidRPr="00A9663B" w:rsidRDefault="007263DF" w:rsidP="007263DF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Total</w:t>
            </w:r>
          </w:p>
        </w:tc>
      </w:tr>
      <w:tr w:rsidR="007263DF" w:rsidRPr="00574002" w14:paraId="1C39B332" w14:textId="77777777" w:rsidTr="007263DF">
        <w:trPr>
          <w:trHeight w:val="170"/>
          <w:jc w:val="center"/>
        </w:trPr>
        <w:tc>
          <w:tcPr>
            <w:tcW w:w="4551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4F9092F" w14:textId="77777777" w:rsidR="007263DF" w:rsidRPr="00841586" w:rsidRDefault="007263DF" w:rsidP="007263DF">
            <w:pPr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Índice General</w:t>
            </w:r>
            <w:r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 incluyendo petróleo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0E2414B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4002">
              <w:rPr>
                <w:b/>
                <w:bCs/>
                <w:color w:val="000000"/>
                <w:sz w:val="14"/>
                <w:szCs w:val="14"/>
              </w:rPr>
              <w:t>0.53</w:t>
            </w:r>
          </w:p>
        </w:tc>
        <w:tc>
          <w:tcPr>
            <w:tcW w:w="8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2EF9F67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4002">
              <w:rPr>
                <w:b/>
                <w:bCs/>
                <w:color w:val="000000"/>
                <w:sz w:val="14"/>
                <w:szCs w:val="14"/>
              </w:rPr>
              <w:t>0.45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DC3255C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4002">
              <w:rPr>
                <w:b/>
                <w:bCs/>
                <w:color w:val="000000"/>
                <w:sz w:val="14"/>
                <w:szCs w:val="14"/>
              </w:rPr>
              <w:t>0.47</w:t>
            </w:r>
          </w:p>
        </w:tc>
        <w:tc>
          <w:tcPr>
            <w:tcW w:w="806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27D0653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4002">
              <w:rPr>
                <w:b/>
                <w:bCs/>
                <w:color w:val="000000"/>
                <w:sz w:val="14"/>
                <w:szCs w:val="14"/>
              </w:rPr>
              <w:t>-0.76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1687812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4002">
              <w:rPr>
                <w:b/>
                <w:bCs/>
                <w:color w:val="000000"/>
                <w:sz w:val="14"/>
                <w:szCs w:val="14"/>
              </w:rPr>
              <w:t>1.71</w:t>
            </w:r>
          </w:p>
        </w:tc>
        <w:tc>
          <w:tcPr>
            <w:tcW w:w="8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FD2FCD1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4002">
              <w:rPr>
                <w:b/>
                <w:bCs/>
                <w:color w:val="000000"/>
                <w:sz w:val="14"/>
                <w:szCs w:val="14"/>
              </w:rPr>
              <w:t>1.01</w:t>
            </w:r>
          </w:p>
        </w:tc>
      </w:tr>
      <w:tr w:rsidR="007263DF" w:rsidRPr="00841586" w14:paraId="3265F506" w14:textId="77777777" w:rsidTr="007263DF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C9C53C3" w14:textId="77777777" w:rsidR="007263DF" w:rsidRPr="00841586" w:rsidRDefault="007263DF" w:rsidP="007263DF">
            <w:pPr>
              <w:ind w:left="708" w:hanging="651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Industrias manufactureras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4464E6F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4002">
              <w:rPr>
                <w:b/>
                <w:bCs/>
                <w:color w:val="000000"/>
                <w:sz w:val="14"/>
                <w:szCs w:val="14"/>
              </w:rPr>
              <w:t>0.35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83BD60F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4002">
              <w:rPr>
                <w:b/>
                <w:bCs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A8FE035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4002">
              <w:rPr>
                <w:b/>
                <w:bCs/>
                <w:color w:val="000000"/>
                <w:sz w:val="14"/>
                <w:szCs w:val="14"/>
              </w:rPr>
              <w:t>0.13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C99142A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4002">
              <w:rPr>
                <w:b/>
                <w:bCs/>
                <w:color w:val="000000"/>
                <w:sz w:val="14"/>
                <w:szCs w:val="14"/>
              </w:rPr>
              <w:t>-2.12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7A770F7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4002">
              <w:rPr>
                <w:b/>
                <w:bCs/>
                <w:color w:val="000000"/>
                <w:sz w:val="14"/>
                <w:szCs w:val="14"/>
              </w:rPr>
              <w:t>1.22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DA5882C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74002">
              <w:rPr>
                <w:b/>
                <w:bCs/>
                <w:color w:val="000000"/>
                <w:sz w:val="14"/>
                <w:szCs w:val="14"/>
              </w:rPr>
              <w:t>0.40</w:t>
            </w:r>
          </w:p>
        </w:tc>
      </w:tr>
      <w:tr w:rsidR="007263DF" w:rsidRPr="00841586" w14:paraId="69904323" w14:textId="77777777" w:rsidTr="007263DF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C75B662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alimentaria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AE280DB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0.51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E760E52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0.28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2106BE8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0.33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B087089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-5.82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DD1F5A9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3.31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ACA2F94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1.09</w:t>
            </w:r>
          </w:p>
        </w:tc>
      </w:tr>
      <w:tr w:rsidR="007263DF" w:rsidRPr="00841586" w14:paraId="5799526C" w14:textId="77777777" w:rsidTr="007263DF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E6C9803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 las bebidas y del tabaco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710A66D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0.13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4CD5653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0.06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47586DD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0.07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BC3CEE2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3.23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1E4A506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3.08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B9B8064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3.10</w:t>
            </w:r>
          </w:p>
        </w:tc>
      </w:tr>
      <w:tr w:rsidR="007263DF" w:rsidRPr="00841586" w14:paraId="5BB5E28A" w14:textId="77777777" w:rsidTr="007263DF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FFBDEC3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insumos textiles y acabado de textiles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C9DBD66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-0.17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A77D4BB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-0.08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22912AD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-0.11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CBE63B8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2.25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F0460C4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2.00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600E74A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2.10</w:t>
            </w:r>
          </w:p>
        </w:tc>
      </w:tr>
      <w:tr w:rsidR="007263DF" w:rsidRPr="00841586" w14:paraId="0024BB61" w14:textId="77777777" w:rsidTr="007263DF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BC0AE1C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textiles, excepto prendas de vestir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9E44A2D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0.11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5FE90AB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0.04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200AE50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0.07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F2C03C2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1.13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6991B5E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0.99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ABBC296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1.04</w:t>
            </w:r>
          </w:p>
        </w:tc>
      </w:tr>
      <w:tr w:rsidR="007263DF" w:rsidRPr="00841586" w14:paraId="40FEC86C" w14:textId="77777777" w:rsidTr="007263DF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C352546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prendas de vestir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DE3A847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1BB7658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-0.02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FB803E7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-0.02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17AB161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4.69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AF37E79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4.15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A47D68D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4.18</w:t>
            </w:r>
          </w:p>
        </w:tc>
      </w:tr>
      <w:tr w:rsidR="007263DF" w:rsidRPr="00841586" w14:paraId="035C6BDD" w14:textId="77777777" w:rsidTr="007263DF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095BB1FA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Curtido y acabado de cuero y piel, y fabricación de productos de cuero, piel y materiales sucedáneos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DC77606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-0.05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807927C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58B4B68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BD89CA3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-1.04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FFDFA78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0.65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D7EC51A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0.18</w:t>
            </w:r>
          </w:p>
        </w:tc>
      </w:tr>
      <w:tr w:rsidR="007263DF" w:rsidRPr="00841586" w14:paraId="0675941A" w14:textId="77777777" w:rsidTr="007263DF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BA2A2AE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 la madera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94792D2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0.39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9D88989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0.65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321215E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0.44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909C965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4.60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7801504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4.32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7B2EE87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4.55</w:t>
            </w:r>
          </w:p>
        </w:tc>
      </w:tr>
      <w:tr w:rsidR="007263DF" w:rsidRPr="00841586" w14:paraId="0CF2D619" w14:textId="77777777" w:rsidTr="007263DF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7BF61DD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del papel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41A52DF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0.26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0EA0AF4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-0.01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DB31997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0.10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AE9A5E0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2.93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08D4B0F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3.22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7853945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3.02</w:t>
            </w:r>
          </w:p>
        </w:tc>
      </w:tr>
      <w:tr w:rsidR="007263DF" w:rsidRPr="00841586" w14:paraId="4ED1A37B" w14:textId="77777777" w:rsidTr="007263DF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B0C423D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Impresión e industrias conexas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056111B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-0.25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0DADE5A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-0.25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790D63F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-0.25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A7815E7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5.26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BED0401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5.26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EBF5FF9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5.26</w:t>
            </w:r>
          </w:p>
        </w:tc>
      </w:tr>
      <w:tr w:rsidR="007263DF" w:rsidRPr="00841586" w14:paraId="660349B4" w14:textId="77777777" w:rsidTr="007263DF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B797F39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derivados del petróleo y del carbón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F1289DE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1.80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53FF385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0.73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16E2868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1.45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A10F79E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-2.54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7F8606F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-8.20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E985BB6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-4.18</w:t>
            </w:r>
          </w:p>
        </w:tc>
      </w:tr>
      <w:tr w:rsidR="007263DF" w:rsidRPr="00841586" w14:paraId="3D637A68" w14:textId="77777777" w:rsidTr="007263DF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72F7082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química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1FBF734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-0.22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A4766C7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03E8E73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-0.12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AEBA76C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-3.06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D82A54F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-0.46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80CC80E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-1.88</w:t>
            </w:r>
          </w:p>
        </w:tc>
      </w:tr>
      <w:tr w:rsidR="007263DF" w:rsidRPr="00841586" w14:paraId="564E9737" w14:textId="77777777" w:rsidTr="007263DF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C5BBFE6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del plástico y del hule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6DDA568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01F723B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-0.01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16E070B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5110106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3.13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860F65B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3.83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AD7DD38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3.45</w:t>
            </w:r>
          </w:p>
        </w:tc>
      </w:tr>
      <w:tr w:rsidR="007263DF" w:rsidRPr="00841586" w14:paraId="057C89DF" w14:textId="77777777" w:rsidTr="007263DF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00C0C13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a base de minerales no metálicos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937E862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0.35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0DAA2E9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0.22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EA89E09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0.32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5C38D7F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2.81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A180CE3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5.00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7B352CF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3.24</w:t>
            </w:r>
          </w:p>
        </w:tc>
      </w:tr>
      <w:tr w:rsidR="007263DF" w:rsidRPr="00841586" w14:paraId="739617D0" w14:textId="77777777" w:rsidTr="007263DF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5C1EC1B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Industrias metálicas básicas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B8B9536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-0.03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4E80472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-0.51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3FF5C5D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-0.28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687122F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-5.54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6D169F8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0.11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ADB2136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-2.77</w:t>
            </w:r>
          </w:p>
        </w:tc>
      </w:tr>
      <w:tr w:rsidR="007263DF" w:rsidRPr="00841586" w14:paraId="00A9617D" w14:textId="77777777" w:rsidTr="007263DF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01C88DC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metálicos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1BB5B54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-0.09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BAB8593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-0.04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E302D00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-0.06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93B0F3F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2.02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9C4D136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2.23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E9AB89E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2.13</w:t>
            </w:r>
          </w:p>
        </w:tc>
      </w:tr>
      <w:tr w:rsidR="007263DF" w:rsidRPr="00841586" w14:paraId="70ED9238" w14:textId="77777777" w:rsidTr="007263DF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D0DB4F3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maquinaria y equipo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1E3C57E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0.10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A1C317C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0.29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6A36386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0.28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52DE0B9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0.27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C12F944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-1.90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EF17A4C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-1.73</w:t>
            </w:r>
          </w:p>
        </w:tc>
      </w:tr>
      <w:tr w:rsidR="007263DF" w:rsidRPr="00841586" w14:paraId="30F7FA6D" w14:textId="77777777" w:rsidTr="007263DF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650F5BAA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equipo de computación, comunicación, medición y de otros equipos, componentes y accesorios electrónicos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93C6333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CB65838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-0.14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A633B21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-0.14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BE03237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0.54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2F31790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-1.77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2DBAFE7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-1.59</w:t>
            </w:r>
          </w:p>
        </w:tc>
      </w:tr>
      <w:tr w:rsidR="007263DF" w:rsidRPr="00841586" w14:paraId="7F738880" w14:textId="77777777" w:rsidTr="007263DF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344EE258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accesorios, aparatos eléctricos y equipo de generación de energía eléctrica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14E0D07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0.04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A56B530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-0.06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B71BEA4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-0.05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5AB6901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5.67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BE81385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2.24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141AC15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2.60</w:t>
            </w:r>
          </w:p>
        </w:tc>
      </w:tr>
      <w:tr w:rsidR="007263DF" w:rsidRPr="00841586" w14:paraId="534BC117" w14:textId="77777777" w:rsidTr="007263DF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E48A5D7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equipo de transporte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40EEF04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-0.06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BF431FD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-0.03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22E7FF8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-0.03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CF00464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-1.58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EE54C1E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0.82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DA5F8EF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0.58</w:t>
            </w:r>
          </w:p>
        </w:tc>
      </w:tr>
      <w:tr w:rsidR="007263DF" w:rsidRPr="00841586" w14:paraId="006AC797" w14:textId="77777777" w:rsidTr="007263DF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C3B6826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muebles, colchones y persianas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E1736A6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B9844A9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0.07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B8EF6BD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0.07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69C875B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21.17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E01679A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4.16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6F06BF7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4.16</w:t>
            </w:r>
          </w:p>
        </w:tc>
      </w:tr>
      <w:tr w:rsidR="007263DF" w:rsidRPr="00841586" w14:paraId="7D216444" w14:textId="77777777" w:rsidTr="007263DF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B778BDA" w14:textId="77777777" w:rsidR="007263DF" w:rsidRPr="00841586" w:rsidRDefault="007263DF" w:rsidP="006A0B52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Otras industrias manufactureras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43CF32D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0.33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149E78B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0.14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B4487BA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0.16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F17C84F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3.49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E6C3B17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1.05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923CAA1" w14:textId="77777777" w:rsidR="007263DF" w:rsidRPr="00574002" w:rsidRDefault="007263DF" w:rsidP="007263D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574002">
              <w:rPr>
                <w:bCs/>
                <w:color w:val="000000"/>
                <w:sz w:val="14"/>
                <w:szCs w:val="14"/>
              </w:rPr>
              <w:t>1.26</w:t>
            </w:r>
          </w:p>
        </w:tc>
      </w:tr>
    </w:tbl>
    <w:bookmarkEnd w:id="4"/>
    <w:p w14:paraId="0988DD5E" w14:textId="77777777" w:rsidR="0054304E" w:rsidRPr="008D68CA" w:rsidRDefault="0054304E" w:rsidP="0054304E">
      <w:pPr>
        <w:autoSpaceDE w:val="0"/>
        <w:autoSpaceDN w:val="0"/>
        <w:adjustRightInd w:val="0"/>
        <w:ind w:left="283" w:right="113" w:hanging="170"/>
        <w:rPr>
          <w:sz w:val="16"/>
          <w:szCs w:val="14"/>
        </w:rPr>
      </w:pPr>
      <w:r w:rsidRPr="008D68CA">
        <w:rPr>
          <w:sz w:val="16"/>
          <w:szCs w:val="14"/>
          <w:vertAlign w:val="superscript"/>
        </w:rPr>
        <w:t>1/</w:t>
      </w:r>
      <w:r w:rsidRPr="008D68CA">
        <w:rPr>
          <w:sz w:val="16"/>
          <w:szCs w:val="14"/>
          <w:vertAlign w:val="superscript"/>
        </w:rPr>
        <w:tab/>
      </w:r>
      <w:r w:rsidRPr="008D68CA">
        <w:rPr>
          <w:sz w:val="14"/>
          <w:szCs w:val="14"/>
        </w:rPr>
        <w:t xml:space="preserve">Las variaciones anuales durante el primer año del INPP base julio </w:t>
      </w:r>
      <w:r>
        <w:rPr>
          <w:sz w:val="14"/>
          <w:szCs w:val="14"/>
        </w:rPr>
        <w:t xml:space="preserve">de </w:t>
      </w:r>
      <w:r w:rsidRPr="008D68CA">
        <w:rPr>
          <w:sz w:val="14"/>
          <w:szCs w:val="14"/>
        </w:rPr>
        <w:t>2019 se continuarán comparando con el índice de la base anterior</w:t>
      </w:r>
      <w:r>
        <w:rPr>
          <w:sz w:val="14"/>
          <w:szCs w:val="14"/>
        </w:rPr>
        <w:t>.</w:t>
      </w:r>
    </w:p>
    <w:p w14:paraId="67B0F390" w14:textId="77777777" w:rsidR="004D5C5B" w:rsidRDefault="004D5C5B" w:rsidP="00A242B6">
      <w:pPr>
        <w:pStyle w:val="n01"/>
        <w:keepNext/>
        <w:spacing w:before="480"/>
        <w:ind w:left="709" w:firstLine="0"/>
        <w:rPr>
          <w:rFonts w:ascii="Arial" w:hAnsi="Arial"/>
          <w:b/>
          <w:i/>
          <w:snapToGrid w:val="0"/>
          <w:color w:val="000000"/>
        </w:rPr>
      </w:pPr>
      <w:r w:rsidRPr="00D8762C">
        <w:rPr>
          <w:rFonts w:ascii="Arial" w:hAnsi="Arial"/>
          <w:b/>
          <w:i/>
          <w:snapToGrid w:val="0"/>
          <w:color w:val="000000"/>
        </w:rPr>
        <w:t>Actividades Terciarias</w:t>
      </w:r>
    </w:p>
    <w:p w14:paraId="0A7CD840" w14:textId="275342F8" w:rsidR="004D5C5B" w:rsidRDefault="00633B0E" w:rsidP="00A242B6">
      <w:pPr>
        <w:autoSpaceDE w:val="0"/>
        <w:autoSpaceDN w:val="0"/>
        <w:adjustRightInd w:val="0"/>
        <w:spacing w:before="280"/>
      </w:pPr>
      <w:r w:rsidRPr="00A242B6">
        <w:t xml:space="preserve">Los precios de las Actividades Terciarias presentaron un </w:t>
      </w:r>
      <w:r w:rsidR="003D5B8A">
        <w:t>crecimi</w:t>
      </w:r>
      <w:r w:rsidRPr="00A242B6">
        <w:t>ento m</w:t>
      </w:r>
      <w:r>
        <w:t>ensual de 0.85% durante diciembre</w:t>
      </w:r>
      <w:r w:rsidRPr="00A242B6">
        <w:t xml:space="preserve"> de</w:t>
      </w:r>
      <w:r w:rsidR="003D5B8A">
        <w:t xml:space="preserve"> 2019</w:t>
      </w:r>
      <w:r w:rsidRPr="00A242B6">
        <w:t xml:space="preserve">. Los sectores económicos que registraron </w:t>
      </w:r>
      <w:r>
        <w:t>l</w:t>
      </w:r>
      <w:r w:rsidRPr="00A242B6">
        <w:t xml:space="preserve">a mayor alza mensual fueron: </w:t>
      </w:r>
      <w:r w:rsidRPr="00DC6961">
        <w:t>Transportes, correos y almacenamiento</w:t>
      </w:r>
      <w:r>
        <w:t xml:space="preserve"> con 2.58%,</w:t>
      </w:r>
      <w:r w:rsidRPr="00A242B6">
        <w:t xml:space="preserve"> </w:t>
      </w:r>
      <w:r w:rsidRPr="00DC6961">
        <w:t>Servicios de alojamiento temporal y de pr</w:t>
      </w:r>
      <w:r>
        <w:t>eparación de alimentos y bebidas 1.14%</w:t>
      </w:r>
      <w:r w:rsidRPr="00A242B6">
        <w:t xml:space="preserve"> y el de </w:t>
      </w:r>
      <w:r w:rsidRPr="00DC6961">
        <w:t>Servicios de apoyo a los negocios y manejo de desechos y servicios de remediación</w:t>
      </w:r>
      <w:r>
        <w:t xml:space="preserve"> </w:t>
      </w:r>
      <w:r w:rsidRPr="00A242B6">
        <w:t>co</w:t>
      </w:r>
      <w:r>
        <w:t>n 0.50</w:t>
      </w:r>
      <w:r w:rsidRPr="00A242B6">
        <w:t xml:space="preserve"> por ciento</w:t>
      </w:r>
      <w:r w:rsidR="00420C77">
        <w:t>.</w:t>
      </w:r>
    </w:p>
    <w:p w14:paraId="02A9825C" w14:textId="77777777" w:rsidR="00533AAC" w:rsidRDefault="00533AAC">
      <w:pPr>
        <w:jc w:val="left"/>
        <w:rPr>
          <w:b/>
          <w:snapToGrid w:val="0"/>
          <w:u w:val="single"/>
        </w:rPr>
      </w:pPr>
      <w:r>
        <w:rPr>
          <w:b/>
          <w:snapToGrid w:val="0"/>
          <w:u w:val="single"/>
        </w:rPr>
        <w:br w:type="page"/>
      </w:r>
    </w:p>
    <w:p w14:paraId="7280C246" w14:textId="4B6F29F5" w:rsidR="004D5C5B" w:rsidRPr="00875DDC" w:rsidRDefault="004D5C5B" w:rsidP="004D5C5B">
      <w:pPr>
        <w:autoSpaceDE w:val="0"/>
        <w:autoSpaceDN w:val="0"/>
        <w:adjustRightInd w:val="0"/>
        <w:spacing w:before="240"/>
        <w:rPr>
          <w:b/>
          <w:snapToGrid w:val="0"/>
          <w:u w:val="single"/>
        </w:rPr>
      </w:pPr>
      <w:r w:rsidRPr="00875DDC">
        <w:rPr>
          <w:b/>
          <w:snapToGrid w:val="0"/>
          <w:u w:val="single"/>
        </w:rPr>
        <w:lastRenderedPageBreak/>
        <w:t>BIENES INTERMEDIOS</w:t>
      </w:r>
    </w:p>
    <w:p w14:paraId="38A29250" w14:textId="7C07422F" w:rsidR="00A242B6" w:rsidRPr="00A242B6" w:rsidRDefault="00F85511" w:rsidP="00A242B6">
      <w:pPr>
        <w:autoSpaceDE w:val="0"/>
        <w:autoSpaceDN w:val="0"/>
        <w:adjustRightInd w:val="0"/>
        <w:spacing w:before="280"/>
        <w:rPr>
          <w:snapToGrid w:val="0"/>
        </w:rPr>
      </w:pPr>
      <w:r w:rsidRPr="00A242B6">
        <w:rPr>
          <w:snapToGrid w:val="0"/>
        </w:rPr>
        <w:t xml:space="preserve">El Índice de Mercancías y Servicios de Uso Intermedio, incluyendo petróleo, mostró un </w:t>
      </w:r>
      <w:r w:rsidR="005D3875">
        <w:rPr>
          <w:snapToGrid w:val="0"/>
        </w:rPr>
        <w:t xml:space="preserve">incremento </w:t>
      </w:r>
      <w:r>
        <w:rPr>
          <w:snapToGrid w:val="0"/>
        </w:rPr>
        <w:t>mensual de 0.53%</w:t>
      </w:r>
      <w:r w:rsidRPr="00A242B6">
        <w:rPr>
          <w:snapToGrid w:val="0"/>
        </w:rPr>
        <w:t xml:space="preserve"> y </w:t>
      </w:r>
      <w:r>
        <w:rPr>
          <w:snapToGrid w:val="0"/>
        </w:rPr>
        <w:t>una caíd</w:t>
      </w:r>
      <w:r w:rsidR="003D5B8A">
        <w:rPr>
          <w:snapToGrid w:val="0"/>
        </w:rPr>
        <w:t>a anual de (</w:t>
      </w:r>
      <w:r w:rsidR="003D5B8A">
        <w:rPr>
          <w:snapToGrid w:val="0"/>
        </w:rPr>
        <w:noBreakHyphen/>
        <w:t xml:space="preserve">)0.76% </w:t>
      </w:r>
      <w:r>
        <w:rPr>
          <w:snapToGrid w:val="0"/>
        </w:rPr>
        <w:t>en el último</w:t>
      </w:r>
      <w:r w:rsidRPr="00A242B6">
        <w:rPr>
          <w:snapToGrid w:val="0"/>
        </w:rPr>
        <w:t xml:space="preserve"> mes de 2019</w:t>
      </w:r>
      <w:r w:rsidR="00A242B6" w:rsidRPr="00A242B6">
        <w:rPr>
          <w:snapToGrid w:val="0"/>
        </w:rPr>
        <w:t>.</w:t>
      </w:r>
    </w:p>
    <w:p w14:paraId="21D04792" w14:textId="32E0363B" w:rsidR="004D5C5B" w:rsidRDefault="00F85511" w:rsidP="00A242B6">
      <w:pPr>
        <w:autoSpaceDE w:val="0"/>
        <w:autoSpaceDN w:val="0"/>
        <w:adjustRightInd w:val="0"/>
        <w:spacing w:before="280"/>
        <w:rPr>
          <w:snapToGrid w:val="0"/>
        </w:rPr>
      </w:pPr>
      <w:r w:rsidRPr="00F85511">
        <w:rPr>
          <w:snapToGrid w:val="0"/>
        </w:rPr>
        <w:t>Por grandes grupos de actividades económicas, los precios de las Actividades Primarias disminuyeron (</w:t>
      </w:r>
      <w:r>
        <w:rPr>
          <w:snapToGrid w:val="0"/>
        </w:rPr>
        <w:noBreakHyphen/>
      </w:r>
      <w:r w:rsidRPr="00F85511">
        <w:rPr>
          <w:snapToGrid w:val="0"/>
        </w:rPr>
        <w:t>)1.46% a tasa mensual y (</w:t>
      </w:r>
      <w:r>
        <w:rPr>
          <w:snapToGrid w:val="0"/>
        </w:rPr>
        <w:noBreakHyphen/>
      </w:r>
      <w:r w:rsidRPr="00F85511">
        <w:rPr>
          <w:snapToGrid w:val="0"/>
        </w:rPr>
        <w:t xml:space="preserve">)4.43% a tasa anual; los de las Actividades Secundarias crecieron 0.89% mensual y </w:t>
      </w:r>
      <w:r w:rsidR="003D5B8A">
        <w:rPr>
          <w:snapToGrid w:val="0"/>
        </w:rPr>
        <w:t>retrocedieron</w:t>
      </w:r>
      <w:r w:rsidRPr="00F85511">
        <w:rPr>
          <w:snapToGrid w:val="0"/>
        </w:rPr>
        <w:t xml:space="preserve"> (</w:t>
      </w:r>
      <w:r>
        <w:rPr>
          <w:snapToGrid w:val="0"/>
        </w:rPr>
        <w:noBreakHyphen/>
      </w:r>
      <w:r w:rsidRPr="00F85511">
        <w:rPr>
          <w:snapToGrid w:val="0"/>
        </w:rPr>
        <w:t>)1.52% anual, y los de las Actividades Terciarias subieron 0.53% mensual y 1.89% anual</w:t>
      </w:r>
      <w:r w:rsidR="004D5C5B">
        <w:rPr>
          <w:snapToGrid w:val="0"/>
        </w:rPr>
        <w:t xml:space="preserve">. </w:t>
      </w:r>
    </w:p>
    <w:p w14:paraId="4E567804" w14:textId="2386BAFC" w:rsidR="004D5C5B" w:rsidRPr="00E35E14" w:rsidRDefault="004D5C5B" w:rsidP="004D5C5B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Cuadro </w:t>
      </w:r>
      <w:r w:rsidR="00420C77">
        <w:rPr>
          <w:snapToGrid w:val="0"/>
          <w:sz w:val="20"/>
          <w:szCs w:val="20"/>
        </w:rPr>
        <w:t>5</w:t>
      </w:r>
    </w:p>
    <w:p w14:paraId="66471255" w14:textId="77777777" w:rsidR="004D5C5B" w:rsidRPr="00875DDC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ÍNDICE NACIONAL DE PRECIOS PRODUCTOR </w:t>
      </w:r>
    </w:p>
    <w:p w14:paraId="4F9741C3" w14:textId="77777777" w:rsidR="004D5C5B" w:rsidRPr="00875DDC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>MERCANCÍAS Y SERVICIOS DE USO INTERMEDIO,</w:t>
      </w:r>
    </w:p>
    <w:p w14:paraId="78C2AB7B" w14:textId="42CE24EE" w:rsidR="004D5C5B" w:rsidRPr="00875DDC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DC48FE">
        <w:rPr>
          <w:b/>
          <w:snapToGrid w:val="0"/>
          <w:sz w:val="22"/>
          <w:szCs w:val="22"/>
        </w:rPr>
        <w:t>INCLUYENDO PETRÓLEO</w:t>
      </w:r>
      <w:r w:rsidRPr="00875DDC">
        <w:rPr>
          <w:b/>
          <w:snapToGrid w:val="0"/>
          <w:sz w:val="22"/>
          <w:szCs w:val="22"/>
        </w:rPr>
        <w:t xml:space="preserve">, DURANTE </w:t>
      </w:r>
      <w:r w:rsidR="00F85511">
        <w:rPr>
          <w:b/>
          <w:bCs/>
          <w:color w:val="000000"/>
          <w:spacing w:val="1"/>
          <w:sz w:val="22"/>
          <w:szCs w:val="22"/>
        </w:rPr>
        <w:t>DIC</w:t>
      </w:r>
      <w:r w:rsidR="00A242B6">
        <w:rPr>
          <w:b/>
          <w:bCs/>
          <w:color w:val="000000"/>
          <w:spacing w:val="1"/>
          <w:sz w:val="22"/>
          <w:szCs w:val="22"/>
        </w:rPr>
        <w:t>IEM</w:t>
      </w:r>
      <w:r>
        <w:rPr>
          <w:b/>
          <w:bCs/>
          <w:color w:val="000000"/>
          <w:spacing w:val="1"/>
          <w:sz w:val="22"/>
          <w:szCs w:val="22"/>
        </w:rPr>
        <w:t>BRE</w:t>
      </w:r>
    </w:p>
    <w:p w14:paraId="5F397F20" w14:textId="2CE194A0" w:rsidR="004D5C5B" w:rsidRDefault="004D5C5B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 w:rsidRPr="0092783E">
        <w:rPr>
          <w:snapToGrid w:val="0"/>
          <w:sz w:val="18"/>
          <w:szCs w:val="18"/>
        </w:rPr>
        <w:t xml:space="preserve">Variación porcentual </w:t>
      </w:r>
      <w:r>
        <w:rPr>
          <w:snapToGrid w:val="0"/>
          <w:sz w:val="18"/>
          <w:szCs w:val="18"/>
        </w:rPr>
        <w:t xml:space="preserve">durante </w:t>
      </w:r>
      <w:r w:rsidR="00F85511">
        <w:rPr>
          <w:snapToGrid w:val="0"/>
          <w:sz w:val="18"/>
          <w:szCs w:val="18"/>
        </w:rPr>
        <w:t>dic</w:t>
      </w:r>
      <w:r w:rsidR="00A242B6">
        <w:rPr>
          <w:snapToGrid w:val="0"/>
          <w:sz w:val="18"/>
          <w:szCs w:val="18"/>
        </w:rPr>
        <w:t>iem</w:t>
      </w:r>
      <w:r>
        <w:rPr>
          <w:snapToGrid w:val="0"/>
          <w:sz w:val="18"/>
          <w:szCs w:val="18"/>
        </w:rPr>
        <w:t xml:space="preserve">bre </w:t>
      </w:r>
      <w:r w:rsidRPr="0092783E">
        <w:rPr>
          <w:snapToGrid w:val="0"/>
          <w:sz w:val="18"/>
          <w:szCs w:val="18"/>
        </w:rPr>
        <w:t>de los años que se indican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804"/>
        <w:gridCol w:w="805"/>
        <w:gridCol w:w="805"/>
        <w:gridCol w:w="805"/>
        <w:gridCol w:w="805"/>
        <w:gridCol w:w="805"/>
      </w:tblGrid>
      <w:tr w:rsidR="007263DF" w:rsidRPr="00A9663B" w14:paraId="6322BD26" w14:textId="77777777" w:rsidTr="007263DF">
        <w:trPr>
          <w:trHeight w:val="255"/>
          <w:jc w:val="center"/>
        </w:trPr>
        <w:tc>
          <w:tcPr>
            <w:tcW w:w="4555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640261C" w14:textId="77777777" w:rsidR="007263DF" w:rsidRPr="00A9663B" w:rsidRDefault="007263DF" w:rsidP="007263DF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bookmarkStart w:id="5" w:name="_Hlk2757867"/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14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602B5C0" w14:textId="77777777" w:rsidR="007263DF" w:rsidRPr="00A9663B" w:rsidRDefault="007263DF" w:rsidP="007263DF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Variación mensual</w:t>
            </w:r>
          </w:p>
        </w:tc>
        <w:tc>
          <w:tcPr>
            <w:tcW w:w="2415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103355B" w14:textId="77777777" w:rsidR="007263DF" w:rsidRPr="00A9663B" w:rsidRDefault="007263DF" w:rsidP="007263DF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Variación anual</w:t>
            </w: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C51721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</w:tr>
      <w:tr w:rsidR="007263DF" w:rsidRPr="00A9663B" w14:paraId="02734819" w14:textId="77777777" w:rsidTr="007263DF">
        <w:trPr>
          <w:trHeight w:val="255"/>
          <w:jc w:val="center"/>
        </w:trPr>
        <w:tc>
          <w:tcPr>
            <w:tcW w:w="4555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46BF3385" w14:textId="77777777" w:rsidR="007263DF" w:rsidRPr="00A9663B" w:rsidRDefault="007263DF" w:rsidP="007263DF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4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028518E" w14:textId="77777777" w:rsidR="007263DF" w:rsidRPr="00A9663B" w:rsidRDefault="007263DF" w:rsidP="007263D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15CD7F11" w14:textId="77777777" w:rsidR="007263DF" w:rsidRPr="00A9663B" w:rsidRDefault="007263DF" w:rsidP="007263D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79077C9" w14:textId="77777777" w:rsidR="007263DF" w:rsidRPr="00A9663B" w:rsidRDefault="007263DF" w:rsidP="007263D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C500DDF" w14:textId="77777777" w:rsidR="007263DF" w:rsidRPr="00A9663B" w:rsidRDefault="007263DF" w:rsidP="007263D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630F22A" w14:textId="77777777" w:rsidR="007263DF" w:rsidRPr="00A9663B" w:rsidRDefault="007263DF" w:rsidP="007263D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EC6FA0C" w14:textId="77777777" w:rsidR="007263DF" w:rsidRPr="00A9663B" w:rsidRDefault="007263DF" w:rsidP="007263D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7263DF" w:rsidRPr="00841586" w14:paraId="16795693" w14:textId="77777777" w:rsidTr="007263DF">
        <w:trPr>
          <w:trHeight w:val="227"/>
          <w:jc w:val="center"/>
        </w:trPr>
        <w:tc>
          <w:tcPr>
            <w:tcW w:w="455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BA1A13B" w14:textId="77777777" w:rsidR="007263DF" w:rsidRPr="00841586" w:rsidRDefault="007263DF" w:rsidP="007263DF">
            <w:pPr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04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2B3061E" w14:textId="77777777" w:rsidR="007263DF" w:rsidRPr="00FC550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C550F">
              <w:rPr>
                <w:b/>
                <w:bCs/>
                <w:color w:val="000000"/>
                <w:sz w:val="14"/>
                <w:szCs w:val="14"/>
              </w:rPr>
              <w:t>0.66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8FE616C" w14:textId="77777777" w:rsidR="007263DF" w:rsidRPr="00FC550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C550F">
              <w:rPr>
                <w:b/>
                <w:bCs/>
                <w:color w:val="000000"/>
                <w:sz w:val="14"/>
                <w:szCs w:val="14"/>
              </w:rPr>
              <w:t>-1.13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1EC52BC" w14:textId="77777777" w:rsidR="007263DF" w:rsidRPr="00FC550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C550F">
              <w:rPr>
                <w:b/>
                <w:bCs/>
                <w:color w:val="000000"/>
                <w:sz w:val="14"/>
                <w:szCs w:val="14"/>
              </w:rPr>
              <w:t>0.53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22EE2B8" w14:textId="77777777" w:rsidR="007263DF" w:rsidRPr="00FC550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C550F">
              <w:rPr>
                <w:b/>
                <w:bCs/>
                <w:color w:val="000000"/>
                <w:sz w:val="14"/>
                <w:szCs w:val="14"/>
              </w:rPr>
              <w:t>6.31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BBC8051" w14:textId="77777777" w:rsidR="007263DF" w:rsidRPr="00FC550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C550F">
              <w:rPr>
                <w:b/>
                <w:bCs/>
                <w:color w:val="000000"/>
                <w:sz w:val="14"/>
                <w:szCs w:val="14"/>
              </w:rPr>
              <w:t>6.95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993643E" w14:textId="77777777" w:rsidR="007263DF" w:rsidRPr="00FC550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C550F">
              <w:rPr>
                <w:b/>
                <w:bCs/>
                <w:color w:val="000000"/>
                <w:sz w:val="14"/>
                <w:szCs w:val="14"/>
              </w:rPr>
              <w:t>-0.76</w:t>
            </w:r>
          </w:p>
        </w:tc>
      </w:tr>
      <w:tr w:rsidR="007263DF" w:rsidRPr="00841586" w14:paraId="39925752" w14:textId="77777777" w:rsidTr="007263DF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7FAF3C8" w14:textId="77777777" w:rsidR="007263DF" w:rsidRPr="00841586" w:rsidRDefault="007263DF" w:rsidP="006A0B52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1672A35" w14:textId="77777777" w:rsidR="007263DF" w:rsidRPr="00FC550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C550F">
              <w:rPr>
                <w:b/>
                <w:bCs/>
                <w:color w:val="000000"/>
                <w:sz w:val="14"/>
                <w:szCs w:val="14"/>
              </w:rPr>
              <w:t>0.74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DCAF1F7" w14:textId="77777777" w:rsidR="007263DF" w:rsidRPr="00FC550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C550F">
              <w:rPr>
                <w:b/>
                <w:bCs/>
                <w:color w:val="000000"/>
                <w:sz w:val="14"/>
                <w:szCs w:val="14"/>
              </w:rPr>
              <w:t>0.27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DB19236" w14:textId="77777777" w:rsidR="007263DF" w:rsidRPr="00FC550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C550F">
              <w:rPr>
                <w:b/>
                <w:bCs/>
                <w:color w:val="000000"/>
                <w:sz w:val="14"/>
                <w:szCs w:val="14"/>
              </w:rPr>
              <w:t>-1.46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042DBD6" w14:textId="77777777" w:rsidR="007263DF" w:rsidRPr="00FC550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C550F">
              <w:rPr>
                <w:b/>
                <w:bCs/>
                <w:color w:val="000000"/>
                <w:sz w:val="14"/>
                <w:szCs w:val="14"/>
              </w:rPr>
              <w:t>4.14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FF87FC0" w14:textId="77777777" w:rsidR="007263DF" w:rsidRPr="00FC550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C550F">
              <w:rPr>
                <w:b/>
                <w:bCs/>
                <w:color w:val="000000"/>
                <w:sz w:val="14"/>
                <w:szCs w:val="14"/>
              </w:rPr>
              <w:t>4.76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B49CEE0" w14:textId="77777777" w:rsidR="007263DF" w:rsidRPr="00FC550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C550F">
              <w:rPr>
                <w:b/>
                <w:bCs/>
                <w:color w:val="000000"/>
                <w:sz w:val="14"/>
                <w:szCs w:val="14"/>
              </w:rPr>
              <w:t>-4.43</w:t>
            </w:r>
          </w:p>
        </w:tc>
      </w:tr>
      <w:tr w:rsidR="007263DF" w:rsidRPr="00841586" w14:paraId="7237FE5F" w14:textId="77777777" w:rsidTr="007263DF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E2CA680" w14:textId="77777777" w:rsidR="007263DF" w:rsidRPr="00841586" w:rsidRDefault="007263DF" w:rsidP="006A0B52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1FC61CD" w14:textId="77777777" w:rsidR="007263DF" w:rsidRPr="00FC550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C550F">
              <w:rPr>
                <w:b/>
                <w:bCs/>
                <w:color w:val="000000"/>
                <w:sz w:val="14"/>
                <w:szCs w:val="14"/>
              </w:rPr>
              <w:t>0.64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A40E57D" w14:textId="77777777" w:rsidR="007263DF" w:rsidRPr="00FC550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C550F">
              <w:rPr>
                <w:b/>
                <w:bCs/>
                <w:color w:val="000000"/>
                <w:sz w:val="14"/>
                <w:szCs w:val="14"/>
              </w:rPr>
              <w:t>-2.17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6B0DB75" w14:textId="77777777" w:rsidR="007263DF" w:rsidRPr="00FC550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C550F">
              <w:rPr>
                <w:b/>
                <w:bCs/>
                <w:color w:val="000000"/>
                <w:sz w:val="14"/>
                <w:szCs w:val="14"/>
              </w:rPr>
              <w:t>0.89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9DFD253" w14:textId="77777777" w:rsidR="007263DF" w:rsidRPr="00FC550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C550F">
              <w:rPr>
                <w:b/>
                <w:bCs/>
                <w:color w:val="000000"/>
                <w:sz w:val="14"/>
                <w:szCs w:val="14"/>
              </w:rPr>
              <w:t>8.05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A94842F" w14:textId="77777777" w:rsidR="007263DF" w:rsidRPr="00FC550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C550F">
              <w:rPr>
                <w:b/>
                <w:bCs/>
                <w:color w:val="000000"/>
                <w:sz w:val="14"/>
                <w:szCs w:val="14"/>
              </w:rPr>
              <w:t>8.77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E9FC43C" w14:textId="77777777" w:rsidR="007263DF" w:rsidRPr="00FC550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C550F">
              <w:rPr>
                <w:b/>
                <w:bCs/>
                <w:color w:val="000000"/>
                <w:sz w:val="14"/>
                <w:szCs w:val="14"/>
              </w:rPr>
              <w:t>-1.52</w:t>
            </w:r>
          </w:p>
        </w:tc>
      </w:tr>
      <w:tr w:rsidR="007263DF" w:rsidRPr="00841586" w14:paraId="78A07BDF" w14:textId="77777777" w:rsidTr="007263DF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92674C6" w14:textId="77777777" w:rsidR="007263DF" w:rsidRPr="00841586" w:rsidRDefault="007263DF" w:rsidP="006A0B52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35AD049" w14:textId="77777777" w:rsidR="007263DF" w:rsidRPr="00FC550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FC550F">
              <w:rPr>
                <w:bCs/>
                <w:color w:val="000000"/>
                <w:sz w:val="14"/>
                <w:szCs w:val="14"/>
              </w:rPr>
              <w:t>1.45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DF539C4" w14:textId="77777777" w:rsidR="007263DF" w:rsidRPr="00FC550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FC550F">
              <w:rPr>
                <w:bCs/>
                <w:color w:val="000000"/>
                <w:sz w:val="14"/>
                <w:szCs w:val="14"/>
              </w:rPr>
              <w:t>-7.94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3B5E559" w14:textId="77777777" w:rsidR="007263DF" w:rsidRPr="00FC550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FC550F">
              <w:rPr>
                <w:bCs/>
                <w:color w:val="000000"/>
                <w:sz w:val="14"/>
                <w:szCs w:val="14"/>
              </w:rPr>
              <w:t>4.37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42C7CAC" w14:textId="77777777" w:rsidR="007263DF" w:rsidRPr="00FC550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FC550F">
              <w:rPr>
                <w:bCs/>
                <w:color w:val="000000"/>
                <w:sz w:val="14"/>
                <w:szCs w:val="14"/>
              </w:rPr>
              <w:t>13.51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9B79732" w14:textId="77777777" w:rsidR="007263DF" w:rsidRPr="00FC550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FC550F">
              <w:rPr>
                <w:bCs/>
                <w:color w:val="000000"/>
                <w:sz w:val="14"/>
                <w:szCs w:val="14"/>
              </w:rPr>
              <w:t>6.57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330224B" w14:textId="77777777" w:rsidR="007263DF" w:rsidRPr="00FC550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FC550F">
              <w:rPr>
                <w:bCs/>
                <w:color w:val="000000"/>
                <w:sz w:val="14"/>
                <w:szCs w:val="14"/>
              </w:rPr>
              <w:t>-1.24</w:t>
            </w:r>
          </w:p>
        </w:tc>
      </w:tr>
      <w:tr w:rsidR="007263DF" w:rsidRPr="00841586" w14:paraId="4F6D3675" w14:textId="77777777" w:rsidTr="007263DF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3FBD180B" w14:textId="77777777" w:rsidR="007263DF" w:rsidRPr="00841586" w:rsidRDefault="007263DF" w:rsidP="006A0B52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450258D" w14:textId="77777777" w:rsidR="007263DF" w:rsidRPr="00FC550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FC550F">
              <w:rPr>
                <w:bCs/>
                <w:color w:val="000000"/>
                <w:sz w:val="14"/>
                <w:szCs w:val="14"/>
              </w:rPr>
              <w:t>0.59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1BD7DF9" w14:textId="77777777" w:rsidR="007263DF" w:rsidRPr="00FC550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FC550F">
              <w:rPr>
                <w:bCs/>
                <w:color w:val="000000"/>
                <w:sz w:val="14"/>
                <w:szCs w:val="14"/>
              </w:rPr>
              <w:t>-5.36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D967492" w14:textId="77777777" w:rsidR="007263DF" w:rsidRPr="00FC550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FC550F">
              <w:rPr>
                <w:bCs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003114F" w14:textId="77777777" w:rsidR="007263DF" w:rsidRPr="00FC550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FC550F">
              <w:rPr>
                <w:bCs/>
                <w:color w:val="000000"/>
                <w:sz w:val="14"/>
                <w:szCs w:val="14"/>
              </w:rPr>
              <w:t>8.18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0BBB85F" w14:textId="77777777" w:rsidR="007263DF" w:rsidRPr="00FC550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FC550F">
              <w:rPr>
                <w:bCs/>
                <w:color w:val="000000"/>
                <w:sz w:val="14"/>
                <w:szCs w:val="14"/>
              </w:rPr>
              <w:t>12.21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C9D08F4" w14:textId="77777777" w:rsidR="007263DF" w:rsidRPr="00FC550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FC550F">
              <w:rPr>
                <w:bCs/>
                <w:color w:val="000000"/>
                <w:sz w:val="14"/>
                <w:szCs w:val="14"/>
              </w:rPr>
              <w:t>2.63</w:t>
            </w:r>
          </w:p>
        </w:tc>
      </w:tr>
      <w:tr w:rsidR="007263DF" w:rsidRPr="00841586" w14:paraId="196EB365" w14:textId="77777777" w:rsidTr="007263DF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BCEFABA" w14:textId="77777777" w:rsidR="007263DF" w:rsidRPr="00841586" w:rsidRDefault="007263DF" w:rsidP="006A0B52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E756B57" w14:textId="77777777" w:rsidR="007263DF" w:rsidRPr="00FC550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FC550F">
              <w:rPr>
                <w:bCs/>
                <w:color w:val="000000"/>
                <w:sz w:val="14"/>
                <w:szCs w:val="14"/>
              </w:rPr>
              <w:t>0.46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9A3C42B" w14:textId="77777777" w:rsidR="007263DF" w:rsidRPr="00FC550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FC550F">
              <w:rPr>
                <w:bCs/>
                <w:color w:val="000000"/>
                <w:sz w:val="14"/>
                <w:szCs w:val="14"/>
              </w:rPr>
              <w:t>-0.36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AA97E1C" w14:textId="77777777" w:rsidR="007263DF" w:rsidRPr="00FC550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FC550F">
              <w:rPr>
                <w:bCs/>
                <w:color w:val="000000"/>
                <w:sz w:val="14"/>
                <w:szCs w:val="14"/>
              </w:rPr>
              <w:t>0.35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357E5DE" w14:textId="77777777" w:rsidR="007263DF" w:rsidRPr="00FC550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FC550F">
              <w:rPr>
                <w:bCs/>
                <w:color w:val="000000"/>
                <w:sz w:val="14"/>
                <w:szCs w:val="14"/>
              </w:rPr>
              <w:t>6.86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E1A4C7D" w14:textId="77777777" w:rsidR="007263DF" w:rsidRPr="00FC550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FC550F">
              <w:rPr>
                <w:bCs/>
                <w:color w:val="000000"/>
                <w:sz w:val="14"/>
                <w:szCs w:val="14"/>
              </w:rPr>
              <w:t>8.88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1F54541" w14:textId="77777777" w:rsidR="007263DF" w:rsidRPr="00FC550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FC550F">
              <w:rPr>
                <w:bCs/>
                <w:color w:val="000000"/>
                <w:sz w:val="14"/>
                <w:szCs w:val="14"/>
              </w:rPr>
              <w:t>-2.12</w:t>
            </w:r>
          </w:p>
        </w:tc>
      </w:tr>
      <w:tr w:rsidR="007263DF" w:rsidRPr="00841586" w14:paraId="4F5FF410" w14:textId="77777777" w:rsidTr="007263DF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6E4E8EE" w14:textId="77777777" w:rsidR="007263DF" w:rsidRPr="00841586" w:rsidRDefault="007263DF" w:rsidP="006A0B52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6C8D7FD" w14:textId="77777777" w:rsidR="007263DF" w:rsidRPr="00FC550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C550F">
              <w:rPr>
                <w:b/>
                <w:bCs/>
                <w:color w:val="000000"/>
                <w:sz w:val="14"/>
                <w:szCs w:val="14"/>
              </w:rPr>
              <w:t>0.67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212E378" w14:textId="77777777" w:rsidR="007263DF" w:rsidRPr="00FC550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C550F">
              <w:rPr>
                <w:b/>
                <w:bCs/>
                <w:color w:val="000000"/>
                <w:sz w:val="14"/>
                <w:szCs w:val="14"/>
              </w:rPr>
              <w:t>0.69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9AD5546" w14:textId="77777777" w:rsidR="007263DF" w:rsidRPr="00FC550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C550F">
              <w:rPr>
                <w:b/>
                <w:bCs/>
                <w:color w:val="000000"/>
                <w:sz w:val="14"/>
                <w:szCs w:val="14"/>
              </w:rPr>
              <w:t>0.53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9AD40CF" w14:textId="77777777" w:rsidR="007263DF" w:rsidRPr="00FC550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C550F">
              <w:rPr>
                <w:b/>
                <w:bCs/>
                <w:color w:val="000000"/>
                <w:sz w:val="14"/>
                <w:szCs w:val="14"/>
              </w:rPr>
              <w:t>3.61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69C31FF" w14:textId="77777777" w:rsidR="007263DF" w:rsidRPr="00FC550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C550F">
              <w:rPr>
                <w:b/>
                <w:bCs/>
                <w:color w:val="000000"/>
                <w:sz w:val="14"/>
                <w:szCs w:val="14"/>
              </w:rPr>
              <w:t>3.98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136D396" w14:textId="77777777" w:rsidR="007263DF" w:rsidRPr="00FC550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C550F">
              <w:rPr>
                <w:b/>
                <w:bCs/>
                <w:color w:val="000000"/>
                <w:sz w:val="14"/>
                <w:szCs w:val="14"/>
              </w:rPr>
              <w:t>1.89</w:t>
            </w:r>
          </w:p>
        </w:tc>
      </w:tr>
    </w:tbl>
    <w:bookmarkEnd w:id="5"/>
    <w:p w14:paraId="2DB193E6" w14:textId="77777777" w:rsidR="0054304E" w:rsidRPr="008D68CA" w:rsidRDefault="0054304E" w:rsidP="0054304E">
      <w:pPr>
        <w:autoSpaceDE w:val="0"/>
        <w:autoSpaceDN w:val="0"/>
        <w:adjustRightInd w:val="0"/>
        <w:ind w:left="283" w:right="113" w:hanging="170"/>
        <w:rPr>
          <w:sz w:val="16"/>
          <w:szCs w:val="14"/>
        </w:rPr>
      </w:pPr>
      <w:r w:rsidRPr="008D68CA">
        <w:rPr>
          <w:sz w:val="16"/>
          <w:szCs w:val="14"/>
          <w:vertAlign w:val="superscript"/>
        </w:rPr>
        <w:t>1/</w:t>
      </w:r>
      <w:r w:rsidRPr="008D68CA">
        <w:rPr>
          <w:sz w:val="16"/>
          <w:szCs w:val="14"/>
          <w:vertAlign w:val="superscript"/>
        </w:rPr>
        <w:tab/>
      </w:r>
      <w:r w:rsidRPr="008D68CA">
        <w:rPr>
          <w:sz w:val="14"/>
          <w:szCs w:val="14"/>
        </w:rPr>
        <w:t xml:space="preserve">Las variaciones anuales durante el primer año del INPP base julio </w:t>
      </w:r>
      <w:r>
        <w:rPr>
          <w:sz w:val="14"/>
          <w:szCs w:val="14"/>
        </w:rPr>
        <w:t xml:space="preserve">de </w:t>
      </w:r>
      <w:r w:rsidRPr="008D68CA">
        <w:rPr>
          <w:sz w:val="14"/>
          <w:szCs w:val="14"/>
        </w:rPr>
        <w:t>2019 se continuarán comparando con el índice de la base anterior</w:t>
      </w:r>
      <w:r>
        <w:rPr>
          <w:sz w:val="14"/>
          <w:szCs w:val="14"/>
        </w:rPr>
        <w:t>.</w:t>
      </w:r>
    </w:p>
    <w:p w14:paraId="2DE910AF" w14:textId="33300E81" w:rsidR="004D5C5B" w:rsidRDefault="004D5C5B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</w:p>
    <w:p w14:paraId="76454B67" w14:textId="369026F8" w:rsidR="004D5C5B" w:rsidRDefault="004D5C5B" w:rsidP="00420C77">
      <w:pPr>
        <w:widowControl w:val="0"/>
        <w:autoSpaceDE w:val="0"/>
        <w:autoSpaceDN w:val="0"/>
        <w:adjustRightInd w:val="0"/>
        <w:spacing w:before="360"/>
        <w:rPr>
          <w:b/>
          <w:snapToGrid w:val="0"/>
          <w:u w:val="single"/>
        </w:rPr>
      </w:pPr>
      <w:r w:rsidRPr="00875DDC">
        <w:rPr>
          <w:b/>
          <w:snapToGrid w:val="0"/>
          <w:u w:val="single"/>
        </w:rPr>
        <w:t>BIENES FINALES</w:t>
      </w:r>
    </w:p>
    <w:p w14:paraId="5B6A9285" w14:textId="64A550FE" w:rsidR="004D5C5B" w:rsidRDefault="00F85511" w:rsidP="00126792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A92F52">
        <w:rPr>
          <w:snapToGrid w:val="0"/>
        </w:rPr>
        <w:t>El Índice de Mercancías y Servicios Finales, incluyendo petróleo, reportó un a</w:t>
      </w:r>
      <w:r>
        <w:rPr>
          <w:snapToGrid w:val="0"/>
        </w:rPr>
        <w:t>lza</w:t>
      </w:r>
      <w:r w:rsidRPr="00A92F52">
        <w:rPr>
          <w:snapToGrid w:val="0"/>
        </w:rPr>
        <w:t xml:space="preserve"> mensua</w:t>
      </w:r>
      <w:r>
        <w:rPr>
          <w:snapToGrid w:val="0"/>
        </w:rPr>
        <w:t>l de 0.45%</w:t>
      </w:r>
      <w:r w:rsidRPr="00A92F52">
        <w:rPr>
          <w:snapToGrid w:val="0"/>
        </w:rPr>
        <w:t xml:space="preserve"> y </w:t>
      </w:r>
      <w:r>
        <w:rPr>
          <w:snapToGrid w:val="0"/>
        </w:rPr>
        <w:t>de 1.71% a tasa anual durante diciembre</w:t>
      </w:r>
      <w:r w:rsidRPr="00A92F52">
        <w:rPr>
          <w:snapToGrid w:val="0"/>
        </w:rPr>
        <w:t xml:space="preserve"> de</w:t>
      </w:r>
      <w:r w:rsidR="00975E39">
        <w:rPr>
          <w:snapToGrid w:val="0"/>
        </w:rPr>
        <w:t>l</w:t>
      </w:r>
      <w:r w:rsidRPr="00A92F52">
        <w:rPr>
          <w:snapToGrid w:val="0"/>
        </w:rPr>
        <w:t xml:space="preserve"> año</w:t>
      </w:r>
      <w:r w:rsidR="00975E39">
        <w:rPr>
          <w:snapToGrid w:val="0"/>
        </w:rPr>
        <w:t xml:space="preserve"> que recién concluyó</w:t>
      </w:r>
      <w:r w:rsidR="004D5C5B">
        <w:rPr>
          <w:snapToGrid w:val="0"/>
        </w:rPr>
        <w:t>.</w:t>
      </w:r>
    </w:p>
    <w:p w14:paraId="2283EBEF" w14:textId="77777777" w:rsidR="004D5C5B" w:rsidRDefault="004D5C5B" w:rsidP="00126792">
      <w:pPr>
        <w:pStyle w:val="n01"/>
        <w:keepLines w:val="0"/>
        <w:widowControl w:val="0"/>
        <w:spacing w:before="360"/>
        <w:ind w:left="0" w:firstLine="709"/>
        <w:rPr>
          <w:b/>
          <w:i/>
          <w:snapToGrid w:val="0"/>
          <w:color w:val="000000"/>
        </w:rPr>
      </w:pPr>
      <w:r w:rsidRPr="006C0439">
        <w:rPr>
          <w:b/>
          <w:i/>
          <w:snapToGrid w:val="0"/>
          <w:color w:val="000000"/>
        </w:rPr>
        <w:t xml:space="preserve">Por </w:t>
      </w:r>
      <w:r>
        <w:rPr>
          <w:b/>
          <w:i/>
          <w:snapToGrid w:val="0"/>
          <w:color w:val="000000"/>
        </w:rPr>
        <w:t>o</w:t>
      </w:r>
      <w:r w:rsidRPr="006C0439">
        <w:rPr>
          <w:b/>
          <w:i/>
          <w:snapToGrid w:val="0"/>
          <w:color w:val="000000"/>
        </w:rPr>
        <w:t>rigen de la producción</w:t>
      </w:r>
      <w:r w:rsidRPr="005356AC">
        <w:rPr>
          <w:b/>
          <w:i/>
          <w:snapToGrid w:val="0"/>
          <w:color w:val="000000"/>
        </w:rPr>
        <w:t xml:space="preserve"> </w:t>
      </w:r>
    </w:p>
    <w:p w14:paraId="50452DA7" w14:textId="1CA2D80B" w:rsidR="00F85511" w:rsidRPr="0010647A" w:rsidRDefault="00F85511" w:rsidP="00F85511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10647A">
        <w:rPr>
          <w:snapToGrid w:val="0"/>
        </w:rPr>
        <w:t>Por grandes grupos de actividades económicas, los precios de las Actividade</w:t>
      </w:r>
      <w:r>
        <w:rPr>
          <w:snapToGrid w:val="0"/>
        </w:rPr>
        <w:t>s Primarias decrecieron (</w:t>
      </w:r>
      <w:r>
        <w:rPr>
          <w:snapToGrid w:val="0"/>
        </w:rPr>
        <w:noBreakHyphen/>
        <w:t>)0.64%,</w:t>
      </w:r>
      <w:r w:rsidR="005D3875">
        <w:rPr>
          <w:snapToGrid w:val="0"/>
        </w:rPr>
        <w:t xml:space="preserve"> en tanto que </w:t>
      </w:r>
      <w:r w:rsidRPr="0010647A">
        <w:rPr>
          <w:snapToGrid w:val="0"/>
        </w:rPr>
        <w:t>los de</w:t>
      </w:r>
      <w:r>
        <w:rPr>
          <w:snapToGrid w:val="0"/>
        </w:rPr>
        <w:t xml:space="preserve"> las Actividades Secundarias </w:t>
      </w:r>
      <w:r w:rsidR="003D5B8A">
        <w:rPr>
          <w:snapToGrid w:val="0"/>
        </w:rPr>
        <w:t>sub</w:t>
      </w:r>
      <w:r>
        <w:rPr>
          <w:snapToGrid w:val="0"/>
        </w:rPr>
        <w:t xml:space="preserve">ieron 0.23% y los de las Actividades Terciarias 0.97%, </w:t>
      </w:r>
      <w:r w:rsidRPr="0010647A">
        <w:rPr>
          <w:snapToGrid w:val="0"/>
        </w:rPr>
        <w:t>a tasa mensual</w:t>
      </w:r>
      <w:r>
        <w:rPr>
          <w:snapToGrid w:val="0"/>
        </w:rPr>
        <w:t>.</w:t>
      </w:r>
    </w:p>
    <w:p w14:paraId="03F260AC" w14:textId="3C3CFEC0" w:rsidR="004D5C5B" w:rsidRDefault="00F85511" w:rsidP="00F85511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10647A">
        <w:rPr>
          <w:snapToGrid w:val="0"/>
        </w:rPr>
        <w:t xml:space="preserve">En su comparación anual, los </w:t>
      </w:r>
      <w:r w:rsidR="006E5771">
        <w:rPr>
          <w:snapToGrid w:val="0"/>
        </w:rPr>
        <w:t xml:space="preserve">precios </w:t>
      </w:r>
      <w:r w:rsidRPr="0010647A">
        <w:rPr>
          <w:snapToGrid w:val="0"/>
        </w:rPr>
        <w:t>de las Acti</w:t>
      </w:r>
      <w:r>
        <w:rPr>
          <w:snapToGrid w:val="0"/>
        </w:rPr>
        <w:t xml:space="preserve">vidades Primarias </w:t>
      </w:r>
      <w:r w:rsidR="004A5D5A">
        <w:rPr>
          <w:snapToGrid w:val="0"/>
        </w:rPr>
        <w:t>se reduj</w:t>
      </w:r>
      <w:r>
        <w:rPr>
          <w:snapToGrid w:val="0"/>
        </w:rPr>
        <w:t>eron (</w:t>
      </w:r>
      <w:r>
        <w:rPr>
          <w:snapToGrid w:val="0"/>
        </w:rPr>
        <w:noBreakHyphen/>
        <w:t>)3.92%,</w:t>
      </w:r>
      <w:r w:rsidRPr="0010647A">
        <w:rPr>
          <w:snapToGrid w:val="0"/>
        </w:rPr>
        <w:t xml:space="preserve"> </w:t>
      </w:r>
      <w:r>
        <w:rPr>
          <w:snapToGrid w:val="0"/>
        </w:rPr>
        <w:t>mientras que los</w:t>
      </w:r>
      <w:r w:rsidRPr="0010647A">
        <w:rPr>
          <w:snapToGrid w:val="0"/>
        </w:rPr>
        <w:t xml:space="preserve"> de las Act</w:t>
      </w:r>
      <w:r>
        <w:rPr>
          <w:snapToGrid w:val="0"/>
        </w:rPr>
        <w:t>ividades Secundarias se elevaron 0.98%</w:t>
      </w:r>
      <w:r w:rsidRPr="0010647A">
        <w:rPr>
          <w:snapToGrid w:val="0"/>
        </w:rPr>
        <w:t xml:space="preserve"> y los de</w:t>
      </w:r>
      <w:r>
        <w:rPr>
          <w:snapToGrid w:val="0"/>
        </w:rPr>
        <w:t xml:space="preserve"> las Actividades Terciarias 3.56 por ciento</w:t>
      </w:r>
      <w:r w:rsidR="004D5C5B">
        <w:rPr>
          <w:snapToGrid w:val="0"/>
        </w:rPr>
        <w:t>.</w:t>
      </w:r>
    </w:p>
    <w:p w14:paraId="1D9C8F78" w14:textId="1A38A9DD" w:rsidR="00420C77" w:rsidRDefault="00420C77">
      <w:pPr>
        <w:jc w:val="left"/>
        <w:rPr>
          <w:snapToGrid w:val="0"/>
        </w:rPr>
      </w:pPr>
      <w:r>
        <w:rPr>
          <w:snapToGrid w:val="0"/>
        </w:rPr>
        <w:br w:type="page"/>
      </w:r>
    </w:p>
    <w:p w14:paraId="04735C23" w14:textId="5BBD0B0A" w:rsidR="004D5C5B" w:rsidRPr="00E35E14" w:rsidRDefault="004D5C5B" w:rsidP="00C963A9">
      <w:pPr>
        <w:widowControl w:val="0"/>
        <w:autoSpaceDE w:val="0"/>
        <w:autoSpaceDN w:val="0"/>
        <w:adjustRightInd w:val="0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 xml:space="preserve">Cuadro </w:t>
      </w:r>
      <w:r w:rsidR="00420C77">
        <w:rPr>
          <w:snapToGrid w:val="0"/>
          <w:sz w:val="20"/>
          <w:szCs w:val="20"/>
        </w:rPr>
        <w:t>6</w:t>
      </w:r>
    </w:p>
    <w:p w14:paraId="58A2604A" w14:textId="77777777" w:rsidR="004D5C5B" w:rsidRPr="00875DDC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ÍNDICE NACIONAL DE PRECIOS PRODUCTOR </w:t>
      </w:r>
    </w:p>
    <w:p w14:paraId="6854CBD9" w14:textId="77777777" w:rsidR="004D5C5B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>MERCANCÍAS Y SERVICIOS FINALES,</w:t>
      </w:r>
      <w:r>
        <w:rPr>
          <w:b/>
          <w:snapToGrid w:val="0"/>
          <w:sz w:val="22"/>
          <w:szCs w:val="22"/>
        </w:rPr>
        <w:t xml:space="preserve"> </w:t>
      </w:r>
    </w:p>
    <w:p w14:paraId="181D434A" w14:textId="7E99D82A" w:rsidR="004D5C5B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pacing w:val="1"/>
          <w:sz w:val="22"/>
          <w:szCs w:val="22"/>
        </w:rPr>
      </w:pPr>
      <w:r w:rsidRPr="00DC48FE">
        <w:rPr>
          <w:b/>
          <w:snapToGrid w:val="0"/>
          <w:sz w:val="22"/>
          <w:szCs w:val="22"/>
        </w:rPr>
        <w:t>INCLUYENDO PETRÓLEO</w:t>
      </w:r>
      <w:r w:rsidRPr="00875DDC">
        <w:rPr>
          <w:b/>
          <w:snapToGrid w:val="0"/>
          <w:sz w:val="22"/>
          <w:szCs w:val="22"/>
        </w:rPr>
        <w:t>,</w:t>
      </w:r>
      <w:r w:rsidRPr="00110149">
        <w:rPr>
          <w:b/>
          <w:snapToGrid w:val="0"/>
          <w:sz w:val="22"/>
          <w:szCs w:val="22"/>
        </w:rPr>
        <w:t xml:space="preserve"> </w:t>
      </w:r>
      <w:r w:rsidRPr="00875DDC">
        <w:rPr>
          <w:b/>
          <w:snapToGrid w:val="0"/>
          <w:sz w:val="22"/>
          <w:szCs w:val="22"/>
        </w:rPr>
        <w:t xml:space="preserve">DURANTE </w:t>
      </w:r>
      <w:r w:rsidR="00F85511">
        <w:rPr>
          <w:b/>
          <w:bCs/>
          <w:color w:val="000000"/>
          <w:spacing w:val="1"/>
          <w:sz w:val="22"/>
          <w:szCs w:val="22"/>
        </w:rPr>
        <w:t>DIC</w:t>
      </w:r>
      <w:r w:rsidR="003F5B9C">
        <w:rPr>
          <w:b/>
          <w:bCs/>
          <w:color w:val="000000"/>
          <w:spacing w:val="1"/>
          <w:sz w:val="22"/>
          <w:szCs w:val="22"/>
        </w:rPr>
        <w:t>IEM</w:t>
      </w:r>
      <w:r>
        <w:rPr>
          <w:b/>
          <w:bCs/>
          <w:color w:val="000000"/>
          <w:spacing w:val="1"/>
          <w:sz w:val="22"/>
          <w:szCs w:val="22"/>
        </w:rPr>
        <w:t>BRE</w:t>
      </w:r>
    </w:p>
    <w:p w14:paraId="35AB203C" w14:textId="6FCD8B79" w:rsidR="004D5C5B" w:rsidRDefault="004D5C5B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Variación porcentual durante </w:t>
      </w:r>
      <w:r w:rsidR="00F85511">
        <w:rPr>
          <w:snapToGrid w:val="0"/>
          <w:sz w:val="18"/>
          <w:szCs w:val="18"/>
        </w:rPr>
        <w:t>dic</w:t>
      </w:r>
      <w:r w:rsidR="003F5B9C">
        <w:rPr>
          <w:snapToGrid w:val="0"/>
          <w:sz w:val="18"/>
          <w:szCs w:val="18"/>
        </w:rPr>
        <w:t>iem</w:t>
      </w:r>
      <w:r>
        <w:rPr>
          <w:snapToGrid w:val="0"/>
          <w:sz w:val="18"/>
          <w:szCs w:val="18"/>
        </w:rPr>
        <w:t>bre</w:t>
      </w:r>
      <w:r w:rsidRPr="0092783E">
        <w:rPr>
          <w:snapToGrid w:val="0"/>
          <w:sz w:val="18"/>
          <w:szCs w:val="18"/>
        </w:rPr>
        <w:t xml:space="preserve"> de los años que se indican</w:t>
      </w:r>
    </w:p>
    <w:tbl>
      <w:tblPr>
        <w:tblW w:w="4981" w:type="pct"/>
        <w:tblInd w:w="-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7"/>
        <w:gridCol w:w="802"/>
        <w:gridCol w:w="802"/>
        <w:gridCol w:w="802"/>
        <w:gridCol w:w="802"/>
        <w:gridCol w:w="802"/>
        <w:gridCol w:w="803"/>
      </w:tblGrid>
      <w:tr w:rsidR="007263DF" w:rsidRPr="00A9663B" w14:paraId="458647EA" w14:textId="77777777" w:rsidTr="007263DF">
        <w:trPr>
          <w:trHeight w:val="255"/>
        </w:trPr>
        <w:tc>
          <w:tcPr>
            <w:tcW w:w="4535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22A87E2" w14:textId="77777777" w:rsidR="007263DF" w:rsidRPr="00A9663B" w:rsidRDefault="007263DF" w:rsidP="007263DF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bookmarkStart w:id="6" w:name="_Hlk2757904"/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06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4ABC93D" w14:textId="77777777" w:rsidR="007263DF" w:rsidRPr="00A9663B" w:rsidRDefault="007263DF" w:rsidP="007263DF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Variación mensual</w:t>
            </w:r>
          </w:p>
        </w:tc>
        <w:tc>
          <w:tcPr>
            <w:tcW w:w="2407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D53DE5B" w14:textId="77777777" w:rsidR="007263DF" w:rsidRPr="00A9663B" w:rsidRDefault="007263DF" w:rsidP="007263DF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Variación anual</w:t>
            </w: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C51721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</w:tr>
      <w:tr w:rsidR="007263DF" w:rsidRPr="00A9663B" w14:paraId="1F21E420" w14:textId="77777777" w:rsidTr="007263DF">
        <w:trPr>
          <w:trHeight w:val="255"/>
        </w:trPr>
        <w:tc>
          <w:tcPr>
            <w:tcW w:w="4535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4B81A36A" w14:textId="77777777" w:rsidR="007263DF" w:rsidRPr="00A9663B" w:rsidRDefault="007263DF" w:rsidP="007263DF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2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766F751" w14:textId="77777777" w:rsidR="007263DF" w:rsidRPr="00A9663B" w:rsidRDefault="007263DF" w:rsidP="007263D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42AC826" w14:textId="77777777" w:rsidR="007263DF" w:rsidRPr="00A9663B" w:rsidRDefault="007263DF" w:rsidP="007263D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84D3EF6" w14:textId="77777777" w:rsidR="007263DF" w:rsidRPr="00A9663B" w:rsidRDefault="007263DF" w:rsidP="007263D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16751F17" w14:textId="77777777" w:rsidR="007263DF" w:rsidRPr="00A9663B" w:rsidRDefault="007263DF" w:rsidP="007263D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6365FEB" w14:textId="77777777" w:rsidR="007263DF" w:rsidRPr="00A9663B" w:rsidRDefault="007263DF" w:rsidP="007263D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03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F0A7472" w14:textId="77777777" w:rsidR="007263DF" w:rsidRPr="00A9663B" w:rsidRDefault="007263DF" w:rsidP="007263D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7263DF" w:rsidRPr="00625A20" w14:paraId="77101977" w14:textId="77777777" w:rsidTr="007263DF">
        <w:trPr>
          <w:trHeight w:val="227"/>
        </w:trPr>
        <w:tc>
          <w:tcPr>
            <w:tcW w:w="453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23967A1" w14:textId="77777777" w:rsidR="007263DF" w:rsidRPr="00841586" w:rsidRDefault="007263DF" w:rsidP="007263DF">
            <w:pPr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02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F497AAF" w14:textId="77777777" w:rsidR="007263DF" w:rsidRPr="00251CE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51CEF">
              <w:rPr>
                <w:b/>
                <w:bCs/>
                <w:color w:val="000000"/>
                <w:sz w:val="14"/>
                <w:szCs w:val="14"/>
              </w:rPr>
              <w:t>0.46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0F45454" w14:textId="77777777" w:rsidR="007263DF" w:rsidRPr="00251CE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51CEF">
              <w:rPr>
                <w:b/>
                <w:bCs/>
                <w:color w:val="000000"/>
                <w:sz w:val="14"/>
                <w:szCs w:val="14"/>
              </w:rPr>
              <w:t>-0.06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85402AB" w14:textId="77777777" w:rsidR="007263DF" w:rsidRPr="00251CE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51CEF">
              <w:rPr>
                <w:b/>
                <w:bCs/>
                <w:color w:val="000000"/>
                <w:sz w:val="14"/>
                <w:szCs w:val="14"/>
              </w:rPr>
              <w:t>0.45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9F72007" w14:textId="77777777" w:rsidR="007263DF" w:rsidRPr="00251CE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51CEF">
              <w:rPr>
                <w:b/>
                <w:bCs/>
                <w:color w:val="000000"/>
                <w:sz w:val="14"/>
                <w:szCs w:val="14"/>
              </w:rPr>
              <w:t>4.65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8949871" w14:textId="77777777" w:rsidR="007263DF" w:rsidRPr="00251CE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51CEF">
              <w:rPr>
                <w:b/>
                <w:bCs/>
                <w:color w:val="000000"/>
                <w:sz w:val="14"/>
                <w:szCs w:val="14"/>
              </w:rPr>
              <w:t>5.72</w:t>
            </w:r>
          </w:p>
        </w:tc>
        <w:tc>
          <w:tcPr>
            <w:tcW w:w="803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7A8F01C" w14:textId="77777777" w:rsidR="007263DF" w:rsidRPr="00251CEF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251CEF">
              <w:rPr>
                <w:b/>
                <w:bCs/>
                <w:color w:val="000000"/>
                <w:sz w:val="14"/>
                <w:szCs w:val="14"/>
              </w:rPr>
              <w:t>1.71</w:t>
            </w:r>
          </w:p>
        </w:tc>
      </w:tr>
      <w:tr w:rsidR="007263DF" w:rsidRPr="00841586" w14:paraId="1629F62E" w14:textId="77777777" w:rsidTr="007263DF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FADEC62" w14:textId="77777777" w:rsidR="007263DF" w:rsidRPr="00841586" w:rsidRDefault="007263DF" w:rsidP="006A0B52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E5232B6" w14:textId="77777777" w:rsidR="007263DF" w:rsidRPr="00F809AB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09AB">
              <w:rPr>
                <w:b/>
                <w:bCs/>
                <w:color w:val="000000"/>
                <w:sz w:val="14"/>
                <w:szCs w:val="14"/>
              </w:rPr>
              <w:t>1.06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270320F" w14:textId="77777777" w:rsidR="007263DF" w:rsidRPr="00F809AB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09AB">
              <w:rPr>
                <w:b/>
                <w:bCs/>
                <w:color w:val="000000"/>
                <w:sz w:val="14"/>
                <w:szCs w:val="14"/>
              </w:rPr>
              <w:t>1.28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53D16EF" w14:textId="77777777" w:rsidR="007263DF" w:rsidRPr="00F809AB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09AB">
              <w:rPr>
                <w:b/>
                <w:bCs/>
                <w:color w:val="000000"/>
                <w:sz w:val="14"/>
                <w:szCs w:val="14"/>
              </w:rPr>
              <w:t>-0.64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3A58C1E" w14:textId="77777777" w:rsidR="007263DF" w:rsidRPr="00F809AB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09AB">
              <w:rPr>
                <w:b/>
                <w:bCs/>
                <w:color w:val="000000"/>
                <w:sz w:val="14"/>
                <w:szCs w:val="14"/>
              </w:rPr>
              <w:t>6.64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0FD3BB4" w14:textId="77777777" w:rsidR="007263DF" w:rsidRPr="00F809AB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09AB">
              <w:rPr>
                <w:b/>
                <w:bCs/>
                <w:color w:val="000000"/>
                <w:sz w:val="14"/>
                <w:szCs w:val="14"/>
              </w:rPr>
              <w:t>4.61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DE85C4E" w14:textId="77777777" w:rsidR="007263DF" w:rsidRPr="00F809AB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09AB">
              <w:rPr>
                <w:b/>
                <w:bCs/>
                <w:color w:val="000000"/>
                <w:sz w:val="14"/>
                <w:szCs w:val="14"/>
              </w:rPr>
              <w:t>-3.92</w:t>
            </w:r>
          </w:p>
        </w:tc>
      </w:tr>
      <w:tr w:rsidR="007263DF" w:rsidRPr="00841586" w14:paraId="4ECC6E98" w14:textId="77777777" w:rsidTr="007263DF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2D5EE05" w14:textId="77777777" w:rsidR="007263DF" w:rsidRPr="00841586" w:rsidRDefault="007263DF" w:rsidP="006A0B52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4190F35" w14:textId="77777777" w:rsidR="007263DF" w:rsidRPr="00F809AB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09AB">
              <w:rPr>
                <w:b/>
                <w:bCs/>
                <w:color w:val="000000"/>
                <w:sz w:val="14"/>
                <w:szCs w:val="14"/>
              </w:rPr>
              <w:t>0.28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069327B" w14:textId="77777777" w:rsidR="007263DF" w:rsidRPr="00F809AB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09AB">
              <w:rPr>
                <w:b/>
                <w:bCs/>
                <w:color w:val="000000"/>
                <w:sz w:val="14"/>
                <w:szCs w:val="14"/>
              </w:rPr>
              <w:t>-0.73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EC26470" w14:textId="77777777" w:rsidR="007263DF" w:rsidRPr="00F809AB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09AB">
              <w:rPr>
                <w:b/>
                <w:bCs/>
                <w:color w:val="000000"/>
                <w:sz w:val="14"/>
                <w:szCs w:val="14"/>
              </w:rPr>
              <w:t>0.23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293E8A9" w14:textId="77777777" w:rsidR="007263DF" w:rsidRPr="00F809AB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09AB">
              <w:rPr>
                <w:b/>
                <w:bCs/>
                <w:color w:val="000000"/>
                <w:sz w:val="14"/>
                <w:szCs w:val="14"/>
              </w:rPr>
              <w:t>4.65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F51A2A4" w14:textId="77777777" w:rsidR="007263DF" w:rsidRPr="00F809AB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09AB">
              <w:rPr>
                <w:b/>
                <w:bCs/>
                <w:color w:val="000000"/>
                <w:sz w:val="14"/>
                <w:szCs w:val="14"/>
              </w:rPr>
              <w:t>6.48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9D9422C" w14:textId="77777777" w:rsidR="007263DF" w:rsidRPr="00F809AB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09AB">
              <w:rPr>
                <w:b/>
                <w:bCs/>
                <w:color w:val="000000"/>
                <w:sz w:val="14"/>
                <w:szCs w:val="14"/>
              </w:rPr>
              <w:t>0.98</w:t>
            </w:r>
          </w:p>
        </w:tc>
      </w:tr>
      <w:tr w:rsidR="007263DF" w:rsidRPr="00841586" w14:paraId="065CD2A6" w14:textId="77777777" w:rsidTr="007263DF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3BBAA8B" w14:textId="77777777" w:rsidR="007263DF" w:rsidRPr="00841586" w:rsidRDefault="007263DF" w:rsidP="006A0B52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18A4A80" w14:textId="77777777" w:rsidR="007263DF" w:rsidRPr="00251CE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251CEF">
              <w:rPr>
                <w:bCs/>
                <w:color w:val="000000"/>
                <w:sz w:val="14"/>
                <w:szCs w:val="14"/>
              </w:rPr>
              <w:t>1.33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158C639" w14:textId="77777777" w:rsidR="007263DF" w:rsidRPr="00251CE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251CEF">
              <w:rPr>
                <w:bCs/>
                <w:color w:val="000000"/>
                <w:sz w:val="14"/>
                <w:szCs w:val="14"/>
              </w:rPr>
              <w:t>-10.42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5B95B9D" w14:textId="77777777" w:rsidR="007263DF" w:rsidRPr="00251CE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251CEF">
              <w:rPr>
                <w:bCs/>
                <w:color w:val="000000"/>
                <w:sz w:val="14"/>
                <w:szCs w:val="14"/>
              </w:rPr>
              <w:t>5.24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2FC66E2" w14:textId="77777777" w:rsidR="007263DF" w:rsidRPr="00251CE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251CEF">
              <w:rPr>
                <w:bCs/>
                <w:color w:val="000000"/>
                <w:sz w:val="14"/>
                <w:szCs w:val="14"/>
              </w:rPr>
              <w:t>9.16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803C590" w14:textId="77777777" w:rsidR="007263DF" w:rsidRPr="00251CE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251CEF">
              <w:rPr>
                <w:bCs/>
                <w:color w:val="000000"/>
                <w:sz w:val="14"/>
                <w:szCs w:val="14"/>
              </w:rPr>
              <w:t>1.75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3BF20DE" w14:textId="77777777" w:rsidR="007263DF" w:rsidRPr="00251CE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251CEF">
              <w:rPr>
                <w:bCs/>
                <w:color w:val="000000"/>
                <w:sz w:val="14"/>
                <w:szCs w:val="14"/>
              </w:rPr>
              <w:t>0.55</w:t>
            </w:r>
          </w:p>
        </w:tc>
      </w:tr>
      <w:tr w:rsidR="007263DF" w:rsidRPr="00841586" w14:paraId="252A80A8" w14:textId="77777777" w:rsidTr="007263DF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3209D04B" w14:textId="77777777" w:rsidR="007263DF" w:rsidRPr="00841586" w:rsidRDefault="007263DF" w:rsidP="006A0B52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D88AA9B" w14:textId="77777777" w:rsidR="007263DF" w:rsidRPr="00251CE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251CEF">
              <w:rPr>
                <w:bCs/>
                <w:color w:val="000000"/>
                <w:sz w:val="14"/>
                <w:szCs w:val="14"/>
              </w:rPr>
              <w:t>0.26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F05E296" w14:textId="77777777" w:rsidR="007263DF" w:rsidRPr="00251CE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251CEF">
              <w:rPr>
                <w:bCs/>
                <w:color w:val="000000"/>
                <w:sz w:val="14"/>
                <w:szCs w:val="14"/>
              </w:rPr>
              <w:t>-0.17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FD26C02" w14:textId="77777777" w:rsidR="007263DF" w:rsidRPr="00251CE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251CEF">
              <w:rPr>
                <w:bCs/>
                <w:color w:val="000000"/>
                <w:sz w:val="14"/>
                <w:szCs w:val="14"/>
              </w:rPr>
              <w:t>0.06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6866890" w14:textId="77777777" w:rsidR="007263DF" w:rsidRPr="00251CE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251CEF">
              <w:rPr>
                <w:bCs/>
                <w:color w:val="000000"/>
                <w:sz w:val="14"/>
                <w:szCs w:val="14"/>
              </w:rPr>
              <w:t>2.80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D661C01" w14:textId="77777777" w:rsidR="007263DF" w:rsidRPr="00251CE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251CEF">
              <w:rPr>
                <w:bCs/>
                <w:color w:val="000000"/>
                <w:sz w:val="14"/>
                <w:szCs w:val="14"/>
              </w:rPr>
              <w:t>1.68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14D14FA" w14:textId="77777777" w:rsidR="007263DF" w:rsidRPr="00251CE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251CEF">
              <w:rPr>
                <w:bCs/>
                <w:color w:val="000000"/>
                <w:sz w:val="14"/>
                <w:szCs w:val="14"/>
              </w:rPr>
              <w:t>7.53</w:t>
            </w:r>
          </w:p>
        </w:tc>
      </w:tr>
      <w:tr w:rsidR="007263DF" w:rsidRPr="00841586" w14:paraId="66677886" w14:textId="77777777" w:rsidTr="007263DF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A966B98" w14:textId="77777777" w:rsidR="007263DF" w:rsidRPr="00841586" w:rsidRDefault="007263DF" w:rsidP="006A0B52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Construcción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7AA99C3" w14:textId="77777777" w:rsidR="007263DF" w:rsidRPr="00251CE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251CEF">
              <w:rPr>
                <w:bCs/>
                <w:color w:val="000000"/>
                <w:sz w:val="14"/>
                <w:szCs w:val="14"/>
              </w:rPr>
              <w:t>-0.02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6D984C3" w14:textId="77777777" w:rsidR="007263DF" w:rsidRPr="00251CE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251CEF">
              <w:rPr>
                <w:bCs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1C70C25" w14:textId="77777777" w:rsidR="007263DF" w:rsidRPr="00251CE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251CEF">
              <w:rPr>
                <w:bCs/>
                <w:color w:val="000000"/>
                <w:sz w:val="14"/>
                <w:szCs w:val="14"/>
              </w:rPr>
              <w:t>-0.22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C29E970" w14:textId="77777777" w:rsidR="007263DF" w:rsidRPr="00251CE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251CEF">
              <w:rPr>
                <w:bCs/>
                <w:color w:val="000000"/>
                <w:sz w:val="14"/>
                <w:szCs w:val="14"/>
              </w:rPr>
              <w:t>7.91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EED7395" w14:textId="77777777" w:rsidR="007263DF" w:rsidRPr="00251CE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251CEF">
              <w:rPr>
                <w:bCs/>
                <w:color w:val="000000"/>
                <w:sz w:val="14"/>
                <w:szCs w:val="14"/>
              </w:rPr>
              <w:t>10.28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6780BBF" w14:textId="77777777" w:rsidR="007263DF" w:rsidRPr="00251CE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251CEF">
              <w:rPr>
                <w:bCs/>
                <w:color w:val="000000"/>
                <w:sz w:val="14"/>
                <w:szCs w:val="14"/>
              </w:rPr>
              <w:t>-0.05</w:t>
            </w:r>
          </w:p>
        </w:tc>
      </w:tr>
      <w:tr w:rsidR="007263DF" w:rsidRPr="00841586" w14:paraId="562BE817" w14:textId="77777777" w:rsidTr="007263DF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A879A3A" w14:textId="77777777" w:rsidR="007263DF" w:rsidRPr="00841586" w:rsidRDefault="007263DF" w:rsidP="006A0B52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F346BFA" w14:textId="77777777" w:rsidR="007263DF" w:rsidRPr="00251CE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251CEF">
              <w:rPr>
                <w:bCs/>
                <w:color w:val="000000"/>
                <w:sz w:val="14"/>
                <w:szCs w:val="14"/>
              </w:rPr>
              <w:t>0.23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91F258C" w14:textId="77777777" w:rsidR="007263DF" w:rsidRPr="00251CE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251CEF">
              <w:rPr>
                <w:bCs/>
                <w:color w:val="000000"/>
                <w:sz w:val="14"/>
                <w:szCs w:val="14"/>
              </w:rPr>
              <w:t>0.28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AF02987" w14:textId="77777777" w:rsidR="007263DF" w:rsidRPr="00251CE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251CEF">
              <w:rPr>
                <w:bCs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A75E654" w14:textId="77777777" w:rsidR="007263DF" w:rsidRPr="00251CE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251CEF">
              <w:rPr>
                <w:bCs/>
                <w:color w:val="000000"/>
                <w:sz w:val="14"/>
                <w:szCs w:val="14"/>
              </w:rPr>
              <w:t>3.41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811E687" w14:textId="77777777" w:rsidR="007263DF" w:rsidRPr="00251CE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251CEF">
              <w:rPr>
                <w:bCs/>
                <w:color w:val="000000"/>
                <w:sz w:val="14"/>
                <w:szCs w:val="14"/>
              </w:rPr>
              <w:t>6.19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1C5A3DB" w14:textId="77777777" w:rsidR="007263DF" w:rsidRPr="00251CEF" w:rsidRDefault="007263DF" w:rsidP="007263DF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251CEF">
              <w:rPr>
                <w:bCs/>
                <w:color w:val="000000"/>
                <w:sz w:val="14"/>
                <w:szCs w:val="14"/>
              </w:rPr>
              <w:t>1.22</w:t>
            </w:r>
          </w:p>
        </w:tc>
      </w:tr>
      <w:tr w:rsidR="007263DF" w:rsidRPr="00841586" w14:paraId="3A1AB21D" w14:textId="77777777" w:rsidTr="007263DF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D73AAE5" w14:textId="77777777" w:rsidR="007263DF" w:rsidRPr="00841586" w:rsidRDefault="007263DF" w:rsidP="006A0B52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9700CA7" w14:textId="77777777" w:rsidR="007263DF" w:rsidRPr="00F809AB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09AB">
              <w:rPr>
                <w:b/>
                <w:bCs/>
                <w:color w:val="000000"/>
                <w:sz w:val="14"/>
                <w:szCs w:val="14"/>
              </w:rPr>
              <w:t>0.72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AA22714" w14:textId="77777777" w:rsidR="007263DF" w:rsidRPr="00F809AB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09AB">
              <w:rPr>
                <w:b/>
                <w:bCs/>
                <w:color w:val="000000"/>
                <w:sz w:val="14"/>
                <w:szCs w:val="14"/>
              </w:rPr>
              <w:t>0.98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9C1FDE3" w14:textId="77777777" w:rsidR="007263DF" w:rsidRPr="00F809AB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09AB">
              <w:rPr>
                <w:b/>
                <w:bCs/>
                <w:color w:val="000000"/>
                <w:sz w:val="14"/>
                <w:szCs w:val="14"/>
              </w:rPr>
              <w:t>0.97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235BC38" w14:textId="77777777" w:rsidR="007263DF" w:rsidRPr="00F809AB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09AB">
              <w:rPr>
                <w:b/>
                <w:bCs/>
                <w:color w:val="000000"/>
                <w:sz w:val="14"/>
                <w:szCs w:val="14"/>
              </w:rPr>
              <w:t>4.48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2826026" w14:textId="77777777" w:rsidR="007263DF" w:rsidRPr="00F809AB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09AB">
              <w:rPr>
                <w:b/>
                <w:bCs/>
                <w:color w:val="000000"/>
                <w:sz w:val="14"/>
                <w:szCs w:val="14"/>
              </w:rPr>
              <w:t>4.54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EAF674C" w14:textId="77777777" w:rsidR="007263DF" w:rsidRPr="00F809AB" w:rsidRDefault="007263DF" w:rsidP="007263DF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09AB">
              <w:rPr>
                <w:b/>
                <w:bCs/>
                <w:color w:val="000000"/>
                <w:sz w:val="14"/>
                <w:szCs w:val="14"/>
              </w:rPr>
              <w:t>3.56</w:t>
            </w:r>
          </w:p>
        </w:tc>
      </w:tr>
    </w:tbl>
    <w:bookmarkEnd w:id="6"/>
    <w:p w14:paraId="0953CED7" w14:textId="77777777" w:rsidR="0054304E" w:rsidRPr="008D68CA" w:rsidRDefault="0054304E" w:rsidP="0054304E">
      <w:pPr>
        <w:autoSpaceDE w:val="0"/>
        <w:autoSpaceDN w:val="0"/>
        <w:adjustRightInd w:val="0"/>
        <w:ind w:left="283" w:right="113" w:hanging="170"/>
        <w:rPr>
          <w:sz w:val="16"/>
          <w:szCs w:val="14"/>
        </w:rPr>
      </w:pPr>
      <w:r w:rsidRPr="008D68CA">
        <w:rPr>
          <w:sz w:val="16"/>
          <w:szCs w:val="14"/>
          <w:vertAlign w:val="superscript"/>
        </w:rPr>
        <w:t>1/</w:t>
      </w:r>
      <w:r w:rsidRPr="008D68CA">
        <w:rPr>
          <w:sz w:val="16"/>
          <w:szCs w:val="14"/>
          <w:vertAlign w:val="superscript"/>
        </w:rPr>
        <w:tab/>
      </w:r>
      <w:r w:rsidRPr="008D68CA">
        <w:rPr>
          <w:sz w:val="14"/>
          <w:szCs w:val="14"/>
        </w:rPr>
        <w:t xml:space="preserve">Las variaciones anuales durante el primer año del INPP base julio </w:t>
      </w:r>
      <w:r>
        <w:rPr>
          <w:sz w:val="14"/>
          <w:szCs w:val="14"/>
        </w:rPr>
        <w:t xml:space="preserve">de </w:t>
      </w:r>
      <w:r w:rsidRPr="008D68CA">
        <w:rPr>
          <w:sz w:val="14"/>
          <w:szCs w:val="14"/>
        </w:rPr>
        <w:t>2019 se continuarán comparando con el índice de la base anterior</w:t>
      </w:r>
      <w:r>
        <w:rPr>
          <w:sz w:val="14"/>
          <w:szCs w:val="14"/>
        </w:rPr>
        <w:t>.</w:t>
      </w:r>
    </w:p>
    <w:p w14:paraId="31F00F5C" w14:textId="77777777" w:rsidR="004D5C5B" w:rsidRPr="006C0439" w:rsidRDefault="004D5C5B" w:rsidP="005D3875">
      <w:pPr>
        <w:pStyle w:val="n01"/>
        <w:keepLines w:val="0"/>
        <w:widowControl w:val="0"/>
        <w:spacing w:before="360"/>
        <w:ind w:left="0" w:firstLine="709"/>
        <w:rPr>
          <w:rFonts w:ascii="Arial" w:hAnsi="Arial"/>
          <w:b/>
          <w:i/>
          <w:snapToGrid w:val="0"/>
          <w:color w:val="000000"/>
        </w:rPr>
      </w:pPr>
      <w:r w:rsidRPr="006C0439">
        <w:rPr>
          <w:rFonts w:ascii="Arial" w:hAnsi="Arial"/>
          <w:b/>
          <w:i/>
          <w:snapToGrid w:val="0"/>
          <w:color w:val="000000"/>
        </w:rPr>
        <w:t xml:space="preserve">Por </w:t>
      </w:r>
      <w:r>
        <w:rPr>
          <w:rFonts w:ascii="Arial" w:hAnsi="Arial"/>
          <w:b/>
          <w:i/>
          <w:snapToGrid w:val="0"/>
          <w:color w:val="000000"/>
        </w:rPr>
        <w:t>d</w:t>
      </w:r>
      <w:r w:rsidRPr="006C0439">
        <w:rPr>
          <w:rFonts w:ascii="Arial" w:hAnsi="Arial"/>
          <w:b/>
          <w:i/>
          <w:snapToGrid w:val="0"/>
          <w:color w:val="000000"/>
        </w:rPr>
        <w:t>estino de la producción</w:t>
      </w:r>
    </w:p>
    <w:p w14:paraId="2067CC7F" w14:textId="4953F44C" w:rsidR="00F85511" w:rsidRPr="00F85511" w:rsidRDefault="00F85511" w:rsidP="00F85511">
      <w:pPr>
        <w:widowControl w:val="0"/>
        <w:autoSpaceDE w:val="0"/>
        <w:autoSpaceDN w:val="0"/>
        <w:adjustRightInd w:val="0"/>
        <w:spacing w:before="120"/>
        <w:rPr>
          <w:snapToGrid w:val="0"/>
        </w:rPr>
      </w:pPr>
      <w:r w:rsidRPr="00F85511">
        <w:rPr>
          <w:snapToGrid w:val="0"/>
        </w:rPr>
        <w:t>Por destino de la producción, en diciembre de 2019 los precios de los bienes finales de Demanda interna presentaron un alza mensual de 0.39%, ubicando su tasa anual en 2.01 por ciento. A su interior, los precios de los bienes de Consumo aumentaron 0.58% mensual y 2.76% anual y los destinados a la Formación de capital bajaron (</w:t>
      </w:r>
      <w:r>
        <w:rPr>
          <w:snapToGrid w:val="0"/>
        </w:rPr>
        <w:noBreakHyphen/>
      </w:r>
      <w:r w:rsidRPr="00F85511">
        <w:rPr>
          <w:snapToGrid w:val="0"/>
        </w:rPr>
        <w:t>)0.11% mensual y (-)0.01% anual.</w:t>
      </w:r>
    </w:p>
    <w:p w14:paraId="7E2581DF" w14:textId="2C6403CE" w:rsidR="00C963A9" w:rsidRDefault="00F85511" w:rsidP="00F85511">
      <w:pPr>
        <w:widowControl w:val="0"/>
        <w:autoSpaceDE w:val="0"/>
        <w:autoSpaceDN w:val="0"/>
        <w:adjustRightInd w:val="0"/>
        <w:spacing w:before="120"/>
        <w:rPr>
          <w:snapToGrid w:val="0"/>
        </w:rPr>
      </w:pPr>
      <w:r w:rsidRPr="00F85511">
        <w:rPr>
          <w:snapToGrid w:val="0"/>
        </w:rPr>
        <w:t xml:space="preserve">Los precios de los bienes orientados a la Exportación </w:t>
      </w:r>
      <w:r w:rsidR="004A5D5A">
        <w:rPr>
          <w:snapToGrid w:val="0"/>
        </w:rPr>
        <w:t>se increm</w:t>
      </w:r>
      <w:r w:rsidRPr="00F85511">
        <w:rPr>
          <w:snapToGrid w:val="0"/>
        </w:rPr>
        <w:t>entaron 0.61% mensual y 0.86% a tasa anual</w:t>
      </w:r>
      <w:r w:rsidR="00C963A9" w:rsidRPr="00DE050D">
        <w:rPr>
          <w:snapToGrid w:val="0"/>
        </w:rPr>
        <w:t>.</w:t>
      </w:r>
    </w:p>
    <w:p w14:paraId="0271462C" w14:textId="309152BE" w:rsidR="004D5C5B" w:rsidRPr="00742534" w:rsidRDefault="004D5C5B" w:rsidP="00C963A9">
      <w:pPr>
        <w:keepNext/>
        <w:keepLines/>
        <w:widowControl w:val="0"/>
        <w:autoSpaceDE w:val="0"/>
        <w:autoSpaceDN w:val="0"/>
        <w:adjustRightInd w:val="0"/>
        <w:spacing w:before="240"/>
        <w:jc w:val="center"/>
        <w:rPr>
          <w:snapToGrid w:val="0"/>
          <w:sz w:val="20"/>
          <w:szCs w:val="20"/>
        </w:rPr>
      </w:pPr>
      <w:r w:rsidRPr="00742534">
        <w:rPr>
          <w:snapToGrid w:val="0"/>
          <w:sz w:val="20"/>
          <w:szCs w:val="20"/>
        </w:rPr>
        <w:t xml:space="preserve">Cuadro </w:t>
      </w:r>
      <w:r w:rsidR="00C963A9">
        <w:rPr>
          <w:snapToGrid w:val="0"/>
          <w:sz w:val="20"/>
          <w:szCs w:val="20"/>
        </w:rPr>
        <w:t>7</w:t>
      </w:r>
    </w:p>
    <w:p w14:paraId="4E9DB32A" w14:textId="77777777" w:rsidR="004D5C5B" w:rsidRPr="00875DDC" w:rsidRDefault="004D5C5B" w:rsidP="004D5C5B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ÍNDICE NACIONAL DE PRECIOS PRODUCTOR </w:t>
      </w:r>
    </w:p>
    <w:p w14:paraId="12EF4068" w14:textId="77777777" w:rsidR="004D5C5B" w:rsidRPr="00875DDC" w:rsidRDefault="004D5C5B" w:rsidP="004D5C5B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>MERCANCÍAS Y SERVICIOS FINALES,</w:t>
      </w:r>
      <w:r>
        <w:rPr>
          <w:b/>
          <w:snapToGrid w:val="0"/>
          <w:sz w:val="22"/>
          <w:szCs w:val="22"/>
        </w:rPr>
        <w:t xml:space="preserve"> </w:t>
      </w:r>
    </w:p>
    <w:p w14:paraId="7F86A0B5" w14:textId="28F428D4" w:rsidR="004D5C5B" w:rsidRDefault="004D5C5B" w:rsidP="004D5C5B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pacing w:val="1"/>
          <w:sz w:val="22"/>
          <w:szCs w:val="22"/>
        </w:rPr>
      </w:pPr>
      <w:r w:rsidRPr="00DC48FE">
        <w:rPr>
          <w:b/>
          <w:snapToGrid w:val="0"/>
          <w:sz w:val="22"/>
          <w:szCs w:val="22"/>
        </w:rPr>
        <w:t>INCLUYENDO PETRÓLEO</w:t>
      </w:r>
      <w:r w:rsidRPr="00875DDC">
        <w:rPr>
          <w:b/>
          <w:snapToGrid w:val="0"/>
          <w:sz w:val="22"/>
          <w:szCs w:val="22"/>
        </w:rPr>
        <w:t>, DURANTE</w:t>
      </w:r>
      <w:r>
        <w:rPr>
          <w:b/>
          <w:snapToGrid w:val="0"/>
          <w:sz w:val="22"/>
          <w:szCs w:val="22"/>
        </w:rPr>
        <w:t xml:space="preserve"> </w:t>
      </w:r>
      <w:r w:rsidR="00F85511">
        <w:rPr>
          <w:b/>
          <w:snapToGrid w:val="0"/>
          <w:sz w:val="22"/>
          <w:szCs w:val="22"/>
        </w:rPr>
        <w:t>DIC</w:t>
      </w:r>
      <w:r w:rsidR="003F5B9C">
        <w:rPr>
          <w:b/>
          <w:snapToGrid w:val="0"/>
          <w:sz w:val="22"/>
          <w:szCs w:val="22"/>
        </w:rPr>
        <w:t>IEM</w:t>
      </w:r>
      <w:r>
        <w:rPr>
          <w:b/>
          <w:snapToGrid w:val="0"/>
          <w:sz w:val="22"/>
          <w:szCs w:val="22"/>
        </w:rPr>
        <w:t>BRE</w:t>
      </w:r>
      <w:r>
        <w:rPr>
          <w:b/>
          <w:bCs/>
          <w:color w:val="000000"/>
          <w:spacing w:val="1"/>
          <w:sz w:val="22"/>
          <w:szCs w:val="22"/>
        </w:rPr>
        <w:t xml:space="preserve"> DE 2019</w:t>
      </w:r>
    </w:p>
    <w:p w14:paraId="6AD0322B" w14:textId="77777777" w:rsidR="004D5C5B" w:rsidRPr="00910135" w:rsidRDefault="004D5C5B" w:rsidP="004D5C5B">
      <w:pPr>
        <w:keepNext/>
        <w:keepLines/>
        <w:widowControl w:val="0"/>
        <w:autoSpaceDE w:val="0"/>
        <w:autoSpaceDN w:val="0"/>
        <w:adjustRightInd w:val="0"/>
        <w:jc w:val="cent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C</w:t>
      </w:r>
      <w:r w:rsidRPr="00910135">
        <w:rPr>
          <w:snapToGrid w:val="0"/>
          <w:sz w:val="22"/>
          <w:szCs w:val="22"/>
        </w:rPr>
        <w:t>lasificación por destino</w:t>
      </w:r>
    </w:p>
    <w:p w14:paraId="5021838C" w14:textId="77777777" w:rsidR="004D5C5B" w:rsidRDefault="004D5C5B" w:rsidP="004D5C5B">
      <w:pPr>
        <w:keepNext/>
        <w:keepLines/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Variación porcentual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49"/>
        <w:gridCol w:w="1003"/>
        <w:gridCol w:w="1006"/>
        <w:gridCol w:w="1006"/>
        <w:gridCol w:w="1004"/>
        <w:gridCol w:w="1006"/>
        <w:gridCol w:w="1006"/>
        <w:gridCol w:w="1006"/>
      </w:tblGrid>
      <w:tr w:rsidR="007263DF" w:rsidRPr="00A9663B" w14:paraId="2D377AA0" w14:textId="77777777" w:rsidTr="007263DF">
        <w:trPr>
          <w:trHeight w:val="255"/>
          <w:jc w:val="center"/>
        </w:trPr>
        <w:tc>
          <w:tcPr>
            <w:tcW w:w="2347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81C612D" w14:textId="77777777" w:rsidR="007263DF" w:rsidRPr="00A9663B" w:rsidRDefault="007263DF" w:rsidP="007263DF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Destino de la producción</w:t>
            </w:r>
          </w:p>
        </w:tc>
        <w:tc>
          <w:tcPr>
            <w:tcW w:w="3015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3C8DCFA" w14:textId="77777777" w:rsidR="007263DF" w:rsidRPr="00A9663B" w:rsidRDefault="007263DF" w:rsidP="007263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Variación mensual</w:t>
            </w:r>
          </w:p>
        </w:tc>
        <w:tc>
          <w:tcPr>
            <w:tcW w:w="1004" w:type="dxa"/>
            <w:vMerge w:val="restart"/>
            <w:tcBorders>
              <w:top w:val="single" w:sz="8" w:space="0" w:color="595959"/>
              <w:left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5BD256A8" w14:textId="77777777" w:rsidR="007263DF" w:rsidRPr="002B3CB0" w:rsidRDefault="007263DF" w:rsidP="007263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 xml:space="preserve">Incidencia mensual </w:t>
            </w:r>
            <w:r w:rsidRPr="00A9663B">
              <w:rPr>
                <w:bCs/>
                <w:color w:val="000000"/>
                <w:position w:val="-1"/>
                <w:sz w:val="16"/>
                <w:szCs w:val="16"/>
                <w:vertAlign w:val="superscript"/>
                <w:lang w:eastAsia="es-MX"/>
              </w:rPr>
              <w:t>1/</w:t>
            </w:r>
            <w:r>
              <w:rPr>
                <w:bCs/>
                <w:color w:val="000000"/>
                <w:position w:val="-1"/>
                <w:sz w:val="16"/>
                <w:szCs w:val="16"/>
                <w:lang w:eastAsia="es-MX"/>
              </w:rPr>
              <w:t xml:space="preserve"> Total</w:t>
            </w:r>
          </w:p>
        </w:tc>
        <w:tc>
          <w:tcPr>
            <w:tcW w:w="3018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F536431" w14:textId="77777777" w:rsidR="007263DF" w:rsidRPr="00A9663B" w:rsidRDefault="007263DF" w:rsidP="007263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Variación anual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3D64DC">
              <w:rPr>
                <w:bCs/>
                <w:color w:val="000000"/>
                <w:sz w:val="16"/>
                <w:szCs w:val="16"/>
                <w:vertAlign w:val="superscript"/>
              </w:rPr>
              <w:t>2/</w:t>
            </w:r>
          </w:p>
        </w:tc>
      </w:tr>
      <w:tr w:rsidR="007263DF" w:rsidRPr="00A9663B" w14:paraId="67CFCEC6" w14:textId="77777777" w:rsidTr="007263DF">
        <w:trPr>
          <w:trHeight w:val="255"/>
          <w:jc w:val="center"/>
        </w:trPr>
        <w:tc>
          <w:tcPr>
            <w:tcW w:w="2347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44682943" w14:textId="77777777" w:rsidR="007263DF" w:rsidRPr="00A9663B" w:rsidRDefault="007263DF" w:rsidP="007263DF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03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6B03C0B6" w14:textId="77777777" w:rsidR="007263DF" w:rsidRPr="00A9663B" w:rsidRDefault="007263DF" w:rsidP="007263D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Mercancías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A04EA00" w14:textId="77777777" w:rsidR="007263DF" w:rsidRPr="00A9663B" w:rsidRDefault="007263DF" w:rsidP="007263D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Servicios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991BA6B" w14:textId="77777777" w:rsidR="007263DF" w:rsidRPr="00A9663B" w:rsidRDefault="007263DF" w:rsidP="007263D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04" w:type="dxa"/>
            <w:vMerge/>
            <w:tcBorders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66A99274" w14:textId="77777777" w:rsidR="007263DF" w:rsidRPr="00A9663B" w:rsidRDefault="007263DF" w:rsidP="007263D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12646873" w14:textId="77777777" w:rsidR="007263DF" w:rsidRPr="00A9663B" w:rsidRDefault="007263DF" w:rsidP="007263D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Mercancías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107C45E" w14:textId="77777777" w:rsidR="007263DF" w:rsidRPr="00A9663B" w:rsidRDefault="007263DF" w:rsidP="007263D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Servicios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20513A8" w14:textId="77777777" w:rsidR="007263DF" w:rsidRPr="00A9663B" w:rsidRDefault="007263DF" w:rsidP="007263D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7263DF" w:rsidRPr="00841586" w14:paraId="4870637D" w14:textId="77777777" w:rsidTr="007263DF">
        <w:trPr>
          <w:trHeight w:val="227"/>
          <w:jc w:val="center"/>
        </w:trPr>
        <w:tc>
          <w:tcPr>
            <w:tcW w:w="2347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2A3C6B5B" w14:textId="77777777" w:rsidR="007263DF" w:rsidRPr="00841586" w:rsidRDefault="007263DF" w:rsidP="007263D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4"/>
                <w:szCs w:val="14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</w:rPr>
              <w:t xml:space="preserve">INPP </w:t>
            </w:r>
          </w:p>
        </w:tc>
        <w:tc>
          <w:tcPr>
            <w:tcW w:w="1003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AEF4B56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82AF4">
              <w:rPr>
                <w:b/>
                <w:bCs/>
                <w:color w:val="000000"/>
                <w:sz w:val="14"/>
                <w:szCs w:val="14"/>
              </w:rPr>
              <w:t>0.20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92A14CE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82AF4">
              <w:rPr>
                <w:b/>
                <w:bCs/>
                <w:color w:val="000000"/>
                <w:sz w:val="14"/>
                <w:szCs w:val="14"/>
              </w:rPr>
              <w:t>0.88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E6D18B2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82AF4">
              <w:rPr>
                <w:b/>
                <w:bCs/>
                <w:color w:val="000000"/>
                <w:sz w:val="14"/>
                <w:szCs w:val="14"/>
              </w:rPr>
              <w:t>0.45</w:t>
            </w:r>
          </w:p>
        </w:tc>
        <w:tc>
          <w:tcPr>
            <w:tcW w:w="1004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1A595A3B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82AF4">
              <w:rPr>
                <w:b/>
                <w:bCs/>
                <w:color w:val="000000"/>
                <w:sz w:val="14"/>
                <w:szCs w:val="14"/>
              </w:rPr>
              <w:t>0.449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0E73CAF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82AF4">
              <w:rPr>
                <w:b/>
                <w:bCs/>
                <w:color w:val="000000"/>
                <w:sz w:val="14"/>
                <w:szCs w:val="14"/>
              </w:rPr>
              <w:t>0.91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20FE8B4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82AF4">
              <w:rPr>
                <w:b/>
                <w:bCs/>
                <w:color w:val="000000"/>
                <w:sz w:val="14"/>
                <w:szCs w:val="14"/>
              </w:rPr>
              <w:t>3.11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75F2737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82AF4">
              <w:rPr>
                <w:b/>
                <w:bCs/>
                <w:color w:val="000000"/>
                <w:sz w:val="14"/>
                <w:szCs w:val="14"/>
              </w:rPr>
              <w:t>1.71</w:t>
            </w:r>
          </w:p>
        </w:tc>
      </w:tr>
      <w:tr w:rsidR="007263DF" w:rsidRPr="00841586" w14:paraId="0C1ABBDE" w14:textId="77777777" w:rsidTr="007263DF">
        <w:trPr>
          <w:trHeight w:val="227"/>
          <w:jc w:val="center"/>
        </w:trPr>
        <w:tc>
          <w:tcPr>
            <w:tcW w:w="234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1AA58B94" w14:textId="77777777" w:rsidR="007263DF" w:rsidRPr="00841586" w:rsidRDefault="007263DF" w:rsidP="007263DF">
            <w:pPr>
              <w:autoSpaceDE w:val="0"/>
              <w:autoSpaceDN w:val="0"/>
              <w:adjustRightInd w:val="0"/>
              <w:ind w:left="113"/>
              <w:rPr>
                <w:b/>
                <w:bCs/>
                <w:color w:val="000000"/>
                <w:sz w:val="14"/>
                <w:szCs w:val="14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</w:rPr>
              <w:t xml:space="preserve">Demanda interna 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BE86616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82AF4">
              <w:rPr>
                <w:b/>
                <w:bCs/>
                <w:color w:val="000000"/>
                <w:sz w:val="14"/>
                <w:szCs w:val="14"/>
              </w:rPr>
              <w:t>-0.07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DA1321B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82AF4">
              <w:rPr>
                <w:b/>
                <w:bCs/>
                <w:color w:val="000000"/>
                <w:sz w:val="14"/>
                <w:szCs w:val="14"/>
              </w:rPr>
              <w:t>0.86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C0C2707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82AF4">
              <w:rPr>
                <w:b/>
                <w:bCs/>
                <w:color w:val="000000"/>
                <w:sz w:val="14"/>
                <w:szCs w:val="14"/>
              </w:rPr>
              <w:t>0.39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6941FCB3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82AF4">
              <w:rPr>
                <w:b/>
                <w:bCs/>
                <w:color w:val="000000"/>
                <w:sz w:val="14"/>
                <w:szCs w:val="14"/>
              </w:rPr>
              <w:t>0.278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38851F8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82AF4">
              <w:rPr>
                <w:b/>
                <w:bCs/>
                <w:color w:val="000000"/>
                <w:sz w:val="14"/>
                <w:szCs w:val="14"/>
              </w:rPr>
              <w:t>0.93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FBD62FF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82AF4">
              <w:rPr>
                <w:b/>
                <w:bCs/>
                <w:color w:val="000000"/>
                <w:sz w:val="14"/>
                <w:szCs w:val="14"/>
              </w:rPr>
              <w:t>3.16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F8BAA8D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82AF4">
              <w:rPr>
                <w:b/>
                <w:bCs/>
                <w:color w:val="000000"/>
                <w:sz w:val="14"/>
                <w:szCs w:val="14"/>
              </w:rPr>
              <w:t>2.01</w:t>
            </w:r>
          </w:p>
        </w:tc>
      </w:tr>
      <w:tr w:rsidR="007263DF" w:rsidRPr="00841586" w14:paraId="30761E0A" w14:textId="77777777" w:rsidTr="007263DF">
        <w:trPr>
          <w:trHeight w:val="227"/>
          <w:jc w:val="center"/>
        </w:trPr>
        <w:tc>
          <w:tcPr>
            <w:tcW w:w="234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78A5E28D" w14:textId="77777777" w:rsidR="007263DF" w:rsidRPr="00841586" w:rsidRDefault="007263DF" w:rsidP="007263DF">
            <w:pPr>
              <w:autoSpaceDE w:val="0"/>
              <w:autoSpaceDN w:val="0"/>
              <w:adjustRightInd w:val="0"/>
              <w:ind w:left="227"/>
              <w:rPr>
                <w:color w:val="000000"/>
                <w:sz w:val="14"/>
                <w:szCs w:val="14"/>
                <w:vertAlign w:val="superscript"/>
              </w:rPr>
            </w:pPr>
            <w:r w:rsidRPr="00841586">
              <w:rPr>
                <w:color w:val="000000"/>
                <w:sz w:val="14"/>
                <w:szCs w:val="14"/>
              </w:rPr>
              <w:t xml:space="preserve">Consumo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3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EF13030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182AF4">
              <w:rPr>
                <w:bCs/>
                <w:color w:val="000000"/>
                <w:sz w:val="14"/>
                <w:szCs w:val="14"/>
              </w:rPr>
              <w:t>-0.04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5D269BE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182AF4">
              <w:rPr>
                <w:bCs/>
                <w:color w:val="000000"/>
                <w:sz w:val="14"/>
                <w:szCs w:val="14"/>
              </w:rPr>
              <w:t>0.97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42F82BB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182AF4">
              <w:rPr>
                <w:bCs/>
                <w:color w:val="000000"/>
                <w:sz w:val="14"/>
                <w:szCs w:val="14"/>
              </w:rPr>
              <w:t>0.58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2DB6F835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182AF4">
              <w:rPr>
                <w:bCs/>
                <w:color w:val="000000"/>
                <w:sz w:val="14"/>
                <w:szCs w:val="14"/>
              </w:rPr>
              <w:t>0.299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F5CCC8A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182AF4">
              <w:rPr>
                <w:bCs/>
                <w:color w:val="000000"/>
                <w:sz w:val="14"/>
                <w:szCs w:val="14"/>
              </w:rPr>
              <w:t>1.37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61FA852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182AF4">
              <w:rPr>
                <w:bCs/>
                <w:color w:val="000000"/>
                <w:sz w:val="14"/>
                <w:szCs w:val="14"/>
              </w:rPr>
              <w:t>3.66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78911A2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182AF4">
              <w:rPr>
                <w:bCs/>
                <w:color w:val="000000"/>
                <w:sz w:val="14"/>
                <w:szCs w:val="14"/>
              </w:rPr>
              <w:t>2.76</w:t>
            </w:r>
          </w:p>
        </w:tc>
      </w:tr>
      <w:tr w:rsidR="007263DF" w:rsidRPr="00841586" w14:paraId="792D6809" w14:textId="77777777" w:rsidTr="007263DF">
        <w:trPr>
          <w:trHeight w:val="227"/>
          <w:jc w:val="center"/>
        </w:trPr>
        <w:tc>
          <w:tcPr>
            <w:tcW w:w="234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3E6B2339" w14:textId="77777777" w:rsidR="007263DF" w:rsidRPr="00841586" w:rsidRDefault="007263DF" w:rsidP="007263DF">
            <w:pPr>
              <w:autoSpaceDE w:val="0"/>
              <w:autoSpaceDN w:val="0"/>
              <w:adjustRightInd w:val="0"/>
              <w:ind w:left="227"/>
              <w:rPr>
                <w:color w:val="000000"/>
                <w:sz w:val="14"/>
                <w:szCs w:val="14"/>
              </w:rPr>
            </w:pPr>
            <w:r w:rsidRPr="00841586">
              <w:rPr>
                <w:color w:val="000000"/>
                <w:sz w:val="14"/>
                <w:szCs w:val="14"/>
              </w:rPr>
              <w:t xml:space="preserve">Formación de capital 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F332763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182AF4">
              <w:rPr>
                <w:bCs/>
                <w:color w:val="000000"/>
                <w:sz w:val="14"/>
                <w:szCs w:val="14"/>
              </w:rPr>
              <w:t>-0.10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87AC719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182AF4">
              <w:rPr>
                <w:bCs/>
                <w:color w:val="000000"/>
                <w:sz w:val="14"/>
                <w:szCs w:val="14"/>
              </w:rPr>
              <w:t>-0.14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934E484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182AF4">
              <w:rPr>
                <w:bCs/>
                <w:color w:val="000000"/>
                <w:sz w:val="14"/>
                <w:szCs w:val="14"/>
              </w:rPr>
              <w:t>-0.11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7D2FA55E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182AF4">
              <w:rPr>
                <w:bCs/>
                <w:color w:val="000000"/>
                <w:sz w:val="14"/>
                <w:szCs w:val="14"/>
              </w:rPr>
              <w:t>-0.022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7E80C73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182AF4">
              <w:rPr>
                <w:bCs/>
                <w:color w:val="000000"/>
                <w:sz w:val="14"/>
                <w:szCs w:val="14"/>
              </w:rPr>
              <w:t>0.38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C3250A7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182AF4">
              <w:rPr>
                <w:bCs/>
                <w:color w:val="000000"/>
                <w:sz w:val="14"/>
                <w:szCs w:val="14"/>
              </w:rPr>
              <w:t>-4.24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14CC4FA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182AF4">
              <w:rPr>
                <w:bCs/>
                <w:color w:val="000000"/>
                <w:sz w:val="14"/>
                <w:szCs w:val="14"/>
              </w:rPr>
              <w:t>-0.01</w:t>
            </w:r>
          </w:p>
        </w:tc>
      </w:tr>
      <w:tr w:rsidR="007263DF" w:rsidRPr="00841586" w14:paraId="5A4A27F5" w14:textId="77777777" w:rsidTr="007263DF">
        <w:trPr>
          <w:trHeight w:val="227"/>
          <w:jc w:val="center"/>
        </w:trPr>
        <w:tc>
          <w:tcPr>
            <w:tcW w:w="2347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5DFD0A78" w14:textId="77777777" w:rsidR="007263DF" w:rsidRPr="00841586" w:rsidRDefault="007263DF" w:rsidP="007263DF">
            <w:pPr>
              <w:autoSpaceDE w:val="0"/>
              <w:autoSpaceDN w:val="0"/>
              <w:adjustRightInd w:val="0"/>
              <w:ind w:left="113"/>
              <w:rPr>
                <w:b/>
                <w:bCs/>
                <w:color w:val="000000"/>
                <w:sz w:val="14"/>
                <w:szCs w:val="14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</w:rPr>
              <w:t xml:space="preserve">Exportaciones 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F8783DF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82AF4">
              <w:rPr>
                <w:b/>
                <w:bCs/>
                <w:color w:val="000000"/>
                <w:sz w:val="14"/>
                <w:szCs w:val="14"/>
              </w:rPr>
              <w:t>0.56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CDAD988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82AF4">
              <w:rPr>
                <w:b/>
                <w:bCs/>
                <w:color w:val="000000"/>
                <w:sz w:val="14"/>
                <w:szCs w:val="14"/>
              </w:rPr>
              <w:t>1.70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2D7EFE1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82AF4">
              <w:rPr>
                <w:b/>
                <w:bCs/>
                <w:color w:val="000000"/>
                <w:sz w:val="14"/>
                <w:szCs w:val="14"/>
              </w:rPr>
              <w:t>0.61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011A4A6E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82AF4">
              <w:rPr>
                <w:b/>
                <w:bCs/>
                <w:color w:val="000000"/>
                <w:sz w:val="14"/>
                <w:szCs w:val="14"/>
              </w:rPr>
              <w:t>0.172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8A62092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82AF4">
              <w:rPr>
                <w:b/>
                <w:bCs/>
                <w:color w:val="000000"/>
                <w:sz w:val="14"/>
                <w:szCs w:val="14"/>
              </w:rPr>
              <w:t>0.78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83C6D3D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82AF4">
              <w:rPr>
                <w:b/>
                <w:bCs/>
                <w:color w:val="000000"/>
                <w:sz w:val="14"/>
                <w:szCs w:val="14"/>
              </w:rPr>
              <w:t>2.21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1378730" w14:textId="77777777" w:rsidR="007263DF" w:rsidRPr="00182AF4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82AF4">
              <w:rPr>
                <w:b/>
                <w:bCs/>
                <w:color w:val="000000"/>
                <w:sz w:val="14"/>
                <w:szCs w:val="14"/>
              </w:rPr>
              <w:t>0.86</w:t>
            </w:r>
          </w:p>
        </w:tc>
      </w:tr>
    </w:tbl>
    <w:p w14:paraId="5D70FEFE" w14:textId="011FA4A4" w:rsidR="0017655C" w:rsidRDefault="0017655C" w:rsidP="0054304E">
      <w:pPr>
        <w:widowControl w:val="0"/>
        <w:autoSpaceDE w:val="0"/>
        <w:autoSpaceDN w:val="0"/>
        <w:adjustRightInd w:val="0"/>
        <w:ind w:left="283" w:right="113" w:hanging="170"/>
        <w:rPr>
          <w:sz w:val="16"/>
          <w:szCs w:val="14"/>
          <w:vertAlign w:val="superscript"/>
        </w:rPr>
      </w:pPr>
      <w:r>
        <w:rPr>
          <w:sz w:val="16"/>
          <w:szCs w:val="14"/>
          <w:vertAlign w:val="superscript"/>
        </w:rPr>
        <w:t>1</w:t>
      </w:r>
      <w:r w:rsidRPr="008D68CA">
        <w:rPr>
          <w:sz w:val="16"/>
          <w:szCs w:val="14"/>
          <w:vertAlign w:val="superscript"/>
        </w:rPr>
        <w:t>/</w:t>
      </w:r>
      <w:r w:rsidRPr="008D68CA">
        <w:rPr>
          <w:sz w:val="16"/>
          <w:szCs w:val="14"/>
          <w:vertAlign w:val="superscript"/>
        </w:rPr>
        <w:tab/>
      </w:r>
      <w:r w:rsidR="00F85511" w:rsidRPr="00395990">
        <w:rPr>
          <w:sz w:val="14"/>
          <w:szCs w:val="14"/>
        </w:rPr>
        <w:t>La incidencia se refiere a la contribución en puntos porcentuales de cada componente del INPP en la variación porcentual del índice general. Ésta se calcula utilizando los ponderadores de cada subíndice, así como los precios relativos y sus respectivas variaciones. En ciertos casos, la suma de los componentes de algún grupo de subíndices puede tener alguna discrepancia por efectos de redondeo</w:t>
      </w:r>
      <w:r>
        <w:rPr>
          <w:sz w:val="14"/>
          <w:szCs w:val="14"/>
        </w:rPr>
        <w:t>.</w:t>
      </w:r>
    </w:p>
    <w:p w14:paraId="56CA07B2" w14:textId="3C0D1DD1" w:rsidR="0054304E" w:rsidRDefault="0017655C" w:rsidP="0054304E">
      <w:pPr>
        <w:widowControl w:val="0"/>
        <w:autoSpaceDE w:val="0"/>
        <w:autoSpaceDN w:val="0"/>
        <w:adjustRightInd w:val="0"/>
        <w:ind w:left="283" w:right="113" w:hanging="170"/>
        <w:rPr>
          <w:sz w:val="16"/>
          <w:szCs w:val="18"/>
          <w:vertAlign w:val="superscript"/>
        </w:rPr>
      </w:pPr>
      <w:r>
        <w:rPr>
          <w:sz w:val="16"/>
          <w:szCs w:val="14"/>
          <w:vertAlign w:val="superscript"/>
        </w:rPr>
        <w:t>2</w:t>
      </w:r>
      <w:r w:rsidR="0054304E" w:rsidRPr="008D68CA">
        <w:rPr>
          <w:sz w:val="16"/>
          <w:szCs w:val="14"/>
          <w:vertAlign w:val="superscript"/>
        </w:rPr>
        <w:t>/</w:t>
      </w:r>
      <w:r w:rsidR="0054304E" w:rsidRPr="008D68CA">
        <w:rPr>
          <w:sz w:val="16"/>
          <w:szCs w:val="14"/>
          <w:vertAlign w:val="superscript"/>
        </w:rPr>
        <w:tab/>
      </w:r>
      <w:r w:rsidR="00F85511" w:rsidRPr="008D68CA">
        <w:rPr>
          <w:sz w:val="14"/>
          <w:szCs w:val="14"/>
        </w:rPr>
        <w:t xml:space="preserve">Las variaciones anuales durante el primer año del INPP base julio </w:t>
      </w:r>
      <w:r w:rsidR="00F85511">
        <w:rPr>
          <w:sz w:val="14"/>
          <w:szCs w:val="14"/>
        </w:rPr>
        <w:t>de 2019</w:t>
      </w:r>
      <w:r w:rsidR="00F85511" w:rsidRPr="008D68CA">
        <w:rPr>
          <w:sz w:val="14"/>
          <w:szCs w:val="14"/>
        </w:rPr>
        <w:t xml:space="preserve"> se continuarán comparando con el índice de la base anterior</w:t>
      </w:r>
      <w:r w:rsidR="0054304E">
        <w:rPr>
          <w:sz w:val="14"/>
          <w:szCs w:val="14"/>
        </w:rPr>
        <w:t>.</w:t>
      </w:r>
    </w:p>
    <w:p w14:paraId="1F96157A" w14:textId="678F223A" w:rsidR="0054304E" w:rsidRPr="003F5E65" w:rsidRDefault="0017655C" w:rsidP="0054304E">
      <w:pPr>
        <w:widowControl w:val="0"/>
        <w:autoSpaceDE w:val="0"/>
        <w:autoSpaceDN w:val="0"/>
        <w:adjustRightInd w:val="0"/>
        <w:ind w:left="283" w:right="113" w:hanging="170"/>
        <w:rPr>
          <w:sz w:val="14"/>
          <w:szCs w:val="16"/>
        </w:rPr>
      </w:pPr>
      <w:r>
        <w:rPr>
          <w:sz w:val="16"/>
          <w:szCs w:val="18"/>
          <w:vertAlign w:val="superscript"/>
        </w:rPr>
        <w:t>3</w:t>
      </w:r>
      <w:r w:rsidR="0054304E" w:rsidRPr="003F5E65">
        <w:rPr>
          <w:sz w:val="16"/>
          <w:szCs w:val="18"/>
          <w:vertAlign w:val="superscript"/>
        </w:rPr>
        <w:t>/</w:t>
      </w:r>
      <w:r w:rsidR="0054304E" w:rsidRPr="003F5E65">
        <w:rPr>
          <w:sz w:val="14"/>
          <w:szCs w:val="16"/>
        </w:rPr>
        <w:tab/>
        <w:t>Consumo privado más consumo de gobierno individualizado.</w:t>
      </w:r>
    </w:p>
    <w:p w14:paraId="10563CF0" w14:textId="77777777" w:rsidR="0017655C" w:rsidRDefault="0017655C">
      <w:pPr>
        <w:jc w:val="left"/>
        <w:rPr>
          <w:b/>
          <w:snapToGrid w:val="0"/>
        </w:rPr>
      </w:pPr>
      <w:r>
        <w:rPr>
          <w:b/>
          <w:snapToGrid w:val="0"/>
        </w:rPr>
        <w:br w:type="page"/>
      </w:r>
    </w:p>
    <w:p w14:paraId="3ED54038" w14:textId="3060E5A2" w:rsidR="004D5C5B" w:rsidRDefault="004D5C5B" w:rsidP="00C963A9">
      <w:pPr>
        <w:autoSpaceDE w:val="0"/>
        <w:autoSpaceDN w:val="0"/>
        <w:adjustRightInd w:val="0"/>
        <w:spacing w:before="240"/>
        <w:rPr>
          <w:b/>
          <w:snapToGrid w:val="0"/>
        </w:rPr>
      </w:pPr>
      <w:r>
        <w:rPr>
          <w:b/>
          <w:snapToGrid w:val="0"/>
        </w:rPr>
        <w:lastRenderedPageBreak/>
        <w:t>Ge</w:t>
      </w:r>
      <w:r w:rsidRPr="00362589">
        <w:rPr>
          <w:b/>
          <w:snapToGrid w:val="0"/>
        </w:rPr>
        <w:t xml:space="preserve">néricos que </w:t>
      </w:r>
      <w:r>
        <w:rPr>
          <w:b/>
          <w:snapToGrid w:val="0"/>
        </w:rPr>
        <w:t xml:space="preserve">más </w:t>
      </w:r>
      <w:r w:rsidRPr="00362589">
        <w:rPr>
          <w:b/>
          <w:snapToGrid w:val="0"/>
        </w:rPr>
        <w:t xml:space="preserve">influyeron en el </w:t>
      </w:r>
      <w:r>
        <w:rPr>
          <w:b/>
          <w:snapToGrid w:val="0"/>
        </w:rPr>
        <w:t xml:space="preserve">resultado del </w:t>
      </w:r>
      <w:r w:rsidRPr="00362589">
        <w:rPr>
          <w:b/>
          <w:snapToGrid w:val="0"/>
        </w:rPr>
        <w:t xml:space="preserve">INPP </w:t>
      </w:r>
      <w:r>
        <w:rPr>
          <w:b/>
          <w:snapToGrid w:val="0"/>
        </w:rPr>
        <w:t>Total</w:t>
      </w:r>
    </w:p>
    <w:p w14:paraId="160D76EB" w14:textId="617B3B08" w:rsidR="004D5C5B" w:rsidRPr="00875DDC" w:rsidRDefault="00F85511" w:rsidP="004D5C5B">
      <w:pPr>
        <w:widowControl w:val="0"/>
        <w:autoSpaceDE w:val="0"/>
        <w:autoSpaceDN w:val="0"/>
        <w:adjustRightInd w:val="0"/>
        <w:spacing w:before="120"/>
        <w:rPr>
          <w:snapToGrid w:val="0"/>
        </w:rPr>
      </w:pPr>
      <w:r w:rsidRPr="00F85511">
        <w:rPr>
          <w:snapToGrid w:val="0"/>
        </w:rPr>
        <w:t xml:space="preserve">Las variaciones de precios de los productos genéricos que destacaron por su contribución al comportamiento mensual del INPP Total, incluyendo petróleo, durante diciembre </w:t>
      </w:r>
      <w:r w:rsidR="004A5D5A">
        <w:rPr>
          <w:snapToGrid w:val="0"/>
        </w:rPr>
        <w:t>pasado</w:t>
      </w:r>
      <w:r w:rsidRPr="00F85511">
        <w:rPr>
          <w:snapToGrid w:val="0"/>
        </w:rPr>
        <w:t>, se muestran en el cuadro siguiente</w:t>
      </w:r>
      <w:r w:rsidR="004D5C5B">
        <w:rPr>
          <w:snapToGrid w:val="0"/>
        </w:rPr>
        <w:t>:</w:t>
      </w:r>
    </w:p>
    <w:p w14:paraId="63F83361" w14:textId="07D6614E" w:rsidR="004D5C5B" w:rsidRPr="000118A3" w:rsidRDefault="004D5C5B" w:rsidP="004F6FF6">
      <w:pPr>
        <w:widowControl w:val="0"/>
        <w:autoSpaceDE w:val="0"/>
        <w:autoSpaceDN w:val="0"/>
        <w:adjustRightInd w:val="0"/>
        <w:spacing w:before="360"/>
        <w:jc w:val="center"/>
        <w:rPr>
          <w:snapToGrid w:val="0"/>
          <w:sz w:val="20"/>
          <w:szCs w:val="20"/>
        </w:rPr>
      </w:pPr>
      <w:r w:rsidRPr="00742534">
        <w:rPr>
          <w:snapToGrid w:val="0"/>
          <w:sz w:val="20"/>
          <w:szCs w:val="20"/>
        </w:rPr>
        <w:t xml:space="preserve">Cuadro </w:t>
      </w:r>
      <w:r w:rsidR="00C963A9">
        <w:rPr>
          <w:snapToGrid w:val="0"/>
          <w:sz w:val="20"/>
          <w:szCs w:val="20"/>
        </w:rPr>
        <w:t>8</w:t>
      </w:r>
    </w:p>
    <w:p w14:paraId="43D806DA" w14:textId="77777777" w:rsidR="004D5C5B" w:rsidRPr="00875DDC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ÍNDICE NACIONAL DE PRECIOS PRODUCTOR </w:t>
      </w:r>
    </w:p>
    <w:p w14:paraId="518BA147" w14:textId="63F6EA0E" w:rsidR="004D5C5B" w:rsidRPr="00875DDC" w:rsidRDefault="004D5C5B" w:rsidP="004D5C5B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DC48FE">
        <w:rPr>
          <w:b/>
          <w:snapToGrid w:val="0"/>
          <w:sz w:val="22"/>
          <w:szCs w:val="22"/>
        </w:rPr>
        <w:t>INCLUYENDO PETRÓLEO</w:t>
      </w:r>
      <w:r w:rsidRPr="00875DDC">
        <w:rPr>
          <w:b/>
          <w:snapToGrid w:val="0"/>
          <w:sz w:val="22"/>
          <w:szCs w:val="22"/>
        </w:rPr>
        <w:t>, DURANTE</w:t>
      </w:r>
      <w:r w:rsidRPr="00875DDC">
        <w:rPr>
          <w:b/>
          <w:bCs/>
          <w:color w:val="000000"/>
          <w:spacing w:val="1"/>
          <w:sz w:val="22"/>
          <w:szCs w:val="22"/>
        </w:rPr>
        <w:t xml:space="preserve"> </w:t>
      </w:r>
      <w:r w:rsidR="00F85511">
        <w:rPr>
          <w:b/>
          <w:bCs/>
          <w:color w:val="000000"/>
          <w:spacing w:val="1"/>
          <w:sz w:val="22"/>
          <w:szCs w:val="22"/>
        </w:rPr>
        <w:t>DIC</w:t>
      </w:r>
      <w:r w:rsidR="003F5B9C">
        <w:rPr>
          <w:b/>
          <w:bCs/>
          <w:color w:val="000000"/>
          <w:spacing w:val="1"/>
          <w:sz w:val="22"/>
          <w:szCs w:val="22"/>
        </w:rPr>
        <w:t>IEM</w:t>
      </w:r>
      <w:r>
        <w:rPr>
          <w:b/>
          <w:bCs/>
          <w:color w:val="000000"/>
          <w:spacing w:val="1"/>
          <w:sz w:val="22"/>
          <w:szCs w:val="22"/>
        </w:rPr>
        <w:t>BRE DE 2019</w:t>
      </w:r>
    </w:p>
    <w:p w14:paraId="74B6F097" w14:textId="5389EC87" w:rsidR="004D5C5B" w:rsidRDefault="004D5C5B" w:rsidP="004D5C5B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  <w:r w:rsidRPr="003F5E65">
        <w:rPr>
          <w:bCs/>
          <w:color w:val="000000"/>
          <w:sz w:val="22"/>
          <w:szCs w:val="22"/>
        </w:rPr>
        <w:t>Genéricos con mayor incidencia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6"/>
        <w:gridCol w:w="926"/>
        <w:gridCol w:w="925"/>
        <w:gridCol w:w="2825"/>
        <w:gridCol w:w="942"/>
        <w:gridCol w:w="942"/>
      </w:tblGrid>
      <w:tr w:rsidR="007263DF" w:rsidRPr="00A9663B" w14:paraId="35977680" w14:textId="77777777" w:rsidTr="007263DF">
        <w:trPr>
          <w:trHeight w:val="454"/>
          <w:jc w:val="center"/>
        </w:trPr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84C4FC7" w14:textId="77777777" w:rsidR="007263DF" w:rsidRPr="00A9663B" w:rsidRDefault="007263DF" w:rsidP="007263DF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</w:rPr>
            </w:pPr>
            <w:bookmarkStart w:id="7" w:name="_Hlk2757980"/>
            <w:r w:rsidRPr="00A9663B">
              <w:rPr>
                <w:bCs/>
                <w:color w:val="000000"/>
                <w:sz w:val="16"/>
                <w:szCs w:val="16"/>
              </w:rPr>
              <w:t>Productos con precios al alza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629D638D" w14:textId="77777777" w:rsidR="007263DF" w:rsidRPr="00A9663B" w:rsidRDefault="007263DF" w:rsidP="007263DF">
            <w:pPr>
              <w:autoSpaceDE w:val="0"/>
              <w:autoSpaceDN w:val="0"/>
              <w:adjustRightInd w:val="0"/>
              <w:ind w:left="-88" w:right="-72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Variación % mensual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4B010565" w14:textId="77777777" w:rsidR="007263DF" w:rsidRPr="00A9663B" w:rsidRDefault="007263DF" w:rsidP="007263DF">
            <w:pPr>
              <w:autoSpaceDE w:val="0"/>
              <w:autoSpaceDN w:val="0"/>
              <w:adjustRightInd w:val="0"/>
              <w:ind w:left="-57" w:right="-72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Incidencia</w:t>
            </w:r>
            <w:r w:rsidRPr="00A9663B">
              <w:rPr>
                <w:bCs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9663B">
              <w:rPr>
                <w:bCs/>
                <w:color w:val="000000"/>
                <w:position w:val="-1"/>
                <w:sz w:val="16"/>
                <w:szCs w:val="16"/>
                <w:vertAlign w:val="superscript"/>
              </w:rPr>
              <w:t>1/</w:t>
            </w:r>
            <w:r w:rsidRPr="00A9663B">
              <w:rPr>
                <w:bCs/>
                <w:color w:val="000000"/>
                <w:sz w:val="16"/>
                <w:szCs w:val="16"/>
              </w:rPr>
              <w:t xml:space="preserve"> mensual</w:t>
            </w:r>
          </w:p>
        </w:tc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138C01F" w14:textId="77777777" w:rsidR="007263DF" w:rsidRPr="00A9663B" w:rsidRDefault="007263DF" w:rsidP="007263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Productos con precios a la baja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vAlign w:val="center"/>
          </w:tcPr>
          <w:p w14:paraId="792F2339" w14:textId="77777777" w:rsidR="007263DF" w:rsidRPr="00A9663B" w:rsidRDefault="007263DF" w:rsidP="007263DF">
            <w:pPr>
              <w:autoSpaceDE w:val="0"/>
              <w:autoSpaceDN w:val="0"/>
              <w:adjustRightInd w:val="0"/>
              <w:ind w:left="-55" w:right="-63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Variación % mensual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20674A3B" w14:textId="77777777" w:rsidR="007263DF" w:rsidRPr="00A9663B" w:rsidRDefault="007263DF" w:rsidP="007263DF">
            <w:pPr>
              <w:autoSpaceDE w:val="0"/>
              <w:autoSpaceDN w:val="0"/>
              <w:adjustRightInd w:val="0"/>
              <w:ind w:left="-55" w:right="-63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Incidencia</w:t>
            </w:r>
            <w:r w:rsidRPr="00A9663B">
              <w:rPr>
                <w:bCs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9663B">
              <w:rPr>
                <w:bCs/>
                <w:color w:val="000000"/>
                <w:position w:val="-1"/>
                <w:sz w:val="16"/>
                <w:szCs w:val="16"/>
                <w:vertAlign w:val="superscript"/>
              </w:rPr>
              <w:t>1/</w:t>
            </w:r>
            <w:r w:rsidRPr="00A9663B">
              <w:rPr>
                <w:bCs/>
                <w:color w:val="000000"/>
                <w:sz w:val="16"/>
                <w:szCs w:val="16"/>
              </w:rPr>
              <w:t xml:space="preserve"> mensual</w:t>
            </w:r>
          </w:p>
        </w:tc>
      </w:tr>
      <w:tr w:rsidR="007263DF" w:rsidRPr="00841586" w14:paraId="474E79AD" w14:textId="77777777" w:rsidTr="007263DF">
        <w:trPr>
          <w:trHeight w:val="198"/>
          <w:jc w:val="center"/>
        </w:trPr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EA9E7C4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Petróleo crudo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72D06D2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8.81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56B7E1C" w14:textId="77777777" w:rsidR="007263DF" w:rsidRPr="00D946DB" w:rsidRDefault="007263DF" w:rsidP="007263DF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0.202</w:t>
            </w:r>
          </w:p>
        </w:tc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7D1A728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Aves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10658BD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-10.00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B870EC5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-0.089</w:t>
            </w:r>
          </w:p>
        </w:tc>
      </w:tr>
      <w:tr w:rsidR="007263DF" w:rsidRPr="00841586" w14:paraId="7F64B7C1" w14:textId="77777777" w:rsidTr="007263DF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89EC115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Transporte aéreo de pasajeros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D62174C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35.58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724A230" w14:textId="77777777" w:rsidR="007263DF" w:rsidRPr="00D946DB" w:rsidRDefault="007263DF" w:rsidP="007263DF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0.191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36EF4B7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Construcción de obras viales y para el autotransporte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2AECBD3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-1.09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6CE3219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-0.010</w:t>
            </w:r>
          </w:p>
        </w:tc>
      </w:tr>
      <w:tr w:rsidR="007263DF" w:rsidRPr="00841586" w14:paraId="3FA19C21" w14:textId="77777777" w:rsidTr="007263DF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5EA5CAD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Hoteles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AF2328A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2.64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8899BDE" w14:textId="77777777" w:rsidR="007263DF" w:rsidRPr="00D946DB" w:rsidRDefault="007263DF" w:rsidP="007263DF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0.024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22D7548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Plata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4F918A3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-1.51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332D1A6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-0.009</w:t>
            </w:r>
          </w:p>
        </w:tc>
      </w:tr>
      <w:tr w:rsidR="007263DF" w:rsidRPr="00841586" w14:paraId="5A4702BE" w14:textId="77777777" w:rsidTr="007263DF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5EF7B20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Jitomate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F534BFF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12.82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9975983" w14:textId="77777777" w:rsidR="007263DF" w:rsidRPr="00D946DB" w:rsidRDefault="007263DF" w:rsidP="007263DF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0.019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E51FBAA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Aguacate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A307302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-6.51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FB91427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-0.009</w:t>
            </w:r>
          </w:p>
        </w:tc>
      </w:tr>
      <w:tr w:rsidR="007263DF" w:rsidRPr="00841586" w14:paraId="5D02F611" w14:textId="77777777" w:rsidTr="007263DF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1412669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Diesel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B6B7FDB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1.74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614DC30" w14:textId="77777777" w:rsidR="007263DF" w:rsidRPr="00D946DB" w:rsidRDefault="007263DF" w:rsidP="007263DF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0.017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94FD902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Otros petroquímicos y butano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744E4B6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-1.73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90702CB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-0.008</w:t>
            </w:r>
          </w:p>
        </w:tc>
      </w:tr>
      <w:tr w:rsidR="007263DF" w:rsidRPr="00841586" w14:paraId="7F93F5AD" w14:textId="77777777" w:rsidTr="007263DF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5A6DF96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Autobús foráneo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DDC6F88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1.30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CAF9FC8" w14:textId="77777777" w:rsidR="007263DF" w:rsidRPr="00D946DB" w:rsidRDefault="007263DF" w:rsidP="007263DF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0.016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8917A5F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Edificación de inmuebles comerciales y de servicios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01069A1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-0.22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0B0F42B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-0.004</w:t>
            </w:r>
          </w:p>
        </w:tc>
      </w:tr>
      <w:tr w:rsidR="007263DF" w:rsidRPr="00841586" w14:paraId="37738F9C" w14:textId="77777777" w:rsidTr="007263DF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A44E8CD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Agencias de viajes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0A40385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11.42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F27F99B" w14:textId="77777777" w:rsidR="007263DF" w:rsidRPr="00D946DB" w:rsidRDefault="007263DF" w:rsidP="007263DF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0.010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B9F858E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Combustóleo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1D34EAF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-4.88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27E6EF6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-0.004</w:t>
            </w:r>
          </w:p>
        </w:tc>
      </w:tr>
      <w:tr w:rsidR="007263DF" w:rsidRPr="00841586" w14:paraId="5F33CCFF" w14:textId="77777777" w:rsidTr="007263DF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7592F02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Vivienda propia y rentada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36D49AC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0.19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2B0458A" w14:textId="77777777" w:rsidR="007263DF" w:rsidRPr="00D946DB" w:rsidRDefault="007263DF" w:rsidP="007263DF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0.010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F68BB36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Plomo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FE2FF07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-7.21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25E857C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-0.004</w:t>
            </w:r>
          </w:p>
        </w:tc>
      </w:tr>
      <w:tr w:rsidR="007263DF" w:rsidRPr="00841586" w14:paraId="3D9D2D92" w14:textId="77777777" w:rsidTr="007263DF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14C4281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Gas natural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5A02FF8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D5D2685" w14:textId="77777777" w:rsidR="007263DF" w:rsidRPr="00D946DB" w:rsidRDefault="007263DF" w:rsidP="007263DF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99B8598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Naranja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E610ACA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-7.58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BE79072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-0.003</w:t>
            </w:r>
          </w:p>
        </w:tc>
      </w:tr>
      <w:tr w:rsidR="007263DF" w:rsidRPr="00841586" w14:paraId="456802E3" w14:textId="77777777" w:rsidTr="007263DF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1EA10CE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Gas licuado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B9395B7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10.20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7E35005" w14:textId="77777777" w:rsidR="007263DF" w:rsidRPr="00D946DB" w:rsidRDefault="007263DF" w:rsidP="007263DF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6818EAF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Computadoras y accesorios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34B9243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-0.27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536E125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-0.003</w:t>
            </w:r>
          </w:p>
        </w:tc>
      </w:tr>
      <w:tr w:rsidR="007263DF" w:rsidRPr="00841586" w14:paraId="7F672E87" w14:textId="77777777" w:rsidTr="007263DF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2438C04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Otros petrolíferos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45F4F38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1.83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76EE20C" w14:textId="77777777" w:rsidR="007263DF" w:rsidRPr="00D946DB" w:rsidRDefault="007263DF" w:rsidP="007263DF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3E2C3E0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Edificación residencial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D810FDD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-0.06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B4A608F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-0.003</w:t>
            </w:r>
          </w:p>
        </w:tc>
      </w:tr>
      <w:tr w:rsidR="007263DF" w:rsidRPr="00841586" w14:paraId="4BC93276" w14:textId="77777777" w:rsidTr="007263DF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470F66B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Carne de ave en canal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CAA26A2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0.75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69904CB" w14:textId="77777777" w:rsidR="007263DF" w:rsidRPr="00D946DB" w:rsidRDefault="007263DF" w:rsidP="007263DF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759C7F9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Limón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A596855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-5.90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3046CA8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-0.003</w:t>
            </w:r>
          </w:p>
        </w:tc>
      </w:tr>
      <w:tr w:rsidR="007263DF" w:rsidRPr="00841586" w14:paraId="15C8872E" w14:textId="77777777" w:rsidTr="007263DF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0A1B303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Tarifa de uso de aeropuerto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65D1AE8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5.54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CDE258D" w14:textId="77777777" w:rsidR="007263DF" w:rsidRPr="00D946DB" w:rsidRDefault="007263DF" w:rsidP="007263DF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1536D6A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Zinc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8993127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-7.22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7FFA779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-0.003</w:t>
            </w:r>
          </w:p>
        </w:tc>
      </w:tr>
      <w:tr w:rsidR="007263DF" w:rsidRPr="00841586" w14:paraId="6507C297" w14:textId="77777777" w:rsidTr="007263DF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8F6A85B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Cebolla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9A59130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18.16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FBFA805" w14:textId="77777777" w:rsidR="007263DF" w:rsidRPr="00D946DB" w:rsidRDefault="007263DF" w:rsidP="007263DF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69D8988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Alambres de fierro y acero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4B1E559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-4.68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7B850FD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-0.002</w:t>
            </w:r>
          </w:p>
        </w:tc>
      </w:tr>
      <w:tr w:rsidR="007263DF" w:rsidRPr="00841586" w14:paraId="0AA058EB" w14:textId="77777777" w:rsidTr="007263DF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5C0FC09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Cobre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791D5AA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2.78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0BE9FEC" w14:textId="77777777" w:rsidR="007263DF" w:rsidRPr="00D946DB" w:rsidRDefault="007263DF" w:rsidP="007263DF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C09C6F3" w14:textId="77777777" w:rsidR="007263DF" w:rsidRPr="00D946DB" w:rsidRDefault="007263DF" w:rsidP="007263DF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946DB">
              <w:rPr>
                <w:color w:val="000000"/>
                <w:sz w:val="14"/>
                <w:szCs w:val="14"/>
              </w:rPr>
              <w:t>Huevo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E22242F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-1.49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ED2DE20" w14:textId="77777777" w:rsidR="007263DF" w:rsidRPr="00D946DB" w:rsidRDefault="007263DF" w:rsidP="007263D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D946DB">
              <w:rPr>
                <w:bCs/>
                <w:color w:val="000000"/>
                <w:sz w:val="14"/>
                <w:szCs w:val="14"/>
              </w:rPr>
              <w:t>-0.002</w:t>
            </w:r>
          </w:p>
        </w:tc>
      </w:tr>
    </w:tbl>
    <w:bookmarkEnd w:id="7"/>
    <w:p w14:paraId="71658050" w14:textId="77777777" w:rsidR="0054304E" w:rsidRDefault="0054304E" w:rsidP="00DC48FE">
      <w:pPr>
        <w:autoSpaceDE w:val="0"/>
        <w:autoSpaceDN w:val="0"/>
        <w:adjustRightInd w:val="0"/>
        <w:ind w:left="210" w:hanging="140"/>
        <w:jc w:val="left"/>
        <w:rPr>
          <w:sz w:val="14"/>
          <w:szCs w:val="16"/>
        </w:rPr>
      </w:pPr>
      <w:r w:rsidRPr="003F5E65">
        <w:rPr>
          <w:sz w:val="16"/>
          <w:szCs w:val="18"/>
          <w:vertAlign w:val="superscript"/>
        </w:rPr>
        <w:t>1/</w:t>
      </w:r>
      <w:r w:rsidRPr="003F5E65">
        <w:rPr>
          <w:sz w:val="16"/>
          <w:szCs w:val="18"/>
          <w:vertAlign w:val="superscript"/>
        </w:rPr>
        <w:tab/>
      </w:r>
      <w:r w:rsidRPr="001E4D9A">
        <w:rPr>
          <w:sz w:val="14"/>
          <w:szCs w:val="16"/>
        </w:rPr>
        <w:t>La incidencia se refiere a la contribución en puntos porcentuales de cada componente del INPP en la variación porcentual del índice general. Ésta se calcula utilizando los ponderadores de cada subíndice, así como los precios relativos y sus respectivas variaciones.</w:t>
      </w:r>
    </w:p>
    <w:p w14:paraId="21E6802E" w14:textId="77777777" w:rsidR="004D5C5B" w:rsidRPr="00875DDC" w:rsidRDefault="004D5C5B" w:rsidP="003F5B9C">
      <w:pPr>
        <w:keepNext/>
        <w:keepLines/>
        <w:spacing w:before="600"/>
        <w:jc w:val="left"/>
        <w:rPr>
          <w:b/>
          <w:i/>
        </w:rPr>
      </w:pPr>
      <w:r w:rsidRPr="00875DDC">
        <w:rPr>
          <w:b/>
          <w:i/>
        </w:rPr>
        <w:t>Nota metodológica y fuentes de información</w:t>
      </w:r>
    </w:p>
    <w:p w14:paraId="45F21737" w14:textId="77777777" w:rsidR="00F85511" w:rsidRPr="00F85511" w:rsidRDefault="00F85511" w:rsidP="00F85511">
      <w:pPr>
        <w:spacing w:before="300"/>
        <w:rPr>
          <w:snapToGrid w:val="0"/>
        </w:rPr>
      </w:pPr>
      <w:r w:rsidRPr="00F85511">
        <w:rPr>
          <w:snapToGrid w:val="0"/>
        </w:rPr>
        <w:t>Para la elaboración de los cálculos del INPP se recopilan de manera periódica y directa, los precios de los productos específicos más representativos de la producción nacional.</w:t>
      </w:r>
    </w:p>
    <w:p w14:paraId="6FEC35AF" w14:textId="737175AA" w:rsidR="003F5B9C" w:rsidRPr="003F5B9C" w:rsidRDefault="00F85511" w:rsidP="00F85511">
      <w:pPr>
        <w:spacing w:before="300"/>
        <w:rPr>
          <w:snapToGrid w:val="0"/>
        </w:rPr>
      </w:pPr>
      <w:r w:rsidRPr="00F85511">
        <w:rPr>
          <w:snapToGrid w:val="0"/>
        </w:rPr>
        <w:t>Para mejorar la cobertura y representatividad del INPP, se conformó el diseño estadístico que incluye la determinación de un marco de muestreo, del cual se han seleccionado a las unidades económicas que se consideran como fuentes de información para realizar las cotizaciones correspondientes, todo esto mediante la utilización de técnicas estadísticas comúnmente aceptadas</w:t>
      </w:r>
      <w:r w:rsidR="003F5B9C" w:rsidRPr="003F5B9C">
        <w:rPr>
          <w:snapToGrid w:val="0"/>
        </w:rPr>
        <w:t>.</w:t>
      </w:r>
    </w:p>
    <w:p w14:paraId="53D46CEA" w14:textId="4E2073C2" w:rsidR="003F5B9C" w:rsidRPr="003F5B9C" w:rsidRDefault="00F85511" w:rsidP="0017655C">
      <w:pPr>
        <w:spacing w:before="300"/>
        <w:rPr>
          <w:snapToGrid w:val="0"/>
        </w:rPr>
      </w:pPr>
      <w:r w:rsidRPr="003F5B9C">
        <w:rPr>
          <w:snapToGrid w:val="0"/>
        </w:rPr>
        <w:t xml:space="preserve">A fin de contar con un indicador que sea representativo, se han implementado las siguientes medidas: a) se ha seleccionado una canasta de bienes y servicios integrada por 560 conceptos, de los cuales 68 corresponden al sector primario, 382 al industrial y 110 al de los servicios; b) se ha utilizado el Sistema de Clasificación Industrial de América del Norte 2013 (SCIAN 2013) para la codificación y agrupación de los productos y servicios genéricos que componen la canasta; y, c) se incluye la información actualizada </w:t>
      </w:r>
      <w:r w:rsidRPr="003F5B9C">
        <w:rPr>
          <w:snapToGrid w:val="0"/>
        </w:rPr>
        <w:lastRenderedPageBreak/>
        <w:t>del Sistema de Cuentas Nacionales de México 2013 (SCNM-2013), los Censos Económicos 2014 (CE-2014), la Matriz de Insumo Producto 2013 (MIP-2013) y los Cuadros de Oferta y Utilización 2017 (COU-2017).</w:t>
      </w:r>
    </w:p>
    <w:p w14:paraId="5CCA7556" w14:textId="77777777" w:rsidR="00F85511" w:rsidRPr="003F5B9C" w:rsidRDefault="00F85511" w:rsidP="00F85511">
      <w:pPr>
        <w:spacing w:before="300"/>
        <w:rPr>
          <w:snapToGrid w:val="0"/>
        </w:rPr>
      </w:pPr>
      <w:r w:rsidRPr="003F5B9C">
        <w:rPr>
          <w:snapToGrid w:val="0"/>
        </w:rPr>
        <w:t>Con la información antes descrita, se definen los ponderadores finales que se actualizan mediante precios relativos al periodo de referencia julio de 2019.</w:t>
      </w:r>
    </w:p>
    <w:p w14:paraId="6C0B6C44" w14:textId="5E043E9B" w:rsidR="004F6FF6" w:rsidRPr="004F6FF6" w:rsidRDefault="00F85511" w:rsidP="00F85511">
      <w:pPr>
        <w:spacing w:before="300"/>
        <w:rPr>
          <w:strike/>
          <w:szCs w:val="22"/>
        </w:rPr>
      </w:pPr>
      <w:r w:rsidRPr="003F5B9C">
        <w:rPr>
          <w:snapToGrid w:val="0"/>
        </w:rPr>
        <w:t>El documento que explica las actualizaciones realizadas al INPP en la nueva base, se puede extraer de la siguiente liga</w:t>
      </w:r>
      <w:r w:rsidR="004F6FF6" w:rsidRPr="004F6FF6">
        <w:rPr>
          <w:szCs w:val="22"/>
        </w:rPr>
        <w:t>:</w:t>
      </w:r>
    </w:p>
    <w:p w14:paraId="0D456EEF" w14:textId="77777777" w:rsidR="004F6FF6" w:rsidRPr="000C7121" w:rsidRDefault="000B0937" w:rsidP="004F6FF6">
      <w:pPr>
        <w:rPr>
          <w:sz w:val="22"/>
          <w:szCs w:val="22"/>
        </w:rPr>
      </w:pPr>
      <w:hyperlink r:id="rId27" w:anchor="Documentacion" w:history="1">
        <w:r w:rsidR="004F6FF6" w:rsidRPr="004F6FF6">
          <w:rPr>
            <w:rStyle w:val="Hipervnculo"/>
            <w:sz w:val="22"/>
            <w:szCs w:val="22"/>
          </w:rPr>
          <w:t>https://www.inegi.org.mx/programas/inpp/2019/default.html#Documentacion</w:t>
        </w:r>
      </w:hyperlink>
    </w:p>
    <w:p w14:paraId="7CB821B7" w14:textId="77777777" w:rsidR="00F85511" w:rsidRPr="00F85511" w:rsidRDefault="00F85511" w:rsidP="00F85511">
      <w:pPr>
        <w:spacing w:before="300"/>
        <w:rPr>
          <w:snapToGrid w:val="0"/>
        </w:rPr>
      </w:pPr>
      <w:r w:rsidRPr="00F85511">
        <w:rPr>
          <w:snapToGrid w:val="0"/>
        </w:rPr>
        <w:t xml:space="preserve">La fórmula del cálculo del INPP es la de ponderaciones fijas de Laspeyres. Con esta fórmula se utiliza una canasta de artículos y una estructura de ponderaciones fijas, que representan los bienes y servicios producidos en el país en el periodo base. </w:t>
      </w:r>
    </w:p>
    <w:p w14:paraId="3EF2748C" w14:textId="77777777" w:rsidR="00F85511" w:rsidRPr="00F85511" w:rsidRDefault="00F85511" w:rsidP="00F85511">
      <w:pPr>
        <w:spacing w:before="300"/>
        <w:rPr>
          <w:snapToGrid w:val="0"/>
        </w:rPr>
      </w:pPr>
      <w:r w:rsidRPr="00F85511">
        <w:rPr>
          <w:snapToGrid w:val="0"/>
        </w:rPr>
        <w:t xml:space="preserve">La producción característica de cada actividad para el cálculo del sistema de ponderaciones está valorada a precios básicos y sin considerar la producción para autoconsumo, de tal forma que el valor de la producción en la que se asocia a cada bien o servicio, con el objeto de obtener la estructura de ponderadores de la producción neta. Con esto se evita un “doble-conteo” en la formación de los precios de cada actividad, al no considerar los productos que se generan para usarlos como insumo en la misma actividad. </w:t>
      </w:r>
    </w:p>
    <w:p w14:paraId="766DFD7E" w14:textId="77777777" w:rsidR="00F85511" w:rsidRPr="00F85511" w:rsidRDefault="00F85511" w:rsidP="00F85511">
      <w:pPr>
        <w:spacing w:before="300"/>
        <w:rPr>
          <w:snapToGrid w:val="0"/>
        </w:rPr>
      </w:pPr>
      <w:r w:rsidRPr="00F85511">
        <w:rPr>
          <w:snapToGrid w:val="0"/>
        </w:rPr>
        <w:t>Las recomendaciones internacionales establecen que con la finalidad de apoyar o facilitar el análisis e interpretación de los resultados, el INPP se puede calcular por fase del ciclo de producción; es decir, considerando por separado los productos intermedios y los productos para la demanda final. Lo que permite identificar si las variaciones de los precios se deben a cambios en los costos de los bienes de demanda intermedia o en el valor de los productos finales, además del impacto que cualquiera de ellos puede causar en la producción total.</w:t>
      </w:r>
    </w:p>
    <w:p w14:paraId="46ABD60C" w14:textId="74A2B46B" w:rsidR="003F5B9C" w:rsidRDefault="00F85511" w:rsidP="00F85511">
      <w:pPr>
        <w:spacing w:before="300"/>
        <w:rPr>
          <w:snapToGrid w:val="0"/>
        </w:rPr>
      </w:pPr>
      <w:r w:rsidRPr="00F85511">
        <w:rPr>
          <w:snapToGrid w:val="0"/>
        </w:rPr>
        <w:t>Cabe señalar que, debido a la naturaleza de los precios utilizados en la elaboración del INPP, los resultados del índice son preliminares, en tanto que las fuentes de información consolidan las cifras definitivas</w:t>
      </w:r>
      <w:r w:rsidR="003F5B9C" w:rsidRPr="0054304E">
        <w:rPr>
          <w:snapToGrid w:val="0"/>
        </w:rPr>
        <w:t>.</w:t>
      </w:r>
    </w:p>
    <w:p w14:paraId="493F5630" w14:textId="6349B317" w:rsidR="003F5B9C" w:rsidRPr="007F0AE0" w:rsidRDefault="00F85511" w:rsidP="0017655C">
      <w:pPr>
        <w:spacing w:before="300"/>
        <w:rPr>
          <w:snapToGrid w:val="0"/>
        </w:rPr>
      </w:pPr>
      <w:r w:rsidRPr="00F85511">
        <w:rPr>
          <w:snapToGrid w:val="0"/>
        </w:rPr>
        <w:t>La información contenida en este documento es generada por el INEGI y se da a conocer en la fecha establecida en el Calendario de difusión de información estadística y geográfica y de Interés Nacional</w:t>
      </w:r>
      <w:r w:rsidR="003F5B9C" w:rsidRPr="007F0AE0">
        <w:rPr>
          <w:snapToGrid w:val="0"/>
        </w:rPr>
        <w:t>.</w:t>
      </w:r>
    </w:p>
    <w:p w14:paraId="1DDA4263" w14:textId="77777777" w:rsidR="003F5B9C" w:rsidRDefault="003F5B9C" w:rsidP="0017655C">
      <w:pPr>
        <w:spacing w:before="300"/>
        <w:rPr>
          <w:snapToGrid w:val="0"/>
        </w:rPr>
      </w:pPr>
      <w:r w:rsidRPr="007F0AE0">
        <w:rPr>
          <w:snapToGrid w:val="0"/>
        </w:rPr>
        <w:t>Las cifras aquí mencionadas, podrán ser consultadas en la página del INEGI en Internet</w:t>
      </w:r>
      <w:r w:rsidRPr="00453648">
        <w:rPr>
          <w:snapToGrid w:val="0"/>
        </w:rPr>
        <w:t>:</w:t>
      </w:r>
    </w:p>
    <w:p w14:paraId="69493A36" w14:textId="77777777" w:rsidR="004D5C5B" w:rsidRDefault="000B0937" w:rsidP="004D5C5B">
      <w:pPr>
        <w:rPr>
          <w:rStyle w:val="Hipervnculo"/>
          <w:sz w:val="22"/>
          <w:szCs w:val="22"/>
        </w:rPr>
      </w:pPr>
      <w:hyperlink r:id="rId28" w:history="1">
        <w:r w:rsidR="004D5C5B" w:rsidRPr="004847DD">
          <w:rPr>
            <w:rStyle w:val="Hipervnculo"/>
            <w:sz w:val="22"/>
            <w:szCs w:val="22"/>
          </w:rPr>
          <w:t>https://www.inegi.org.mx/temas/inpp/</w:t>
        </w:r>
      </w:hyperlink>
    </w:p>
    <w:p w14:paraId="394B1870" w14:textId="77777777" w:rsidR="004D5C5B" w:rsidRPr="00B768B6" w:rsidRDefault="000B0937" w:rsidP="004D5C5B">
      <w:pPr>
        <w:rPr>
          <w:rStyle w:val="Hipervnculo"/>
          <w:color w:val="auto"/>
          <w:sz w:val="22"/>
          <w:u w:val="none"/>
        </w:rPr>
      </w:pPr>
      <w:hyperlink r:id="rId29" w:history="1">
        <w:r w:rsidR="004D5C5B" w:rsidRPr="00B768B6">
          <w:rPr>
            <w:color w:val="0000FF"/>
            <w:sz w:val="22"/>
            <w:u w:val="single"/>
          </w:rPr>
          <w:t>https://www.inegi.org.mx/programas/inpp/2019/</w:t>
        </w:r>
      </w:hyperlink>
      <w:r w:rsidR="004D5C5B" w:rsidRPr="00B768B6">
        <w:rPr>
          <w:sz w:val="22"/>
        </w:rPr>
        <w:t xml:space="preserve"> </w:t>
      </w:r>
    </w:p>
    <w:sectPr w:rsidR="004D5C5B" w:rsidRPr="00B768B6" w:rsidSect="003D5B8A">
      <w:headerReference w:type="default" r:id="rId30"/>
      <w:footerReference w:type="default" r:id="rId31"/>
      <w:footnotePr>
        <w:numRestart w:val="eachPage"/>
      </w:footnotePr>
      <w:pgSz w:w="12242" w:h="15842" w:code="1"/>
      <w:pgMar w:top="2552" w:right="1418" w:bottom="1134" w:left="1418" w:header="510" w:footer="340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5F414" w14:textId="77777777" w:rsidR="002A45A7" w:rsidRDefault="002A45A7">
      <w:r>
        <w:separator/>
      </w:r>
    </w:p>
  </w:endnote>
  <w:endnote w:type="continuationSeparator" w:id="0">
    <w:p w14:paraId="6245995C" w14:textId="77777777" w:rsidR="002A45A7" w:rsidRDefault="002A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80DBB" w14:textId="77777777" w:rsidR="000B0937" w:rsidRDefault="000B09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7C891" w14:textId="77777777" w:rsidR="00EB76A7" w:rsidRPr="002C0DF9" w:rsidRDefault="00EB76A7" w:rsidP="00D67225">
    <w:pPr>
      <w:pStyle w:val="Piedepgina"/>
      <w:contextualSpacing/>
      <w:jc w:val="center"/>
      <w:rPr>
        <w:color w:val="002060"/>
        <w:sz w:val="18"/>
        <w:szCs w:val="18"/>
      </w:rPr>
    </w:pPr>
    <w:r w:rsidRPr="002C0DF9">
      <w:rPr>
        <w:b/>
        <w:color w:val="002060"/>
        <w:sz w:val="18"/>
        <w:szCs w:val="18"/>
      </w:rPr>
      <w:t>COMUNICACIÓN SOCIAL</w:t>
    </w:r>
  </w:p>
  <w:p w14:paraId="5F665B62" w14:textId="77777777" w:rsidR="00EB76A7" w:rsidRPr="00BA5C45" w:rsidRDefault="00EB76A7" w:rsidP="00D67225">
    <w:pPr>
      <w:pStyle w:val="Piedepgina"/>
      <w:spacing w:before="60"/>
      <w:contextualSpacing/>
      <w:jc w:val="center"/>
      <w:rPr>
        <w:color w:val="002060"/>
        <w:sz w:val="18"/>
        <w:szCs w:val="18"/>
      </w:rPr>
    </w:pPr>
  </w:p>
  <w:p w14:paraId="74CCB057" w14:textId="77777777" w:rsidR="00EB76A7" w:rsidRPr="00265B8C" w:rsidRDefault="00EB76A7" w:rsidP="00D67225">
    <w:pPr>
      <w:pStyle w:val="Piedepgina"/>
      <w:contextualSpacing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E3FD1" w14:textId="77777777" w:rsidR="000B0937" w:rsidRDefault="000B0937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8776F" w14:textId="77777777" w:rsidR="00533AAC" w:rsidRDefault="00533AAC" w:rsidP="003076C4">
    <w:pPr>
      <w:pStyle w:val="Piedepgina"/>
      <w:jc w:val="center"/>
      <w:rPr>
        <w:b/>
        <w:lang w:val="es-MX"/>
      </w:rPr>
    </w:pPr>
    <w:r>
      <w:rPr>
        <w:b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B1940" w14:textId="77777777" w:rsidR="002A45A7" w:rsidRDefault="002A45A7">
      <w:r>
        <w:separator/>
      </w:r>
    </w:p>
  </w:footnote>
  <w:footnote w:type="continuationSeparator" w:id="0">
    <w:p w14:paraId="3655B0BC" w14:textId="77777777" w:rsidR="002A45A7" w:rsidRDefault="002A45A7">
      <w:r>
        <w:continuationSeparator/>
      </w:r>
    </w:p>
  </w:footnote>
  <w:footnote w:id="1">
    <w:p w14:paraId="00F1645F" w14:textId="77777777" w:rsidR="00EB76A7" w:rsidRDefault="00EB76A7" w:rsidP="00EB76A7">
      <w:pPr>
        <w:pStyle w:val="Textonotapie"/>
        <w:ind w:left="170" w:right="-880" w:hanging="170"/>
        <w:rPr>
          <w:spacing w:val="-2"/>
          <w:sz w:val="16"/>
          <w:szCs w:val="16"/>
        </w:rPr>
      </w:pPr>
      <w:r>
        <w:rPr>
          <w:rStyle w:val="Refdenotaalpie"/>
        </w:rPr>
        <w:footnoteRef/>
      </w:r>
      <w:r>
        <w:tab/>
      </w:r>
      <w:r w:rsidRPr="00561AFD">
        <w:rPr>
          <w:sz w:val="16"/>
        </w:rPr>
        <w:t>Nota general:</w:t>
      </w:r>
      <w:r w:rsidRPr="00561AFD">
        <w:rPr>
          <w:spacing w:val="-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Todas l</w:t>
      </w:r>
      <w:r w:rsidRPr="00034732">
        <w:rPr>
          <w:spacing w:val="-2"/>
          <w:sz w:val="16"/>
          <w:szCs w:val="16"/>
        </w:rPr>
        <w:t>as variaciones anuales durante el primer año del INPP base julio de 2019 se continuarán comparando con el índice de la base anterior.</w:t>
      </w:r>
    </w:p>
    <w:p w14:paraId="47A44E41" w14:textId="77777777" w:rsidR="00EB76A7" w:rsidRPr="00717509" w:rsidRDefault="00EB76A7" w:rsidP="00EB76A7">
      <w:pPr>
        <w:pStyle w:val="Textonotapie"/>
        <w:ind w:left="170" w:right="-880" w:hanging="170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96903" w14:textId="77777777" w:rsidR="000B0937" w:rsidRDefault="000B09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AE0DF" w14:textId="28718AB8" w:rsidR="00EB76A7" w:rsidRPr="00265B8C" w:rsidRDefault="00EB76A7" w:rsidP="000B0937">
    <w:pPr>
      <w:pStyle w:val="Encabezado"/>
      <w:framePr w:w="5312" w:hSpace="141" w:wrap="auto" w:vAnchor="text" w:hAnchor="page" w:x="5781" w:y="39"/>
      <w:ind w:left="567" w:hanging="11"/>
      <w:jc w:val="right"/>
      <w:rPr>
        <w:b/>
        <w:color w:val="002060"/>
      </w:rPr>
    </w:pPr>
    <w:bookmarkStart w:id="0" w:name="_GoBack"/>
    <w:r w:rsidRPr="00265B8C">
      <w:rPr>
        <w:b/>
        <w:color w:val="002060"/>
      </w:rPr>
      <w:t xml:space="preserve">COMUNICADO DE PRENSA NÚM. </w:t>
    </w:r>
    <w:r w:rsidR="000B0937">
      <w:rPr>
        <w:b/>
        <w:color w:val="002060"/>
      </w:rPr>
      <w:t>06</w:t>
    </w:r>
    <w:r w:rsidRPr="00265B8C">
      <w:rPr>
        <w:b/>
        <w:color w:val="002060"/>
      </w:rPr>
      <w:t>/</w:t>
    </w:r>
    <w:r>
      <w:rPr>
        <w:b/>
        <w:color w:val="002060"/>
      </w:rPr>
      <w:t>20</w:t>
    </w:r>
  </w:p>
  <w:p w14:paraId="0A716E02" w14:textId="77777777" w:rsidR="00EB76A7" w:rsidRPr="00265B8C" w:rsidRDefault="00EB76A7" w:rsidP="000B0937">
    <w:pPr>
      <w:pStyle w:val="Encabezado"/>
      <w:framePr w:w="5312" w:hSpace="141" w:wrap="auto" w:vAnchor="text" w:hAnchor="page" w:x="5781" w:y="39"/>
      <w:ind w:left="567" w:hanging="11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9</w:t>
    </w:r>
    <w:r w:rsidRPr="00265B8C">
      <w:rPr>
        <w:b/>
        <w:color w:val="002060"/>
        <w:lang w:val="pt-BR"/>
      </w:rPr>
      <w:t xml:space="preserve"> DE</w:t>
    </w:r>
    <w:r>
      <w:rPr>
        <w:b/>
        <w:color w:val="002060"/>
        <w:lang w:val="pt-BR"/>
      </w:rPr>
      <w:t xml:space="preserve"> ENERO DE 2020</w:t>
    </w:r>
  </w:p>
  <w:p w14:paraId="3C95EF89" w14:textId="77777777" w:rsidR="00EB76A7" w:rsidRPr="00265B8C" w:rsidRDefault="00EB76A7" w:rsidP="000B0937">
    <w:pPr>
      <w:pStyle w:val="Encabezado"/>
      <w:framePr w:w="5312" w:hSpace="141" w:wrap="auto" w:vAnchor="text" w:hAnchor="page" w:x="5781" w:y="39"/>
      <w:ind w:left="567" w:hanging="11"/>
      <w:jc w:val="right"/>
      <w:rPr>
        <w:b/>
        <w:color w:val="002060"/>
        <w:lang w:val="pt-BR"/>
      </w:rPr>
    </w:pPr>
    <w:r w:rsidRPr="00265B8C">
      <w:rPr>
        <w:b/>
        <w:color w:val="002060"/>
        <w:lang w:val="pt-BR"/>
      </w:rPr>
      <w:t xml:space="preserve">PÁGINA </w:t>
    </w:r>
    <w:r w:rsidRPr="00265B8C">
      <w:rPr>
        <w:b/>
        <w:color w:val="002060"/>
      </w:rPr>
      <w:fldChar w:fldCharType="begin"/>
    </w:r>
    <w:r w:rsidRPr="00265B8C">
      <w:rPr>
        <w:b/>
        <w:color w:val="002060"/>
        <w:lang w:val="pt-BR"/>
      </w:rPr>
      <w:instrText xml:space="preserve">\PAGE </w:instrText>
    </w:r>
    <w:r w:rsidRPr="00265B8C">
      <w:rPr>
        <w:color w:val="002060"/>
      </w:rPr>
      <w:fldChar w:fldCharType="separate"/>
    </w:r>
    <w:r>
      <w:rPr>
        <w:b/>
        <w:noProof/>
        <w:color w:val="002060"/>
        <w:lang w:val="pt-BR"/>
      </w:rPr>
      <w:t>2</w:t>
    </w:r>
    <w:r w:rsidRPr="00265B8C">
      <w:rPr>
        <w:color w:val="002060"/>
      </w:rPr>
      <w:fldChar w:fldCharType="end"/>
    </w:r>
    <w:r w:rsidRPr="00265B8C">
      <w:rPr>
        <w:b/>
        <w:color w:val="002060"/>
        <w:lang w:val="pt-BR"/>
      </w:rPr>
      <w:t>/</w:t>
    </w:r>
    <w:r>
      <w:rPr>
        <w:b/>
        <w:color w:val="002060"/>
        <w:lang w:val="pt-BR"/>
      </w:rPr>
      <w:t>2</w:t>
    </w:r>
  </w:p>
  <w:bookmarkEnd w:id="0"/>
  <w:p w14:paraId="5F132612" w14:textId="77777777" w:rsidR="00EB76A7" w:rsidRDefault="00EB76A7" w:rsidP="00D67225">
    <w:pPr>
      <w:pStyle w:val="Encabezado"/>
      <w:ind w:left="-993"/>
    </w:pPr>
    <w:r>
      <w:rPr>
        <w:noProof/>
      </w:rPr>
      <w:drawing>
        <wp:inline distT="0" distB="0" distL="0" distR="0" wp14:anchorId="72109DCA" wp14:editId="02824E70">
          <wp:extent cx="927615" cy="963545"/>
          <wp:effectExtent l="0" t="0" r="6350" b="825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847" cy="991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4BBDE" w14:textId="77777777" w:rsidR="000B0937" w:rsidRDefault="000B0937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F90D4" w14:textId="0AC640B4" w:rsidR="00533AAC" w:rsidRDefault="00533AAC" w:rsidP="00EB76A7">
    <w:pPr>
      <w:pStyle w:val="Encabezado"/>
      <w:tabs>
        <w:tab w:val="clear" w:pos="4320"/>
        <w:tab w:val="clear" w:pos="8640"/>
        <w:tab w:val="center" w:pos="2892"/>
      </w:tabs>
      <w:jc w:val="center"/>
    </w:pPr>
    <w:r>
      <w:ptab w:relativeTo="margin" w:alignment="left" w:leader="none"/>
    </w:r>
    <w:r>
      <w:rPr>
        <w:noProof/>
        <w:lang w:val="es-MX" w:eastAsia="es-MX"/>
      </w:rPr>
      <w:drawing>
        <wp:inline distT="0" distB="0" distL="0" distR="0" wp14:anchorId="3B9F33C1" wp14:editId="65914156">
          <wp:extent cx="928800" cy="964800"/>
          <wp:effectExtent l="0" t="0" r="5080" b="6985"/>
          <wp:docPr id="3" name="Imagen 3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00" cy="96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078E5"/>
    <w:multiLevelType w:val="hybridMultilevel"/>
    <w:tmpl w:val="5FD87AF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C2A79"/>
    <w:multiLevelType w:val="hybridMultilevel"/>
    <w:tmpl w:val="DC368986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1873FB1"/>
    <w:multiLevelType w:val="hybridMultilevel"/>
    <w:tmpl w:val="4F9A5D6A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D2E30AB"/>
    <w:multiLevelType w:val="hybridMultilevel"/>
    <w:tmpl w:val="8BB40BE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7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6"/>
  </w:num>
  <w:num w:numId="12">
    <w:abstractNumId w:val="17"/>
  </w:num>
  <w:num w:numId="13">
    <w:abstractNumId w:val="18"/>
  </w:num>
  <w:num w:numId="14">
    <w:abstractNumId w:val="12"/>
  </w:num>
  <w:num w:numId="15">
    <w:abstractNumId w:val="9"/>
  </w:num>
  <w:num w:numId="16">
    <w:abstractNumId w:val="15"/>
  </w:num>
  <w:num w:numId="17">
    <w:abstractNumId w:val="11"/>
  </w:num>
  <w:num w:numId="18">
    <w:abstractNumId w:val="14"/>
  </w:num>
  <w:num w:numId="19">
    <w:abstractNumId w:val="6"/>
  </w:num>
  <w:num w:numId="20">
    <w:abstractNumId w:val="3"/>
  </w:num>
  <w:num w:numId="21">
    <w:abstractNumId w:val="10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7E"/>
    <w:rsid w:val="0000043F"/>
    <w:rsid w:val="00000BEA"/>
    <w:rsid w:val="0000180F"/>
    <w:rsid w:val="00002117"/>
    <w:rsid w:val="00002466"/>
    <w:rsid w:val="00002665"/>
    <w:rsid w:val="000027BD"/>
    <w:rsid w:val="00002B26"/>
    <w:rsid w:val="00003C25"/>
    <w:rsid w:val="00003C68"/>
    <w:rsid w:val="00004291"/>
    <w:rsid w:val="0000458A"/>
    <w:rsid w:val="000050C6"/>
    <w:rsid w:val="00005940"/>
    <w:rsid w:val="000059E8"/>
    <w:rsid w:val="00006B5A"/>
    <w:rsid w:val="00006DFC"/>
    <w:rsid w:val="000078B1"/>
    <w:rsid w:val="00007A1A"/>
    <w:rsid w:val="00010A59"/>
    <w:rsid w:val="000112A7"/>
    <w:rsid w:val="0001151F"/>
    <w:rsid w:val="00011840"/>
    <w:rsid w:val="00011AC0"/>
    <w:rsid w:val="00011BD3"/>
    <w:rsid w:val="00012278"/>
    <w:rsid w:val="000122CF"/>
    <w:rsid w:val="00012A27"/>
    <w:rsid w:val="00012E16"/>
    <w:rsid w:val="0001302A"/>
    <w:rsid w:val="000132A4"/>
    <w:rsid w:val="00013319"/>
    <w:rsid w:val="00013B98"/>
    <w:rsid w:val="00013E55"/>
    <w:rsid w:val="0001447E"/>
    <w:rsid w:val="000144ED"/>
    <w:rsid w:val="00014FBD"/>
    <w:rsid w:val="00015302"/>
    <w:rsid w:val="00015BCE"/>
    <w:rsid w:val="00015DDA"/>
    <w:rsid w:val="00016590"/>
    <w:rsid w:val="00016B4E"/>
    <w:rsid w:val="00016B7D"/>
    <w:rsid w:val="00016D3A"/>
    <w:rsid w:val="0001718D"/>
    <w:rsid w:val="000176AC"/>
    <w:rsid w:val="00021432"/>
    <w:rsid w:val="00021492"/>
    <w:rsid w:val="000216A3"/>
    <w:rsid w:val="00022562"/>
    <w:rsid w:val="000228C4"/>
    <w:rsid w:val="00022CA3"/>
    <w:rsid w:val="000243B5"/>
    <w:rsid w:val="000260EE"/>
    <w:rsid w:val="00026B3C"/>
    <w:rsid w:val="00026B52"/>
    <w:rsid w:val="00026C14"/>
    <w:rsid w:val="000301E7"/>
    <w:rsid w:val="00030480"/>
    <w:rsid w:val="0003065F"/>
    <w:rsid w:val="00030D10"/>
    <w:rsid w:val="00031231"/>
    <w:rsid w:val="000314D3"/>
    <w:rsid w:val="00031BCF"/>
    <w:rsid w:val="00031CA9"/>
    <w:rsid w:val="000328B5"/>
    <w:rsid w:val="000328D5"/>
    <w:rsid w:val="00032B16"/>
    <w:rsid w:val="00033603"/>
    <w:rsid w:val="00033A14"/>
    <w:rsid w:val="0003447A"/>
    <w:rsid w:val="00034732"/>
    <w:rsid w:val="00034A2E"/>
    <w:rsid w:val="00034BC3"/>
    <w:rsid w:val="00034C7A"/>
    <w:rsid w:val="00034FEC"/>
    <w:rsid w:val="000353F3"/>
    <w:rsid w:val="00035600"/>
    <w:rsid w:val="00035B2D"/>
    <w:rsid w:val="00035DA7"/>
    <w:rsid w:val="000362C3"/>
    <w:rsid w:val="00036D72"/>
    <w:rsid w:val="00037089"/>
    <w:rsid w:val="00037177"/>
    <w:rsid w:val="00037A1B"/>
    <w:rsid w:val="00037CC4"/>
    <w:rsid w:val="0004066E"/>
    <w:rsid w:val="00040F75"/>
    <w:rsid w:val="00041FF7"/>
    <w:rsid w:val="0004225C"/>
    <w:rsid w:val="00042DB1"/>
    <w:rsid w:val="00042F98"/>
    <w:rsid w:val="00043535"/>
    <w:rsid w:val="00043B32"/>
    <w:rsid w:val="00043E2B"/>
    <w:rsid w:val="00044296"/>
    <w:rsid w:val="00044699"/>
    <w:rsid w:val="00044700"/>
    <w:rsid w:val="00044C5E"/>
    <w:rsid w:val="0004596A"/>
    <w:rsid w:val="00045AF1"/>
    <w:rsid w:val="00045E9B"/>
    <w:rsid w:val="00046139"/>
    <w:rsid w:val="000465BF"/>
    <w:rsid w:val="00046822"/>
    <w:rsid w:val="00046AB6"/>
    <w:rsid w:val="00046D06"/>
    <w:rsid w:val="000471CD"/>
    <w:rsid w:val="0004735D"/>
    <w:rsid w:val="0004777C"/>
    <w:rsid w:val="00047832"/>
    <w:rsid w:val="0004798E"/>
    <w:rsid w:val="000501E0"/>
    <w:rsid w:val="00050934"/>
    <w:rsid w:val="00050FB5"/>
    <w:rsid w:val="00051511"/>
    <w:rsid w:val="0005167A"/>
    <w:rsid w:val="00051C72"/>
    <w:rsid w:val="00051D1C"/>
    <w:rsid w:val="00051D9E"/>
    <w:rsid w:val="00052705"/>
    <w:rsid w:val="00052F04"/>
    <w:rsid w:val="00052F1E"/>
    <w:rsid w:val="000536D2"/>
    <w:rsid w:val="00053B2C"/>
    <w:rsid w:val="00053BF4"/>
    <w:rsid w:val="00053EB7"/>
    <w:rsid w:val="00054A4F"/>
    <w:rsid w:val="00055047"/>
    <w:rsid w:val="0005587A"/>
    <w:rsid w:val="00055B54"/>
    <w:rsid w:val="00056F51"/>
    <w:rsid w:val="000573F5"/>
    <w:rsid w:val="00057F37"/>
    <w:rsid w:val="000602B0"/>
    <w:rsid w:val="000603F1"/>
    <w:rsid w:val="0006056C"/>
    <w:rsid w:val="0006211B"/>
    <w:rsid w:val="0006228A"/>
    <w:rsid w:val="00062696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638"/>
    <w:rsid w:val="000667EA"/>
    <w:rsid w:val="00066C10"/>
    <w:rsid w:val="00066EA7"/>
    <w:rsid w:val="00067BD8"/>
    <w:rsid w:val="0007012A"/>
    <w:rsid w:val="0007017F"/>
    <w:rsid w:val="00070431"/>
    <w:rsid w:val="00070702"/>
    <w:rsid w:val="000707FF"/>
    <w:rsid w:val="00070864"/>
    <w:rsid w:val="00070E78"/>
    <w:rsid w:val="000712EF"/>
    <w:rsid w:val="0007145A"/>
    <w:rsid w:val="00071F33"/>
    <w:rsid w:val="000725AC"/>
    <w:rsid w:val="00072B18"/>
    <w:rsid w:val="000730F3"/>
    <w:rsid w:val="00073491"/>
    <w:rsid w:val="000736DB"/>
    <w:rsid w:val="000739D2"/>
    <w:rsid w:val="00073EF4"/>
    <w:rsid w:val="000744A7"/>
    <w:rsid w:val="000753EC"/>
    <w:rsid w:val="0007567F"/>
    <w:rsid w:val="000756C1"/>
    <w:rsid w:val="00075B3A"/>
    <w:rsid w:val="00075DEC"/>
    <w:rsid w:val="00076234"/>
    <w:rsid w:val="000767F7"/>
    <w:rsid w:val="00076EE9"/>
    <w:rsid w:val="00077C46"/>
    <w:rsid w:val="0008027F"/>
    <w:rsid w:val="0008084D"/>
    <w:rsid w:val="000814ED"/>
    <w:rsid w:val="0008175A"/>
    <w:rsid w:val="0008195B"/>
    <w:rsid w:val="000826F7"/>
    <w:rsid w:val="00082F11"/>
    <w:rsid w:val="0008325D"/>
    <w:rsid w:val="000834DD"/>
    <w:rsid w:val="00084687"/>
    <w:rsid w:val="000849B5"/>
    <w:rsid w:val="00084A57"/>
    <w:rsid w:val="00084BED"/>
    <w:rsid w:val="00084EDB"/>
    <w:rsid w:val="00084FF2"/>
    <w:rsid w:val="0008524D"/>
    <w:rsid w:val="000856E9"/>
    <w:rsid w:val="00086295"/>
    <w:rsid w:val="0008756B"/>
    <w:rsid w:val="00087DB7"/>
    <w:rsid w:val="0009025D"/>
    <w:rsid w:val="000903B7"/>
    <w:rsid w:val="00090B9C"/>
    <w:rsid w:val="00090D7B"/>
    <w:rsid w:val="00091474"/>
    <w:rsid w:val="000915F7"/>
    <w:rsid w:val="00092764"/>
    <w:rsid w:val="0009292F"/>
    <w:rsid w:val="00092F4C"/>
    <w:rsid w:val="00094496"/>
    <w:rsid w:val="00094AE9"/>
    <w:rsid w:val="000950E7"/>
    <w:rsid w:val="00095360"/>
    <w:rsid w:val="000955AA"/>
    <w:rsid w:val="000957BC"/>
    <w:rsid w:val="00096737"/>
    <w:rsid w:val="00097C0A"/>
    <w:rsid w:val="000A0344"/>
    <w:rsid w:val="000A0823"/>
    <w:rsid w:val="000A21D6"/>
    <w:rsid w:val="000A2F4F"/>
    <w:rsid w:val="000A31EF"/>
    <w:rsid w:val="000A3354"/>
    <w:rsid w:val="000A3733"/>
    <w:rsid w:val="000A43B0"/>
    <w:rsid w:val="000A5092"/>
    <w:rsid w:val="000A53E6"/>
    <w:rsid w:val="000A574B"/>
    <w:rsid w:val="000A5B04"/>
    <w:rsid w:val="000A5B0D"/>
    <w:rsid w:val="000A5E2A"/>
    <w:rsid w:val="000A643B"/>
    <w:rsid w:val="000A6CE9"/>
    <w:rsid w:val="000A707A"/>
    <w:rsid w:val="000A7773"/>
    <w:rsid w:val="000A7808"/>
    <w:rsid w:val="000A78BA"/>
    <w:rsid w:val="000B0710"/>
    <w:rsid w:val="000B0937"/>
    <w:rsid w:val="000B0D5A"/>
    <w:rsid w:val="000B1C11"/>
    <w:rsid w:val="000B1D13"/>
    <w:rsid w:val="000B26AB"/>
    <w:rsid w:val="000B29B8"/>
    <w:rsid w:val="000B2A27"/>
    <w:rsid w:val="000B42D9"/>
    <w:rsid w:val="000B4A6A"/>
    <w:rsid w:val="000B50FB"/>
    <w:rsid w:val="000B515D"/>
    <w:rsid w:val="000B5A74"/>
    <w:rsid w:val="000B5FA3"/>
    <w:rsid w:val="000B6AF6"/>
    <w:rsid w:val="000B6C67"/>
    <w:rsid w:val="000B7827"/>
    <w:rsid w:val="000C044D"/>
    <w:rsid w:val="000C1051"/>
    <w:rsid w:val="000C1F04"/>
    <w:rsid w:val="000C2892"/>
    <w:rsid w:val="000C2B3C"/>
    <w:rsid w:val="000C30D7"/>
    <w:rsid w:val="000C3105"/>
    <w:rsid w:val="000C34DD"/>
    <w:rsid w:val="000C37BC"/>
    <w:rsid w:val="000C482F"/>
    <w:rsid w:val="000C4992"/>
    <w:rsid w:val="000C5299"/>
    <w:rsid w:val="000C5468"/>
    <w:rsid w:val="000C55CC"/>
    <w:rsid w:val="000C5852"/>
    <w:rsid w:val="000C5D0E"/>
    <w:rsid w:val="000C6A4A"/>
    <w:rsid w:val="000C6AFD"/>
    <w:rsid w:val="000D06FA"/>
    <w:rsid w:val="000D0826"/>
    <w:rsid w:val="000D0DDA"/>
    <w:rsid w:val="000D0ED5"/>
    <w:rsid w:val="000D113E"/>
    <w:rsid w:val="000D1169"/>
    <w:rsid w:val="000D15C5"/>
    <w:rsid w:val="000D258D"/>
    <w:rsid w:val="000D25A3"/>
    <w:rsid w:val="000D28A5"/>
    <w:rsid w:val="000D2DB1"/>
    <w:rsid w:val="000D31C1"/>
    <w:rsid w:val="000D36B2"/>
    <w:rsid w:val="000D39FD"/>
    <w:rsid w:val="000D451F"/>
    <w:rsid w:val="000D4833"/>
    <w:rsid w:val="000D49D2"/>
    <w:rsid w:val="000D4A88"/>
    <w:rsid w:val="000D4BBC"/>
    <w:rsid w:val="000D4D90"/>
    <w:rsid w:val="000D4E26"/>
    <w:rsid w:val="000D5176"/>
    <w:rsid w:val="000D5EDB"/>
    <w:rsid w:val="000D6C0F"/>
    <w:rsid w:val="000D6F1E"/>
    <w:rsid w:val="000D7A95"/>
    <w:rsid w:val="000D7BBD"/>
    <w:rsid w:val="000E03C0"/>
    <w:rsid w:val="000E0654"/>
    <w:rsid w:val="000E08DB"/>
    <w:rsid w:val="000E19B3"/>
    <w:rsid w:val="000E28A6"/>
    <w:rsid w:val="000E2970"/>
    <w:rsid w:val="000E3CC1"/>
    <w:rsid w:val="000E5331"/>
    <w:rsid w:val="000E5526"/>
    <w:rsid w:val="000E5D6B"/>
    <w:rsid w:val="000E5FE0"/>
    <w:rsid w:val="000E62E2"/>
    <w:rsid w:val="000E6D5D"/>
    <w:rsid w:val="000E75C3"/>
    <w:rsid w:val="000F05D5"/>
    <w:rsid w:val="000F08E7"/>
    <w:rsid w:val="000F17E0"/>
    <w:rsid w:val="000F1DEB"/>
    <w:rsid w:val="000F3491"/>
    <w:rsid w:val="000F3DE6"/>
    <w:rsid w:val="000F44E7"/>
    <w:rsid w:val="000F44F2"/>
    <w:rsid w:val="000F49F1"/>
    <w:rsid w:val="000F4C41"/>
    <w:rsid w:val="000F4FA7"/>
    <w:rsid w:val="000F536A"/>
    <w:rsid w:val="000F541D"/>
    <w:rsid w:val="000F5AD1"/>
    <w:rsid w:val="000F69FA"/>
    <w:rsid w:val="000F7577"/>
    <w:rsid w:val="000F7974"/>
    <w:rsid w:val="000F7ECD"/>
    <w:rsid w:val="000F7FB5"/>
    <w:rsid w:val="00100317"/>
    <w:rsid w:val="001011EC"/>
    <w:rsid w:val="001017C1"/>
    <w:rsid w:val="00101CC3"/>
    <w:rsid w:val="00101E92"/>
    <w:rsid w:val="00101F40"/>
    <w:rsid w:val="00103847"/>
    <w:rsid w:val="00103913"/>
    <w:rsid w:val="00103B21"/>
    <w:rsid w:val="00105234"/>
    <w:rsid w:val="00105E2B"/>
    <w:rsid w:val="0010619C"/>
    <w:rsid w:val="0010647A"/>
    <w:rsid w:val="0010664D"/>
    <w:rsid w:val="00107CAD"/>
    <w:rsid w:val="00110510"/>
    <w:rsid w:val="0011076D"/>
    <w:rsid w:val="00110DB1"/>
    <w:rsid w:val="00110DF0"/>
    <w:rsid w:val="001114D0"/>
    <w:rsid w:val="00111703"/>
    <w:rsid w:val="00111AA3"/>
    <w:rsid w:val="00111F29"/>
    <w:rsid w:val="00113348"/>
    <w:rsid w:val="00113404"/>
    <w:rsid w:val="001134B4"/>
    <w:rsid w:val="00113DE8"/>
    <w:rsid w:val="0011424C"/>
    <w:rsid w:val="001142CA"/>
    <w:rsid w:val="0011478A"/>
    <w:rsid w:val="00114B56"/>
    <w:rsid w:val="00114B96"/>
    <w:rsid w:val="00114E47"/>
    <w:rsid w:val="00115A20"/>
    <w:rsid w:val="00116647"/>
    <w:rsid w:val="00116F84"/>
    <w:rsid w:val="00117D7A"/>
    <w:rsid w:val="00120112"/>
    <w:rsid w:val="0012050B"/>
    <w:rsid w:val="00120EA1"/>
    <w:rsid w:val="001212C3"/>
    <w:rsid w:val="0012181E"/>
    <w:rsid w:val="00122048"/>
    <w:rsid w:val="001228A0"/>
    <w:rsid w:val="00123EFF"/>
    <w:rsid w:val="001241F7"/>
    <w:rsid w:val="00124D1A"/>
    <w:rsid w:val="001251AF"/>
    <w:rsid w:val="00125654"/>
    <w:rsid w:val="00125D0D"/>
    <w:rsid w:val="00125D9D"/>
    <w:rsid w:val="001263E8"/>
    <w:rsid w:val="00126792"/>
    <w:rsid w:val="00127810"/>
    <w:rsid w:val="001301E6"/>
    <w:rsid w:val="001304F2"/>
    <w:rsid w:val="00130C4C"/>
    <w:rsid w:val="001313EB"/>
    <w:rsid w:val="0013222E"/>
    <w:rsid w:val="00132507"/>
    <w:rsid w:val="00132940"/>
    <w:rsid w:val="00133FA8"/>
    <w:rsid w:val="00134904"/>
    <w:rsid w:val="001349AB"/>
    <w:rsid w:val="00134F4E"/>
    <w:rsid w:val="00134FB0"/>
    <w:rsid w:val="001350AC"/>
    <w:rsid w:val="001352EC"/>
    <w:rsid w:val="00135E0B"/>
    <w:rsid w:val="001361A8"/>
    <w:rsid w:val="001365A5"/>
    <w:rsid w:val="001368CC"/>
    <w:rsid w:val="00136CA0"/>
    <w:rsid w:val="00136F09"/>
    <w:rsid w:val="001372CA"/>
    <w:rsid w:val="00137AFD"/>
    <w:rsid w:val="0014012A"/>
    <w:rsid w:val="00140999"/>
    <w:rsid w:val="00140AD8"/>
    <w:rsid w:val="00140BE4"/>
    <w:rsid w:val="001411DE"/>
    <w:rsid w:val="00141399"/>
    <w:rsid w:val="00141A0B"/>
    <w:rsid w:val="00141AF4"/>
    <w:rsid w:val="00142E09"/>
    <w:rsid w:val="0014377B"/>
    <w:rsid w:val="00143D3A"/>
    <w:rsid w:val="00145F65"/>
    <w:rsid w:val="001460E0"/>
    <w:rsid w:val="00146902"/>
    <w:rsid w:val="00146DFA"/>
    <w:rsid w:val="00147C56"/>
    <w:rsid w:val="0015018D"/>
    <w:rsid w:val="00150228"/>
    <w:rsid w:val="001502C3"/>
    <w:rsid w:val="001504E8"/>
    <w:rsid w:val="00150536"/>
    <w:rsid w:val="00150E52"/>
    <w:rsid w:val="00151930"/>
    <w:rsid w:val="001533B2"/>
    <w:rsid w:val="001534CA"/>
    <w:rsid w:val="0015369A"/>
    <w:rsid w:val="0015386A"/>
    <w:rsid w:val="001540F9"/>
    <w:rsid w:val="00154E90"/>
    <w:rsid w:val="001557A9"/>
    <w:rsid w:val="00155878"/>
    <w:rsid w:val="0015599D"/>
    <w:rsid w:val="001559B4"/>
    <w:rsid w:val="00155A36"/>
    <w:rsid w:val="0015755C"/>
    <w:rsid w:val="001600C9"/>
    <w:rsid w:val="00160308"/>
    <w:rsid w:val="0016052B"/>
    <w:rsid w:val="00160957"/>
    <w:rsid w:val="00160B56"/>
    <w:rsid w:val="0016159C"/>
    <w:rsid w:val="00161833"/>
    <w:rsid w:val="00161E62"/>
    <w:rsid w:val="00162797"/>
    <w:rsid w:val="00162A20"/>
    <w:rsid w:val="0016470C"/>
    <w:rsid w:val="00164CD1"/>
    <w:rsid w:val="001655BD"/>
    <w:rsid w:val="00165810"/>
    <w:rsid w:val="00165A07"/>
    <w:rsid w:val="00165E36"/>
    <w:rsid w:val="0016614B"/>
    <w:rsid w:val="001665FD"/>
    <w:rsid w:val="00167A72"/>
    <w:rsid w:val="0017080F"/>
    <w:rsid w:val="00170972"/>
    <w:rsid w:val="00170BD4"/>
    <w:rsid w:val="00171176"/>
    <w:rsid w:val="001711E3"/>
    <w:rsid w:val="00171F36"/>
    <w:rsid w:val="00172464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5CF4"/>
    <w:rsid w:val="001763FA"/>
    <w:rsid w:val="001763FC"/>
    <w:rsid w:val="0017655C"/>
    <w:rsid w:val="00176592"/>
    <w:rsid w:val="00176BCF"/>
    <w:rsid w:val="00176E7D"/>
    <w:rsid w:val="00177026"/>
    <w:rsid w:val="00177187"/>
    <w:rsid w:val="001773BC"/>
    <w:rsid w:val="00180887"/>
    <w:rsid w:val="00180A83"/>
    <w:rsid w:val="00180C81"/>
    <w:rsid w:val="001813AB"/>
    <w:rsid w:val="001819C6"/>
    <w:rsid w:val="00181B78"/>
    <w:rsid w:val="0018211C"/>
    <w:rsid w:val="001821F8"/>
    <w:rsid w:val="00182CBE"/>
    <w:rsid w:val="001831B3"/>
    <w:rsid w:val="001845FA"/>
    <w:rsid w:val="0018496A"/>
    <w:rsid w:val="0018522B"/>
    <w:rsid w:val="001854A8"/>
    <w:rsid w:val="00185D40"/>
    <w:rsid w:val="00186C17"/>
    <w:rsid w:val="00190180"/>
    <w:rsid w:val="00190A43"/>
    <w:rsid w:val="00190D0B"/>
    <w:rsid w:val="001912FB"/>
    <w:rsid w:val="00191608"/>
    <w:rsid w:val="00191664"/>
    <w:rsid w:val="00192065"/>
    <w:rsid w:val="001941AA"/>
    <w:rsid w:val="00194F73"/>
    <w:rsid w:val="00195EC2"/>
    <w:rsid w:val="00195F99"/>
    <w:rsid w:val="00196542"/>
    <w:rsid w:val="001A016C"/>
    <w:rsid w:val="001A0422"/>
    <w:rsid w:val="001A0556"/>
    <w:rsid w:val="001A101D"/>
    <w:rsid w:val="001A102F"/>
    <w:rsid w:val="001A1A27"/>
    <w:rsid w:val="001A1ED0"/>
    <w:rsid w:val="001A35A6"/>
    <w:rsid w:val="001A368A"/>
    <w:rsid w:val="001A3963"/>
    <w:rsid w:val="001A41DF"/>
    <w:rsid w:val="001A43F5"/>
    <w:rsid w:val="001A4E0E"/>
    <w:rsid w:val="001A4E79"/>
    <w:rsid w:val="001A4E8C"/>
    <w:rsid w:val="001A4EF7"/>
    <w:rsid w:val="001A4F6E"/>
    <w:rsid w:val="001A52DD"/>
    <w:rsid w:val="001A5ABD"/>
    <w:rsid w:val="001A5CE0"/>
    <w:rsid w:val="001A60E2"/>
    <w:rsid w:val="001A69F0"/>
    <w:rsid w:val="001A79AA"/>
    <w:rsid w:val="001A7F95"/>
    <w:rsid w:val="001B07B0"/>
    <w:rsid w:val="001B0992"/>
    <w:rsid w:val="001B0A70"/>
    <w:rsid w:val="001B0AC4"/>
    <w:rsid w:val="001B1120"/>
    <w:rsid w:val="001B15E2"/>
    <w:rsid w:val="001B163A"/>
    <w:rsid w:val="001B16FD"/>
    <w:rsid w:val="001B253D"/>
    <w:rsid w:val="001B277C"/>
    <w:rsid w:val="001B2C6A"/>
    <w:rsid w:val="001B2F19"/>
    <w:rsid w:val="001B35ED"/>
    <w:rsid w:val="001B369D"/>
    <w:rsid w:val="001B3952"/>
    <w:rsid w:val="001B450E"/>
    <w:rsid w:val="001B46DB"/>
    <w:rsid w:val="001B4F75"/>
    <w:rsid w:val="001B538F"/>
    <w:rsid w:val="001B5DDB"/>
    <w:rsid w:val="001B62D3"/>
    <w:rsid w:val="001B74F4"/>
    <w:rsid w:val="001B75DC"/>
    <w:rsid w:val="001C0136"/>
    <w:rsid w:val="001C0A6E"/>
    <w:rsid w:val="001C0AD1"/>
    <w:rsid w:val="001C0BCC"/>
    <w:rsid w:val="001C117D"/>
    <w:rsid w:val="001C1F9C"/>
    <w:rsid w:val="001C226A"/>
    <w:rsid w:val="001C236E"/>
    <w:rsid w:val="001C29E7"/>
    <w:rsid w:val="001C32C6"/>
    <w:rsid w:val="001C3893"/>
    <w:rsid w:val="001C3E2D"/>
    <w:rsid w:val="001C48C7"/>
    <w:rsid w:val="001C4A9E"/>
    <w:rsid w:val="001C5256"/>
    <w:rsid w:val="001C6CAB"/>
    <w:rsid w:val="001C6CC1"/>
    <w:rsid w:val="001C7130"/>
    <w:rsid w:val="001C7E70"/>
    <w:rsid w:val="001D0068"/>
    <w:rsid w:val="001D01C6"/>
    <w:rsid w:val="001D0870"/>
    <w:rsid w:val="001D092F"/>
    <w:rsid w:val="001D1471"/>
    <w:rsid w:val="001D1AEF"/>
    <w:rsid w:val="001D244E"/>
    <w:rsid w:val="001D24F1"/>
    <w:rsid w:val="001D3AD1"/>
    <w:rsid w:val="001D478B"/>
    <w:rsid w:val="001D4970"/>
    <w:rsid w:val="001D4BF9"/>
    <w:rsid w:val="001D5F02"/>
    <w:rsid w:val="001D6186"/>
    <w:rsid w:val="001D62AF"/>
    <w:rsid w:val="001D637E"/>
    <w:rsid w:val="001D6652"/>
    <w:rsid w:val="001D69E5"/>
    <w:rsid w:val="001D6B3D"/>
    <w:rsid w:val="001D7104"/>
    <w:rsid w:val="001E0411"/>
    <w:rsid w:val="001E075F"/>
    <w:rsid w:val="001E0933"/>
    <w:rsid w:val="001E09AF"/>
    <w:rsid w:val="001E14E8"/>
    <w:rsid w:val="001E1627"/>
    <w:rsid w:val="001E18BD"/>
    <w:rsid w:val="001E1DBA"/>
    <w:rsid w:val="001E1EBE"/>
    <w:rsid w:val="001E1EF2"/>
    <w:rsid w:val="001E28DE"/>
    <w:rsid w:val="001E290B"/>
    <w:rsid w:val="001E385F"/>
    <w:rsid w:val="001E39E4"/>
    <w:rsid w:val="001E490C"/>
    <w:rsid w:val="001E4C68"/>
    <w:rsid w:val="001E4D9A"/>
    <w:rsid w:val="001E50FD"/>
    <w:rsid w:val="001E5310"/>
    <w:rsid w:val="001E59DC"/>
    <w:rsid w:val="001E5DD7"/>
    <w:rsid w:val="001E5EEE"/>
    <w:rsid w:val="001E7358"/>
    <w:rsid w:val="001E7C2A"/>
    <w:rsid w:val="001E7C72"/>
    <w:rsid w:val="001E7D14"/>
    <w:rsid w:val="001E7EDD"/>
    <w:rsid w:val="001E7F19"/>
    <w:rsid w:val="001F02CD"/>
    <w:rsid w:val="001F0B7F"/>
    <w:rsid w:val="001F0CD0"/>
    <w:rsid w:val="001F0F71"/>
    <w:rsid w:val="001F14ED"/>
    <w:rsid w:val="001F19D1"/>
    <w:rsid w:val="001F1B69"/>
    <w:rsid w:val="001F1D9A"/>
    <w:rsid w:val="001F2740"/>
    <w:rsid w:val="001F2C3A"/>
    <w:rsid w:val="001F3531"/>
    <w:rsid w:val="001F3696"/>
    <w:rsid w:val="001F42FF"/>
    <w:rsid w:val="001F445D"/>
    <w:rsid w:val="001F44B4"/>
    <w:rsid w:val="001F44D3"/>
    <w:rsid w:val="001F4510"/>
    <w:rsid w:val="001F58D3"/>
    <w:rsid w:val="001F65A4"/>
    <w:rsid w:val="001F65E0"/>
    <w:rsid w:val="001F6EE3"/>
    <w:rsid w:val="001F7362"/>
    <w:rsid w:val="001F7AE9"/>
    <w:rsid w:val="001F7CFD"/>
    <w:rsid w:val="001F7D5E"/>
    <w:rsid w:val="002011D5"/>
    <w:rsid w:val="00201203"/>
    <w:rsid w:val="00201C2D"/>
    <w:rsid w:val="00203367"/>
    <w:rsid w:val="00204438"/>
    <w:rsid w:val="00204A44"/>
    <w:rsid w:val="00204CD0"/>
    <w:rsid w:val="00206147"/>
    <w:rsid w:val="002064F3"/>
    <w:rsid w:val="002069A8"/>
    <w:rsid w:val="00206EE7"/>
    <w:rsid w:val="002070C0"/>
    <w:rsid w:val="0020789A"/>
    <w:rsid w:val="00207C83"/>
    <w:rsid w:val="00210869"/>
    <w:rsid w:val="002116AD"/>
    <w:rsid w:val="00211999"/>
    <w:rsid w:val="0021222E"/>
    <w:rsid w:val="002123A4"/>
    <w:rsid w:val="002126CD"/>
    <w:rsid w:val="00213773"/>
    <w:rsid w:val="00213B0E"/>
    <w:rsid w:val="00213CBC"/>
    <w:rsid w:val="002141FB"/>
    <w:rsid w:val="002146CA"/>
    <w:rsid w:val="002147D6"/>
    <w:rsid w:val="0021575B"/>
    <w:rsid w:val="00215783"/>
    <w:rsid w:val="0021669B"/>
    <w:rsid w:val="00216876"/>
    <w:rsid w:val="0022018A"/>
    <w:rsid w:val="00220ADA"/>
    <w:rsid w:val="00220B7B"/>
    <w:rsid w:val="0022180E"/>
    <w:rsid w:val="002220BA"/>
    <w:rsid w:val="002227B3"/>
    <w:rsid w:val="002227CF"/>
    <w:rsid w:val="0022296F"/>
    <w:rsid w:val="00222CE3"/>
    <w:rsid w:val="002235D7"/>
    <w:rsid w:val="002239C4"/>
    <w:rsid w:val="00224617"/>
    <w:rsid w:val="00224922"/>
    <w:rsid w:val="00225591"/>
    <w:rsid w:val="00225690"/>
    <w:rsid w:val="0022574F"/>
    <w:rsid w:val="0022593A"/>
    <w:rsid w:val="00225B52"/>
    <w:rsid w:val="00225CE3"/>
    <w:rsid w:val="002260D7"/>
    <w:rsid w:val="00226B17"/>
    <w:rsid w:val="0022712B"/>
    <w:rsid w:val="002276A4"/>
    <w:rsid w:val="00227843"/>
    <w:rsid w:val="00227A99"/>
    <w:rsid w:val="00227C8B"/>
    <w:rsid w:val="00230A44"/>
    <w:rsid w:val="00230A52"/>
    <w:rsid w:val="00230FA5"/>
    <w:rsid w:val="00231131"/>
    <w:rsid w:val="00231632"/>
    <w:rsid w:val="0023170E"/>
    <w:rsid w:val="00231839"/>
    <w:rsid w:val="0023262B"/>
    <w:rsid w:val="00232A4E"/>
    <w:rsid w:val="00232AE1"/>
    <w:rsid w:val="00232FF2"/>
    <w:rsid w:val="00233A7D"/>
    <w:rsid w:val="00233BA3"/>
    <w:rsid w:val="0023482B"/>
    <w:rsid w:val="0023482C"/>
    <w:rsid w:val="00234AA4"/>
    <w:rsid w:val="00234C7F"/>
    <w:rsid w:val="00234E62"/>
    <w:rsid w:val="00234F8F"/>
    <w:rsid w:val="002364AC"/>
    <w:rsid w:val="0023658F"/>
    <w:rsid w:val="00236872"/>
    <w:rsid w:val="00236890"/>
    <w:rsid w:val="002368C0"/>
    <w:rsid w:val="00236CC2"/>
    <w:rsid w:val="00236CDE"/>
    <w:rsid w:val="0023763A"/>
    <w:rsid w:val="00237D7D"/>
    <w:rsid w:val="002404D1"/>
    <w:rsid w:val="002405C8"/>
    <w:rsid w:val="00240DF5"/>
    <w:rsid w:val="00240ECB"/>
    <w:rsid w:val="002415DA"/>
    <w:rsid w:val="00241620"/>
    <w:rsid w:val="00241857"/>
    <w:rsid w:val="0024187D"/>
    <w:rsid w:val="0024285E"/>
    <w:rsid w:val="00242F79"/>
    <w:rsid w:val="00242FA8"/>
    <w:rsid w:val="0024310E"/>
    <w:rsid w:val="00243204"/>
    <w:rsid w:val="00243AC5"/>
    <w:rsid w:val="0024405D"/>
    <w:rsid w:val="00244516"/>
    <w:rsid w:val="00244CF8"/>
    <w:rsid w:val="002454F0"/>
    <w:rsid w:val="00245B9E"/>
    <w:rsid w:val="00246013"/>
    <w:rsid w:val="002465AC"/>
    <w:rsid w:val="002465EC"/>
    <w:rsid w:val="00246614"/>
    <w:rsid w:val="00246907"/>
    <w:rsid w:val="00246C0E"/>
    <w:rsid w:val="00246EC9"/>
    <w:rsid w:val="00246FE9"/>
    <w:rsid w:val="00247097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1594"/>
    <w:rsid w:val="00252525"/>
    <w:rsid w:val="002526B9"/>
    <w:rsid w:val="00252DD3"/>
    <w:rsid w:val="00253371"/>
    <w:rsid w:val="0025394F"/>
    <w:rsid w:val="00253B97"/>
    <w:rsid w:val="002544CB"/>
    <w:rsid w:val="00254724"/>
    <w:rsid w:val="00255D8E"/>
    <w:rsid w:val="00256584"/>
    <w:rsid w:val="00256C48"/>
    <w:rsid w:val="00256EF8"/>
    <w:rsid w:val="002570D5"/>
    <w:rsid w:val="00257177"/>
    <w:rsid w:val="00257730"/>
    <w:rsid w:val="00257803"/>
    <w:rsid w:val="00257B74"/>
    <w:rsid w:val="00257CD8"/>
    <w:rsid w:val="00260CF8"/>
    <w:rsid w:val="002610D8"/>
    <w:rsid w:val="00261A6C"/>
    <w:rsid w:val="002629E2"/>
    <w:rsid w:val="00262BA8"/>
    <w:rsid w:val="00262BC8"/>
    <w:rsid w:val="00263324"/>
    <w:rsid w:val="002641D9"/>
    <w:rsid w:val="002643C5"/>
    <w:rsid w:val="00264917"/>
    <w:rsid w:val="002651EC"/>
    <w:rsid w:val="00265A8D"/>
    <w:rsid w:val="00265DC2"/>
    <w:rsid w:val="0026638C"/>
    <w:rsid w:val="00266F00"/>
    <w:rsid w:val="002670EF"/>
    <w:rsid w:val="002671A2"/>
    <w:rsid w:val="00267A38"/>
    <w:rsid w:val="00267F5F"/>
    <w:rsid w:val="00270965"/>
    <w:rsid w:val="00271E5D"/>
    <w:rsid w:val="00272082"/>
    <w:rsid w:val="0027349D"/>
    <w:rsid w:val="00273516"/>
    <w:rsid w:val="00273985"/>
    <w:rsid w:val="00273B82"/>
    <w:rsid w:val="00273E7A"/>
    <w:rsid w:val="00274372"/>
    <w:rsid w:val="0027475A"/>
    <w:rsid w:val="0027521D"/>
    <w:rsid w:val="00275F56"/>
    <w:rsid w:val="002763A3"/>
    <w:rsid w:val="002765B7"/>
    <w:rsid w:val="00276EAA"/>
    <w:rsid w:val="00277713"/>
    <w:rsid w:val="00277DBC"/>
    <w:rsid w:val="00277F64"/>
    <w:rsid w:val="00280550"/>
    <w:rsid w:val="00281063"/>
    <w:rsid w:val="00281605"/>
    <w:rsid w:val="00281676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0E8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C64"/>
    <w:rsid w:val="00293271"/>
    <w:rsid w:val="00293587"/>
    <w:rsid w:val="00293896"/>
    <w:rsid w:val="00293ED1"/>
    <w:rsid w:val="002940C5"/>
    <w:rsid w:val="0029454A"/>
    <w:rsid w:val="002948BB"/>
    <w:rsid w:val="00294A06"/>
    <w:rsid w:val="00294FFB"/>
    <w:rsid w:val="002954FD"/>
    <w:rsid w:val="00295A96"/>
    <w:rsid w:val="00296242"/>
    <w:rsid w:val="0029686B"/>
    <w:rsid w:val="00296CE6"/>
    <w:rsid w:val="002973DF"/>
    <w:rsid w:val="00297D6A"/>
    <w:rsid w:val="00297DAE"/>
    <w:rsid w:val="002A0190"/>
    <w:rsid w:val="002A0801"/>
    <w:rsid w:val="002A0983"/>
    <w:rsid w:val="002A0BF5"/>
    <w:rsid w:val="002A1128"/>
    <w:rsid w:val="002A158C"/>
    <w:rsid w:val="002A24EB"/>
    <w:rsid w:val="002A2A83"/>
    <w:rsid w:val="002A2C5E"/>
    <w:rsid w:val="002A2D66"/>
    <w:rsid w:val="002A428E"/>
    <w:rsid w:val="002A45A7"/>
    <w:rsid w:val="002A46FA"/>
    <w:rsid w:val="002A4920"/>
    <w:rsid w:val="002A5227"/>
    <w:rsid w:val="002A57BC"/>
    <w:rsid w:val="002A581C"/>
    <w:rsid w:val="002B00FE"/>
    <w:rsid w:val="002B0E27"/>
    <w:rsid w:val="002B10B6"/>
    <w:rsid w:val="002B10D3"/>
    <w:rsid w:val="002B1113"/>
    <w:rsid w:val="002B1867"/>
    <w:rsid w:val="002B1EA3"/>
    <w:rsid w:val="002B2A55"/>
    <w:rsid w:val="002B2DA9"/>
    <w:rsid w:val="002B30C8"/>
    <w:rsid w:val="002B31FA"/>
    <w:rsid w:val="002B33D5"/>
    <w:rsid w:val="002B3A06"/>
    <w:rsid w:val="002B4552"/>
    <w:rsid w:val="002B4C84"/>
    <w:rsid w:val="002B5746"/>
    <w:rsid w:val="002B6389"/>
    <w:rsid w:val="002B63D3"/>
    <w:rsid w:val="002B6815"/>
    <w:rsid w:val="002B6AB1"/>
    <w:rsid w:val="002B71D1"/>
    <w:rsid w:val="002B76CB"/>
    <w:rsid w:val="002C0144"/>
    <w:rsid w:val="002C0CAC"/>
    <w:rsid w:val="002C1F28"/>
    <w:rsid w:val="002C254B"/>
    <w:rsid w:val="002C25DE"/>
    <w:rsid w:val="002C26EF"/>
    <w:rsid w:val="002C27E8"/>
    <w:rsid w:val="002C2ACB"/>
    <w:rsid w:val="002C2F60"/>
    <w:rsid w:val="002C41CB"/>
    <w:rsid w:val="002C469D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55B"/>
    <w:rsid w:val="002D1AD3"/>
    <w:rsid w:val="002D2476"/>
    <w:rsid w:val="002D3CFD"/>
    <w:rsid w:val="002D3D3F"/>
    <w:rsid w:val="002D40A5"/>
    <w:rsid w:val="002D48D7"/>
    <w:rsid w:val="002D48E1"/>
    <w:rsid w:val="002D61C8"/>
    <w:rsid w:val="002D629E"/>
    <w:rsid w:val="002D6E9A"/>
    <w:rsid w:val="002D726B"/>
    <w:rsid w:val="002D75DB"/>
    <w:rsid w:val="002D7D71"/>
    <w:rsid w:val="002E0067"/>
    <w:rsid w:val="002E02D0"/>
    <w:rsid w:val="002E0489"/>
    <w:rsid w:val="002E04C0"/>
    <w:rsid w:val="002E0544"/>
    <w:rsid w:val="002E1DF4"/>
    <w:rsid w:val="002E2C3B"/>
    <w:rsid w:val="002E3C37"/>
    <w:rsid w:val="002E4BA7"/>
    <w:rsid w:val="002E4D3D"/>
    <w:rsid w:val="002E5CA7"/>
    <w:rsid w:val="002E668B"/>
    <w:rsid w:val="002E6EA4"/>
    <w:rsid w:val="002E7235"/>
    <w:rsid w:val="002E7DEA"/>
    <w:rsid w:val="002F0276"/>
    <w:rsid w:val="002F10E7"/>
    <w:rsid w:val="002F11F9"/>
    <w:rsid w:val="002F1274"/>
    <w:rsid w:val="002F13E0"/>
    <w:rsid w:val="002F16CB"/>
    <w:rsid w:val="002F1742"/>
    <w:rsid w:val="002F1AB0"/>
    <w:rsid w:val="002F2133"/>
    <w:rsid w:val="002F3C64"/>
    <w:rsid w:val="002F3D31"/>
    <w:rsid w:val="002F4431"/>
    <w:rsid w:val="002F478D"/>
    <w:rsid w:val="002F47E7"/>
    <w:rsid w:val="002F510D"/>
    <w:rsid w:val="002F520A"/>
    <w:rsid w:val="002F5F61"/>
    <w:rsid w:val="00300081"/>
    <w:rsid w:val="0030023E"/>
    <w:rsid w:val="0030059B"/>
    <w:rsid w:val="00300FC5"/>
    <w:rsid w:val="00301277"/>
    <w:rsid w:val="00301837"/>
    <w:rsid w:val="003019CD"/>
    <w:rsid w:val="00301AD7"/>
    <w:rsid w:val="00302483"/>
    <w:rsid w:val="0030341B"/>
    <w:rsid w:val="003034D2"/>
    <w:rsid w:val="0030373E"/>
    <w:rsid w:val="00303A1B"/>
    <w:rsid w:val="003045BE"/>
    <w:rsid w:val="00305766"/>
    <w:rsid w:val="00305F53"/>
    <w:rsid w:val="003060F3"/>
    <w:rsid w:val="0030612A"/>
    <w:rsid w:val="003068EC"/>
    <w:rsid w:val="00306C01"/>
    <w:rsid w:val="0030759B"/>
    <w:rsid w:val="003076C4"/>
    <w:rsid w:val="003079A6"/>
    <w:rsid w:val="003106C8"/>
    <w:rsid w:val="00310E3F"/>
    <w:rsid w:val="00311270"/>
    <w:rsid w:val="0031175D"/>
    <w:rsid w:val="003119DD"/>
    <w:rsid w:val="00312297"/>
    <w:rsid w:val="00313221"/>
    <w:rsid w:val="00313367"/>
    <w:rsid w:val="0031354F"/>
    <w:rsid w:val="00314614"/>
    <w:rsid w:val="00314739"/>
    <w:rsid w:val="00314773"/>
    <w:rsid w:val="00314F8A"/>
    <w:rsid w:val="003150A9"/>
    <w:rsid w:val="003151F3"/>
    <w:rsid w:val="003152FA"/>
    <w:rsid w:val="00315384"/>
    <w:rsid w:val="003154DB"/>
    <w:rsid w:val="0031623F"/>
    <w:rsid w:val="00316779"/>
    <w:rsid w:val="00317DA5"/>
    <w:rsid w:val="003201D0"/>
    <w:rsid w:val="003205E0"/>
    <w:rsid w:val="00321386"/>
    <w:rsid w:val="00321788"/>
    <w:rsid w:val="00321848"/>
    <w:rsid w:val="00321CB3"/>
    <w:rsid w:val="00322341"/>
    <w:rsid w:val="003226A7"/>
    <w:rsid w:val="00323457"/>
    <w:rsid w:val="0032345B"/>
    <w:rsid w:val="003235FE"/>
    <w:rsid w:val="00324FF5"/>
    <w:rsid w:val="003256A0"/>
    <w:rsid w:val="003265DE"/>
    <w:rsid w:val="00326A08"/>
    <w:rsid w:val="003274C7"/>
    <w:rsid w:val="003275D6"/>
    <w:rsid w:val="0032767E"/>
    <w:rsid w:val="003277C6"/>
    <w:rsid w:val="00327845"/>
    <w:rsid w:val="00327B0E"/>
    <w:rsid w:val="003302CF"/>
    <w:rsid w:val="00330559"/>
    <w:rsid w:val="00330B86"/>
    <w:rsid w:val="00330DB5"/>
    <w:rsid w:val="00331306"/>
    <w:rsid w:val="003313C8"/>
    <w:rsid w:val="00331659"/>
    <w:rsid w:val="003319C5"/>
    <w:rsid w:val="00331A58"/>
    <w:rsid w:val="003320F9"/>
    <w:rsid w:val="003327BD"/>
    <w:rsid w:val="003338EB"/>
    <w:rsid w:val="00334446"/>
    <w:rsid w:val="0033444C"/>
    <w:rsid w:val="00334725"/>
    <w:rsid w:val="00334A38"/>
    <w:rsid w:val="00334AF1"/>
    <w:rsid w:val="00335332"/>
    <w:rsid w:val="003353D5"/>
    <w:rsid w:val="0033598A"/>
    <w:rsid w:val="00335A53"/>
    <w:rsid w:val="00336328"/>
    <w:rsid w:val="003379A4"/>
    <w:rsid w:val="00337BB0"/>
    <w:rsid w:val="00337BDD"/>
    <w:rsid w:val="00337CB6"/>
    <w:rsid w:val="003403AE"/>
    <w:rsid w:val="003409BD"/>
    <w:rsid w:val="00340E3E"/>
    <w:rsid w:val="0034111B"/>
    <w:rsid w:val="00342559"/>
    <w:rsid w:val="00342D1A"/>
    <w:rsid w:val="0034339B"/>
    <w:rsid w:val="00343860"/>
    <w:rsid w:val="00343AB5"/>
    <w:rsid w:val="00344CEF"/>
    <w:rsid w:val="00344F44"/>
    <w:rsid w:val="0034511C"/>
    <w:rsid w:val="00345191"/>
    <w:rsid w:val="0034550A"/>
    <w:rsid w:val="00345B7B"/>
    <w:rsid w:val="0034620C"/>
    <w:rsid w:val="00346579"/>
    <w:rsid w:val="00346C50"/>
    <w:rsid w:val="003474B3"/>
    <w:rsid w:val="0034757D"/>
    <w:rsid w:val="00347A1B"/>
    <w:rsid w:val="00347CA3"/>
    <w:rsid w:val="00347F9F"/>
    <w:rsid w:val="00351032"/>
    <w:rsid w:val="0035149A"/>
    <w:rsid w:val="00351668"/>
    <w:rsid w:val="00351FA4"/>
    <w:rsid w:val="00352775"/>
    <w:rsid w:val="00352F14"/>
    <w:rsid w:val="003530B3"/>
    <w:rsid w:val="00355317"/>
    <w:rsid w:val="0035546F"/>
    <w:rsid w:val="003554BD"/>
    <w:rsid w:val="003554CE"/>
    <w:rsid w:val="00356586"/>
    <w:rsid w:val="00356792"/>
    <w:rsid w:val="003571E2"/>
    <w:rsid w:val="003576C9"/>
    <w:rsid w:val="00360A82"/>
    <w:rsid w:val="00361062"/>
    <w:rsid w:val="003610F5"/>
    <w:rsid w:val="003616F4"/>
    <w:rsid w:val="00362B5E"/>
    <w:rsid w:val="003638E9"/>
    <w:rsid w:val="003643A5"/>
    <w:rsid w:val="00364D97"/>
    <w:rsid w:val="0036533F"/>
    <w:rsid w:val="00365370"/>
    <w:rsid w:val="0036554C"/>
    <w:rsid w:val="00365DE2"/>
    <w:rsid w:val="003661C9"/>
    <w:rsid w:val="0036693A"/>
    <w:rsid w:val="00366AFA"/>
    <w:rsid w:val="00366C31"/>
    <w:rsid w:val="00366E38"/>
    <w:rsid w:val="00366E4E"/>
    <w:rsid w:val="003676E5"/>
    <w:rsid w:val="003676EA"/>
    <w:rsid w:val="00367886"/>
    <w:rsid w:val="00367AD9"/>
    <w:rsid w:val="00367CC7"/>
    <w:rsid w:val="00367F73"/>
    <w:rsid w:val="00370219"/>
    <w:rsid w:val="0037051E"/>
    <w:rsid w:val="00370859"/>
    <w:rsid w:val="00370C8A"/>
    <w:rsid w:val="00371208"/>
    <w:rsid w:val="003718D9"/>
    <w:rsid w:val="00371E8D"/>
    <w:rsid w:val="0037207D"/>
    <w:rsid w:val="00372389"/>
    <w:rsid w:val="003723E4"/>
    <w:rsid w:val="00372564"/>
    <w:rsid w:val="00372644"/>
    <w:rsid w:val="00372B3F"/>
    <w:rsid w:val="00372C6C"/>
    <w:rsid w:val="0037334A"/>
    <w:rsid w:val="003734B3"/>
    <w:rsid w:val="0037443B"/>
    <w:rsid w:val="00374D3E"/>
    <w:rsid w:val="00375820"/>
    <w:rsid w:val="00375B14"/>
    <w:rsid w:val="00375D85"/>
    <w:rsid w:val="00375E72"/>
    <w:rsid w:val="003760FD"/>
    <w:rsid w:val="003769D5"/>
    <w:rsid w:val="00377475"/>
    <w:rsid w:val="00377A8C"/>
    <w:rsid w:val="00377F4C"/>
    <w:rsid w:val="0038054C"/>
    <w:rsid w:val="0038061C"/>
    <w:rsid w:val="0038090C"/>
    <w:rsid w:val="00381168"/>
    <w:rsid w:val="00381E3D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6891"/>
    <w:rsid w:val="00386A21"/>
    <w:rsid w:val="0038735C"/>
    <w:rsid w:val="003874B4"/>
    <w:rsid w:val="00387631"/>
    <w:rsid w:val="00387823"/>
    <w:rsid w:val="00387CB2"/>
    <w:rsid w:val="00390044"/>
    <w:rsid w:val="003903FB"/>
    <w:rsid w:val="00390644"/>
    <w:rsid w:val="0039066F"/>
    <w:rsid w:val="00390809"/>
    <w:rsid w:val="00390D50"/>
    <w:rsid w:val="00390EAD"/>
    <w:rsid w:val="00390EAF"/>
    <w:rsid w:val="003915CD"/>
    <w:rsid w:val="00391CBB"/>
    <w:rsid w:val="00391D90"/>
    <w:rsid w:val="00391DDE"/>
    <w:rsid w:val="0039208E"/>
    <w:rsid w:val="003923A6"/>
    <w:rsid w:val="0039252E"/>
    <w:rsid w:val="0039257A"/>
    <w:rsid w:val="00393231"/>
    <w:rsid w:val="0039372B"/>
    <w:rsid w:val="0039383D"/>
    <w:rsid w:val="00394932"/>
    <w:rsid w:val="00394FE8"/>
    <w:rsid w:val="00395069"/>
    <w:rsid w:val="003955AD"/>
    <w:rsid w:val="00395990"/>
    <w:rsid w:val="00395A0A"/>
    <w:rsid w:val="00396C46"/>
    <w:rsid w:val="00397A3A"/>
    <w:rsid w:val="00397BF1"/>
    <w:rsid w:val="003A0A67"/>
    <w:rsid w:val="003A1273"/>
    <w:rsid w:val="003A1596"/>
    <w:rsid w:val="003A1FEA"/>
    <w:rsid w:val="003A27ED"/>
    <w:rsid w:val="003A344A"/>
    <w:rsid w:val="003A3622"/>
    <w:rsid w:val="003A3681"/>
    <w:rsid w:val="003A36D4"/>
    <w:rsid w:val="003A4139"/>
    <w:rsid w:val="003A41B8"/>
    <w:rsid w:val="003A495B"/>
    <w:rsid w:val="003A4B2F"/>
    <w:rsid w:val="003A4C4A"/>
    <w:rsid w:val="003A4F9E"/>
    <w:rsid w:val="003A5033"/>
    <w:rsid w:val="003A53AA"/>
    <w:rsid w:val="003A5EEB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42"/>
    <w:rsid w:val="003B1083"/>
    <w:rsid w:val="003B12DB"/>
    <w:rsid w:val="003B1C5D"/>
    <w:rsid w:val="003B1EAD"/>
    <w:rsid w:val="003B1F1C"/>
    <w:rsid w:val="003B23A8"/>
    <w:rsid w:val="003B3822"/>
    <w:rsid w:val="003B3BAD"/>
    <w:rsid w:val="003B3F02"/>
    <w:rsid w:val="003B3F64"/>
    <w:rsid w:val="003B4644"/>
    <w:rsid w:val="003B47A9"/>
    <w:rsid w:val="003B4B26"/>
    <w:rsid w:val="003B4E29"/>
    <w:rsid w:val="003B5306"/>
    <w:rsid w:val="003B5757"/>
    <w:rsid w:val="003B6179"/>
    <w:rsid w:val="003B69D0"/>
    <w:rsid w:val="003B778A"/>
    <w:rsid w:val="003B7B4D"/>
    <w:rsid w:val="003C0125"/>
    <w:rsid w:val="003C03F7"/>
    <w:rsid w:val="003C05CD"/>
    <w:rsid w:val="003C0FE5"/>
    <w:rsid w:val="003C1CAF"/>
    <w:rsid w:val="003C22D4"/>
    <w:rsid w:val="003C29AF"/>
    <w:rsid w:val="003C3F73"/>
    <w:rsid w:val="003C40A2"/>
    <w:rsid w:val="003C5519"/>
    <w:rsid w:val="003C5A97"/>
    <w:rsid w:val="003C616B"/>
    <w:rsid w:val="003C681D"/>
    <w:rsid w:val="003C6BED"/>
    <w:rsid w:val="003C7965"/>
    <w:rsid w:val="003C7D06"/>
    <w:rsid w:val="003C7EF7"/>
    <w:rsid w:val="003D0E1F"/>
    <w:rsid w:val="003D1182"/>
    <w:rsid w:val="003D1AE0"/>
    <w:rsid w:val="003D22DA"/>
    <w:rsid w:val="003D2706"/>
    <w:rsid w:val="003D32E8"/>
    <w:rsid w:val="003D3779"/>
    <w:rsid w:val="003D425A"/>
    <w:rsid w:val="003D4866"/>
    <w:rsid w:val="003D507A"/>
    <w:rsid w:val="003D5B8A"/>
    <w:rsid w:val="003D6280"/>
    <w:rsid w:val="003D66CB"/>
    <w:rsid w:val="003D687A"/>
    <w:rsid w:val="003D6A57"/>
    <w:rsid w:val="003D6E45"/>
    <w:rsid w:val="003D79FE"/>
    <w:rsid w:val="003D7A2D"/>
    <w:rsid w:val="003D7C91"/>
    <w:rsid w:val="003E043F"/>
    <w:rsid w:val="003E07F1"/>
    <w:rsid w:val="003E0E8C"/>
    <w:rsid w:val="003E113F"/>
    <w:rsid w:val="003E1418"/>
    <w:rsid w:val="003E4478"/>
    <w:rsid w:val="003E4979"/>
    <w:rsid w:val="003E4B79"/>
    <w:rsid w:val="003E4B85"/>
    <w:rsid w:val="003E581F"/>
    <w:rsid w:val="003E5F16"/>
    <w:rsid w:val="003E6340"/>
    <w:rsid w:val="003E634D"/>
    <w:rsid w:val="003E64BB"/>
    <w:rsid w:val="003E6AC1"/>
    <w:rsid w:val="003E7EEA"/>
    <w:rsid w:val="003F01E7"/>
    <w:rsid w:val="003F1726"/>
    <w:rsid w:val="003F18CF"/>
    <w:rsid w:val="003F1A42"/>
    <w:rsid w:val="003F1EB2"/>
    <w:rsid w:val="003F2BFE"/>
    <w:rsid w:val="003F3A44"/>
    <w:rsid w:val="003F5A7B"/>
    <w:rsid w:val="003F5B9C"/>
    <w:rsid w:val="003F5E65"/>
    <w:rsid w:val="003F5F0A"/>
    <w:rsid w:val="003F68DB"/>
    <w:rsid w:val="003F6DF4"/>
    <w:rsid w:val="003F7022"/>
    <w:rsid w:val="003F7263"/>
    <w:rsid w:val="003F7D77"/>
    <w:rsid w:val="00400A5E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40E3"/>
    <w:rsid w:val="00404D4D"/>
    <w:rsid w:val="00407CDA"/>
    <w:rsid w:val="004100FD"/>
    <w:rsid w:val="0041029D"/>
    <w:rsid w:val="00410347"/>
    <w:rsid w:val="004104BF"/>
    <w:rsid w:val="0041068A"/>
    <w:rsid w:val="00410DEC"/>
    <w:rsid w:val="0041138F"/>
    <w:rsid w:val="004118D5"/>
    <w:rsid w:val="00412C31"/>
    <w:rsid w:val="00412EF3"/>
    <w:rsid w:val="004133CD"/>
    <w:rsid w:val="00413549"/>
    <w:rsid w:val="00414538"/>
    <w:rsid w:val="0041479C"/>
    <w:rsid w:val="00416787"/>
    <w:rsid w:val="00417C7F"/>
    <w:rsid w:val="004203CA"/>
    <w:rsid w:val="004208D7"/>
    <w:rsid w:val="00420C77"/>
    <w:rsid w:val="00420CA2"/>
    <w:rsid w:val="004210BA"/>
    <w:rsid w:val="004215FA"/>
    <w:rsid w:val="00421878"/>
    <w:rsid w:val="004228EE"/>
    <w:rsid w:val="00422BB1"/>
    <w:rsid w:val="00422D87"/>
    <w:rsid w:val="0042325A"/>
    <w:rsid w:val="0042336F"/>
    <w:rsid w:val="004234EF"/>
    <w:rsid w:val="004242F2"/>
    <w:rsid w:val="004249DB"/>
    <w:rsid w:val="00424C76"/>
    <w:rsid w:val="00425554"/>
    <w:rsid w:val="0042556A"/>
    <w:rsid w:val="00425B68"/>
    <w:rsid w:val="00425C9F"/>
    <w:rsid w:val="004268A5"/>
    <w:rsid w:val="00427A53"/>
    <w:rsid w:val="004300E1"/>
    <w:rsid w:val="00430294"/>
    <w:rsid w:val="004309CF"/>
    <w:rsid w:val="00430B44"/>
    <w:rsid w:val="00430F27"/>
    <w:rsid w:val="00431001"/>
    <w:rsid w:val="0043104B"/>
    <w:rsid w:val="0043151E"/>
    <w:rsid w:val="0043181D"/>
    <w:rsid w:val="004328E4"/>
    <w:rsid w:val="00432937"/>
    <w:rsid w:val="00433460"/>
    <w:rsid w:val="00433D87"/>
    <w:rsid w:val="00433ECE"/>
    <w:rsid w:val="004343C2"/>
    <w:rsid w:val="004347A7"/>
    <w:rsid w:val="00434800"/>
    <w:rsid w:val="00434F9C"/>
    <w:rsid w:val="00435BEB"/>
    <w:rsid w:val="00435F09"/>
    <w:rsid w:val="00435F6F"/>
    <w:rsid w:val="00436548"/>
    <w:rsid w:val="00436C20"/>
    <w:rsid w:val="004373A1"/>
    <w:rsid w:val="00437844"/>
    <w:rsid w:val="00437FBE"/>
    <w:rsid w:val="00440392"/>
    <w:rsid w:val="00440502"/>
    <w:rsid w:val="00440B8C"/>
    <w:rsid w:val="00440C3A"/>
    <w:rsid w:val="00441069"/>
    <w:rsid w:val="004412E5"/>
    <w:rsid w:val="004415FC"/>
    <w:rsid w:val="00441989"/>
    <w:rsid w:val="00442112"/>
    <w:rsid w:val="00442822"/>
    <w:rsid w:val="0044294A"/>
    <w:rsid w:val="004437F3"/>
    <w:rsid w:val="00443A3A"/>
    <w:rsid w:val="00443AE0"/>
    <w:rsid w:val="00443D1A"/>
    <w:rsid w:val="004442B1"/>
    <w:rsid w:val="004443FB"/>
    <w:rsid w:val="0044476D"/>
    <w:rsid w:val="00445064"/>
    <w:rsid w:val="00445172"/>
    <w:rsid w:val="00447603"/>
    <w:rsid w:val="00447999"/>
    <w:rsid w:val="00447AC5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648"/>
    <w:rsid w:val="00453BF4"/>
    <w:rsid w:val="00454571"/>
    <w:rsid w:val="00455AFA"/>
    <w:rsid w:val="00456308"/>
    <w:rsid w:val="004566BE"/>
    <w:rsid w:val="0045682E"/>
    <w:rsid w:val="004568B4"/>
    <w:rsid w:val="00457142"/>
    <w:rsid w:val="004573A4"/>
    <w:rsid w:val="00457493"/>
    <w:rsid w:val="004578A5"/>
    <w:rsid w:val="00457958"/>
    <w:rsid w:val="0046087C"/>
    <w:rsid w:val="0046115F"/>
    <w:rsid w:val="0046148D"/>
    <w:rsid w:val="00461535"/>
    <w:rsid w:val="004619CF"/>
    <w:rsid w:val="004620E9"/>
    <w:rsid w:val="004627CF"/>
    <w:rsid w:val="00462977"/>
    <w:rsid w:val="00462DBA"/>
    <w:rsid w:val="004635B7"/>
    <w:rsid w:val="00464027"/>
    <w:rsid w:val="004641CB"/>
    <w:rsid w:val="0046443B"/>
    <w:rsid w:val="00464BC7"/>
    <w:rsid w:val="004651B8"/>
    <w:rsid w:val="00465580"/>
    <w:rsid w:val="00465972"/>
    <w:rsid w:val="00465E7E"/>
    <w:rsid w:val="00466BB5"/>
    <w:rsid w:val="004672E8"/>
    <w:rsid w:val="004677E9"/>
    <w:rsid w:val="00470535"/>
    <w:rsid w:val="00470F0D"/>
    <w:rsid w:val="00471183"/>
    <w:rsid w:val="0047123C"/>
    <w:rsid w:val="004714F6"/>
    <w:rsid w:val="0047289C"/>
    <w:rsid w:val="00472E22"/>
    <w:rsid w:val="00472F67"/>
    <w:rsid w:val="004733A8"/>
    <w:rsid w:val="004739A1"/>
    <w:rsid w:val="0047430D"/>
    <w:rsid w:val="00474FDF"/>
    <w:rsid w:val="00475688"/>
    <w:rsid w:val="004758F6"/>
    <w:rsid w:val="004759E3"/>
    <w:rsid w:val="00475C51"/>
    <w:rsid w:val="00476161"/>
    <w:rsid w:val="00476658"/>
    <w:rsid w:val="00476E34"/>
    <w:rsid w:val="00476EE1"/>
    <w:rsid w:val="00477163"/>
    <w:rsid w:val="00477B0E"/>
    <w:rsid w:val="00477B39"/>
    <w:rsid w:val="00481688"/>
    <w:rsid w:val="004820E0"/>
    <w:rsid w:val="004822CA"/>
    <w:rsid w:val="00483F95"/>
    <w:rsid w:val="004847DD"/>
    <w:rsid w:val="00484D20"/>
    <w:rsid w:val="004850C1"/>
    <w:rsid w:val="004862A1"/>
    <w:rsid w:val="00486F54"/>
    <w:rsid w:val="004871B4"/>
    <w:rsid w:val="004876DD"/>
    <w:rsid w:val="00490973"/>
    <w:rsid w:val="004915E7"/>
    <w:rsid w:val="0049178A"/>
    <w:rsid w:val="00491C1D"/>
    <w:rsid w:val="00491DF1"/>
    <w:rsid w:val="00492535"/>
    <w:rsid w:val="004927C9"/>
    <w:rsid w:val="00493435"/>
    <w:rsid w:val="00494B28"/>
    <w:rsid w:val="00495FFF"/>
    <w:rsid w:val="00496A9F"/>
    <w:rsid w:val="00497358"/>
    <w:rsid w:val="00497FA5"/>
    <w:rsid w:val="004A03B3"/>
    <w:rsid w:val="004A04D5"/>
    <w:rsid w:val="004A1253"/>
    <w:rsid w:val="004A13FE"/>
    <w:rsid w:val="004A1B07"/>
    <w:rsid w:val="004A2E04"/>
    <w:rsid w:val="004A3226"/>
    <w:rsid w:val="004A399F"/>
    <w:rsid w:val="004A4096"/>
    <w:rsid w:val="004A4692"/>
    <w:rsid w:val="004A5D5A"/>
    <w:rsid w:val="004A669F"/>
    <w:rsid w:val="004A6842"/>
    <w:rsid w:val="004A718C"/>
    <w:rsid w:val="004A71A2"/>
    <w:rsid w:val="004A76A2"/>
    <w:rsid w:val="004A7DBE"/>
    <w:rsid w:val="004A7F94"/>
    <w:rsid w:val="004B08AC"/>
    <w:rsid w:val="004B097E"/>
    <w:rsid w:val="004B0D88"/>
    <w:rsid w:val="004B1C77"/>
    <w:rsid w:val="004B206E"/>
    <w:rsid w:val="004B229E"/>
    <w:rsid w:val="004B29C2"/>
    <w:rsid w:val="004B29E1"/>
    <w:rsid w:val="004B2C52"/>
    <w:rsid w:val="004B2F46"/>
    <w:rsid w:val="004B2FEB"/>
    <w:rsid w:val="004B395D"/>
    <w:rsid w:val="004B3AE1"/>
    <w:rsid w:val="004B3F34"/>
    <w:rsid w:val="004B4194"/>
    <w:rsid w:val="004B457E"/>
    <w:rsid w:val="004B55F0"/>
    <w:rsid w:val="004B56C3"/>
    <w:rsid w:val="004B6928"/>
    <w:rsid w:val="004B79FA"/>
    <w:rsid w:val="004B7D94"/>
    <w:rsid w:val="004C0FB7"/>
    <w:rsid w:val="004C104B"/>
    <w:rsid w:val="004C1145"/>
    <w:rsid w:val="004C164A"/>
    <w:rsid w:val="004C2E14"/>
    <w:rsid w:val="004C2FE3"/>
    <w:rsid w:val="004C305A"/>
    <w:rsid w:val="004C35EF"/>
    <w:rsid w:val="004C3BCF"/>
    <w:rsid w:val="004C4829"/>
    <w:rsid w:val="004C4C58"/>
    <w:rsid w:val="004C4D30"/>
    <w:rsid w:val="004C4EAB"/>
    <w:rsid w:val="004C5570"/>
    <w:rsid w:val="004C5BD0"/>
    <w:rsid w:val="004C5D52"/>
    <w:rsid w:val="004C5DB0"/>
    <w:rsid w:val="004C60D8"/>
    <w:rsid w:val="004C6197"/>
    <w:rsid w:val="004C62EE"/>
    <w:rsid w:val="004C6A0D"/>
    <w:rsid w:val="004C6DF3"/>
    <w:rsid w:val="004C771C"/>
    <w:rsid w:val="004C7D1D"/>
    <w:rsid w:val="004D1000"/>
    <w:rsid w:val="004D147D"/>
    <w:rsid w:val="004D1D27"/>
    <w:rsid w:val="004D2EC3"/>
    <w:rsid w:val="004D2FF6"/>
    <w:rsid w:val="004D3FD6"/>
    <w:rsid w:val="004D405F"/>
    <w:rsid w:val="004D55CA"/>
    <w:rsid w:val="004D5A27"/>
    <w:rsid w:val="004D5C5B"/>
    <w:rsid w:val="004D5F0E"/>
    <w:rsid w:val="004D6626"/>
    <w:rsid w:val="004D6758"/>
    <w:rsid w:val="004D7B1A"/>
    <w:rsid w:val="004E0830"/>
    <w:rsid w:val="004E0CE3"/>
    <w:rsid w:val="004E169C"/>
    <w:rsid w:val="004E1BF0"/>
    <w:rsid w:val="004E1E6A"/>
    <w:rsid w:val="004E28E1"/>
    <w:rsid w:val="004E2B01"/>
    <w:rsid w:val="004E34C7"/>
    <w:rsid w:val="004E356A"/>
    <w:rsid w:val="004E3750"/>
    <w:rsid w:val="004E375D"/>
    <w:rsid w:val="004E3850"/>
    <w:rsid w:val="004E3FC1"/>
    <w:rsid w:val="004E56A1"/>
    <w:rsid w:val="004E58EA"/>
    <w:rsid w:val="004E5F65"/>
    <w:rsid w:val="004E6C7A"/>
    <w:rsid w:val="004E7615"/>
    <w:rsid w:val="004E7CDF"/>
    <w:rsid w:val="004F078C"/>
    <w:rsid w:val="004F1324"/>
    <w:rsid w:val="004F1C7D"/>
    <w:rsid w:val="004F1D24"/>
    <w:rsid w:val="004F21D2"/>
    <w:rsid w:val="004F2621"/>
    <w:rsid w:val="004F2641"/>
    <w:rsid w:val="004F27F3"/>
    <w:rsid w:val="004F29B9"/>
    <w:rsid w:val="004F2B8E"/>
    <w:rsid w:val="004F2C85"/>
    <w:rsid w:val="004F32BF"/>
    <w:rsid w:val="004F3E6A"/>
    <w:rsid w:val="004F469D"/>
    <w:rsid w:val="004F5346"/>
    <w:rsid w:val="004F5C09"/>
    <w:rsid w:val="004F5E4E"/>
    <w:rsid w:val="004F63CC"/>
    <w:rsid w:val="004F6678"/>
    <w:rsid w:val="004F6B28"/>
    <w:rsid w:val="004F6C65"/>
    <w:rsid w:val="004F6D2E"/>
    <w:rsid w:val="004F6FF6"/>
    <w:rsid w:val="004F7F0F"/>
    <w:rsid w:val="004F7FBC"/>
    <w:rsid w:val="005001AE"/>
    <w:rsid w:val="005007E7"/>
    <w:rsid w:val="005012FC"/>
    <w:rsid w:val="00501EBE"/>
    <w:rsid w:val="0050261A"/>
    <w:rsid w:val="00503551"/>
    <w:rsid w:val="00503F38"/>
    <w:rsid w:val="005043FC"/>
    <w:rsid w:val="00504A55"/>
    <w:rsid w:val="00505F08"/>
    <w:rsid w:val="0050671D"/>
    <w:rsid w:val="0050672C"/>
    <w:rsid w:val="00506C4C"/>
    <w:rsid w:val="0050700E"/>
    <w:rsid w:val="005079D7"/>
    <w:rsid w:val="00507B2A"/>
    <w:rsid w:val="00507EC1"/>
    <w:rsid w:val="00510A22"/>
    <w:rsid w:val="00510D8A"/>
    <w:rsid w:val="00511EBC"/>
    <w:rsid w:val="005125D5"/>
    <w:rsid w:val="00512D51"/>
    <w:rsid w:val="00512E95"/>
    <w:rsid w:val="00514674"/>
    <w:rsid w:val="0051477F"/>
    <w:rsid w:val="00514C46"/>
    <w:rsid w:val="00514F12"/>
    <w:rsid w:val="00515BCF"/>
    <w:rsid w:val="00516083"/>
    <w:rsid w:val="0051635A"/>
    <w:rsid w:val="0051646E"/>
    <w:rsid w:val="005165A7"/>
    <w:rsid w:val="005166C3"/>
    <w:rsid w:val="00516EA5"/>
    <w:rsid w:val="005179DA"/>
    <w:rsid w:val="00517E2A"/>
    <w:rsid w:val="00520C1C"/>
    <w:rsid w:val="00521439"/>
    <w:rsid w:val="00522133"/>
    <w:rsid w:val="0052292E"/>
    <w:rsid w:val="005232E0"/>
    <w:rsid w:val="0052373B"/>
    <w:rsid w:val="00523E00"/>
    <w:rsid w:val="0052439F"/>
    <w:rsid w:val="005243EB"/>
    <w:rsid w:val="00524D2C"/>
    <w:rsid w:val="00525789"/>
    <w:rsid w:val="00525890"/>
    <w:rsid w:val="00526452"/>
    <w:rsid w:val="00526816"/>
    <w:rsid w:val="00526F09"/>
    <w:rsid w:val="00527F4F"/>
    <w:rsid w:val="00530512"/>
    <w:rsid w:val="00530799"/>
    <w:rsid w:val="0053109F"/>
    <w:rsid w:val="005311E8"/>
    <w:rsid w:val="005312C4"/>
    <w:rsid w:val="0053133A"/>
    <w:rsid w:val="00531822"/>
    <w:rsid w:val="005326D0"/>
    <w:rsid w:val="005327CB"/>
    <w:rsid w:val="00532800"/>
    <w:rsid w:val="00532A80"/>
    <w:rsid w:val="00532FDA"/>
    <w:rsid w:val="00533142"/>
    <w:rsid w:val="00533AAC"/>
    <w:rsid w:val="00533B74"/>
    <w:rsid w:val="00533EE8"/>
    <w:rsid w:val="0053417D"/>
    <w:rsid w:val="0053490C"/>
    <w:rsid w:val="00535585"/>
    <w:rsid w:val="00536A58"/>
    <w:rsid w:val="00536AB4"/>
    <w:rsid w:val="00536AC6"/>
    <w:rsid w:val="00537127"/>
    <w:rsid w:val="0053764B"/>
    <w:rsid w:val="0054069F"/>
    <w:rsid w:val="00541307"/>
    <w:rsid w:val="00541B60"/>
    <w:rsid w:val="00541DB8"/>
    <w:rsid w:val="00541F9A"/>
    <w:rsid w:val="00542247"/>
    <w:rsid w:val="00542599"/>
    <w:rsid w:val="00542EB4"/>
    <w:rsid w:val="0054304E"/>
    <w:rsid w:val="005448B9"/>
    <w:rsid w:val="00545136"/>
    <w:rsid w:val="005452C1"/>
    <w:rsid w:val="00545B42"/>
    <w:rsid w:val="0054612B"/>
    <w:rsid w:val="00546E7B"/>
    <w:rsid w:val="00547753"/>
    <w:rsid w:val="005479F5"/>
    <w:rsid w:val="00547D90"/>
    <w:rsid w:val="00547F76"/>
    <w:rsid w:val="005500F2"/>
    <w:rsid w:val="005508EF"/>
    <w:rsid w:val="005510E3"/>
    <w:rsid w:val="0055173F"/>
    <w:rsid w:val="00551AE8"/>
    <w:rsid w:val="00551D57"/>
    <w:rsid w:val="00552E11"/>
    <w:rsid w:val="00552FEB"/>
    <w:rsid w:val="0055326B"/>
    <w:rsid w:val="005532A3"/>
    <w:rsid w:val="00553395"/>
    <w:rsid w:val="00553567"/>
    <w:rsid w:val="005538EF"/>
    <w:rsid w:val="0055400F"/>
    <w:rsid w:val="005548DD"/>
    <w:rsid w:val="00555500"/>
    <w:rsid w:val="00555FC3"/>
    <w:rsid w:val="00556027"/>
    <w:rsid w:val="00556506"/>
    <w:rsid w:val="0055659A"/>
    <w:rsid w:val="00556616"/>
    <w:rsid w:val="00556731"/>
    <w:rsid w:val="00557401"/>
    <w:rsid w:val="0055747C"/>
    <w:rsid w:val="00557D41"/>
    <w:rsid w:val="00557F5B"/>
    <w:rsid w:val="00557FE2"/>
    <w:rsid w:val="00560729"/>
    <w:rsid w:val="00560A6F"/>
    <w:rsid w:val="00560A86"/>
    <w:rsid w:val="00561AFD"/>
    <w:rsid w:val="00561C64"/>
    <w:rsid w:val="0056218D"/>
    <w:rsid w:val="00562EAD"/>
    <w:rsid w:val="00563222"/>
    <w:rsid w:val="00563A7C"/>
    <w:rsid w:val="00563AEB"/>
    <w:rsid w:val="00564775"/>
    <w:rsid w:val="00565225"/>
    <w:rsid w:val="00565469"/>
    <w:rsid w:val="00566C28"/>
    <w:rsid w:val="00566EBC"/>
    <w:rsid w:val="00567424"/>
    <w:rsid w:val="00567500"/>
    <w:rsid w:val="0056753D"/>
    <w:rsid w:val="00567811"/>
    <w:rsid w:val="00567CDA"/>
    <w:rsid w:val="00570163"/>
    <w:rsid w:val="005701B3"/>
    <w:rsid w:val="005702BD"/>
    <w:rsid w:val="0057041C"/>
    <w:rsid w:val="005704B1"/>
    <w:rsid w:val="00571005"/>
    <w:rsid w:val="00572749"/>
    <w:rsid w:val="005739F4"/>
    <w:rsid w:val="00573A7F"/>
    <w:rsid w:val="00573EE1"/>
    <w:rsid w:val="0057406C"/>
    <w:rsid w:val="00575051"/>
    <w:rsid w:val="005758E3"/>
    <w:rsid w:val="00576D35"/>
    <w:rsid w:val="005777C8"/>
    <w:rsid w:val="00577AD5"/>
    <w:rsid w:val="00577F23"/>
    <w:rsid w:val="00580A72"/>
    <w:rsid w:val="0058107B"/>
    <w:rsid w:val="0058149F"/>
    <w:rsid w:val="0058161B"/>
    <w:rsid w:val="005817A5"/>
    <w:rsid w:val="00581DF3"/>
    <w:rsid w:val="00582853"/>
    <w:rsid w:val="00582893"/>
    <w:rsid w:val="00582C76"/>
    <w:rsid w:val="00583A87"/>
    <w:rsid w:val="0058403B"/>
    <w:rsid w:val="005842BA"/>
    <w:rsid w:val="005843E6"/>
    <w:rsid w:val="005845FA"/>
    <w:rsid w:val="00584AC0"/>
    <w:rsid w:val="00585C21"/>
    <w:rsid w:val="005874CD"/>
    <w:rsid w:val="00587597"/>
    <w:rsid w:val="00590D18"/>
    <w:rsid w:val="00590EDD"/>
    <w:rsid w:val="00591988"/>
    <w:rsid w:val="00591CA1"/>
    <w:rsid w:val="005921C8"/>
    <w:rsid w:val="005922A3"/>
    <w:rsid w:val="0059239E"/>
    <w:rsid w:val="005924DB"/>
    <w:rsid w:val="005929E8"/>
    <w:rsid w:val="00592A2E"/>
    <w:rsid w:val="00592C64"/>
    <w:rsid w:val="00593155"/>
    <w:rsid w:val="0059353B"/>
    <w:rsid w:val="005938DB"/>
    <w:rsid w:val="00593F5D"/>
    <w:rsid w:val="005949FB"/>
    <w:rsid w:val="00594C1A"/>
    <w:rsid w:val="00595106"/>
    <w:rsid w:val="00595692"/>
    <w:rsid w:val="00595B7B"/>
    <w:rsid w:val="00596020"/>
    <w:rsid w:val="0059632F"/>
    <w:rsid w:val="00596436"/>
    <w:rsid w:val="005974CE"/>
    <w:rsid w:val="00597799"/>
    <w:rsid w:val="005977F9"/>
    <w:rsid w:val="00597BA8"/>
    <w:rsid w:val="00597CD1"/>
    <w:rsid w:val="005A01E7"/>
    <w:rsid w:val="005A02C8"/>
    <w:rsid w:val="005A09E5"/>
    <w:rsid w:val="005A1473"/>
    <w:rsid w:val="005A19FF"/>
    <w:rsid w:val="005A2074"/>
    <w:rsid w:val="005A24AE"/>
    <w:rsid w:val="005A2B7A"/>
    <w:rsid w:val="005A3394"/>
    <w:rsid w:val="005A403A"/>
    <w:rsid w:val="005A43BE"/>
    <w:rsid w:val="005A4624"/>
    <w:rsid w:val="005A5011"/>
    <w:rsid w:val="005A508D"/>
    <w:rsid w:val="005A60BA"/>
    <w:rsid w:val="005A761B"/>
    <w:rsid w:val="005B096F"/>
    <w:rsid w:val="005B0987"/>
    <w:rsid w:val="005B0FB5"/>
    <w:rsid w:val="005B1191"/>
    <w:rsid w:val="005B1205"/>
    <w:rsid w:val="005B1D3B"/>
    <w:rsid w:val="005B2088"/>
    <w:rsid w:val="005B2466"/>
    <w:rsid w:val="005B2BBB"/>
    <w:rsid w:val="005B2BF5"/>
    <w:rsid w:val="005B2FD3"/>
    <w:rsid w:val="005B362A"/>
    <w:rsid w:val="005B41B3"/>
    <w:rsid w:val="005B4289"/>
    <w:rsid w:val="005B5841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F6E"/>
    <w:rsid w:val="005C12AC"/>
    <w:rsid w:val="005C1C90"/>
    <w:rsid w:val="005C1CEF"/>
    <w:rsid w:val="005C21B6"/>
    <w:rsid w:val="005C21FB"/>
    <w:rsid w:val="005C34AE"/>
    <w:rsid w:val="005C3964"/>
    <w:rsid w:val="005C428A"/>
    <w:rsid w:val="005C4330"/>
    <w:rsid w:val="005C4787"/>
    <w:rsid w:val="005C5113"/>
    <w:rsid w:val="005C54B8"/>
    <w:rsid w:val="005C557C"/>
    <w:rsid w:val="005C56B7"/>
    <w:rsid w:val="005C5CDF"/>
    <w:rsid w:val="005C677E"/>
    <w:rsid w:val="005C6CD0"/>
    <w:rsid w:val="005C7072"/>
    <w:rsid w:val="005C757A"/>
    <w:rsid w:val="005C785E"/>
    <w:rsid w:val="005C78D5"/>
    <w:rsid w:val="005D00B6"/>
    <w:rsid w:val="005D101F"/>
    <w:rsid w:val="005D1247"/>
    <w:rsid w:val="005D1D60"/>
    <w:rsid w:val="005D205D"/>
    <w:rsid w:val="005D2F54"/>
    <w:rsid w:val="005D33D2"/>
    <w:rsid w:val="005D353D"/>
    <w:rsid w:val="005D380F"/>
    <w:rsid w:val="005D3875"/>
    <w:rsid w:val="005D3FD5"/>
    <w:rsid w:val="005D593D"/>
    <w:rsid w:val="005D636B"/>
    <w:rsid w:val="005D63A5"/>
    <w:rsid w:val="005D647D"/>
    <w:rsid w:val="005D69A4"/>
    <w:rsid w:val="005D79B5"/>
    <w:rsid w:val="005D7BDA"/>
    <w:rsid w:val="005E0A1F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850"/>
    <w:rsid w:val="005E3EB4"/>
    <w:rsid w:val="005E40C8"/>
    <w:rsid w:val="005E43DF"/>
    <w:rsid w:val="005E48DE"/>
    <w:rsid w:val="005E566F"/>
    <w:rsid w:val="005E56B1"/>
    <w:rsid w:val="005E5774"/>
    <w:rsid w:val="005E64AF"/>
    <w:rsid w:val="005E6BE9"/>
    <w:rsid w:val="005E6D97"/>
    <w:rsid w:val="005E71A5"/>
    <w:rsid w:val="005E777B"/>
    <w:rsid w:val="005E77F8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8C"/>
    <w:rsid w:val="005F54B4"/>
    <w:rsid w:val="005F5576"/>
    <w:rsid w:val="005F5A4E"/>
    <w:rsid w:val="005F5A6F"/>
    <w:rsid w:val="005F5C6D"/>
    <w:rsid w:val="005F5DE7"/>
    <w:rsid w:val="005F5E8E"/>
    <w:rsid w:val="005F60E6"/>
    <w:rsid w:val="005F61DD"/>
    <w:rsid w:val="005F764A"/>
    <w:rsid w:val="0060008E"/>
    <w:rsid w:val="006005C1"/>
    <w:rsid w:val="006011A0"/>
    <w:rsid w:val="00602A78"/>
    <w:rsid w:val="00602BCA"/>
    <w:rsid w:val="0060305F"/>
    <w:rsid w:val="006034C7"/>
    <w:rsid w:val="00603B40"/>
    <w:rsid w:val="00604603"/>
    <w:rsid w:val="00604617"/>
    <w:rsid w:val="00604730"/>
    <w:rsid w:val="006049CE"/>
    <w:rsid w:val="00604AE3"/>
    <w:rsid w:val="00604D1B"/>
    <w:rsid w:val="006052A3"/>
    <w:rsid w:val="006053D8"/>
    <w:rsid w:val="006057CF"/>
    <w:rsid w:val="00605970"/>
    <w:rsid w:val="006059A0"/>
    <w:rsid w:val="00605A1A"/>
    <w:rsid w:val="00606054"/>
    <w:rsid w:val="0060611E"/>
    <w:rsid w:val="006063E0"/>
    <w:rsid w:val="00606906"/>
    <w:rsid w:val="00606EE7"/>
    <w:rsid w:val="00606FAA"/>
    <w:rsid w:val="00607B3C"/>
    <w:rsid w:val="00607C10"/>
    <w:rsid w:val="00607F9D"/>
    <w:rsid w:val="00611BA6"/>
    <w:rsid w:val="00612D19"/>
    <w:rsid w:val="0061330F"/>
    <w:rsid w:val="00613641"/>
    <w:rsid w:val="00614139"/>
    <w:rsid w:val="00614483"/>
    <w:rsid w:val="0061478C"/>
    <w:rsid w:val="00615030"/>
    <w:rsid w:val="0061516E"/>
    <w:rsid w:val="006151BC"/>
    <w:rsid w:val="00615204"/>
    <w:rsid w:val="006154F0"/>
    <w:rsid w:val="00615E77"/>
    <w:rsid w:val="006162A3"/>
    <w:rsid w:val="006165D6"/>
    <w:rsid w:val="00616C7D"/>
    <w:rsid w:val="0061735F"/>
    <w:rsid w:val="006205E1"/>
    <w:rsid w:val="006208EE"/>
    <w:rsid w:val="0062091D"/>
    <w:rsid w:val="00620C44"/>
    <w:rsid w:val="0062100E"/>
    <w:rsid w:val="006211A5"/>
    <w:rsid w:val="006219BC"/>
    <w:rsid w:val="00621DD8"/>
    <w:rsid w:val="00622789"/>
    <w:rsid w:val="006233C1"/>
    <w:rsid w:val="00624649"/>
    <w:rsid w:val="006249A7"/>
    <w:rsid w:val="006249D1"/>
    <w:rsid w:val="00624D4F"/>
    <w:rsid w:val="00625713"/>
    <w:rsid w:val="00625B22"/>
    <w:rsid w:val="00625C53"/>
    <w:rsid w:val="00626415"/>
    <w:rsid w:val="006265B4"/>
    <w:rsid w:val="00626FCF"/>
    <w:rsid w:val="0062768B"/>
    <w:rsid w:val="00627A49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D8"/>
    <w:rsid w:val="00633727"/>
    <w:rsid w:val="006338DA"/>
    <w:rsid w:val="0063390C"/>
    <w:rsid w:val="00633A5E"/>
    <w:rsid w:val="00633B0E"/>
    <w:rsid w:val="00633F74"/>
    <w:rsid w:val="00635AEB"/>
    <w:rsid w:val="00636EF8"/>
    <w:rsid w:val="00636FEF"/>
    <w:rsid w:val="0063715F"/>
    <w:rsid w:val="006377DB"/>
    <w:rsid w:val="006405A2"/>
    <w:rsid w:val="00640699"/>
    <w:rsid w:val="0064096C"/>
    <w:rsid w:val="006417E0"/>
    <w:rsid w:val="006418D2"/>
    <w:rsid w:val="006419D4"/>
    <w:rsid w:val="00641E1E"/>
    <w:rsid w:val="00642453"/>
    <w:rsid w:val="006443B2"/>
    <w:rsid w:val="00644FE8"/>
    <w:rsid w:val="00645210"/>
    <w:rsid w:val="00645933"/>
    <w:rsid w:val="006459B3"/>
    <w:rsid w:val="00645D57"/>
    <w:rsid w:val="006463B7"/>
    <w:rsid w:val="00646761"/>
    <w:rsid w:val="00646970"/>
    <w:rsid w:val="00646FDD"/>
    <w:rsid w:val="00647C38"/>
    <w:rsid w:val="00647D39"/>
    <w:rsid w:val="006500A2"/>
    <w:rsid w:val="0065058D"/>
    <w:rsid w:val="00650C5E"/>
    <w:rsid w:val="00651147"/>
    <w:rsid w:val="0065131D"/>
    <w:rsid w:val="00651DC1"/>
    <w:rsid w:val="00651FD6"/>
    <w:rsid w:val="0065234B"/>
    <w:rsid w:val="0065252C"/>
    <w:rsid w:val="00653AC4"/>
    <w:rsid w:val="00653C52"/>
    <w:rsid w:val="006540C1"/>
    <w:rsid w:val="00654642"/>
    <w:rsid w:val="00654AF4"/>
    <w:rsid w:val="00654CB8"/>
    <w:rsid w:val="0065561D"/>
    <w:rsid w:val="00655F61"/>
    <w:rsid w:val="006562F3"/>
    <w:rsid w:val="006565D3"/>
    <w:rsid w:val="00656F87"/>
    <w:rsid w:val="00656FC3"/>
    <w:rsid w:val="00657693"/>
    <w:rsid w:val="00657861"/>
    <w:rsid w:val="00657B97"/>
    <w:rsid w:val="00660010"/>
    <w:rsid w:val="00660083"/>
    <w:rsid w:val="006604FE"/>
    <w:rsid w:val="00660680"/>
    <w:rsid w:val="00660BFB"/>
    <w:rsid w:val="00660C96"/>
    <w:rsid w:val="00660E23"/>
    <w:rsid w:val="00662A70"/>
    <w:rsid w:val="00662AF9"/>
    <w:rsid w:val="00662C14"/>
    <w:rsid w:val="00662C97"/>
    <w:rsid w:val="00662CBB"/>
    <w:rsid w:val="00662EFC"/>
    <w:rsid w:val="00662F3E"/>
    <w:rsid w:val="00662FB3"/>
    <w:rsid w:val="0066398B"/>
    <w:rsid w:val="00663F53"/>
    <w:rsid w:val="0066486A"/>
    <w:rsid w:val="006650D2"/>
    <w:rsid w:val="0066527F"/>
    <w:rsid w:val="00666754"/>
    <w:rsid w:val="00666AEA"/>
    <w:rsid w:val="00667FB2"/>
    <w:rsid w:val="00670D2E"/>
    <w:rsid w:val="0067269F"/>
    <w:rsid w:val="006726CB"/>
    <w:rsid w:val="0067272F"/>
    <w:rsid w:val="00673BA4"/>
    <w:rsid w:val="00674C5D"/>
    <w:rsid w:val="00674ED8"/>
    <w:rsid w:val="00675793"/>
    <w:rsid w:val="00675C5E"/>
    <w:rsid w:val="00676F0B"/>
    <w:rsid w:val="006773D1"/>
    <w:rsid w:val="006801BB"/>
    <w:rsid w:val="006802E3"/>
    <w:rsid w:val="00680A87"/>
    <w:rsid w:val="00680CC6"/>
    <w:rsid w:val="0068241B"/>
    <w:rsid w:val="00683889"/>
    <w:rsid w:val="00683CFF"/>
    <w:rsid w:val="00683F41"/>
    <w:rsid w:val="006842A2"/>
    <w:rsid w:val="006848BB"/>
    <w:rsid w:val="00685075"/>
    <w:rsid w:val="00685339"/>
    <w:rsid w:val="00685597"/>
    <w:rsid w:val="00686338"/>
    <w:rsid w:val="00686FB8"/>
    <w:rsid w:val="0068731C"/>
    <w:rsid w:val="006904AD"/>
    <w:rsid w:val="006905F1"/>
    <w:rsid w:val="006909BD"/>
    <w:rsid w:val="00690CF4"/>
    <w:rsid w:val="006912E6"/>
    <w:rsid w:val="006914E9"/>
    <w:rsid w:val="00691815"/>
    <w:rsid w:val="00691D87"/>
    <w:rsid w:val="00691E51"/>
    <w:rsid w:val="006920CA"/>
    <w:rsid w:val="006927F0"/>
    <w:rsid w:val="00692C4E"/>
    <w:rsid w:val="006936DB"/>
    <w:rsid w:val="00693801"/>
    <w:rsid w:val="006944B8"/>
    <w:rsid w:val="00694706"/>
    <w:rsid w:val="00694DF8"/>
    <w:rsid w:val="006956E0"/>
    <w:rsid w:val="00695D95"/>
    <w:rsid w:val="00695DDA"/>
    <w:rsid w:val="00696136"/>
    <w:rsid w:val="00696243"/>
    <w:rsid w:val="00696252"/>
    <w:rsid w:val="006962E6"/>
    <w:rsid w:val="0069644C"/>
    <w:rsid w:val="0069657D"/>
    <w:rsid w:val="00696A8E"/>
    <w:rsid w:val="0069703E"/>
    <w:rsid w:val="006971FD"/>
    <w:rsid w:val="00697208"/>
    <w:rsid w:val="00697A32"/>
    <w:rsid w:val="006A06E3"/>
    <w:rsid w:val="006A0B03"/>
    <w:rsid w:val="006A0B52"/>
    <w:rsid w:val="006A0ECA"/>
    <w:rsid w:val="006A11F4"/>
    <w:rsid w:val="006A14A8"/>
    <w:rsid w:val="006A182D"/>
    <w:rsid w:val="006A1ADF"/>
    <w:rsid w:val="006A23AC"/>
    <w:rsid w:val="006A2835"/>
    <w:rsid w:val="006A3A19"/>
    <w:rsid w:val="006A3B6E"/>
    <w:rsid w:val="006A3B9E"/>
    <w:rsid w:val="006A3D6D"/>
    <w:rsid w:val="006A3D73"/>
    <w:rsid w:val="006A43EA"/>
    <w:rsid w:val="006A471A"/>
    <w:rsid w:val="006A5290"/>
    <w:rsid w:val="006A777A"/>
    <w:rsid w:val="006A77BF"/>
    <w:rsid w:val="006A7AE9"/>
    <w:rsid w:val="006A7C9D"/>
    <w:rsid w:val="006B0264"/>
    <w:rsid w:val="006B0D9A"/>
    <w:rsid w:val="006B1E59"/>
    <w:rsid w:val="006B2995"/>
    <w:rsid w:val="006B2F13"/>
    <w:rsid w:val="006B3EFD"/>
    <w:rsid w:val="006B40C8"/>
    <w:rsid w:val="006B423F"/>
    <w:rsid w:val="006B472A"/>
    <w:rsid w:val="006B549F"/>
    <w:rsid w:val="006B65CB"/>
    <w:rsid w:val="006B765D"/>
    <w:rsid w:val="006C0867"/>
    <w:rsid w:val="006C12F3"/>
    <w:rsid w:val="006C150F"/>
    <w:rsid w:val="006C215A"/>
    <w:rsid w:val="006C24C7"/>
    <w:rsid w:val="006C273C"/>
    <w:rsid w:val="006C374A"/>
    <w:rsid w:val="006C3A0F"/>
    <w:rsid w:val="006C479E"/>
    <w:rsid w:val="006C57FE"/>
    <w:rsid w:val="006C5AB5"/>
    <w:rsid w:val="006C621D"/>
    <w:rsid w:val="006C6E36"/>
    <w:rsid w:val="006C705E"/>
    <w:rsid w:val="006C7216"/>
    <w:rsid w:val="006C7266"/>
    <w:rsid w:val="006C7C27"/>
    <w:rsid w:val="006D045E"/>
    <w:rsid w:val="006D057A"/>
    <w:rsid w:val="006D0B6D"/>
    <w:rsid w:val="006D1549"/>
    <w:rsid w:val="006D1A5F"/>
    <w:rsid w:val="006D1CEA"/>
    <w:rsid w:val="006D1D71"/>
    <w:rsid w:val="006D381C"/>
    <w:rsid w:val="006D39EA"/>
    <w:rsid w:val="006D3CE0"/>
    <w:rsid w:val="006D45FF"/>
    <w:rsid w:val="006D4801"/>
    <w:rsid w:val="006D487E"/>
    <w:rsid w:val="006D4A33"/>
    <w:rsid w:val="006D53DF"/>
    <w:rsid w:val="006D54F7"/>
    <w:rsid w:val="006D5604"/>
    <w:rsid w:val="006D5CDA"/>
    <w:rsid w:val="006D6906"/>
    <w:rsid w:val="006D6D04"/>
    <w:rsid w:val="006D7902"/>
    <w:rsid w:val="006D7C9D"/>
    <w:rsid w:val="006D7D85"/>
    <w:rsid w:val="006E045E"/>
    <w:rsid w:val="006E09E9"/>
    <w:rsid w:val="006E0B21"/>
    <w:rsid w:val="006E171B"/>
    <w:rsid w:val="006E1971"/>
    <w:rsid w:val="006E2C6D"/>
    <w:rsid w:val="006E33D2"/>
    <w:rsid w:val="006E374B"/>
    <w:rsid w:val="006E3B50"/>
    <w:rsid w:val="006E44D3"/>
    <w:rsid w:val="006E4705"/>
    <w:rsid w:val="006E470D"/>
    <w:rsid w:val="006E49DF"/>
    <w:rsid w:val="006E4E81"/>
    <w:rsid w:val="006E5771"/>
    <w:rsid w:val="006E58CF"/>
    <w:rsid w:val="006E6241"/>
    <w:rsid w:val="006E645F"/>
    <w:rsid w:val="006E6F3D"/>
    <w:rsid w:val="006F020B"/>
    <w:rsid w:val="006F117D"/>
    <w:rsid w:val="006F1195"/>
    <w:rsid w:val="006F13F3"/>
    <w:rsid w:val="006F1DBD"/>
    <w:rsid w:val="006F1E00"/>
    <w:rsid w:val="006F2DA6"/>
    <w:rsid w:val="006F301F"/>
    <w:rsid w:val="006F3D30"/>
    <w:rsid w:val="006F5847"/>
    <w:rsid w:val="006F5B1A"/>
    <w:rsid w:val="006F5F76"/>
    <w:rsid w:val="006F6790"/>
    <w:rsid w:val="00700821"/>
    <w:rsid w:val="007010A7"/>
    <w:rsid w:val="007011D1"/>
    <w:rsid w:val="007011D8"/>
    <w:rsid w:val="00702723"/>
    <w:rsid w:val="0070303A"/>
    <w:rsid w:val="0070328F"/>
    <w:rsid w:val="00703F20"/>
    <w:rsid w:val="0070417B"/>
    <w:rsid w:val="00704346"/>
    <w:rsid w:val="00704464"/>
    <w:rsid w:val="00704527"/>
    <w:rsid w:val="0070522E"/>
    <w:rsid w:val="00705BD7"/>
    <w:rsid w:val="007061EC"/>
    <w:rsid w:val="00706461"/>
    <w:rsid w:val="007068C5"/>
    <w:rsid w:val="00706995"/>
    <w:rsid w:val="00706C3A"/>
    <w:rsid w:val="00706E1E"/>
    <w:rsid w:val="007071D4"/>
    <w:rsid w:val="00707C37"/>
    <w:rsid w:val="00710164"/>
    <w:rsid w:val="00710167"/>
    <w:rsid w:val="00710595"/>
    <w:rsid w:val="00710870"/>
    <w:rsid w:val="007110B3"/>
    <w:rsid w:val="00711425"/>
    <w:rsid w:val="00711B39"/>
    <w:rsid w:val="00711F11"/>
    <w:rsid w:val="00712020"/>
    <w:rsid w:val="00712026"/>
    <w:rsid w:val="007121C0"/>
    <w:rsid w:val="00712588"/>
    <w:rsid w:val="00712638"/>
    <w:rsid w:val="0071276A"/>
    <w:rsid w:val="00712B22"/>
    <w:rsid w:val="00712D93"/>
    <w:rsid w:val="007139BF"/>
    <w:rsid w:val="00713C11"/>
    <w:rsid w:val="007140C1"/>
    <w:rsid w:val="0071438B"/>
    <w:rsid w:val="00714A38"/>
    <w:rsid w:val="00714B10"/>
    <w:rsid w:val="00714B64"/>
    <w:rsid w:val="00714BA7"/>
    <w:rsid w:val="00714F03"/>
    <w:rsid w:val="007153D0"/>
    <w:rsid w:val="00715C06"/>
    <w:rsid w:val="00716D4E"/>
    <w:rsid w:val="0071717E"/>
    <w:rsid w:val="00717312"/>
    <w:rsid w:val="007176D1"/>
    <w:rsid w:val="00720A2C"/>
    <w:rsid w:val="00720B85"/>
    <w:rsid w:val="00720C22"/>
    <w:rsid w:val="00720C6E"/>
    <w:rsid w:val="00720E58"/>
    <w:rsid w:val="00720E79"/>
    <w:rsid w:val="00722BE6"/>
    <w:rsid w:val="00722CD9"/>
    <w:rsid w:val="00722EF9"/>
    <w:rsid w:val="007232F1"/>
    <w:rsid w:val="0072349D"/>
    <w:rsid w:val="00723F60"/>
    <w:rsid w:val="0072454A"/>
    <w:rsid w:val="007245B1"/>
    <w:rsid w:val="00724952"/>
    <w:rsid w:val="00724CD4"/>
    <w:rsid w:val="00725D1A"/>
    <w:rsid w:val="00725DF3"/>
    <w:rsid w:val="007263DF"/>
    <w:rsid w:val="00726B7D"/>
    <w:rsid w:val="00727285"/>
    <w:rsid w:val="00727380"/>
    <w:rsid w:val="00727D91"/>
    <w:rsid w:val="00727E44"/>
    <w:rsid w:val="00730152"/>
    <w:rsid w:val="007301B7"/>
    <w:rsid w:val="0073071A"/>
    <w:rsid w:val="00730DD2"/>
    <w:rsid w:val="007310E4"/>
    <w:rsid w:val="00731129"/>
    <w:rsid w:val="00732732"/>
    <w:rsid w:val="00733075"/>
    <w:rsid w:val="0073397C"/>
    <w:rsid w:val="00734051"/>
    <w:rsid w:val="00734519"/>
    <w:rsid w:val="0073458B"/>
    <w:rsid w:val="00734B84"/>
    <w:rsid w:val="00735EBF"/>
    <w:rsid w:val="007365ED"/>
    <w:rsid w:val="00736927"/>
    <w:rsid w:val="00737A4B"/>
    <w:rsid w:val="00740008"/>
    <w:rsid w:val="00741355"/>
    <w:rsid w:val="00741C56"/>
    <w:rsid w:val="00741C83"/>
    <w:rsid w:val="00741E9A"/>
    <w:rsid w:val="00742891"/>
    <w:rsid w:val="00742A70"/>
    <w:rsid w:val="00742B93"/>
    <w:rsid w:val="00742C3D"/>
    <w:rsid w:val="00742CD8"/>
    <w:rsid w:val="00742DAD"/>
    <w:rsid w:val="00743455"/>
    <w:rsid w:val="007435B8"/>
    <w:rsid w:val="007444AE"/>
    <w:rsid w:val="007447C6"/>
    <w:rsid w:val="007449FE"/>
    <w:rsid w:val="00744CEC"/>
    <w:rsid w:val="00745A05"/>
    <w:rsid w:val="00745F8E"/>
    <w:rsid w:val="00746564"/>
    <w:rsid w:val="00746721"/>
    <w:rsid w:val="00747741"/>
    <w:rsid w:val="007505F4"/>
    <w:rsid w:val="00750979"/>
    <w:rsid w:val="00751313"/>
    <w:rsid w:val="007514AA"/>
    <w:rsid w:val="00751760"/>
    <w:rsid w:val="007518C9"/>
    <w:rsid w:val="00751CD8"/>
    <w:rsid w:val="0075218A"/>
    <w:rsid w:val="00752238"/>
    <w:rsid w:val="00752DE0"/>
    <w:rsid w:val="00752E14"/>
    <w:rsid w:val="00753DA5"/>
    <w:rsid w:val="00754E53"/>
    <w:rsid w:val="0075502B"/>
    <w:rsid w:val="00755633"/>
    <w:rsid w:val="00755979"/>
    <w:rsid w:val="00755B6F"/>
    <w:rsid w:val="00756A17"/>
    <w:rsid w:val="00756B41"/>
    <w:rsid w:val="007576EC"/>
    <w:rsid w:val="00757957"/>
    <w:rsid w:val="00760978"/>
    <w:rsid w:val="00760D42"/>
    <w:rsid w:val="00761B5B"/>
    <w:rsid w:val="00761BBC"/>
    <w:rsid w:val="007623B0"/>
    <w:rsid w:val="00762A7D"/>
    <w:rsid w:val="00763B9E"/>
    <w:rsid w:val="00764588"/>
    <w:rsid w:val="007648FE"/>
    <w:rsid w:val="00764B39"/>
    <w:rsid w:val="007664EA"/>
    <w:rsid w:val="007667C4"/>
    <w:rsid w:val="00767062"/>
    <w:rsid w:val="007670FC"/>
    <w:rsid w:val="0076718D"/>
    <w:rsid w:val="00767282"/>
    <w:rsid w:val="007678B9"/>
    <w:rsid w:val="00767DDD"/>
    <w:rsid w:val="00767F7F"/>
    <w:rsid w:val="007703EA"/>
    <w:rsid w:val="00770C49"/>
    <w:rsid w:val="0077103B"/>
    <w:rsid w:val="0077130E"/>
    <w:rsid w:val="007713D7"/>
    <w:rsid w:val="00771BF6"/>
    <w:rsid w:val="0077249A"/>
    <w:rsid w:val="0077262C"/>
    <w:rsid w:val="00772A29"/>
    <w:rsid w:val="00772EFA"/>
    <w:rsid w:val="00773B3E"/>
    <w:rsid w:val="00773E65"/>
    <w:rsid w:val="007741B0"/>
    <w:rsid w:val="007745D3"/>
    <w:rsid w:val="007746DC"/>
    <w:rsid w:val="0077558B"/>
    <w:rsid w:val="007756E4"/>
    <w:rsid w:val="00776874"/>
    <w:rsid w:val="0077707E"/>
    <w:rsid w:val="0077726C"/>
    <w:rsid w:val="00777AAB"/>
    <w:rsid w:val="00780FF9"/>
    <w:rsid w:val="0078285C"/>
    <w:rsid w:val="00782B30"/>
    <w:rsid w:val="00783A36"/>
    <w:rsid w:val="007845D4"/>
    <w:rsid w:val="00784DF0"/>
    <w:rsid w:val="00785A38"/>
    <w:rsid w:val="00785C2A"/>
    <w:rsid w:val="0078627A"/>
    <w:rsid w:val="0078668F"/>
    <w:rsid w:val="0078700E"/>
    <w:rsid w:val="00787339"/>
    <w:rsid w:val="00787B59"/>
    <w:rsid w:val="007900A9"/>
    <w:rsid w:val="007910C3"/>
    <w:rsid w:val="007910DE"/>
    <w:rsid w:val="00791110"/>
    <w:rsid w:val="00791248"/>
    <w:rsid w:val="00791250"/>
    <w:rsid w:val="0079150D"/>
    <w:rsid w:val="00791DE1"/>
    <w:rsid w:val="00792265"/>
    <w:rsid w:val="00793181"/>
    <w:rsid w:val="007936BD"/>
    <w:rsid w:val="007936C1"/>
    <w:rsid w:val="007936DE"/>
    <w:rsid w:val="00793D45"/>
    <w:rsid w:val="00795E20"/>
    <w:rsid w:val="00796787"/>
    <w:rsid w:val="007975BD"/>
    <w:rsid w:val="00797B7E"/>
    <w:rsid w:val="007A02A6"/>
    <w:rsid w:val="007A05A2"/>
    <w:rsid w:val="007A10D6"/>
    <w:rsid w:val="007A12EE"/>
    <w:rsid w:val="007A138C"/>
    <w:rsid w:val="007A1834"/>
    <w:rsid w:val="007A1856"/>
    <w:rsid w:val="007A1E52"/>
    <w:rsid w:val="007A2813"/>
    <w:rsid w:val="007A2A4D"/>
    <w:rsid w:val="007A31B2"/>
    <w:rsid w:val="007A3629"/>
    <w:rsid w:val="007A385C"/>
    <w:rsid w:val="007A38F5"/>
    <w:rsid w:val="007A3D24"/>
    <w:rsid w:val="007A4860"/>
    <w:rsid w:val="007A4CAF"/>
    <w:rsid w:val="007A4F7B"/>
    <w:rsid w:val="007A61E4"/>
    <w:rsid w:val="007A704A"/>
    <w:rsid w:val="007A7242"/>
    <w:rsid w:val="007B12B0"/>
    <w:rsid w:val="007B1392"/>
    <w:rsid w:val="007B1785"/>
    <w:rsid w:val="007B215A"/>
    <w:rsid w:val="007B22DC"/>
    <w:rsid w:val="007B24F0"/>
    <w:rsid w:val="007B34DC"/>
    <w:rsid w:val="007B3A98"/>
    <w:rsid w:val="007B4008"/>
    <w:rsid w:val="007B49C4"/>
    <w:rsid w:val="007B4D74"/>
    <w:rsid w:val="007B4DC6"/>
    <w:rsid w:val="007B5132"/>
    <w:rsid w:val="007B69E8"/>
    <w:rsid w:val="007B6C17"/>
    <w:rsid w:val="007B743C"/>
    <w:rsid w:val="007C0165"/>
    <w:rsid w:val="007C048B"/>
    <w:rsid w:val="007C0508"/>
    <w:rsid w:val="007C057E"/>
    <w:rsid w:val="007C1541"/>
    <w:rsid w:val="007C19DF"/>
    <w:rsid w:val="007C25F8"/>
    <w:rsid w:val="007C4084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0F"/>
    <w:rsid w:val="007C58AB"/>
    <w:rsid w:val="007C5F6F"/>
    <w:rsid w:val="007C6148"/>
    <w:rsid w:val="007C6900"/>
    <w:rsid w:val="007C69A9"/>
    <w:rsid w:val="007C6C60"/>
    <w:rsid w:val="007C6D07"/>
    <w:rsid w:val="007C745C"/>
    <w:rsid w:val="007C7578"/>
    <w:rsid w:val="007C7E7C"/>
    <w:rsid w:val="007C7F4C"/>
    <w:rsid w:val="007D065E"/>
    <w:rsid w:val="007D0A94"/>
    <w:rsid w:val="007D0B22"/>
    <w:rsid w:val="007D0BD6"/>
    <w:rsid w:val="007D0D5B"/>
    <w:rsid w:val="007D143D"/>
    <w:rsid w:val="007D14AD"/>
    <w:rsid w:val="007D25B9"/>
    <w:rsid w:val="007D2BE8"/>
    <w:rsid w:val="007D3066"/>
    <w:rsid w:val="007D421B"/>
    <w:rsid w:val="007D4490"/>
    <w:rsid w:val="007D4579"/>
    <w:rsid w:val="007D4CA5"/>
    <w:rsid w:val="007D51EB"/>
    <w:rsid w:val="007D58BB"/>
    <w:rsid w:val="007D6835"/>
    <w:rsid w:val="007D6A93"/>
    <w:rsid w:val="007D7CDE"/>
    <w:rsid w:val="007D7DC7"/>
    <w:rsid w:val="007E01AF"/>
    <w:rsid w:val="007E0772"/>
    <w:rsid w:val="007E0D31"/>
    <w:rsid w:val="007E0E04"/>
    <w:rsid w:val="007E0EF9"/>
    <w:rsid w:val="007E21D9"/>
    <w:rsid w:val="007E2BDD"/>
    <w:rsid w:val="007E45CA"/>
    <w:rsid w:val="007E48C0"/>
    <w:rsid w:val="007E5159"/>
    <w:rsid w:val="007E5885"/>
    <w:rsid w:val="007E61B7"/>
    <w:rsid w:val="007E64FF"/>
    <w:rsid w:val="007E6F62"/>
    <w:rsid w:val="007E6FEA"/>
    <w:rsid w:val="007E7C7B"/>
    <w:rsid w:val="007E7E0F"/>
    <w:rsid w:val="007E7F8F"/>
    <w:rsid w:val="007F015E"/>
    <w:rsid w:val="007F0AE0"/>
    <w:rsid w:val="007F1160"/>
    <w:rsid w:val="007F21B0"/>
    <w:rsid w:val="007F2DE9"/>
    <w:rsid w:val="007F341B"/>
    <w:rsid w:val="007F3682"/>
    <w:rsid w:val="007F3697"/>
    <w:rsid w:val="007F3AA2"/>
    <w:rsid w:val="007F3B45"/>
    <w:rsid w:val="007F3D2E"/>
    <w:rsid w:val="007F3E3E"/>
    <w:rsid w:val="007F4A9E"/>
    <w:rsid w:val="007F4ABC"/>
    <w:rsid w:val="007F4BC7"/>
    <w:rsid w:val="007F4D45"/>
    <w:rsid w:val="007F510F"/>
    <w:rsid w:val="007F545B"/>
    <w:rsid w:val="007F59B2"/>
    <w:rsid w:val="007F6607"/>
    <w:rsid w:val="007F6D80"/>
    <w:rsid w:val="007F7865"/>
    <w:rsid w:val="007F7892"/>
    <w:rsid w:val="007F7FB3"/>
    <w:rsid w:val="0080026A"/>
    <w:rsid w:val="00800340"/>
    <w:rsid w:val="00800953"/>
    <w:rsid w:val="00801255"/>
    <w:rsid w:val="0080197B"/>
    <w:rsid w:val="00801B18"/>
    <w:rsid w:val="00801C1F"/>
    <w:rsid w:val="008021D3"/>
    <w:rsid w:val="00802849"/>
    <w:rsid w:val="00802971"/>
    <w:rsid w:val="008038E3"/>
    <w:rsid w:val="008038F6"/>
    <w:rsid w:val="00804558"/>
    <w:rsid w:val="008047AE"/>
    <w:rsid w:val="00804B21"/>
    <w:rsid w:val="00805483"/>
    <w:rsid w:val="0080585D"/>
    <w:rsid w:val="00806273"/>
    <w:rsid w:val="0080661F"/>
    <w:rsid w:val="00806EFD"/>
    <w:rsid w:val="00807074"/>
    <w:rsid w:val="00807E43"/>
    <w:rsid w:val="00807F69"/>
    <w:rsid w:val="00810368"/>
    <w:rsid w:val="008108B5"/>
    <w:rsid w:val="00810BE7"/>
    <w:rsid w:val="00811336"/>
    <w:rsid w:val="0081165D"/>
    <w:rsid w:val="00811B28"/>
    <w:rsid w:val="00812862"/>
    <w:rsid w:val="00812A7A"/>
    <w:rsid w:val="0081362B"/>
    <w:rsid w:val="0081450B"/>
    <w:rsid w:val="0081467F"/>
    <w:rsid w:val="00815339"/>
    <w:rsid w:val="008154F1"/>
    <w:rsid w:val="0081591F"/>
    <w:rsid w:val="00815A99"/>
    <w:rsid w:val="00815E5B"/>
    <w:rsid w:val="008160D1"/>
    <w:rsid w:val="008162B3"/>
    <w:rsid w:val="0081640D"/>
    <w:rsid w:val="0081687A"/>
    <w:rsid w:val="008169A1"/>
    <w:rsid w:val="00817DD7"/>
    <w:rsid w:val="00820160"/>
    <w:rsid w:val="0082022B"/>
    <w:rsid w:val="00820E0E"/>
    <w:rsid w:val="00821237"/>
    <w:rsid w:val="008216DA"/>
    <w:rsid w:val="008217C3"/>
    <w:rsid w:val="00821868"/>
    <w:rsid w:val="008219B8"/>
    <w:rsid w:val="00821ECA"/>
    <w:rsid w:val="00822414"/>
    <w:rsid w:val="00822AC6"/>
    <w:rsid w:val="00822CB9"/>
    <w:rsid w:val="00822E2C"/>
    <w:rsid w:val="00823116"/>
    <w:rsid w:val="0082350E"/>
    <w:rsid w:val="00823658"/>
    <w:rsid w:val="008239BF"/>
    <w:rsid w:val="00823A2B"/>
    <w:rsid w:val="00823B36"/>
    <w:rsid w:val="00824886"/>
    <w:rsid w:val="0082488C"/>
    <w:rsid w:val="008251E7"/>
    <w:rsid w:val="00825417"/>
    <w:rsid w:val="008262BC"/>
    <w:rsid w:val="008266A2"/>
    <w:rsid w:val="008267AE"/>
    <w:rsid w:val="00826CF5"/>
    <w:rsid w:val="00826EBE"/>
    <w:rsid w:val="008276DF"/>
    <w:rsid w:val="00830B33"/>
    <w:rsid w:val="0083118A"/>
    <w:rsid w:val="00831784"/>
    <w:rsid w:val="00832727"/>
    <w:rsid w:val="00832D4F"/>
    <w:rsid w:val="008337C1"/>
    <w:rsid w:val="00834F23"/>
    <w:rsid w:val="008353B6"/>
    <w:rsid w:val="008360CB"/>
    <w:rsid w:val="00836A67"/>
    <w:rsid w:val="00836CEB"/>
    <w:rsid w:val="00840EAF"/>
    <w:rsid w:val="008416BF"/>
    <w:rsid w:val="008416FD"/>
    <w:rsid w:val="0084188F"/>
    <w:rsid w:val="00842659"/>
    <w:rsid w:val="0084293A"/>
    <w:rsid w:val="0084354C"/>
    <w:rsid w:val="0084375D"/>
    <w:rsid w:val="0084416F"/>
    <w:rsid w:val="00844462"/>
    <w:rsid w:val="008449FE"/>
    <w:rsid w:val="00845515"/>
    <w:rsid w:val="00845520"/>
    <w:rsid w:val="0084559F"/>
    <w:rsid w:val="00845B67"/>
    <w:rsid w:val="00845FC4"/>
    <w:rsid w:val="008461B0"/>
    <w:rsid w:val="008467E9"/>
    <w:rsid w:val="00846C9F"/>
    <w:rsid w:val="00846D16"/>
    <w:rsid w:val="00846F4C"/>
    <w:rsid w:val="0084761D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04"/>
    <w:rsid w:val="008528CF"/>
    <w:rsid w:val="00852FFB"/>
    <w:rsid w:val="00853510"/>
    <w:rsid w:val="00853E52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FC"/>
    <w:rsid w:val="00855F74"/>
    <w:rsid w:val="00855FD5"/>
    <w:rsid w:val="00856049"/>
    <w:rsid w:val="0085632A"/>
    <w:rsid w:val="008568BB"/>
    <w:rsid w:val="00856E96"/>
    <w:rsid w:val="00857822"/>
    <w:rsid w:val="00857C93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160"/>
    <w:rsid w:val="008638FB"/>
    <w:rsid w:val="0086444C"/>
    <w:rsid w:val="008644B1"/>
    <w:rsid w:val="00864768"/>
    <w:rsid w:val="008658AB"/>
    <w:rsid w:val="00865B18"/>
    <w:rsid w:val="0086672E"/>
    <w:rsid w:val="00866CF2"/>
    <w:rsid w:val="008675EC"/>
    <w:rsid w:val="008679CE"/>
    <w:rsid w:val="00867DA7"/>
    <w:rsid w:val="008705A8"/>
    <w:rsid w:val="008718FC"/>
    <w:rsid w:val="00871CC2"/>
    <w:rsid w:val="00871F4F"/>
    <w:rsid w:val="0087200D"/>
    <w:rsid w:val="00872131"/>
    <w:rsid w:val="008723B8"/>
    <w:rsid w:val="008725F5"/>
    <w:rsid w:val="00872FD7"/>
    <w:rsid w:val="00873147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F4F"/>
    <w:rsid w:val="008762D8"/>
    <w:rsid w:val="008772D9"/>
    <w:rsid w:val="00877B29"/>
    <w:rsid w:val="008808B9"/>
    <w:rsid w:val="00880B30"/>
    <w:rsid w:val="00880F1D"/>
    <w:rsid w:val="008811DA"/>
    <w:rsid w:val="00881521"/>
    <w:rsid w:val="0088172A"/>
    <w:rsid w:val="0088173A"/>
    <w:rsid w:val="00881F90"/>
    <w:rsid w:val="008851AB"/>
    <w:rsid w:val="008851C4"/>
    <w:rsid w:val="00885696"/>
    <w:rsid w:val="0088570A"/>
    <w:rsid w:val="00885E9D"/>
    <w:rsid w:val="0088636E"/>
    <w:rsid w:val="008864A7"/>
    <w:rsid w:val="0088666A"/>
    <w:rsid w:val="0088688A"/>
    <w:rsid w:val="00886A33"/>
    <w:rsid w:val="00886A9E"/>
    <w:rsid w:val="00886DC9"/>
    <w:rsid w:val="00886EC7"/>
    <w:rsid w:val="00887184"/>
    <w:rsid w:val="008879EA"/>
    <w:rsid w:val="00890139"/>
    <w:rsid w:val="0089160E"/>
    <w:rsid w:val="008921B1"/>
    <w:rsid w:val="00892687"/>
    <w:rsid w:val="00893386"/>
    <w:rsid w:val="0089363C"/>
    <w:rsid w:val="00893657"/>
    <w:rsid w:val="00893671"/>
    <w:rsid w:val="008941FB"/>
    <w:rsid w:val="00894565"/>
    <w:rsid w:val="008950D6"/>
    <w:rsid w:val="00895868"/>
    <w:rsid w:val="00895B46"/>
    <w:rsid w:val="00896474"/>
    <w:rsid w:val="00896DBC"/>
    <w:rsid w:val="0089739D"/>
    <w:rsid w:val="0089788F"/>
    <w:rsid w:val="00897B59"/>
    <w:rsid w:val="00897C6C"/>
    <w:rsid w:val="00897D1A"/>
    <w:rsid w:val="008A06E3"/>
    <w:rsid w:val="008A0905"/>
    <w:rsid w:val="008A0B02"/>
    <w:rsid w:val="008A0E0D"/>
    <w:rsid w:val="008A11C4"/>
    <w:rsid w:val="008A155C"/>
    <w:rsid w:val="008A180E"/>
    <w:rsid w:val="008A197C"/>
    <w:rsid w:val="008A2545"/>
    <w:rsid w:val="008A2636"/>
    <w:rsid w:val="008A2EFB"/>
    <w:rsid w:val="008A35DB"/>
    <w:rsid w:val="008A39F6"/>
    <w:rsid w:val="008A3AF9"/>
    <w:rsid w:val="008A3BD4"/>
    <w:rsid w:val="008A3CC5"/>
    <w:rsid w:val="008A3FBE"/>
    <w:rsid w:val="008A4013"/>
    <w:rsid w:val="008A4C9C"/>
    <w:rsid w:val="008A5C0E"/>
    <w:rsid w:val="008A6041"/>
    <w:rsid w:val="008A60F8"/>
    <w:rsid w:val="008A69FE"/>
    <w:rsid w:val="008A6EC7"/>
    <w:rsid w:val="008A6F36"/>
    <w:rsid w:val="008A7286"/>
    <w:rsid w:val="008A7B50"/>
    <w:rsid w:val="008B0641"/>
    <w:rsid w:val="008B0EB7"/>
    <w:rsid w:val="008B1133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4CB"/>
    <w:rsid w:val="008B46D2"/>
    <w:rsid w:val="008B492E"/>
    <w:rsid w:val="008B5253"/>
    <w:rsid w:val="008B53D8"/>
    <w:rsid w:val="008B5E8A"/>
    <w:rsid w:val="008B63BE"/>
    <w:rsid w:val="008B640E"/>
    <w:rsid w:val="008B6505"/>
    <w:rsid w:val="008B688D"/>
    <w:rsid w:val="008B6D48"/>
    <w:rsid w:val="008B70EE"/>
    <w:rsid w:val="008B715C"/>
    <w:rsid w:val="008B75B8"/>
    <w:rsid w:val="008B7B1F"/>
    <w:rsid w:val="008C0EAD"/>
    <w:rsid w:val="008C1442"/>
    <w:rsid w:val="008C1693"/>
    <w:rsid w:val="008C19D9"/>
    <w:rsid w:val="008C1A5E"/>
    <w:rsid w:val="008C1A81"/>
    <w:rsid w:val="008C268C"/>
    <w:rsid w:val="008C29FE"/>
    <w:rsid w:val="008C32CA"/>
    <w:rsid w:val="008C3967"/>
    <w:rsid w:val="008C431E"/>
    <w:rsid w:val="008C50D0"/>
    <w:rsid w:val="008C54BD"/>
    <w:rsid w:val="008C54C4"/>
    <w:rsid w:val="008C5A02"/>
    <w:rsid w:val="008C6056"/>
    <w:rsid w:val="008C6628"/>
    <w:rsid w:val="008C69C9"/>
    <w:rsid w:val="008C6E38"/>
    <w:rsid w:val="008C6F75"/>
    <w:rsid w:val="008C7B5F"/>
    <w:rsid w:val="008C7C18"/>
    <w:rsid w:val="008C7CC4"/>
    <w:rsid w:val="008D047D"/>
    <w:rsid w:val="008D0837"/>
    <w:rsid w:val="008D0B4C"/>
    <w:rsid w:val="008D0FB8"/>
    <w:rsid w:val="008D14C4"/>
    <w:rsid w:val="008D1964"/>
    <w:rsid w:val="008D221A"/>
    <w:rsid w:val="008D24D6"/>
    <w:rsid w:val="008D24E1"/>
    <w:rsid w:val="008D3E6A"/>
    <w:rsid w:val="008D53E2"/>
    <w:rsid w:val="008D5908"/>
    <w:rsid w:val="008D5AF1"/>
    <w:rsid w:val="008D5D4E"/>
    <w:rsid w:val="008D68CA"/>
    <w:rsid w:val="008D6A6E"/>
    <w:rsid w:val="008D781F"/>
    <w:rsid w:val="008D7DBE"/>
    <w:rsid w:val="008E02B7"/>
    <w:rsid w:val="008E20BE"/>
    <w:rsid w:val="008E241B"/>
    <w:rsid w:val="008E3096"/>
    <w:rsid w:val="008E330C"/>
    <w:rsid w:val="008E332F"/>
    <w:rsid w:val="008E4114"/>
    <w:rsid w:val="008E45EA"/>
    <w:rsid w:val="008E4A1A"/>
    <w:rsid w:val="008E5084"/>
    <w:rsid w:val="008E5E01"/>
    <w:rsid w:val="008E69A3"/>
    <w:rsid w:val="008E7B3D"/>
    <w:rsid w:val="008E7CC9"/>
    <w:rsid w:val="008F02A1"/>
    <w:rsid w:val="008F0E69"/>
    <w:rsid w:val="008F12FF"/>
    <w:rsid w:val="008F1BEF"/>
    <w:rsid w:val="008F370C"/>
    <w:rsid w:val="008F3D3E"/>
    <w:rsid w:val="008F3F31"/>
    <w:rsid w:val="008F4655"/>
    <w:rsid w:val="008F4779"/>
    <w:rsid w:val="008F542B"/>
    <w:rsid w:val="008F5670"/>
    <w:rsid w:val="008F599F"/>
    <w:rsid w:val="008F63DF"/>
    <w:rsid w:val="008F64E5"/>
    <w:rsid w:val="008F677E"/>
    <w:rsid w:val="008F72E7"/>
    <w:rsid w:val="008F7C28"/>
    <w:rsid w:val="0090034D"/>
    <w:rsid w:val="00900EC7"/>
    <w:rsid w:val="00900FFC"/>
    <w:rsid w:val="009011F9"/>
    <w:rsid w:val="00901244"/>
    <w:rsid w:val="009018CF"/>
    <w:rsid w:val="00901979"/>
    <w:rsid w:val="00902357"/>
    <w:rsid w:val="0090242A"/>
    <w:rsid w:val="00902C85"/>
    <w:rsid w:val="009030F7"/>
    <w:rsid w:val="009034D9"/>
    <w:rsid w:val="009046C9"/>
    <w:rsid w:val="009046F1"/>
    <w:rsid w:val="00904883"/>
    <w:rsid w:val="00904B0A"/>
    <w:rsid w:val="00904F84"/>
    <w:rsid w:val="009055DD"/>
    <w:rsid w:val="0090616A"/>
    <w:rsid w:val="00906527"/>
    <w:rsid w:val="00906BD9"/>
    <w:rsid w:val="00906EA0"/>
    <w:rsid w:val="00907F4C"/>
    <w:rsid w:val="0091006A"/>
    <w:rsid w:val="00910B57"/>
    <w:rsid w:val="0091148A"/>
    <w:rsid w:val="00912347"/>
    <w:rsid w:val="0091243E"/>
    <w:rsid w:val="0091268D"/>
    <w:rsid w:val="009129C1"/>
    <w:rsid w:val="00913B74"/>
    <w:rsid w:val="00913EBB"/>
    <w:rsid w:val="009141BB"/>
    <w:rsid w:val="00914B55"/>
    <w:rsid w:val="00914DC4"/>
    <w:rsid w:val="00915329"/>
    <w:rsid w:val="0091588C"/>
    <w:rsid w:val="00915DB5"/>
    <w:rsid w:val="00915DF4"/>
    <w:rsid w:val="00916068"/>
    <w:rsid w:val="009164B1"/>
    <w:rsid w:val="009166CE"/>
    <w:rsid w:val="00916BF5"/>
    <w:rsid w:val="00916CCB"/>
    <w:rsid w:val="00917DB8"/>
    <w:rsid w:val="00917E84"/>
    <w:rsid w:val="00920EC8"/>
    <w:rsid w:val="00921102"/>
    <w:rsid w:val="00921305"/>
    <w:rsid w:val="00921783"/>
    <w:rsid w:val="009217D9"/>
    <w:rsid w:val="00921AC8"/>
    <w:rsid w:val="0092206F"/>
    <w:rsid w:val="0092228D"/>
    <w:rsid w:val="00922482"/>
    <w:rsid w:val="0092284F"/>
    <w:rsid w:val="00922A2B"/>
    <w:rsid w:val="00923DC1"/>
    <w:rsid w:val="009248F9"/>
    <w:rsid w:val="00924A6C"/>
    <w:rsid w:val="00924ED4"/>
    <w:rsid w:val="00924F63"/>
    <w:rsid w:val="0092615A"/>
    <w:rsid w:val="009271AB"/>
    <w:rsid w:val="00927281"/>
    <w:rsid w:val="009273B8"/>
    <w:rsid w:val="00927A20"/>
    <w:rsid w:val="00930298"/>
    <w:rsid w:val="009302A6"/>
    <w:rsid w:val="0093101B"/>
    <w:rsid w:val="00931325"/>
    <w:rsid w:val="009319DC"/>
    <w:rsid w:val="00931AAD"/>
    <w:rsid w:val="00931E6D"/>
    <w:rsid w:val="009327E0"/>
    <w:rsid w:val="00932D04"/>
    <w:rsid w:val="00932E9E"/>
    <w:rsid w:val="00933B8A"/>
    <w:rsid w:val="00934141"/>
    <w:rsid w:val="009341AA"/>
    <w:rsid w:val="0093429A"/>
    <w:rsid w:val="009352D3"/>
    <w:rsid w:val="00935563"/>
    <w:rsid w:val="009355BB"/>
    <w:rsid w:val="00935789"/>
    <w:rsid w:val="009359C5"/>
    <w:rsid w:val="00935CFA"/>
    <w:rsid w:val="009361E8"/>
    <w:rsid w:val="00936247"/>
    <w:rsid w:val="00936501"/>
    <w:rsid w:val="009366AD"/>
    <w:rsid w:val="009377A1"/>
    <w:rsid w:val="00940850"/>
    <w:rsid w:val="00940B1D"/>
    <w:rsid w:val="0094243B"/>
    <w:rsid w:val="009425EB"/>
    <w:rsid w:val="009428A4"/>
    <w:rsid w:val="00943157"/>
    <w:rsid w:val="0094368C"/>
    <w:rsid w:val="00943893"/>
    <w:rsid w:val="009440E7"/>
    <w:rsid w:val="00944312"/>
    <w:rsid w:val="009443DC"/>
    <w:rsid w:val="00944AE2"/>
    <w:rsid w:val="0094526B"/>
    <w:rsid w:val="00945488"/>
    <w:rsid w:val="009456EB"/>
    <w:rsid w:val="00945E7E"/>
    <w:rsid w:val="00945E8F"/>
    <w:rsid w:val="009462EC"/>
    <w:rsid w:val="009463FD"/>
    <w:rsid w:val="009467FD"/>
    <w:rsid w:val="00946D2E"/>
    <w:rsid w:val="00946E64"/>
    <w:rsid w:val="009472F6"/>
    <w:rsid w:val="0094783F"/>
    <w:rsid w:val="00950365"/>
    <w:rsid w:val="00950B18"/>
    <w:rsid w:val="00950C55"/>
    <w:rsid w:val="00950CB3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67"/>
    <w:rsid w:val="00955504"/>
    <w:rsid w:val="009555E8"/>
    <w:rsid w:val="00955AA9"/>
    <w:rsid w:val="00955AB2"/>
    <w:rsid w:val="00955E60"/>
    <w:rsid w:val="00955EC8"/>
    <w:rsid w:val="0095617B"/>
    <w:rsid w:val="009565D5"/>
    <w:rsid w:val="0095699A"/>
    <w:rsid w:val="00956B34"/>
    <w:rsid w:val="0095702D"/>
    <w:rsid w:val="009571A6"/>
    <w:rsid w:val="0095752A"/>
    <w:rsid w:val="009577C1"/>
    <w:rsid w:val="00957E29"/>
    <w:rsid w:val="009602BA"/>
    <w:rsid w:val="009607B1"/>
    <w:rsid w:val="00960FA3"/>
    <w:rsid w:val="009615D7"/>
    <w:rsid w:val="00961CAF"/>
    <w:rsid w:val="00962CB0"/>
    <w:rsid w:val="00962D17"/>
    <w:rsid w:val="00963D17"/>
    <w:rsid w:val="00963D45"/>
    <w:rsid w:val="009640B5"/>
    <w:rsid w:val="00964459"/>
    <w:rsid w:val="009657D5"/>
    <w:rsid w:val="00965F9F"/>
    <w:rsid w:val="00966141"/>
    <w:rsid w:val="009662EC"/>
    <w:rsid w:val="00966611"/>
    <w:rsid w:val="00966886"/>
    <w:rsid w:val="009669CC"/>
    <w:rsid w:val="00967655"/>
    <w:rsid w:val="0097090D"/>
    <w:rsid w:val="00970E13"/>
    <w:rsid w:val="00970F12"/>
    <w:rsid w:val="009710BF"/>
    <w:rsid w:val="00971874"/>
    <w:rsid w:val="00971F83"/>
    <w:rsid w:val="00972061"/>
    <w:rsid w:val="0097245C"/>
    <w:rsid w:val="009725FE"/>
    <w:rsid w:val="0097282B"/>
    <w:rsid w:val="00972DAC"/>
    <w:rsid w:val="00972DB7"/>
    <w:rsid w:val="00973A35"/>
    <w:rsid w:val="00974A1E"/>
    <w:rsid w:val="00975221"/>
    <w:rsid w:val="0097559A"/>
    <w:rsid w:val="00975D48"/>
    <w:rsid w:val="00975E39"/>
    <w:rsid w:val="00976546"/>
    <w:rsid w:val="00976FCF"/>
    <w:rsid w:val="00977809"/>
    <w:rsid w:val="009802F9"/>
    <w:rsid w:val="00980BAC"/>
    <w:rsid w:val="00980DF0"/>
    <w:rsid w:val="00980F3F"/>
    <w:rsid w:val="00981D1C"/>
    <w:rsid w:val="00982214"/>
    <w:rsid w:val="009823D4"/>
    <w:rsid w:val="00982474"/>
    <w:rsid w:val="00983285"/>
    <w:rsid w:val="0098397B"/>
    <w:rsid w:val="00984275"/>
    <w:rsid w:val="0098436A"/>
    <w:rsid w:val="00984672"/>
    <w:rsid w:val="00984F97"/>
    <w:rsid w:val="0098569D"/>
    <w:rsid w:val="00985A09"/>
    <w:rsid w:val="00986277"/>
    <w:rsid w:val="009866A3"/>
    <w:rsid w:val="0098693D"/>
    <w:rsid w:val="0099003F"/>
    <w:rsid w:val="0099016D"/>
    <w:rsid w:val="00990343"/>
    <w:rsid w:val="009905E1"/>
    <w:rsid w:val="0099064C"/>
    <w:rsid w:val="0099078A"/>
    <w:rsid w:val="0099097F"/>
    <w:rsid w:val="00992097"/>
    <w:rsid w:val="0099282E"/>
    <w:rsid w:val="00992869"/>
    <w:rsid w:val="00992914"/>
    <w:rsid w:val="00992C47"/>
    <w:rsid w:val="00993776"/>
    <w:rsid w:val="00993832"/>
    <w:rsid w:val="00993F15"/>
    <w:rsid w:val="009944B9"/>
    <w:rsid w:val="009947D5"/>
    <w:rsid w:val="00994B69"/>
    <w:rsid w:val="00994E90"/>
    <w:rsid w:val="0099551B"/>
    <w:rsid w:val="009955E2"/>
    <w:rsid w:val="00995629"/>
    <w:rsid w:val="009959A5"/>
    <w:rsid w:val="00995B66"/>
    <w:rsid w:val="00995C16"/>
    <w:rsid w:val="0099625A"/>
    <w:rsid w:val="009965BC"/>
    <w:rsid w:val="0099662E"/>
    <w:rsid w:val="00997258"/>
    <w:rsid w:val="00997C19"/>
    <w:rsid w:val="009A0415"/>
    <w:rsid w:val="009A04CD"/>
    <w:rsid w:val="009A177E"/>
    <w:rsid w:val="009A1AE9"/>
    <w:rsid w:val="009A22E6"/>
    <w:rsid w:val="009A2486"/>
    <w:rsid w:val="009A2690"/>
    <w:rsid w:val="009A277E"/>
    <w:rsid w:val="009A3307"/>
    <w:rsid w:val="009A3520"/>
    <w:rsid w:val="009A3547"/>
    <w:rsid w:val="009A39FF"/>
    <w:rsid w:val="009A3CB5"/>
    <w:rsid w:val="009A3EAF"/>
    <w:rsid w:val="009A3F33"/>
    <w:rsid w:val="009A40AF"/>
    <w:rsid w:val="009A5501"/>
    <w:rsid w:val="009A5AE0"/>
    <w:rsid w:val="009A6621"/>
    <w:rsid w:val="009A69B9"/>
    <w:rsid w:val="009A6AEA"/>
    <w:rsid w:val="009A6CC5"/>
    <w:rsid w:val="009B1F3A"/>
    <w:rsid w:val="009B2766"/>
    <w:rsid w:val="009B2A53"/>
    <w:rsid w:val="009B32F0"/>
    <w:rsid w:val="009B3EB4"/>
    <w:rsid w:val="009B3F21"/>
    <w:rsid w:val="009B42BE"/>
    <w:rsid w:val="009B5973"/>
    <w:rsid w:val="009B5B48"/>
    <w:rsid w:val="009B62E6"/>
    <w:rsid w:val="009B67C4"/>
    <w:rsid w:val="009B6A3F"/>
    <w:rsid w:val="009B6C5A"/>
    <w:rsid w:val="009B71E1"/>
    <w:rsid w:val="009C0448"/>
    <w:rsid w:val="009C0615"/>
    <w:rsid w:val="009C0CF8"/>
    <w:rsid w:val="009C125A"/>
    <w:rsid w:val="009C1EB2"/>
    <w:rsid w:val="009C2675"/>
    <w:rsid w:val="009C2839"/>
    <w:rsid w:val="009C2A3D"/>
    <w:rsid w:val="009C2DC4"/>
    <w:rsid w:val="009C3042"/>
    <w:rsid w:val="009C386A"/>
    <w:rsid w:val="009C3E9C"/>
    <w:rsid w:val="009C4A32"/>
    <w:rsid w:val="009C5099"/>
    <w:rsid w:val="009C63AB"/>
    <w:rsid w:val="009C69D0"/>
    <w:rsid w:val="009C69F4"/>
    <w:rsid w:val="009C6E3A"/>
    <w:rsid w:val="009C7163"/>
    <w:rsid w:val="009C77A3"/>
    <w:rsid w:val="009D1082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DF7"/>
    <w:rsid w:val="009D3EDD"/>
    <w:rsid w:val="009D48BA"/>
    <w:rsid w:val="009D4B7E"/>
    <w:rsid w:val="009D4D48"/>
    <w:rsid w:val="009D4DC6"/>
    <w:rsid w:val="009D4EF0"/>
    <w:rsid w:val="009D5106"/>
    <w:rsid w:val="009D5535"/>
    <w:rsid w:val="009D66B9"/>
    <w:rsid w:val="009D6B77"/>
    <w:rsid w:val="009D6CE1"/>
    <w:rsid w:val="009D7FF1"/>
    <w:rsid w:val="009E14B2"/>
    <w:rsid w:val="009E1D15"/>
    <w:rsid w:val="009E1DFA"/>
    <w:rsid w:val="009E23ED"/>
    <w:rsid w:val="009E26BC"/>
    <w:rsid w:val="009E322C"/>
    <w:rsid w:val="009E3352"/>
    <w:rsid w:val="009E3479"/>
    <w:rsid w:val="009E387D"/>
    <w:rsid w:val="009E453D"/>
    <w:rsid w:val="009E5013"/>
    <w:rsid w:val="009E56B0"/>
    <w:rsid w:val="009E5917"/>
    <w:rsid w:val="009E6223"/>
    <w:rsid w:val="009E725F"/>
    <w:rsid w:val="009E79CF"/>
    <w:rsid w:val="009E7F2E"/>
    <w:rsid w:val="009F0031"/>
    <w:rsid w:val="009F009C"/>
    <w:rsid w:val="009F0345"/>
    <w:rsid w:val="009F04F2"/>
    <w:rsid w:val="009F0A8F"/>
    <w:rsid w:val="009F1B41"/>
    <w:rsid w:val="009F231C"/>
    <w:rsid w:val="009F2512"/>
    <w:rsid w:val="009F2C7D"/>
    <w:rsid w:val="009F40CE"/>
    <w:rsid w:val="009F4CDA"/>
    <w:rsid w:val="009F59BF"/>
    <w:rsid w:val="009F5F68"/>
    <w:rsid w:val="009F776E"/>
    <w:rsid w:val="00A00F42"/>
    <w:rsid w:val="00A01279"/>
    <w:rsid w:val="00A01519"/>
    <w:rsid w:val="00A0195A"/>
    <w:rsid w:val="00A01990"/>
    <w:rsid w:val="00A021DB"/>
    <w:rsid w:val="00A02D3C"/>
    <w:rsid w:val="00A032EA"/>
    <w:rsid w:val="00A0408F"/>
    <w:rsid w:val="00A04E68"/>
    <w:rsid w:val="00A050D4"/>
    <w:rsid w:val="00A05975"/>
    <w:rsid w:val="00A05EAA"/>
    <w:rsid w:val="00A0608D"/>
    <w:rsid w:val="00A060BE"/>
    <w:rsid w:val="00A0695E"/>
    <w:rsid w:val="00A06F4E"/>
    <w:rsid w:val="00A07D26"/>
    <w:rsid w:val="00A1036E"/>
    <w:rsid w:val="00A104A1"/>
    <w:rsid w:val="00A10D80"/>
    <w:rsid w:val="00A10FC7"/>
    <w:rsid w:val="00A11313"/>
    <w:rsid w:val="00A11671"/>
    <w:rsid w:val="00A1187C"/>
    <w:rsid w:val="00A12CCC"/>
    <w:rsid w:val="00A12D1A"/>
    <w:rsid w:val="00A12E07"/>
    <w:rsid w:val="00A12F3D"/>
    <w:rsid w:val="00A13A4E"/>
    <w:rsid w:val="00A15566"/>
    <w:rsid w:val="00A15B2D"/>
    <w:rsid w:val="00A163CD"/>
    <w:rsid w:val="00A16778"/>
    <w:rsid w:val="00A16B57"/>
    <w:rsid w:val="00A20224"/>
    <w:rsid w:val="00A2081A"/>
    <w:rsid w:val="00A21424"/>
    <w:rsid w:val="00A21997"/>
    <w:rsid w:val="00A23A98"/>
    <w:rsid w:val="00A24217"/>
    <w:rsid w:val="00A242B6"/>
    <w:rsid w:val="00A244E9"/>
    <w:rsid w:val="00A24530"/>
    <w:rsid w:val="00A24622"/>
    <w:rsid w:val="00A246A3"/>
    <w:rsid w:val="00A24FF0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A17"/>
    <w:rsid w:val="00A27B57"/>
    <w:rsid w:val="00A27BF2"/>
    <w:rsid w:val="00A300D5"/>
    <w:rsid w:val="00A313B3"/>
    <w:rsid w:val="00A318AC"/>
    <w:rsid w:val="00A31D00"/>
    <w:rsid w:val="00A32051"/>
    <w:rsid w:val="00A32AE0"/>
    <w:rsid w:val="00A32B77"/>
    <w:rsid w:val="00A32BB4"/>
    <w:rsid w:val="00A33CCF"/>
    <w:rsid w:val="00A356DB"/>
    <w:rsid w:val="00A35D65"/>
    <w:rsid w:val="00A36CF6"/>
    <w:rsid w:val="00A36EC5"/>
    <w:rsid w:val="00A37EDA"/>
    <w:rsid w:val="00A4035D"/>
    <w:rsid w:val="00A413A3"/>
    <w:rsid w:val="00A41CE4"/>
    <w:rsid w:val="00A4254C"/>
    <w:rsid w:val="00A43270"/>
    <w:rsid w:val="00A4539E"/>
    <w:rsid w:val="00A46080"/>
    <w:rsid w:val="00A461CB"/>
    <w:rsid w:val="00A46C6C"/>
    <w:rsid w:val="00A46EB1"/>
    <w:rsid w:val="00A46F37"/>
    <w:rsid w:val="00A47A54"/>
    <w:rsid w:val="00A47C59"/>
    <w:rsid w:val="00A50FEC"/>
    <w:rsid w:val="00A51326"/>
    <w:rsid w:val="00A51FC3"/>
    <w:rsid w:val="00A532FC"/>
    <w:rsid w:val="00A53624"/>
    <w:rsid w:val="00A54F72"/>
    <w:rsid w:val="00A55649"/>
    <w:rsid w:val="00A565B6"/>
    <w:rsid w:val="00A567E2"/>
    <w:rsid w:val="00A56806"/>
    <w:rsid w:val="00A57F15"/>
    <w:rsid w:val="00A60066"/>
    <w:rsid w:val="00A60179"/>
    <w:rsid w:val="00A60EE6"/>
    <w:rsid w:val="00A61782"/>
    <w:rsid w:val="00A61FDA"/>
    <w:rsid w:val="00A62B8D"/>
    <w:rsid w:val="00A62B94"/>
    <w:rsid w:val="00A63850"/>
    <w:rsid w:val="00A63C29"/>
    <w:rsid w:val="00A64787"/>
    <w:rsid w:val="00A648E9"/>
    <w:rsid w:val="00A6654A"/>
    <w:rsid w:val="00A66C0D"/>
    <w:rsid w:val="00A6764D"/>
    <w:rsid w:val="00A67934"/>
    <w:rsid w:val="00A67D4A"/>
    <w:rsid w:val="00A67DE5"/>
    <w:rsid w:val="00A703AE"/>
    <w:rsid w:val="00A70415"/>
    <w:rsid w:val="00A709AE"/>
    <w:rsid w:val="00A70DCB"/>
    <w:rsid w:val="00A70E5B"/>
    <w:rsid w:val="00A71FD1"/>
    <w:rsid w:val="00A720C2"/>
    <w:rsid w:val="00A7248F"/>
    <w:rsid w:val="00A72733"/>
    <w:rsid w:val="00A72BC8"/>
    <w:rsid w:val="00A72C04"/>
    <w:rsid w:val="00A72FE2"/>
    <w:rsid w:val="00A73341"/>
    <w:rsid w:val="00A748ED"/>
    <w:rsid w:val="00A75386"/>
    <w:rsid w:val="00A7593A"/>
    <w:rsid w:val="00A7597F"/>
    <w:rsid w:val="00A75B45"/>
    <w:rsid w:val="00A75D3F"/>
    <w:rsid w:val="00A760C0"/>
    <w:rsid w:val="00A768C8"/>
    <w:rsid w:val="00A76C21"/>
    <w:rsid w:val="00A77727"/>
    <w:rsid w:val="00A77A46"/>
    <w:rsid w:val="00A8226A"/>
    <w:rsid w:val="00A82941"/>
    <w:rsid w:val="00A82D0D"/>
    <w:rsid w:val="00A834D6"/>
    <w:rsid w:val="00A83DBC"/>
    <w:rsid w:val="00A84746"/>
    <w:rsid w:val="00A847AE"/>
    <w:rsid w:val="00A84D2C"/>
    <w:rsid w:val="00A85084"/>
    <w:rsid w:val="00A855FE"/>
    <w:rsid w:val="00A85836"/>
    <w:rsid w:val="00A85E79"/>
    <w:rsid w:val="00A85F29"/>
    <w:rsid w:val="00A8613B"/>
    <w:rsid w:val="00A86203"/>
    <w:rsid w:val="00A86287"/>
    <w:rsid w:val="00A86D62"/>
    <w:rsid w:val="00A87982"/>
    <w:rsid w:val="00A87C2F"/>
    <w:rsid w:val="00A904F2"/>
    <w:rsid w:val="00A90A9D"/>
    <w:rsid w:val="00A911A0"/>
    <w:rsid w:val="00A91363"/>
    <w:rsid w:val="00A91450"/>
    <w:rsid w:val="00A91B63"/>
    <w:rsid w:val="00A920B1"/>
    <w:rsid w:val="00A92564"/>
    <w:rsid w:val="00A92DB9"/>
    <w:rsid w:val="00A92F52"/>
    <w:rsid w:val="00A93738"/>
    <w:rsid w:val="00A94084"/>
    <w:rsid w:val="00A9446E"/>
    <w:rsid w:val="00A96852"/>
    <w:rsid w:val="00A96C21"/>
    <w:rsid w:val="00A9791D"/>
    <w:rsid w:val="00A97D4A"/>
    <w:rsid w:val="00A97DB8"/>
    <w:rsid w:val="00AA0209"/>
    <w:rsid w:val="00AA03A6"/>
    <w:rsid w:val="00AA1128"/>
    <w:rsid w:val="00AA1A7C"/>
    <w:rsid w:val="00AA1ADA"/>
    <w:rsid w:val="00AA1D69"/>
    <w:rsid w:val="00AA20B3"/>
    <w:rsid w:val="00AA2A7D"/>
    <w:rsid w:val="00AA2A95"/>
    <w:rsid w:val="00AA2ECC"/>
    <w:rsid w:val="00AA3A3E"/>
    <w:rsid w:val="00AA3B94"/>
    <w:rsid w:val="00AA3C94"/>
    <w:rsid w:val="00AA41D4"/>
    <w:rsid w:val="00AA4203"/>
    <w:rsid w:val="00AA4775"/>
    <w:rsid w:val="00AA488F"/>
    <w:rsid w:val="00AA4CD3"/>
    <w:rsid w:val="00AA5515"/>
    <w:rsid w:val="00AA567F"/>
    <w:rsid w:val="00AA583C"/>
    <w:rsid w:val="00AA6136"/>
    <w:rsid w:val="00AA65CF"/>
    <w:rsid w:val="00AA6A88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212D"/>
    <w:rsid w:val="00AB221D"/>
    <w:rsid w:val="00AB32C1"/>
    <w:rsid w:val="00AB3552"/>
    <w:rsid w:val="00AB39CB"/>
    <w:rsid w:val="00AB481B"/>
    <w:rsid w:val="00AB49C3"/>
    <w:rsid w:val="00AB55F8"/>
    <w:rsid w:val="00AB5DF2"/>
    <w:rsid w:val="00AB65C6"/>
    <w:rsid w:val="00AB6C4D"/>
    <w:rsid w:val="00AB7212"/>
    <w:rsid w:val="00AB7866"/>
    <w:rsid w:val="00AC0768"/>
    <w:rsid w:val="00AC1D3B"/>
    <w:rsid w:val="00AC226A"/>
    <w:rsid w:val="00AC246C"/>
    <w:rsid w:val="00AC2FB2"/>
    <w:rsid w:val="00AC32FB"/>
    <w:rsid w:val="00AC3ADE"/>
    <w:rsid w:val="00AC3F58"/>
    <w:rsid w:val="00AC4C92"/>
    <w:rsid w:val="00AC4E28"/>
    <w:rsid w:val="00AC4E71"/>
    <w:rsid w:val="00AC4F7E"/>
    <w:rsid w:val="00AC5700"/>
    <w:rsid w:val="00AC59C9"/>
    <w:rsid w:val="00AC5A64"/>
    <w:rsid w:val="00AC613C"/>
    <w:rsid w:val="00AC617D"/>
    <w:rsid w:val="00AC7042"/>
    <w:rsid w:val="00AC752F"/>
    <w:rsid w:val="00AC7B8D"/>
    <w:rsid w:val="00AC7E49"/>
    <w:rsid w:val="00AD099F"/>
    <w:rsid w:val="00AD1C10"/>
    <w:rsid w:val="00AD2E7B"/>
    <w:rsid w:val="00AD2F8F"/>
    <w:rsid w:val="00AD3685"/>
    <w:rsid w:val="00AD3966"/>
    <w:rsid w:val="00AD3F4F"/>
    <w:rsid w:val="00AD403C"/>
    <w:rsid w:val="00AD4153"/>
    <w:rsid w:val="00AD4838"/>
    <w:rsid w:val="00AD5420"/>
    <w:rsid w:val="00AD54E6"/>
    <w:rsid w:val="00AD56CF"/>
    <w:rsid w:val="00AD5DDB"/>
    <w:rsid w:val="00AD5E3E"/>
    <w:rsid w:val="00AD60B8"/>
    <w:rsid w:val="00AD60EF"/>
    <w:rsid w:val="00AD612C"/>
    <w:rsid w:val="00AD734C"/>
    <w:rsid w:val="00AD7922"/>
    <w:rsid w:val="00AE0413"/>
    <w:rsid w:val="00AE046A"/>
    <w:rsid w:val="00AE05BF"/>
    <w:rsid w:val="00AE0D8D"/>
    <w:rsid w:val="00AE23C8"/>
    <w:rsid w:val="00AE265A"/>
    <w:rsid w:val="00AE308D"/>
    <w:rsid w:val="00AE36D1"/>
    <w:rsid w:val="00AE3DDB"/>
    <w:rsid w:val="00AE4A64"/>
    <w:rsid w:val="00AE54BD"/>
    <w:rsid w:val="00AE5771"/>
    <w:rsid w:val="00AE59FC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4C8"/>
    <w:rsid w:val="00AF23D9"/>
    <w:rsid w:val="00AF290E"/>
    <w:rsid w:val="00AF29FA"/>
    <w:rsid w:val="00AF37D5"/>
    <w:rsid w:val="00AF381B"/>
    <w:rsid w:val="00AF3F63"/>
    <w:rsid w:val="00AF4345"/>
    <w:rsid w:val="00AF463B"/>
    <w:rsid w:val="00AF4CC5"/>
    <w:rsid w:val="00AF5319"/>
    <w:rsid w:val="00AF608B"/>
    <w:rsid w:val="00AF61CE"/>
    <w:rsid w:val="00AF6A59"/>
    <w:rsid w:val="00AF7BDD"/>
    <w:rsid w:val="00B00F8C"/>
    <w:rsid w:val="00B00FEC"/>
    <w:rsid w:val="00B01277"/>
    <w:rsid w:val="00B017B2"/>
    <w:rsid w:val="00B02145"/>
    <w:rsid w:val="00B02F0C"/>
    <w:rsid w:val="00B0307C"/>
    <w:rsid w:val="00B03776"/>
    <w:rsid w:val="00B03ED8"/>
    <w:rsid w:val="00B0401D"/>
    <w:rsid w:val="00B042D2"/>
    <w:rsid w:val="00B04E8D"/>
    <w:rsid w:val="00B04F50"/>
    <w:rsid w:val="00B0542F"/>
    <w:rsid w:val="00B05A05"/>
    <w:rsid w:val="00B05DFC"/>
    <w:rsid w:val="00B06495"/>
    <w:rsid w:val="00B064F1"/>
    <w:rsid w:val="00B06DA3"/>
    <w:rsid w:val="00B109DF"/>
    <w:rsid w:val="00B118E1"/>
    <w:rsid w:val="00B11A39"/>
    <w:rsid w:val="00B11A5F"/>
    <w:rsid w:val="00B11A9A"/>
    <w:rsid w:val="00B11BDA"/>
    <w:rsid w:val="00B120CF"/>
    <w:rsid w:val="00B1210E"/>
    <w:rsid w:val="00B1243E"/>
    <w:rsid w:val="00B129BD"/>
    <w:rsid w:val="00B12BDA"/>
    <w:rsid w:val="00B13D2B"/>
    <w:rsid w:val="00B13F2E"/>
    <w:rsid w:val="00B14011"/>
    <w:rsid w:val="00B14793"/>
    <w:rsid w:val="00B15075"/>
    <w:rsid w:val="00B15774"/>
    <w:rsid w:val="00B15DB9"/>
    <w:rsid w:val="00B16431"/>
    <w:rsid w:val="00B17366"/>
    <w:rsid w:val="00B1780E"/>
    <w:rsid w:val="00B200D3"/>
    <w:rsid w:val="00B2060E"/>
    <w:rsid w:val="00B20DCF"/>
    <w:rsid w:val="00B20F8A"/>
    <w:rsid w:val="00B215EB"/>
    <w:rsid w:val="00B2173E"/>
    <w:rsid w:val="00B22522"/>
    <w:rsid w:val="00B2288A"/>
    <w:rsid w:val="00B230A6"/>
    <w:rsid w:val="00B24D66"/>
    <w:rsid w:val="00B258AF"/>
    <w:rsid w:val="00B264B0"/>
    <w:rsid w:val="00B26CDB"/>
    <w:rsid w:val="00B26D2E"/>
    <w:rsid w:val="00B26ECF"/>
    <w:rsid w:val="00B27444"/>
    <w:rsid w:val="00B27734"/>
    <w:rsid w:val="00B27771"/>
    <w:rsid w:val="00B27787"/>
    <w:rsid w:val="00B278D7"/>
    <w:rsid w:val="00B3091E"/>
    <w:rsid w:val="00B30FC3"/>
    <w:rsid w:val="00B31602"/>
    <w:rsid w:val="00B319FE"/>
    <w:rsid w:val="00B3232C"/>
    <w:rsid w:val="00B331B8"/>
    <w:rsid w:val="00B33786"/>
    <w:rsid w:val="00B337A4"/>
    <w:rsid w:val="00B34212"/>
    <w:rsid w:val="00B34725"/>
    <w:rsid w:val="00B355F0"/>
    <w:rsid w:val="00B3578C"/>
    <w:rsid w:val="00B36D9E"/>
    <w:rsid w:val="00B37311"/>
    <w:rsid w:val="00B373FB"/>
    <w:rsid w:val="00B37975"/>
    <w:rsid w:val="00B4106F"/>
    <w:rsid w:val="00B41BE7"/>
    <w:rsid w:val="00B424F7"/>
    <w:rsid w:val="00B42568"/>
    <w:rsid w:val="00B4316E"/>
    <w:rsid w:val="00B4339F"/>
    <w:rsid w:val="00B4381B"/>
    <w:rsid w:val="00B4383C"/>
    <w:rsid w:val="00B4403D"/>
    <w:rsid w:val="00B4423D"/>
    <w:rsid w:val="00B45847"/>
    <w:rsid w:val="00B460A1"/>
    <w:rsid w:val="00B46275"/>
    <w:rsid w:val="00B464C7"/>
    <w:rsid w:val="00B4658A"/>
    <w:rsid w:val="00B4733F"/>
    <w:rsid w:val="00B4758E"/>
    <w:rsid w:val="00B47CBB"/>
    <w:rsid w:val="00B503D0"/>
    <w:rsid w:val="00B5083E"/>
    <w:rsid w:val="00B50ADB"/>
    <w:rsid w:val="00B51519"/>
    <w:rsid w:val="00B51604"/>
    <w:rsid w:val="00B51F64"/>
    <w:rsid w:val="00B53B4E"/>
    <w:rsid w:val="00B53C5F"/>
    <w:rsid w:val="00B54BD8"/>
    <w:rsid w:val="00B55933"/>
    <w:rsid w:val="00B5596C"/>
    <w:rsid w:val="00B55CC5"/>
    <w:rsid w:val="00B565A9"/>
    <w:rsid w:val="00B569B2"/>
    <w:rsid w:val="00B56FBD"/>
    <w:rsid w:val="00B5715A"/>
    <w:rsid w:val="00B57327"/>
    <w:rsid w:val="00B6002D"/>
    <w:rsid w:val="00B6010B"/>
    <w:rsid w:val="00B61262"/>
    <w:rsid w:val="00B6210A"/>
    <w:rsid w:val="00B6220A"/>
    <w:rsid w:val="00B629F3"/>
    <w:rsid w:val="00B640CF"/>
    <w:rsid w:val="00B65828"/>
    <w:rsid w:val="00B65E01"/>
    <w:rsid w:val="00B665BB"/>
    <w:rsid w:val="00B66800"/>
    <w:rsid w:val="00B668CA"/>
    <w:rsid w:val="00B66AB0"/>
    <w:rsid w:val="00B677D7"/>
    <w:rsid w:val="00B7095E"/>
    <w:rsid w:val="00B70C27"/>
    <w:rsid w:val="00B70ED8"/>
    <w:rsid w:val="00B710E0"/>
    <w:rsid w:val="00B7162D"/>
    <w:rsid w:val="00B71E56"/>
    <w:rsid w:val="00B71F7B"/>
    <w:rsid w:val="00B727DF"/>
    <w:rsid w:val="00B72CF9"/>
    <w:rsid w:val="00B72EE9"/>
    <w:rsid w:val="00B73637"/>
    <w:rsid w:val="00B73D34"/>
    <w:rsid w:val="00B740E5"/>
    <w:rsid w:val="00B742C1"/>
    <w:rsid w:val="00B74720"/>
    <w:rsid w:val="00B74C99"/>
    <w:rsid w:val="00B75032"/>
    <w:rsid w:val="00B750D5"/>
    <w:rsid w:val="00B7591C"/>
    <w:rsid w:val="00B75D1D"/>
    <w:rsid w:val="00B75E98"/>
    <w:rsid w:val="00B76A3F"/>
    <w:rsid w:val="00B76A7D"/>
    <w:rsid w:val="00B76CE1"/>
    <w:rsid w:val="00B776D5"/>
    <w:rsid w:val="00B77B7E"/>
    <w:rsid w:val="00B80744"/>
    <w:rsid w:val="00B80979"/>
    <w:rsid w:val="00B80AFC"/>
    <w:rsid w:val="00B818AA"/>
    <w:rsid w:val="00B81B66"/>
    <w:rsid w:val="00B81BC2"/>
    <w:rsid w:val="00B81C75"/>
    <w:rsid w:val="00B81D8F"/>
    <w:rsid w:val="00B81EEF"/>
    <w:rsid w:val="00B81F26"/>
    <w:rsid w:val="00B82C22"/>
    <w:rsid w:val="00B840BB"/>
    <w:rsid w:val="00B84C9F"/>
    <w:rsid w:val="00B8525F"/>
    <w:rsid w:val="00B856E9"/>
    <w:rsid w:val="00B85774"/>
    <w:rsid w:val="00B86429"/>
    <w:rsid w:val="00B8648F"/>
    <w:rsid w:val="00B866C7"/>
    <w:rsid w:val="00B86EFB"/>
    <w:rsid w:val="00B87563"/>
    <w:rsid w:val="00B87589"/>
    <w:rsid w:val="00B87EBC"/>
    <w:rsid w:val="00B87FF0"/>
    <w:rsid w:val="00B905D7"/>
    <w:rsid w:val="00B90825"/>
    <w:rsid w:val="00B9084F"/>
    <w:rsid w:val="00B90862"/>
    <w:rsid w:val="00B90DD5"/>
    <w:rsid w:val="00B912EC"/>
    <w:rsid w:val="00B916C0"/>
    <w:rsid w:val="00B917AC"/>
    <w:rsid w:val="00B91F77"/>
    <w:rsid w:val="00B926AC"/>
    <w:rsid w:val="00B92E6B"/>
    <w:rsid w:val="00B93043"/>
    <w:rsid w:val="00B93431"/>
    <w:rsid w:val="00B93500"/>
    <w:rsid w:val="00B93D97"/>
    <w:rsid w:val="00B94392"/>
    <w:rsid w:val="00B9439B"/>
    <w:rsid w:val="00B94AE4"/>
    <w:rsid w:val="00B955F5"/>
    <w:rsid w:val="00B95663"/>
    <w:rsid w:val="00B95A36"/>
    <w:rsid w:val="00B95CCC"/>
    <w:rsid w:val="00B95F44"/>
    <w:rsid w:val="00B96D3C"/>
    <w:rsid w:val="00B97577"/>
    <w:rsid w:val="00BA0FE9"/>
    <w:rsid w:val="00BA139F"/>
    <w:rsid w:val="00BA1A0B"/>
    <w:rsid w:val="00BA1E85"/>
    <w:rsid w:val="00BA1EA6"/>
    <w:rsid w:val="00BA25F7"/>
    <w:rsid w:val="00BA359B"/>
    <w:rsid w:val="00BA3A93"/>
    <w:rsid w:val="00BA4D05"/>
    <w:rsid w:val="00BA5165"/>
    <w:rsid w:val="00BA5599"/>
    <w:rsid w:val="00BA5A40"/>
    <w:rsid w:val="00BA5A84"/>
    <w:rsid w:val="00BA5FD5"/>
    <w:rsid w:val="00BA62AB"/>
    <w:rsid w:val="00BA7E0B"/>
    <w:rsid w:val="00BB0DE3"/>
    <w:rsid w:val="00BB0EA0"/>
    <w:rsid w:val="00BB10CD"/>
    <w:rsid w:val="00BB10F0"/>
    <w:rsid w:val="00BB122E"/>
    <w:rsid w:val="00BB25BB"/>
    <w:rsid w:val="00BB2CEC"/>
    <w:rsid w:val="00BB4A6F"/>
    <w:rsid w:val="00BB4D81"/>
    <w:rsid w:val="00BB4EBC"/>
    <w:rsid w:val="00BB56B1"/>
    <w:rsid w:val="00BB5759"/>
    <w:rsid w:val="00BB5A30"/>
    <w:rsid w:val="00BB5B98"/>
    <w:rsid w:val="00BB7BAC"/>
    <w:rsid w:val="00BC08D8"/>
    <w:rsid w:val="00BC08FC"/>
    <w:rsid w:val="00BC202D"/>
    <w:rsid w:val="00BC213B"/>
    <w:rsid w:val="00BC2964"/>
    <w:rsid w:val="00BC3112"/>
    <w:rsid w:val="00BC3776"/>
    <w:rsid w:val="00BC3D8E"/>
    <w:rsid w:val="00BC3E7F"/>
    <w:rsid w:val="00BC41B5"/>
    <w:rsid w:val="00BC4C63"/>
    <w:rsid w:val="00BC54D1"/>
    <w:rsid w:val="00BC5912"/>
    <w:rsid w:val="00BC6050"/>
    <w:rsid w:val="00BC6308"/>
    <w:rsid w:val="00BC63FE"/>
    <w:rsid w:val="00BC666D"/>
    <w:rsid w:val="00BC67A4"/>
    <w:rsid w:val="00BC6B4D"/>
    <w:rsid w:val="00BC6C4F"/>
    <w:rsid w:val="00BC76AA"/>
    <w:rsid w:val="00BD1290"/>
    <w:rsid w:val="00BD1CFB"/>
    <w:rsid w:val="00BD255F"/>
    <w:rsid w:val="00BD2B8F"/>
    <w:rsid w:val="00BD2FEE"/>
    <w:rsid w:val="00BD35B9"/>
    <w:rsid w:val="00BD36EC"/>
    <w:rsid w:val="00BD4A52"/>
    <w:rsid w:val="00BD51CA"/>
    <w:rsid w:val="00BD5CD2"/>
    <w:rsid w:val="00BD7288"/>
    <w:rsid w:val="00BD77DE"/>
    <w:rsid w:val="00BD79C2"/>
    <w:rsid w:val="00BD7C97"/>
    <w:rsid w:val="00BE1F2E"/>
    <w:rsid w:val="00BE1FA7"/>
    <w:rsid w:val="00BE2AD7"/>
    <w:rsid w:val="00BE2BAA"/>
    <w:rsid w:val="00BE49CC"/>
    <w:rsid w:val="00BE4F8D"/>
    <w:rsid w:val="00BE54E8"/>
    <w:rsid w:val="00BE590A"/>
    <w:rsid w:val="00BE5EF9"/>
    <w:rsid w:val="00BE706D"/>
    <w:rsid w:val="00BE770F"/>
    <w:rsid w:val="00BE778C"/>
    <w:rsid w:val="00BF01D4"/>
    <w:rsid w:val="00BF077D"/>
    <w:rsid w:val="00BF20FB"/>
    <w:rsid w:val="00BF2997"/>
    <w:rsid w:val="00BF4406"/>
    <w:rsid w:val="00BF4C22"/>
    <w:rsid w:val="00BF4CD1"/>
    <w:rsid w:val="00BF4DD7"/>
    <w:rsid w:val="00BF51E4"/>
    <w:rsid w:val="00BF5375"/>
    <w:rsid w:val="00BF6043"/>
    <w:rsid w:val="00BF76ED"/>
    <w:rsid w:val="00C00156"/>
    <w:rsid w:val="00C003C3"/>
    <w:rsid w:val="00C00560"/>
    <w:rsid w:val="00C006F6"/>
    <w:rsid w:val="00C00838"/>
    <w:rsid w:val="00C008C6"/>
    <w:rsid w:val="00C00BE6"/>
    <w:rsid w:val="00C00F80"/>
    <w:rsid w:val="00C01250"/>
    <w:rsid w:val="00C01398"/>
    <w:rsid w:val="00C01619"/>
    <w:rsid w:val="00C029F5"/>
    <w:rsid w:val="00C02A19"/>
    <w:rsid w:val="00C03041"/>
    <w:rsid w:val="00C03815"/>
    <w:rsid w:val="00C041F4"/>
    <w:rsid w:val="00C049FA"/>
    <w:rsid w:val="00C04C59"/>
    <w:rsid w:val="00C0524E"/>
    <w:rsid w:val="00C05428"/>
    <w:rsid w:val="00C058A3"/>
    <w:rsid w:val="00C05E05"/>
    <w:rsid w:val="00C0711F"/>
    <w:rsid w:val="00C077E1"/>
    <w:rsid w:val="00C07E8E"/>
    <w:rsid w:val="00C1077D"/>
    <w:rsid w:val="00C107BE"/>
    <w:rsid w:val="00C10BD0"/>
    <w:rsid w:val="00C10C03"/>
    <w:rsid w:val="00C112F7"/>
    <w:rsid w:val="00C1161D"/>
    <w:rsid w:val="00C12B5F"/>
    <w:rsid w:val="00C12CC4"/>
    <w:rsid w:val="00C12CE6"/>
    <w:rsid w:val="00C12D9C"/>
    <w:rsid w:val="00C13208"/>
    <w:rsid w:val="00C133F5"/>
    <w:rsid w:val="00C1360E"/>
    <w:rsid w:val="00C13819"/>
    <w:rsid w:val="00C13CCA"/>
    <w:rsid w:val="00C142EA"/>
    <w:rsid w:val="00C14AD2"/>
    <w:rsid w:val="00C14CA5"/>
    <w:rsid w:val="00C15BE1"/>
    <w:rsid w:val="00C15EDA"/>
    <w:rsid w:val="00C160D9"/>
    <w:rsid w:val="00C16B32"/>
    <w:rsid w:val="00C16FF1"/>
    <w:rsid w:val="00C17089"/>
    <w:rsid w:val="00C1715B"/>
    <w:rsid w:val="00C1757F"/>
    <w:rsid w:val="00C17B74"/>
    <w:rsid w:val="00C17BCC"/>
    <w:rsid w:val="00C20358"/>
    <w:rsid w:val="00C2071F"/>
    <w:rsid w:val="00C209E6"/>
    <w:rsid w:val="00C20A09"/>
    <w:rsid w:val="00C20AEB"/>
    <w:rsid w:val="00C20F22"/>
    <w:rsid w:val="00C21FF8"/>
    <w:rsid w:val="00C220F2"/>
    <w:rsid w:val="00C223A0"/>
    <w:rsid w:val="00C23BBD"/>
    <w:rsid w:val="00C2455C"/>
    <w:rsid w:val="00C24638"/>
    <w:rsid w:val="00C256A9"/>
    <w:rsid w:val="00C26495"/>
    <w:rsid w:val="00C26B72"/>
    <w:rsid w:val="00C273ED"/>
    <w:rsid w:val="00C27447"/>
    <w:rsid w:val="00C27891"/>
    <w:rsid w:val="00C27D45"/>
    <w:rsid w:val="00C300D3"/>
    <w:rsid w:val="00C300F5"/>
    <w:rsid w:val="00C30AED"/>
    <w:rsid w:val="00C31073"/>
    <w:rsid w:val="00C314B5"/>
    <w:rsid w:val="00C31AC3"/>
    <w:rsid w:val="00C32570"/>
    <w:rsid w:val="00C32C1E"/>
    <w:rsid w:val="00C32D53"/>
    <w:rsid w:val="00C32F69"/>
    <w:rsid w:val="00C3312E"/>
    <w:rsid w:val="00C33CD5"/>
    <w:rsid w:val="00C340CF"/>
    <w:rsid w:val="00C34101"/>
    <w:rsid w:val="00C348FE"/>
    <w:rsid w:val="00C34FBC"/>
    <w:rsid w:val="00C35087"/>
    <w:rsid w:val="00C3523B"/>
    <w:rsid w:val="00C35947"/>
    <w:rsid w:val="00C36001"/>
    <w:rsid w:val="00C36FFE"/>
    <w:rsid w:val="00C375DD"/>
    <w:rsid w:val="00C40885"/>
    <w:rsid w:val="00C40A83"/>
    <w:rsid w:val="00C40D37"/>
    <w:rsid w:val="00C412E1"/>
    <w:rsid w:val="00C416FD"/>
    <w:rsid w:val="00C41E73"/>
    <w:rsid w:val="00C41FA0"/>
    <w:rsid w:val="00C4271F"/>
    <w:rsid w:val="00C42A6C"/>
    <w:rsid w:val="00C42B60"/>
    <w:rsid w:val="00C43E4A"/>
    <w:rsid w:val="00C43FD4"/>
    <w:rsid w:val="00C4445E"/>
    <w:rsid w:val="00C44846"/>
    <w:rsid w:val="00C4530D"/>
    <w:rsid w:val="00C45782"/>
    <w:rsid w:val="00C45A51"/>
    <w:rsid w:val="00C45BA9"/>
    <w:rsid w:val="00C469E3"/>
    <w:rsid w:val="00C47155"/>
    <w:rsid w:val="00C47987"/>
    <w:rsid w:val="00C47CD2"/>
    <w:rsid w:val="00C47D56"/>
    <w:rsid w:val="00C510DE"/>
    <w:rsid w:val="00C536E4"/>
    <w:rsid w:val="00C538AE"/>
    <w:rsid w:val="00C53C32"/>
    <w:rsid w:val="00C53E7A"/>
    <w:rsid w:val="00C54492"/>
    <w:rsid w:val="00C544B6"/>
    <w:rsid w:val="00C54601"/>
    <w:rsid w:val="00C54E26"/>
    <w:rsid w:val="00C5671C"/>
    <w:rsid w:val="00C56A84"/>
    <w:rsid w:val="00C575E8"/>
    <w:rsid w:val="00C5777E"/>
    <w:rsid w:val="00C57EB0"/>
    <w:rsid w:val="00C60984"/>
    <w:rsid w:val="00C60E33"/>
    <w:rsid w:val="00C6111A"/>
    <w:rsid w:val="00C61402"/>
    <w:rsid w:val="00C61801"/>
    <w:rsid w:val="00C618DF"/>
    <w:rsid w:val="00C65030"/>
    <w:rsid w:val="00C6515A"/>
    <w:rsid w:val="00C652A1"/>
    <w:rsid w:val="00C655E4"/>
    <w:rsid w:val="00C65738"/>
    <w:rsid w:val="00C6590A"/>
    <w:rsid w:val="00C65FFB"/>
    <w:rsid w:val="00C6650D"/>
    <w:rsid w:val="00C66663"/>
    <w:rsid w:val="00C668D8"/>
    <w:rsid w:val="00C66BCD"/>
    <w:rsid w:val="00C66E74"/>
    <w:rsid w:val="00C67029"/>
    <w:rsid w:val="00C70B38"/>
    <w:rsid w:val="00C70B43"/>
    <w:rsid w:val="00C70B6D"/>
    <w:rsid w:val="00C71A56"/>
    <w:rsid w:val="00C730CC"/>
    <w:rsid w:val="00C74485"/>
    <w:rsid w:val="00C7532A"/>
    <w:rsid w:val="00C75721"/>
    <w:rsid w:val="00C760A6"/>
    <w:rsid w:val="00C762B7"/>
    <w:rsid w:val="00C76825"/>
    <w:rsid w:val="00C77C4B"/>
    <w:rsid w:val="00C77D50"/>
    <w:rsid w:val="00C80DC6"/>
    <w:rsid w:val="00C815E4"/>
    <w:rsid w:val="00C8177D"/>
    <w:rsid w:val="00C8290C"/>
    <w:rsid w:val="00C83BAE"/>
    <w:rsid w:val="00C83FA7"/>
    <w:rsid w:val="00C8512B"/>
    <w:rsid w:val="00C858C8"/>
    <w:rsid w:val="00C85A79"/>
    <w:rsid w:val="00C86242"/>
    <w:rsid w:val="00C86D64"/>
    <w:rsid w:val="00C86DA1"/>
    <w:rsid w:val="00C87CDD"/>
    <w:rsid w:val="00C909EE"/>
    <w:rsid w:val="00C90AD2"/>
    <w:rsid w:val="00C90E27"/>
    <w:rsid w:val="00C910ED"/>
    <w:rsid w:val="00C914C9"/>
    <w:rsid w:val="00C9156F"/>
    <w:rsid w:val="00C91E57"/>
    <w:rsid w:val="00C922E8"/>
    <w:rsid w:val="00C93188"/>
    <w:rsid w:val="00C939E3"/>
    <w:rsid w:val="00C94EF3"/>
    <w:rsid w:val="00C952A9"/>
    <w:rsid w:val="00C9534F"/>
    <w:rsid w:val="00C95E98"/>
    <w:rsid w:val="00C95F67"/>
    <w:rsid w:val="00C9600C"/>
    <w:rsid w:val="00C961C0"/>
    <w:rsid w:val="00C963A9"/>
    <w:rsid w:val="00C965E4"/>
    <w:rsid w:val="00C9739A"/>
    <w:rsid w:val="00C9794D"/>
    <w:rsid w:val="00CA05E2"/>
    <w:rsid w:val="00CA0B7E"/>
    <w:rsid w:val="00CA13BF"/>
    <w:rsid w:val="00CA13F7"/>
    <w:rsid w:val="00CA1463"/>
    <w:rsid w:val="00CA14DE"/>
    <w:rsid w:val="00CA2A57"/>
    <w:rsid w:val="00CA2C4B"/>
    <w:rsid w:val="00CA30A9"/>
    <w:rsid w:val="00CA35EC"/>
    <w:rsid w:val="00CA3D36"/>
    <w:rsid w:val="00CA3EC4"/>
    <w:rsid w:val="00CA4249"/>
    <w:rsid w:val="00CA4EF3"/>
    <w:rsid w:val="00CA575F"/>
    <w:rsid w:val="00CA6F7C"/>
    <w:rsid w:val="00CB0652"/>
    <w:rsid w:val="00CB0A8A"/>
    <w:rsid w:val="00CB138C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4759"/>
    <w:rsid w:val="00CB4DA4"/>
    <w:rsid w:val="00CB54FD"/>
    <w:rsid w:val="00CB557A"/>
    <w:rsid w:val="00CB6108"/>
    <w:rsid w:val="00CB644A"/>
    <w:rsid w:val="00CB7071"/>
    <w:rsid w:val="00CB75F9"/>
    <w:rsid w:val="00CB7D14"/>
    <w:rsid w:val="00CB7D9F"/>
    <w:rsid w:val="00CC07A1"/>
    <w:rsid w:val="00CC0824"/>
    <w:rsid w:val="00CC08D7"/>
    <w:rsid w:val="00CC0A9A"/>
    <w:rsid w:val="00CC0EA3"/>
    <w:rsid w:val="00CC156F"/>
    <w:rsid w:val="00CC2B9C"/>
    <w:rsid w:val="00CC326E"/>
    <w:rsid w:val="00CC38EE"/>
    <w:rsid w:val="00CC3D11"/>
    <w:rsid w:val="00CC4AB9"/>
    <w:rsid w:val="00CC566D"/>
    <w:rsid w:val="00CC6AA6"/>
    <w:rsid w:val="00CC6ACF"/>
    <w:rsid w:val="00CC722F"/>
    <w:rsid w:val="00CC726E"/>
    <w:rsid w:val="00CC7476"/>
    <w:rsid w:val="00CC75EE"/>
    <w:rsid w:val="00CC7F3D"/>
    <w:rsid w:val="00CD0BAE"/>
    <w:rsid w:val="00CD1017"/>
    <w:rsid w:val="00CD129C"/>
    <w:rsid w:val="00CD12BA"/>
    <w:rsid w:val="00CD181E"/>
    <w:rsid w:val="00CD2C45"/>
    <w:rsid w:val="00CD385F"/>
    <w:rsid w:val="00CD387C"/>
    <w:rsid w:val="00CD474C"/>
    <w:rsid w:val="00CD5589"/>
    <w:rsid w:val="00CD5CCC"/>
    <w:rsid w:val="00CD6B16"/>
    <w:rsid w:val="00CD6B5E"/>
    <w:rsid w:val="00CD7422"/>
    <w:rsid w:val="00CE0950"/>
    <w:rsid w:val="00CE0FC5"/>
    <w:rsid w:val="00CE10C7"/>
    <w:rsid w:val="00CE11D8"/>
    <w:rsid w:val="00CE1648"/>
    <w:rsid w:val="00CE1921"/>
    <w:rsid w:val="00CE1A90"/>
    <w:rsid w:val="00CE1C5C"/>
    <w:rsid w:val="00CE1CA9"/>
    <w:rsid w:val="00CE1E07"/>
    <w:rsid w:val="00CE2567"/>
    <w:rsid w:val="00CE2A65"/>
    <w:rsid w:val="00CE3037"/>
    <w:rsid w:val="00CE32AD"/>
    <w:rsid w:val="00CE3361"/>
    <w:rsid w:val="00CE3463"/>
    <w:rsid w:val="00CE3F49"/>
    <w:rsid w:val="00CE49B0"/>
    <w:rsid w:val="00CE4EA8"/>
    <w:rsid w:val="00CE5261"/>
    <w:rsid w:val="00CE584B"/>
    <w:rsid w:val="00CE5A0A"/>
    <w:rsid w:val="00CE6C5C"/>
    <w:rsid w:val="00CE72F6"/>
    <w:rsid w:val="00CE7FF2"/>
    <w:rsid w:val="00CF0E8B"/>
    <w:rsid w:val="00CF1090"/>
    <w:rsid w:val="00CF12DA"/>
    <w:rsid w:val="00CF1AB9"/>
    <w:rsid w:val="00CF1B03"/>
    <w:rsid w:val="00CF1B1E"/>
    <w:rsid w:val="00CF1E58"/>
    <w:rsid w:val="00CF1F79"/>
    <w:rsid w:val="00CF2B1C"/>
    <w:rsid w:val="00CF2B8E"/>
    <w:rsid w:val="00CF36FF"/>
    <w:rsid w:val="00CF39B2"/>
    <w:rsid w:val="00CF3C22"/>
    <w:rsid w:val="00CF3E3D"/>
    <w:rsid w:val="00CF4060"/>
    <w:rsid w:val="00CF52EB"/>
    <w:rsid w:val="00CF585D"/>
    <w:rsid w:val="00CF5CA8"/>
    <w:rsid w:val="00CF72BD"/>
    <w:rsid w:val="00CF767E"/>
    <w:rsid w:val="00CF777D"/>
    <w:rsid w:val="00CF78C0"/>
    <w:rsid w:val="00D009C4"/>
    <w:rsid w:val="00D0115F"/>
    <w:rsid w:val="00D015A8"/>
    <w:rsid w:val="00D024F9"/>
    <w:rsid w:val="00D027F9"/>
    <w:rsid w:val="00D032AA"/>
    <w:rsid w:val="00D03A3E"/>
    <w:rsid w:val="00D03B1A"/>
    <w:rsid w:val="00D03E97"/>
    <w:rsid w:val="00D040BB"/>
    <w:rsid w:val="00D04920"/>
    <w:rsid w:val="00D054D1"/>
    <w:rsid w:val="00D056E9"/>
    <w:rsid w:val="00D05CB6"/>
    <w:rsid w:val="00D06071"/>
    <w:rsid w:val="00D06325"/>
    <w:rsid w:val="00D070DA"/>
    <w:rsid w:val="00D07684"/>
    <w:rsid w:val="00D076A6"/>
    <w:rsid w:val="00D07F59"/>
    <w:rsid w:val="00D104B2"/>
    <w:rsid w:val="00D10986"/>
    <w:rsid w:val="00D114BB"/>
    <w:rsid w:val="00D118DA"/>
    <w:rsid w:val="00D11BB2"/>
    <w:rsid w:val="00D12F1F"/>
    <w:rsid w:val="00D13207"/>
    <w:rsid w:val="00D13358"/>
    <w:rsid w:val="00D1342C"/>
    <w:rsid w:val="00D142FA"/>
    <w:rsid w:val="00D14873"/>
    <w:rsid w:val="00D14C06"/>
    <w:rsid w:val="00D14DAF"/>
    <w:rsid w:val="00D14DE6"/>
    <w:rsid w:val="00D1564A"/>
    <w:rsid w:val="00D156E5"/>
    <w:rsid w:val="00D15792"/>
    <w:rsid w:val="00D15AF0"/>
    <w:rsid w:val="00D16747"/>
    <w:rsid w:val="00D172BA"/>
    <w:rsid w:val="00D175C7"/>
    <w:rsid w:val="00D17997"/>
    <w:rsid w:val="00D17E09"/>
    <w:rsid w:val="00D20886"/>
    <w:rsid w:val="00D223F2"/>
    <w:rsid w:val="00D22E00"/>
    <w:rsid w:val="00D23853"/>
    <w:rsid w:val="00D23A1E"/>
    <w:rsid w:val="00D24137"/>
    <w:rsid w:val="00D251E6"/>
    <w:rsid w:val="00D259B0"/>
    <w:rsid w:val="00D26097"/>
    <w:rsid w:val="00D261C5"/>
    <w:rsid w:val="00D26391"/>
    <w:rsid w:val="00D2699D"/>
    <w:rsid w:val="00D27747"/>
    <w:rsid w:val="00D27BF7"/>
    <w:rsid w:val="00D30729"/>
    <w:rsid w:val="00D30EAF"/>
    <w:rsid w:val="00D314F6"/>
    <w:rsid w:val="00D318F8"/>
    <w:rsid w:val="00D31A4F"/>
    <w:rsid w:val="00D31C7E"/>
    <w:rsid w:val="00D31D6C"/>
    <w:rsid w:val="00D31D99"/>
    <w:rsid w:val="00D32CDD"/>
    <w:rsid w:val="00D32E0D"/>
    <w:rsid w:val="00D3326D"/>
    <w:rsid w:val="00D33977"/>
    <w:rsid w:val="00D33C97"/>
    <w:rsid w:val="00D34097"/>
    <w:rsid w:val="00D3544C"/>
    <w:rsid w:val="00D3719F"/>
    <w:rsid w:val="00D371C8"/>
    <w:rsid w:val="00D40548"/>
    <w:rsid w:val="00D4061B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977"/>
    <w:rsid w:val="00D46DBF"/>
    <w:rsid w:val="00D46F26"/>
    <w:rsid w:val="00D47591"/>
    <w:rsid w:val="00D50F4A"/>
    <w:rsid w:val="00D51089"/>
    <w:rsid w:val="00D5228C"/>
    <w:rsid w:val="00D52E06"/>
    <w:rsid w:val="00D53650"/>
    <w:rsid w:val="00D553C7"/>
    <w:rsid w:val="00D5648F"/>
    <w:rsid w:val="00D5651D"/>
    <w:rsid w:val="00D57B21"/>
    <w:rsid w:val="00D57B9A"/>
    <w:rsid w:val="00D60190"/>
    <w:rsid w:val="00D602D3"/>
    <w:rsid w:val="00D605A5"/>
    <w:rsid w:val="00D606A0"/>
    <w:rsid w:val="00D60A2F"/>
    <w:rsid w:val="00D60DAB"/>
    <w:rsid w:val="00D61817"/>
    <w:rsid w:val="00D61A8A"/>
    <w:rsid w:val="00D62369"/>
    <w:rsid w:val="00D623AA"/>
    <w:rsid w:val="00D62A24"/>
    <w:rsid w:val="00D62FAC"/>
    <w:rsid w:val="00D635B0"/>
    <w:rsid w:val="00D637A9"/>
    <w:rsid w:val="00D63BE1"/>
    <w:rsid w:val="00D65280"/>
    <w:rsid w:val="00D652F6"/>
    <w:rsid w:val="00D6616F"/>
    <w:rsid w:val="00D6699B"/>
    <w:rsid w:val="00D7009E"/>
    <w:rsid w:val="00D70C63"/>
    <w:rsid w:val="00D710C5"/>
    <w:rsid w:val="00D71606"/>
    <w:rsid w:val="00D71705"/>
    <w:rsid w:val="00D71888"/>
    <w:rsid w:val="00D71B45"/>
    <w:rsid w:val="00D722C1"/>
    <w:rsid w:val="00D7231E"/>
    <w:rsid w:val="00D72437"/>
    <w:rsid w:val="00D726A5"/>
    <w:rsid w:val="00D727AC"/>
    <w:rsid w:val="00D72AC2"/>
    <w:rsid w:val="00D72CAE"/>
    <w:rsid w:val="00D73BE5"/>
    <w:rsid w:val="00D74660"/>
    <w:rsid w:val="00D74797"/>
    <w:rsid w:val="00D74968"/>
    <w:rsid w:val="00D749D2"/>
    <w:rsid w:val="00D74D9B"/>
    <w:rsid w:val="00D74DC3"/>
    <w:rsid w:val="00D750A2"/>
    <w:rsid w:val="00D75650"/>
    <w:rsid w:val="00D756E8"/>
    <w:rsid w:val="00D75E77"/>
    <w:rsid w:val="00D76619"/>
    <w:rsid w:val="00D768AE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43D6"/>
    <w:rsid w:val="00D850DC"/>
    <w:rsid w:val="00D85237"/>
    <w:rsid w:val="00D85475"/>
    <w:rsid w:val="00D85A2F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833"/>
    <w:rsid w:val="00D94E5E"/>
    <w:rsid w:val="00D94F2C"/>
    <w:rsid w:val="00D96138"/>
    <w:rsid w:val="00D965AB"/>
    <w:rsid w:val="00D96B07"/>
    <w:rsid w:val="00D96BD2"/>
    <w:rsid w:val="00D974EC"/>
    <w:rsid w:val="00D97594"/>
    <w:rsid w:val="00D976A0"/>
    <w:rsid w:val="00DA002B"/>
    <w:rsid w:val="00DA0351"/>
    <w:rsid w:val="00DA0417"/>
    <w:rsid w:val="00DA059A"/>
    <w:rsid w:val="00DA0676"/>
    <w:rsid w:val="00DA08F0"/>
    <w:rsid w:val="00DA0F27"/>
    <w:rsid w:val="00DA156A"/>
    <w:rsid w:val="00DA1DA8"/>
    <w:rsid w:val="00DA22C1"/>
    <w:rsid w:val="00DA24B0"/>
    <w:rsid w:val="00DA2582"/>
    <w:rsid w:val="00DA2694"/>
    <w:rsid w:val="00DA31A1"/>
    <w:rsid w:val="00DA3CF1"/>
    <w:rsid w:val="00DA4844"/>
    <w:rsid w:val="00DA4B0E"/>
    <w:rsid w:val="00DA4C73"/>
    <w:rsid w:val="00DA50E4"/>
    <w:rsid w:val="00DA5BEB"/>
    <w:rsid w:val="00DA6177"/>
    <w:rsid w:val="00DA6BFD"/>
    <w:rsid w:val="00DA7645"/>
    <w:rsid w:val="00DA7E15"/>
    <w:rsid w:val="00DA7FC8"/>
    <w:rsid w:val="00DB02FF"/>
    <w:rsid w:val="00DB10BD"/>
    <w:rsid w:val="00DB1433"/>
    <w:rsid w:val="00DB197C"/>
    <w:rsid w:val="00DB1AAF"/>
    <w:rsid w:val="00DB26B5"/>
    <w:rsid w:val="00DB3AA0"/>
    <w:rsid w:val="00DB3C49"/>
    <w:rsid w:val="00DB41B9"/>
    <w:rsid w:val="00DB42C2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7E7"/>
    <w:rsid w:val="00DB68BB"/>
    <w:rsid w:val="00DB7F10"/>
    <w:rsid w:val="00DC1524"/>
    <w:rsid w:val="00DC1889"/>
    <w:rsid w:val="00DC1CA3"/>
    <w:rsid w:val="00DC2A33"/>
    <w:rsid w:val="00DC3214"/>
    <w:rsid w:val="00DC3579"/>
    <w:rsid w:val="00DC3E0F"/>
    <w:rsid w:val="00DC43AE"/>
    <w:rsid w:val="00DC466F"/>
    <w:rsid w:val="00DC4841"/>
    <w:rsid w:val="00DC48FE"/>
    <w:rsid w:val="00DC51EE"/>
    <w:rsid w:val="00DC5533"/>
    <w:rsid w:val="00DC5770"/>
    <w:rsid w:val="00DC59D7"/>
    <w:rsid w:val="00DC6E13"/>
    <w:rsid w:val="00DC6E1B"/>
    <w:rsid w:val="00DC7EBE"/>
    <w:rsid w:val="00DD02F5"/>
    <w:rsid w:val="00DD12EF"/>
    <w:rsid w:val="00DD158F"/>
    <w:rsid w:val="00DD16FB"/>
    <w:rsid w:val="00DD235A"/>
    <w:rsid w:val="00DD2381"/>
    <w:rsid w:val="00DD2B1D"/>
    <w:rsid w:val="00DD3821"/>
    <w:rsid w:val="00DD391B"/>
    <w:rsid w:val="00DD3B9C"/>
    <w:rsid w:val="00DD45D3"/>
    <w:rsid w:val="00DD48F3"/>
    <w:rsid w:val="00DD4E0C"/>
    <w:rsid w:val="00DD5A2A"/>
    <w:rsid w:val="00DD5DD6"/>
    <w:rsid w:val="00DD662B"/>
    <w:rsid w:val="00DD68EF"/>
    <w:rsid w:val="00DD6C92"/>
    <w:rsid w:val="00DE01AB"/>
    <w:rsid w:val="00DE0B85"/>
    <w:rsid w:val="00DE12BD"/>
    <w:rsid w:val="00DE1532"/>
    <w:rsid w:val="00DE179B"/>
    <w:rsid w:val="00DE292D"/>
    <w:rsid w:val="00DE2AA3"/>
    <w:rsid w:val="00DE30D1"/>
    <w:rsid w:val="00DE3B74"/>
    <w:rsid w:val="00DE3F20"/>
    <w:rsid w:val="00DE40F7"/>
    <w:rsid w:val="00DE47DF"/>
    <w:rsid w:val="00DE4D21"/>
    <w:rsid w:val="00DE5EA6"/>
    <w:rsid w:val="00DE5F41"/>
    <w:rsid w:val="00DE61FB"/>
    <w:rsid w:val="00DE6B6A"/>
    <w:rsid w:val="00DE730F"/>
    <w:rsid w:val="00DE731D"/>
    <w:rsid w:val="00DE7A1D"/>
    <w:rsid w:val="00DF0A8D"/>
    <w:rsid w:val="00DF0E97"/>
    <w:rsid w:val="00DF11F0"/>
    <w:rsid w:val="00DF1956"/>
    <w:rsid w:val="00DF1AD2"/>
    <w:rsid w:val="00DF1D62"/>
    <w:rsid w:val="00DF2170"/>
    <w:rsid w:val="00DF2FC2"/>
    <w:rsid w:val="00DF3508"/>
    <w:rsid w:val="00DF3D62"/>
    <w:rsid w:val="00DF572E"/>
    <w:rsid w:val="00DF596A"/>
    <w:rsid w:val="00DF6DA6"/>
    <w:rsid w:val="00DF6F29"/>
    <w:rsid w:val="00DF708D"/>
    <w:rsid w:val="00DF738E"/>
    <w:rsid w:val="00DF7B4C"/>
    <w:rsid w:val="00DF7EB8"/>
    <w:rsid w:val="00DF7F5A"/>
    <w:rsid w:val="00E0031E"/>
    <w:rsid w:val="00E00FD5"/>
    <w:rsid w:val="00E01166"/>
    <w:rsid w:val="00E01956"/>
    <w:rsid w:val="00E02047"/>
    <w:rsid w:val="00E023E5"/>
    <w:rsid w:val="00E02837"/>
    <w:rsid w:val="00E0443C"/>
    <w:rsid w:val="00E04B4F"/>
    <w:rsid w:val="00E062AA"/>
    <w:rsid w:val="00E06FD6"/>
    <w:rsid w:val="00E074C1"/>
    <w:rsid w:val="00E07B79"/>
    <w:rsid w:val="00E07CDC"/>
    <w:rsid w:val="00E1006A"/>
    <w:rsid w:val="00E105B9"/>
    <w:rsid w:val="00E1079E"/>
    <w:rsid w:val="00E10F6A"/>
    <w:rsid w:val="00E112FA"/>
    <w:rsid w:val="00E12CED"/>
    <w:rsid w:val="00E12EFE"/>
    <w:rsid w:val="00E13D2C"/>
    <w:rsid w:val="00E13EE3"/>
    <w:rsid w:val="00E148CD"/>
    <w:rsid w:val="00E14E22"/>
    <w:rsid w:val="00E14FF5"/>
    <w:rsid w:val="00E15713"/>
    <w:rsid w:val="00E164F7"/>
    <w:rsid w:val="00E16682"/>
    <w:rsid w:val="00E1678A"/>
    <w:rsid w:val="00E17549"/>
    <w:rsid w:val="00E17BAE"/>
    <w:rsid w:val="00E17E85"/>
    <w:rsid w:val="00E17E99"/>
    <w:rsid w:val="00E2002A"/>
    <w:rsid w:val="00E2055A"/>
    <w:rsid w:val="00E20DFC"/>
    <w:rsid w:val="00E21504"/>
    <w:rsid w:val="00E21F2D"/>
    <w:rsid w:val="00E22A26"/>
    <w:rsid w:val="00E22DD9"/>
    <w:rsid w:val="00E2336E"/>
    <w:rsid w:val="00E23655"/>
    <w:rsid w:val="00E23AB9"/>
    <w:rsid w:val="00E23AC4"/>
    <w:rsid w:val="00E23ED2"/>
    <w:rsid w:val="00E244DC"/>
    <w:rsid w:val="00E24E56"/>
    <w:rsid w:val="00E256F7"/>
    <w:rsid w:val="00E25995"/>
    <w:rsid w:val="00E25D57"/>
    <w:rsid w:val="00E26257"/>
    <w:rsid w:val="00E264AD"/>
    <w:rsid w:val="00E27074"/>
    <w:rsid w:val="00E27E1C"/>
    <w:rsid w:val="00E300F2"/>
    <w:rsid w:val="00E31966"/>
    <w:rsid w:val="00E3203D"/>
    <w:rsid w:val="00E32AE4"/>
    <w:rsid w:val="00E32D6A"/>
    <w:rsid w:val="00E33396"/>
    <w:rsid w:val="00E335C5"/>
    <w:rsid w:val="00E33ADE"/>
    <w:rsid w:val="00E33D24"/>
    <w:rsid w:val="00E33E8E"/>
    <w:rsid w:val="00E34706"/>
    <w:rsid w:val="00E34ED4"/>
    <w:rsid w:val="00E35580"/>
    <w:rsid w:val="00E36DD5"/>
    <w:rsid w:val="00E3751A"/>
    <w:rsid w:val="00E377A6"/>
    <w:rsid w:val="00E4005E"/>
    <w:rsid w:val="00E40A1E"/>
    <w:rsid w:val="00E41CF2"/>
    <w:rsid w:val="00E41D23"/>
    <w:rsid w:val="00E4297F"/>
    <w:rsid w:val="00E438F7"/>
    <w:rsid w:val="00E43E29"/>
    <w:rsid w:val="00E43EE5"/>
    <w:rsid w:val="00E44ACD"/>
    <w:rsid w:val="00E44CB9"/>
    <w:rsid w:val="00E44FF6"/>
    <w:rsid w:val="00E45343"/>
    <w:rsid w:val="00E45B97"/>
    <w:rsid w:val="00E466D1"/>
    <w:rsid w:val="00E46852"/>
    <w:rsid w:val="00E46AB1"/>
    <w:rsid w:val="00E479FF"/>
    <w:rsid w:val="00E5057C"/>
    <w:rsid w:val="00E51392"/>
    <w:rsid w:val="00E515B1"/>
    <w:rsid w:val="00E51662"/>
    <w:rsid w:val="00E5269A"/>
    <w:rsid w:val="00E52756"/>
    <w:rsid w:val="00E52ADF"/>
    <w:rsid w:val="00E52EA2"/>
    <w:rsid w:val="00E535D1"/>
    <w:rsid w:val="00E536FC"/>
    <w:rsid w:val="00E539F2"/>
    <w:rsid w:val="00E53AA6"/>
    <w:rsid w:val="00E53C6C"/>
    <w:rsid w:val="00E53CB2"/>
    <w:rsid w:val="00E53D6A"/>
    <w:rsid w:val="00E54438"/>
    <w:rsid w:val="00E54584"/>
    <w:rsid w:val="00E54898"/>
    <w:rsid w:val="00E55558"/>
    <w:rsid w:val="00E55BB8"/>
    <w:rsid w:val="00E56344"/>
    <w:rsid w:val="00E57E87"/>
    <w:rsid w:val="00E601B1"/>
    <w:rsid w:val="00E60DE1"/>
    <w:rsid w:val="00E61076"/>
    <w:rsid w:val="00E61812"/>
    <w:rsid w:val="00E62CF0"/>
    <w:rsid w:val="00E62E5D"/>
    <w:rsid w:val="00E65073"/>
    <w:rsid w:val="00E65E8C"/>
    <w:rsid w:val="00E65EC7"/>
    <w:rsid w:val="00E6670E"/>
    <w:rsid w:val="00E66800"/>
    <w:rsid w:val="00E66D78"/>
    <w:rsid w:val="00E673C1"/>
    <w:rsid w:val="00E67C5C"/>
    <w:rsid w:val="00E67E55"/>
    <w:rsid w:val="00E70504"/>
    <w:rsid w:val="00E70DA4"/>
    <w:rsid w:val="00E71198"/>
    <w:rsid w:val="00E71C3F"/>
    <w:rsid w:val="00E71E4F"/>
    <w:rsid w:val="00E72486"/>
    <w:rsid w:val="00E724EF"/>
    <w:rsid w:val="00E7264E"/>
    <w:rsid w:val="00E72651"/>
    <w:rsid w:val="00E73957"/>
    <w:rsid w:val="00E73A8E"/>
    <w:rsid w:val="00E73C90"/>
    <w:rsid w:val="00E73D3A"/>
    <w:rsid w:val="00E7412C"/>
    <w:rsid w:val="00E743A1"/>
    <w:rsid w:val="00E74BC5"/>
    <w:rsid w:val="00E74F05"/>
    <w:rsid w:val="00E7518B"/>
    <w:rsid w:val="00E7593F"/>
    <w:rsid w:val="00E76497"/>
    <w:rsid w:val="00E76C33"/>
    <w:rsid w:val="00E8011B"/>
    <w:rsid w:val="00E801FE"/>
    <w:rsid w:val="00E80768"/>
    <w:rsid w:val="00E80E1E"/>
    <w:rsid w:val="00E82135"/>
    <w:rsid w:val="00E82862"/>
    <w:rsid w:val="00E82CA0"/>
    <w:rsid w:val="00E82E17"/>
    <w:rsid w:val="00E844F7"/>
    <w:rsid w:val="00E84AD4"/>
    <w:rsid w:val="00E8534F"/>
    <w:rsid w:val="00E854EA"/>
    <w:rsid w:val="00E85EC9"/>
    <w:rsid w:val="00E85F95"/>
    <w:rsid w:val="00E86BAE"/>
    <w:rsid w:val="00E876A3"/>
    <w:rsid w:val="00E87DC5"/>
    <w:rsid w:val="00E903A5"/>
    <w:rsid w:val="00E90A19"/>
    <w:rsid w:val="00E90DC9"/>
    <w:rsid w:val="00E91460"/>
    <w:rsid w:val="00E915F1"/>
    <w:rsid w:val="00E91C42"/>
    <w:rsid w:val="00E92341"/>
    <w:rsid w:val="00E92B3B"/>
    <w:rsid w:val="00E93635"/>
    <w:rsid w:val="00E936EA"/>
    <w:rsid w:val="00E945B4"/>
    <w:rsid w:val="00E94F06"/>
    <w:rsid w:val="00E95243"/>
    <w:rsid w:val="00E956CB"/>
    <w:rsid w:val="00E960B8"/>
    <w:rsid w:val="00E96AEE"/>
    <w:rsid w:val="00E96D1C"/>
    <w:rsid w:val="00E977CB"/>
    <w:rsid w:val="00E977CE"/>
    <w:rsid w:val="00E97990"/>
    <w:rsid w:val="00E97D2F"/>
    <w:rsid w:val="00E97EA7"/>
    <w:rsid w:val="00E97FB1"/>
    <w:rsid w:val="00EA1514"/>
    <w:rsid w:val="00EA16E1"/>
    <w:rsid w:val="00EA1767"/>
    <w:rsid w:val="00EA1F8E"/>
    <w:rsid w:val="00EA2360"/>
    <w:rsid w:val="00EA272B"/>
    <w:rsid w:val="00EA2F5D"/>
    <w:rsid w:val="00EA301E"/>
    <w:rsid w:val="00EA3BA1"/>
    <w:rsid w:val="00EA449C"/>
    <w:rsid w:val="00EA4F1E"/>
    <w:rsid w:val="00EA4F7D"/>
    <w:rsid w:val="00EA5B06"/>
    <w:rsid w:val="00EA5F9C"/>
    <w:rsid w:val="00EA633B"/>
    <w:rsid w:val="00EA659C"/>
    <w:rsid w:val="00EA7206"/>
    <w:rsid w:val="00EB09EE"/>
    <w:rsid w:val="00EB0A68"/>
    <w:rsid w:val="00EB0E6A"/>
    <w:rsid w:val="00EB0FE6"/>
    <w:rsid w:val="00EB14C8"/>
    <w:rsid w:val="00EB16EB"/>
    <w:rsid w:val="00EB182C"/>
    <w:rsid w:val="00EB19D9"/>
    <w:rsid w:val="00EB2287"/>
    <w:rsid w:val="00EB269D"/>
    <w:rsid w:val="00EB30E8"/>
    <w:rsid w:val="00EB33E3"/>
    <w:rsid w:val="00EB344E"/>
    <w:rsid w:val="00EB45D7"/>
    <w:rsid w:val="00EB47B3"/>
    <w:rsid w:val="00EB4926"/>
    <w:rsid w:val="00EB4B58"/>
    <w:rsid w:val="00EB4E5F"/>
    <w:rsid w:val="00EB5181"/>
    <w:rsid w:val="00EB5197"/>
    <w:rsid w:val="00EB5629"/>
    <w:rsid w:val="00EB5734"/>
    <w:rsid w:val="00EB5FF4"/>
    <w:rsid w:val="00EB74DE"/>
    <w:rsid w:val="00EB75EB"/>
    <w:rsid w:val="00EB7605"/>
    <w:rsid w:val="00EB76A7"/>
    <w:rsid w:val="00EB76CB"/>
    <w:rsid w:val="00EC089D"/>
    <w:rsid w:val="00EC0DD3"/>
    <w:rsid w:val="00EC101A"/>
    <w:rsid w:val="00EC10C0"/>
    <w:rsid w:val="00EC1394"/>
    <w:rsid w:val="00EC1CB7"/>
    <w:rsid w:val="00EC20D7"/>
    <w:rsid w:val="00EC226A"/>
    <w:rsid w:val="00EC229B"/>
    <w:rsid w:val="00EC28DD"/>
    <w:rsid w:val="00EC2EE6"/>
    <w:rsid w:val="00EC3012"/>
    <w:rsid w:val="00EC3713"/>
    <w:rsid w:val="00EC37A0"/>
    <w:rsid w:val="00EC3FA5"/>
    <w:rsid w:val="00EC552D"/>
    <w:rsid w:val="00EC5B93"/>
    <w:rsid w:val="00EC6414"/>
    <w:rsid w:val="00EC774B"/>
    <w:rsid w:val="00ED0A53"/>
    <w:rsid w:val="00ED13EB"/>
    <w:rsid w:val="00ED1462"/>
    <w:rsid w:val="00ED14A1"/>
    <w:rsid w:val="00ED17FA"/>
    <w:rsid w:val="00ED1856"/>
    <w:rsid w:val="00ED1BCA"/>
    <w:rsid w:val="00ED2324"/>
    <w:rsid w:val="00ED24B6"/>
    <w:rsid w:val="00ED25D2"/>
    <w:rsid w:val="00ED35C0"/>
    <w:rsid w:val="00ED3F38"/>
    <w:rsid w:val="00ED4124"/>
    <w:rsid w:val="00ED5030"/>
    <w:rsid w:val="00ED547D"/>
    <w:rsid w:val="00ED596C"/>
    <w:rsid w:val="00ED5ACF"/>
    <w:rsid w:val="00EE0174"/>
    <w:rsid w:val="00EE01D1"/>
    <w:rsid w:val="00EE083C"/>
    <w:rsid w:val="00EE0D6A"/>
    <w:rsid w:val="00EE12E9"/>
    <w:rsid w:val="00EE13A7"/>
    <w:rsid w:val="00EE234A"/>
    <w:rsid w:val="00EE2B55"/>
    <w:rsid w:val="00EE3341"/>
    <w:rsid w:val="00EE3445"/>
    <w:rsid w:val="00EE4436"/>
    <w:rsid w:val="00EE4BBE"/>
    <w:rsid w:val="00EE546C"/>
    <w:rsid w:val="00EE563D"/>
    <w:rsid w:val="00EE5DFC"/>
    <w:rsid w:val="00EE60E7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3393"/>
    <w:rsid w:val="00EF3C6A"/>
    <w:rsid w:val="00EF3F1A"/>
    <w:rsid w:val="00EF4355"/>
    <w:rsid w:val="00EF463E"/>
    <w:rsid w:val="00EF541D"/>
    <w:rsid w:val="00EF54F2"/>
    <w:rsid w:val="00EF571F"/>
    <w:rsid w:val="00EF579C"/>
    <w:rsid w:val="00EF57BB"/>
    <w:rsid w:val="00EF585C"/>
    <w:rsid w:val="00EF5B95"/>
    <w:rsid w:val="00EF60B7"/>
    <w:rsid w:val="00EF613D"/>
    <w:rsid w:val="00F00922"/>
    <w:rsid w:val="00F0102C"/>
    <w:rsid w:val="00F0106B"/>
    <w:rsid w:val="00F0137B"/>
    <w:rsid w:val="00F0139C"/>
    <w:rsid w:val="00F01A26"/>
    <w:rsid w:val="00F020E1"/>
    <w:rsid w:val="00F0221D"/>
    <w:rsid w:val="00F027B1"/>
    <w:rsid w:val="00F02DE5"/>
    <w:rsid w:val="00F0324F"/>
    <w:rsid w:val="00F03AA2"/>
    <w:rsid w:val="00F043F9"/>
    <w:rsid w:val="00F04E02"/>
    <w:rsid w:val="00F05558"/>
    <w:rsid w:val="00F0595E"/>
    <w:rsid w:val="00F05A7B"/>
    <w:rsid w:val="00F06454"/>
    <w:rsid w:val="00F0681F"/>
    <w:rsid w:val="00F06CB2"/>
    <w:rsid w:val="00F06E72"/>
    <w:rsid w:val="00F07C8A"/>
    <w:rsid w:val="00F07D8B"/>
    <w:rsid w:val="00F104D0"/>
    <w:rsid w:val="00F10544"/>
    <w:rsid w:val="00F10840"/>
    <w:rsid w:val="00F116E1"/>
    <w:rsid w:val="00F11E4F"/>
    <w:rsid w:val="00F1272B"/>
    <w:rsid w:val="00F12C7E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5D2C"/>
    <w:rsid w:val="00F16582"/>
    <w:rsid w:val="00F16B9D"/>
    <w:rsid w:val="00F16CE1"/>
    <w:rsid w:val="00F17125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23BD"/>
    <w:rsid w:val="00F223EA"/>
    <w:rsid w:val="00F225EC"/>
    <w:rsid w:val="00F22EE2"/>
    <w:rsid w:val="00F232DA"/>
    <w:rsid w:val="00F23613"/>
    <w:rsid w:val="00F24874"/>
    <w:rsid w:val="00F24980"/>
    <w:rsid w:val="00F24B20"/>
    <w:rsid w:val="00F24EF6"/>
    <w:rsid w:val="00F25470"/>
    <w:rsid w:val="00F25C36"/>
    <w:rsid w:val="00F26145"/>
    <w:rsid w:val="00F26345"/>
    <w:rsid w:val="00F2634C"/>
    <w:rsid w:val="00F264A6"/>
    <w:rsid w:val="00F26D6D"/>
    <w:rsid w:val="00F30616"/>
    <w:rsid w:val="00F319F9"/>
    <w:rsid w:val="00F32AF9"/>
    <w:rsid w:val="00F33B96"/>
    <w:rsid w:val="00F346B1"/>
    <w:rsid w:val="00F3484E"/>
    <w:rsid w:val="00F34E84"/>
    <w:rsid w:val="00F34FB3"/>
    <w:rsid w:val="00F35350"/>
    <w:rsid w:val="00F3594C"/>
    <w:rsid w:val="00F36323"/>
    <w:rsid w:val="00F36F16"/>
    <w:rsid w:val="00F37507"/>
    <w:rsid w:val="00F40042"/>
    <w:rsid w:val="00F415F2"/>
    <w:rsid w:val="00F42037"/>
    <w:rsid w:val="00F423F6"/>
    <w:rsid w:val="00F42415"/>
    <w:rsid w:val="00F424D3"/>
    <w:rsid w:val="00F4284C"/>
    <w:rsid w:val="00F43696"/>
    <w:rsid w:val="00F443B0"/>
    <w:rsid w:val="00F444E7"/>
    <w:rsid w:val="00F447EA"/>
    <w:rsid w:val="00F44943"/>
    <w:rsid w:val="00F453DF"/>
    <w:rsid w:val="00F46462"/>
    <w:rsid w:val="00F4737E"/>
    <w:rsid w:val="00F47D5F"/>
    <w:rsid w:val="00F47E5F"/>
    <w:rsid w:val="00F50623"/>
    <w:rsid w:val="00F511EE"/>
    <w:rsid w:val="00F51D28"/>
    <w:rsid w:val="00F51DF3"/>
    <w:rsid w:val="00F51E4D"/>
    <w:rsid w:val="00F533F9"/>
    <w:rsid w:val="00F534EB"/>
    <w:rsid w:val="00F53867"/>
    <w:rsid w:val="00F539AC"/>
    <w:rsid w:val="00F53D94"/>
    <w:rsid w:val="00F5420D"/>
    <w:rsid w:val="00F54768"/>
    <w:rsid w:val="00F54ADC"/>
    <w:rsid w:val="00F553E8"/>
    <w:rsid w:val="00F55630"/>
    <w:rsid w:val="00F55AA3"/>
    <w:rsid w:val="00F55DFC"/>
    <w:rsid w:val="00F56C88"/>
    <w:rsid w:val="00F5757F"/>
    <w:rsid w:val="00F57BDA"/>
    <w:rsid w:val="00F57F43"/>
    <w:rsid w:val="00F60058"/>
    <w:rsid w:val="00F600E8"/>
    <w:rsid w:val="00F6066A"/>
    <w:rsid w:val="00F60688"/>
    <w:rsid w:val="00F6071E"/>
    <w:rsid w:val="00F60D88"/>
    <w:rsid w:val="00F60DC0"/>
    <w:rsid w:val="00F61248"/>
    <w:rsid w:val="00F61281"/>
    <w:rsid w:val="00F613C3"/>
    <w:rsid w:val="00F626F5"/>
    <w:rsid w:val="00F629DE"/>
    <w:rsid w:val="00F638B4"/>
    <w:rsid w:val="00F6394E"/>
    <w:rsid w:val="00F640F5"/>
    <w:rsid w:val="00F64176"/>
    <w:rsid w:val="00F643C2"/>
    <w:rsid w:val="00F64A0B"/>
    <w:rsid w:val="00F6557B"/>
    <w:rsid w:val="00F666B5"/>
    <w:rsid w:val="00F66B92"/>
    <w:rsid w:val="00F6708D"/>
    <w:rsid w:val="00F67275"/>
    <w:rsid w:val="00F67E59"/>
    <w:rsid w:val="00F67EF9"/>
    <w:rsid w:val="00F70B36"/>
    <w:rsid w:val="00F713E2"/>
    <w:rsid w:val="00F7187B"/>
    <w:rsid w:val="00F718A4"/>
    <w:rsid w:val="00F72698"/>
    <w:rsid w:val="00F728AA"/>
    <w:rsid w:val="00F72AD3"/>
    <w:rsid w:val="00F72C8A"/>
    <w:rsid w:val="00F72CA8"/>
    <w:rsid w:val="00F72D90"/>
    <w:rsid w:val="00F741FA"/>
    <w:rsid w:val="00F7430B"/>
    <w:rsid w:val="00F745D9"/>
    <w:rsid w:val="00F7523E"/>
    <w:rsid w:val="00F759D7"/>
    <w:rsid w:val="00F7609A"/>
    <w:rsid w:val="00F76924"/>
    <w:rsid w:val="00F76FD6"/>
    <w:rsid w:val="00F77293"/>
    <w:rsid w:val="00F77C33"/>
    <w:rsid w:val="00F77D71"/>
    <w:rsid w:val="00F808F0"/>
    <w:rsid w:val="00F80927"/>
    <w:rsid w:val="00F819E1"/>
    <w:rsid w:val="00F822A0"/>
    <w:rsid w:val="00F83A8B"/>
    <w:rsid w:val="00F83B2E"/>
    <w:rsid w:val="00F84099"/>
    <w:rsid w:val="00F8412E"/>
    <w:rsid w:val="00F843F7"/>
    <w:rsid w:val="00F8476D"/>
    <w:rsid w:val="00F85501"/>
    <w:rsid w:val="00F85511"/>
    <w:rsid w:val="00F856DE"/>
    <w:rsid w:val="00F85851"/>
    <w:rsid w:val="00F86769"/>
    <w:rsid w:val="00F8676D"/>
    <w:rsid w:val="00F86C16"/>
    <w:rsid w:val="00F875DA"/>
    <w:rsid w:val="00F8763D"/>
    <w:rsid w:val="00F8798B"/>
    <w:rsid w:val="00F87A60"/>
    <w:rsid w:val="00F9034D"/>
    <w:rsid w:val="00F90624"/>
    <w:rsid w:val="00F907AF"/>
    <w:rsid w:val="00F90E09"/>
    <w:rsid w:val="00F91CBC"/>
    <w:rsid w:val="00F91E36"/>
    <w:rsid w:val="00F922ED"/>
    <w:rsid w:val="00F92A03"/>
    <w:rsid w:val="00F93A0A"/>
    <w:rsid w:val="00F94A71"/>
    <w:rsid w:val="00F94CCA"/>
    <w:rsid w:val="00F9535C"/>
    <w:rsid w:val="00F9576D"/>
    <w:rsid w:val="00F95780"/>
    <w:rsid w:val="00F95EFB"/>
    <w:rsid w:val="00F9624E"/>
    <w:rsid w:val="00F96923"/>
    <w:rsid w:val="00F96E26"/>
    <w:rsid w:val="00F970DB"/>
    <w:rsid w:val="00F97380"/>
    <w:rsid w:val="00F9766C"/>
    <w:rsid w:val="00F97A08"/>
    <w:rsid w:val="00FA008C"/>
    <w:rsid w:val="00FA0431"/>
    <w:rsid w:val="00FA0577"/>
    <w:rsid w:val="00FA086C"/>
    <w:rsid w:val="00FA0870"/>
    <w:rsid w:val="00FA0FFB"/>
    <w:rsid w:val="00FA1441"/>
    <w:rsid w:val="00FA14D6"/>
    <w:rsid w:val="00FA203F"/>
    <w:rsid w:val="00FA38A1"/>
    <w:rsid w:val="00FA3C01"/>
    <w:rsid w:val="00FA3D13"/>
    <w:rsid w:val="00FA3F41"/>
    <w:rsid w:val="00FA4A3B"/>
    <w:rsid w:val="00FA5783"/>
    <w:rsid w:val="00FA62C1"/>
    <w:rsid w:val="00FA6360"/>
    <w:rsid w:val="00FA6B17"/>
    <w:rsid w:val="00FA7860"/>
    <w:rsid w:val="00FB0060"/>
    <w:rsid w:val="00FB012F"/>
    <w:rsid w:val="00FB0A08"/>
    <w:rsid w:val="00FB0AD3"/>
    <w:rsid w:val="00FB0D58"/>
    <w:rsid w:val="00FB185F"/>
    <w:rsid w:val="00FB21EE"/>
    <w:rsid w:val="00FB2506"/>
    <w:rsid w:val="00FB306B"/>
    <w:rsid w:val="00FB3784"/>
    <w:rsid w:val="00FB50C2"/>
    <w:rsid w:val="00FB529D"/>
    <w:rsid w:val="00FB56C5"/>
    <w:rsid w:val="00FB57EF"/>
    <w:rsid w:val="00FB59E5"/>
    <w:rsid w:val="00FB59FA"/>
    <w:rsid w:val="00FB5FB0"/>
    <w:rsid w:val="00FB6B86"/>
    <w:rsid w:val="00FB6F0E"/>
    <w:rsid w:val="00FC06BF"/>
    <w:rsid w:val="00FC0AE4"/>
    <w:rsid w:val="00FC0E21"/>
    <w:rsid w:val="00FC1694"/>
    <w:rsid w:val="00FC1CF2"/>
    <w:rsid w:val="00FC2124"/>
    <w:rsid w:val="00FC2576"/>
    <w:rsid w:val="00FC2A8A"/>
    <w:rsid w:val="00FC2E45"/>
    <w:rsid w:val="00FC351E"/>
    <w:rsid w:val="00FC35DE"/>
    <w:rsid w:val="00FC4398"/>
    <w:rsid w:val="00FC44BC"/>
    <w:rsid w:val="00FC4B62"/>
    <w:rsid w:val="00FC4BA2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982"/>
    <w:rsid w:val="00FC6E6C"/>
    <w:rsid w:val="00FC6E74"/>
    <w:rsid w:val="00FC7186"/>
    <w:rsid w:val="00FC742F"/>
    <w:rsid w:val="00FC7C89"/>
    <w:rsid w:val="00FD0917"/>
    <w:rsid w:val="00FD0F61"/>
    <w:rsid w:val="00FD1280"/>
    <w:rsid w:val="00FD143C"/>
    <w:rsid w:val="00FD1946"/>
    <w:rsid w:val="00FD2965"/>
    <w:rsid w:val="00FD2A64"/>
    <w:rsid w:val="00FD2CC3"/>
    <w:rsid w:val="00FD3D61"/>
    <w:rsid w:val="00FD436D"/>
    <w:rsid w:val="00FD491D"/>
    <w:rsid w:val="00FD49DB"/>
    <w:rsid w:val="00FD5062"/>
    <w:rsid w:val="00FD5094"/>
    <w:rsid w:val="00FD5F99"/>
    <w:rsid w:val="00FD764D"/>
    <w:rsid w:val="00FD7B35"/>
    <w:rsid w:val="00FD7C6C"/>
    <w:rsid w:val="00FD7CDC"/>
    <w:rsid w:val="00FD7F20"/>
    <w:rsid w:val="00FE01A6"/>
    <w:rsid w:val="00FE02F8"/>
    <w:rsid w:val="00FE0BA6"/>
    <w:rsid w:val="00FE0F46"/>
    <w:rsid w:val="00FE1445"/>
    <w:rsid w:val="00FE153E"/>
    <w:rsid w:val="00FE18EF"/>
    <w:rsid w:val="00FE1C38"/>
    <w:rsid w:val="00FE1CE2"/>
    <w:rsid w:val="00FE1DFC"/>
    <w:rsid w:val="00FE235B"/>
    <w:rsid w:val="00FE27FE"/>
    <w:rsid w:val="00FE2852"/>
    <w:rsid w:val="00FE2F5F"/>
    <w:rsid w:val="00FE393B"/>
    <w:rsid w:val="00FE4608"/>
    <w:rsid w:val="00FE4826"/>
    <w:rsid w:val="00FE5DD2"/>
    <w:rsid w:val="00FE66DF"/>
    <w:rsid w:val="00FE6845"/>
    <w:rsid w:val="00FE6AD1"/>
    <w:rsid w:val="00FE78FD"/>
    <w:rsid w:val="00FE7BA2"/>
    <w:rsid w:val="00FE7D77"/>
    <w:rsid w:val="00FF0586"/>
    <w:rsid w:val="00FF09BD"/>
    <w:rsid w:val="00FF1744"/>
    <w:rsid w:val="00FF2265"/>
    <w:rsid w:val="00FF2CC4"/>
    <w:rsid w:val="00FF3496"/>
    <w:rsid w:val="00FF3CA1"/>
    <w:rsid w:val="00FF4177"/>
    <w:rsid w:val="00FF4675"/>
    <w:rsid w:val="00FF48C8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E603043"/>
  <w15:docId w15:val="{7852BEF1-67F8-4A31-A8EA-C0359A06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customStyle="1" w:styleId="TextoindependienteCar">
    <w:name w:val="Texto independiente Car"/>
    <w:link w:val="Textoindependiente"/>
    <w:rsid w:val="003915CD"/>
    <w:rPr>
      <w:rFonts w:ascii="Arial" w:hAnsi="Arial" w:cs="Arial"/>
      <w:color w:val="0000F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050B"/>
    <w:rPr>
      <w:color w:val="808080"/>
      <w:shd w:val="clear" w:color="auto" w:fill="E6E6E6"/>
    </w:rPr>
  </w:style>
  <w:style w:type="paragraph" w:customStyle="1" w:styleId="parr2">
    <w:name w:val="parr2"/>
    <w:basedOn w:val="Normal"/>
    <w:rsid w:val="0010647A"/>
    <w:pPr>
      <w:spacing w:before="600"/>
      <w:ind w:left="567" w:right="15"/>
    </w:pPr>
    <w:rPr>
      <w:rFonts w:cs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4E375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E3750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E3750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4E3750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3594C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B76A7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5" Type="http://schemas.openxmlformats.org/officeDocument/2006/relationships/chart" Target="charts/chart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eader" Target="header2.xml"/><Relationship Id="rId29" Type="http://schemas.openxmlformats.org/officeDocument/2006/relationships/hyperlink" Target="https://www.inegi.org.mx/programas/inpp/201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footer" Target="footer3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header" Target="header3.xml"/><Relationship Id="rId28" Type="http://schemas.openxmlformats.org/officeDocument/2006/relationships/hyperlink" Target="https://www.inegi.org.mx/temas/inpp/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footer" Target="footer2.xml"/><Relationship Id="rId27" Type="http://schemas.openxmlformats.org/officeDocument/2006/relationships/hyperlink" Target="https://www.inegi.org.mx/programas/inpp/2019/default.html" TargetMode="External"/><Relationship Id="rId30" Type="http://schemas.openxmlformats.org/officeDocument/2006/relationships/header" Target="header4.xml"/><Relationship Id="rId8" Type="http://schemas.openxmlformats.org/officeDocument/2006/relationships/hyperlink" Target="mailto:comunicacionsocial@inegi.org.m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P%20-%20mensual\3-%20Cuadros%20y%20gr&#225;ficas\INPP_Gr&#225;ficas%20-%20con%20petr&#243;leo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W-appintrafp11\Analisis%20eco%20sec\1.-COMUNICADOS%20Y%20NOTAS\Precios-Inflaci&#243;n%20INPP%20-%20mensual\3-%20Cuadros%20y%20gr&#225;ficas\INPP_Gr&#225;ficas%20-%20con%20petr&#243;le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898412698412692E-2"/>
          <c:y val="4.8670531508681961E-2"/>
          <c:w val="0.90638333333333332"/>
          <c:h val="0.81404978134061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con petroleo'!$U$76:$Z$76</c:f>
              <c:strCache>
                <c:ptCount val="6"/>
                <c:pt idx="0">
                  <c:v>Total</c:v>
                </c:pt>
              </c:strCache>
            </c:strRef>
          </c:tx>
          <c:spPr>
            <a:solidFill>
              <a:srgbClr val="8EB4E3"/>
            </a:solidFill>
            <a:ln w="6350"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con petroleo'!$X$77:$Z$77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'Datos con petroleo'!$X$89:$Z$89</c:f>
              <c:numCache>
                <c:formatCode>0.00</c:formatCode>
                <c:ptCount val="3"/>
                <c:pt idx="0">
                  <c:v>5.1668094672559999</c:v>
                </c:pt>
                <c:pt idx="1">
                  <c:v>6.1074298927420001</c:v>
                </c:pt>
                <c:pt idx="2">
                  <c:v>1.0087853379501297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6C-4D0E-A08D-9B2A80944240}"/>
            </c:ext>
          </c:extLst>
        </c:ser>
        <c:ser>
          <c:idx val="1"/>
          <c:order val="1"/>
          <c:tx>
            <c:strRef>
              <c:f>'Datos con petroleo'!$AA$76:$AF$76</c:f>
              <c:strCache>
                <c:ptCount val="6"/>
                <c:pt idx="0">
                  <c:v>Actividades Primarias </c:v>
                </c:pt>
              </c:strCache>
            </c:strRef>
          </c:tx>
          <c:spPr>
            <a:pattFill prst="smCheck">
              <a:fgClr>
                <a:srgbClr val="B4CDE5"/>
              </a:fgClr>
              <a:bgClr>
                <a:schemeClr val="bg1"/>
              </a:bgClr>
            </a:pattFill>
            <a:ln>
              <a:solidFill>
                <a:srgbClr val="8EB4E3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con petroleo'!$X$77:$Z$77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'Datos con petroleo'!$AD$89:$AF$89</c:f>
              <c:numCache>
                <c:formatCode>0.00</c:formatCode>
                <c:ptCount val="3"/>
                <c:pt idx="0">
                  <c:v>5.3487211953480003</c:v>
                </c:pt>
                <c:pt idx="1">
                  <c:v>4.6877245715570002</c:v>
                </c:pt>
                <c:pt idx="2">
                  <c:v>-4.2234525510929046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6C-4D0E-A08D-9B2A80944240}"/>
            </c:ext>
          </c:extLst>
        </c:ser>
        <c:ser>
          <c:idx val="2"/>
          <c:order val="2"/>
          <c:tx>
            <c:strRef>
              <c:f>'Datos con petroleo'!$AG$76:$AL$76</c:f>
              <c:strCache>
                <c:ptCount val="6"/>
                <c:pt idx="0">
                  <c:v>Actividades Secundarias</c:v>
                </c:pt>
              </c:strCache>
            </c:strRef>
          </c:tx>
          <c:spPr>
            <a:solidFill>
              <a:srgbClr val="376092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con petroleo'!$X$77:$Z$77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'Datos con petroleo'!$AJ$89:$AL$89</c:f>
              <c:numCache>
                <c:formatCode>0.00</c:formatCode>
                <c:ptCount val="3"/>
                <c:pt idx="0">
                  <c:v>5.694410957593</c:v>
                </c:pt>
                <c:pt idx="1">
                  <c:v>7.2020232371509998</c:v>
                </c:pt>
                <c:pt idx="2">
                  <c:v>0.35440147722640347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6C-4D0E-A08D-9B2A80944240}"/>
            </c:ext>
          </c:extLst>
        </c:ser>
        <c:ser>
          <c:idx val="3"/>
          <c:order val="3"/>
          <c:tx>
            <c:strRef>
              <c:f>'Datos con petroleo'!$AM$76:$AR$76</c:f>
              <c:strCache>
                <c:ptCount val="6"/>
                <c:pt idx="0">
                  <c:v>Actividades Terciarias</c:v>
                </c:pt>
              </c:strCache>
            </c:strRef>
          </c:tx>
          <c:spPr>
            <a:pattFill prst="dkUpDiag">
              <a:fgClr>
                <a:srgbClr val="4BACC6"/>
              </a:fgClr>
              <a:bgClr>
                <a:schemeClr val="bg1"/>
              </a:bgClr>
            </a:pattFill>
            <a:ln w="3175">
              <a:solidFill>
                <a:srgbClr val="8EB4E3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con petroleo'!$X$77:$Z$77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'Datos con petroleo'!$AP$89:$AR$89</c:f>
              <c:numCache>
                <c:formatCode>0.00</c:formatCode>
                <c:ptCount val="3"/>
                <c:pt idx="0">
                  <c:v>4.2275612485040002</c:v>
                </c:pt>
                <c:pt idx="1">
                  <c:v>4.3758122252240002</c:v>
                </c:pt>
                <c:pt idx="2">
                  <c:v>3.0807014255514389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96C-4D0E-A08D-9B2A8094424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6"/>
        <c:axId val="109577320"/>
        <c:axId val="109580064"/>
      </c:barChart>
      <c:catAx>
        <c:axId val="10957732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anchor="t" anchorCtr="1"/>
          <a:lstStyle/>
          <a:p>
            <a:pPr>
              <a:defRPr sz="800" b="1"/>
            </a:pPr>
            <a:endParaRPr lang="es-MX"/>
          </a:p>
        </c:txPr>
        <c:crossAx val="109580064"/>
        <c:crosses val="autoZero"/>
        <c:auto val="1"/>
        <c:lblAlgn val="ctr"/>
        <c:lblOffset val="100"/>
        <c:tickLblSkip val="1"/>
        <c:noMultiLvlLbl val="0"/>
      </c:catAx>
      <c:valAx>
        <c:axId val="109580064"/>
        <c:scaling>
          <c:orientation val="minMax"/>
          <c:max val="9"/>
          <c:min val="-6"/>
        </c:scaling>
        <c:delete val="0"/>
        <c:axPos val="l"/>
        <c:majorGridlines>
          <c:spPr>
            <a:ln>
              <a:noFill/>
            </a:ln>
          </c:spPr>
        </c:majorGridlines>
        <c:numFmt formatCode="0.0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</c:spPr>
        <c:txPr>
          <a:bodyPr/>
          <a:lstStyle/>
          <a:p>
            <a:pPr>
              <a:defRPr sz="700" b="1"/>
            </a:pPr>
            <a:endParaRPr lang="es-MX"/>
          </a:p>
        </c:txPr>
        <c:crossAx val="109577320"/>
        <c:crossesAt val="1"/>
        <c:crossBetween val="between"/>
        <c:majorUnit val="3"/>
      </c:valAx>
      <c:spPr>
        <a:noFill/>
        <a:ln w="6350">
          <a:noFill/>
        </a:ln>
      </c:spPr>
    </c:plotArea>
    <c:legend>
      <c:legendPos val="b"/>
      <c:layout>
        <c:manualLayout>
          <c:xMode val="edge"/>
          <c:yMode val="edge"/>
          <c:x val="5.1540476190476178E-2"/>
          <c:y val="0.93010416666666662"/>
          <c:w val="0.89187936507936505"/>
          <c:h val="6.56857075169319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ysClr val="windowText" lastClr="000000"/>
      </a:solidFill>
    </a:ln>
    <a:effectLst>
      <a:outerShdw dist="12700" dir="2700000" algn="tl" rotWithShape="0">
        <a:srgbClr val="000000"/>
      </a:outerShdw>
    </a:effectLst>
  </c:spPr>
  <c:txPr>
    <a:bodyPr/>
    <a:lstStyle/>
    <a:p>
      <a:pPr>
        <a:defRPr sz="11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769642857142851E-2"/>
          <c:y val="4.8506944444444443E-2"/>
          <c:w val="0.87783360896191365"/>
          <c:h val="0.79411423611111132"/>
        </c:manualLayout>
      </c:layout>
      <c:lineChart>
        <c:grouping val="standard"/>
        <c:varyColors val="0"/>
        <c:ser>
          <c:idx val="0"/>
          <c:order val="0"/>
          <c:tx>
            <c:strRef>
              <c:f>'Datos con petroleo'!$O$5</c:f>
              <c:strCache>
                <c:ptCount val="1"/>
                <c:pt idx="0">
                  <c:v>Producción Total</c:v>
                </c:pt>
              </c:strCache>
            </c:strRef>
          </c:tx>
          <c:spPr>
            <a:ln w="25400">
              <a:solidFill>
                <a:srgbClr val="009E00"/>
              </a:solidFill>
            </a:ln>
          </c:spPr>
          <c:marker>
            <c:symbol val="none"/>
          </c:marker>
          <c:dLbls>
            <c:dLbl>
              <c:idx val="3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B7F-459A-976D-2F51BC0A7A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con petroleo'!$A$65:$B$101</c:f>
              <c:multiLvlStrCache>
                <c:ptCount val="37"/>
                <c:lvl>
                  <c:pt idx="0">
                    <c:v>D</c:v>
                  </c:pt>
                  <c:pt idx="1">
                    <c:v>E</c:v>
                  </c:pt>
                  <c:pt idx="2">
                    <c:v>F</c:v>
                  </c:pt>
                  <c:pt idx="3">
                    <c:v>M</c:v>
                  </c:pt>
                  <c:pt idx="4">
                    <c:v>A</c:v>
                  </c:pt>
                  <c:pt idx="5">
                    <c:v>M</c:v>
                  </c:pt>
                  <c:pt idx="6">
                    <c:v>J</c:v>
                  </c:pt>
                  <c:pt idx="7">
                    <c:v>J</c:v>
                  </c:pt>
                  <c:pt idx="8">
                    <c:v>A</c:v>
                  </c:pt>
                  <c:pt idx="9">
                    <c:v>S</c:v>
                  </c:pt>
                  <c:pt idx="10">
                    <c:v>O</c:v>
                  </c:pt>
                  <c:pt idx="11">
                    <c:v>N</c:v>
                  </c:pt>
                  <c:pt idx="12">
                    <c:v>D</c:v>
                  </c:pt>
                  <c:pt idx="13">
                    <c:v>E</c:v>
                  </c:pt>
                  <c:pt idx="14">
                    <c:v>F</c:v>
                  </c:pt>
                  <c:pt idx="15">
                    <c:v>M</c:v>
                  </c:pt>
                  <c:pt idx="16">
                    <c:v>A</c:v>
                  </c:pt>
                  <c:pt idx="17">
                    <c:v>M</c:v>
                  </c:pt>
                  <c:pt idx="18">
                    <c:v>J</c:v>
                  </c:pt>
                  <c:pt idx="19">
                    <c:v>J</c:v>
                  </c:pt>
                  <c:pt idx="20">
                    <c:v>A</c:v>
                  </c:pt>
                  <c:pt idx="21">
                    <c:v>S</c:v>
                  </c:pt>
                  <c:pt idx="22">
                    <c:v>O</c:v>
                  </c:pt>
                  <c:pt idx="23">
                    <c:v>N</c:v>
                  </c:pt>
                  <c:pt idx="24">
                    <c:v>D</c:v>
                  </c:pt>
                  <c:pt idx="25">
                    <c:v>E</c:v>
                  </c:pt>
                  <c:pt idx="26">
                    <c:v>F</c:v>
                  </c:pt>
                  <c:pt idx="27">
                    <c:v>M</c:v>
                  </c:pt>
                  <c:pt idx="28">
                    <c:v>A</c:v>
                  </c:pt>
                  <c:pt idx="29">
                    <c:v>M</c:v>
                  </c:pt>
                  <c:pt idx="30">
                    <c:v>J</c:v>
                  </c:pt>
                  <c:pt idx="31">
                    <c:v>J</c:v>
                  </c:pt>
                  <c:pt idx="32">
                    <c:v>A</c:v>
                  </c:pt>
                  <c:pt idx="33">
                    <c:v>S</c:v>
                  </c:pt>
                  <c:pt idx="34">
                    <c:v>O</c:v>
                  </c:pt>
                  <c:pt idx="35">
                    <c:v>N</c:v>
                  </c:pt>
                  <c:pt idx="36">
                    <c:v>D</c:v>
                  </c:pt>
                </c:lvl>
                <c:lvl>
                  <c:pt idx="1">
                    <c:v>2017</c:v>
                  </c:pt>
                  <c:pt idx="13">
                    <c:v>2018</c:v>
                  </c:pt>
                  <c:pt idx="25">
                    <c:v>2019</c:v>
                  </c:pt>
                </c:lvl>
              </c:multiLvlStrCache>
            </c:multiLvlStrRef>
          </c:cat>
          <c:val>
            <c:numRef>
              <c:f>'Datos con petroleo'!$O$65:$O$101</c:f>
              <c:numCache>
                <c:formatCode>0.00</c:formatCode>
                <c:ptCount val="37"/>
                <c:pt idx="0">
                  <c:v>10.257238549359</c:v>
                </c:pt>
                <c:pt idx="1">
                  <c:v>12.286609514476</c:v>
                </c:pt>
                <c:pt idx="2">
                  <c:v>11.518060453045999</c:v>
                </c:pt>
                <c:pt idx="3">
                  <c:v>10.667918767952999</c:v>
                </c:pt>
                <c:pt idx="4">
                  <c:v>9.7337798595549998</c:v>
                </c:pt>
                <c:pt idx="5">
                  <c:v>8.5805320242020002</c:v>
                </c:pt>
                <c:pt idx="6">
                  <c:v>6.470328022466</c:v>
                </c:pt>
                <c:pt idx="7">
                  <c:v>6.0378080409999999</c:v>
                </c:pt>
                <c:pt idx="8">
                  <c:v>5.953320260411</c:v>
                </c:pt>
                <c:pt idx="9">
                  <c:v>4.9948342475669998</c:v>
                </c:pt>
                <c:pt idx="10">
                  <c:v>5.62</c:v>
                </c:pt>
                <c:pt idx="11">
                  <c:v>6.0980795439950004</c:v>
                </c:pt>
                <c:pt idx="12">
                  <c:v>5.1668094672559999</c:v>
                </c:pt>
                <c:pt idx="13">
                  <c:v>3.8409904137069999</c:v>
                </c:pt>
                <c:pt idx="14">
                  <c:v>3.741544798844</c:v>
                </c:pt>
                <c:pt idx="15">
                  <c:v>4.6323972709439998</c:v>
                </c:pt>
                <c:pt idx="16">
                  <c:v>5.0446205716149999</c:v>
                </c:pt>
                <c:pt idx="17">
                  <c:v>6.9621551693530002</c:v>
                </c:pt>
                <c:pt idx="18">
                  <c:v>9.2199928547750005</c:v>
                </c:pt>
                <c:pt idx="19">
                  <c:v>8.4716707922140007</c:v>
                </c:pt>
                <c:pt idx="20">
                  <c:v>7.9092000088630003</c:v>
                </c:pt>
                <c:pt idx="21">
                  <c:v>8.5724985979459998</c:v>
                </c:pt>
                <c:pt idx="22">
                  <c:v>8.1738816367493285</c:v>
                </c:pt>
                <c:pt idx="23">
                  <c:v>7.0925614940459996</c:v>
                </c:pt>
                <c:pt idx="24">
                  <c:v>6.1074298927420001</c:v>
                </c:pt>
                <c:pt idx="25">
                  <c:v>4.4190802663359996</c:v>
                </c:pt>
                <c:pt idx="26">
                  <c:v>4.4825691107900001</c:v>
                </c:pt>
                <c:pt idx="27">
                  <c:v>4.3370517675369999</c:v>
                </c:pt>
                <c:pt idx="28">
                  <c:v>4.8307753255339998</c:v>
                </c:pt>
                <c:pt idx="29">
                  <c:v>2.774343932636</c:v>
                </c:pt>
                <c:pt idx="30">
                  <c:v>1.5966322782119999</c:v>
                </c:pt>
                <c:pt idx="31">
                  <c:v>2.486245252857</c:v>
                </c:pt>
                <c:pt idx="32">
                  <c:v>1.9728454392070001</c:v>
                </c:pt>
                <c:pt idx="33">
                  <c:v>1.8791804448124338</c:v>
                </c:pt>
                <c:pt idx="34">
                  <c:v>0.62139901353905902</c:v>
                </c:pt>
                <c:pt idx="35">
                  <c:v>0.15222887446604272</c:v>
                </c:pt>
                <c:pt idx="36">
                  <c:v>1.0087853379501244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DBD-4122-A146-EA10DEA87319}"/>
            </c:ext>
          </c:extLst>
        </c:ser>
        <c:ser>
          <c:idx val="2"/>
          <c:order val="1"/>
          <c:tx>
            <c:strRef>
              <c:f>'Datos con petroleo'!$Q$5</c:f>
              <c:strCache>
                <c:ptCount val="1"/>
                <c:pt idx="0">
                  <c:v>Bienes Intermedios</c:v>
                </c:pt>
              </c:strCache>
            </c:strRef>
          </c:tx>
          <c:spPr>
            <a:ln w="15875">
              <a:solidFill>
                <a:srgbClr val="002060"/>
              </a:solidFill>
            </a:ln>
          </c:spPr>
          <c:marker>
            <c:symbol val="none"/>
          </c:marker>
          <c:dLbls>
            <c:dLbl>
              <c:idx val="36"/>
              <c:layout>
                <c:manualLayout>
                  <c:x val="-9.9206447625444074E-8"/>
                  <c:y val="-1.33257515908637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335769182310687E-2"/>
                      <c:h val="4.873208379272325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B7F-459A-976D-2F51BC0A7A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con petroleo'!$A$65:$B$101</c:f>
              <c:multiLvlStrCache>
                <c:ptCount val="37"/>
                <c:lvl>
                  <c:pt idx="0">
                    <c:v>D</c:v>
                  </c:pt>
                  <c:pt idx="1">
                    <c:v>E</c:v>
                  </c:pt>
                  <c:pt idx="2">
                    <c:v>F</c:v>
                  </c:pt>
                  <c:pt idx="3">
                    <c:v>M</c:v>
                  </c:pt>
                  <c:pt idx="4">
                    <c:v>A</c:v>
                  </c:pt>
                  <c:pt idx="5">
                    <c:v>M</c:v>
                  </c:pt>
                  <c:pt idx="6">
                    <c:v>J</c:v>
                  </c:pt>
                  <c:pt idx="7">
                    <c:v>J</c:v>
                  </c:pt>
                  <c:pt idx="8">
                    <c:v>A</c:v>
                  </c:pt>
                  <c:pt idx="9">
                    <c:v>S</c:v>
                  </c:pt>
                  <c:pt idx="10">
                    <c:v>O</c:v>
                  </c:pt>
                  <c:pt idx="11">
                    <c:v>N</c:v>
                  </c:pt>
                  <c:pt idx="12">
                    <c:v>D</c:v>
                  </c:pt>
                  <c:pt idx="13">
                    <c:v>E</c:v>
                  </c:pt>
                  <c:pt idx="14">
                    <c:v>F</c:v>
                  </c:pt>
                  <c:pt idx="15">
                    <c:v>M</c:v>
                  </c:pt>
                  <c:pt idx="16">
                    <c:v>A</c:v>
                  </c:pt>
                  <c:pt idx="17">
                    <c:v>M</c:v>
                  </c:pt>
                  <c:pt idx="18">
                    <c:v>J</c:v>
                  </c:pt>
                  <c:pt idx="19">
                    <c:v>J</c:v>
                  </c:pt>
                  <c:pt idx="20">
                    <c:v>A</c:v>
                  </c:pt>
                  <c:pt idx="21">
                    <c:v>S</c:v>
                  </c:pt>
                  <c:pt idx="22">
                    <c:v>O</c:v>
                  </c:pt>
                  <c:pt idx="23">
                    <c:v>N</c:v>
                  </c:pt>
                  <c:pt idx="24">
                    <c:v>D</c:v>
                  </c:pt>
                  <c:pt idx="25">
                    <c:v>E</c:v>
                  </c:pt>
                  <c:pt idx="26">
                    <c:v>F</c:v>
                  </c:pt>
                  <c:pt idx="27">
                    <c:v>M</c:v>
                  </c:pt>
                  <c:pt idx="28">
                    <c:v>A</c:v>
                  </c:pt>
                  <c:pt idx="29">
                    <c:v>M</c:v>
                  </c:pt>
                  <c:pt idx="30">
                    <c:v>J</c:v>
                  </c:pt>
                  <c:pt idx="31">
                    <c:v>J</c:v>
                  </c:pt>
                  <c:pt idx="32">
                    <c:v>A</c:v>
                  </c:pt>
                  <c:pt idx="33">
                    <c:v>S</c:v>
                  </c:pt>
                  <c:pt idx="34">
                    <c:v>O</c:v>
                  </c:pt>
                  <c:pt idx="35">
                    <c:v>N</c:v>
                  </c:pt>
                  <c:pt idx="36">
                    <c:v>D</c:v>
                  </c:pt>
                </c:lvl>
                <c:lvl>
                  <c:pt idx="1">
                    <c:v>2017</c:v>
                  </c:pt>
                  <c:pt idx="13">
                    <c:v>2018</c:v>
                  </c:pt>
                  <c:pt idx="25">
                    <c:v>2019</c:v>
                  </c:pt>
                </c:lvl>
              </c:multiLvlStrCache>
            </c:multiLvlStrRef>
          </c:cat>
          <c:val>
            <c:numRef>
              <c:f>'Datos con petroleo'!$Q$65:$Q$101</c:f>
              <c:numCache>
                <c:formatCode>0.00</c:formatCode>
                <c:ptCount val="37"/>
                <c:pt idx="0">
                  <c:v>13.006015438718</c:v>
                </c:pt>
                <c:pt idx="1">
                  <c:v>16.918244889741999</c:v>
                </c:pt>
                <c:pt idx="2">
                  <c:v>16.279473366367998</c:v>
                </c:pt>
                <c:pt idx="3">
                  <c:v>15.149407562342001</c:v>
                </c:pt>
                <c:pt idx="4">
                  <c:v>13.301023635123</c:v>
                </c:pt>
                <c:pt idx="5">
                  <c:v>11.577548401995999</c:v>
                </c:pt>
                <c:pt idx="6">
                  <c:v>8.7303033643429995</c:v>
                </c:pt>
                <c:pt idx="7">
                  <c:v>7.9205378881239996</c:v>
                </c:pt>
                <c:pt idx="8">
                  <c:v>7.2492977167279999</c:v>
                </c:pt>
                <c:pt idx="9">
                  <c:v>5.9678936249880001</c:v>
                </c:pt>
                <c:pt idx="10">
                  <c:v>6.4971177576620001</c:v>
                </c:pt>
                <c:pt idx="11">
                  <c:v>7.3917813079489996</c:v>
                </c:pt>
                <c:pt idx="12">
                  <c:v>6.3118424439050003</c:v>
                </c:pt>
                <c:pt idx="13">
                  <c:v>4.5440208058009999</c:v>
                </c:pt>
                <c:pt idx="14">
                  <c:v>4.5409095735199996</c:v>
                </c:pt>
                <c:pt idx="15">
                  <c:v>5.2694084898569997</c:v>
                </c:pt>
                <c:pt idx="16">
                  <c:v>6.1436743298590004</c:v>
                </c:pt>
                <c:pt idx="17">
                  <c:v>8.9483560277740004</c:v>
                </c:pt>
                <c:pt idx="18">
                  <c:v>11.739315074348999</c:v>
                </c:pt>
                <c:pt idx="19">
                  <c:v>11.121879976277</c:v>
                </c:pt>
                <c:pt idx="20">
                  <c:v>10.47853243544</c:v>
                </c:pt>
                <c:pt idx="21">
                  <c:v>11.308714776853</c:v>
                </c:pt>
                <c:pt idx="22">
                  <c:v>10.834220498766999</c:v>
                </c:pt>
                <c:pt idx="23">
                  <c:v>8.8840817437599995</c:v>
                </c:pt>
                <c:pt idx="24">
                  <c:v>6.9540594768309996</c:v>
                </c:pt>
                <c:pt idx="25">
                  <c:v>4.5654259852410002</c:v>
                </c:pt>
                <c:pt idx="26">
                  <c:v>4.4496815810659998</c:v>
                </c:pt>
                <c:pt idx="27">
                  <c:v>4.240177887432</c:v>
                </c:pt>
                <c:pt idx="28">
                  <c:v>4.7964909359819998</c:v>
                </c:pt>
                <c:pt idx="29">
                  <c:v>2.1038903642890001</c:v>
                </c:pt>
                <c:pt idx="30">
                  <c:v>0.51586227177699995</c:v>
                </c:pt>
                <c:pt idx="31">
                  <c:v>1.607133555109</c:v>
                </c:pt>
                <c:pt idx="32">
                  <c:v>-0.13813061550700001</c:v>
                </c:pt>
                <c:pt idx="33">
                  <c:v>-0.13150189347165275</c:v>
                </c:pt>
                <c:pt idx="34">
                  <c:v>-2.1465399924927797</c:v>
                </c:pt>
                <c:pt idx="35">
                  <c:v>-2.3665099945998525</c:v>
                </c:pt>
                <c:pt idx="36">
                  <c:v>-0.76404809176909838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DBD-4122-A146-EA10DEA87319}"/>
            </c:ext>
          </c:extLst>
        </c:ser>
        <c:ser>
          <c:idx val="1"/>
          <c:order val="2"/>
          <c:tx>
            <c:strRef>
              <c:f>'Datos con petroleo'!$P$5</c:f>
              <c:strCache>
                <c:ptCount val="1"/>
                <c:pt idx="0">
                  <c:v>Bienes Finales</c:v>
                </c:pt>
              </c:strCache>
            </c:strRef>
          </c:tx>
          <c:spPr>
            <a:ln w="15875">
              <a:solidFill>
                <a:srgbClr val="FF0000"/>
              </a:solidFill>
              <a:prstDash val="sysDash"/>
            </a:ln>
          </c:spPr>
          <c:marker>
            <c:symbol val="none"/>
          </c:marker>
          <c:dLbls>
            <c:dLbl>
              <c:idx val="36"/>
              <c:layout>
                <c:manualLayout>
                  <c:x val="0"/>
                  <c:y val="-8.72491843575265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B7F-459A-976D-2F51BC0A7A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'Datos con petroleo'!$A$65:$B$101</c:f>
              <c:multiLvlStrCache>
                <c:ptCount val="37"/>
                <c:lvl>
                  <c:pt idx="0">
                    <c:v>D</c:v>
                  </c:pt>
                  <c:pt idx="1">
                    <c:v>E</c:v>
                  </c:pt>
                  <c:pt idx="2">
                    <c:v>F</c:v>
                  </c:pt>
                  <c:pt idx="3">
                    <c:v>M</c:v>
                  </c:pt>
                  <c:pt idx="4">
                    <c:v>A</c:v>
                  </c:pt>
                  <c:pt idx="5">
                    <c:v>M</c:v>
                  </c:pt>
                  <c:pt idx="6">
                    <c:v>J</c:v>
                  </c:pt>
                  <c:pt idx="7">
                    <c:v>J</c:v>
                  </c:pt>
                  <c:pt idx="8">
                    <c:v>A</c:v>
                  </c:pt>
                  <c:pt idx="9">
                    <c:v>S</c:v>
                  </c:pt>
                  <c:pt idx="10">
                    <c:v>O</c:v>
                  </c:pt>
                  <c:pt idx="11">
                    <c:v>N</c:v>
                  </c:pt>
                  <c:pt idx="12">
                    <c:v>D</c:v>
                  </c:pt>
                  <c:pt idx="13">
                    <c:v>E</c:v>
                  </c:pt>
                  <c:pt idx="14">
                    <c:v>F</c:v>
                  </c:pt>
                  <c:pt idx="15">
                    <c:v>M</c:v>
                  </c:pt>
                  <c:pt idx="16">
                    <c:v>A</c:v>
                  </c:pt>
                  <c:pt idx="17">
                    <c:v>M</c:v>
                  </c:pt>
                  <c:pt idx="18">
                    <c:v>J</c:v>
                  </c:pt>
                  <c:pt idx="19">
                    <c:v>J</c:v>
                  </c:pt>
                  <c:pt idx="20">
                    <c:v>A</c:v>
                  </c:pt>
                  <c:pt idx="21">
                    <c:v>S</c:v>
                  </c:pt>
                  <c:pt idx="22">
                    <c:v>O</c:v>
                  </c:pt>
                  <c:pt idx="23">
                    <c:v>N</c:v>
                  </c:pt>
                  <c:pt idx="24">
                    <c:v>D</c:v>
                  </c:pt>
                  <c:pt idx="25">
                    <c:v>E</c:v>
                  </c:pt>
                  <c:pt idx="26">
                    <c:v>F</c:v>
                  </c:pt>
                  <c:pt idx="27">
                    <c:v>M</c:v>
                  </c:pt>
                  <c:pt idx="28">
                    <c:v>A</c:v>
                  </c:pt>
                  <c:pt idx="29">
                    <c:v>M</c:v>
                  </c:pt>
                  <c:pt idx="30">
                    <c:v>J</c:v>
                  </c:pt>
                  <c:pt idx="31">
                    <c:v>J</c:v>
                  </c:pt>
                  <c:pt idx="32">
                    <c:v>A</c:v>
                  </c:pt>
                  <c:pt idx="33">
                    <c:v>S</c:v>
                  </c:pt>
                  <c:pt idx="34">
                    <c:v>O</c:v>
                  </c:pt>
                  <c:pt idx="35">
                    <c:v>N</c:v>
                  </c:pt>
                  <c:pt idx="36">
                    <c:v>D</c:v>
                  </c:pt>
                </c:lvl>
                <c:lvl>
                  <c:pt idx="1">
                    <c:v>2017</c:v>
                  </c:pt>
                  <c:pt idx="13">
                    <c:v>2018</c:v>
                  </c:pt>
                  <c:pt idx="25">
                    <c:v>2019</c:v>
                  </c:pt>
                </c:lvl>
              </c:multiLvlStrCache>
            </c:multiLvlStrRef>
          </c:cat>
          <c:val>
            <c:numRef>
              <c:f>'Datos con petroleo'!$P$65:$P$101</c:f>
              <c:numCache>
                <c:formatCode>0.00</c:formatCode>
                <c:ptCount val="37"/>
                <c:pt idx="0">
                  <c:v>9.0613341478889993</c:v>
                </c:pt>
                <c:pt idx="1">
                  <c:v>10.287049491238999</c:v>
                </c:pt>
                <c:pt idx="2">
                  <c:v>9.4606855739570008</c:v>
                </c:pt>
                <c:pt idx="3">
                  <c:v>8.7202240091699998</c:v>
                </c:pt>
                <c:pt idx="4">
                  <c:v>8.1737038344910005</c:v>
                </c:pt>
                <c:pt idx="5">
                  <c:v>7.2631552469110003</c:v>
                </c:pt>
                <c:pt idx="6">
                  <c:v>5.4728310910099998</c:v>
                </c:pt>
                <c:pt idx="7">
                  <c:v>5.2056469065130004</c:v>
                </c:pt>
                <c:pt idx="8">
                  <c:v>5.3774965992929999</c:v>
                </c:pt>
                <c:pt idx="9">
                  <c:v>4.5602443638199999</c:v>
                </c:pt>
                <c:pt idx="10">
                  <c:v>5.384428082236</c:v>
                </c:pt>
                <c:pt idx="11">
                  <c:v>5.5170915528610003</c:v>
                </c:pt>
                <c:pt idx="12">
                  <c:v>4.6506240585979999</c:v>
                </c:pt>
                <c:pt idx="13">
                  <c:v>3.5192304885049999</c:v>
                </c:pt>
                <c:pt idx="14">
                  <c:v>3.3746280928229999</c:v>
                </c:pt>
                <c:pt idx="15">
                  <c:v>4.3391749471779999</c:v>
                </c:pt>
                <c:pt idx="16">
                  <c:v>4.5411848324440003</c:v>
                </c:pt>
                <c:pt idx="17">
                  <c:v>6.0539785870609997</c:v>
                </c:pt>
                <c:pt idx="18">
                  <c:v>8.0736841746800003</c:v>
                </c:pt>
                <c:pt idx="19">
                  <c:v>7.2700577716749999</c:v>
                </c:pt>
                <c:pt idx="20">
                  <c:v>6.7473262653220001</c:v>
                </c:pt>
                <c:pt idx="21">
                  <c:v>7.3339918159730004</c:v>
                </c:pt>
                <c:pt idx="22">
                  <c:v>6.6062789633639998</c:v>
                </c:pt>
                <c:pt idx="23">
                  <c:v>6.2737141570280004</c:v>
                </c:pt>
                <c:pt idx="24">
                  <c:v>5.7197074038849998</c:v>
                </c:pt>
                <c:pt idx="25">
                  <c:v>4.3514383288219998</c:v>
                </c:pt>
                <c:pt idx="26">
                  <c:v>4.4978351385390001</c:v>
                </c:pt>
                <c:pt idx="27">
                  <c:v>4.382041294764</c:v>
                </c:pt>
                <c:pt idx="28">
                  <c:v>4.8467204615380002</c:v>
                </c:pt>
                <c:pt idx="29">
                  <c:v>3.0892706862370001</c:v>
                </c:pt>
                <c:pt idx="30">
                  <c:v>2.1050693349139999</c:v>
                </c:pt>
                <c:pt idx="31">
                  <c:v>2.899149733527</c:v>
                </c:pt>
                <c:pt idx="32">
                  <c:v>2.8603260694069998</c:v>
                </c:pt>
                <c:pt idx="33">
                  <c:v>2.7427981547228697</c:v>
                </c:pt>
                <c:pt idx="34">
                  <c:v>1.8043278854535494</c:v>
                </c:pt>
                <c:pt idx="35">
                  <c:v>1.2055156293719893</c:v>
                </c:pt>
                <c:pt idx="36">
                  <c:v>1.7063263371860371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DBD-4122-A146-EA10DEA873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9576928"/>
        <c:axId val="109582808"/>
      </c:lineChart>
      <c:valAx>
        <c:axId val="109582808"/>
        <c:scaling>
          <c:orientation val="minMax"/>
          <c:max val="20"/>
          <c:min val="-3"/>
        </c:scaling>
        <c:delete val="0"/>
        <c:axPos val="l"/>
        <c:numFmt formatCode="0.00" sourceLinked="1"/>
        <c:majorTickMark val="out"/>
        <c:minorTickMark val="none"/>
        <c:tickLblPos val="nextTo"/>
        <c:spPr>
          <a:ln w="6350">
            <a:solidFill>
              <a:schemeClr val="tx1"/>
            </a:solidFill>
          </a:ln>
        </c:spPr>
        <c:txPr>
          <a:bodyPr/>
          <a:lstStyle/>
          <a:p>
            <a:pPr>
              <a:defRPr b="1"/>
            </a:pPr>
            <a:endParaRPr lang="es-MX"/>
          </a:p>
        </c:txPr>
        <c:crossAx val="109576928"/>
        <c:crossesAt val="1"/>
        <c:crossBetween val="midCat"/>
        <c:majorUnit val="3"/>
      </c:valAx>
      <c:catAx>
        <c:axId val="10957692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 anchor="ctr" anchorCtr="0"/>
          <a:lstStyle/>
          <a:p>
            <a:pPr>
              <a:defRPr sz="700" b="1"/>
            </a:pPr>
            <a:endParaRPr lang="es-MX"/>
          </a:p>
        </c:txPr>
        <c:crossAx val="109582808"/>
        <c:crossesAt val="0"/>
        <c:auto val="1"/>
        <c:lblAlgn val="ctr"/>
        <c:lblOffset val="100"/>
        <c:tickLblSkip val="1"/>
        <c:tickMarkSkip val="1"/>
        <c:noMultiLvlLbl val="1"/>
      </c:catAx>
      <c:spPr>
        <a:noFill/>
        <a:ln w="3175">
          <a:noFill/>
        </a:ln>
      </c:spPr>
    </c:plotArea>
    <c:legend>
      <c:legendPos val="b"/>
      <c:layout>
        <c:manualLayout>
          <c:xMode val="edge"/>
          <c:yMode val="edge"/>
          <c:x val="6.7183730158730165E-2"/>
          <c:y val="0.93491266277289053"/>
          <c:w val="0.87920221746994454"/>
          <c:h val="6.318868965387804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  <a:scene3d>
      <a:camera prst="orthographicFront"/>
      <a:lightRig rig="threePt" dir="t"/>
    </a:scene3d>
    <a:sp3d>
      <a:bevelT w="0" h="0"/>
    </a:sp3d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0.05273</cdr:x>
      <cdr:y>0.90552</cdr:y>
    </cdr:from>
    <cdr:to>
      <cdr:x>0.10346</cdr:x>
      <cdr:y>0.94148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265766" y="2651028"/>
          <a:ext cx="255671" cy="1052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38108-CF47-487F-85CC-383AEBBE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28</TotalTime>
  <Pages>10</Pages>
  <Words>3202</Words>
  <Characters>18177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INDICE NACIONAL DE PRECIOS PRODUCTOR</vt:lpstr>
    </vt:vector>
  </TitlesOfParts>
  <Company>INEGI</Company>
  <LinksUpToDate>false</LinksUpToDate>
  <CharactersWithSpaces>21337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Índice Nacional de Precios Productor</dc:title>
  <dc:creator>INEGI</dc:creator>
  <cp:keywords>PRECIOS PRODUCTOR INTERMEDIOS FINALES</cp:keywords>
  <cp:lastModifiedBy>SALA DE PRENSA</cp:lastModifiedBy>
  <cp:revision>13</cp:revision>
  <cp:lastPrinted>2019-11-06T14:56:00Z</cp:lastPrinted>
  <dcterms:created xsi:type="dcterms:W3CDTF">2020-01-02T19:08:00Z</dcterms:created>
  <dcterms:modified xsi:type="dcterms:W3CDTF">2020-01-08T23:33:00Z</dcterms:modified>
  <cp:category>INDICES DE PRECIOS</cp:category>
  <cp:version>1</cp:version>
</cp:coreProperties>
</file>