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4A46" w14:textId="77777777" w:rsidR="00CB3E59" w:rsidRDefault="00CB3E59" w:rsidP="00CB3E59">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8C77B8A" wp14:editId="27DB3B65">
                <wp:simplePos x="0" y="0"/>
                <wp:positionH relativeFrom="column">
                  <wp:posOffset>2893695</wp:posOffset>
                </wp:positionH>
                <wp:positionV relativeFrom="paragraph">
                  <wp:posOffset>635</wp:posOffset>
                </wp:positionV>
                <wp:extent cx="3249930" cy="266700"/>
                <wp:effectExtent l="0" t="0" r="762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266700"/>
                        </a:xfrm>
                        <a:prstGeom prst="rect">
                          <a:avLst/>
                        </a:prstGeom>
                        <a:solidFill>
                          <a:srgbClr val="FFFFFF"/>
                        </a:solidFill>
                        <a:ln w="9525">
                          <a:noFill/>
                          <a:miter lim="800000"/>
                          <a:headEnd/>
                          <a:tailEnd/>
                        </a:ln>
                      </wps:spPr>
                      <wps:txbx>
                        <w:txbxContent>
                          <w:p w14:paraId="5920B544" w14:textId="77777777" w:rsidR="0094242F" w:rsidRPr="00265B8C" w:rsidRDefault="0094242F" w:rsidP="00CB3E5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77B8A" id="_x0000_t202" coordsize="21600,21600" o:spt="202" path="m,l,21600r21600,l21600,xe">
                <v:stroke joinstyle="miter"/>
                <v:path gradientshapeok="t" o:connecttype="rect"/>
              </v:shapetype>
              <v:shape id="Cuadro de texto 217" o:spid="_x0000_s1026" type="#_x0000_t202" style="position:absolute;left:0;text-align:left;margin-left:227.85pt;margin-top:.05pt;width:255.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" stroked="f">
                <v:textbox>
                  <w:txbxContent>
                    <w:p w14:paraId="5920B544" w14:textId="77777777" w:rsidR="0094242F" w:rsidRPr="00265B8C" w:rsidRDefault="0094242F" w:rsidP="00CB3E5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txbxContent>
                </v:textbox>
                <w10:wrap type="square"/>
              </v:shape>
            </w:pict>
          </mc:Fallback>
        </mc:AlternateContent>
      </w:r>
    </w:p>
    <w:p w14:paraId="45AB0545" w14:textId="77777777" w:rsidR="00CB3E59" w:rsidRDefault="00CB3E59" w:rsidP="00CB3E59">
      <w:pPr>
        <w:pStyle w:val="Profesin"/>
      </w:pPr>
      <w:r w:rsidRPr="009E234E">
        <w:t xml:space="preserve"> </w:t>
      </w:r>
      <w:r>
        <w:t xml:space="preserve">   </w:t>
      </w:r>
    </w:p>
    <w:p w14:paraId="4CF5F77D" w14:textId="77777777" w:rsidR="00CB3E59" w:rsidRDefault="00CB3E59" w:rsidP="00CB3E59">
      <w:pPr>
        <w:pStyle w:val="Profesin"/>
      </w:pPr>
      <w:r w:rsidRPr="009E234E">
        <w:t xml:space="preserve"> </w:t>
      </w:r>
      <w:r>
        <w:t xml:space="preserve">   </w:t>
      </w:r>
    </w:p>
    <w:p w14:paraId="132464EF" w14:textId="77777777" w:rsidR="00CB3E59" w:rsidRPr="004F04F0" w:rsidRDefault="00CB3E59" w:rsidP="00CB3E59">
      <w:pPr>
        <w:pStyle w:val="Profesin"/>
        <w:rPr>
          <w:b w:val="0"/>
        </w:rPr>
      </w:pPr>
      <w:r w:rsidRPr="0092783E">
        <w:t>ÍNDICE NACIONAL DE PRECIOS productor</w:t>
      </w:r>
    </w:p>
    <w:p w14:paraId="7640D53A" w14:textId="156BC557" w:rsidR="00CB3E59" w:rsidRPr="0092783E" w:rsidRDefault="00E20483" w:rsidP="00CB3E59">
      <w:pPr>
        <w:pStyle w:val="Profesin"/>
        <w:ind w:left="708" w:hanging="708"/>
      </w:pPr>
      <w:r>
        <w:t xml:space="preserve">    </w:t>
      </w:r>
      <w:r w:rsidR="00CB3E59">
        <w:t>FEBRERO DE 2020</w:t>
      </w:r>
    </w:p>
    <w:p w14:paraId="3040F8F3" w14:textId="77777777" w:rsidR="00CB3E59" w:rsidRPr="008C48E9" w:rsidRDefault="00CB3E59" w:rsidP="00CB3E59">
      <w:pPr>
        <w:spacing w:before="240"/>
        <w:ind w:left="-426" w:right="-738"/>
      </w:pPr>
      <w:r w:rsidRPr="008C48E9">
        <w:t>El Instituto Nacional de Estadística y Geografía (INEGI) informa que en el segundo mes de 2020 el Índice Nacional de Precios Productor (INPP) Total, incluyendo petróleo, presentó un incremento de 0.15% mensual y de 0.96% a tasa anual</w:t>
      </w:r>
      <w:r w:rsidRPr="008C48E9">
        <w:rPr>
          <w:vertAlign w:val="superscript"/>
        </w:rPr>
        <w:footnoteReference w:id="1"/>
      </w:r>
      <w:r w:rsidRPr="008C48E9">
        <w:t>. En igual mes de 2019 aumentó 0.27% mensual y 4.48% anual.</w:t>
      </w:r>
    </w:p>
    <w:p w14:paraId="479B44E3" w14:textId="77777777" w:rsidR="00CB3E59" w:rsidRPr="008C48E9" w:rsidRDefault="00CB3E59" w:rsidP="00CB3E59">
      <w:pPr>
        <w:spacing w:before="360"/>
        <w:ind w:left="-426" w:right="-738"/>
      </w:pPr>
      <w:r w:rsidRPr="008C48E9">
        <w:t>Por grupos de actividades económicas, los precios de las Actividades Primarias ascendieron 5.14% y los de las Actividades Terciarias 0.40%, mientras que los de las Actividades Secundarias cayeron (</w:t>
      </w:r>
      <w:r w:rsidRPr="008C48E9">
        <w:noBreakHyphen/>
        <w:t>)0.38% a tasa mensual.</w:t>
      </w:r>
    </w:p>
    <w:p w14:paraId="2AAEA4AA" w14:textId="77777777" w:rsidR="00CB3E59" w:rsidRPr="008C48E9" w:rsidRDefault="00CB3E59" w:rsidP="00CB3E59">
      <w:pPr>
        <w:spacing w:before="360"/>
        <w:ind w:left="-426" w:right="-738"/>
      </w:pPr>
      <w:r w:rsidRPr="008C48E9">
        <w:t>El Índice de Mercancías y Servicios de Uso Intermedio, incluyendo petróleo, mostró una reducción mensual de (</w:t>
      </w:r>
      <w:r w:rsidRPr="008C48E9">
        <w:noBreakHyphen/>
        <w:t>)0.03% y anual de (</w:t>
      </w:r>
      <w:r w:rsidRPr="008C48E9">
        <w:noBreakHyphen/>
        <w:t>)1.24 por ciento.</w:t>
      </w:r>
    </w:p>
    <w:p w14:paraId="08EFCC54" w14:textId="77777777" w:rsidR="00CB3E59" w:rsidRPr="008C48E9" w:rsidRDefault="00CB3E59" w:rsidP="00CB3E59">
      <w:pPr>
        <w:spacing w:before="360"/>
        <w:ind w:left="-426" w:right="-738"/>
      </w:pPr>
      <w:r w:rsidRPr="008C48E9">
        <w:t>Por su parte, el Índice de Mercancías y Servicios Finales, incluyendo petróleo, registró un alza mensual de 0.22% y anual de 1.84 por ciento.</w:t>
      </w:r>
    </w:p>
    <w:p w14:paraId="727E5953" w14:textId="77777777" w:rsidR="00CB3E59" w:rsidRPr="00171176" w:rsidRDefault="00CB3E59" w:rsidP="00CB3E59">
      <w:pPr>
        <w:pStyle w:val="Prrafodelista"/>
        <w:spacing w:before="360"/>
        <w:ind w:left="0"/>
        <w:jc w:val="center"/>
        <w:rPr>
          <w:snapToGrid w:val="0"/>
          <w:sz w:val="20"/>
          <w:szCs w:val="20"/>
        </w:rPr>
      </w:pPr>
      <w:r w:rsidRPr="00171176">
        <w:rPr>
          <w:snapToGrid w:val="0"/>
          <w:sz w:val="20"/>
          <w:szCs w:val="20"/>
        </w:rPr>
        <w:t>Cuadro 1</w:t>
      </w:r>
    </w:p>
    <w:p w14:paraId="7435C8CC" w14:textId="77777777" w:rsidR="00CB3E59" w:rsidRPr="002D3D3F" w:rsidRDefault="00CB3E59" w:rsidP="00CB3E59">
      <w:pPr>
        <w:widowControl w:val="0"/>
        <w:autoSpaceDE w:val="0"/>
        <w:autoSpaceDN w:val="0"/>
        <w:adjustRightInd w:val="0"/>
        <w:jc w:val="center"/>
        <w:rPr>
          <w:snapToGrid w:val="0"/>
          <w:sz w:val="20"/>
          <w:szCs w:val="20"/>
        </w:rPr>
      </w:pPr>
      <w:r w:rsidRPr="002D3D3F">
        <w:rPr>
          <w:b/>
          <w:snapToGrid w:val="0"/>
          <w:sz w:val="22"/>
          <w:szCs w:val="22"/>
        </w:rPr>
        <w:t xml:space="preserve">ÍNDICE NACIONAL DE PRECIOS PRODUCTOR </w:t>
      </w:r>
    </w:p>
    <w:p w14:paraId="4E653FDB" w14:textId="77777777" w:rsidR="00CB3E59" w:rsidRPr="002D3D3F" w:rsidRDefault="00CB3E59" w:rsidP="00CB3E59">
      <w:pPr>
        <w:widowControl w:val="0"/>
        <w:autoSpaceDE w:val="0"/>
        <w:autoSpaceDN w:val="0"/>
        <w:adjustRightInd w:val="0"/>
        <w:jc w:val="center"/>
        <w:rPr>
          <w:b/>
          <w:snapToGrid w:val="0"/>
          <w:sz w:val="22"/>
          <w:szCs w:val="22"/>
        </w:rPr>
      </w:pPr>
      <w:r w:rsidRPr="002D3D3F">
        <w:rPr>
          <w:b/>
          <w:snapToGrid w:val="0"/>
          <w:sz w:val="22"/>
          <w:szCs w:val="22"/>
        </w:rPr>
        <w:t>MERCANCÍAS Y SERVICIOS INTERMEDIOS,</w:t>
      </w:r>
      <w:r>
        <w:rPr>
          <w:b/>
          <w:snapToGrid w:val="0"/>
          <w:sz w:val="22"/>
          <w:szCs w:val="22"/>
        </w:rPr>
        <w:t xml:space="preserve"> FINALES Y PRODUCCIÓN TOTAL, </w:t>
      </w:r>
      <w:r>
        <w:rPr>
          <w:b/>
          <w:snapToGrid w:val="0"/>
          <w:sz w:val="22"/>
          <w:szCs w:val="22"/>
        </w:rPr>
        <w:br/>
      </w:r>
      <w:r w:rsidRPr="00DC48FE">
        <w:rPr>
          <w:b/>
          <w:snapToGrid w:val="0"/>
          <w:sz w:val="22"/>
          <w:szCs w:val="22"/>
        </w:rPr>
        <w:t>INCLUYENDO PETRÓLEO</w:t>
      </w:r>
      <w:r w:rsidRPr="002D3D3F">
        <w:rPr>
          <w:b/>
          <w:snapToGrid w:val="0"/>
          <w:sz w:val="22"/>
          <w:szCs w:val="22"/>
        </w:rPr>
        <w:t xml:space="preserve">, DURANTE </w:t>
      </w:r>
      <w:r>
        <w:rPr>
          <w:b/>
          <w:snapToGrid w:val="0"/>
          <w:sz w:val="22"/>
          <w:szCs w:val="22"/>
        </w:rPr>
        <w:t>FEBRERO</w:t>
      </w:r>
      <w:r w:rsidRPr="002D3D3F">
        <w:rPr>
          <w:b/>
          <w:snapToGrid w:val="0"/>
          <w:sz w:val="22"/>
          <w:szCs w:val="22"/>
        </w:rPr>
        <w:t xml:space="preserve"> DE 20</w:t>
      </w:r>
      <w:r>
        <w:rPr>
          <w:b/>
          <w:snapToGrid w:val="0"/>
          <w:sz w:val="22"/>
          <w:szCs w:val="22"/>
        </w:rPr>
        <w:t>20</w:t>
      </w:r>
    </w:p>
    <w:p w14:paraId="1D4F973E" w14:textId="77777777" w:rsidR="00CB3E59" w:rsidRPr="002D3D3F" w:rsidRDefault="00CB3E59" w:rsidP="00CB3E59">
      <w:pPr>
        <w:widowControl w:val="0"/>
        <w:autoSpaceDE w:val="0"/>
        <w:autoSpaceDN w:val="0"/>
        <w:adjustRightInd w:val="0"/>
        <w:jc w:val="center"/>
        <w:rPr>
          <w:snapToGrid w:val="0"/>
          <w:sz w:val="22"/>
          <w:szCs w:val="22"/>
        </w:rPr>
      </w:pPr>
      <w:r w:rsidRPr="002D3D3F">
        <w:rPr>
          <w:snapToGrid w:val="0"/>
          <w:sz w:val="22"/>
          <w:szCs w:val="22"/>
        </w:rPr>
        <w:t>Clasificación por origen</w:t>
      </w:r>
    </w:p>
    <w:p w14:paraId="1169E178" w14:textId="77777777" w:rsidR="00CB3E59" w:rsidRDefault="00CB3E59" w:rsidP="00CB3E59">
      <w:pPr>
        <w:widowControl w:val="0"/>
        <w:autoSpaceDE w:val="0"/>
        <w:autoSpaceDN w:val="0"/>
        <w:adjustRightInd w:val="0"/>
        <w:jc w:val="center"/>
        <w:rPr>
          <w:snapToGrid w:val="0"/>
          <w:sz w:val="18"/>
          <w:szCs w:val="18"/>
        </w:rPr>
      </w:pPr>
      <w:r w:rsidRPr="002D3D3F">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CB3E59" w:rsidRPr="00A9663B" w14:paraId="7B0C8864" w14:textId="77777777" w:rsidTr="0094242F">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5FB780F" w14:textId="77777777" w:rsidR="00CB3E59" w:rsidRPr="00A9663B" w:rsidRDefault="00CB3E59" w:rsidP="0094242F">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B39AB85" w14:textId="77777777" w:rsidR="00CB3E59" w:rsidRPr="00A9663B" w:rsidRDefault="00CB3E59" w:rsidP="0094242F">
            <w:pPr>
              <w:ind w:left="-57" w:right="-57"/>
              <w:jc w:val="center"/>
              <w:rPr>
                <w:bCs/>
                <w:color w:val="000000"/>
                <w:sz w:val="16"/>
                <w:szCs w:val="16"/>
                <w:lang w:eastAsia="es-MX"/>
              </w:rPr>
            </w:pPr>
            <w:r w:rsidRPr="00A9663B">
              <w:rPr>
                <w:bCs/>
                <w:color w:val="000000"/>
                <w:sz w:val="16"/>
                <w:szCs w:val="16"/>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E75DF84" w14:textId="77777777" w:rsidR="00CB3E59" w:rsidRPr="00A9663B" w:rsidRDefault="00CB3E59" w:rsidP="0094242F">
            <w:pPr>
              <w:ind w:left="-57" w:right="-57"/>
              <w:jc w:val="center"/>
              <w:rPr>
                <w:bCs/>
                <w:color w:val="000000"/>
                <w:sz w:val="16"/>
                <w:szCs w:val="16"/>
                <w:lang w:eastAsia="es-MX"/>
              </w:rPr>
            </w:pPr>
            <w:r w:rsidRPr="00A9663B">
              <w:rPr>
                <w:bCs/>
                <w:color w:val="000000"/>
                <w:sz w:val="16"/>
                <w:szCs w:val="16"/>
                <w:lang w:eastAsia="es-MX"/>
              </w:rPr>
              <w:t>Variación anual</w:t>
            </w:r>
            <w:r>
              <w:rPr>
                <w:bCs/>
                <w:color w:val="000000"/>
                <w:sz w:val="16"/>
                <w:szCs w:val="16"/>
                <w:lang w:eastAsia="es-MX"/>
              </w:rPr>
              <w:t xml:space="preserve"> </w:t>
            </w:r>
            <w:r w:rsidRPr="003A67B2">
              <w:rPr>
                <w:bCs/>
                <w:color w:val="000000"/>
                <w:sz w:val="16"/>
                <w:szCs w:val="16"/>
                <w:vertAlign w:val="superscript"/>
                <w:lang w:eastAsia="es-MX"/>
              </w:rPr>
              <w:t>1/</w:t>
            </w:r>
          </w:p>
        </w:tc>
      </w:tr>
      <w:tr w:rsidR="00CB3E59" w:rsidRPr="00A9663B" w14:paraId="526DC97B" w14:textId="77777777" w:rsidTr="0094242F">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2AD9626F" w14:textId="77777777" w:rsidR="00CB3E59" w:rsidRPr="00A9663B" w:rsidRDefault="00CB3E59" w:rsidP="0094242F">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70A20AC6" w14:textId="77777777" w:rsidR="00CB3E59" w:rsidRPr="00A9663B" w:rsidRDefault="00CB3E59" w:rsidP="0094242F">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3842E97" w14:textId="77777777" w:rsidR="00CB3E59" w:rsidRPr="00A9663B" w:rsidRDefault="00CB3E59" w:rsidP="0094242F">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0FC169E" w14:textId="77777777" w:rsidR="00CB3E59" w:rsidRPr="00A9663B" w:rsidRDefault="00CB3E59" w:rsidP="0094242F">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1FC9B57" w14:textId="77777777" w:rsidR="00CB3E59" w:rsidRPr="00A9663B" w:rsidRDefault="00CB3E59" w:rsidP="0094242F">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2E040AF" w14:textId="77777777" w:rsidR="00CB3E59" w:rsidRPr="00A9663B" w:rsidRDefault="00CB3E59" w:rsidP="0094242F">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01E3896" w14:textId="77777777" w:rsidR="00CB3E59" w:rsidRPr="00A9663B" w:rsidRDefault="00CB3E59" w:rsidP="0094242F">
            <w:pPr>
              <w:ind w:left="-57" w:right="-57"/>
              <w:jc w:val="center"/>
              <w:rPr>
                <w:bCs/>
                <w:color w:val="000000"/>
                <w:sz w:val="16"/>
                <w:szCs w:val="16"/>
                <w:lang w:eastAsia="es-MX"/>
              </w:rPr>
            </w:pPr>
            <w:r w:rsidRPr="00A9663B">
              <w:rPr>
                <w:bCs/>
                <w:color w:val="000000"/>
                <w:sz w:val="16"/>
                <w:szCs w:val="16"/>
                <w:lang w:eastAsia="es-MX"/>
              </w:rPr>
              <w:t>Total</w:t>
            </w:r>
          </w:p>
        </w:tc>
      </w:tr>
      <w:tr w:rsidR="00CB3E59" w:rsidRPr="00841586" w14:paraId="5703D94B" w14:textId="77777777" w:rsidTr="0094242F">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8D74F52" w14:textId="77777777" w:rsidR="00CB3E59" w:rsidRPr="00841586" w:rsidRDefault="00CB3E59" w:rsidP="0094242F">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570ADC3F" w14:textId="77777777" w:rsidR="00CB3E59" w:rsidRPr="00EC4E06" w:rsidRDefault="00CB3E59" w:rsidP="0094242F">
            <w:pPr>
              <w:ind w:right="227"/>
              <w:jc w:val="right"/>
              <w:rPr>
                <w:b/>
                <w:bCs/>
                <w:color w:val="000000"/>
                <w:sz w:val="14"/>
                <w:szCs w:val="14"/>
              </w:rPr>
            </w:pPr>
            <w:r w:rsidRPr="00EC4E06">
              <w:rPr>
                <w:b/>
                <w:bCs/>
                <w:color w:val="000000"/>
                <w:sz w:val="14"/>
                <w:szCs w:val="14"/>
              </w:rPr>
              <w:t>-0.03</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6B04676" w14:textId="77777777" w:rsidR="00CB3E59" w:rsidRPr="00EC4E06" w:rsidRDefault="00CB3E59" w:rsidP="0094242F">
            <w:pPr>
              <w:ind w:right="227"/>
              <w:jc w:val="right"/>
              <w:rPr>
                <w:b/>
                <w:bCs/>
                <w:color w:val="000000"/>
                <w:sz w:val="14"/>
                <w:szCs w:val="14"/>
              </w:rPr>
            </w:pPr>
            <w:r w:rsidRPr="00EC4E06">
              <w:rPr>
                <w:b/>
                <w:bCs/>
                <w:color w:val="000000"/>
                <w:sz w:val="14"/>
                <w:szCs w:val="14"/>
              </w:rPr>
              <w:t>0.22</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38BF415" w14:textId="77777777" w:rsidR="00CB3E59" w:rsidRPr="00EC4E06" w:rsidRDefault="00CB3E59" w:rsidP="0094242F">
            <w:pPr>
              <w:ind w:right="227"/>
              <w:jc w:val="right"/>
              <w:rPr>
                <w:b/>
                <w:bCs/>
                <w:color w:val="000000"/>
                <w:sz w:val="14"/>
                <w:szCs w:val="14"/>
              </w:rPr>
            </w:pPr>
            <w:r w:rsidRPr="00EC4E06">
              <w:rPr>
                <w:b/>
                <w:bCs/>
                <w:color w:val="000000"/>
                <w:sz w:val="14"/>
                <w:szCs w:val="14"/>
              </w:rPr>
              <w:t>0.15</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B1FB3F3" w14:textId="77777777" w:rsidR="00CB3E59" w:rsidRPr="00EC4E06" w:rsidRDefault="00CB3E59" w:rsidP="0094242F">
            <w:pPr>
              <w:ind w:right="227"/>
              <w:jc w:val="right"/>
              <w:rPr>
                <w:b/>
                <w:bCs/>
                <w:color w:val="000000"/>
                <w:sz w:val="14"/>
                <w:szCs w:val="14"/>
              </w:rPr>
            </w:pPr>
            <w:r w:rsidRPr="00EC4E06">
              <w:rPr>
                <w:b/>
                <w:bCs/>
                <w:color w:val="000000"/>
                <w:sz w:val="14"/>
                <w:szCs w:val="14"/>
              </w:rPr>
              <w:t>-1.24</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A4767D1" w14:textId="77777777" w:rsidR="00CB3E59" w:rsidRPr="00EC4E06" w:rsidRDefault="00CB3E59" w:rsidP="0094242F">
            <w:pPr>
              <w:ind w:right="227"/>
              <w:jc w:val="right"/>
              <w:rPr>
                <w:b/>
                <w:bCs/>
                <w:color w:val="000000"/>
                <w:sz w:val="14"/>
                <w:szCs w:val="14"/>
              </w:rPr>
            </w:pPr>
            <w:r w:rsidRPr="00EC4E06">
              <w:rPr>
                <w:b/>
                <w:bCs/>
                <w:color w:val="000000"/>
                <w:sz w:val="14"/>
                <w:szCs w:val="14"/>
              </w:rPr>
              <w:t>1.84</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0667E30" w14:textId="77777777" w:rsidR="00CB3E59" w:rsidRPr="00EC4E06" w:rsidRDefault="00CB3E59" w:rsidP="0094242F">
            <w:pPr>
              <w:ind w:right="227"/>
              <w:jc w:val="right"/>
              <w:rPr>
                <w:b/>
                <w:bCs/>
                <w:color w:val="000000"/>
                <w:sz w:val="14"/>
                <w:szCs w:val="14"/>
              </w:rPr>
            </w:pPr>
            <w:r w:rsidRPr="00EC4E06">
              <w:rPr>
                <w:b/>
                <w:bCs/>
                <w:color w:val="000000"/>
                <w:sz w:val="14"/>
                <w:szCs w:val="14"/>
              </w:rPr>
              <w:t>0.96</w:t>
            </w:r>
          </w:p>
        </w:tc>
      </w:tr>
      <w:tr w:rsidR="00CB3E59" w:rsidRPr="00841586" w14:paraId="57CEC055" w14:textId="77777777" w:rsidTr="0094242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9B3F4A0" w14:textId="77777777" w:rsidR="00CB3E59" w:rsidRPr="00841586" w:rsidRDefault="00CB3E59" w:rsidP="0094242F">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7BC8AEC" w14:textId="77777777" w:rsidR="00CB3E59" w:rsidRPr="00EC4E06" w:rsidRDefault="00CB3E59" w:rsidP="0094242F">
            <w:pPr>
              <w:ind w:right="227"/>
              <w:jc w:val="right"/>
              <w:rPr>
                <w:b/>
                <w:bCs/>
                <w:color w:val="000000"/>
                <w:sz w:val="14"/>
                <w:szCs w:val="14"/>
              </w:rPr>
            </w:pPr>
            <w:r w:rsidRPr="00EC4E06">
              <w:rPr>
                <w:b/>
                <w:bCs/>
                <w:color w:val="000000"/>
                <w:sz w:val="14"/>
                <w:szCs w:val="14"/>
              </w:rPr>
              <w:t>4.78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72A4FAF" w14:textId="77777777" w:rsidR="00CB3E59" w:rsidRPr="00EC4E06" w:rsidRDefault="00CB3E59" w:rsidP="0094242F">
            <w:pPr>
              <w:ind w:right="227"/>
              <w:jc w:val="right"/>
              <w:rPr>
                <w:b/>
                <w:bCs/>
                <w:color w:val="000000"/>
                <w:sz w:val="14"/>
                <w:szCs w:val="14"/>
              </w:rPr>
            </w:pPr>
            <w:r w:rsidRPr="00EC4E06">
              <w:rPr>
                <w:b/>
                <w:bCs/>
                <w:color w:val="000000"/>
                <w:sz w:val="14"/>
                <w:szCs w:val="14"/>
              </w:rPr>
              <w:t>5.56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3FBF25" w14:textId="77777777" w:rsidR="00CB3E59" w:rsidRPr="00EC4E06" w:rsidRDefault="00CB3E59" w:rsidP="0094242F">
            <w:pPr>
              <w:ind w:right="227"/>
              <w:jc w:val="right"/>
              <w:rPr>
                <w:b/>
                <w:bCs/>
                <w:color w:val="000000"/>
                <w:sz w:val="14"/>
                <w:szCs w:val="14"/>
              </w:rPr>
            </w:pPr>
            <w:r w:rsidRPr="00EC4E06">
              <w:rPr>
                <w:b/>
                <w:bCs/>
                <w:color w:val="000000"/>
                <w:sz w:val="14"/>
                <w:szCs w:val="14"/>
              </w:rPr>
              <w:t>5.14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194CEB9" w14:textId="77777777" w:rsidR="00CB3E59" w:rsidRPr="00EC4E06" w:rsidRDefault="00CB3E59" w:rsidP="0094242F">
            <w:pPr>
              <w:ind w:right="227"/>
              <w:jc w:val="right"/>
              <w:rPr>
                <w:b/>
                <w:bCs/>
                <w:color w:val="000000"/>
                <w:sz w:val="14"/>
                <w:szCs w:val="14"/>
              </w:rPr>
            </w:pPr>
            <w:r w:rsidRPr="00EC4E06">
              <w:rPr>
                <w:b/>
                <w:bCs/>
                <w:color w:val="000000"/>
                <w:sz w:val="14"/>
                <w:szCs w:val="14"/>
              </w:rPr>
              <w:t>-1.45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4CB78C9" w14:textId="77777777" w:rsidR="00CB3E59" w:rsidRPr="00EC4E06" w:rsidRDefault="00CB3E59" w:rsidP="0094242F">
            <w:pPr>
              <w:ind w:right="227"/>
              <w:jc w:val="right"/>
              <w:rPr>
                <w:b/>
                <w:bCs/>
                <w:color w:val="000000"/>
                <w:sz w:val="14"/>
                <w:szCs w:val="14"/>
              </w:rPr>
            </w:pPr>
            <w:r w:rsidRPr="00EC4E06">
              <w:rPr>
                <w:b/>
                <w:bCs/>
                <w:color w:val="000000"/>
                <w:sz w:val="14"/>
                <w:szCs w:val="14"/>
              </w:rPr>
              <w:t>2.95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E567E0" w14:textId="77777777" w:rsidR="00CB3E59" w:rsidRPr="00EC4E06" w:rsidRDefault="00CB3E59" w:rsidP="0094242F">
            <w:pPr>
              <w:ind w:right="227"/>
              <w:jc w:val="right"/>
              <w:rPr>
                <w:b/>
                <w:bCs/>
                <w:color w:val="000000"/>
                <w:sz w:val="14"/>
                <w:szCs w:val="14"/>
              </w:rPr>
            </w:pPr>
            <w:r w:rsidRPr="00EC4E06">
              <w:rPr>
                <w:b/>
                <w:bCs/>
                <w:color w:val="000000"/>
                <w:sz w:val="14"/>
                <w:szCs w:val="14"/>
              </w:rPr>
              <w:t>0.56</w:t>
            </w:r>
          </w:p>
        </w:tc>
      </w:tr>
      <w:tr w:rsidR="00CB3E59" w:rsidRPr="00841586" w14:paraId="0778E45D" w14:textId="77777777" w:rsidTr="0094242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1B5736B" w14:textId="77777777" w:rsidR="00CB3E59" w:rsidRPr="00841586" w:rsidRDefault="00CB3E59" w:rsidP="0094242F">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91990FD" w14:textId="77777777" w:rsidR="00CB3E59" w:rsidRPr="00EC4E06" w:rsidRDefault="00CB3E59" w:rsidP="0094242F">
            <w:pPr>
              <w:ind w:right="227"/>
              <w:jc w:val="right"/>
              <w:rPr>
                <w:b/>
                <w:bCs/>
                <w:color w:val="000000"/>
                <w:sz w:val="14"/>
                <w:szCs w:val="14"/>
              </w:rPr>
            </w:pPr>
            <w:r w:rsidRPr="00EC4E06">
              <w:rPr>
                <w:b/>
                <w:bCs/>
                <w:color w:val="000000"/>
                <w:sz w:val="14"/>
                <w:szCs w:val="14"/>
              </w:rPr>
              <w:t>-1.17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4DBE778" w14:textId="77777777" w:rsidR="00CB3E59" w:rsidRPr="00EC4E06" w:rsidRDefault="00CB3E59" w:rsidP="0094242F">
            <w:pPr>
              <w:ind w:right="227"/>
              <w:jc w:val="right"/>
              <w:rPr>
                <w:b/>
                <w:bCs/>
                <w:color w:val="000000"/>
                <w:sz w:val="14"/>
                <w:szCs w:val="14"/>
              </w:rPr>
            </w:pPr>
            <w:r w:rsidRPr="00EC4E06">
              <w:rPr>
                <w:b/>
                <w:bCs/>
                <w:color w:val="000000"/>
                <w:sz w:val="14"/>
                <w:szCs w:val="14"/>
              </w:rPr>
              <w:t>-0.12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4BAADC" w14:textId="77777777" w:rsidR="00CB3E59" w:rsidRPr="00EC4E06" w:rsidRDefault="00CB3E59" w:rsidP="0094242F">
            <w:pPr>
              <w:ind w:right="227"/>
              <w:jc w:val="right"/>
              <w:rPr>
                <w:b/>
                <w:bCs/>
                <w:color w:val="000000"/>
                <w:sz w:val="14"/>
                <w:szCs w:val="14"/>
              </w:rPr>
            </w:pPr>
            <w:r w:rsidRPr="00EC4E06">
              <w:rPr>
                <w:b/>
                <w:bCs/>
                <w:color w:val="000000"/>
                <w:sz w:val="14"/>
                <w:szCs w:val="14"/>
              </w:rPr>
              <w:t>-0.38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E6593F" w14:textId="77777777" w:rsidR="00CB3E59" w:rsidRPr="00EC4E06" w:rsidRDefault="00CB3E59" w:rsidP="0094242F">
            <w:pPr>
              <w:ind w:right="227"/>
              <w:jc w:val="right"/>
              <w:rPr>
                <w:b/>
                <w:bCs/>
                <w:color w:val="000000"/>
                <w:sz w:val="14"/>
                <w:szCs w:val="14"/>
              </w:rPr>
            </w:pPr>
            <w:r w:rsidRPr="00EC4E06">
              <w:rPr>
                <w:b/>
                <w:bCs/>
                <w:color w:val="000000"/>
                <w:sz w:val="14"/>
                <w:szCs w:val="14"/>
              </w:rPr>
              <w:t>-3.44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7FA7685" w14:textId="77777777" w:rsidR="00CB3E59" w:rsidRPr="00EC4E06" w:rsidRDefault="00CB3E59" w:rsidP="0094242F">
            <w:pPr>
              <w:ind w:right="227"/>
              <w:jc w:val="right"/>
              <w:rPr>
                <w:b/>
                <w:bCs/>
                <w:color w:val="000000"/>
                <w:sz w:val="14"/>
                <w:szCs w:val="14"/>
              </w:rPr>
            </w:pPr>
            <w:r w:rsidRPr="00EC4E06">
              <w:rPr>
                <w:b/>
                <w:bCs/>
                <w:color w:val="000000"/>
                <w:sz w:val="14"/>
                <w:szCs w:val="14"/>
              </w:rPr>
              <w:t>0.68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A1925E" w14:textId="77777777" w:rsidR="00CB3E59" w:rsidRPr="00EC4E06" w:rsidRDefault="00CB3E59" w:rsidP="0094242F">
            <w:pPr>
              <w:ind w:right="227"/>
              <w:jc w:val="right"/>
              <w:rPr>
                <w:b/>
                <w:bCs/>
                <w:color w:val="000000"/>
                <w:sz w:val="14"/>
                <w:szCs w:val="14"/>
              </w:rPr>
            </w:pPr>
            <w:r w:rsidRPr="00EC4E06">
              <w:rPr>
                <w:b/>
                <w:bCs/>
                <w:color w:val="000000"/>
                <w:sz w:val="14"/>
                <w:szCs w:val="14"/>
              </w:rPr>
              <w:t>-0.39</w:t>
            </w:r>
          </w:p>
        </w:tc>
      </w:tr>
      <w:tr w:rsidR="00CB3E59" w:rsidRPr="00841586" w14:paraId="21A7D4C2" w14:textId="77777777" w:rsidTr="0094242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3DD89EB"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500D6D0" w14:textId="77777777" w:rsidR="00CB3E59" w:rsidRPr="00EC4E06" w:rsidRDefault="00CB3E59" w:rsidP="0094242F">
            <w:pPr>
              <w:ind w:right="227"/>
              <w:jc w:val="right"/>
              <w:rPr>
                <w:bCs/>
                <w:color w:val="000000"/>
                <w:sz w:val="14"/>
                <w:szCs w:val="14"/>
              </w:rPr>
            </w:pPr>
            <w:r w:rsidRPr="00EC4E06">
              <w:rPr>
                <w:bCs/>
                <w:color w:val="000000"/>
                <w:sz w:val="14"/>
                <w:szCs w:val="14"/>
              </w:rPr>
              <w:t>-6.40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C3DA642" w14:textId="77777777" w:rsidR="00CB3E59" w:rsidRPr="00EC4E06" w:rsidRDefault="00CB3E59" w:rsidP="0094242F">
            <w:pPr>
              <w:ind w:right="227"/>
              <w:jc w:val="right"/>
              <w:rPr>
                <w:bCs/>
                <w:color w:val="000000"/>
                <w:sz w:val="14"/>
                <w:szCs w:val="14"/>
              </w:rPr>
            </w:pPr>
            <w:r w:rsidRPr="00EC4E06">
              <w:rPr>
                <w:bCs/>
                <w:color w:val="000000"/>
                <w:sz w:val="14"/>
                <w:szCs w:val="14"/>
              </w:rPr>
              <w:t>-7.86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1FEA66" w14:textId="77777777" w:rsidR="00CB3E59" w:rsidRPr="00EC4E06" w:rsidRDefault="00CB3E59" w:rsidP="0094242F">
            <w:pPr>
              <w:ind w:right="227"/>
              <w:jc w:val="right"/>
              <w:rPr>
                <w:bCs/>
                <w:color w:val="000000"/>
                <w:sz w:val="14"/>
                <w:szCs w:val="14"/>
              </w:rPr>
            </w:pPr>
            <w:r w:rsidRPr="00EC4E06">
              <w:rPr>
                <w:bCs/>
                <w:color w:val="000000"/>
                <w:sz w:val="14"/>
                <w:szCs w:val="14"/>
              </w:rPr>
              <w:t>-7.09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7701C46" w14:textId="77777777" w:rsidR="00CB3E59" w:rsidRPr="00EC4E06" w:rsidRDefault="00CB3E59" w:rsidP="0094242F">
            <w:pPr>
              <w:ind w:right="227"/>
              <w:jc w:val="right"/>
              <w:rPr>
                <w:bCs/>
                <w:color w:val="000000"/>
                <w:sz w:val="14"/>
                <w:szCs w:val="14"/>
              </w:rPr>
            </w:pPr>
            <w:r w:rsidRPr="00EC4E06">
              <w:rPr>
                <w:bCs/>
                <w:color w:val="000000"/>
                <w:sz w:val="14"/>
                <w:szCs w:val="14"/>
              </w:rPr>
              <w:t>-11.20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2F9A5BC" w14:textId="77777777" w:rsidR="00CB3E59" w:rsidRPr="00EC4E06" w:rsidRDefault="00CB3E59" w:rsidP="0094242F">
            <w:pPr>
              <w:ind w:right="227"/>
              <w:jc w:val="right"/>
              <w:rPr>
                <w:bCs/>
                <w:color w:val="000000"/>
                <w:sz w:val="14"/>
                <w:szCs w:val="14"/>
              </w:rPr>
            </w:pPr>
            <w:r w:rsidRPr="00EC4E06">
              <w:rPr>
                <w:bCs/>
                <w:color w:val="000000"/>
                <w:sz w:val="14"/>
                <w:szCs w:val="14"/>
              </w:rPr>
              <w:t>-13.04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E58043F" w14:textId="77777777" w:rsidR="00CB3E59" w:rsidRPr="00EC4E06" w:rsidRDefault="00CB3E59" w:rsidP="0094242F">
            <w:pPr>
              <w:ind w:right="227"/>
              <w:jc w:val="right"/>
              <w:rPr>
                <w:bCs/>
                <w:color w:val="000000"/>
                <w:sz w:val="14"/>
                <w:szCs w:val="14"/>
              </w:rPr>
            </w:pPr>
            <w:r w:rsidRPr="00EC4E06">
              <w:rPr>
                <w:bCs/>
                <w:color w:val="000000"/>
                <w:sz w:val="14"/>
                <w:szCs w:val="14"/>
              </w:rPr>
              <w:t>-12.00</w:t>
            </w:r>
          </w:p>
        </w:tc>
      </w:tr>
      <w:tr w:rsidR="00CB3E59" w:rsidRPr="00841586" w14:paraId="70D08FF6" w14:textId="77777777" w:rsidTr="0094242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E99D139"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DFC3AC5" w14:textId="77777777" w:rsidR="00CB3E59" w:rsidRPr="00EC4E06" w:rsidRDefault="00CB3E59" w:rsidP="0094242F">
            <w:pPr>
              <w:ind w:right="227"/>
              <w:jc w:val="right"/>
              <w:rPr>
                <w:bCs/>
                <w:color w:val="000000"/>
                <w:sz w:val="14"/>
                <w:szCs w:val="14"/>
              </w:rPr>
            </w:pPr>
            <w:r w:rsidRPr="00EC4E06">
              <w:rPr>
                <w:bCs/>
                <w:color w:val="000000"/>
                <w:sz w:val="14"/>
                <w:szCs w:val="14"/>
              </w:rPr>
              <w:t>0.01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6760D9" w14:textId="77777777" w:rsidR="00CB3E59" w:rsidRPr="00EC4E06" w:rsidRDefault="00CB3E59" w:rsidP="0094242F">
            <w:pPr>
              <w:ind w:right="227"/>
              <w:jc w:val="right"/>
              <w:rPr>
                <w:bCs/>
                <w:color w:val="000000"/>
                <w:sz w:val="14"/>
                <w:szCs w:val="14"/>
              </w:rPr>
            </w:pPr>
            <w:r w:rsidRPr="00EC4E06">
              <w:rPr>
                <w:bCs/>
                <w:color w:val="000000"/>
                <w:sz w:val="14"/>
                <w:szCs w:val="14"/>
              </w:rPr>
              <w:t>0.05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FB3108" w14:textId="77777777" w:rsidR="00CB3E59" w:rsidRPr="00EC4E06" w:rsidRDefault="00CB3E59" w:rsidP="0094242F">
            <w:pPr>
              <w:ind w:right="227"/>
              <w:jc w:val="right"/>
              <w:rPr>
                <w:bCs/>
                <w:color w:val="000000"/>
                <w:sz w:val="14"/>
                <w:szCs w:val="14"/>
              </w:rPr>
            </w:pPr>
            <w:r w:rsidRPr="00EC4E06">
              <w:rPr>
                <w:bCs/>
                <w:color w:val="000000"/>
                <w:sz w:val="14"/>
                <w:szCs w:val="14"/>
              </w:rPr>
              <w:t>0.02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94F5B2" w14:textId="77777777" w:rsidR="00CB3E59" w:rsidRPr="00EC4E06" w:rsidRDefault="00CB3E59" w:rsidP="0094242F">
            <w:pPr>
              <w:ind w:right="227"/>
              <w:jc w:val="right"/>
              <w:rPr>
                <w:bCs/>
                <w:color w:val="000000"/>
                <w:sz w:val="14"/>
                <w:szCs w:val="14"/>
              </w:rPr>
            </w:pPr>
            <w:r w:rsidRPr="00EC4E06">
              <w:rPr>
                <w:bCs/>
                <w:color w:val="000000"/>
                <w:sz w:val="14"/>
                <w:szCs w:val="14"/>
              </w:rPr>
              <w:t>2.54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A275D1" w14:textId="77777777" w:rsidR="00CB3E59" w:rsidRPr="00EC4E06" w:rsidRDefault="00CB3E59" w:rsidP="0094242F">
            <w:pPr>
              <w:ind w:right="227"/>
              <w:jc w:val="right"/>
              <w:rPr>
                <w:bCs/>
                <w:color w:val="000000"/>
                <w:sz w:val="14"/>
                <w:szCs w:val="14"/>
              </w:rPr>
            </w:pPr>
            <w:r w:rsidRPr="00EC4E06">
              <w:rPr>
                <w:bCs/>
                <w:color w:val="000000"/>
                <w:sz w:val="14"/>
                <w:szCs w:val="14"/>
              </w:rPr>
              <w:t>6.84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B8ED00E" w14:textId="77777777" w:rsidR="00CB3E59" w:rsidRPr="00EC4E06" w:rsidRDefault="00CB3E59" w:rsidP="0094242F">
            <w:pPr>
              <w:ind w:right="227"/>
              <w:jc w:val="right"/>
              <w:rPr>
                <w:bCs/>
                <w:color w:val="000000"/>
                <w:sz w:val="14"/>
                <w:szCs w:val="14"/>
              </w:rPr>
            </w:pPr>
            <w:r w:rsidRPr="00EC4E06">
              <w:rPr>
                <w:bCs/>
                <w:color w:val="000000"/>
                <w:sz w:val="14"/>
                <w:szCs w:val="14"/>
              </w:rPr>
              <w:t>1.56</w:t>
            </w:r>
          </w:p>
        </w:tc>
      </w:tr>
      <w:tr w:rsidR="00CB3E59" w:rsidRPr="00841586" w14:paraId="162E444D" w14:textId="77777777" w:rsidTr="0094242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C2FB945"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DE34AEF" w14:textId="77777777" w:rsidR="00CB3E59" w:rsidRPr="00EC4E06" w:rsidRDefault="00CB3E59" w:rsidP="0094242F">
            <w:pPr>
              <w:ind w:right="227"/>
              <w:jc w:val="right"/>
              <w:rPr>
                <w:bCs/>
                <w:color w:val="000000"/>
                <w:sz w:val="14"/>
                <w:szCs w:val="14"/>
              </w:rPr>
            </w:pPr>
            <w:r w:rsidRPr="00EC4E06">
              <w:rPr>
                <w:bCs/>
                <w:color w:val="000000"/>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3BE7583" w14:textId="77777777" w:rsidR="00CB3E59" w:rsidRPr="00EC4E06" w:rsidRDefault="00CB3E59" w:rsidP="0094242F">
            <w:pPr>
              <w:ind w:right="227"/>
              <w:jc w:val="right"/>
              <w:rPr>
                <w:bCs/>
                <w:color w:val="000000"/>
                <w:sz w:val="14"/>
                <w:szCs w:val="14"/>
              </w:rPr>
            </w:pPr>
            <w:r w:rsidRPr="00EC4E06">
              <w:rPr>
                <w:bCs/>
                <w:color w:val="000000"/>
                <w:sz w:val="14"/>
                <w:szCs w:val="14"/>
              </w:rPr>
              <w:t>0.87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AEEF65" w14:textId="77777777" w:rsidR="00CB3E59" w:rsidRPr="00EC4E06" w:rsidRDefault="00CB3E59" w:rsidP="0094242F">
            <w:pPr>
              <w:ind w:right="227"/>
              <w:jc w:val="right"/>
              <w:rPr>
                <w:bCs/>
                <w:color w:val="000000"/>
                <w:sz w:val="14"/>
                <w:szCs w:val="14"/>
              </w:rPr>
            </w:pPr>
            <w:r w:rsidRPr="00EC4E06">
              <w:rPr>
                <w:bCs/>
                <w:color w:val="000000"/>
                <w:sz w:val="14"/>
                <w:szCs w:val="14"/>
              </w:rPr>
              <w:t>0.87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22B023" w14:textId="77777777" w:rsidR="00CB3E59" w:rsidRPr="00EC4E06" w:rsidRDefault="00CB3E59" w:rsidP="0094242F">
            <w:pPr>
              <w:ind w:right="227"/>
              <w:jc w:val="right"/>
              <w:rPr>
                <w:bCs/>
                <w:color w:val="000000"/>
                <w:sz w:val="14"/>
                <w:szCs w:val="14"/>
              </w:rPr>
            </w:pPr>
            <w:r w:rsidRPr="00EC4E06">
              <w:rPr>
                <w:bCs/>
                <w:color w:val="000000"/>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CBFC45" w14:textId="77777777" w:rsidR="00CB3E59" w:rsidRPr="00EC4E06" w:rsidRDefault="00CB3E59" w:rsidP="0094242F">
            <w:pPr>
              <w:ind w:right="227"/>
              <w:jc w:val="right"/>
              <w:rPr>
                <w:bCs/>
                <w:color w:val="000000"/>
                <w:sz w:val="14"/>
                <w:szCs w:val="14"/>
              </w:rPr>
            </w:pPr>
            <w:r w:rsidRPr="00EC4E06">
              <w:rPr>
                <w:bCs/>
                <w:color w:val="000000"/>
                <w:sz w:val="14"/>
                <w:szCs w:val="14"/>
              </w:rPr>
              <w:t>0.34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999677" w14:textId="77777777" w:rsidR="00CB3E59" w:rsidRPr="00EC4E06" w:rsidRDefault="00CB3E59" w:rsidP="0094242F">
            <w:pPr>
              <w:ind w:right="227"/>
              <w:jc w:val="right"/>
              <w:rPr>
                <w:bCs/>
                <w:color w:val="000000"/>
                <w:sz w:val="14"/>
                <w:szCs w:val="14"/>
              </w:rPr>
            </w:pPr>
            <w:r w:rsidRPr="00EC4E06">
              <w:rPr>
                <w:bCs/>
                <w:color w:val="000000"/>
                <w:sz w:val="14"/>
                <w:szCs w:val="14"/>
              </w:rPr>
              <w:t>0.34</w:t>
            </w:r>
          </w:p>
        </w:tc>
      </w:tr>
      <w:tr w:rsidR="00CB3E59" w:rsidRPr="00841586" w14:paraId="30DC9213" w14:textId="77777777" w:rsidTr="0094242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7FEF520"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B0E741C" w14:textId="77777777" w:rsidR="00CB3E59" w:rsidRPr="00EC4E06" w:rsidRDefault="00CB3E59" w:rsidP="0094242F">
            <w:pPr>
              <w:ind w:right="227"/>
              <w:jc w:val="right"/>
              <w:rPr>
                <w:bCs/>
                <w:color w:val="000000"/>
                <w:sz w:val="14"/>
                <w:szCs w:val="14"/>
              </w:rPr>
            </w:pPr>
            <w:r w:rsidRPr="00EC4E06">
              <w:rPr>
                <w:bCs/>
                <w:color w:val="000000"/>
                <w:sz w:val="14"/>
                <w:szCs w:val="14"/>
              </w:rPr>
              <w:t>-0.32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4894BCF" w14:textId="77777777" w:rsidR="00CB3E59" w:rsidRPr="00EC4E06" w:rsidRDefault="00CB3E59" w:rsidP="0094242F">
            <w:pPr>
              <w:ind w:right="227"/>
              <w:jc w:val="right"/>
              <w:rPr>
                <w:bCs/>
                <w:color w:val="000000"/>
                <w:sz w:val="14"/>
                <w:szCs w:val="14"/>
              </w:rPr>
            </w:pPr>
            <w:r w:rsidRPr="00EC4E06">
              <w:rPr>
                <w:bCs/>
                <w:color w:val="000000"/>
                <w:sz w:val="14"/>
                <w:szCs w:val="14"/>
              </w:rPr>
              <w:t>0.08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22E24C8" w14:textId="77777777" w:rsidR="00CB3E59" w:rsidRPr="00EC4E06" w:rsidRDefault="00CB3E59" w:rsidP="0094242F">
            <w:pPr>
              <w:ind w:right="227"/>
              <w:jc w:val="right"/>
              <w:rPr>
                <w:bCs/>
                <w:color w:val="000000"/>
                <w:sz w:val="14"/>
                <w:szCs w:val="14"/>
              </w:rPr>
            </w:pPr>
            <w:r w:rsidRPr="00EC4E06">
              <w:rPr>
                <w:bCs/>
                <w:color w:val="000000"/>
                <w:sz w:val="14"/>
                <w:szCs w:val="14"/>
              </w:rPr>
              <w:t>-0.02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F45EBAB" w14:textId="77777777" w:rsidR="00CB3E59" w:rsidRPr="00EC4E06" w:rsidRDefault="00CB3E59" w:rsidP="0094242F">
            <w:pPr>
              <w:ind w:right="227"/>
              <w:jc w:val="right"/>
              <w:rPr>
                <w:bCs/>
                <w:color w:val="000000"/>
                <w:sz w:val="14"/>
                <w:szCs w:val="14"/>
              </w:rPr>
            </w:pPr>
            <w:r w:rsidRPr="00EC4E06">
              <w:rPr>
                <w:bCs/>
                <w:color w:val="000000"/>
                <w:sz w:val="14"/>
                <w:szCs w:val="14"/>
              </w:rPr>
              <w:t>-2.79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86EBEE3" w14:textId="77777777" w:rsidR="00CB3E59" w:rsidRPr="00EC4E06" w:rsidRDefault="00CB3E59" w:rsidP="0094242F">
            <w:pPr>
              <w:ind w:right="227"/>
              <w:jc w:val="right"/>
              <w:rPr>
                <w:bCs/>
                <w:color w:val="000000"/>
                <w:sz w:val="14"/>
                <w:szCs w:val="14"/>
              </w:rPr>
            </w:pPr>
            <w:r w:rsidRPr="00EC4E06">
              <w:rPr>
                <w:bCs/>
                <w:color w:val="000000"/>
                <w:sz w:val="14"/>
                <w:szCs w:val="14"/>
              </w:rPr>
              <w:t>1.74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B9DD40C" w14:textId="77777777" w:rsidR="00CB3E59" w:rsidRPr="00EC4E06" w:rsidRDefault="00CB3E59" w:rsidP="0094242F">
            <w:pPr>
              <w:ind w:right="227"/>
              <w:jc w:val="right"/>
              <w:rPr>
                <w:bCs/>
                <w:color w:val="000000"/>
                <w:sz w:val="14"/>
                <w:szCs w:val="14"/>
              </w:rPr>
            </w:pPr>
            <w:r w:rsidRPr="00EC4E06">
              <w:rPr>
                <w:bCs/>
                <w:color w:val="000000"/>
                <w:sz w:val="14"/>
                <w:szCs w:val="14"/>
              </w:rPr>
              <w:t>0.58</w:t>
            </w:r>
          </w:p>
        </w:tc>
      </w:tr>
      <w:tr w:rsidR="00CB3E59" w:rsidRPr="00841586" w14:paraId="0C4ECBC0" w14:textId="77777777" w:rsidTr="0094242F">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8DCA1D8" w14:textId="77777777" w:rsidR="00CB3E59" w:rsidRPr="00841586" w:rsidRDefault="00CB3E59" w:rsidP="0094242F">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6339A51F" w14:textId="77777777" w:rsidR="00CB3E59" w:rsidRPr="00EC4E06" w:rsidRDefault="00CB3E59" w:rsidP="0094242F">
            <w:pPr>
              <w:ind w:right="227"/>
              <w:jc w:val="right"/>
              <w:rPr>
                <w:b/>
                <w:bCs/>
                <w:color w:val="000000"/>
                <w:sz w:val="14"/>
                <w:szCs w:val="14"/>
              </w:rPr>
            </w:pPr>
            <w:r w:rsidRPr="00EC4E06">
              <w:rPr>
                <w:b/>
                <w:bCs/>
                <w:color w:val="000000"/>
                <w:sz w:val="14"/>
                <w:szCs w:val="14"/>
              </w:rPr>
              <w:t>0.47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580854E" w14:textId="77777777" w:rsidR="00CB3E59" w:rsidRPr="00EC4E06" w:rsidRDefault="00CB3E59" w:rsidP="0094242F">
            <w:pPr>
              <w:ind w:right="227"/>
              <w:jc w:val="right"/>
              <w:rPr>
                <w:b/>
                <w:bCs/>
                <w:color w:val="000000"/>
                <w:sz w:val="14"/>
                <w:szCs w:val="14"/>
              </w:rPr>
            </w:pPr>
            <w:r w:rsidRPr="00EC4E06">
              <w:rPr>
                <w:b/>
                <w:bCs/>
                <w:color w:val="000000"/>
                <w:sz w:val="14"/>
                <w:szCs w:val="14"/>
              </w:rPr>
              <w:t>0.37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E86E285" w14:textId="77777777" w:rsidR="00CB3E59" w:rsidRPr="00EC4E06" w:rsidRDefault="00CB3E59" w:rsidP="0094242F">
            <w:pPr>
              <w:ind w:right="227"/>
              <w:jc w:val="right"/>
              <w:rPr>
                <w:b/>
                <w:bCs/>
                <w:color w:val="000000"/>
                <w:sz w:val="14"/>
                <w:szCs w:val="14"/>
              </w:rPr>
            </w:pPr>
            <w:r w:rsidRPr="00EC4E06">
              <w:rPr>
                <w:b/>
                <w:bCs/>
                <w:color w:val="000000"/>
                <w:sz w:val="14"/>
                <w:szCs w:val="14"/>
              </w:rPr>
              <w:t>0.40</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7ACD259" w14:textId="77777777" w:rsidR="00CB3E59" w:rsidRPr="00EC4E06" w:rsidRDefault="00CB3E59" w:rsidP="0094242F">
            <w:pPr>
              <w:ind w:right="227"/>
              <w:jc w:val="right"/>
              <w:rPr>
                <w:b/>
                <w:bCs/>
                <w:color w:val="000000"/>
                <w:sz w:val="14"/>
                <w:szCs w:val="14"/>
              </w:rPr>
            </w:pPr>
            <w:r w:rsidRPr="00EC4E06">
              <w:rPr>
                <w:b/>
                <w:bCs/>
                <w:color w:val="000000"/>
                <w:sz w:val="14"/>
                <w:szCs w:val="14"/>
              </w:rPr>
              <w:t>2.99</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C0E657D" w14:textId="77777777" w:rsidR="00CB3E59" w:rsidRPr="00EC4E06" w:rsidRDefault="00CB3E59" w:rsidP="0094242F">
            <w:pPr>
              <w:ind w:right="227"/>
              <w:jc w:val="right"/>
              <w:rPr>
                <w:b/>
                <w:bCs/>
                <w:color w:val="000000"/>
                <w:sz w:val="14"/>
                <w:szCs w:val="14"/>
              </w:rPr>
            </w:pPr>
            <w:r w:rsidRPr="00EC4E06">
              <w:rPr>
                <w:b/>
                <w:bCs/>
                <w:color w:val="000000"/>
                <w:sz w:val="14"/>
                <w:szCs w:val="14"/>
              </w:rPr>
              <w:t>3.86</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F585F59" w14:textId="77777777" w:rsidR="00CB3E59" w:rsidRPr="00EC4E06" w:rsidRDefault="00CB3E59" w:rsidP="0094242F">
            <w:pPr>
              <w:ind w:right="227"/>
              <w:jc w:val="right"/>
              <w:rPr>
                <w:b/>
                <w:bCs/>
                <w:color w:val="000000"/>
                <w:sz w:val="14"/>
                <w:szCs w:val="14"/>
              </w:rPr>
            </w:pPr>
            <w:r w:rsidRPr="00EC4E06">
              <w:rPr>
                <w:b/>
                <w:bCs/>
                <w:color w:val="000000"/>
                <w:sz w:val="14"/>
                <w:szCs w:val="14"/>
              </w:rPr>
              <w:t>3.61</w:t>
            </w:r>
          </w:p>
        </w:tc>
      </w:tr>
    </w:tbl>
    <w:p w14:paraId="45EB463D" w14:textId="77777777" w:rsidR="00CB3E59" w:rsidRPr="00034732" w:rsidRDefault="00CB3E59" w:rsidP="00CB3E59">
      <w:pPr>
        <w:widowControl w:val="0"/>
        <w:tabs>
          <w:tab w:val="left" w:pos="266"/>
        </w:tabs>
        <w:autoSpaceDE w:val="0"/>
        <w:autoSpaceDN w:val="0"/>
        <w:adjustRightInd w:val="0"/>
        <w:ind w:left="-11" w:right="113" w:firstLine="125"/>
        <w:jc w:val="left"/>
        <w:rPr>
          <w:color w:val="000000"/>
          <w:sz w:val="12"/>
          <w:szCs w:val="14"/>
        </w:rPr>
      </w:pPr>
      <w:r w:rsidRPr="003F5E65">
        <w:rPr>
          <w:sz w:val="16"/>
          <w:szCs w:val="14"/>
          <w:vertAlign w:val="superscript"/>
        </w:rPr>
        <w:t>1/</w:t>
      </w:r>
      <w:r w:rsidRPr="003F5E65">
        <w:rPr>
          <w:color w:val="000000"/>
          <w:sz w:val="14"/>
          <w:szCs w:val="14"/>
          <w:vertAlign w:val="superscript"/>
        </w:rPr>
        <w:tab/>
      </w:r>
      <w:r w:rsidRPr="00034732">
        <w:rPr>
          <w:spacing w:val="-2"/>
          <w:sz w:val="14"/>
          <w:szCs w:val="16"/>
        </w:rPr>
        <w:t>Las variaciones anuales durante el primer año del INPP base julio de 2019 se continuarán comparando con el índice de la base anterior.</w:t>
      </w:r>
    </w:p>
    <w:p w14:paraId="6DF2628E" w14:textId="77777777" w:rsidR="00CB3E59" w:rsidRDefault="00CB3E59" w:rsidP="00CB3E59">
      <w:pPr>
        <w:widowControl w:val="0"/>
        <w:tabs>
          <w:tab w:val="left" w:pos="266"/>
        </w:tabs>
        <w:autoSpaceDE w:val="0"/>
        <w:autoSpaceDN w:val="0"/>
        <w:adjustRightInd w:val="0"/>
        <w:ind w:left="-11" w:firstLine="125"/>
        <w:jc w:val="left"/>
        <w:rPr>
          <w:color w:val="000000"/>
          <w:sz w:val="14"/>
          <w:szCs w:val="14"/>
        </w:rPr>
      </w:pPr>
      <w:r>
        <w:rPr>
          <w:sz w:val="16"/>
          <w:szCs w:val="14"/>
          <w:vertAlign w:val="superscript"/>
        </w:rPr>
        <w:t>2</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06BBDDF9" w14:textId="77777777" w:rsidR="00CB3E59" w:rsidRDefault="00CB3E59" w:rsidP="00CB3E59">
      <w:pPr>
        <w:widowControl w:val="0"/>
        <w:tabs>
          <w:tab w:val="left" w:pos="266"/>
        </w:tabs>
        <w:autoSpaceDE w:val="0"/>
        <w:autoSpaceDN w:val="0"/>
        <w:adjustRightInd w:val="0"/>
        <w:spacing w:before="120"/>
        <w:jc w:val="center"/>
        <w:rPr>
          <w:snapToGrid w:val="0"/>
          <w:sz w:val="18"/>
          <w:szCs w:val="18"/>
        </w:rPr>
      </w:pPr>
    </w:p>
    <w:p w14:paraId="703F3AA6" w14:textId="77777777" w:rsidR="00CB3E59" w:rsidRDefault="00CB3E59" w:rsidP="00CB3E59">
      <w:pPr>
        <w:widowControl w:val="0"/>
        <w:autoSpaceDE w:val="0"/>
        <w:autoSpaceDN w:val="0"/>
        <w:adjustRightInd w:val="0"/>
        <w:spacing w:before="480"/>
        <w:jc w:val="center"/>
        <w:rPr>
          <w:snapToGrid w:val="0"/>
          <w:sz w:val="20"/>
          <w:szCs w:val="20"/>
        </w:rPr>
      </w:pPr>
    </w:p>
    <w:p w14:paraId="44B9DE0D" w14:textId="77777777" w:rsidR="00CB3E59" w:rsidRPr="00A51DE4" w:rsidRDefault="00CB3E59" w:rsidP="0094242F">
      <w:pPr>
        <w:widowControl w:val="0"/>
        <w:autoSpaceDE w:val="0"/>
        <w:autoSpaceDN w:val="0"/>
        <w:adjustRightInd w:val="0"/>
        <w:spacing w:before="480"/>
        <w:jc w:val="center"/>
        <w:rPr>
          <w:snapToGrid w:val="0"/>
          <w:sz w:val="20"/>
          <w:szCs w:val="20"/>
        </w:rPr>
      </w:pPr>
      <w:r w:rsidRPr="00A51DE4">
        <w:rPr>
          <w:snapToGrid w:val="0"/>
          <w:sz w:val="20"/>
          <w:szCs w:val="20"/>
        </w:rPr>
        <w:t xml:space="preserve">Cuadro </w:t>
      </w:r>
      <w:r>
        <w:rPr>
          <w:snapToGrid w:val="0"/>
          <w:sz w:val="20"/>
          <w:szCs w:val="20"/>
        </w:rPr>
        <w:t>2</w:t>
      </w:r>
    </w:p>
    <w:p w14:paraId="29887A5B" w14:textId="77777777" w:rsidR="00CB3E59" w:rsidRPr="00875DDC" w:rsidRDefault="00CB3E59" w:rsidP="00CB3E59">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73CAC288" w14:textId="77777777" w:rsidR="00CB3E59" w:rsidRPr="00875DDC" w:rsidRDefault="00CB3E59" w:rsidP="00CB3E59">
      <w:pPr>
        <w:widowControl w:val="0"/>
        <w:autoSpaceDE w:val="0"/>
        <w:autoSpaceDN w:val="0"/>
        <w:adjustRightInd w:val="0"/>
        <w:jc w:val="center"/>
        <w:rPr>
          <w:b/>
          <w:snapToGrid w:val="0"/>
          <w:sz w:val="22"/>
          <w:szCs w:val="22"/>
        </w:rPr>
      </w:pPr>
      <w:r w:rsidRPr="00875DDC">
        <w:rPr>
          <w:b/>
          <w:snapToGrid w:val="0"/>
          <w:sz w:val="22"/>
          <w:szCs w:val="22"/>
        </w:rPr>
        <w:t>PRODUCCIÓN TOTAL,</w:t>
      </w:r>
      <w:r>
        <w:rPr>
          <w:b/>
          <w:snapToGrid w:val="0"/>
          <w:sz w:val="22"/>
          <w:szCs w:val="22"/>
        </w:rPr>
        <w:t xml:space="preserve"> </w:t>
      </w:r>
      <w:r w:rsidRPr="00DC48FE">
        <w:rPr>
          <w:b/>
          <w:snapToGrid w:val="0"/>
          <w:sz w:val="22"/>
          <w:szCs w:val="22"/>
        </w:rPr>
        <w:t>INCLUYENDO PETRÓLEO</w:t>
      </w:r>
      <w:r w:rsidRPr="00162D45">
        <w:rPr>
          <w:b/>
          <w:snapToGrid w:val="0"/>
          <w:sz w:val="22"/>
          <w:szCs w:val="22"/>
        </w:rPr>
        <w:t>,</w:t>
      </w:r>
      <w:r w:rsidRPr="00875DDC">
        <w:rPr>
          <w:b/>
          <w:snapToGrid w:val="0"/>
          <w:sz w:val="22"/>
          <w:szCs w:val="22"/>
        </w:rPr>
        <w:t xml:space="preserve"> DURANTE </w:t>
      </w:r>
      <w:r>
        <w:rPr>
          <w:b/>
          <w:snapToGrid w:val="0"/>
          <w:sz w:val="22"/>
          <w:szCs w:val="22"/>
        </w:rPr>
        <w:t>FEBRERO</w:t>
      </w:r>
    </w:p>
    <w:p w14:paraId="4495D491" w14:textId="77777777" w:rsidR="00CB3E59" w:rsidRDefault="00CB3E59" w:rsidP="00CB3E59">
      <w:pPr>
        <w:widowControl w:val="0"/>
        <w:autoSpaceDE w:val="0"/>
        <w:autoSpaceDN w:val="0"/>
        <w:adjustRightInd w:val="0"/>
        <w:jc w:val="center"/>
        <w:rPr>
          <w:snapToGrid w:val="0"/>
          <w:sz w:val="18"/>
          <w:szCs w:val="18"/>
        </w:rPr>
      </w:pPr>
      <w:r>
        <w:rPr>
          <w:snapToGrid w:val="0"/>
          <w:sz w:val="18"/>
          <w:szCs w:val="18"/>
        </w:rPr>
        <w:t xml:space="preserve">Variación porcentual durante febrero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CB3E59" w:rsidRPr="00A9663B" w14:paraId="5FC59893" w14:textId="77777777" w:rsidTr="0094242F">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43088D93" w14:textId="77777777" w:rsidR="00CB3E59" w:rsidRPr="00A9663B" w:rsidRDefault="00CB3E59" w:rsidP="0094242F">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A2C2482" w14:textId="77777777" w:rsidR="00CB3E59" w:rsidRPr="00A9663B" w:rsidRDefault="00CB3E59" w:rsidP="0094242F">
            <w:pPr>
              <w:jc w:val="center"/>
              <w:rPr>
                <w:bCs/>
                <w:color w:val="000000"/>
                <w:sz w:val="16"/>
                <w:szCs w:val="18"/>
                <w:lang w:eastAsia="es-MX"/>
              </w:rPr>
            </w:pPr>
            <w:r w:rsidRPr="00A9663B">
              <w:rPr>
                <w:bCs/>
                <w:color w:val="000000"/>
                <w:sz w:val="16"/>
                <w:szCs w:val="18"/>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A815C7A" w14:textId="77777777" w:rsidR="00CB3E59" w:rsidRPr="00A9663B" w:rsidRDefault="00CB3E59" w:rsidP="0094242F">
            <w:pPr>
              <w:jc w:val="center"/>
              <w:rPr>
                <w:bCs/>
                <w:color w:val="000000"/>
                <w:sz w:val="16"/>
                <w:szCs w:val="18"/>
                <w:lang w:eastAsia="es-MX"/>
              </w:rPr>
            </w:pPr>
            <w:r w:rsidRPr="00A9663B">
              <w:rPr>
                <w:bCs/>
                <w:color w:val="000000"/>
                <w:sz w:val="16"/>
                <w:szCs w:val="18"/>
                <w:lang w:eastAsia="es-MX"/>
              </w:rPr>
              <w:t>Variación anual</w:t>
            </w:r>
            <w:r>
              <w:rPr>
                <w:bCs/>
                <w:color w:val="000000"/>
                <w:sz w:val="16"/>
                <w:szCs w:val="18"/>
                <w:lang w:eastAsia="es-MX"/>
              </w:rPr>
              <w:t xml:space="preserve"> </w:t>
            </w:r>
            <w:r w:rsidRPr="003A67B2">
              <w:rPr>
                <w:bCs/>
                <w:color w:val="000000"/>
                <w:sz w:val="16"/>
                <w:szCs w:val="18"/>
                <w:vertAlign w:val="superscript"/>
                <w:lang w:eastAsia="es-MX"/>
              </w:rPr>
              <w:t>1/</w:t>
            </w:r>
          </w:p>
        </w:tc>
      </w:tr>
      <w:tr w:rsidR="00CB3E59" w:rsidRPr="00A9663B" w14:paraId="7D8BEA40" w14:textId="77777777" w:rsidTr="0094242F">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3A7B1A97" w14:textId="77777777" w:rsidR="00CB3E59" w:rsidRPr="00A9663B" w:rsidRDefault="00CB3E59" w:rsidP="0094242F">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1FB7EEDF" w14:textId="77777777" w:rsidR="00CB3E59" w:rsidRPr="00FA5D21" w:rsidRDefault="00CB3E59" w:rsidP="0094242F">
            <w:pPr>
              <w:jc w:val="center"/>
              <w:rPr>
                <w:bCs/>
                <w:color w:val="000000"/>
                <w:sz w:val="16"/>
                <w:szCs w:val="16"/>
              </w:rPr>
            </w:pPr>
            <w:r>
              <w:rPr>
                <w:bCs/>
                <w:color w:val="000000"/>
                <w:sz w:val="16"/>
                <w:szCs w:val="16"/>
              </w:rPr>
              <w:t>2018</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E539695" w14:textId="77777777" w:rsidR="00CB3E59" w:rsidRPr="00FA5D21" w:rsidRDefault="00CB3E59" w:rsidP="0094242F">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7C4CD77" w14:textId="77777777" w:rsidR="00CB3E59" w:rsidRPr="00FA5D21" w:rsidRDefault="00CB3E59" w:rsidP="0094242F">
            <w:pPr>
              <w:jc w:val="center"/>
              <w:rPr>
                <w:bCs/>
                <w:color w:val="000000"/>
                <w:sz w:val="16"/>
                <w:szCs w:val="16"/>
              </w:rPr>
            </w:pPr>
            <w:r>
              <w:rPr>
                <w:bCs/>
                <w:color w:val="000000"/>
                <w:sz w:val="16"/>
                <w:szCs w:val="16"/>
              </w:rPr>
              <w:t>2020</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40B011B" w14:textId="77777777" w:rsidR="00CB3E59" w:rsidRPr="00FA5D21" w:rsidRDefault="00CB3E59" w:rsidP="0094242F">
            <w:pPr>
              <w:jc w:val="center"/>
              <w:rPr>
                <w:bCs/>
                <w:color w:val="000000"/>
                <w:sz w:val="16"/>
                <w:szCs w:val="16"/>
              </w:rPr>
            </w:pPr>
            <w:r>
              <w:rPr>
                <w:bCs/>
                <w:color w:val="000000"/>
                <w:sz w:val="16"/>
                <w:szCs w:val="16"/>
              </w:rPr>
              <w:t>2018</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5364F75" w14:textId="77777777" w:rsidR="00CB3E59" w:rsidRPr="00FA5D21" w:rsidRDefault="00CB3E59" w:rsidP="0094242F">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F933602" w14:textId="77777777" w:rsidR="00CB3E59" w:rsidRPr="00FA5D21" w:rsidRDefault="00CB3E59" w:rsidP="0094242F">
            <w:pPr>
              <w:jc w:val="center"/>
              <w:rPr>
                <w:bCs/>
                <w:color w:val="000000"/>
                <w:sz w:val="16"/>
                <w:szCs w:val="16"/>
              </w:rPr>
            </w:pPr>
            <w:r>
              <w:rPr>
                <w:bCs/>
                <w:color w:val="000000"/>
                <w:sz w:val="16"/>
                <w:szCs w:val="16"/>
              </w:rPr>
              <w:t>2020</w:t>
            </w:r>
          </w:p>
        </w:tc>
      </w:tr>
      <w:tr w:rsidR="00CB3E59" w:rsidRPr="00841586" w14:paraId="6E569CD4" w14:textId="77777777" w:rsidTr="0094242F">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7BA69F71" w14:textId="77777777" w:rsidR="00CB3E59" w:rsidRPr="00841586" w:rsidRDefault="00CB3E59" w:rsidP="0094242F">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423FBE8B" w14:textId="77777777" w:rsidR="00CB3E59" w:rsidRPr="00C25F8B" w:rsidRDefault="00CB3E59" w:rsidP="0094242F">
            <w:pPr>
              <w:ind w:right="227"/>
              <w:jc w:val="right"/>
              <w:rPr>
                <w:b/>
                <w:bCs/>
                <w:color w:val="000000"/>
                <w:sz w:val="14"/>
                <w:szCs w:val="14"/>
              </w:rPr>
            </w:pPr>
            <w:r w:rsidRPr="00C25F8B">
              <w:rPr>
                <w:b/>
                <w:bCs/>
                <w:color w:val="000000"/>
                <w:sz w:val="14"/>
                <w:szCs w:val="14"/>
              </w:rPr>
              <w:t>0.21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27DA427" w14:textId="77777777" w:rsidR="00CB3E59" w:rsidRPr="00C25F8B" w:rsidRDefault="00CB3E59" w:rsidP="0094242F">
            <w:pPr>
              <w:ind w:right="227"/>
              <w:jc w:val="right"/>
              <w:rPr>
                <w:b/>
                <w:bCs/>
                <w:color w:val="000000"/>
                <w:sz w:val="14"/>
                <w:szCs w:val="14"/>
              </w:rPr>
            </w:pPr>
            <w:r w:rsidRPr="00C25F8B">
              <w:rPr>
                <w:b/>
                <w:bCs/>
                <w:color w:val="000000"/>
                <w:sz w:val="14"/>
                <w:szCs w:val="14"/>
              </w:rPr>
              <w:t>0.27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90F34D9" w14:textId="77777777" w:rsidR="00CB3E59" w:rsidRPr="00C25F8B" w:rsidRDefault="00CB3E59" w:rsidP="0094242F">
            <w:pPr>
              <w:ind w:right="227"/>
              <w:jc w:val="right"/>
              <w:rPr>
                <w:b/>
                <w:bCs/>
                <w:color w:val="000000"/>
                <w:sz w:val="14"/>
                <w:szCs w:val="14"/>
              </w:rPr>
            </w:pPr>
            <w:r w:rsidRPr="00C25F8B">
              <w:rPr>
                <w:b/>
                <w:bCs/>
                <w:color w:val="000000"/>
                <w:sz w:val="14"/>
                <w:szCs w:val="14"/>
              </w:rPr>
              <w:t>0.15</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76B4A03" w14:textId="77777777" w:rsidR="00CB3E59" w:rsidRPr="00C25F8B" w:rsidRDefault="00CB3E59" w:rsidP="0094242F">
            <w:pPr>
              <w:ind w:right="227"/>
              <w:jc w:val="right"/>
              <w:rPr>
                <w:b/>
                <w:bCs/>
                <w:color w:val="000000"/>
                <w:sz w:val="14"/>
                <w:szCs w:val="14"/>
              </w:rPr>
            </w:pPr>
            <w:r w:rsidRPr="00C25F8B">
              <w:rPr>
                <w:b/>
                <w:bCs/>
                <w:color w:val="000000"/>
                <w:sz w:val="14"/>
                <w:szCs w:val="14"/>
              </w:rPr>
              <w:t>3.74</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A03457C" w14:textId="77777777" w:rsidR="00CB3E59" w:rsidRPr="00C25F8B" w:rsidRDefault="00CB3E59" w:rsidP="0094242F">
            <w:pPr>
              <w:ind w:right="227"/>
              <w:jc w:val="right"/>
              <w:rPr>
                <w:b/>
                <w:bCs/>
                <w:color w:val="000000"/>
                <w:sz w:val="14"/>
                <w:szCs w:val="14"/>
              </w:rPr>
            </w:pPr>
            <w:r w:rsidRPr="00C25F8B">
              <w:rPr>
                <w:b/>
                <w:bCs/>
                <w:color w:val="000000"/>
                <w:sz w:val="14"/>
                <w:szCs w:val="14"/>
              </w:rPr>
              <w:t>4.48</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A8D6B36" w14:textId="77777777" w:rsidR="00CB3E59" w:rsidRPr="00C25F8B" w:rsidRDefault="00CB3E59" w:rsidP="0094242F">
            <w:pPr>
              <w:ind w:right="227"/>
              <w:jc w:val="right"/>
              <w:rPr>
                <w:b/>
                <w:bCs/>
                <w:color w:val="000000"/>
                <w:sz w:val="14"/>
                <w:szCs w:val="14"/>
              </w:rPr>
            </w:pPr>
            <w:r w:rsidRPr="00C25F8B">
              <w:rPr>
                <w:b/>
                <w:bCs/>
                <w:color w:val="000000"/>
                <w:sz w:val="14"/>
                <w:szCs w:val="14"/>
              </w:rPr>
              <w:t>0.96</w:t>
            </w:r>
          </w:p>
        </w:tc>
      </w:tr>
      <w:tr w:rsidR="00CB3E59" w:rsidRPr="00841586" w14:paraId="7BCEAF3C" w14:textId="77777777" w:rsidTr="0094242F">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BCB6349" w14:textId="77777777" w:rsidR="00CB3E59" w:rsidRPr="00841586" w:rsidRDefault="00CB3E59" w:rsidP="0094242F">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4AC9B26" w14:textId="77777777" w:rsidR="00CB3E59" w:rsidRPr="00C25F8B" w:rsidRDefault="00CB3E59" w:rsidP="0094242F">
            <w:pPr>
              <w:ind w:right="227"/>
              <w:jc w:val="right"/>
              <w:rPr>
                <w:b/>
                <w:bCs/>
                <w:color w:val="000000"/>
                <w:sz w:val="14"/>
                <w:szCs w:val="14"/>
              </w:rPr>
            </w:pPr>
            <w:r w:rsidRPr="00C25F8B">
              <w:rPr>
                <w:b/>
                <w:bCs/>
                <w:color w:val="000000"/>
                <w:sz w:val="14"/>
                <w:szCs w:val="14"/>
              </w:rPr>
              <w:t>0.99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C8BA0D" w14:textId="77777777" w:rsidR="00CB3E59" w:rsidRPr="00C25F8B" w:rsidRDefault="00CB3E59" w:rsidP="0094242F">
            <w:pPr>
              <w:ind w:right="227"/>
              <w:jc w:val="right"/>
              <w:rPr>
                <w:b/>
                <w:bCs/>
                <w:color w:val="000000"/>
                <w:sz w:val="14"/>
                <w:szCs w:val="14"/>
              </w:rPr>
            </w:pPr>
            <w:r w:rsidRPr="00C25F8B">
              <w:rPr>
                <w:b/>
                <w:bCs/>
                <w:color w:val="000000"/>
                <w:sz w:val="14"/>
                <w:szCs w:val="14"/>
              </w:rPr>
              <w:t>-2.89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B9655DE" w14:textId="77777777" w:rsidR="00CB3E59" w:rsidRPr="00C25F8B" w:rsidRDefault="00CB3E59" w:rsidP="0094242F">
            <w:pPr>
              <w:ind w:right="227"/>
              <w:jc w:val="right"/>
              <w:rPr>
                <w:b/>
                <w:bCs/>
                <w:color w:val="000000"/>
                <w:sz w:val="14"/>
                <w:szCs w:val="14"/>
              </w:rPr>
            </w:pPr>
            <w:r w:rsidRPr="00C25F8B">
              <w:rPr>
                <w:b/>
                <w:bCs/>
                <w:color w:val="000000"/>
                <w:sz w:val="14"/>
                <w:szCs w:val="14"/>
              </w:rPr>
              <w:t>5.14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1691AFC" w14:textId="77777777" w:rsidR="00CB3E59" w:rsidRPr="00C25F8B" w:rsidRDefault="00CB3E59" w:rsidP="0094242F">
            <w:pPr>
              <w:ind w:right="227"/>
              <w:jc w:val="right"/>
              <w:rPr>
                <w:b/>
                <w:bCs/>
                <w:color w:val="000000"/>
                <w:sz w:val="14"/>
                <w:szCs w:val="14"/>
              </w:rPr>
            </w:pPr>
            <w:r w:rsidRPr="00C25F8B">
              <w:rPr>
                <w:b/>
                <w:bCs/>
                <w:color w:val="000000"/>
                <w:sz w:val="14"/>
                <w:szCs w:val="14"/>
              </w:rPr>
              <w:t>9.46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83D20C5" w14:textId="77777777" w:rsidR="00CB3E59" w:rsidRPr="00C25F8B" w:rsidRDefault="00CB3E59" w:rsidP="0094242F">
            <w:pPr>
              <w:ind w:right="227"/>
              <w:jc w:val="right"/>
              <w:rPr>
                <w:b/>
                <w:bCs/>
                <w:color w:val="000000"/>
                <w:sz w:val="14"/>
                <w:szCs w:val="14"/>
              </w:rPr>
            </w:pPr>
            <w:r w:rsidRPr="00C25F8B">
              <w:rPr>
                <w:b/>
                <w:bCs/>
                <w:color w:val="000000"/>
                <w:sz w:val="14"/>
                <w:szCs w:val="14"/>
              </w:rPr>
              <w:t>-0.73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C1EFCA1" w14:textId="77777777" w:rsidR="00CB3E59" w:rsidRPr="00C25F8B" w:rsidRDefault="00CB3E59" w:rsidP="0094242F">
            <w:pPr>
              <w:ind w:right="227"/>
              <w:jc w:val="right"/>
              <w:rPr>
                <w:b/>
                <w:bCs/>
                <w:color w:val="000000"/>
                <w:sz w:val="14"/>
                <w:szCs w:val="14"/>
              </w:rPr>
            </w:pPr>
            <w:r w:rsidRPr="00C25F8B">
              <w:rPr>
                <w:b/>
                <w:bCs/>
                <w:color w:val="000000"/>
                <w:sz w:val="14"/>
                <w:szCs w:val="14"/>
              </w:rPr>
              <w:t>0.56</w:t>
            </w:r>
          </w:p>
        </w:tc>
      </w:tr>
      <w:tr w:rsidR="00CB3E59" w:rsidRPr="00841586" w14:paraId="27BEA9F2" w14:textId="77777777" w:rsidTr="0094242F">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3258FA7" w14:textId="77777777" w:rsidR="00CB3E59" w:rsidRPr="00841586" w:rsidRDefault="00CB3E59" w:rsidP="0094242F">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304C114" w14:textId="77777777" w:rsidR="00CB3E59" w:rsidRPr="00C25F8B" w:rsidRDefault="00CB3E59" w:rsidP="0094242F">
            <w:pPr>
              <w:ind w:right="227"/>
              <w:jc w:val="right"/>
              <w:rPr>
                <w:b/>
                <w:bCs/>
                <w:color w:val="000000"/>
                <w:sz w:val="14"/>
                <w:szCs w:val="14"/>
              </w:rPr>
            </w:pPr>
            <w:r w:rsidRPr="00C25F8B">
              <w:rPr>
                <w:b/>
                <w:bCs/>
                <w:color w:val="000000"/>
                <w:sz w:val="14"/>
                <w:szCs w:val="14"/>
              </w:rPr>
              <w:t>-0.02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6FD3B7" w14:textId="77777777" w:rsidR="00CB3E59" w:rsidRPr="00C25F8B" w:rsidRDefault="00CB3E59" w:rsidP="0094242F">
            <w:pPr>
              <w:ind w:right="227"/>
              <w:jc w:val="right"/>
              <w:rPr>
                <w:b/>
                <w:bCs/>
                <w:color w:val="000000"/>
                <w:sz w:val="14"/>
                <w:szCs w:val="14"/>
              </w:rPr>
            </w:pPr>
            <w:r w:rsidRPr="00C25F8B">
              <w:rPr>
                <w:b/>
                <w:bCs/>
                <w:color w:val="000000"/>
                <w:sz w:val="14"/>
                <w:szCs w:val="14"/>
              </w:rPr>
              <w:t>0.55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519D6D8" w14:textId="77777777" w:rsidR="00CB3E59" w:rsidRPr="00C25F8B" w:rsidRDefault="00CB3E59" w:rsidP="0094242F">
            <w:pPr>
              <w:ind w:right="227"/>
              <w:jc w:val="right"/>
              <w:rPr>
                <w:b/>
                <w:bCs/>
                <w:color w:val="000000"/>
                <w:sz w:val="14"/>
                <w:szCs w:val="14"/>
              </w:rPr>
            </w:pPr>
            <w:r w:rsidRPr="00C25F8B">
              <w:rPr>
                <w:b/>
                <w:bCs/>
                <w:color w:val="000000"/>
                <w:sz w:val="14"/>
                <w:szCs w:val="14"/>
              </w:rPr>
              <w:t>-0.38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53DB42" w14:textId="77777777" w:rsidR="00CB3E59" w:rsidRPr="00C25F8B" w:rsidRDefault="00CB3E59" w:rsidP="0094242F">
            <w:pPr>
              <w:ind w:right="227"/>
              <w:jc w:val="right"/>
              <w:rPr>
                <w:b/>
                <w:bCs/>
                <w:color w:val="000000"/>
                <w:sz w:val="14"/>
                <w:szCs w:val="14"/>
              </w:rPr>
            </w:pPr>
            <w:r w:rsidRPr="00C25F8B">
              <w:rPr>
                <w:b/>
                <w:bCs/>
                <w:color w:val="000000"/>
                <w:sz w:val="14"/>
                <w:szCs w:val="14"/>
              </w:rPr>
              <w:t>3.39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0F550F" w14:textId="77777777" w:rsidR="00CB3E59" w:rsidRPr="00C25F8B" w:rsidRDefault="00CB3E59" w:rsidP="0094242F">
            <w:pPr>
              <w:ind w:right="227"/>
              <w:jc w:val="right"/>
              <w:rPr>
                <w:b/>
                <w:bCs/>
                <w:color w:val="000000"/>
                <w:sz w:val="14"/>
                <w:szCs w:val="14"/>
              </w:rPr>
            </w:pPr>
            <w:r w:rsidRPr="00C25F8B">
              <w:rPr>
                <w:b/>
                <w:bCs/>
                <w:color w:val="000000"/>
                <w:sz w:val="14"/>
                <w:szCs w:val="14"/>
              </w:rPr>
              <w:t>5.25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63EF15F" w14:textId="77777777" w:rsidR="00CB3E59" w:rsidRPr="00C25F8B" w:rsidRDefault="00CB3E59" w:rsidP="0094242F">
            <w:pPr>
              <w:ind w:right="227"/>
              <w:jc w:val="right"/>
              <w:rPr>
                <w:b/>
                <w:bCs/>
                <w:color w:val="000000"/>
                <w:sz w:val="14"/>
                <w:szCs w:val="14"/>
              </w:rPr>
            </w:pPr>
            <w:r w:rsidRPr="00C25F8B">
              <w:rPr>
                <w:b/>
                <w:bCs/>
                <w:color w:val="000000"/>
                <w:sz w:val="14"/>
                <w:szCs w:val="14"/>
              </w:rPr>
              <w:t>-0.39</w:t>
            </w:r>
          </w:p>
        </w:tc>
      </w:tr>
      <w:tr w:rsidR="00CB3E59" w:rsidRPr="00841586" w14:paraId="56FF4E1B" w14:textId="77777777" w:rsidTr="0094242F">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8A79FC"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376A6EA" w14:textId="77777777" w:rsidR="00CB3E59" w:rsidRPr="00C25F8B" w:rsidRDefault="00CB3E59" w:rsidP="0094242F">
            <w:pPr>
              <w:ind w:right="227"/>
              <w:jc w:val="right"/>
              <w:rPr>
                <w:bCs/>
                <w:color w:val="000000"/>
                <w:sz w:val="14"/>
                <w:szCs w:val="14"/>
              </w:rPr>
            </w:pPr>
            <w:r w:rsidRPr="00C25F8B">
              <w:rPr>
                <w:bCs/>
                <w:color w:val="000000"/>
                <w:sz w:val="14"/>
                <w:szCs w:val="14"/>
              </w:rPr>
              <w:t>-2.32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EE4E34" w14:textId="77777777" w:rsidR="00CB3E59" w:rsidRPr="00C25F8B" w:rsidRDefault="00CB3E59" w:rsidP="0094242F">
            <w:pPr>
              <w:ind w:right="227"/>
              <w:jc w:val="right"/>
              <w:rPr>
                <w:bCs/>
                <w:color w:val="000000"/>
                <w:sz w:val="14"/>
                <w:szCs w:val="14"/>
              </w:rPr>
            </w:pPr>
            <w:r w:rsidRPr="00C25F8B">
              <w:rPr>
                <w:bCs/>
                <w:color w:val="000000"/>
                <w:sz w:val="14"/>
                <w:szCs w:val="14"/>
              </w:rPr>
              <w:t>2.61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3AE9A6" w14:textId="77777777" w:rsidR="00CB3E59" w:rsidRPr="00C25F8B" w:rsidRDefault="00CB3E59" w:rsidP="0094242F">
            <w:pPr>
              <w:ind w:right="227"/>
              <w:jc w:val="right"/>
              <w:rPr>
                <w:bCs/>
                <w:color w:val="000000"/>
                <w:sz w:val="14"/>
                <w:szCs w:val="14"/>
              </w:rPr>
            </w:pPr>
            <w:r w:rsidRPr="00C25F8B">
              <w:rPr>
                <w:bCs/>
                <w:color w:val="000000"/>
                <w:sz w:val="14"/>
                <w:szCs w:val="14"/>
              </w:rPr>
              <w:t>-7.09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224717" w14:textId="77777777" w:rsidR="00CB3E59" w:rsidRPr="00C25F8B" w:rsidRDefault="00CB3E59" w:rsidP="0094242F">
            <w:pPr>
              <w:ind w:right="227"/>
              <w:jc w:val="right"/>
              <w:rPr>
                <w:bCs/>
                <w:color w:val="000000"/>
                <w:sz w:val="14"/>
                <w:szCs w:val="14"/>
              </w:rPr>
            </w:pPr>
            <w:r w:rsidRPr="00C25F8B">
              <w:rPr>
                <w:bCs/>
                <w:color w:val="000000"/>
                <w:sz w:val="14"/>
                <w:szCs w:val="14"/>
              </w:rPr>
              <w:t>9.29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0E29A0" w14:textId="77777777" w:rsidR="00CB3E59" w:rsidRPr="00C25F8B" w:rsidRDefault="00CB3E59" w:rsidP="0094242F">
            <w:pPr>
              <w:ind w:right="227"/>
              <w:jc w:val="right"/>
              <w:rPr>
                <w:bCs/>
                <w:color w:val="000000"/>
                <w:sz w:val="14"/>
                <w:szCs w:val="14"/>
              </w:rPr>
            </w:pPr>
            <w:r w:rsidRPr="00C25F8B">
              <w:rPr>
                <w:bCs/>
                <w:color w:val="000000"/>
                <w:sz w:val="14"/>
                <w:szCs w:val="14"/>
              </w:rPr>
              <w:t>3.16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5FCB18" w14:textId="77777777" w:rsidR="00CB3E59" w:rsidRPr="00C25F8B" w:rsidRDefault="00CB3E59" w:rsidP="0094242F">
            <w:pPr>
              <w:ind w:right="227"/>
              <w:jc w:val="right"/>
              <w:rPr>
                <w:bCs/>
                <w:color w:val="000000"/>
                <w:sz w:val="14"/>
                <w:szCs w:val="14"/>
              </w:rPr>
            </w:pPr>
            <w:r w:rsidRPr="00C25F8B">
              <w:rPr>
                <w:bCs/>
                <w:color w:val="000000"/>
                <w:sz w:val="14"/>
                <w:szCs w:val="14"/>
              </w:rPr>
              <w:t>-12.00</w:t>
            </w:r>
          </w:p>
        </w:tc>
      </w:tr>
      <w:tr w:rsidR="00CB3E59" w:rsidRPr="00841586" w14:paraId="4AF36FB3" w14:textId="77777777" w:rsidTr="0094242F">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B643B5A"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F45A17E" w14:textId="77777777" w:rsidR="00CB3E59" w:rsidRPr="00C25F8B" w:rsidRDefault="00CB3E59" w:rsidP="0094242F">
            <w:pPr>
              <w:ind w:right="227"/>
              <w:jc w:val="right"/>
              <w:rPr>
                <w:bCs/>
                <w:color w:val="000000"/>
                <w:sz w:val="14"/>
                <w:szCs w:val="14"/>
              </w:rPr>
            </w:pPr>
            <w:r w:rsidRPr="00C25F8B">
              <w:rPr>
                <w:bCs/>
                <w:color w:val="000000"/>
                <w:sz w:val="14"/>
                <w:szCs w:val="14"/>
              </w:rPr>
              <w:t>0.25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5148A5" w14:textId="77777777" w:rsidR="00CB3E59" w:rsidRPr="00C25F8B" w:rsidRDefault="00CB3E59" w:rsidP="0094242F">
            <w:pPr>
              <w:ind w:right="227"/>
              <w:jc w:val="right"/>
              <w:rPr>
                <w:bCs/>
                <w:color w:val="000000"/>
                <w:sz w:val="14"/>
                <w:szCs w:val="14"/>
              </w:rPr>
            </w:pPr>
            <w:r w:rsidRPr="00C25F8B">
              <w:rPr>
                <w:bCs/>
                <w:color w:val="000000"/>
                <w:sz w:val="14"/>
                <w:szCs w:val="14"/>
              </w:rPr>
              <w:t>-0.09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5CD51C" w14:textId="77777777" w:rsidR="00CB3E59" w:rsidRPr="00C25F8B" w:rsidRDefault="00CB3E59" w:rsidP="0094242F">
            <w:pPr>
              <w:ind w:right="227"/>
              <w:jc w:val="right"/>
              <w:rPr>
                <w:bCs/>
                <w:color w:val="000000"/>
                <w:sz w:val="14"/>
                <w:szCs w:val="14"/>
              </w:rPr>
            </w:pPr>
            <w:r w:rsidRPr="00C25F8B">
              <w:rPr>
                <w:bCs/>
                <w:color w:val="000000"/>
                <w:sz w:val="14"/>
                <w:szCs w:val="14"/>
              </w:rPr>
              <w:t>0.02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E684D9F" w14:textId="77777777" w:rsidR="00CB3E59" w:rsidRPr="00C25F8B" w:rsidRDefault="00CB3E59" w:rsidP="0094242F">
            <w:pPr>
              <w:ind w:right="227"/>
              <w:jc w:val="right"/>
              <w:rPr>
                <w:bCs/>
                <w:color w:val="000000"/>
                <w:sz w:val="14"/>
                <w:szCs w:val="14"/>
              </w:rPr>
            </w:pPr>
            <w:r w:rsidRPr="00C25F8B">
              <w:rPr>
                <w:bCs/>
                <w:color w:val="000000"/>
                <w:sz w:val="14"/>
                <w:szCs w:val="14"/>
              </w:rPr>
              <w:t>1.97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27673F3" w14:textId="77777777" w:rsidR="00CB3E59" w:rsidRPr="00C25F8B" w:rsidRDefault="00CB3E59" w:rsidP="0094242F">
            <w:pPr>
              <w:ind w:right="227"/>
              <w:jc w:val="right"/>
              <w:rPr>
                <w:bCs/>
                <w:color w:val="000000"/>
                <w:sz w:val="14"/>
                <w:szCs w:val="14"/>
              </w:rPr>
            </w:pPr>
            <w:r w:rsidRPr="00C25F8B">
              <w:rPr>
                <w:bCs/>
                <w:color w:val="000000"/>
                <w:sz w:val="14"/>
                <w:szCs w:val="14"/>
              </w:rPr>
              <w:t>10.54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4B0B0B" w14:textId="77777777" w:rsidR="00CB3E59" w:rsidRPr="00C25F8B" w:rsidRDefault="00CB3E59" w:rsidP="0094242F">
            <w:pPr>
              <w:ind w:right="227"/>
              <w:jc w:val="right"/>
              <w:rPr>
                <w:bCs/>
                <w:color w:val="000000"/>
                <w:sz w:val="14"/>
                <w:szCs w:val="14"/>
              </w:rPr>
            </w:pPr>
            <w:r w:rsidRPr="00C25F8B">
              <w:rPr>
                <w:bCs/>
                <w:color w:val="000000"/>
                <w:sz w:val="14"/>
                <w:szCs w:val="14"/>
              </w:rPr>
              <w:t>1.56</w:t>
            </w:r>
          </w:p>
        </w:tc>
      </w:tr>
      <w:tr w:rsidR="00CB3E59" w:rsidRPr="00841586" w14:paraId="4A8073C3" w14:textId="77777777" w:rsidTr="0094242F">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8110389"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FC192FC" w14:textId="77777777" w:rsidR="00CB3E59" w:rsidRPr="00C25F8B" w:rsidRDefault="00CB3E59" w:rsidP="0094242F">
            <w:pPr>
              <w:ind w:right="227"/>
              <w:jc w:val="right"/>
              <w:rPr>
                <w:bCs/>
                <w:color w:val="000000"/>
                <w:sz w:val="14"/>
                <w:szCs w:val="14"/>
              </w:rPr>
            </w:pPr>
            <w:r w:rsidRPr="00C25F8B">
              <w:rPr>
                <w:bCs/>
                <w:color w:val="000000"/>
                <w:sz w:val="14"/>
                <w:szCs w:val="14"/>
              </w:rPr>
              <w:t>1.15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0309CE6" w14:textId="77777777" w:rsidR="00CB3E59" w:rsidRPr="00C25F8B" w:rsidRDefault="00CB3E59" w:rsidP="0094242F">
            <w:pPr>
              <w:ind w:right="227"/>
              <w:jc w:val="right"/>
              <w:rPr>
                <w:bCs/>
                <w:color w:val="000000"/>
                <w:sz w:val="14"/>
                <w:szCs w:val="14"/>
              </w:rPr>
            </w:pPr>
            <w:r w:rsidRPr="00C25F8B">
              <w:rPr>
                <w:bCs/>
                <w:color w:val="000000"/>
                <w:sz w:val="14"/>
                <w:szCs w:val="14"/>
              </w:rPr>
              <w:t>0.15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FFE4BE" w14:textId="77777777" w:rsidR="00CB3E59" w:rsidRPr="00C25F8B" w:rsidRDefault="00CB3E59" w:rsidP="0094242F">
            <w:pPr>
              <w:ind w:right="227"/>
              <w:jc w:val="right"/>
              <w:rPr>
                <w:bCs/>
                <w:color w:val="000000"/>
                <w:sz w:val="14"/>
                <w:szCs w:val="14"/>
              </w:rPr>
            </w:pPr>
            <w:r w:rsidRPr="00C25F8B">
              <w:rPr>
                <w:bCs/>
                <w:color w:val="000000"/>
                <w:sz w:val="14"/>
                <w:szCs w:val="14"/>
              </w:rPr>
              <w:t>0.87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AF727E9" w14:textId="77777777" w:rsidR="00CB3E59" w:rsidRPr="00C25F8B" w:rsidRDefault="00CB3E59" w:rsidP="0094242F">
            <w:pPr>
              <w:ind w:right="227"/>
              <w:jc w:val="right"/>
              <w:rPr>
                <w:bCs/>
                <w:color w:val="000000"/>
                <w:sz w:val="14"/>
                <w:szCs w:val="14"/>
              </w:rPr>
            </w:pPr>
            <w:r w:rsidRPr="00C25F8B">
              <w:rPr>
                <w:bCs/>
                <w:color w:val="000000"/>
                <w:sz w:val="14"/>
                <w:szCs w:val="14"/>
              </w:rPr>
              <w:t>5.87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C30A89" w14:textId="77777777" w:rsidR="00CB3E59" w:rsidRPr="00C25F8B" w:rsidRDefault="00CB3E59" w:rsidP="0094242F">
            <w:pPr>
              <w:ind w:right="227"/>
              <w:jc w:val="right"/>
              <w:rPr>
                <w:bCs/>
                <w:color w:val="000000"/>
                <w:sz w:val="14"/>
                <w:szCs w:val="14"/>
              </w:rPr>
            </w:pPr>
            <w:r w:rsidRPr="00C25F8B">
              <w:rPr>
                <w:bCs/>
                <w:color w:val="000000"/>
                <w:sz w:val="14"/>
                <w:szCs w:val="14"/>
              </w:rPr>
              <w:t>7.47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377EB09" w14:textId="77777777" w:rsidR="00CB3E59" w:rsidRPr="00C25F8B" w:rsidRDefault="00CB3E59" w:rsidP="0094242F">
            <w:pPr>
              <w:ind w:right="227"/>
              <w:jc w:val="right"/>
              <w:rPr>
                <w:bCs/>
                <w:color w:val="000000"/>
                <w:sz w:val="14"/>
                <w:szCs w:val="14"/>
              </w:rPr>
            </w:pPr>
            <w:r w:rsidRPr="00C25F8B">
              <w:rPr>
                <w:bCs/>
                <w:color w:val="000000"/>
                <w:sz w:val="14"/>
                <w:szCs w:val="14"/>
              </w:rPr>
              <w:t>0.34</w:t>
            </w:r>
          </w:p>
        </w:tc>
      </w:tr>
      <w:tr w:rsidR="00CB3E59" w:rsidRPr="00841586" w14:paraId="68F2BBE9" w14:textId="77777777" w:rsidTr="0094242F">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CE5E239" w14:textId="77777777" w:rsidR="00CB3E59" w:rsidRPr="00841586" w:rsidRDefault="00CB3E59" w:rsidP="0094242F">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A246B23" w14:textId="77777777" w:rsidR="00CB3E59" w:rsidRPr="00C25F8B" w:rsidRDefault="00CB3E59" w:rsidP="0094242F">
            <w:pPr>
              <w:ind w:right="227"/>
              <w:jc w:val="right"/>
              <w:rPr>
                <w:bCs/>
                <w:color w:val="000000"/>
                <w:sz w:val="14"/>
                <w:szCs w:val="14"/>
              </w:rPr>
            </w:pPr>
            <w:r w:rsidRPr="00C25F8B">
              <w:rPr>
                <w:bCs/>
                <w:color w:val="000000"/>
                <w:sz w:val="14"/>
                <w:szCs w:val="14"/>
              </w:rPr>
              <w:t>0.14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2F1407" w14:textId="77777777" w:rsidR="00CB3E59" w:rsidRPr="00C25F8B" w:rsidRDefault="00CB3E59" w:rsidP="0094242F">
            <w:pPr>
              <w:ind w:right="227"/>
              <w:jc w:val="right"/>
              <w:rPr>
                <w:bCs/>
                <w:color w:val="000000"/>
                <w:sz w:val="14"/>
                <w:szCs w:val="14"/>
              </w:rPr>
            </w:pPr>
            <w:r w:rsidRPr="00C25F8B">
              <w:rPr>
                <w:bCs/>
                <w:color w:val="000000"/>
                <w:sz w:val="14"/>
                <w:szCs w:val="14"/>
              </w:rPr>
              <w:t>0.34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320231E" w14:textId="77777777" w:rsidR="00CB3E59" w:rsidRPr="00C25F8B" w:rsidRDefault="00CB3E59" w:rsidP="0094242F">
            <w:pPr>
              <w:ind w:right="227"/>
              <w:jc w:val="right"/>
              <w:rPr>
                <w:bCs/>
                <w:color w:val="000000"/>
                <w:sz w:val="14"/>
                <w:szCs w:val="14"/>
              </w:rPr>
            </w:pPr>
            <w:r w:rsidRPr="00C25F8B">
              <w:rPr>
                <w:bCs/>
                <w:color w:val="000000"/>
                <w:sz w:val="14"/>
                <w:szCs w:val="14"/>
              </w:rPr>
              <w:t>-0.02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2EFEFD2" w14:textId="77777777" w:rsidR="00CB3E59" w:rsidRPr="00C25F8B" w:rsidRDefault="00CB3E59" w:rsidP="0094242F">
            <w:pPr>
              <w:ind w:right="227"/>
              <w:jc w:val="right"/>
              <w:rPr>
                <w:bCs/>
                <w:color w:val="000000"/>
                <w:sz w:val="14"/>
                <w:szCs w:val="14"/>
              </w:rPr>
            </w:pPr>
            <w:r w:rsidRPr="00C25F8B">
              <w:rPr>
                <w:bCs/>
                <w:color w:val="000000"/>
                <w:sz w:val="14"/>
                <w:szCs w:val="14"/>
              </w:rPr>
              <w:t>2.19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D00E6C" w14:textId="77777777" w:rsidR="00CB3E59" w:rsidRPr="00C25F8B" w:rsidRDefault="00CB3E59" w:rsidP="0094242F">
            <w:pPr>
              <w:ind w:right="227"/>
              <w:jc w:val="right"/>
              <w:rPr>
                <w:bCs/>
                <w:color w:val="000000"/>
                <w:sz w:val="14"/>
                <w:szCs w:val="14"/>
              </w:rPr>
            </w:pPr>
            <w:r w:rsidRPr="00C25F8B">
              <w:rPr>
                <w:bCs/>
                <w:color w:val="000000"/>
                <w:sz w:val="14"/>
                <w:szCs w:val="14"/>
              </w:rPr>
              <w:t>4.93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C63BD8" w14:textId="77777777" w:rsidR="00CB3E59" w:rsidRPr="00C25F8B" w:rsidRDefault="00CB3E59" w:rsidP="0094242F">
            <w:pPr>
              <w:ind w:right="227"/>
              <w:jc w:val="right"/>
              <w:rPr>
                <w:bCs/>
                <w:color w:val="000000"/>
                <w:sz w:val="14"/>
                <w:szCs w:val="14"/>
              </w:rPr>
            </w:pPr>
            <w:r w:rsidRPr="00C25F8B">
              <w:rPr>
                <w:bCs/>
                <w:color w:val="000000"/>
                <w:sz w:val="14"/>
                <w:szCs w:val="14"/>
              </w:rPr>
              <w:t>0.58</w:t>
            </w:r>
          </w:p>
        </w:tc>
      </w:tr>
      <w:tr w:rsidR="00CB3E59" w:rsidRPr="00841586" w14:paraId="2931D95C" w14:textId="77777777" w:rsidTr="0094242F">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431FCFF5" w14:textId="77777777" w:rsidR="00CB3E59" w:rsidRPr="00841586" w:rsidRDefault="00CB3E59" w:rsidP="0094242F">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3679BC93" w14:textId="77777777" w:rsidR="00CB3E59" w:rsidRPr="00C25F8B" w:rsidRDefault="00CB3E59" w:rsidP="0094242F">
            <w:pPr>
              <w:ind w:right="227"/>
              <w:jc w:val="right"/>
              <w:rPr>
                <w:b/>
                <w:bCs/>
                <w:color w:val="000000"/>
                <w:sz w:val="14"/>
                <w:szCs w:val="14"/>
              </w:rPr>
            </w:pPr>
            <w:r w:rsidRPr="00C25F8B">
              <w:rPr>
                <w:b/>
                <w:bCs/>
                <w:color w:val="000000"/>
                <w:sz w:val="14"/>
                <w:szCs w:val="14"/>
              </w:rPr>
              <w:t>0.52</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74433AF" w14:textId="77777777" w:rsidR="00CB3E59" w:rsidRPr="00C25F8B" w:rsidRDefault="00CB3E59" w:rsidP="0094242F">
            <w:pPr>
              <w:ind w:right="227"/>
              <w:jc w:val="right"/>
              <w:rPr>
                <w:b/>
                <w:bCs/>
                <w:color w:val="000000"/>
                <w:sz w:val="14"/>
                <w:szCs w:val="14"/>
              </w:rPr>
            </w:pPr>
            <w:r w:rsidRPr="00C25F8B">
              <w:rPr>
                <w:b/>
                <w:bCs/>
                <w:color w:val="000000"/>
                <w:sz w:val="14"/>
                <w:szCs w:val="14"/>
              </w:rPr>
              <w:t>0.22</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E7FAA14" w14:textId="77777777" w:rsidR="00CB3E59" w:rsidRPr="00C25F8B" w:rsidRDefault="00CB3E59" w:rsidP="0094242F">
            <w:pPr>
              <w:ind w:right="227"/>
              <w:jc w:val="right"/>
              <w:rPr>
                <w:b/>
                <w:bCs/>
                <w:color w:val="000000"/>
                <w:sz w:val="14"/>
                <w:szCs w:val="14"/>
              </w:rPr>
            </w:pPr>
            <w:r w:rsidRPr="00C25F8B">
              <w:rPr>
                <w:b/>
                <w:bCs/>
                <w:color w:val="000000"/>
                <w:sz w:val="14"/>
                <w:szCs w:val="14"/>
              </w:rPr>
              <w:t>0.40</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2AC6B26" w14:textId="77777777" w:rsidR="00CB3E59" w:rsidRPr="00C25F8B" w:rsidRDefault="00CB3E59" w:rsidP="0094242F">
            <w:pPr>
              <w:ind w:right="227"/>
              <w:jc w:val="right"/>
              <w:rPr>
                <w:b/>
                <w:bCs/>
                <w:color w:val="000000"/>
                <w:sz w:val="14"/>
                <w:szCs w:val="14"/>
              </w:rPr>
            </w:pPr>
            <w:r w:rsidRPr="00C25F8B">
              <w:rPr>
                <w:b/>
                <w:bCs/>
                <w:color w:val="000000"/>
                <w:sz w:val="14"/>
                <w:szCs w:val="14"/>
              </w:rPr>
              <w:t>3.62</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B977F40" w14:textId="77777777" w:rsidR="00CB3E59" w:rsidRPr="00C25F8B" w:rsidRDefault="00CB3E59" w:rsidP="0094242F">
            <w:pPr>
              <w:ind w:right="227"/>
              <w:jc w:val="right"/>
              <w:rPr>
                <w:b/>
                <w:bCs/>
                <w:color w:val="000000"/>
                <w:sz w:val="14"/>
                <w:szCs w:val="14"/>
              </w:rPr>
            </w:pPr>
            <w:r w:rsidRPr="00C25F8B">
              <w:rPr>
                <w:b/>
                <w:bCs/>
                <w:color w:val="000000"/>
                <w:sz w:val="14"/>
                <w:szCs w:val="14"/>
              </w:rPr>
              <w:t>3.84</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DF98A0D" w14:textId="77777777" w:rsidR="00CB3E59" w:rsidRPr="00C25F8B" w:rsidRDefault="00CB3E59" w:rsidP="0094242F">
            <w:pPr>
              <w:ind w:right="227"/>
              <w:jc w:val="right"/>
              <w:rPr>
                <w:b/>
                <w:bCs/>
                <w:color w:val="000000"/>
                <w:sz w:val="14"/>
                <w:szCs w:val="14"/>
              </w:rPr>
            </w:pPr>
            <w:r w:rsidRPr="00C25F8B">
              <w:rPr>
                <w:b/>
                <w:bCs/>
                <w:color w:val="000000"/>
                <w:sz w:val="14"/>
                <w:szCs w:val="14"/>
              </w:rPr>
              <w:t>3.61</w:t>
            </w:r>
          </w:p>
        </w:tc>
      </w:tr>
    </w:tbl>
    <w:p w14:paraId="786C6095" w14:textId="77777777" w:rsidR="00CB3E59" w:rsidRPr="008D68CA" w:rsidRDefault="00CB3E59" w:rsidP="00CB3E59">
      <w:pPr>
        <w:tabs>
          <w:tab w:val="left" w:pos="284"/>
        </w:tabs>
        <w:autoSpaceDE w:val="0"/>
        <w:autoSpaceDN w:val="0"/>
        <w:adjustRightInd w:val="0"/>
        <w:ind w:firstLine="126"/>
        <w:rPr>
          <w:sz w:val="14"/>
          <w:szCs w:val="14"/>
        </w:rPr>
      </w:pPr>
      <w:r w:rsidRPr="008D68CA">
        <w:rPr>
          <w:sz w:val="16"/>
          <w:szCs w:val="14"/>
          <w:vertAlign w:val="superscript"/>
        </w:rPr>
        <w:t>1</w:t>
      </w:r>
      <w:r w:rsidRPr="008D68CA">
        <w:rPr>
          <w:sz w:val="14"/>
          <w:szCs w:val="14"/>
          <w:vertAlign w:val="superscript"/>
        </w:rPr>
        <w:t>/</w:t>
      </w:r>
      <w:r>
        <w:rPr>
          <w:sz w:val="14"/>
          <w:szCs w:val="14"/>
        </w:rPr>
        <w:tab/>
      </w:r>
      <w:r w:rsidRPr="008D68CA">
        <w:rPr>
          <w:sz w:val="14"/>
          <w:szCs w:val="14"/>
        </w:rPr>
        <w:t>Las variaciones anuales durante el primer año del INPP base julio de 2019 se continuarán comparando con el índice de la base anterior</w:t>
      </w:r>
      <w:r>
        <w:rPr>
          <w:sz w:val="14"/>
          <w:szCs w:val="14"/>
        </w:rPr>
        <w:t>.</w:t>
      </w:r>
    </w:p>
    <w:p w14:paraId="70C21CE0" w14:textId="77777777" w:rsidR="00CB3E59" w:rsidRDefault="00CB3E59" w:rsidP="00CB3E59">
      <w:pPr>
        <w:widowControl w:val="0"/>
        <w:autoSpaceDE w:val="0"/>
        <w:autoSpaceDN w:val="0"/>
        <w:adjustRightInd w:val="0"/>
        <w:ind w:left="-426" w:right="-738"/>
        <w:rPr>
          <w:b/>
          <w:i/>
          <w:color w:val="000000" w:themeColor="text1"/>
        </w:rPr>
      </w:pPr>
    </w:p>
    <w:p w14:paraId="61DABB2E" w14:textId="77777777" w:rsidR="00CB3E59" w:rsidRDefault="00CB3E59" w:rsidP="00CB3E59">
      <w:pPr>
        <w:jc w:val="left"/>
        <w:rPr>
          <w:b/>
          <w:color w:val="000000"/>
        </w:rPr>
      </w:pPr>
      <w:r>
        <w:rPr>
          <w:b/>
          <w:color w:val="000000"/>
        </w:rPr>
        <w:tab/>
      </w:r>
      <w:r>
        <w:rPr>
          <w:b/>
          <w:color w:val="000000"/>
        </w:rPr>
        <w:tab/>
      </w:r>
      <w:r>
        <w:rPr>
          <w:b/>
          <w:color w:val="000000"/>
        </w:rPr>
        <w:tab/>
      </w:r>
    </w:p>
    <w:p w14:paraId="1F4BACA7" w14:textId="0C5C9D6D" w:rsidR="00CB3E59" w:rsidRDefault="00CB3E59" w:rsidP="00CB3E59">
      <w:pPr>
        <w:jc w:val="center"/>
        <w:rPr>
          <w:b/>
          <w:color w:val="000000"/>
        </w:rPr>
      </w:pPr>
    </w:p>
    <w:p w14:paraId="58101EF6" w14:textId="7D809E54" w:rsidR="00EF42D2" w:rsidRDefault="00EF42D2" w:rsidP="00EF42D2">
      <w:pPr>
        <w:jc w:val="right"/>
        <w:rPr>
          <w:b/>
          <w:color w:val="000000"/>
        </w:rPr>
      </w:pPr>
      <w:r w:rsidRPr="00B074FC">
        <w:rPr>
          <w:i/>
          <w:iCs/>
          <w:noProof/>
          <w:snapToGrid w:val="0"/>
          <w:lang w:val="es-MX" w:eastAsia="es-MX"/>
        </w:rPr>
        <w:drawing>
          <wp:inline distT="0" distB="0" distL="0" distR="0" wp14:anchorId="4A46E9FC" wp14:editId="1B40A721">
            <wp:extent cx="4048307" cy="1461370"/>
            <wp:effectExtent l="38100" t="0" r="28575" b="438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7860" cy="1479258"/>
                    </a:xfrm>
                    <a:prstGeom prst="rect">
                      <a:avLst/>
                    </a:prstGeom>
                    <a:noFill/>
                    <a:ln>
                      <a:noFill/>
                    </a:ln>
                    <a:effectLst>
                      <a:outerShdw blurRad="50800" dist="50800" dir="5400000" algn="ctr" rotWithShape="0">
                        <a:srgbClr val="000000">
                          <a:alpha val="0"/>
                        </a:srgbClr>
                      </a:outerShdw>
                    </a:effectLst>
                  </pic:spPr>
                </pic:pic>
              </a:graphicData>
            </a:graphic>
          </wp:inline>
        </w:drawing>
      </w:r>
    </w:p>
    <w:p w14:paraId="6120B435" w14:textId="77777777" w:rsidR="00EF42D2" w:rsidRDefault="00EF42D2" w:rsidP="00CB3E59">
      <w:pPr>
        <w:spacing w:before="240"/>
        <w:jc w:val="center"/>
        <w:rPr>
          <w:b/>
          <w:color w:val="000000"/>
        </w:rPr>
      </w:pPr>
    </w:p>
    <w:p w14:paraId="352B4D73" w14:textId="0F76F1A3" w:rsidR="00CB3E59" w:rsidRPr="008B302D" w:rsidRDefault="00CB3E59" w:rsidP="00CB3E59">
      <w:pPr>
        <w:spacing w:before="240"/>
        <w:jc w:val="center"/>
        <w:rPr>
          <w:b/>
          <w:color w:val="000000"/>
        </w:rPr>
      </w:pPr>
      <w:r w:rsidRPr="003B1ACA">
        <w:rPr>
          <w:b/>
          <w:color w:val="000000"/>
        </w:rPr>
        <w:t>Se anexa Nota Técnica</w:t>
      </w:r>
    </w:p>
    <w:p w14:paraId="5946F2E4" w14:textId="77777777" w:rsidR="00CB3E59" w:rsidRDefault="00CB3E59" w:rsidP="00CB3E59">
      <w:pPr>
        <w:jc w:val="center"/>
        <w:rPr>
          <w:sz w:val="18"/>
          <w:szCs w:val="18"/>
        </w:rPr>
      </w:pPr>
    </w:p>
    <w:p w14:paraId="11E104ED" w14:textId="77777777" w:rsidR="00CB3E59" w:rsidRDefault="00CB3E59" w:rsidP="00CB3E59">
      <w:pPr>
        <w:jc w:val="center"/>
        <w:rPr>
          <w:sz w:val="18"/>
          <w:szCs w:val="18"/>
        </w:rPr>
      </w:pPr>
    </w:p>
    <w:p w14:paraId="0086A163" w14:textId="77777777" w:rsidR="00CB3E59" w:rsidRDefault="00CB3E59" w:rsidP="00CB3E59">
      <w:pPr>
        <w:rPr>
          <w:sz w:val="18"/>
          <w:szCs w:val="18"/>
        </w:rPr>
      </w:pPr>
    </w:p>
    <w:p w14:paraId="10A2C9EC" w14:textId="77777777" w:rsidR="00CB3E59" w:rsidRDefault="00CB3E59" w:rsidP="00CB3E59">
      <w:pPr>
        <w:rPr>
          <w:sz w:val="18"/>
          <w:szCs w:val="18"/>
        </w:rPr>
      </w:pPr>
    </w:p>
    <w:p w14:paraId="50292678" w14:textId="77777777" w:rsidR="00CB3E59" w:rsidRDefault="00CB3E59" w:rsidP="00CB3E59">
      <w:pPr>
        <w:rPr>
          <w:sz w:val="18"/>
          <w:szCs w:val="18"/>
        </w:rPr>
      </w:pPr>
    </w:p>
    <w:p w14:paraId="55B5AB39" w14:textId="77777777" w:rsidR="00CB3E59" w:rsidRPr="00AF228A" w:rsidRDefault="00CB3E59" w:rsidP="00CB3E59">
      <w:pPr>
        <w:rPr>
          <w:sz w:val="22"/>
          <w:szCs w:val="22"/>
        </w:rPr>
      </w:pPr>
    </w:p>
    <w:p w14:paraId="35769D8C" w14:textId="77777777" w:rsidR="00CB3E59" w:rsidRPr="00AF228A" w:rsidRDefault="00CB3E59" w:rsidP="00CB3E59">
      <w:pPr>
        <w:pStyle w:val="NormalWeb"/>
        <w:spacing w:before="0" w:beforeAutospacing="0" w:after="0" w:afterAutospacing="0"/>
        <w:ind w:left="-426" w:right="-518"/>
        <w:contextualSpacing/>
        <w:jc w:val="center"/>
        <w:rPr>
          <w:rFonts w:ascii="Arial" w:hAnsi="Arial" w:cs="Arial"/>
          <w:sz w:val="22"/>
          <w:szCs w:val="22"/>
        </w:rPr>
      </w:pPr>
      <w:r w:rsidRPr="00AF228A">
        <w:rPr>
          <w:rFonts w:ascii="Arial" w:hAnsi="Arial" w:cs="Arial"/>
          <w:sz w:val="22"/>
          <w:szCs w:val="22"/>
        </w:rPr>
        <w:t xml:space="preserve">Para consultas de medios y periodistas, contactar a: </w:t>
      </w:r>
      <w:hyperlink r:id="rId9" w:history="1">
        <w:r w:rsidRPr="00AF228A">
          <w:rPr>
            <w:rStyle w:val="Hipervnculo"/>
            <w:rFonts w:ascii="Arial" w:hAnsi="Arial" w:cs="Arial"/>
            <w:sz w:val="22"/>
            <w:szCs w:val="22"/>
          </w:rPr>
          <w:t>comunicacionsocial@inegi.org.mx</w:t>
        </w:r>
      </w:hyperlink>
      <w:r w:rsidRPr="00AF228A">
        <w:rPr>
          <w:rFonts w:ascii="Arial" w:hAnsi="Arial" w:cs="Arial"/>
          <w:sz w:val="22"/>
          <w:szCs w:val="22"/>
        </w:rPr>
        <w:t xml:space="preserve"> </w:t>
      </w:r>
    </w:p>
    <w:p w14:paraId="2286D6A8" w14:textId="77777777" w:rsidR="00CB3E59" w:rsidRPr="00AF228A" w:rsidRDefault="00CB3E59" w:rsidP="00CB3E59">
      <w:pPr>
        <w:pStyle w:val="NormalWeb"/>
        <w:spacing w:before="0" w:beforeAutospacing="0" w:after="0" w:afterAutospacing="0"/>
        <w:ind w:left="-426" w:right="-518"/>
        <w:contextualSpacing/>
        <w:jc w:val="center"/>
        <w:rPr>
          <w:rFonts w:ascii="Arial" w:hAnsi="Arial" w:cs="Arial"/>
          <w:sz w:val="22"/>
          <w:szCs w:val="22"/>
        </w:rPr>
      </w:pPr>
      <w:r w:rsidRPr="00AF228A">
        <w:rPr>
          <w:rFonts w:ascii="Arial" w:hAnsi="Arial" w:cs="Arial"/>
          <w:sz w:val="22"/>
          <w:szCs w:val="22"/>
        </w:rPr>
        <w:t xml:space="preserve">o llamar al teléfono (55) 52-78-10-00, </w:t>
      </w:r>
      <w:proofErr w:type="spellStart"/>
      <w:r w:rsidRPr="00AF228A">
        <w:rPr>
          <w:rFonts w:ascii="Arial" w:hAnsi="Arial" w:cs="Arial"/>
          <w:sz w:val="22"/>
          <w:szCs w:val="22"/>
        </w:rPr>
        <w:t>exts</w:t>
      </w:r>
      <w:proofErr w:type="spellEnd"/>
      <w:r w:rsidRPr="00AF228A">
        <w:rPr>
          <w:rFonts w:ascii="Arial" w:hAnsi="Arial" w:cs="Arial"/>
          <w:sz w:val="22"/>
          <w:szCs w:val="22"/>
        </w:rPr>
        <w:t>. 1134, 1260 y 1241</w:t>
      </w:r>
    </w:p>
    <w:p w14:paraId="29E5B9DC" w14:textId="77777777" w:rsidR="00CB3E59" w:rsidRPr="00AF228A" w:rsidRDefault="00CB3E59" w:rsidP="00CB3E59">
      <w:pPr>
        <w:ind w:left="-426" w:right="-518"/>
        <w:contextualSpacing/>
        <w:jc w:val="center"/>
        <w:rPr>
          <w:sz w:val="22"/>
          <w:szCs w:val="22"/>
        </w:rPr>
      </w:pPr>
    </w:p>
    <w:p w14:paraId="6D17E3B1" w14:textId="77777777" w:rsidR="00CB3E59" w:rsidRPr="00AF228A" w:rsidRDefault="00CB3E59" w:rsidP="00CB3E59">
      <w:pPr>
        <w:ind w:left="-426" w:right="-518"/>
        <w:contextualSpacing/>
        <w:jc w:val="center"/>
        <w:rPr>
          <w:sz w:val="22"/>
          <w:szCs w:val="22"/>
        </w:rPr>
      </w:pPr>
      <w:r w:rsidRPr="00AF228A">
        <w:rPr>
          <w:sz w:val="22"/>
          <w:szCs w:val="22"/>
        </w:rPr>
        <w:t>Dirección de Atención a Medios / Dirección General Adjunta de Comunicación</w:t>
      </w:r>
    </w:p>
    <w:p w14:paraId="4886F509" w14:textId="77777777" w:rsidR="00CB3E59" w:rsidRPr="00AF228A" w:rsidRDefault="00CB3E59" w:rsidP="00CB3E59">
      <w:pPr>
        <w:ind w:left="-426" w:right="-518"/>
        <w:contextualSpacing/>
        <w:jc w:val="center"/>
        <w:rPr>
          <w:sz w:val="22"/>
          <w:szCs w:val="22"/>
        </w:rPr>
      </w:pPr>
    </w:p>
    <w:p w14:paraId="7C733E4C" w14:textId="77777777" w:rsidR="00CB3E59" w:rsidRPr="00412C31" w:rsidRDefault="00CB3E59" w:rsidP="00CB3E59">
      <w:pPr>
        <w:ind w:left="-425" w:right="-516"/>
        <w:contextualSpacing/>
        <w:jc w:val="center"/>
        <w:rPr>
          <w:rStyle w:val="Hipervnculo"/>
          <w:snapToGrid w:val="0"/>
        </w:rPr>
      </w:pPr>
      <w:r w:rsidRPr="00FF1218">
        <w:rPr>
          <w:noProof/>
          <w:lang w:val="es-MX" w:eastAsia="es-MX"/>
        </w:rPr>
        <w:drawing>
          <wp:inline distT="0" distB="0" distL="0" distR="0" wp14:anchorId="20825880" wp14:editId="4389F2ED">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39526E" wp14:editId="181C01C2">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7C2102" wp14:editId="060AFFAE">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FF614B" wp14:editId="56446518">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8E72476" wp14:editId="766E7511">
            <wp:extent cx="2286000" cy="274320"/>
            <wp:effectExtent l="0" t="0" r="0" b="0"/>
            <wp:docPr id="6" name="Imagen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C29D641" w14:textId="77777777" w:rsidR="00CB3E59" w:rsidRPr="00AC7545" w:rsidRDefault="00CB3E59" w:rsidP="00CB3E59">
      <w:pPr>
        <w:pStyle w:val="bullet"/>
        <w:tabs>
          <w:tab w:val="left" w:pos="8789"/>
        </w:tabs>
        <w:spacing w:before="0"/>
        <w:ind w:left="0" w:right="51" w:firstLine="0"/>
        <w:jc w:val="center"/>
        <w:rPr>
          <w:rFonts w:cs="Arial"/>
          <w:sz w:val="18"/>
          <w:szCs w:val="18"/>
        </w:rPr>
        <w:sectPr w:rsidR="00CB3E59" w:rsidRPr="00AC7545" w:rsidSect="0094242F">
          <w:headerReference w:type="even" r:id="rId20"/>
          <w:headerReference w:type="default" r:id="rId21"/>
          <w:footerReference w:type="even" r:id="rId22"/>
          <w:footerReference w:type="default" r:id="rId23"/>
          <w:headerReference w:type="first" r:id="rId24"/>
          <w:footerReference w:type="first" r:id="rId25"/>
          <w:pgSz w:w="12240" w:h="15840" w:code="1"/>
          <w:pgMar w:top="1" w:right="2034" w:bottom="0" w:left="1588" w:header="510" w:footer="510" w:gutter="0"/>
          <w:cols w:space="720"/>
          <w:docGrid w:linePitch="272"/>
        </w:sectPr>
      </w:pPr>
    </w:p>
    <w:p w14:paraId="1C0D6424" w14:textId="7294BD62" w:rsidR="00CB3E59" w:rsidRDefault="00CB3E59" w:rsidP="00CB3E59">
      <w:pPr>
        <w:jc w:val="center"/>
        <w:rPr>
          <w:b/>
          <w:sz w:val="28"/>
          <w:szCs w:val="28"/>
        </w:rPr>
      </w:pPr>
      <w:r w:rsidRPr="00885869">
        <w:rPr>
          <w:b/>
          <w:sz w:val="28"/>
          <w:szCs w:val="28"/>
        </w:rPr>
        <w:lastRenderedPageBreak/>
        <w:t xml:space="preserve">    </w:t>
      </w:r>
      <w:r w:rsidRPr="00A8585B">
        <w:rPr>
          <w:b/>
          <w:sz w:val="28"/>
          <w:szCs w:val="28"/>
        </w:rPr>
        <w:t>NOTA TÉCNICA</w:t>
      </w:r>
    </w:p>
    <w:p w14:paraId="4F325BF3" w14:textId="77777777" w:rsidR="00CB3E59" w:rsidRPr="00CB3E59" w:rsidRDefault="00CB3E59" w:rsidP="00CB3E59">
      <w:pPr>
        <w:jc w:val="center"/>
        <w:rPr>
          <w:b/>
          <w:sz w:val="16"/>
          <w:szCs w:val="16"/>
        </w:rPr>
      </w:pPr>
    </w:p>
    <w:p w14:paraId="40185CAE" w14:textId="77777777" w:rsidR="00C6515A" w:rsidRPr="004F04F0" w:rsidRDefault="00C6515A" w:rsidP="006260AF">
      <w:pPr>
        <w:pStyle w:val="Profesin"/>
        <w:rPr>
          <w:b w:val="0"/>
        </w:rPr>
      </w:pPr>
      <w:r w:rsidRPr="0092783E">
        <w:t>ÍNDICE NACIONAL DE PRECIOS productor</w:t>
      </w:r>
    </w:p>
    <w:p w14:paraId="01A84DAA" w14:textId="35828A94" w:rsidR="00C6515A" w:rsidRPr="0092783E" w:rsidRDefault="00F721CA" w:rsidP="00C6515A">
      <w:pPr>
        <w:pStyle w:val="Profesin"/>
        <w:ind w:left="708" w:hanging="708"/>
      </w:pPr>
      <w:r>
        <w:t>FEBR</w:t>
      </w:r>
      <w:r w:rsidR="004D5C5B">
        <w:t>E</w:t>
      </w:r>
      <w:r w:rsidR="00E25CFC">
        <w:t>RO</w:t>
      </w:r>
      <w:r w:rsidR="004D5C5B">
        <w:t xml:space="preserve"> </w:t>
      </w:r>
      <w:r w:rsidR="00593F5D">
        <w:t>DE 20</w:t>
      </w:r>
      <w:r w:rsidR="00E25CFC">
        <w:t>20</w:t>
      </w:r>
    </w:p>
    <w:p w14:paraId="0DC6344F" w14:textId="0607963D" w:rsidR="0098436A" w:rsidRPr="00302483" w:rsidRDefault="0098436A" w:rsidP="005A3BA1">
      <w:pPr>
        <w:autoSpaceDE w:val="0"/>
        <w:autoSpaceDN w:val="0"/>
        <w:adjustRightInd w:val="0"/>
        <w:spacing w:before="720"/>
        <w:rPr>
          <w:b/>
          <w:snapToGrid w:val="0"/>
          <w:u w:val="single"/>
        </w:rPr>
      </w:pPr>
      <w:bookmarkStart w:id="1" w:name="_Hlk21329855"/>
      <w:r w:rsidRPr="00302483">
        <w:rPr>
          <w:b/>
          <w:snapToGrid w:val="0"/>
          <w:u w:val="single"/>
        </w:rPr>
        <w:t>PRODUCCIÓN TOTAL</w:t>
      </w:r>
    </w:p>
    <w:bookmarkEnd w:id="1"/>
    <w:p w14:paraId="6D660402" w14:textId="57A28399" w:rsidR="004D5C5B" w:rsidRDefault="00225EEB" w:rsidP="004D5C5B">
      <w:pPr>
        <w:pStyle w:val="n01"/>
        <w:keepLines w:val="0"/>
        <w:spacing w:before="360"/>
        <w:ind w:left="0" w:firstLine="0"/>
        <w:rPr>
          <w:rFonts w:ascii="Arial" w:hAnsi="Arial"/>
          <w:color w:val="auto"/>
        </w:rPr>
      </w:pPr>
      <w:r w:rsidRPr="00225EEB">
        <w:rPr>
          <w:rFonts w:ascii="Arial" w:hAnsi="Arial"/>
          <w:color w:val="auto"/>
        </w:rPr>
        <w:t>El Índice Nacional de Precios Productor (INPP) Total, incluyendo petróleo, reportó durante febrero de 2020 un incremento mensual de 0.15% y anual de 0.96</w:t>
      </w:r>
      <w:r w:rsidR="00391EF3">
        <w:rPr>
          <w:rFonts w:ascii="Arial" w:hAnsi="Arial"/>
          <w:color w:val="auto"/>
        </w:rPr>
        <w:t xml:space="preserve"> por ciento. </w:t>
      </w:r>
      <w:r w:rsidRPr="00225EEB">
        <w:rPr>
          <w:rFonts w:ascii="Arial" w:hAnsi="Arial"/>
          <w:color w:val="auto"/>
        </w:rPr>
        <w:t>En el mismo mes de un año antes aumentó 0.27% a tasa mensual y 4.48% a tasa anual</w:t>
      </w:r>
      <w:r w:rsidR="004D5C5B" w:rsidRPr="00CC582D">
        <w:rPr>
          <w:rFonts w:ascii="Arial" w:hAnsi="Arial"/>
          <w:color w:val="auto"/>
        </w:rPr>
        <w:t>.</w:t>
      </w:r>
    </w:p>
    <w:p w14:paraId="7DB4C0B3" w14:textId="77777777"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1A519C86"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7EE802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PRODUCCIÓN TOTAL, ACTIVIDADES PRIMARIAS, SECUNDARIAS Y TERCIARIAS,</w:t>
      </w:r>
    </w:p>
    <w:p w14:paraId="23B6DF83" w14:textId="519A9946" w:rsidR="004D5C5B" w:rsidRPr="00801B18"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Pr>
          <w:b/>
          <w:snapToGrid w:val="0"/>
          <w:sz w:val="22"/>
          <w:szCs w:val="22"/>
        </w:rPr>
        <w:t xml:space="preserve">, DURANTE </w:t>
      </w:r>
      <w:r w:rsidR="00225EEB">
        <w:rPr>
          <w:b/>
          <w:snapToGrid w:val="0"/>
          <w:sz w:val="22"/>
          <w:szCs w:val="22"/>
        </w:rPr>
        <w:t>FEBR</w:t>
      </w:r>
      <w:r>
        <w:rPr>
          <w:b/>
          <w:snapToGrid w:val="0"/>
          <w:sz w:val="22"/>
          <w:szCs w:val="22"/>
        </w:rPr>
        <w:t>E</w:t>
      </w:r>
      <w:r w:rsidR="00061B60">
        <w:rPr>
          <w:b/>
          <w:snapToGrid w:val="0"/>
          <w:sz w:val="22"/>
          <w:szCs w:val="22"/>
        </w:rPr>
        <w:t>RO</w:t>
      </w:r>
    </w:p>
    <w:p w14:paraId="39A976C9" w14:textId="454BCAD1"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225EEB">
        <w:rPr>
          <w:snapToGrid w:val="0"/>
          <w:color w:val="000000"/>
          <w:sz w:val="18"/>
          <w:szCs w:val="18"/>
        </w:rPr>
        <w:t>febr</w:t>
      </w:r>
      <w:r>
        <w:rPr>
          <w:snapToGrid w:val="0"/>
          <w:color w:val="000000"/>
          <w:sz w:val="18"/>
          <w:szCs w:val="18"/>
        </w:rPr>
        <w:t>e</w:t>
      </w:r>
      <w:r w:rsidR="00061B60">
        <w:rPr>
          <w:snapToGrid w:val="0"/>
          <w:color w:val="000000"/>
          <w:sz w:val="18"/>
          <w:szCs w:val="18"/>
        </w:rPr>
        <w:t>ro</w:t>
      </w:r>
      <w:r>
        <w:rPr>
          <w:snapToGrid w:val="0"/>
          <w:color w:val="000000"/>
          <w:sz w:val="18"/>
          <w:szCs w:val="18"/>
        </w:rPr>
        <w:t xml:space="preserve"> </w:t>
      </w:r>
      <w:r w:rsidRPr="0092783E">
        <w:rPr>
          <w:snapToGrid w:val="0"/>
          <w:color w:val="000000"/>
          <w:sz w:val="18"/>
          <w:szCs w:val="18"/>
        </w:rPr>
        <w:t>de los años que se indican</w:t>
      </w:r>
    </w:p>
    <w:p w14:paraId="353EE0D3" w14:textId="2AEDB0CA" w:rsidR="004D5C5B" w:rsidRDefault="00225EEB"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61B7F37B" wp14:editId="5D908008">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C9047" w14:textId="77777777" w:rsidR="005A3BA1" w:rsidRDefault="005A3BA1" w:rsidP="004D5C5B">
      <w:pPr>
        <w:pStyle w:val="n01"/>
        <w:keepLines w:val="0"/>
        <w:spacing w:before="360"/>
        <w:ind w:left="0" w:firstLine="0"/>
        <w:rPr>
          <w:rFonts w:ascii="Arial" w:hAnsi="Arial"/>
          <w:bCs/>
          <w:color w:val="auto"/>
        </w:rPr>
      </w:pPr>
    </w:p>
    <w:p w14:paraId="2EB20489" w14:textId="77777777" w:rsidR="005A3BA1" w:rsidRDefault="005A3BA1" w:rsidP="004D5C5B">
      <w:pPr>
        <w:pStyle w:val="n01"/>
        <w:keepLines w:val="0"/>
        <w:spacing w:before="360"/>
        <w:ind w:left="0" w:firstLine="0"/>
        <w:rPr>
          <w:rFonts w:ascii="Arial" w:hAnsi="Arial"/>
          <w:bCs/>
          <w:color w:val="auto"/>
        </w:rPr>
      </w:pPr>
    </w:p>
    <w:p w14:paraId="7C1EC1F4" w14:textId="77777777" w:rsidR="005A3BA1" w:rsidRDefault="005A3BA1" w:rsidP="004D5C5B">
      <w:pPr>
        <w:pStyle w:val="n01"/>
        <w:keepLines w:val="0"/>
        <w:spacing w:before="360"/>
        <w:ind w:left="0" w:firstLine="0"/>
        <w:rPr>
          <w:rFonts w:ascii="Arial" w:hAnsi="Arial"/>
          <w:bCs/>
          <w:color w:val="auto"/>
        </w:rPr>
      </w:pPr>
    </w:p>
    <w:p w14:paraId="4843D665" w14:textId="7E64CD23" w:rsidR="004D5C5B" w:rsidRDefault="00225EEB" w:rsidP="004D5C5B">
      <w:pPr>
        <w:pStyle w:val="n01"/>
        <w:keepLines w:val="0"/>
        <w:spacing w:before="360"/>
        <w:ind w:left="0" w:firstLine="0"/>
        <w:rPr>
          <w:rFonts w:ascii="Arial" w:hAnsi="Arial"/>
          <w:color w:val="auto"/>
        </w:rPr>
      </w:pPr>
      <w:r w:rsidRPr="00225EEB">
        <w:rPr>
          <w:rFonts w:ascii="Arial" w:hAnsi="Arial"/>
          <w:bCs/>
          <w:color w:val="auto"/>
        </w:rPr>
        <w:lastRenderedPageBreak/>
        <w:t>Por grupos de actividades económicas, los precios de las Actividades Primarias ascendieron 5.14% y los de las Actividades Terciarias 0.40%, mientras que los de las Actividades Secundarias cayeron (</w:t>
      </w:r>
      <w:r w:rsidR="00567C8B">
        <w:rPr>
          <w:rFonts w:ascii="Arial" w:hAnsi="Arial"/>
          <w:bCs/>
          <w:color w:val="auto"/>
        </w:rPr>
        <w:noBreakHyphen/>
      </w:r>
      <w:r w:rsidRPr="00225EEB">
        <w:rPr>
          <w:rFonts w:ascii="Arial" w:hAnsi="Arial"/>
          <w:bCs/>
          <w:color w:val="auto"/>
        </w:rPr>
        <w:t>)0.38% a tasa mensual</w:t>
      </w:r>
      <w:r w:rsidR="004D5C5B" w:rsidRPr="00A2009F">
        <w:rPr>
          <w:rFonts w:ascii="Arial" w:hAnsi="Arial"/>
          <w:color w:val="auto"/>
        </w:rPr>
        <w:t>.</w:t>
      </w:r>
    </w:p>
    <w:p w14:paraId="6787958B" w14:textId="3780485F"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AC59C9">
        <w:rPr>
          <w:snapToGrid w:val="0"/>
          <w:sz w:val="20"/>
          <w:szCs w:val="20"/>
        </w:rPr>
        <w:t>3</w:t>
      </w:r>
    </w:p>
    <w:p w14:paraId="5780D7B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04E0D96F"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41022927" w14:textId="07E68994"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225EEB">
        <w:rPr>
          <w:b/>
          <w:snapToGrid w:val="0"/>
          <w:sz w:val="22"/>
          <w:szCs w:val="22"/>
        </w:rPr>
        <w:t>FEBR</w:t>
      </w:r>
      <w:r w:rsidRPr="00162D45">
        <w:rPr>
          <w:b/>
          <w:snapToGrid w:val="0"/>
          <w:sz w:val="22"/>
          <w:szCs w:val="22"/>
        </w:rPr>
        <w:t>E</w:t>
      </w:r>
      <w:r w:rsidR="00061B60">
        <w:rPr>
          <w:b/>
          <w:snapToGrid w:val="0"/>
          <w:sz w:val="22"/>
          <w:szCs w:val="22"/>
        </w:rPr>
        <w:t>RO</w:t>
      </w:r>
      <w:r>
        <w:rPr>
          <w:b/>
          <w:snapToGrid w:val="0"/>
          <w:sz w:val="22"/>
          <w:szCs w:val="22"/>
        </w:rPr>
        <w:t xml:space="preserve"> DE 20</w:t>
      </w:r>
      <w:r w:rsidR="00061B60">
        <w:rPr>
          <w:b/>
          <w:snapToGrid w:val="0"/>
          <w:sz w:val="22"/>
          <w:szCs w:val="22"/>
        </w:rPr>
        <w:t>20</w:t>
      </w:r>
    </w:p>
    <w:p w14:paraId="0AF18EFE"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Clasificación por origen</w:t>
      </w:r>
    </w:p>
    <w:p w14:paraId="7007673C"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225EEB" w:rsidRPr="00841586" w14:paraId="01DF268C" w14:textId="77777777" w:rsidTr="00225EEB">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8D7AFDD" w14:textId="77777777" w:rsidR="00225EEB" w:rsidRPr="00841586" w:rsidRDefault="00225EEB" w:rsidP="00225EEB">
            <w:pPr>
              <w:autoSpaceDE w:val="0"/>
              <w:autoSpaceDN w:val="0"/>
              <w:adjustRightInd w:val="0"/>
              <w:ind w:left="227"/>
              <w:rPr>
                <w:bCs/>
                <w:color w:val="000000"/>
                <w:sz w:val="16"/>
                <w:szCs w:val="14"/>
                <w:lang w:eastAsia="es-MX"/>
              </w:rPr>
            </w:pPr>
            <w:bookmarkStart w:id="2"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5828C65" w14:textId="77777777" w:rsidR="00225EEB" w:rsidRPr="00841586" w:rsidRDefault="00225EEB" w:rsidP="00225EEB">
            <w:pPr>
              <w:jc w:val="center"/>
              <w:rPr>
                <w:bCs/>
                <w:color w:val="000000"/>
                <w:sz w:val="16"/>
                <w:szCs w:val="14"/>
                <w:lang w:eastAsia="es-MX"/>
              </w:rPr>
            </w:pPr>
            <w:r w:rsidRPr="00841586">
              <w:rPr>
                <w:bCs/>
                <w:color w:val="000000"/>
                <w:sz w:val="16"/>
                <w:szCs w:val="14"/>
                <w:lang w:eastAsia="es-MX"/>
              </w:rPr>
              <w:t>Variación 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C50FA1A" w14:textId="77777777" w:rsidR="00225EEB" w:rsidRPr="00841586" w:rsidRDefault="00225EEB" w:rsidP="00225EEB">
            <w:pPr>
              <w:jc w:val="center"/>
              <w:rPr>
                <w:bCs/>
                <w:color w:val="000000"/>
                <w:sz w:val="16"/>
                <w:szCs w:val="14"/>
                <w:lang w:eastAsia="es-MX"/>
              </w:rPr>
            </w:pPr>
            <w:r w:rsidRPr="00841586">
              <w:rPr>
                <w:bCs/>
                <w:color w:val="000000"/>
                <w:sz w:val="16"/>
                <w:szCs w:val="14"/>
                <w:lang w:eastAsia="es-MX"/>
              </w:rPr>
              <w:t>Variación anual</w:t>
            </w:r>
            <w:r>
              <w:rPr>
                <w:bCs/>
                <w:color w:val="000000"/>
                <w:sz w:val="16"/>
                <w:szCs w:val="14"/>
                <w:lang w:eastAsia="es-MX"/>
              </w:rPr>
              <w:t xml:space="preserve"> </w:t>
            </w:r>
            <w:r w:rsidRPr="003A67B2">
              <w:rPr>
                <w:bCs/>
                <w:color w:val="000000"/>
                <w:sz w:val="16"/>
                <w:szCs w:val="14"/>
                <w:vertAlign w:val="superscript"/>
                <w:lang w:eastAsia="es-MX"/>
              </w:rPr>
              <w:t>1/</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9977137" w14:textId="77777777" w:rsidR="00225EEB" w:rsidRPr="00841586" w:rsidRDefault="00225EEB" w:rsidP="00225EEB">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2</w:t>
            </w:r>
            <w:r w:rsidRPr="00841586">
              <w:rPr>
                <w:bCs/>
                <w:color w:val="000000"/>
                <w:position w:val="-1"/>
                <w:sz w:val="16"/>
                <w:szCs w:val="14"/>
                <w:vertAlign w:val="superscript"/>
                <w:lang w:eastAsia="es-MX"/>
              </w:rPr>
              <w:t>/</w:t>
            </w:r>
          </w:p>
        </w:tc>
      </w:tr>
      <w:tr w:rsidR="00225EEB" w:rsidRPr="00841586" w14:paraId="377D3DEF" w14:textId="77777777" w:rsidTr="00225EEB">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68D67AFC" w14:textId="77777777" w:rsidR="00225EEB" w:rsidRPr="00841586" w:rsidRDefault="00225EEB" w:rsidP="00225EEB">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739033F"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13E4F5F"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E77ADED"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05842B4"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Inter-medios</w:t>
            </w:r>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503B28F"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9E5D026"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06EFE20"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D17CD91"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5361980" w14:textId="77777777" w:rsidR="00225EEB" w:rsidRPr="00841586" w:rsidRDefault="00225EEB" w:rsidP="00225EEB">
            <w:pPr>
              <w:ind w:left="-57" w:right="-57"/>
              <w:jc w:val="center"/>
              <w:rPr>
                <w:bCs/>
                <w:color w:val="000000"/>
                <w:sz w:val="16"/>
                <w:szCs w:val="14"/>
                <w:lang w:eastAsia="es-MX"/>
              </w:rPr>
            </w:pPr>
            <w:r w:rsidRPr="00841586">
              <w:rPr>
                <w:bCs/>
                <w:color w:val="000000"/>
                <w:sz w:val="16"/>
                <w:szCs w:val="14"/>
                <w:lang w:eastAsia="es-MX"/>
              </w:rPr>
              <w:t>Total</w:t>
            </w:r>
          </w:p>
        </w:tc>
      </w:tr>
      <w:tr w:rsidR="00225EEB" w:rsidRPr="00841586" w14:paraId="274AB4F3" w14:textId="77777777" w:rsidTr="00225EEB">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5ABDCC2B" w14:textId="77777777" w:rsidR="00225EEB" w:rsidRPr="00841586" w:rsidRDefault="00225EEB" w:rsidP="00225EEB">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E4E7F5D"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-0.03</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478E248"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0.22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C8DD9A6"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0.15</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8E36197"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-1.24</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6239EBF"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1.84</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F8DC467"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0.96</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1CB4740B"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-0.033</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51D48E8E"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0.225</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626DBF24"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0.153</w:t>
            </w:r>
          </w:p>
        </w:tc>
      </w:tr>
      <w:tr w:rsidR="00225EEB" w:rsidRPr="00841586" w14:paraId="00C30FB4"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80CA531" w14:textId="77777777" w:rsidR="00225EEB" w:rsidRPr="00841586" w:rsidRDefault="00225EEB" w:rsidP="00225EEB">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2A3D9E"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4.78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8A90C5"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5.56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E09C27"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5.14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D33BB2"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-1.45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AA5BFA2"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2.95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B56486"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0DE24C5"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0.450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5358D54"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0.173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7BC1B5"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0.250</w:t>
            </w:r>
          </w:p>
        </w:tc>
      </w:tr>
      <w:tr w:rsidR="00225EEB" w:rsidRPr="000556C8" w14:paraId="5A85FD32"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63E22CA" w14:textId="77777777" w:rsidR="00225EEB" w:rsidRPr="000556C8" w:rsidRDefault="00225EEB" w:rsidP="00225EEB">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8C9744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4.78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37EA561"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5.56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C9B4F0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5.14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D34BD9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-1.45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5A9DE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2.95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68826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A5FA14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0.450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1BBF8C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0.173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4433D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0.250</w:t>
            </w:r>
          </w:p>
        </w:tc>
      </w:tr>
      <w:tr w:rsidR="00225EEB" w:rsidRPr="00841586" w14:paraId="47E246D5"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14F608C" w14:textId="77777777" w:rsidR="00225EEB" w:rsidRPr="00841586" w:rsidRDefault="00225EEB" w:rsidP="00225EEB">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37BE97"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-1.17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9777A1"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D52DFC"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-0.38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451F5DD"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-3.44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51E68B"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0.68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063260"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-0.39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C7321D"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-0.648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DA66F0"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-0.075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ABEE4F"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-0.235</w:t>
            </w:r>
          </w:p>
        </w:tc>
      </w:tr>
      <w:tr w:rsidR="00225EEB" w:rsidRPr="00841586" w14:paraId="6BE2A355"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EC43637"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860B7D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-6.40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179A77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-7.86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1A83C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-7.09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B3F4E2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-11.20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A6F41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-13.04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DEFA5E5"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-12.00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DBC263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-0.521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131EF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-0.220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698B84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-0.304</w:t>
            </w:r>
          </w:p>
        </w:tc>
      </w:tr>
      <w:tr w:rsidR="00225EEB" w:rsidRPr="00841586" w14:paraId="3318A04C"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0A0D369"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4DB53C3"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D2939F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A2195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B3F40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2.54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A68CC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6.84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74C53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6BF45B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E2832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CE4AC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0.000</w:t>
            </w:r>
          </w:p>
        </w:tc>
      </w:tr>
      <w:tr w:rsidR="00225EEB" w:rsidRPr="00841586" w14:paraId="5A4157A7"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CA46D2"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50BBD8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71E83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0.87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E5499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0.87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45CD2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DDBFEB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C7E9D5"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6261A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C4A06C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0.106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F2234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0.076</w:t>
            </w:r>
          </w:p>
        </w:tc>
      </w:tr>
      <w:tr w:rsidR="00225EEB" w:rsidRPr="00841586" w14:paraId="161218C8"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7CC864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C48E94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2A1033"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BC525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FAF96F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-2.79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3F66E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5ACE5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AA71B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-0.128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CDA37D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0.039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9D780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-0.007</w:t>
            </w:r>
          </w:p>
        </w:tc>
      </w:tr>
      <w:tr w:rsidR="00225EEB" w:rsidRPr="00841586" w14:paraId="40CABF94"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F4D76A3" w14:textId="77777777" w:rsidR="00225EEB" w:rsidRPr="00841586" w:rsidRDefault="00225EEB" w:rsidP="00225EEB">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CD3E14"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0.47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D37091"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0.37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922259"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0.40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C3C889A"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2.99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514560"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3.86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DDF4E04"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3.61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C0B6A2"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0.165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2B541E"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0.127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46F8FC" w14:textId="77777777" w:rsidR="00225EEB" w:rsidRPr="00776ECB" w:rsidRDefault="00225EEB" w:rsidP="00225EEB">
            <w:pPr>
              <w:widowControl w:val="0"/>
              <w:ind w:right="113"/>
              <w:contextualSpacing/>
              <w:jc w:val="right"/>
              <w:rPr>
                <w:b/>
                <w:bCs/>
                <w:color w:val="000000"/>
                <w:sz w:val="14"/>
                <w:szCs w:val="14"/>
              </w:rPr>
            </w:pPr>
            <w:r w:rsidRPr="00776ECB">
              <w:rPr>
                <w:b/>
                <w:bCs/>
                <w:color w:val="000000"/>
                <w:sz w:val="14"/>
                <w:szCs w:val="14"/>
              </w:rPr>
              <w:t>0.137</w:t>
            </w:r>
          </w:p>
        </w:tc>
      </w:tr>
      <w:tr w:rsidR="00225EEB" w:rsidRPr="00841586" w14:paraId="237266CF"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D24570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2C4FB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0.41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CFBBA1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01FA3B5"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0.17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D820F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4.38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7443E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3.12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5E791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3.41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4577431"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0.029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114EA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03F24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0.014</w:t>
            </w:r>
          </w:p>
        </w:tc>
      </w:tr>
      <w:tr w:rsidR="00225EEB" w:rsidRPr="00841586" w14:paraId="441340DF"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6DEE4F1"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001F845"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9E5FA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C996A3"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4A4D1C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0.96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1125C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6E2EC4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1.73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8F475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B0D5D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09191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0.001</w:t>
            </w:r>
          </w:p>
        </w:tc>
      </w:tr>
      <w:tr w:rsidR="00225EEB" w:rsidRPr="00841586" w14:paraId="2CF8E8E2"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1AC7E7C"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17D1BD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0.17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A2A55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5AD82A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0.23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C78F86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1.32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DDB3A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41BE4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2.76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2E3F0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34CC1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186019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0.016</w:t>
            </w:r>
          </w:p>
        </w:tc>
      </w:tr>
      <w:tr w:rsidR="00225EEB" w:rsidRPr="00841586" w14:paraId="324F9345"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0B01D0"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5516EF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01BC55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0.40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46F586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0.89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E9E41C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3.36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84D4BB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4.71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5EE47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3.77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70083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0.077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F8156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59C7B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0.023</w:t>
            </w:r>
          </w:p>
        </w:tc>
      </w:tr>
      <w:tr w:rsidR="00225EEB" w:rsidRPr="00841586" w14:paraId="5CF6991C"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1D1852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DEED14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DFB15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0.67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A4207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87D58D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2.34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C6A02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3.46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FBB74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2.83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CB35CA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0.035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F6A40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FF51E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0.011</w:t>
            </w:r>
          </w:p>
        </w:tc>
      </w:tr>
      <w:tr w:rsidR="00225EEB" w:rsidRPr="00841586" w14:paraId="21DF9655"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B5CA0DC"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B94020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1E5B7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A71840"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0.34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85A486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A98B30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4.70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19912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4.70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2E33F91"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30A7DC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8949C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0.013</w:t>
            </w:r>
          </w:p>
        </w:tc>
      </w:tr>
      <w:tr w:rsidR="00225EEB" w:rsidRPr="00841586" w14:paraId="4D98F202"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9970237"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13CA875"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177E5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57011C"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1.09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BD274C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D6B57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4.43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EFC2811"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4.43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99D0A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E613D1"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0.048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A933D0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0.034</w:t>
            </w:r>
          </w:p>
        </w:tc>
      </w:tr>
      <w:tr w:rsidR="00225EEB" w:rsidRPr="00841586" w14:paraId="250293F2"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F8926F7"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BA8D5A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1A491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67362E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3A7214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DB53C7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6.18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CDDBBF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6.18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80833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36AD53"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A4028B"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0.001</w:t>
            </w:r>
          </w:p>
        </w:tc>
      </w:tr>
      <w:tr w:rsidR="00225EEB" w:rsidRPr="00841586" w14:paraId="76C4A16F" w14:textId="77777777" w:rsidTr="00225EEB">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EF271B8"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60192A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0.47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563352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9FC07DE"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4C6A78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4.90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163573"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5.94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0D27DD"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5.77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BF0DC6"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E80192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51DE2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0.015</w:t>
            </w:r>
          </w:p>
        </w:tc>
      </w:tr>
      <w:tr w:rsidR="00225EEB" w:rsidRPr="00841586" w14:paraId="3146C4CA" w14:textId="77777777" w:rsidTr="00225EEB">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707217A9"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402945F"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0.52</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202E298"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0.63</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3BBB22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0.59</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2ADEF82"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2.76</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5CA45AA"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4.39</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BDF52C3"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3.77</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4176F209"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0.009</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0B300C07"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0.008</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4D4A2A54" w14:textId="77777777" w:rsidR="00225EEB" w:rsidRPr="00776ECB" w:rsidRDefault="00225EEB" w:rsidP="00225EEB">
            <w:pPr>
              <w:widowControl w:val="0"/>
              <w:ind w:right="113"/>
              <w:contextualSpacing/>
              <w:jc w:val="right"/>
              <w:rPr>
                <w:bCs/>
                <w:color w:val="000000"/>
                <w:sz w:val="14"/>
                <w:szCs w:val="14"/>
              </w:rPr>
            </w:pPr>
            <w:r w:rsidRPr="00776ECB">
              <w:rPr>
                <w:bCs/>
                <w:color w:val="000000"/>
                <w:sz w:val="14"/>
                <w:szCs w:val="14"/>
              </w:rPr>
              <w:t>0.008</w:t>
            </w:r>
          </w:p>
        </w:tc>
      </w:tr>
    </w:tbl>
    <w:bookmarkEnd w:id="2"/>
    <w:p w14:paraId="23C0048E" w14:textId="294FB79D" w:rsidR="00EB5FF4" w:rsidRPr="00F25470" w:rsidRDefault="00EB5FF4" w:rsidP="00633B0E">
      <w:pPr>
        <w:autoSpaceDE w:val="0"/>
        <w:autoSpaceDN w:val="0"/>
        <w:adjustRightInd w:val="0"/>
        <w:ind w:left="392" w:right="113" w:hanging="168"/>
        <w:rPr>
          <w:sz w:val="14"/>
          <w:szCs w:val="14"/>
        </w:rPr>
      </w:pPr>
      <w:r w:rsidRPr="00F25470">
        <w:rPr>
          <w:sz w:val="16"/>
          <w:szCs w:val="14"/>
          <w:vertAlign w:val="superscript"/>
        </w:rPr>
        <w:t>1/</w:t>
      </w:r>
      <w:r>
        <w:rPr>
          <w:sz w:val="16"/>
          <w:szCs w:val="14"/>
          <w:vertAlign w:val="superscript"/>
        </w:rPr>
        <w:tab/>
      </w:r>
      <w:r w:rsidR="00225EEB" w:rsidRPr="00F25470">
        <w:rPr>
          <w:sz w:val="14"/>
          <w:szCs w:val="14"/>
        </w:rPr>
        <w:t xml:space="preserve">Las variaciones anuales durante el primer año del INPP base julio </w:t>
      </w:r>
      <w:r w:rsidR="00225EEB">
        <w:rPr>
          <w:sz w:val="14"/>
          <w:szCs w:val="14"/>
        </w:rPr>
        <w:t xml:space="preserve">de </w:t>
      </w:r>
      <w:r w:rsidR="00225EEB" w:rsidRPr="00F25470">
        <w:rPr>
          <w:sz w:val="14"/>
          <w:szCs w:val="14"/>
        </w:rPr>
        <w:t>2019 se continuarán comparando con el índice de la base anterior</w:t>
      </w:r>
      <w:r>
        <w:rPr>
          <w:sz w:val="14"/>
          <w:szCs w:val="14"/>
        </w:rPr>
        <w:t>.</w:t>
      </w:r>
    </w:p>
    <w:p w14:paraId="187B6F84" w14:textId="606180F7" w:rsidR="00EB5FF4" w:rsidRPr="003F5E65" w:rsidRDefault="00EB5FF4" w:rsidP="0092615A">
      <w:pPr>
        <w:autoSpaceDE w:val="0"/>
        <w:autoSpaceDN w:val="0"/>
        <w:adjustRightInd w:val="0"/>
        <w:ind w:left="392" w:right="113" w:hanging="168"/>
        <w:rPr>
          <w:sz w:val="14"/>
          <w:szCs w:val="14"/>
        </w:rPr>
      </w:pPr>
      <w:r>
        <w:rPr>
          <w:sz w:val="16"/>
          <w:szCs w:val="14"/>
          <w:vertAlign w:val="superscript"/>
        </w:rPr>
        <w:t>2</w:t>
      </w:r>
      <w:r w:rsidRPr="003F5E65">
        <w:rPr>
          <w:sz w:val="16"/>
          <w:szCs w:val="14"/>
          <w:vertAlign w:val="superscript"/>
        </w:rPr>
        <w:t>/</w:t>
      </w:r>
      <w:r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 redondeo</w:t>
      </w:r>
      <w:r w:rsidRPr="003F5E65">
        <w:rPr>
          <w:sz w:val="14"/>
          <w:szCs w:val="14"/>
        </w:rPr>
        <w:t>.</w:t>
      </w:r>
    </w:p>
    <w:p w14:paraId="5271C9B5" w14:textId="77777777" w:rsidR="00EB5FF4" w:rsidRPr="003F5E65" w:rsidRDefault="00EB5FF4" w:rsidP="0092615A">
      <w:pPr>
        <w:autoSpaceDE w:val="0"/>
        <w:autoSpaceDN w:val="0"/>
        <w:adjustRightInd w:val="0"/>
        <w:ind w:left="392" w:right="113" w:hanging="168"/>
        <w:rPr>
          <w:sz w:val="14"/>
          <w:szCs w:val="14"/>
        </w:rPr>
      </w:pPr>
      <w:r>
        <w:rPr>
          <w:sz w:val="16"/>
          <w:szCs w:val="14"/>
          <w:vertAlign w:val="superscript"/>
        </w:rPr>
        <w:t>3</w:t>
      </w:r>
      <w:r w:rsidRPr="003F5E65">
        <w:rPr>
          <w:sz w:val="16"/>
          <w:szCs w:val="14"/>
          <w:vertAlign w:val="superscript"/>
        </w:rPr>
        <w:t>/</w:t>
      </w:r>
      <w:r w:rsidRPr="003F5E65">
        <w:rPr>
          <w:sz w:val="14"/>
          <w:szCs w:val="14"/>
        </w:rPr>
        <w:tab/>
      </w:r>
      <w:r w:rsidRPr="00395990">
        <w:rPr>
          <w:sz w:val="14"/>
          <w:szCs w:val="14"/>
        </w:rPr>
        <w:t>Estas actividades no registran información ya que no generan bienes de uso intermedio</w:t>
      </w:r>
      <w:r w:rsidRPr="003F5E65">
        <w:rPr>
          <w:sz w:val="14"/>
          <w:szCs w:val="14"/>
        </w:rPr>
        <w:t>.</w:t>
      </w:r>
    </w:p>
    <w:p w14:paraId="50FF9A70" w14:textId="75656125" w:rsidR="00AC59C9" w:rsidRDefault="00225EEB" w:rsidP="00AC59C9">
      <w:pPr>
        <w:widowControl w:val="0"/>
        <w:autoSpaceDE w:val="0"/>
        <w:autoSpaceDN w:val="0"/>
        <w:adjustRightInd w:val="0"/>
        <w:spacing w:before="360"/>
      </w:pPr>
      <w:r w:rsidRPr="00225EEB">
        <w:t xml:space="preserve">Por tipo de bien, los </w:t>
      </w:r>
      <w:r w:rsidRPr="00225EEB">
        <w:rPr>
          <w:bCs/>
        </w:rPr>
        <w:t>precios</w:t>
      </w:r>
      <w:r w:rsidRPr="00225EEB">
        <w:t xml:space="preserve"> de las Mercancías y Servicios de Uso Intermedio, incluyendo petróleo, mostraron una reducción mensual de (</w:t>
      </w:r>
      <w:r>
        <w:noBreakHyphen/>
      </w:r>
      <w:r w:rsidRPr="00225EEB">
        <w:t>)0.03% y anual de (</w:t>
      </w:r>
      <w:r>
        <w:noBreakHyphen/>
      </w:r>
      <w:r w:rsidRPr="00225EEB">
        <w:t xml:space="preserve">)1.24 por ciento. Por su parte, los precios de las Mercancías y Servicios Finales crecieron 0.22% mensual </w:t>
      </w:r>
      <w:r w:rsidR="00391EF3">
        <w:t>y</w:t>
      </w:r>
      <w:r w:rsidRPr="00225EEB">
        <w:t xml:space="preserve"> 1.84% a tasa anual (véase cuadro 3</w:t>
      </w:r>
      <w:r w:rsidR="00633B0E" w:rsidRPr="00A242B6">
        <w:t>)</w:t>
      </w:r>
      <w:r w:rsidR="00AC59C9" w:rsidRPr="003B15EF">
        <w:t>.</w:t>
      </w:r>
    </w:p>
    <w:p w14:paraId="39EB7481" w14:textId="77777777" w:rsidR="00C963A9" w:rsidRDefault="00C963A9">
      <w:pPr>
        <w:jc w:val="left"/>
        <w:rPr>
          <w:snapToGrid w:val="0"/>
          <w:sz w:val="20"/>
          <w:szCs w:val="20"/>
        </w:rPr>
      </w:pPr>
      <w:bookmarkStart w:id="3"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5858D830"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36A9BDA"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0BE9E20D" w14:textId="29688737" w:rsidR="004D5C5B" w:rsidRPr="00875DDC" w:rsidRDefault="004D5C5B" w:rsidP="00EB5FF4">
      <w:pPr>
        <w:widowControl w:val="0"/>
        <w:autoSpaceDE w:val="0"/>
        <w:autoSpaceDN w:val="0"/>
        <w:adjustRightInd w:val="0"/>
        <w:jc w:val="center"/>
        <w:rPr>
          <w:b/>
          <w:snapToGrid w:val="0"/>
          <w:sz w:val="22"/>
          <w:szCs w:val="22"/>
        </w:rPr>
      </w:pPr>
      <w:r w:rsidRPr="005165A7">
        <w:rPr>
          <w:b/>
          <w:snapToGrid w:val="0"/>
          <w:sz w:val="22"/>
          <w:szCs w:val="22"/>
        </w:rPr>
        <w:t>INCLUYENDO PETRÓLEO</w:t>
      </w:r>
      <w:r w:rsidRPr="00875DDC">
        <w:rPr>
          <w:b/>
          <w:snapToGrid w:val="0"/>
          <w:sz w:val="22"/>
          <w:szCs w:val="22"/>
        </w:rPr>
        <w:t xml:space="preserve">, </w:t>
      </w:r>
      <w:r>
        <w:rPr>
          <w:b/>
          <w:snapToGrid w:val="0"/>
          <w:sz w:val="22"/>
          <w:szCs w:val="22"/>
        </w:rPr>
        <w:t xml:space="preserve">A </w:t>
      </w:r>
      <w:r w:rsidR="00225EEB">
        <w:rPr>
          <w:b/>
          <w:snapToGrid w:val="0"/>
          <w:sz w:val="22"/>
          <w:szCs w:val="22"/>
        </w:rPr>
        <w:t>FEBR</w:t>
      </w:r>
      <w:r w:rsidRPr="00162D45">
        <w:rPr>
          <w:b/>
          <w:snapToGrid w:val="0"/>
          <w:sz w:val="22"/>
          <w:szCs w:val="22"/>
        </w:rPr>
        <w:t>E</w:t>
      </w:r>
      <w:r w:rsidR="00061B60">
        <w:rPr>
          <w:b/>
          <w:snapToGrid w:val="0"/>
          <w:sz w:val="22"/>
          <w:szCs w:val="22"/>
        </w:rPr>
        <w:t>RO</w:t>
      </w:r>
      <w:r>
        <w:rPr>
          <w:b/>
          <w:snapToGrid w:val="0"/>
          <w:sz w:val="22"/>
          <w:szCs w:val="22"/>
        </w:rPr>
        <w:t xml:space="preserve"> DE 20</w:t>
      </w:r>
      <w:r w:rsidR="00061B60">
        <w:rPr>
          <w:b/>
          <w:snapToGrid w:val="0"/>
          <w:sz w:val="22"/>
          <w:szCs w:val="22"/>
        </w:rPr>
        <w:t>20</w:t>
      </w:r>
    </w:p>
    <w:p w14:paraId="2691B6C2" w14:textId="77777777" w:rsidR="004D5C5B" w:rsidRPr="00910135" w:rsidRDefault="004D5C5B" w:rsidP="00EB5FF4">
      <w:pPr>
        <w:widowControl w:val="0"/>
        <w:autoSpaceDE w:val="0"/>
        <w:autoSpaceDN w:val="0"/>
        <w:adjustRightInd w:val="0"/>
        <w:jc w:val="center"/>
        <w:rPr>
          <w:snapToGrid w:val="0"/>
          <w:sz w:val="22"/>
          <w:szCs w:val="22"/>
        </w:rPr>
      </w:pPr>
      <w:r w:rsidRPr="00910135">
        <w:rPr>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688E4394" w:rsidR="004D5C5B" w:rsidRDefault="00734533" w:rsidP="00EB5FF4">
      <w:pPr>
        <w:widowControl w:val="0"/>
        <w:autoSpaceDE w:val="0"/>
        <w:autoSpaceDN w:val="0"/>
        <w:adjustRightInd w:val="0"/>
        <w:jc w:val="center"/>
      </w:pPr>
      <w:r>
        <w:rPr>
          <w:noProof/>
          <w:lang w:val="es-MX" w:eastAsia="es-MX"/>
        </w:rPr>
        <w:drawing>
          <wp:inline distT="0" distB="0" distL="0" distR="0" wp14:anchorId="3405456C" wp14:editId="6C943A2F">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A9D1AE" w14:textId="16DD8543" w:rsidR="004D5C5B" w:rsidRDefault="004D5C5B" w:rsidP="00EB5FF4">
      <w:pPr>
        <w:widowControl w:val="0"/>
        <w:autoSpaceDE w:val="0"/>
        <w:autoSpaceDN w:val="0"/>
        <w:adjustRightInd w:val="0"/>
        <w:jc w:val="center"/>
      </w:pP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4C771684" w:rsidR="00AC59C9" w:rsidRPr="0098397B" w:rsidRDefault="00225EEB" w:rsidP="00AC59C9">
      <w:pPr>
        <w:pStyle w:val="n01"/>
        <w:keepLines w:val="0"/>
        <w:ind w:left="0" w:firstLine="0"/>
        <w:rPr>
          <w:rFonts w:ascii="Arial" w:hAnsi="Arial"/>
          <w:color w:val="auto"/>
        </w:rPr>
      </w:pPr>
      <w:r w:rsidRPr="00225EEB">
        <w:rPr>
          <w:rFonts w:ascii="Arial" w:hAnsi="Arial"/>
          <w:color w:val="auto"/>
        </w:rPr>
        <w:t xml:space="preserve">Los precios de las Actividades Primarias reportaron un incremento mensual de 5.14% durante febrero del año en curso. Los productos genéricos con la contribución más significativa en el índice total de dichas actividades fueron: Aves con </w:t>
      </w:r>
      <w:r w:rsidR="00391EF3">
        <w:rPr>
          <w:rFonts w:ascii="Arial" w:hAnsi="Arial"/>
          <w:color w:val="auto"/>
        </w:rPr>
        <w:t xml:space="preserve">un </w:t>
      </w:r>
      <w:r w:rsidR="006260AF">
        <w:rPr>
          <w:rFonts w:ascii="Arial" w:hAnsi="Arial"/>
          <w:color w:val="auto"/>
        </w:rPr>
        <w:t xml:space="preserve">alza </w:t>
      </w:r>
      <w:r w:rsidR="00391EF3">
        <w:rPr>
          <w:rFonts w:ascii="Arial" w:hAnsi="Arial"/>
          <w:color w:val="auto"/>
        </w:rPr>
        <w:t xml:space="preserve">de </w:t>
      </w:r>
      <w:r w:rsidRPr="00225EEB">
        <w:rPr>
          <w:rFonts w:ascii="Arial" w:hAnsi="Arial"/>
          <w:color w:val="auto"/>
        </w:rPr>
        <w:t>35.39%, Tomate verde 39.63% y Huevo con 7.02 por ciento</w:t>
      </w:r>
      <w:r w:rsidR="00AC59C9" w:rsidRPr="004900F9">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14AEDFCB" w:rsidR="004D5C5B" w:rsidRPr="00907F08" w:rsidRDefault="00225EEB" w:rsidP="004D5C5B">
      <w:pPr>
        <w:pStyle w:val="n01"/>
        <w:keepLines w:val="0"/>
        <w:ind w:left="0" w:firstLine="0"/>
        <w:rPr>
          <w:rFonts w:ascii="Arial" w:hAnsi="Arial"/>
          <w:color w:val="auto"/>
        </w:rPr>
      </w:pPr>
      <w:r w:rsidRPr="00225EEB">
        <w:rPr>
          <w:rFonts w:ascii="Arial" w:hAnsi="Arial"/>
          <w:color w:val="auto"/>
        </w:rPr>
        <w:t>Los precios de las Actividades Secundarias, incluyendo petróleo, observaron un decremento mensual de (</w:t>
      </w:r>
      <w:r>
        <w:rPr>
          <w:rFonts w:ascii="Arial" w:hAnsi="Arial"/>
          <w:color w:val="auto"/>
        </w:rPr>
        <w:noBreakHyphen/>
      </w:r>
      <w:r w:rsidRPr="00225EEB">
        <w:rPr>
          <w:rFonts w:ascii="Arial" w:hAnsi="Arial"/>
          <w:color w:val="auto"/>
        </w:rPr>
        <w:t>)0.38% en el segundo mes de 2020. Este resultado obedeció a la disminución en los precios de la Minería de (</w:t>
      </w:r>
      <w:r>
        <w:rPr>
          <w:rFonts w:ascii="Arial" w:hAnsi="Arial"/>
          <w:color w:val="auto"/>
        </w:rPr>
        <w:noBreakHyphen/>
      </w:r>
      <w:r w:rsidRPr="00225EEB">
        <w:rPr>
          <w:rFonts w:ascii="Arial" w:hAnsi="Arial"/>
          <w:color w:val="auto"/>
        </w:rPr>
        <w:t>)7.09% y de las Industrias manufactureras de (</w:t>
      </w:r>
      <w:r>
        <w:rPr>
          <w:rFonts w:ascii="Arial" w:hAnsi="Arial"/>
          <w:color w:val="auto"/>
        </w:rPr>
        <w:noBreakHyphen/>
      </w:r>
      <w:r w:rsidRPr="00225EEB">
        <w:rPr>
          <w:rFonts w:ascii="Arial" w:hAnsi="Arial"/>
          <w:color w:val="auto"/>
        </w:rPr>
        <w:t xml:space="preserve">)0.02%, mientras que crecieron los de la Generación, transmisión y distribución de energía eléctrica, suministro de agua y de gas por ductos al consumidor final en 0.02% y los de la Construcción </w:t>
      </w:r>
      <w:r w:rsidR="00391EF3">
        <w:rPr>
          <w:rFonts w:ascii="Arial" w:hAnsi="Arial"/>
          <w:color w:val="auto"/>
        </w:rPr>
        <w:t xml:space="preserve">en </w:t>
      </w:r>
      <w:r w:rsidRPr="00225EEB">
        <w:rPr>
          <w:rFonts w:ascii="Arial" w:hAnsi="Arial"/>
          <w:color w:val="auto"/>
        </w:rPr>
        <w:t>0.87 por ciento</w:t>
      </w:r>
      <w:r w:rsidR="00C963A9">
        <w:rPr>
          <w:rFonts w:ascii="Arial" w:hAnsi="Arial"/>
          <w:color w:val="auto"/>
        </w:rPr>
        <w:t>.</w:t>
      </w:r>
    </w:p>
    <w:p w14:paraId="30BE8316" w14:textId="77777777" w:rsidR="004D5C5B" w:rsidRPr="00CD6E5C" w:rsidRDefault="004D5C5B" w:rsidP="004D5C5B">
      <w:pPr>
        <w:pStyle w:val="n01"/>
        <w:keepNext/>
        <w:keepLines w:val="0"/>
        <w:spacing w:before="360"/>
        <w:ind w:left="709" w:firstLine="0"/>
        <w:rPr>
          <w:rFonts w:ascii="Arial" w:hAnsi="Arial"/>
          <w:b/>
          <w:i/>
          <w:snapToGrid w:val="0"/>
          <w:color w:val="000000"/>
        </w:rPr>
      </w:pPr>
      <w:r w:rsidRPr="00CD6E5C">
        <w:rPr>
          <w:rFonts w:ascii="Arial" w:hAnsi="Arial"/>
          <w:b/>
          <w:i/>
          <w:snapToGrid w:val="0"/>
          <w:color w:val="000000"/>
        </w:rPr>
        <w:lastRenderedPageBreak/>
        <w:t>Industrias Manufactureras</w:t>
      </w:r>
    </w:p>
    <w:bookmarkEnd w:id="3"/>
    <w:p w14:paraId="17B7A16A" w14:textId="293CC49A" w:rsidR="004D5C5B" w:rsidRDefault="00225EEB" w:rsidP="004D5C5B">
      <w:pPr>
        <w:pStyle w:val="p0"/>
        <w:keepNext/>
        <w:keepLines w:val="0"/>
        <w:widowControl/>
        <w:rPr>
          <w:rFonts w:ascii="Arial" w:hAnsi="Arial"/>
          <w:color w:val="auto"/>
        </w:rPr>
      </w:pPr>
      <w:r w:rsidRPr="00225EEB">
        <w:rPr>
          <w:rFonts w:ascii="Arial" w:hAnsi="Arial"/>
          <w:color w:val="auto"/>
        </w:rPr>
        <w:t>Los precios de las Industrias manufactureras bajaron (</w:t>
      </w:r>
      <w:r>
        <w:rPr>
          <w:rFonts w:ascii="Arial" w:hAnsi="Arial"/>
          <w:color w:val="auto"/>
        </w:rPr>
        <w:noBreakHyphen/>
      </w:r>
      <w:r w:rsidRPr="00225EEB">
        <w:rPr>
          <w:rFonts w:ascii="Arial" w:hAnsi="Arial"/>
          <w:color w:val="auto"/>
        </w:rPr>
        <w:t>)0.02% a tasa mensual, sin embargo, aumentaron 0.58% a tasa anual. Los subsectores que destacaron por el descenso mensual en los precios fueron el de Fabricación de productos derivados del petróleo y del carbón con (</w:t>
      </w:r>
      <w:r>
        <w:rPr>
          <w:rFonts w:ascii="Arial" w:hAnsi="Arial"/>
          <w:color w:val="auto"/>
        </w:rPr>
        <w:noBreakHyphen/>
      </w:r>
      <w:r w:rsidRPr="00225EEB">
        <w:rPr>
          <w:rFonts w:ascii="Arial" w:hAnsi="Arial"/>
          <w:color w:val="auto"/>
        </w:rPr>
        <w:t>)2.43%, Industrias metálicas básicas con (</w:t>
      </w:r>
      <w:r>
        <w:rPr>
          <w:rFonts w:ascii="Arial" w:hAnsi="Arial"/>
          <w:color w:val="auto"/>
        </w:rPr>
        <w:noBreakHyphen/>
      </w:r>
      <w:r w:rsidRPr="00225EEB">
        <w:rPr>
          <w:rFonts w:ascii="Arial" w:hAnsi="Arial"/>
          <w:color w:val="auto"/>
        </w:rPr>
        <w:t>)0.60% y el de Industria del papel con (</w:t>
      </w:r>
      <w:r>
        <w:rPr>
          <w:rFonts w:ascii="Arial" w:hAnsi="Arial"/>
          <w:color w:val="auto"/>
        </w:rPr>
        <w:noBreakHyphen/>
      </w:r>
      <w:r w:rsidRPr="00225EEB">
        <w:rPr>
          <w:rFonts w:ascii="Arial" w:hAnsi="Arial"/>
          <w:color w:val="auto"/>
        </w:rPr>
        <w:t>)0.18 por ciento</w:t>
      </w:r>
      <w:r w:rsidR="004D5C5B">
        <w:rPr>
          <w:rFonts w:ascii="Arial" w:hAnsi="Arial"/>
          <w:color w:val="auto"/>
        </w:rPr>
        <w:t>.</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7F2FA621"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2053088" w14:textId="448DFC2D" w:rsidR="004D5C5B" w:rsidRPr="0002523A"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Pr>
          <w:b/>
          <w:snapToGrid w:val="0"/>
          <w:sz w:val="22"/>
          <w:szCs w:val="22"/>
        </w:rPr>
        <w:t xml:space="preserve"> </w:t>
      </w:r>
      <w:r w:rsidR="00225EEB">
        <w:rPr>
          <w:b/>
          <w:snapToGrid w:val="0"/>
          <w:sz w:val="22"/>
          <w:szCs w:val="22"/>
        </w:rPr>
        <w:t>FEBR</w:t>
      </w:r>
      <w:r>
        <w:rPr>
          <w:b/>
          <w:snapToGrid w:val="0"/>
          <w:sz w:val="22"/>
          <w:szCs w:val="22"/>
        </w:rPr>
        <w:t>E</w:t>
      </w:r>
      <w:r w:rsidR="00061B60">
        <w:rPr>
          <w:b/>
          <w:snapToGrid w:val="0"/>
          <w:sz w:val="22"/>
          <w:szCs w:val="22"/>
        </w:rPr>
        <w:t>RO</w:t>
      </w:r>
      <w:r>
        <w:rPr>
          <w:b/>
          <w:bCs/>
          <w:color w:val="000000"/>
          <w:spacing w:val="1"/>
          <w:sz w:val="22"/>
          <w:szCs w:val="22"/>
        </w:rPr>
        <w:t xml:space="preserve"> DE 20</w:t>
      </w:r>
      <w:r w:rsidR="00061B60">
        <w:rPr>
          <w:b/>
          <w:bCs/>
          <w:color w:val="000000"/>
          <w:spacing w:val="1"/>
          <w:sz w:val="22"/>
          <w:szCs w:val="22"/>
        </w:rPr>
        <w:t>20</w:t>
      </w:r>
    </w:p>
    <w:p w14:paraId="7C23BB94"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225EEB" w:rsidRPr="00A9663B" w14:paraId="63558142" w14:textId="77777777" w:rsidTr="00225EEB">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A325167" w14:textId="77777777" w:rsidR="00225EEB" w:rsidRPr="00A9663B" w:rsidRDefault="00225EEB" w:rsidP="00225EEB">
            <w:pPr>
              <w:autoSpaceDE w:val="0"/>
              <w:autoSpaceDN w:val="0"/>
              <w:adjustRightInd w:val="0"/>
              <w:ind w:left="227"/>
              <w:rPr>
                <w:bCs/>
                <w:color w:val="000000"/>
                <w:kern w:val="16"/>
                <w:sz w:val="16"/>
                <w:szCs w:val="16"/>
                <w:lang w:eastAsia="es-MX"/>
              </w:rPr>
            </w:pPr>
            <w:bookmarkStart w:id="4"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769BB5B"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Variación mensual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E454ADB"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Variación anual</w:t>
            </w:r>
            <w:r>
              <w:rPr>
                <w:bCs/>
                <w:color w:val="000000"/>
                <w:kern w:val="16"/>
                <w:sz w:val="16"/>
                <w:szCs w:val="16"/>
                <w:lang w:eastAsia="es-MX"/>
              </w:rPr>
              <w:t xml:space="preserve"> </w:t>
            </w:r>
            <w:r w:rsidRPr="009102D0">
              <w:rPr>
                <w:bCs/>
                <w:color w:val="000000"/>
                <w:kern w:val="16"/>
                <w:sz w:val="16"/>
                <w:szCs w:val="16"/>
                <w:vertAlign w:val="superscript"/>
                <w:lang w:eastAsia="es-MX"/>
              </w:rPr>
              <w:t>1/</w:t>
            </w:r>
          </w:p>
        </w:tc>
      </w:tr>
      <w:tr w:rsidR="00225EEB" w:rsidRPr="00A9663B" w14:paraId="2DD35653" w14:textId="77777777" w:rsidTr="00225EEB">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624CA8AD" w14:textId="77777777" w:rsidR="00225EEB" w:rsidRPr="00A9663B" w:rsidRDefault="00225EEB" w:rsidP="00225EEB">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1EFDDAC"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Inter-medios</w:t>
            </w:r>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A17EDBE"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3087F31"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8046D97"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Inter-medios</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CED1E2F"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FABD33A" w14:textId="77777777" w:rsidR="00225EEB" w:rsidRPr="00A9663B" w:rsidRDefault="00225EEB" w:rsidP="00225EEB">
            <w:pPr>
              <w:jc w:val="center"/>
              <w:rPr>
                <w:bCs/>
                <w:color w:val="000000"/>
                <w:kern w:val="16"/>
                <w:sz w:val="16"/>
                <w:szCs w:val="16"/>
                <w:lang w:eastAsia="es-MX"/>
              </w:rPr>
            </w:pPr>
            <w:r w:rsidRPr="00A9663B">
              <w:rPr>
                <w:bCs/>
                <w:color w:val="000000"/>
                <w:kern w:val="16"/>
                <w:sz w:val="16"/>
                <w:szCs w:val="16"/>
                <w:lang w:eastAsia="es-MX"/>
              </w:rPr>
              <w:t>Total</w:t>
            </w:r>
          </w:p>
        </w:tc>
      </w:tr>
      <w:tr w:rsidR="00225EEB" w:rsidRPr="00574002" w14:paraId="15050EC7" w14:textId="77777777" w:rsidTr="00225EEB">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FA38A8B" w14:textId="77777777" w:rsidR="00225EEB" w:rsidRPr="00841586" w:rsidRDefault="00225EEB" w:rsidP="00225EEB">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006A88C"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-0.03</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A7CE995"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0.22</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519FA75"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0.15</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0AA21C2"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-1.24</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9DE05B7"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1.84</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58E093B"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0.96</w:t>
            </w:r>
          </w:p>
        </w:tc>
      </w:tr>
      <w:tr w:rsidR="00225EEB" w:rsidRPr="00A47C46" w14:paraId="139515B6"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7E14A2CF" w14:textId="77777777" w:rsidR="00225EEB" w:rsidRPr="00841586" w:rsidRDefault="00225EEB" w:rsidP="00225EEB">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8B6DA14"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-0.32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9D92D46"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0.08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BAAA195"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-0.02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05B217"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-2.79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8DD17B"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1.74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8AA2D34" w14:textId="77777777" w:rsidR="00225EEB" w:rsidRPr="00A47C46" w:rsidRDefault="00225EEB" w:rsidP="00225EEB">
            <w:pPr>
              <w:widowControl w:val="0"/>
              <w:ind w:right="227"/>
              <w:contextualSpacing/>
              <w:jc w:val="right"/>
              <w:rPr>
                <w:b/>
                <w:bCs/>
                <w:color w:val="000000"/>
                <w:sz w:val="14"/>
                <w:szCs w:val="14"/>
              </w:rPr>
            </w:pPr>
            <w:r w:rsidRPr="00A47C46">
              <w:rPr>
                <w:b/>
                <w:bCs/>
                <w:color w:val="000000"/>
                <w:sz w:val="14"/>
                <w:szCs w:val="14"/>
              </w:rPr>
              <w:t>0.58</w:t>
            </w:r>
          </w:p>
        </w:tc>
      </w:tr>
      <w:tr w:rsidR="00225EEB" w:rsidRPr="00A47C46" w14:paraId="26C0F67A"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96E9738"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AC30B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D5892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0.43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4FAE77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8DE83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-6.39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11694E"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3.35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01B671"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1.00</w:t>
            </w:r>
          </w:p>
        </w:tc>
      </w:tr>
      <w:tr w:rsidR="00225EEB" w:rsidRPr="00A47C46" w14:paraId="2E7DC9DC"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3BC6F99"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12332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841083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0.47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E5879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0.47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8F82B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3.32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95D49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3.89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00943E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3.86</w:t>
            </w:r>
          </w:p>
        </w:tc>
      </w:tr>
      <w:tr w:rsidR="00225EEB" w:rsidRPr="00A47C46" w14:paraId="75328D63"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AB5BC8A"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0EB5C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4605D3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E61E7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2AA5C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1.59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125824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1.75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03BB3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1.69</w:t>
            </w:r>
          </w:p>
        </w:tc>
      </w:tr>
      <w:tr w:rsidR="00225EEB" w:rsidRPr="00A47C46" w14:paraId="072A02B6"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F670FB1"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D1D58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0.69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F9D99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1E24A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7081C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2.33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3016E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2.68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CEB3A5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2.62</w:t>
            </w:r>
          </w:p>
        </w:tc>
      </w:tr>
      <w:tr w:rsidR="00225EEB" w:rsidRPr="00A47C46" w14:paraId="622FC79C"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1B6B131"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B8A40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E798ADE"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0.27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D136D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0.28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030FDC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3.87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841C1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3.82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37BBE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3.82</w:t>
            </w:r>
          </w:p>
        </w:tc>
      </w:tr>
      <w:tr w:rsidR="00225EEB" w:rsidRPr="00A47C46" w14:paraId="1D2ACA0D"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E0984D6"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39E56D"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235EB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F55D5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0A716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0AD48FE"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0.75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D62A89"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0.52</w:t>
            </w:r>
          </w:p>
        </w:tc>
      </w:tr>
      <w:tr w:rsidR="00225EEB" w:rsidRPr="00A47C46" w14:paraId="574BC7D2"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960701"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F97604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5505A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1C7395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F00F6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3.53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E8CD1B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3.24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5642C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3.48</w:t>
            </w:r>
          </w:p>
        </w:tc>
      </w:tr>
      <w:tr w:rsidR="00225EEB" w:rsidRPr="00A47C46" w14:paraId="55A67F8D"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3D97B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F2D5F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-0.27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0780A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DF86A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D3D621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1.93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E84FBD"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2.09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47E19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1.98</w:t>
            </w:r>
          </w:p>
        </w:tc>
      </w:tr>
      <w:tr w:rsidR="00225EEB" w:rsidRPr="00A47C46" w14:paraId="67018A83"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F781D76"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E0F1E8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12A87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D5901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06427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2.55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307CD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2.55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32F58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2.55</w:t>
            </w:r>
          </w:p>
        </w:tc>
      </w:tr>
      <w:tr w:rsidR="00225EEB" w:rsidRPr="00A47C46" w14:paraId="6F707777"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12BC152"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A438B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-2.79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1F7FD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-1.67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4794FE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-2.43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FA113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-6.82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074AC0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-7.21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F8520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-7.14</w:t>
            </w:r>
          </w:p>
        </w:tc>
      </w:tr>
      <w:tr w:rsidR="00225EEB" w:rsidRPr="00A47C46" w14:paraId="4ABB7F3F"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A3F9A8"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5AD6B6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8FD882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15C720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28EF26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-0.43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0F6F37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1.23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CE650EE"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0.34</w:t>
            </w:r>
          </w:p>
        </w:tc>
      </w:tr>
      <w:tr w:rsidR="00225EEB" w:rsidRPr="00A47C46" w14:paraId="5661536F"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60D6F7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7AD73E"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FA02E4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1C41F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1AA6D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2.15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7EB23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2.30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686A47E"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2.22</w:t>
            </w:r>
          </w:p>
        </w:tc>
      </w:tr>
      <w:tr w:rsidR="00225EEB" w:rsidRPr="00A47C46" w14:paraId="6E21ED38"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ECAA51C"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F2D1091"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0.75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EE16C0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F960C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0.70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202297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FD1059"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5.24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68EB9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2.51</w:t>
            </w:r>
          </w:p>
        </w:tc>
      </w:tr>
      <w:tr w:rsidR="00225EEB" w:rsidRPr="00A47C46" w14:paraId="5D3CE640"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6966B7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3A674D9"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-0.68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3DD8BE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4C626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-0.60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E67C23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-5.70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9285D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1.54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9250BA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-2.18</w:t>
            </w:r>
          </w:p>
        </w:tc>
      </w:tr>
      <w:tr w:rsidR="00225EEB" w:rsidRPr="00A47C46" w14:paraId="70C3CEFC"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45A0443"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623E1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0.43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FF55B6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BFCD0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29DDF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1.00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3409D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0.96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6A6C2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0.94</w:t>
            </w:r>
          </w:p>
        </w:tc>
      </w:tr>
      <w:tr w:rsidR="00225EEB" w:rsidRPr="00A47C46" w14:paraId="408B8362"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2E889F1"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E00A7B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2EBDB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E302191"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84919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D2268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1BAB69"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-0.51</w:t>
            </w:r>
          </w:p>
        </w:tc>
      </w:tr>
      <w:tr w:rsidR="00225EEB" w:rsidRPr="00A47C46" w14:paraId="32D2A503"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33C0ED6"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11ED7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D1257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696F15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7B474E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1.20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0F5E93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-0.90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016D80"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-0.76</w:t>
            </w:r>
          </w:p>
        </w:tc>
      </w:tr>
      <w:tr w:rsidR="00225EEB" w:rsidRPr="00A47C46" w14:paraId="6D4B7799"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61131F0"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CB5B9D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2A6B43D"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05D40E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48EE4D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3.13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EDAB33"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1.43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CDABF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1.59</w:t>
            </w:r>
          </w:p>
        </w:tc>
      </w:tr>
      <w:tr w:rsidR="00225EEB" w:rsidRPr="00A47C46" w14:paraId="1B8F043E"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3382A5D"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BDE18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0.22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B81537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6C6DF2"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C2DC11"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815B7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1.97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9E64D5"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1.82</w:t>
            </w:r>
          </w:p>
        </w:tc>
      </w:tr>
      <w:tr w:rsidR="00225EEB" w:rsidRPr="00A47C46" w14:paraId="58C04358" w14:textId="77777777" w:rsidTr="00225EEB">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A26F3A"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91E074"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5CC0E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661DE18"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92401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CB2B36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2.76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99AE4B"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2.76</w:t>
            </w:r>
          </w:p>
        </w:tc>
      </w:tr>
      <w:tr w:rsidR="00225EEB" w:rsidRPr="00A47C46" w14:paraId="24C3AC27" w14:textId="77777777" w:rsidTr="00225EEB">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2E46779" w14:textId="77777777" w:rsidR="00225EEB" w:rsidRPr="00841586" w:rsidRDefault="00225EEB" w:rsidP="00225EEB">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6F628B5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0.33</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28932AC"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0.08</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5469B9D7"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0.10</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770B4046"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3.12</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05ADAF1A"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2.20</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3231AAF" w14:textId="77777777" w:rsidR="00225EEB" w:rsidRPr="00A47C46" w:rsidRDefault="00225EEB" w:rsidP="00225EEB">
            <w:pPr>
              <w:widowControl w:val="0"/>
              <w:ind w:right="227"/>
              <w:contextualSpacing/>
              <w:jc w:val="right"/>
              <w:rPr>
                <w:bCs/>
                <w:color w:val="000000"/>
                <w:sz w:val="14"/>
                <w:szCs w:val="14"/>
              </w:rPr>
            </w:pPr>
            <w:r w:rsidRPr="00A47C46">
              <w:rPr>
                <w:bCs/>
                <w:color w:val="000000"/>
                <w:sz w:val="14"/>
                <w:szCs w:val="14"/>
              </w:rPr>
              <w:t>2.23</w:t>
            </w:r>
          </w:p>
        </w:tc>
      </w:tr>
    </w:tbl>
    <w:bookmarkEnd w:id="4"/>
    <w:p w14:paraId="0988DD5E" w14:textId="6E523C98" w:rsidR="0054304E" w:rsidRPr="008D68CA" w:rsidRDefault="0054304E" w:rsidP="0054304E">
      <w:pPr>
        <w:autoSpaceDE w:val="0"/>
        <w:autoSpaceDN w:val="0"/>
        <w:adjustRightInd w:val="0"/>
        <w:ind w:left="283" w:right="113" w:hanging="170"/>
        <w:rPr>
          <w:sz w:val="16"/>
          <w:szCs w:val="14"/>
        </w:rPr>
      </w:pPr>
      <w:r w:rsidRPr="008D68CA">
        <w:rPr>
          <w:sz w:val="16"/>
          <w:szCs w:val="14"/>
          <w:vertAlign w:val="superscript"/>
        </w:rPr>
        <w:t>1/</w:t>
      </w:r>
      <w:r w:rsidRPr="008D68CA">
        <w:rPr>
          <w:sz w:val="16"/>
          <w:szCs w:val="14"/>
          <w:vertAlign w:val="superscript"/>
        </w:rPr>
        <w:tab/>
      </w:r>
      <w:r w:rsidR="00225EEB" w:rsidRPr="008D68CA">
        <w:rPr>
          <w:sz w:val="14"/>
          <w:szCs w:val="14"/>
        </w:rPr>
        <w:t xml:space="preserve">Las variaciones anuales durante el primer año del INPP base julio </w:t>
      </w:r>
      <w:r w:rsidR="00225EEB">
        <w:rPr>
          <w:sz w:val="14"/>
          <w:szCs w:val="14"/>
        </w:rPr>
        <w:t xml:space="preserve">de </w:t>
      </w:r>
      <w:r w:rsidR="00225EEB" w:rsidRPr="008D68CA">
        <w:rPr>
          <w:sz w:val="14"/>
          <w:szCs w:val="14"/>
        </w:rPr>
        <w:t>2019 se continuarán comparando con el índice de la base anterior</w:t>
      </w:r>
      <w:r>
        <w:rPr>
          <w:sz w:val="14"/>
          <w:szCs w:val="14"/>
        </w:rPr>
        <w:t>.</w:t>
      </w:r>
    </w:p>
    <w:p w14:paraId="67B0F390" w14:textId="77777777" w:rsidR="004D5C5B" w:rsidRDefault="004D5C5B" w:rsidP="00A242B6">
      <w:pPr>
        <w:pStyle w:val="n01"/>
        <w:keepNext/>
        <w:spacing w:before="48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4474B7A1" w:rsidR="004D5C5B" w:rsidRDefault="00225EEB" w:rsidP="00A242B6">
      <w:pPr>
        <w:autoSpaceDE w:val="0"/>
        <w:autoSpaceDN w:val="0"/>
        <w:adjustRightInd w:val="0"/>
        <w:spacing w:before="280"/>
      </w:pPr>
      <w:r w:rsidRPr="00225EEB">
        <w:t>Los precios de las Actividades Terciarias presentaron un a</w:t>
      </w:r>
      <w:r w:rsidR="006260AF">
        <w:t>scenso</w:t>
      </w:r>
      <w:r w:rsidRPr="00225EEB">
        <w:t xml:space="preserve"> mensual de 0.40% durante febrero de 2020. Los sectores económicos que registraron la mayor alza mensual fueron el de Servicios de salud y de asistencia social con 1.09%, Servicios profesionales, científicos y técnicos </w:t>
      </w:r>
      <w:r w:rsidR="00567C8B">
        <w:t>co</w:t>
      </w:r>
      <w:r w:rsidR="00401E08">
        <w:t xml:space="preserve">n </w:t>
      </w:r>
      <w:r w:rsidRPr="00225EEB">
        <w:t xml:space="preserve">0.89% y </w:t>
      </w:r>
      <w:r w:rsidR="006260AF">
        <w:t xml:space="preserve">el de </w:t>
      </w:r>
      <w:r w:rsidRPr="00225EEB">
        <w:t>Otros servicios excepto actividades gubernamentales con 0.59 por ciento</w:t>
      </w:r>
      <w:r w:rsidR="00420C77">
        <w:t>.</w:t>
      </w:r>
    </w:p>
    <w:p w14:paraId="02A9825C" w14:textId="77777777" w:rsidR="00533AAC" w:rsidRDefault="00533AAC">
      <w:pPr>
        <w:jc w:val="left"/>
        <w:rPr>
          <w:b/>
          <w:snapToGrid w:val="0"/>
          <w:u w:val="single"/>
        </w:rPr>
      </w:pPr>
      <w:r>
        <w:rPr>
          <w:b/>
          <w:snapToGrid w:val="0"/>
          <w:u w:val="single"/>
        </w:rPr>
        <w:br w:type="page"/>
      </w:r>
    </w:p>
    <w:p w14:paraId="7280C246" w14:textId="4B6F29F5" w:rsidR="004D5C5B" w:rsidRPr="00875DDC" w:rsidRDefault="004D5C5B" w:rsidP="004D5C5B">
      <w:pPr>
        <w:autoSpaceDE w:val="0"/>
        <w:autoSpaceDN w:val="0"/>
        <w:adjustRightInd w:val="0"/>
        <w:spacing w:before="240"/>
        <w:rPr>
          <w:b/>
          <w:snapToGrid w:val="0"/>
          <w:u w:val="single"/>
        </w:rPr>
      </w:pPr>
      <w:r w:rsidRPr="00875DDC">
        <w:rPr>
          <w:b/>
          <w:snapToGrid w:val="0"/>
          <w:u w:val="single"/>
        </w:rPr>
        <w:lastRenderedPageBreak/>
        <w:t>BIENES INTERMEDIOS</w:t>
      </w:r>
    </w:p>
    <w:p w14:paraId="5AA79B6E" w14:textId="541F3C67" w:rsidR="00225EEB" w:rsidRPr="00225EEB" w:rsidRDefault="00225EEB" w:rsidP="00225EEB">
      <w:pPr>
        <w:autoSpaceDE w:val="0"/>
        <w:autoSpaceDN w:val="0"/>
        <w:adjustRightInd w:val="0"/>
        <w:spacing w:before="280"/>
        <w:rPr>
          <w:snapToGrid w:val="0"/>
        </w:rPr>
      </w:pPr>
      <w:r w:rsidRPr="00225EEB">
        <w:rPr>
          <w:snapToGrid w:val="0"/>
        </w:rPr>
        <w:t>El Índice de Mercancías y Servicios de Uso Intermedio, incluyendo petróleo, mostró un de</w:t>
      </w:r>
      <w:r w:rsidR="00401E08">
        <w:rPr>
          <w:snapToGrid w:val="0"/>
        </w:rPr>
        <w:t>scens</w:t>
      </w:r>
      <w:r w:rsidRPr="00225EEB">
        <w:rPr>
          <w:snapToGrid w:val="0"/>
        </w:rPr>
        <w:t>o mensual de (</w:t>
      </w:r>
      <w:r>
        <w:rPr>
          <w:snapToGrid w:val="0"/>
        </w:rPr>
        <w:noBreakHyphen/>
      </w:r>
      <w:r w:rsidRPr="00225EEB">
        <w:rPr>
          <w:snapToGrid w:val="0"/>
        </w:rPr>
        <w:t>)0.03% y anual de (</w:t>
      </w:r>
      <w:r>
        <w:rPr>
          <w:snapToGrid w:val="0"/>
        </w:rPr>
        <w:noBreakHyphen/>
      </w:r>
      <w:r w:rsidRPr="00225EEB">
        <w:rPr>
          <w:snapToGrid w:val="0"/>
        </w:rPr>
        <w:t>)1.24% en el segundo mes de 2020.</w:t>
      </w:r>
    </w:p>
    <w:p w14:paraId="21D04792" w14:textId="0575C8A1" w:rsidR="004D5C5B" w:rsidRDefault="00225EEB" w:rsidP="00225EEB">
      <w:pPr>
        <w:autoSpaceDE w:val="0"/>
        <w:autoSpaceDN w:val="0"/>
        <w:adjustRightInd w:val="0"/>
        <w:spacing w:before="280"/>
        <w:rPr>
          <w:snapToGrid w:val="0"/>
        </w:rPr>
      </w:pPr>
      <w:r w:rsidRPr="00225EEB">
        <w:rPr>
          <w:snapToGrid w:val="0"/>
        </w:rPr>
        <w:t xml:space="preserve">Por grandes grupos de actividades económicas, los precios de las Actividades Primarias </w:t>
      </w:r>
      <w:r w:rsidR="00401E08">
        <w:rPr>
          <w:snapToGrid w:val="0"/>
        </w:rPr>
        <w:t>se acrec</w:t>
      </w:r>
      <w:r w:rsidRPr="00225EEB">
        <w:rPr>
          <w:snapToGrid w:val="0"/>
        </w:rPr>
        <w:t>entaron 4.78% a tasa mensual y disminuyeron (</w:t>
      </w:r>
      <w:r>
        <w:rPr>
          <w:snapToGrid w:val="0"/>
        </w:rPr>
        <w:noBreakHyphen/>
      </w:r>
      <w:r w:rsidRPr="00225EEB">
        <w:rPr>
          <w:snapToGrid w:val="0"/>
        </w:rPr>
        <w:t>)1.45% a tasa anual; los de las Actividades Secundarias retrocedieron (</w:t>
      </w:r>
      <w:r>
        <w:rPr>
          <w:snapToGrid w:val="0"/>
        </w:rPr>
        <w:noBreakHyphen/>
      </w:r>
      <w:r w:rsidRPr="00225EEB">
        <w:rPr>
          <w:snapToGrid w:val="0"/>
        </w:rPr>
        <w:t>)1.17% mensual y (</w:t>
      </w:r>
      <w:r>
        <w:rPr>
          <w:snapToGrid w:val="0"/>
        </w:rPr>
        <w:noBreakHyphen/>
      </w:r>
      <w:r w:rsidRPr="00225EEB">
        <w:rPr>
          <w:snapToGrid w:val="0"/>
        </w:rPr>
        <w:t>)3.44% anual, y los de las Actividades Terciarias subieron 0.47% mensual y 2.99% anual</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6647125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F9741C3"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DE USO INTERMEDIO,</w:t>
      </w:r>
    </w:p>
    <w:p w14:paraId="78C2AB7B" w14:textId="6F47794F"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225EEB">
        <w:rPr>
          <w:b/>
          <w:bCs/>
          <w:color w:val="000000"/>
          <w:spacing w:val="1"/>
          <w:sz w:val="22"/>
          <w:szCs w:val="22"/>
        </w:rPr>
        <w:t>FEBR</w:t>
      </w:r>
      <w:r>
        <w:rPr>
          <w:b/>
          <w:bCs/>
          <w:color w:val="000000"/>
          <w:spacing w:val="1"/>
          <w:sz w:val="22"/>
          <w:szCs w:val="22"/>
        </w:rPr>
        <w:t>E</w:t>
      </w:r>
      <w:r w:rsidR="00061B60">
        <w:rPr>
          <w:b/>
          <w:bCs/>
          <w:color w:val="000000"/>
          <w:spacing w:val="1"/>
          <w:sz w:val="22"/>
          <w:szCs w:val="22"/>
        </w:rPr>
        <w:t>RO</w:t>
      </w:r>
    </w:p>
    <w:p w14:paraId="5F397F20" w14:textId="54FB30AE"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225EEB">
        <w:rPr>
          <w:snapToGrid w:val="0"/>
          <w:sz w:val="18"/>
          <w:szCs w:val="18"/>
        </w:rPr>
        <w:t>febre</w:t>
      </w:r>
      <w:r w:rsidR="00061B60">
        <w:rPr>
          <w:snapToGrid w:val="0"/>
          <w:sz w:val="18"/>
          <w:szCs w:val="18"/>
        </w:rPr>
        <w:t>ro</w:t>
      </w:r>
      <w:r>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225EEB" w:rsidRPr="00A9663B" w14:paraId="5015EDE6" w14:textId="77777777" w:rsidTr="00225EEB">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5080DAC" w14:textId="77777777" w:rsidR="00225EEB" w:rsidRPr="00A9663B" w:rsidRDefault="00225EEB" w:rsidP="00225EEB">
            <w:pPr>
              <w:autoSpaceDE w:val="0"/>
              <w:autoSpaceDN w:val="0"/>
              <w:adjustRightInd w:val="0"/>
              <w:ind w:left="227"/>
              <w:rPr>
                <w:bCs/>
                <w:color w:val="000000"/>
                <w:sz w:val="16"/>
                <w:szCs w:val="16"/>
                <w:lang w:eastAsia="es-MX"/>
              </w:rPr>
            </w:pPr>
            <w:bookmarkStart w:id="5"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101580D" w14:textId="77777777" w:rsidR="00225EEB" w:rsidRPr="00A9663B" w:rsidRDefault="00225EEB" w:rsidP="00225EEB">
            <w:pPr>
              <w:jc w:val="center"/>
              <w:rPr>
                <w:bCs/>
                <w:color w:val="000000"/>
                <w:sz w:val="16"/>
                <w:szCs w:val="16"/>
                <w:lang w:eastAsia="es-MX"/>
              </w:rPr>
            </w:pPr>
            <w:r w:rsidRPr="00A9663B">
              <w:rPr>
                <w:bCs/>
                <w:color w:val="000000"/>
                <w:sz w:val="16"/>
                <w:szCs w:val="16"/>
                <w:lang w:eastAsia="es-MX"/>
              </w:rPr>
              <w:t>Variación mensual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B9BB905" w14:textId="77777777" w:rsidR="00225EEB" w:rsidRPr="00A9663B" w:rsidRDefault="00225EEB" w:rsidP="00225EEB">
            <w:pPr>
              <w:jc w:val="center"/>
              <w:rPr>
                <w:bCs/>
                <w:color w:val="000000"/>
                <w:sz w:val="16"/>
                <w:szCs w:val="16"/>
                <w:lang w:eastAsia="es-MX"/>
              </w:rPr>
            </w:pPr>
            <w:r w:rsidRPr="00A9663B">
              <w:rPr>
                <w:bCs/>
                <w:color w:val="000000"/>
                <w:sz w:val="16"/>
                <w:szCs w:val="16"/>
                <w:lang w:eastAsia="es-MX"/>
              </w:rPr>
              <w:t>Variación anual</w:t>
            </w:r>
            <w:r>
              <w:rPr>
                <w:bCs/>
                <w:color w:val="000000"/>
                <w:sz w:val="16"/>
                <w:szCs w:val="16"/>
                <w:lang w:eastAsia="es-MX"/>
              </w:rPr>
              <w:t xml:space="preserve"> </w:t>
            </w:r>
            <w:r w:rsidRPr="00C51721">
              <w:rPr>
                <w:bCs/>
                <w:color w:val="000000"/>
                <w:sz w:val="16"/>
                <w:szCs w:val="16"/>
                <w:vertAlign w:val="superscript"/>
                <w:lang w:eastAsia="es-MX"/>
              </w:rPr>
              <w:t>1/</w:t>
            </w:r>
          </w:p>
        </w:tc>
      </w:tr>
      <w:tr w:rsidR="00225EEB" w:rsidRPr="00A9663B" w14:paraId="10EF9D6D" w14:textId="77777777" w:rsidTr="00225EEB">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74547EC5" w14:textId="77777777" w:rsidR="00225EEB" w:rsidRPr="00A9663B" w:rsidRDefault="00225EEB" w:rsidP="00225EEB">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6890532F" w14:textId="77777777" w:rsidR="00225EEB" w:rsidRPr="00A9663B" w:rsidRDefault="00225EEB" w:rsidP="00225EEB">
            <w:pPr>
              <w:jc w:val="center"/>
              <w:rPr>
                <w:bCs/>
                <w:color w:val="000000"/>
                <w:sz w:val="16"/>
                <w:szCs w:val="16"/>
              </w:rPr>
            </w:pPr>
            <w:r>
              <w:rPr>
                <w:bCs/>
                <w:color w:val="000000"/>
                <w:sz w:val="16"/>
                <w:szCs w:val="16"/>
              </w:rPr>
              <w:t>2018</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3D42997" w14:textId="77777777" w:rsidR="00225EEB" w:rsidRPr="00A9663B" w:rsidRDefault="00225EEB" w:rsidP="00225EEB">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D4C2E77" w14:textId="77777777" w:rsidR="00225EEB" w:rsidRPr="00A9663B" w:rsidRDefault="00225EEB" w:rsidP="00225EEB">
            <w:pPr>
              <w:jc w:val="center"/>
              <w:rPr>
                <w:bCs/>
                <w:color w:val="000000"/>
                <w:sz w:val="16"/>
                <w:szCs w:val="16"/>
              </w:rPr>
            </w:pPr>
            <w:r>
              <w:rPr>
                <w:bCs/>
                <w:color w:val="000000"/>
                <w:sz w:val="16"/>
                <w:szCs w:val="16"/>
              </w:rPr>
              <w:t>2020</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E9F764D" w14:textId="77777777" w:rsidR="00225EEB" w:rsidRPr="00A9663B" w:rsidRDefault="00225EEB" w:rsidP="00225EEB">
            <w:pPr>
              <w:jc w:val="center"/>
              <w:rPr>
                <w:bCs/>
                <w:color w:val="000000"/>
                <w:sz w:val="16"/>
                <w:szCs w:val="16"/>
              </w:rPr>
            </w:pPr>
            <w:r>
              <w:rPr>
                <w:bCs/>
                <w:color w:val="000000"/>
                <w:sz w:val="16"/>
                <w:szCs w:val="16"/>
              </w:rPr>
              <w:t>2018</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68A578A" w14:textId="77777777" w:rsidR="00225EEB" w:rsidRPr="00A9663B" w:rsidRDefault="00225EEB" w:rsidP="00225EEB">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44D34CE" w14:textId="77777777" w:rsidR="00225EEB" w:rsidRPr="00A9663B" w:rsidRDefault="00225EEB" w:rsidP="00225EEB">
            <w:pPr>
              <w:jc w:val="center"/>
              <w:rPr>
                <w:bCs/>
                <w:color w:val="000000"/>
                <w:sz w:val="16"/>
                <w:szCs w:val="16"/>
              </w:rPr>
            </w:pPr>
            <w:r>
              <w:rPr>
                <w:bCs/>
                <w:color w:val="000000"/>
                <w:sz w:val="16"/>
                <w:szCs w:val="16"/>
              </w:rPr>
              <w:t>2020</w:t>
            </w:r>
          </w:p>
        </w:tc>
      </w:tr>
      <w:tr w:rsidR="00225EEB" w:rsidRPr="00841586" w14:paraId="1FB43F35" w14:textId="77777777" w:rsidTr="00225EEB">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377293A" w14:textId="77777777" w:rsidR="00225EEB" w:rsidRPr="00841586" w:rsidRDefault="00225EEB" w:rsidP="00225EEB">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1D756C9D" w14:textId="77777777" w:rsidR="00225EEB" w:rsidRPr="002B06A0" w:rsidRDefault="00225EEB" w:rsidP="00225EEB">
            <w:pPr>
              <w:ind w:right="227"/>
              <w:jc w:val="right"/>
              <w:rPr>
                <w:b/>
                <w:bCs/>
                <w:color w:val="000000"/>
                <w:sz w:val="14"/>
                <w:szCs w:val="14"/>
              </w:rPr>
            </w:pPr>
            <w:r w:rsidRPr="002B06A0">
              <w:rPr>
                <w:b/>
                <w:bCs/>
                <w:color w:val="000000"/>
                <w:sz w:val="14"/>
                <w:szCs w:val="14"/>
              </w:rPr>
              <w:t>0.51</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CD49502" w14:textId="77777777" w:rsidR="00225EEB" w:rsidRPr="002B06A0" w:rsidRDefault="00225EEB" w:rsidP="00225EEB">
            <w:pPr>
              <w:ind w:right="227"/>
              <w:jc w:val="right"/>
              <w:rPr>
                <w:b/>
                <w:bCs/>
                <w:color w:val="000000"/>
                <w:sz w:val="14"/>
                <w:szCs w:val="14"/>
              </w:rPr>
            </w:pPr>
            <w:r w:rsidRPr="002B06A0">
              <w:rPr>
                <w:b/>
                <w:bCs/>
                <w:color w:val="000000"/>
                <w:sz w:val="14"/>
                <w:szCs w:val="14"/>
              </w:rPr>
              <w:t>0.40</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2653CA0" w14:textId="77777777" w:rsidR="00225EEB" w:rsidRPr="002B06A0" w:rsidRDefault="00225EEB" w:rsidP="00225EEB">
            <w:pPr>
              <w:ind w:right="227"/>
              <w:jc w:val="right"/>
              <w:rPr>
                <w:b/>
                <w:bCs/>
                <w:color w:val="000000"/>
                <w:sz w:val="14"/>
                <w:szCs w:val="14"/>
              </w:rPr>
            </w:pPr>
            <w:r w:rsidRPr="002B06A0">
              <w:rPr>
                <w:b/>
                <w:bCs/>
                <w:color w:val="000000"/>
                <w:sz w:val="14"/>
                <w:szCs w:val="14"/>
              </w:rPr>
              <w:t>-0.03</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0D3AA3B" w14:textId="77777777" w:rsidR="00225EEB" w:rsidRPr="002B06A0" w:rsidRDefault="00225EEB" w:rsidP="00225EEB">
            <w:pPr>
              <w:ind w:right="227"/>
              <w:jc w:val="right"/>
              <w:rPr>
                <w:b/>
                <w:bCs/>
                <w:color w:val="000000"/>
                <w:sz w:val="14"/>
                <w:szCs w:val="14"/>
              </w:rPr>
            </w:pPr>
            <w:r w:rsidRPr="002B06A0">
              <w:rPr>
                <w:b/>
                <w:bCs/>
                <w:color w:val="000000"/>
                <w:sz w:val="14"/>
                <w:szCs w:val="14"/>
              </w:rPr>
              <w:t>4.54</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33666B0" w14:textId="77777777" w:rsidR="00225EEB" w:rsidRPr="002B06A0" w:rsidRDefault="00225EEB" w:rsidP="00225EEB">
            <w:pPr>
              <w:ind w:right="227"/>
              <w:jc w:val="right"/>
              <w:rPr>
                <w:b/>
                <w:bCs/>
                <w:color w:val="000000"/>
                <w:sz w:val="14"/>
                <w:szCs w:val="14"/>
              </w:rPr>
            </w:pPr>
            <w:r w:rsidRPr="002B06A0">
              <w:rPr>
                <w:b/>
                <w:bCs/>
                <w:color w:val="000000"/>
                <w:sz w:val="14"/>
                <w:szCs w:val="14"/>
              </w:rPr>
              <w:t>4.45</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90E2BD4" w14:textId="77777777" w:rsidR="00225EEB" w:rsidRPr="002B06A0" w:rsidRDefault="00225EEB" w:rsidP="00225EEB">
            <w:pPr>
              <w:ind w:right="227"/>
              <w:jc w:val="right"/>
              <w:rPr>
                <w:b/>
                <w:bCs/>
                <w:color w:val="000000"/>
                <w:sz w:val="14"/>
                <w:szCs w:val="14"/>
              </w:rPr>
            </w:pPr>
            <w:r w:rsidRPr="002B06A0">
              <w:rPr>
                <w:b/>
                <w:bCs/>
                <w:color w:val="000000"/>
                <w:sz w:val="14"/>
                <w:szCs w:val="14"/>
              </w:rPr>
              <w:t>-1.24</w:t>
            </w:r>
          </w:p>
        </w:tc>
      </w:tr>
      <w:tr w:rsidR="00225EEB" w:rsidRPr="00841586" w14:paraId="3C834A41" w14:textId="77777777" w:rsidTr="00225EEB">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0E989E7" w14:textId="77777777" w:rsidR="00225EEB" w:rsidRPr="00841586" w:rsidRDefault="00225EEB" w:rsidP="00225EEB">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A5C3EDA" w14:textId="77777777" w:rsidR="00225EEB" w:rsidRPr="002B06A0" w:rsidRDefault="00225EEB" w:rsidP="00225EEB">
            <w:pPr>
              <w:ind w:right="227"/>
              <w:jc w:val="right"/>
              <w:rPr>
                <w:b/>
                <w:bCs/>
                <w:color w:val="000000"/>
                <w:sz w:val="14"/>
                <w:szCs w:val="14"/>
              </w:rPr>
            </w:pPr>
            <w:r w:rsidRPr="002B06A0">
              <w:rPr>
                <w:b/>
                <w:bCs/>
                <w:color w:val="000000"/>
                <w:sz w:val="14"/>
                <w:szCs w:val="14"/>
              </w:rPr>
              <w:t>1.20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FE42C87" w14:textId="77777777" w:rsidR="00225EEB" w:rsidRPr="002B06A0" w:rsidRDefault="00225EEB" w:rsidP="00225EEB">
            <w:pPr>
              <w:ind w:right="227"/>
              <w:jc w:val="right"/>
              <w:rPr>
                <w:b/>
                <w:bCs/>
                <w:color w:val="000000"/>
                <w:sz w:val="14"/>
                <w:szCs w:val="14"/>
              </w:rPr>
            </w:pPr>
            <w:r w:rsidRPr="002B06A0">
              <w:rPr>
                <w:b/>
                <w:bCs/>
                <w:color w:val="000000"/>
                <w:sz w:val="14"/>
                <w:szCs w:val="14"/>
              </w:rPr>
              <w:t>-1.95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F8D1049" w14:textId="77777777" w:rsidR="00225EEB" w:rsidRPr="002B06A0" w:rsidRDefault="00225EEB" w:rsidP="00225EEB">
            <w:pPr>
              <w:ind w:right="227"/>
              <w:jc w:val="right"/>
              <w:rPr>
                <w:b/>
                <w:bCs/>
                <w:color w:val="000000"/>
                <w:sz w:val="14"/>
                <w:szCs w:val="14"/>
              </w:rPr>
            </w:pPr>
            <w:r w:rsidRPr="002B06A0">
              <w:rPr>
                <w:b/>
                <w:bCs/>
                <w:color w:val="000000"/>
                <w:sz w:val="14"/>
                <w:szCs w:val="14"/>
              </w:rPr>
              <w:t>4.78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1B680CF" w14:textId="77777777" w:rsidR="00225EEB" w:rsidRPr="002B06A0" w:rsidRDefault="00225EEB" w:rsidP="00225EEB">
            <w:pPr>
              <w:ind w:right="227"/>
              <w:jc w:val="right"/>
              <w:rPr>
                <w:b/>
                <w:bCs/>
                <w:color w:val="000000"/>
                <w:sz w:val="14"/>
                <w:szCs w:val="14"/>
              </w:rPr>
            </w:pPr>
            <w:r w:rsidRPr="002B06A0">
              <w:rPr>
                <w:b/>
                <w:bCs/>
                <w:color w:val="000000"/>
                <w:sz w:val="14"/>
                <w:szCs w:val="14"/>
              </w:rPr>
              <w:t>8.48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1785931" w14:textId="77777777" w:rsidR="00225EEB" w:rsidRPr="002B06A0" w:rsidRDefault="00225EEB" w:rsidP="00225EEB">
            <w:pPr>
              <w:ind w:right="227"/>
              <w:jc w:val="right"/>
              <w:rPr>
                <w:b/>
                <w:bCs/>
                <w:color w:val="000000"/>
                <w:sz w:val="14"/>
                <w:szCs w:val="14"/>
              </w:rPr>
            </w:pPr>
            <w:r w:rsidRPr="002B06A0">
              <w:rPr>
                <w:b/>
                <w:bCs/>
                <w:color w:val="000000"/>
                <w:sz w:val="14"/>
                <w:szCs w:val="14"/>
              </w:rPr>
              <w:t>-0.61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029E64" w14:textId="77777777" w:rsidR="00225EEB" w:rsidRPr="002B06A0" w:rsidRDefault="00225EEB" w:rsidP="00225EEB">
            <w:pPr>
              <w:ind w:right="227"/>
              <w:jc w:val="right"/>
              <w:rPr>
                <w:b/>
                <w:bCs/>
                <w:color w:val="000000"/>
                <w:sz w:val="14"/>
                <w:szCs w:val="14"/>
              </w:rPr>
            </w:pPr>
            <w:r w:rsidRPr="002B06A0">
              <w:rPr>
                <w:b/>
                <w:bCs/>
                <w:color w:val="000000"/>
                <w:sz w:val="14"/>
                <w:szCs w:val="14"/>
              </w:rPr>
              <w:t>-1.45</w:t>
            </w:r>
          </w:p>
        </w:tc>
      </w:tr>
      <w:tr w:rsidR="00225EEB" w:rsidRPr="00841586" w14:paraId="3B83A576" w14:textId="77777777" w:rsidTr="00225EEB">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3C476FC" w14:textId="77777777" w:rsidR="00225EEB" w:rsidRPr="00841586" w:rsidRDefault="00225EEB" w:rsidP="00225EEB">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3154D14" w14:textId="77777777" w:rsidR="00225EEB" w:rsidRPr="002B06A0" w:rsidRDefault="00225EEB" w:rsidP="00225EEB">
            <w:pPr>
              <w:ind w:right="227"/>
              <w:jc w:val="right"/>
              <w:rPr>
                <w:b/>
                <w:bCs/>
                <w:color w:val="000000"/>
                <w:sz w:val="14"/>
                <w:szCs w:val="14"/>
              </w:rPr>
            </w:pPr>
            <w:r w:rsidRPr="002B06A0">
              <w:rPr>
                <w:b/>
                <w:bCs/>
                <w:color w:val="000000"/>
                <w:sz w:val="14"/>
                <w:szCs w:val="14"/>
              </w:rPr>
              <w:t>0.44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33AE690" w14:textId="77777777" w:rsidR="00225EEB" w:rsidRPr="002B06A0" w:rsidRDefault="00225EEB" w:rsidP="00225EEB">
            <w:pPr>
              <w:ind w:right="227"/>
              <w:jc w:val="right"/>
              <w:rPr>
                <w:b/>
                <w:bCs/>
                <w:color w:val="000000"/>
                <w:sz w:val="14"/>
                <w:szCs w:val="14"/>
              </w:rPr>
            </w:pPr>
            <w:r w:rsidRPr="002B06A0">
              <w:rPr>
                <w:b/>
                <w:bCs/>
                <w:color w:val="000000"/>
                <w:sz w:val="14"/>
                <w:szCs w:val="14"/>
              </w:rPr>
              <w:t>0.77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ABE42C" w14:textId="77777777" w:rsidR="00225EEB" w:rsidRPr="002B06A0" w:rsidRDefault="00225EEB" w:rsidP="00225EEB">
            <w:pPr>
              <w:ind w:right="227"/>
              <w:jc w:val="right"/>
              <w:rPr>
                <w:b/>
                <w:bCs/>
                <w:color w:val="000000"/>
                <w:sz w:val="14"/>
                <w:szCs w:val="14"/>
              </w:rPr>
            </w:pPr>
            <w:r w:rsidRPr="002B06A0">
              <w:rPr>
                <w:b/>
                <w:bCs/>
                <w:color w:val="000000"/>
                <w:sz w:val="14"/>
                <w:szCs w:val="14"/>
              </w:rPr>
              <w:t>-1.17</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5D5F39" w14:textId="77777777" w:rsidR="00225EEB" w:rsidRPr="002B06A0" w:rsidRDefault="00225EEB" w:rsidP="00225EEB">
            <w:pPr>
              <w:ind w:right="227"/>
              <w:jc w:val="right"/>
              <w:rPr>
                <w:b/>
                <w:bCs/>
                <w:color w:val="000000"/>
                <w:sz w:val="14"/>
                <w:szCs w:val="14"/>
              </w:rPr>
            </w:pPr>
            <w:r w:rsidRPr="002B06A0">
              <w:rPr>
                <w:b/>
                <w:bCs/>
                <w:color w:val="000000"/>
                <w:sz w:val="14"/>
                <w:szCs w:val="14"/>
              </w:rPr>
              <w:t>4.78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1AF57C" w14:textId="77777777" w:rsidR="00225EEB" w:rsidRPr="002B06A0" w:rsidRDefault="00225EEB" w:rsidP="00225EEB">
            <w:pPr>
              <w:ind w:right="227"/>
              <w:jc w:val="right"/>
              <w:rPr>
                <w:b/>
                <w:bCs/>
                <w:color w:val="000000"/>
                <w:sz w:val="14"/>
                <w:szCs w:val="14"/>
              </w:rPr>
            </w:pPr>
            <w:r w:rsidRPr="002B06A0">
              <w:rPr>
                <w:b/>
                <w:bCs/>
                <w:color w:val="000000"/>
                <w:sz w:val="14"/>
                <w:szCs w:val="14"/>
              </w:rPr>
              <w:t>5.74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485F79" w14:textId="77777777" w:rsidR="00225EEB" w:rsidRPr="002B06A0" w:rsidRDefault="00225EEB" w:rsidP="00225EEB">
            <w:pPr>
              <w:ind w:right="227"/>
              <w:jc w:val="right"/>
              <w:rPr>
                <w:b/>
                <w:bCs/>
                <w:color w:val="000000"/>
                <w:sz w:val="14"/>
                <w:szCs w:val="14"/>
              </w:rPr>
            </w:pPr>
            <w:r w:rsidRPr="002B06A0">
              <w:rPr>
                <w:b/>
                <w:bCs/>
                <w:color w:val="000000"/>
                <w:sz w:val="14"/>
                <w:szCs w:val="14"/>
              </w:rPr>
              <w:t>-3.44</w:t>
            </w:r>
          </w:p>
        </w:tc>
      </w:tr>
      <w:tr w:rsidR="00225EEB" w:rsidRPr="00841586" w14:paraId="321961D5" w14:textId="77777777" w:rsidTr="00225EEB">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46F670D"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00D126A2" w14:textId="77777777" w:rsidR="00225EEB" w:rsidRPr="002B06A0" w:rsidRDefault="00225EEB" w:rsidP="00225EEB">
            <w:pPr>
              <w:ind w:right="227"/>
              <w:jc w:val="right"/>
              <w:rPr>
                <w:bCs/>
                <w:color w:val="000000"/>
                <w:sz w:val="14"/>
                <w:szCs w:val="14"/>
              </w:rPr>
            </w:pPr>
            <w:r w:rsidRPr="002B06A0">
              <w:rPr>
                <w:bCs/>
                <w:color w:val="000000"/>
                <w:sz w:val="14"/>
                <w:szCs w:val="14"/>
              </w:rPr>
              <w:t>-0.82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2C3BE36" w14:textId="77777777" w:rsidR="00225EEB" w:rsidRPr="002B06A0" w:rsidRDefault="00225EEB" w:rsidP="00225EEB">
            <w:pPr>
              <w:ind w:right="227"/>
              <w:jc w:val="right"/>
              <w:rPr>
                <w:bCs/>
                <w:color w:val="000000"/>
                <w:sz w:val="14"/>
                <w:szCs w:val="14"/>
              </w:rPr>
            </w:pPr>
            <w:r w:rsidRPr="002B06A0">
              <w:rPr>
                <w:bCs/>
                <w:color w:val="000000"/>
                <w:sz w:val="14"/>
                <w:szCs w:val="14"/>
              </w:rPr>
              <w:t>1.42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6501A5" w14:textId="77777777" w:rsidR="00225EEB" w:rsidRPr="002B06A0" w:rsidRDefault="00225EEB" w:rsidP="00225EEB">
            <w:pPr>
              <w:ind w:right="227"/>
              <w:jc w:val="right"/>
              <w:rPr>
                <w:bCs/>
                <w:color w:val="000000"/>
                <w:sz w:val="14"/>
                <w:szCs w:val="14"/>
              </w:rPr>
            </w:pPr>
            <w:r w:rsidRPr="002B06A0">
              <w:rPr>
                <w:bCs/>
                <w:color w:val="000000"/>
                <w:sz w:val="14"/>
                <w:szCs w:val="14"/>
              </w:rPr>
              <w:t>-6.40</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FFD0F33" w14:textId="77777777" w:rsidR="00225EEB" w:rsidRPr="002B06A0" w:rsidRDefault="00225EEB" w:rsidP="00225EEB">
            <w:pPr>
              <w:ind w:right="227"/>
              <w:jc w:val="right"/>
              <w:rPr>
                <w:bCs/>
                <w:color w:val="000000"/>
                <w:sz w:val="14"/>
                <w:szCs w:val="14"/>
              </w:rPr>
            </w:pPr>
            <w:r w:rsidRPr="002B06A0">
              <w:rPr>
                <w:bCs/>
                <w:color w:val="000000"/>
                <w:sz w:val="14"/>
                <w:szCs w:val="14"/>
              </w:rPr>
              <w:t>11.15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A3D05D2" w14:textId="77777777" w:rsidR="00225EEB" w:rsidRPr="002B06A0" w:rsidRDefault="00225EEB" w:rsidP="00225EEB">
            <w:pPr>
              <w:ind w:right="227"/>
              <w:jc w:val="right"/>
              <w:rPr>
                <w:bCs/>
                <w:color w:val="000000"/>
                <w:sz w:val="14"/>
                <w:szCs w:val="14"/>
              </w:rPr>
            </w:pPr>
            <w:r w:rsidRPr="002B06A0">
              <w:rPr>
                <w:bCs/>
                <w:color w:val="000000"/>
                <w:sz w:val="14"/>
                <w:szCs w:val="14"/>
              </w:rPr>
              <w:t>3.11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153183" w14:textId="77777777" w:rsidR="00225EEB" w:rsidRPr="002B06A0" w:rsidRDefault="00225EEB" w:rsidP="00225EEB">
            <w:pPr>
              <w:ind w:right="227"/>
              <w:jc w:val="right"/>
              <w:rPr>
                <w:bCs/>
                <w:color w:val="000000"/>
                <w:sz w:val="14"/>
                <w:szCs w:val="14"/>
              </w:rPr>
            </w:pPr>
            <w:r w:rsidRPr="002B06A0">
              <w:rPr>
                <w:bCs/>
                <w:color w:val="000000"/>
                <w:sz w:val="14"/>
                <w:szCs w:val="14"/>
              </w:rPr>
              <w:t>-11.20</w:t>
            </w:r>
          </w:p>
        </w:tc>
      </w:tr>
      <w:tr w:rsidR="00225EEB" w:rsidRPr="00841586" w14:paraId="1E6FC8FE" w14:textId="77777777" w:rsidTr="00225EEB">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2CAE9F2"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0D7D99EC" w14:textId="77777777" w:rsidR="00225EEB" w:rsidRPr="002B06A0" w:rsidRDefault="00225EEB" w:rsidP="00225EEB">
            <w:pPr>
              <w:ind w:right="227"/>
              <w:jc w:val="right"/>
              <w:rPr>
                <w:bCs/>
                <w:color w:val="000000"/>
                <w:sz w:val="14"/>
                <w:szCs w:val="14"/>
              </w:rPr>
            </w:pPr>
            <w:r w:rsidRPr="002B06A0">
              <w:rPr>
                <w:bCs/>
                <w:color w:val="000000"/>
                <w:sz w:val="14"/>
                <w:szCs w:val="14"/>
              </w:rPr>
              <w:t>0.31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869E45" w14:textId="77777777" w:rsidR="00225EEB" w:rsidRPr="002B06A0" w:rsidRDefault="00225EEB" w:rsidP="00225EEB">
            <w:pPr>
              <w:ind w:right="227"/>
              <w:jc w:val="right"/>
              <w:rPr>
                <w:bCs/>
                <w:color w:val="000000"/>
                <w:sz w:val="14"/>
                <w:szCs w:val="14"/>
              </w:rPr>
            </w:pPr>
            <w:r w:rsidRPr="002B06A0">
              <w:rPr>
                <w:bCs/>
                <w:color w:val="000000"/>
                <w:sz w:val="14"/>
                <w:szCs w:val="14"/>
              </w:rPr>
              <w:t>0.00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5728500" w14:textId="77777777" w:rsidR="00225EEB" w:rsidRPr="002B06A0" w:rsidRDefault="00225EEB" w:rsidP="00225EEB">
            <w:pPr>
              <w:ind w:right="227"/>
              <w:jc w:val="right"/>
              <w:rPr>
                <w:bCs/>
                <w:color w:val="000000"/>
                <w:sz w:val="14"/>
                <w:szCs w:val="14"/>
              </w:rPr>
            </w:pPr>
            <w:r w:rsidRPr="002B06A0">
              <w:rPr>
                <w:bCs/>
                <w:color w:val="000000"/>
                <w:sz w:val="14"/>
                <w:szCs w:val="14"/>
              </w:rPr>
              <w:t>0.01</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56512DC" w14:textId="77777777" w:rsidR="00225EEB" w:rsidRPr="002B06A0" w:rsidRDefault="00225EEB" w:rsidP="00225EEB">
            <w:pPr>
              <w:ind w:right="227"/>
              <w:jc w:val="right"/>
              <w:rPr>
                <w:bCs/>
                <w:color w:val="000000"/>
                <w:sz w:val="14"/>
                <w:szCs w:val="14"/>
              </w:rPr>
            </w:pPr>
            <w:r w:rsidRPr="002B06A0">
              <w:rPr>
                <w:bCs/>
                <w:color w:val="000000"/>
                <w:sz w:val="14"/>
                <w:szCs w:val="14"/>
              </w:rPr>
              <w:t>1.87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917529" w14:textId="77777777" w:rsidR="00225EEB" w:rsidRPr="002B06A0" w:rsidRDefault="00225EEB" w:rsidP="00225EEB">
            <w:pPr>
              <w:ind w:right="227"/>
              <w:jc w:val="right"/>
              <w:rPr>
                <w:bCs/>
                <w:color w:val="000000"/>
                <w:sz w:val="14"/>
                <w:szCs w:val="14"/>
              </w:rPr>
            </w:pPr>
            <w:r w:rsidRPr="002B06A0">
              <w:rPr>
                <w:bCs/>
                <w:color w:val="000000"/>
                <w:sz w:val="14"/>
                <w:szCs w:val="14"/>
              </w:rPr>
              <w:t>13.76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4488DAB" w14:textId="77777777" w:rsidR="00225EEB" w:rsidRPr="002B06A0" w:rsidRDefault="00225EEB" w:rsidP="00225EEB">
            <w:pPr>
              <w:ind w:right="227"/>
              <w:jc w:val="right"/>
              <w:rPr>
                <w:bCs/>
                <w:color w:val="000000"/>
                <w:sz w:val="14"/>
                <w:szCs w:val="14"/>
              </w:rPr>
            </w:pPr>
            <w:r w:rsidRPr="002B06A0">
              <w:rPr>
                <w:bCs/>
                <w:color w:val="000000"/>
                <w:sz w:val="14"/>
                <w:szCs w:val="14"/>
              </w:rPr>
              <w:t>2.54</w:t>
            </w:r>
          </w:p>
        </w:tc>
      </w:tr>
      <w:tr w:rsidR="00225EEB" w:rsidRPr="00841586" w14:paraId="0D6E80EB" w14:textId="77777777" w:rsidTr="00225EEB">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17E7318"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2B1229C0" w14:textId="77777777" w:rsidR="00225EEB" w:rsidRPr="002B06A0" w:rsidRDefault="00225EEB" w:rsidP="00225EEB">
            <w:pPr>
              <w:ind w:right="227"/>
              <w:jc w:val="right"/>
              <w:rPr>
                <w:bCs/>
                <w:color w:val="000000"/>
                <w:sz w:val="14"/>
                <w:szCs w:val="14"/>
              </w:rPr>
            </w:pPr>
            <w:r w:rsidRPr="002B06A0">
              <w:rPr>
                <w:bCs/>
                <w:color w:val="000000"/>
                <w:sz w:val="14"/>
                <w:szCs w:val="14"/>
              </w:rPr>
              <w:t>0.76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D86FE8" w14:textId="77777777" w:rsidR="00225EEB" w:rsidRPr="002B06A0" w:rsidRDefault="00225EEB" w:rsidP="00225EEB">
            <w:pPr>
              <w:ind w:right="227"/>
              <w:jc w:val="right"/>
              <w:rPr>
                <w:bCs/>
                <w:color w:val="000000"/>
                <w:sz w:val="14"/>
                <w:szCs w:val="14"/>
              </w:rPr>
            </w:pPr>
            <w:r w:rsidRPr="002B06A0">
              <w:rPr>
                <w:bCs/>
                <w:color w:val="000000"/>
                <w:sz w:val="14"/>
                <w:szCs w:val="14"/>
              </w:rPr>
              <w:t>0.71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44A0A38" w14:textId="77777777" w:rsidR="00225EEB" w:rsidRPr="002B06A0" w:rsidRDefault="00225EEB" w:rsidP="00225EEB">
            <w:pPr>
              <w:ind w:right="227"/>
              <w:jc w:val="right"/>
              <w:rPr>
                <w:bCs/>
                <w:color w:val="000000"/>
                <w:sz w:val="14"/>
                <w:szCs w:val="14"/>
              </w:rPr>
            </w:pPr>
            <w:r w:rsidRPr="002B06A0">
              <w:rPr>
                <w:bCs/>
                <w:color w:val="000000"/>
                <w:sz w:val="14"/>
                <w:szCs w:val="14"/>
              </w:rPr>
              <w:t>-0.32</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76F8C2" w14:textId="77777777" w:rsidR="00225EEB" w:rsidRPr="002B06A0" w:rsidRDefault="00225EEB" w:rsidP="00225EEB">
            <w:pPr>
              <w:ind w:right="227"/>
              <w:jc w:val="right"/>
              <w:rPr>
                <w:bCs/>
                <w:color w:val="000000"/>
                <w:sz w:val="14"/>
                <w:szCs w:val="14"/>
              </w:rPr>
            </w:pPr>
            <w:r w:rsidRPr="002B06A0">
              <w:rPr>
                <w:bCs/>
                <w:color w:val="000000"/>
                <w:sz w:val="14"/>
                <w:szCs w:val="14"/>
              </w:rPr>
              <w:t>3.73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321268" w14:textId="77777777" w:rsidR="00225EEB" w:rsidRPr="002B06A0" w:rsidRDefault="00225EEB" w:rsidP="00225EEB">
            <w:pPr>
              <w:ind w:right="227"/>
              <w:jc w:val="right"/>
              <w:rPr>
                <w:bCs/>
                <w:color w:val="000000"/>
                <w:sz w:val="14"/>
                <w:szCs w:val="14"/>
              </w:rPr>
            </w:pPr>
            <w:r w:rsidRPr="002B06A0">
              <w:rPr>
                <w:bCs/>
                <w:color w:val="000000"/>
                <w:sz w:val="14"/>
                <w:szCs w:val="14"/>
              </w:rPr>
              <w:t>5.45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F8D0C9" w14:textId="77777777" w:rsidR="00225EEB" w:rsidRPr="002B06A0" w:rsidRDefault="00225EEB" w:rsidP="00225EEB">
            <w:pPr>
              <w:ind w:right="227"/>
              <w:jc w:val="right"/>
              <w:rPr>
                <w:bCs/>
                <w:color w:val="000000"/>
                <w:sz w:val="14"/>
                <w:szCs w:val="14"/>
              </w:rPr>
            </w:pPr>
            <w:r w:rsidRPr="002B06A0">
              <w:rPr>
                <w:bCs/>
                <w:color w:val="000000"/>
                <w:sz w:val="14"/>
                <w:szCs w:val="14"/>
              </w:rPr>
              <w:t>-2.79</w:t>
            </w:r>
          </w:p>
        </w:tc>
      </w:tr>
      <w:tr w:rsidR="00225EEB" w:rsidRPr="00841586" w14:paraId="460D5037" w14:textId="77777777" w:rsidTr="00225EEB">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3547F4D" w14:textId="77777777" w:rsidR="00225EEB" w:rsidRPr="00841586" w:rsidRDefault="00225EEB" w:rsidP="00225EEB">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3BA49533" w14:textId="77777777" w:rsidR="00225EEB" w:rsidRPr="002B06A0" w:rsidRDefault="00225EEB" w:rsidP="00225EEB">
            <w:pPr>
              <w:ind w:right="227"/>
              <w:jc w:val="right"/>
              <w:rPr>
                <w:b/>
                <w:bCs/>
                <w:color w:val="000000"/>
                <w:sz w:val="14"/>
                <w:szCs w:val="14"/>
              </w:rPr>
            </w:pPr>
            <w:r w:rsidRPr="002B06A0">
              <w:rPr>
                <w:b/>
                <w:bCs/>
                <w:color w:val="000000"/>
                <w:sz w:val="14"/>
                <w:szCs w:val="14"/>
              </w:rPr>
              <w:t>0.46</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3FC9268" w14:textId="77777777" w:rsidR="00225EEB" w:rsidRPr="002B06A0" w:rsidRDefault="00225EEB" w:rsidP="00225EEB">
            <w:pPr>
              <w:ind w:right="227"/>
              <w:jc w:val="right"/>
              <w:rPr>
                <w:b/>
                <w:bCs/>
                <w:color w:val="000000"/>
                <w:sz w:val="14"/>
                <w:szCs w:val="14"/>
              </w:rPr>
            </w:pPr>
            <w:r w:rsidRPr="002B06A0">
              <w:rPr>
                <w:b/>
                <w:bCs/>
                <w:color w:val="000000"/>
                <w:sz w:val="14"/>
                <w:szCs w:val="14"/>
              </w:rPr>
              <w:t>0.22</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B896131" w14:textId="77777777" w:rsidR="00225EEB" w:rsidRPr="002B06A0" w:rsidRDefault="00225EEB" w:rsidP="00225EEB">
            <w:pPr>
              <w:ind w:right="227"/>
              <w:jc w:val="right"/>
              <w:rPr>
                <w:b/>
                <w:bCs/>
                <w:color w:val="000000"/>
                <w:sz w:val="14"/>
                <w:szCs w:val="14"/>
              </w:rPr>
            </w:pPr>
            <w:r w:rsidRPr="002B06A0">
              <w:rPr>
                <w:b/>
                <w:bCs/>
                <w:color w:val="000000"/>
                <w:sz w:val="14"/>
                <w:szCs w:val="14"/>
              </w:rPr>
              <w:t>0.47</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0628498" w14:textId="77777777" w:rsidR="00225EEB" w:rsidRPr="002B06A0" w:rsidRDefault="00225EEB" w:rsidP="00225EEB">
            <w:pPr>
              <w:ind w:right="227"/>
              <w:jc w:val="right"/>
              <w:rPr>
                <w:b/>
                <w:bCs/>
                <w:color w:val="000000"/>
                <w:sz w:val="14"/>
                <w:szCs w:val="14"/>
              </w:rPr>
            </w:pPr>
            <w:r w:rsidRPr="002B06A0">
              <w:rPr>
                <w:b/>
                <w:bCs/>
                <w:color w:val="000000"/>
                <w:sz w:val="14"/>
                <w:szCs w:val="14"/>
              </w:rPr>
              <w:t>3.13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E85955C" w14:textId="77777777" w:rsidR="00225EEB" w:rsidRPr="002B06A0" w:rsidRDefault="00225EEB" w:rsidP="00225EEB">
            <w:pPr>
              <w:ind w:right="227"/>
              <w:jc w:val="right"/>
              <w:rPr>
                <w:b/>
                <w:bCs/>
                <w:color w:val="000000"/>
                <w:sz w:val="14"/>
                <w:szCs w:val="14"/>
              </w:rPr>
            </w:pPr>
            <w:r w:rsidRPr="002B06A0">
              <w:rPr>
                <w:b/>
                <w:bCs/>
                <w:color w:val="000000"/>
                <w:sz w:val="14"/>
                <w:szCs w:val="14"/>
              </w:rPr>
              <w:t>3.15</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5BFB19B" w14:textId="77777777" w:rsidR="00225EEB" w:rsidRPr="002B06A0" w:rsidRDefault="00225EEB" w:rsidP="00225EEB">
            <w:pPr>
              <w:ind w:right="227"/>
              <w:jc w:val="right"/>
              <w:rPr>
                <w:b/>
                <w:bCs/>
                <w:color w:val="000000"/>
                <w:sz w:val="14"/>
                <w:szCs w:val="14"/>
              </w:rPr>
            </w:pPr>
            <w:r w:rsidRPr="002B06A0">
              <w:rPr>
                <w:b/>
                <w:bCs/>
                <w:color w:val="000000"/>
                <w:sz w:val="14"/>
                <w:szCs w:val="14"/>
              </w:rPr>
              <w:t>2.99</w:t>
            </w:r>
          </w:p>
        </w:tc>
      </w:tr>
    </w:tbl>
    <w:bookmarkEnd w:id="5"/>
    <w:p w14:paraId="2DB193E6" w14:textId="77777777" w:rsidR="0054304E" w:rsidRPr="008D68CA" w:rsidRDefault="0054304E" w:rsidP="0054304E">
      <w:pPr>
        <w:autoSpaceDE w:val="0"/>
        <w:autoSpaceDN w:val="0"/>
        <w:adjustRightInd w:val="0"/>
        <w:ind w:left="283" w:right="113" w:hanging="170"/>
        <w:rPr>
          <w:sz w:val="16"/>
          <w:szCs w:val="14"/>
        </w:rPr>
      </w:pPr>
      <w:r w:rsidRPr="008D68CA">
        <w:rPr>
          <w:sz w:val="16"/>
          <w:szCs w:val="14"/>
          <w:vertAlign w:val="superscript"/>
        </w:rPr>
        <w:t>1/</w:t>
      </w:r>
      <w:r w:rsidRPr="008D68CA">
        <w:rPr>
          <w:sz w:val="16"/>
          <w:szCs w:val="14"/>
          <w:vertAlign w:val="superscript"/>
        </w:rPr>
        <w:tab/>
      </w:r>
      <w:r w:rsidRPr="008D68CA">
        <w:rPr>
          <w:sz w:val="14"/>
          <w:szCs w:val="14"/>
        </w:rPr>
        <w:t xml:space="preserve">Las variaciones anuales durante el primer año del INPP base julio </w:t>
      </w:r>
      <w:r>
        <w:rPr>
          <w:sz w:val="14"/>
          <w:szCs w:val="14"/>
        </w:rPr>
        <w:t xml:space="preserve">de </w:t>
      </w:r>
      <w:r w:rsidRPr="008D68CA">
        <w:rPr>
          <w:sz w:val="14"/>
          <w:szCs w:val="14"/>
        </w:rPr>
        <w:t>2019 se continuarán comparando con el índice de la base anterior</w:t>
      </w:r>
      <w:r>
        <w:rPr>
          <w:sz w:val="14"/>
          <w:szCs w:val="14"/>
        </w:rPr>
        <w:t>.</w:t>
      </w:r>
    </w:p>
    <w:p w14:paraId="2DE910AF" w14:textId="33300E81" w:rsidR="004D5C5B" w:rsidRDefault="004D5C5B" w:rsidP="004D5C5B">
      <w:pPr>
        <w:widowControl w:val="0"/>
        <w:autoSpaceDE w:val="0"/>
        <w:autoSpaceDN w:val="0"/>
        <w:adjustRightInd w:val="0"/>
        <w:jc w:val="center"/>
        <w:rPr>
          <w:snapToGrid w:val="0"/>
          <w:sz w:val="18"/>
          <w:szCs w:val="18"/>
        </w:rPr>
      </w:pPr>
    </w:p>
    <w:p w14:paraId="76454B67" w14:textId="369026F8" w:rsidR="004D5C5B" w:rsidRDefault="004D5C5B" w:rsidP="00420C77">
      <w:pPr>
        <w:widowControl w:val="0"/>
        <w:autoSpaceDE w:val="0"/>
        <w:autoSpaceDN w:val="0"/>
        <w:adjustRightInd w:val="0"/>
        <w:spacing w:before="360"/>
        <w:rPr>
          <w:b/>
          <w:snapToGrid w:val="0"/>
          <w:u w:val="single"/>
        </w:rPr>
      </w:pPr>
      <w:r w:rsidRPr="00875DDC">
        <w:rPr>
          <w:b/>
          <w:snapToGrid w:val="0"/>
          <w:u w:val="single"/>
        </w:rPr>
        <w:t>BIENES FINALES</w:t>
      </w:r>
    </w:p>
    <w:p w14:paraId="5B6A9285" w14:textId="129E78E5" w:rsidR="004D5C5B" w:rsidRDefault="00225EEB" w:rsidP="00126792">
      <w:pPr>
        <w:widowControl w:val="0"/>
        <w:autoSpaceDE w:val="0"/>
        <w:autoSpaceDN w:val="0"/>
        <w:adjustRightInd w:val="0"/>
        <w:spacing w:before="240"/>
        <w:rPr>
          <w:snapToGrid w:val="0"/>
        </w:rPr>
      </w:pPr>
      <w:r w:rsidRPr="00225EEB">
        <w:rPr>
          <w:snapToGrid w:val="0"/>
        </w:rPr>
        <w:t>El Índice de Mercancías y Servicios Finales, incluyendo petróleo, reportó un alza mensual de 0.22% y de 1.84% a tasa anual durante febrero del año en curso</w:t>
      </w:r>
      <w:r w:rsidR="004D5C5B">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1F81D186" w14:textId="47060D09" w:rsidR="00225EEB" w:rsidRPr="00225EEB" w:rsidRDefault="00225EEB" w:rsidP="00225EEB">
      <w:pPr>
        <w:widowControl w:val="0"/>
        <w:autoSpaceDE w:val="0"/>
        <w:autoSpaceDN w:val="0"/>
        <w:adjustRightInd w:val="0"/>
        <w:spacing w:before="240"/>
        <w:rPr>
          <w:snapToGrid w:val="0"/>
        </w:rPr>
      </w:pPr>
      <w:r w:rsidRPr="00225EEB">
        <w:rPr>
          <w:snapToGrid w:val="0"/>
        </w:rPr>
        <w:t xml:space="preserve">Por grandes grupos de actividades económicas, los precios de las Actividades Primarias crecieron 5.56% y los de las Actividades Terciarias 0.37%, mientras que los de las Actividades Secundarias </w:t>
      </w:r>
      <w:r w:rsidR="00401E08">
        <w:rPr>
          <w:snapToGrid w:val="0"/>
        </w:rPr>
        <w:t>fue</w:t>
      </w:r>
      <w:r w:rsidRPr="00225EEB">
        <w:rPr>
          <w:snapToGrid w:val="0"/>
        </w:rPr>
        <w:t xml:space="preserve">ron </w:t>
      </w:r>
      <w:r w:rsidR="00401E08">
        <w:rPr>
          <w:snapToGrid w:val="0"/>
        </w:rPr>
        <w:t xml:space="preserve">menores en </w:t>
      </w:r>
      <w:r w:rsidRPr="00225EEB">
        <w:rPr>
          <w:snapToGrid w:val="0"/>
        </w:rPr>
        <w:t>(</w:t>
      </w:r>
      <w:r>
        <w:rPr>
          <w:snapToGrid w:val="0"/>
        </w:rPr>
        <w:noBreakHyphen/>
      </w:r>
      <w:r w:rsidRPr="00225EEB">
        <w:rPr>
          <w:snapToGrid w:val="0"/>
        </w:rPr>
        <w:t>)0.12% a tasa mensual.</w:t>
      </w:r>
    </w:p>
    <w:p w14:paraId="03F260AC" w14:textId="524FC75D" w:rsidR="004D5C5B" w:rsidRDefault="00225EEB" w:rsidP="00225EEB">
      <w:pPr>
        <w:widowControl w:val="0"/>
        <w:autoSpaceDE w:val="0"/>
        <w:autoSpaceDN w:val="0"/>
        <w:adjustRightInd w:val="0"/>
        <w:spacing w:before="240"/>
        <w:rPr>
          <w:snapToGrid w:val="0"/>
        </w:rPr>
      </w:pPr>
      <w:r w:rsidRPr="00225EEB">
        <w:rPr>
          <w:snapToGrid w:val="0"/>
        </w:rPr>
        <w:t>En su comparación anual, los precios de las Actividades Primarias se incrementaron 2.95%, los de las Actividades Secundarias 0.68% y los de las Actividades Terciarias 3.86 por ciento</w:t>
      </w:r>
      <w:r w:rsidR="004D5C5B">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58A2604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854CBD9" w14:textId="77777777" w:rsidR="004D5C5B"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181D434A" w14:textId="398D0894" w:rsidR="004D5C5B"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w:t>
      </w:r>
      <w:r w:rsidRPr="00110149">
        <w:rPr>
          <w:b/>
          <w:snapToGrid w:val="0"/>
          <w:sz w:val="22"/>
          <w:szCs w:val="22"/>
        </w:rPr>
        <w:t xml:space="preserve"> </w:t>
      </w:r>
      <w:r w:rsidRPr="00875DDC">
        <w:rPr>
          <w:b/>
          <w:snapToGrid w:val="0"/>
          <w:sz w:val="22"/>
          <w:szCs w:val="22"/>
        </w:rPr>
        <w:t xml:space="preserve">DURANTE </w:t>
      </w:r>
      <w:r w:rsidR="00225EEB">
        <w:rPr>
          <w:b/>
          <w:bCs/>
          <w:color w:val="000000"/>
          <w:spacing w:val="1"/>
          <w:sz w:val="22"/>
          <w:szCs w:val="22"/>
        </w:rPr>
        <w:t>FEBR</w:t>
      </w:r>
      <w:r>
        <w:rPr>
          <w:b/>
          <w:bCs/>
          <w:color w:val="000000"/>
          <w:spacing w:val="1"/>
          <w:sz w:val="22"/>
          <w:szCs w:val="22"/>
        </w:rPr>
        <w:t>E</w:t>
      </w:r>
      <w:r w:rsidR="00061B60">
        <w:rPr>
          <w:b/>
          <w:bCs/>
          <w:color w:val="000000"/>
          <w:spacing w:val="1"/>
          <w:sz w:val="22"/>
          <w:szCs w:val="22"/>
        </w:rPr>
        <w:t>RO</w:t>
      </w:r>
    </w:p>
    <w:p w14:paraId="35AB203C" w14:textId="6CBC6AD2"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225EEB">
        <w:rPr>
          <w:snapToGrid w:val="0"/>
          <w:sz w:val="18"/>
          <w:szCs w:val="18"/>
        </w:rPr>
        <w:t>febr</w:t>
      </w:r>
      <w:r w:rsidR="00E62A7B">
        <w:rPr>
          <w:snapToGrid w:val="0"/>
          <w:sz w:val="18"/>
          <w:szCs w:val="18"/>
        </w:rPr>
        <w:t>ero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225EEB" w:rsidRPr="00A9663B" w14:paraId="5823A14F" w14:textId="77777777" w:rsidTr="00225EEB">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52DB75F" w14:textId="77777777" w:rsidR="00225EEB" w:rsidRPr="00A9663B" w:rsidRDefault="00225EEB" w:rsidP="00225EEB">
            <w:pPr>
              <w:autoSpaceDE w:val="0"/>
              <w:autoSpaceDN w:val="0"/>
              <w:adjustRightInd w:val="0"/>
              <w:ind w:left="227"/>
              <w:rPr>
                <w:bCs/>
                <w:color w:val="000000"/>
                <w:sz w:val="16"/>
                <w:szCs w:val="16"/>
                <w:lang w:eastAsia="es-MX"/>
              </w:rPr>
            </w:pPr>
            <w:bookmarkStart w:id="6"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75E0AAD3" w14:textId="77777777" w:rsidR="00225EEB" w:rsidRPr="00A9663B" w:rsidRDefault="00225EEB" w:rsidP="00225EEB">
            <w:pPr>
              <w:jc w:val="center"/>
              <w:rPr>
                <w:bCs/>
                <w:color w:val="000000"/>
                <w:sz w:val="16"/>
                <w:szCs w:val="16"/>
                <w:lang w:eastAsia="es-MX"/>
              </w:rPr>
            </w:pPr>
            <w:r w:rsidRPr="00A9663B">
              <w:rPr>
                <w:bCs/>
                <w:color w:val="000000"/>
                <w:sz w:val="16"/>
                <w:szCs w:val="16"/>
                <w:lang w:eastAsia="es-MX"/>
              </w:rPr>
              <w:t>Variación mensual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7064F79" w14:textId="77777777" w:rsidR="00225EEB" w:rsidRPr="00A9663B" w:rsidRDefault="00225EEB" w:rsidP="00225EEB">
            <w:pPr>
              <w:jc w:val="center"/>
              <w:rPr>
                <w:bCs/>
                <w:color w:val="000000"/>
                <w:sz w:val="16"/>
                <w:szCs w:val="16"/>
                <w:lang w:eastAsia="es-MX"/>
              </w:rPr>
            </w:pPr>
            <w:r w:rsidRPr="00A9663B">
              <w:rPr>
                <w:bCs/>
                <w:color w:val="000000"/>
                <w:sz w:val="16"/>
                <w:szCs w:val="16"/>
                <w:lang w:eastAsia="es-MX"/>
              </w:rPr>
              <w:t>Variación anual</w:t>
            </w:r>
            <w:r>
              <w:rPr>
                <w:bCs/>
                <w:color w:val="000000"/>
                <w:sz w:val="16"/>
                <w:szCs w:val="16"/>
                <w:lang w:eastAsia="es-MX"/>
              </w:rPr>
              <w:t xml:space="preserve"> </w:t>
            </w:r>
            <w:r w:rsidRPr="00C51721">
              <w:rPr>
                <w:bCs/>
                <w:color w:val="000000"/>
                <w:sz w:val="16"/>
                <w:szCs w:val="16"/>
                <w:vertAlign w:val="superscript"/>
                <w:lang w:eastAsia="es-MX"/>
              </w:rPr>
              <w:t>1/</w:t>
            </w:r>
          </w:p>
        </w:tc>
      </w:tr>
      <w:tr w:rsidR="00225EEB" w:rsidRPr="00A9663B" w14:paraId="4F923F1D" w14:textId="77777777" w:rsidTr="00225EEB">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69F0310F" w14:textId="77777777" w:rsidR="00225EEB" w:rsidRPr="00A9663B" w:rsidRDefault="00225EEB" w:rsidP="00225EEB">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3E96F2BA" w14:textId="77777777" w:rsidR="00225EEB" w:rsidRPr="00A9663B" w:rsidRDefault="00225EEB" w:rsidP="00225EEB">
            <w:pPr>
              <w:jc w:val="center"/>
              <w:rPr>
                <w:bCs/>
                <w:color w:val="000000"/>
                <w:sz w:val="16"/>
                <w:szCs w:val="16"/>
              </w:rPr>
            </w:pPr>
            <w:r>
              <w:rPr>
                <w:bCs/>
                <w:color w:val="000000"/>
                <w:sz w:val="16"/>
                <w:szCs w:val="16"/>
              </w:rPr>
              <w:t>2018</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FEAA116" w14:textId="77777777" w:rsidR="00225EEB" w:rsidRPr="00A9663B" w:rsidRDefault="00225EEB" w:rsidP="00225EEB">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732A8D4" w14:textId="77777777" w:rsidR="00225EEB" w:rsidRPr="00A9663B" w:rsidRDefault="00225EEB" w:rsidP="00225EEB">
            <w:pPr>
              <w:jc w:val="center"/>
              <w:rPr>
                <w:bCs/>
                <w:color w:val="000000"/>
                <w:sz w:val="16"/>
                <w:szCs w:val="16"/>
              </w:rPr>
            </w:pPr>
            <w:r>
              <w:rPr>
                <w:bCs/>
                <w:color w:val="000000"/>
                <w:sz w:val="16"/>
                <w:szCs w:val="16"/>
              </w:rPr>
              <w:t>2020</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D838CB4" w14:textId="77777777" w:rsidR="00225EEB" w:rsidRPr="00A9663B" w:rsidRDefault="00225EEB" w:rsidP="00225EEB">
            <w:pPr>
              <w:jc w:val="center"/>
              <w:rPr>
                <w:bCs/>
                <w:color w:val="000000"/>
                <w:sz w:val="16"/>
                <w:szCs w:val="16"/>
              </w:rPr>
            </w:pPr>
            <w:r>
              <w:rPr>
                <w:bCs/>
                <w:color w:val="000000"/>
                <w:sz w:val="16"/>
                <w:szCs w:val="16"/>
              </w:rPr>
              <w:t>2018</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AB9BE5E" w14:textId="77777777" w:rsidR="00225EEB" w:rsidRPr="00A9663B" w:rsidRDefault="00225EEB" w:rsidP="00225EEB">
            <w:pPr>
              <w:jc w:val="center"/>
              <w:rPr>
                <w:bCs/>
                <w:color w:val="000000"/>
                <w:sz w:val="16"/>
                <w:szCs w:val="16"/>
              </w:rPr>
            </w:pPr>
            <w:r>
              <w:rPr>
                <w:bCs/>
                <w:color w:val="000000"/>
                <w:sz w:val="16"/>
                <w:szCs w:val="16"/>
              </w:rPr>
              <w:t>2019</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2C8E1FB" w14:textId="77777777" w:rsidR="00225EEB" w:rsidRPr="00A9663B" w:rsidRDefault="00225EEB" w:rsidP="00225EEB">
            <w:pPr>
              <w:jc w:val="center"/>
              <w:rPr>
                <w:bCs/>
                <w:color w:val="000000"/>
                <w:sz w:val="16"/>
                <w:szCs w:val="16"/>
              </w:rPr>
            </w:pPr>
            <w:r>
              <w:rPr>
                <w:bCs/>
                <w:color w:val="000000"/>
                <w:sz w:val="16"/>
                <w:szCs w:val="16"/>
              </w:rPr>
              <w:t>2020</w:t>
            </w:r>
          </w:p>
        </w:tc>
      </w:tr>
      <w:tr w:rsidR="00225EEB" w:rsidRPr="00625A20" w14:paraId="3AAD6647" w14:textId="77777777" w:rsidTr="00225EEB">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88C08B6" w14:textId="77777777" w:rsidR="00225EEB" w:rsidRPr="00841586" w:rsidRDefault="00225EEB" w:rsidP="00225EEB">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6F370B66" w14:textId="77777777" w:rsidR="00225EEB" w:rsidRPr="008E1860" w:rsidRDefault="00225EEB" w:rsidP="00225EEB">
            <w:pPr>
              <w:ind w:right="227"/>
              <w:jc w:val="right"/>
              <w:rPr>
                <w:b/>
                <w:bCs/>
                <w:color w:val="000000"/>
                <w:sz w:val="14"/>
                <w:szCs w:val="14"/>
              </w:rPr>
            </w:pPr>
            <w:r w:rsidRPr="008E1860">
              <w:rPr>
                <w:b/>
                <w:bCs/>
                <w:color w:val="000000"/>
                <w:sz w:val="14"/>
                <w:szCs w:val="14"/>
              </w:rPr>
              <w:t>0.08</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DBD4DBA" w14:textId="77777777" w:rsidR="00225EEB" w:rsidRPr="008E1860" w:rsidRDefault="00225EEB" w:rsidP="00225EEB">
            <w:pPr>
              <w:ind w:right="227"/>
              <w:jc w:val="right"/>
              <w:rPr>
                <w:b/>
                <w:bCs/>
                <w:color w:val="000000"/>
                <w:sz w:val="14"/>
                <w:szCs w:val="14"/>
              </w:rPr>
            </w:pPr>
            <w:r w:rsidRPr="008E1860">
              <w:rPr>
                <w:b/>
                <w:bCs/>
                <w:color w:val="000000"/>
                <w:sz w:val="14"/>
                <w:szCs w:val="14"/>
              </w:rPr>
              <w:t>0.22</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25BB435" w14:textId="77777777" w:rsidR="00225EEB" w:rsidRPr="008E1860" w:rsidRDefault="00225EEB" w:rsidP="00225EEB">
            <w:pPr>
              <w:ind w:right="227"/>
              <w:jc w:val="right"/>
              <w:rPr>
                <w:b/>
                <w:bCs/>
                <w:color w:val="000000"/>
                <w:sz w:val="14"/>
                <w:szCs w:val="14"/>
              </w:rPr>
            </w:pPr>
            <w:r w:rsidRPr="008E1860">
              <w:rPr>
                <w:b/>
                <w:bCs/>
                <w:color w:val="000000"/>
                <w:sz w:val="14"/>
                <w:szCs w:val="14"/>
              </w:rPr>
              <w:t>0.22</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231D34B7" w14:textId="77777777" w:rsidR="00225EEB" w:rsidRPr="008E1860" w:rsidRDefault="00225EEB" w:rsidP="00225EEB">
            <w:pPr>
              <w:ind w:right="227"/>
              <w:jc w:val="right"/>
              <w:rPr>
                <w:b/>
                <w:bCs/>
                <w:color w:val="000000"/>
                <w:sz w:val="14"/>
                <w:szCs w:val="14"/>
              </w:rPr>
            </w:pPr>
            <w:r w:rsidRPr="008E1860">
              <w:rPr>
                <w:b/>
                <w:bCs/>
                <w:color w:val="000000"/>
                <w:sz w:val="14"/>
                <w:szCs w:val="14"/>
              </w:rPr>
              <w:t>3.37</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27C13B1" w14:textId="77777777" w:rsidR="00225EEB" w:rsidRPr="008E1860" w:rsidRDefault="00225EEB" w:rsidP="00225EEB">
            <w:pPr>
              <w:ind w:right="227"/>
              <w:jc w:val="right"/>
              <w:rPr>
                <w:b/>
                <w:bCs/>
                <w:color w:val="000000"/>
                <w:sz w:val="14"/>
                <w:szCs w:val="14"/>
              </w:rPr>
            </w:pPr>
            <w:r w:rsidRPr="008E1860">
              <w:rPr>
                <w:b/>
                <w:bCs/>
                <w:color w:val="000000"/>
                <w:sz w:val="14"/>
                <w:szCs w:val="14"/>
              </w:rPr>
              <w:t>4.50</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D0C4484" w14:textId="77777777" w:rsidR="00225EEB" w:rsidRPr="008E1860" w:rsidRDefault="00225EEB" w:rsidP="00225EEB">
            <w:pPr>
              <w:ind w:right="227"/>
              <w:jc w:val="right"/>
              <w:rPr>
                <w:b/>
                <w:bCs/>
                <w:color w:val="000000"/>
                <w:sz w:val="14"/>
                <w:szCs w:val="14"/>
              </w:rPr>
            </w:pPr>
            <w:r w:rsidRPr="008E1860">
              <w:rPr>
                <w:b/>
                <w:bCs/>
                <w:color w:val="000000"/>
                <w:sz w:val="14"/>
                <w:szCs w:val="14"/>
              </w:rPr>
              <w:t>1.84</w:t>
            </w:r>
          </w:p>
        </w:tc>
      </w:tr>
      <w:tr w:rsidR="00225EEB" w:rsidRPr="00841586" w14:paraId="7125CCD1" w14:textId="77777777" w:rsidTr="00225EEB">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93981F8" w14:textId="77777777" w:rsidR="00225EEB" w:rsidRPr="00841586" w:rsidRDefault="00225EEB" w:rsidP="00225EEB">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1E3BC835" w14:textId="77777777" w:rsidR="00225EEB" w:rsidRPr="008E1860" w:rsidRDefault="00225EEB" w:rsidP="00225EEB">
            <w:pPr>
              <w:ind w:right="227"/>
              <w:jc w:val="right"/>
              <w:rPr>
                <w:b/>
                <w:bCs/>
                <w:color w:val="000000"/>
                <w:sz w:val="14"/>
                <w:szCs w:val="14"/>
              </w:rPr>
            </w:pPr>
            <w:r w:rsidRPr="008E1860">
              <w:rPr>
                <w:b/>
                <w:bCs/>
                <w:color w:val="000000"/>
                <w:sz w:val="14"/>
                <w:szCs w:val="14"/>
              </w:rPr>
              <w:t>0.77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67C6D2C" w14:textId="77777777" w:rsidR="00225EEB" w:rsidRPr="008E1860" w:rsidRDefault="00225EEB" w:rsidP="00225EEB">
            <w:pPr>
              <w:ind w:right="227"/>
              <w:jc w:val="right"/>
              <w:rPr>
                <w:b/>
                <w:bCs/>
                <w:color w:val="000000"/>
                <w:sz w:val="14"/>
                <w:szCs w:val="14"/>
              </w:rPr>
            </w:pPr>
            <w:r w:rsidRPr="008E1860">
              <w:rPr>
                <w:b/>
                <w:bCs/>
                <w:color w:val="000000"/>
                <w:sz w:val="14"/>
                <w:szCs w:val="14"/>
              </w:rPr>
              <w:t>-3.87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E751B9C" w14:textId="77777777" w:rsidR="00225EEB" w:rsidRPr="008E1860" w:rsidRDefault="00225EEB" w:rsidP="00225EEB">
            <w:pPr>
              <w:ind w:right="227"/>
              <w:jc w:val="right"/>
              <w:rPr>
                <w:b/>
                <w:bCs/>
                <w:color w:val="000000"/>
                <w:sz w:val="14"/>
                <w:szCs w:val="14"/>
              </w:rPr>
            </w:pPr>
            <w:r w:rsidRPr="008E1860">
              <w:rPr>
                <w:b/>
                <w:bCs/>
                <w:color w:val="000000"/>
                <w:sz w:val="14"/>
                <w:szCs w:val="14"/>
              </w:rPr>
              <w:t>5.56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B0F56F" w14:textId="77777777" w:rsidR="00225EEB" w:rsidRPr="008E1860" w:rsidRDefault="00225EEB" w:rsidP="00225EEB">
            <w:pPr>
              <w:ind w:right="227"/>
              <w:jc w:val="right"/>
              <w:rPr>
                <w:b/>
                <w:bCs/>
                <w:color w:val="000000"/>
                <w:sz w:val="14"/>
                <w:szCs w:val="14"/>
              </w:rPr>
            </w:pPr>
            <w:r w:rsidRPr="008E1860">
              <w:rPr>
                <w:b/>
                <w:bCs/>
                <w:color w:val="000000"/>
                <w:sz w:val="14"/>
                <w:szCs w:val="14"/>
              </w:rPr>
              <w:t>10.51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8C45AEB" w14:textId="77777777" w:rsidR="00225EEB" w:rsidRPr="008E1860" w:rsidRDefault="00225EEB" w:rsidP="00225EEB">
            <w:pPr>
              <w:ind w:right="227"/>
              <w:jc w:val="right"/>
              <w:rPr>
                <w:b/>
                <w:bCs/>
                <w:color w:val="000000"/>
                <w:sz w:val="14"/>
                <w:szCs w:val="14"/>
              </w:rPr>
            </w:pPr>
            <w:r w:rsidRPr="008E1860">
              <w:rPr>
                <w:b/>
                <w:bCs/>
                <w:color w:val="000000"/>
                <w:sz w:val="14"/>
                <w:szCs w:val="14"/>
              </w:rPr>
              <w:t>-0.87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E0E107" w14:textId="77777777" w:rsidR="00225EEB" w:rsidRPr="008E1860" w:rsidRDefault="00225EEB" w:rsidP="00225EEB">
            <w:pPr>
              <w:ind w:right="227"/>
              <w:jc w:val="right"/>
              <w:rPr>
                <w:b/>
                <w:bCs/>
                <w:color w:val="000000"/>
                <w:sz w:val="14"/>
                <w:szCs w:val="14"/>
              </w:rPr>
            </w:pPr>
            <w:r w:rsidRPr="008E1860">
              <w:rPr>
                <w:b/>
                <w:bCs/>
                <w:color w:val="000000"/>
                <w:sz w:val="14"/>
                <w:szCs w:val="14"/>
              </w:rPr>
              <w:t>2.95</w:t>
            </w:r>
          </w:p>
        </w:tc>
      </w:tr>
      <w:tr w:rsidR="00225EEB" w:rsidRPr="00841586" w14:paraId="2CA60A26" w14:textId="77777777" w:rsidTr="00225EEB">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2F50C1" w14:textId="77777777" w:rsidR="00225EEB" w:rsidRPr="00841586" w:rsidRDefault="00225EEB" w:rsidP="00225EEB">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7C39EC6D" w14:textId="77777777" w:rsidR="00225EEB" w:rsidRPr="008E1860" w:rsidRDefault="00225EEB" w:rsidP="00225EEB">
            <w:pPr>
              <w:ind w:right="227"/>
              <w:jc w:val="right"/>
              <w:rPr>
                <w:b/>
                <w:bCs/>
                <w:color w:val="000000"/>
                <w:sz w:val="14"/>
                <w:szCs w:val="14"/>
              </w:rPr>
            </w:pPr>
            <w:r w:rsidRPr="008E1860">
              <w:rPr>
                <w:b/>
                <w:bCs/>
                <w:color w:val="000000"/>
                <w:sz w:val="14"/>
                <w:szCs w:val="14"/>
              </w:rPr>
              <w:t>-0.23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5301C84" w14:textId="77777777" w:rsidR="00225EEB" w:rsidRPr="008E1860" w:rsidRDefault="00225EEB" w:rsidP="00225EEB">
            <w:pPr>
              <w:ind w:right="227"/>
              <w:jc w:val="right"/>
              <w:rPr>
                <w:b/>
                <w:bCs/>
                <w:color w:val="000000"/>
                <w:sz w:val="14"/>
                <w:szCs w:val="14"/>
              </w:rPr>
            </w:pPr>
            <w:r w:rsidRPr="008E1860">
              <w:rPr>
                <w:b/>
                <w:bCs/>
                <w:color w:val="000000"/>
                <w:sz w:val="14"/>
                <w:szCs w:val="14"/>
              </w:rPr>
              <w:t>0.44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C2C4CD" w14:textId="77777777" w:rsidR="00225EEB" w:rsidRPr="008E1860" w:rsidRDefault="00225EEB" w:rsidP="00225EEB">
            <w:pPr>
              <w:ind w:right="227"/>
              <w:jc w:val="right"/>
              <w:rPr>
                <w:b/>
                <w:bCs/>
                <w:color w:val="000000"/>
                <w:sz w:val="14"/>
                <w:szCs w:val="14"/>
              </w:rPr>
            </w:pPr>
            <w:r w:rsidRPr="008E1860">
              <w:rPr>
                <w:b/>
                <w:bCs/>
                <w:color w:val="000000"/>
                <w:sz w:val="14"/>
                <w:szCs w:val="14"/>
              </w:rPr>
              <w:t>-0.12</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04C5F1" w14:textId="77777777" w:rsidR="00225EEB" w:rsidRPr="008E1860" w:rsidRDefault="00225EEB" w:rsidP="00225EEB">
            <w:pPr>
              <w:ind w:right="227"/>
              <w:jc w:val="right"/>
              <w:rPr>
                <w:b/>
                <w:bCs/>
                <w:color w:val="000000"/>
                <w:sz w:val="14"/>
                <w:szCs w:val="14"/>
              </w:rPr>
            </w:pPr>
            <w:r w:rsidRPr="008E1860">
              <w:rPr>
                <w:b/>
                <w:bCs/>
                <w:color w:val="000000"/>
                <w:sz w:val="14"/>
                <w:szCs w:val="14"/>
              </w:rPr>
              <w:t>2.75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2A5D62" w14:textId="77777777" w:rsidR="00225EEB" w:rsidRPr="008E1860" w:rsidRDefault="00225EEB" w:rsidP="00225EEB">
            <w:pPr>
              <w:ind w:right="227"/>
              <w:jc w:val="right"/>
              <w:rPr>
                <w:b/>
                <w:bCs/>
                <w:color w:val="000000"/>
                <w:sz w:val="14"/>
                <w:szCs w:val="14"/>
              </w:rPr>
            </w:pPr>
            <w:r w:rsidRPr="008E1860">
              <w:rPr>
                <w:b/>
                <w:bCs/>
                <w:color w:val="000000"/>
                <w:sz w:val="14"/>
                <w:szCs w:val="14"/>
              </w:rPr>
              <w:t>5.02</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4D403C" w14:textId="77777777" w:rsidR="00225EEB" w:rsidRPr="008E1860" w:rsidRDefault="00225EEB" w:rsidP="00225EEB">
            <w:pPr>
              <w:ind w:right="227"/>
              <w:jc w:val="right"/>
              <w:rPr>
                <w:b/>
                <w:bCs/>
                <w:color w:val="000000"/>
                <w:sz w:val="14"/>
                <w:szCs w:val="14"/>
              </w:rPr>
            </w:pPr>
            <w:r w:rsidRPr="008E1860">
              <w:rPr>
                <w:b/>
                <w:bCs/>
                <w:color w:val="000000"/>
                <w:sz w:val="14"/>
                <w:szCs w:val="14"/>
              </w:rPr>
              <w:t>0.68</w:t>
            </w:r>
          </w:p>
        </w:tc>
      </w:tr>
      <w:tr w:rsidR="00225EEB" w:rsidRPr="00841586" w14:paraId="4230D93C" w14:textId="77777777" w:rsidTr="00225EEB">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8E0312A"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4BCAFE89" w14:textId="77777777" w:rsidR="00225EEB" w:rsidRPr="008E1860" w:rsidRDefault="00225EEB" w:rsidP="00225EEB">
            <w:pPr>
              <w:ind w:right="227"/>
              <w:jc w:val="right"/>
              <w:rPr>
                <w:bCs/>
                <w:color w:val="000000"/>
                <w:sz w:val="14"/>
                <w:szCs w:val="14"/>
              </w:rPr>
            </w:pPr>
            <w:r w:rsidRPr="008E1860">
              <w:rPr>
                <w:bCs/>
                <w:color w:val="000000"/>
                <w:sz w:val="14"/>
                <w:szCs w:val="14"/>
              </w:rPr>
              <w:t>-3.72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93A55C" w14:textId="77777777" w:rsidR="00225EEB" w:rsidRPr="008E1860" w:rsidRDefault="00225EEB" w:rsidP="00225EEB">
            <w:pPr>
              <w:ind w:right="227"/>
              <w:jc w:val="right"/>
              <w:rPr>
                <w:bCs/>
                <w:color w:val="000000"/>
                <w:sz w:val="14"/>
                <w:szCs w:val="14"/>
              </w:rPr>
            </w:pPr>
            <w:r w:rsidRPr="008E1860">
              <w:rPr>
                <w:bCs/>
                <w:color w:val="000000"/>
                <w:sz w:val="14"/>
                <w:szCs w:val="14"/>
              </w:rPr>
              <w:t>3.76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3BA139" w14:textId="77777777" w:rsidR="00225EEB" w:rsidRPr="008E1860" w:rsidRDefault="00225EEB" w:rsidP="00225EEB">
            <w:pPr>
              <w:ind w:right="227"/>
              <w:jc w:val="right"/>
              <w:rPr>
                <w:bCs/>
                <w:color w:val="000000"/>
                <w:sz w:val="14"/>
                <w:szCs w:val="14"/>
              </w:rPr>
            </w:pPr>
            <w:r w:rsidRPr="008E1860">
              <w:rPr>
                <w:bCs/>
                <w:color w:val="000000"/>
                <w:sz w:val="14"/>
                <w:szCs w:val="14"/>
              </w:rPr>
              <w:t>-7.86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6A4E9A4" w14:textId="77777777" w:rsidR="00225EEB" w:rsidRPr="008E1860" w:rsidRDefault="00225EEB" w:rsidP="00225EEB">
            <w:pPr>
              <w:ind w:right="227"/>
              <w:jc w:val="right"/>
              <w:rPr>
                <w:bCs/>
                <w:color w:val="000000"/>
                <w:sz w:val="14"/>
                <w:szCs w:val="14"/>
              </w:rPr>
            </w:pPr>
            <w:r w:rsidRPr="008E1860">
              <w:rPr>
                <w:bCs/>
                <w:color w:val="000000"/>
                <w:sz w:val="14"/>
                <w:szCs w:val="14"/>
              </w:rPr>
              <w:t>7.57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A3FB91" w14:textId="77777777" w:rsidR="00225EEB" w:rsidRPr="008E1860" w:rsidRDefault="00225EEB" w:rsidP="00225EEB">
            <w:pPr>
              <w:ind w:right="227"/>
              <w:jc w:val="right"/>
              <w:rPr>
                <w:bCs/>
                <w:color w:val="000000"/>
                <w:sz w:val="14"/>
                <w:szCs w:val="14"/>
              </w:rPr>
            </w:pPr>
            <w:r w:rsidRPr="008E1860">
              <w:rPr>
                <w:bCs/>
                <w:color w:val="000000"/>
                <w:sz w:val="14"/>
                <w:szCs w:val="14"/>
              </w:rPr>
              <w:t>3.20</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F6ABFC" w14:textId="77777777" w:rsidR="00225EEB" w:rsidRPr="008E1860" w:rsidRDefault="00225EEB" w:rsidP="00225EEB">
            <w:pPr>
              <w:ind w:right="227"/>
              <w:jc w:val="right"/>
              <w:rPr>
                <w:bCs/>
                <w:color w:val="000000"/>
                <w:sz w:val="14"/>
                <w:szCs w:val="14"/>
              </w:rPr>
            </w:pPr>
            <w:r w:rsidRPr="008E1860">
              <w:rPr>
                <w:bCs/>
                <w:color w:val="000000"/>
                <w:sz w:val="14"/>
                <w:szCs w:val="14"/>
              </w:rPr>
              <w:t>-13.04</w:t>
            </w:r>
          </w:p>
        </w:tc>
      </w:tr>
      <w:tr w:rsidR="00225EEB" w:rsidRPr="00841586" w14:paraId="4CCB1E97" w14:textId="77777777" w:rsidTr="00225EEB">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70AA1D8"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1DEFCD83" w14:textId="77777777" w:rsidR="00225EEB" w:rsidRPr="008E1860" w:rsidRDefault="00225EEB" w:rsidP="00225EEB">
            <w:pPr>
              <w:ind w:right="227"/>
              <w:jc w:val="right"/>
              <w:rPr>
                <w:bCs/>
                <w:color w:val="000000"/>
                <w:sz w:val="14"/>
                <w:szCs w:val="14"/>
              </w:rPr>
            </w:pPr>
            <w:r w:rsidRPr="008E1860">
              <w:rPr>
                <w:bCs/>
                <w:color w:val="000000"/>
                <w:sz w:val="14"/>
                <w:szCs w:val="14"/>
              </w:rPr>
              <w:t>0.07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3ABDF9A" w14:textId="77777777" w:rsidR="00225EEB" w:rsidRPr="008E1860" w:rsidRDefault="00225EEB" w:rsidP="00225EEB">
            <w:pPr>
              <w:ind w:right="227"/>
              <w:jc w:val="right"/>
              <w:rPr>
                <w:bCs/>
                <w:color w:val="000000"/>
                <w:sz w:val="14"/>
                <w:szCs w:val="14"/>
              </w:rPr>
            </w:pPr>
            <w:r w:rsidRPr="008E1860">
              <w:rPr>
                <w:bCs/>
                <w:color w:val="000000"/>
                <w:sz w:val="14"/>
                <w:szCs w:val="14"/>
              </w:rPr>
              <w:t>-0.34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3ADD596" w14:textId="77777777" w:rsidR="00225EEB" w:rsidRPr="008E1860" w:rsidRDefault="00225EEB" w:rsidP="00225EEB">
            <w:pPr>
              <w:ind w:right="227"/>
              <w:jc w:val="right"/>
              <w:rPr>
                <w:bCs/>
                <w:color w:val="000000"/>
                <w:sz w:val="14"/>
                <w:szCs w:val="14"/>
              </w:rPr>
            </w:pPr>
            <w:r w:rsidRPr="008E1860">
              <w:rPr>
                <w:bCs/>
                <w:color w:val="000000"/>
                <w:sz w:val="14"/>
                <w:szCs w:val="14"/>
              </w:rPr>
              <w:t>0.05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EE7AFA2" w14:textId="77777777" w:rsidR="00225EEB" w:rsidRPr="008E1860" w:rsidRDefault="00225EEB" w:rsidP="00225EEB">
            <w:pPr>
              <w:ind w:right="227"/>
              <w:jc w:val="right"/>
              <w:rPr>
                <w:bCs/>
                <w:color w:val="000000"/>
                <w:sz w:val="14"/>
                <w:szCs w:val="14"/>
              </w:rPr>
            </w:pPr>
            <w:r w:rsidRPr="008E1860">
              <w:rPr>
                <w:bCs/>
                <w:color w:val="000000"/>
                <w:sz w:val="14"/>
                <w:szCs w:val="14"/>
              </w:rPr>
              <w:t>2.25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49D962" w14:textId="77777777" w:rsidR="00225EEB" w:rsidRPr="008E1860" w:rsidRDefault="00225EEB" w:rsidP="00225EEB">
            <w:pPr>
              <w:ind w:right="227"/>
              <w:jc w:val="right"/>
              <w:rPr>
                <w:bCs/>
                <w:color w:val="000000"/>
                <w:sz w:val="14"/>
                <w:szCs w:val="14"/>
              </w:rPr>
            </w:pPr>
            <w:r w:rsidRPr="008E1860">
              <w:rPr>
                <w:bCs/>
                <w:color w:val="000000"/>
                <w:sz w:val="14"/>
                <w:szCs w:val="14"/>
              </w:rPr>
              <w:t>1.71</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253E12" w14:textId="77777777" w:rsidR="00225EEB" w:rsidRPr="008E1860" w:rsidRDefault="00225EEB" w:rsidP="00225EEB">
            <w:pPr>
              <w:ind w:right="227"/>
              <w:jc w:val="right"/>
              <w:rPr>
                <w:bCs/>
                <w:color w:val="000000"/>
                <w:sz w:val="14"/>
                <w:szCs w:val="14"/>
              </w:rPr>
            </w:pPr>
            <w:r w:rsidRPr="008E1860">
              <w:rPr>
                <w:bCs/>
                <w:color w:val="000000"/>
                <w:sz w:val="14"/>
                <w:szCs w:val="14"/>
              </w:rPr>
              <w:t>6.84</w:t>
            </w:r>
          </w:p>
        </w:tc>
      </w:tr>
      <w:tr w:rsidR="00225EEB" w:rsidRPr="00841586" w14:paraId="37227C7A" w14:textId="77777777" w:rsidTr="00225EEB">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27616FD5"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600C0436" w14:textId="77777777" w:rsidR="00225EEB" w:rsidRPr="008E1860" w:rsidRDefault="00225EEB" w:rsidP="00225EEB">
            <w:pPr>
              <w:ind w:right="227"/>
              <w:jc w:val="right"/>
              <w:rPr>
                <w:bCs/>
                <w:color w:val="000000"/>
                <w:sz w:val="14"/>
                <w:szCs w:val="14"/>
              </w:rPr>
            </w:pPr>
            <w:r w:rsidRPr="008E1860">
              <w:rPr>
                <w:bCs/>
                <w:color w:val="000000"/>
                <w:sz w:val="14"/>
                <w:szCs w:val="14"/>
              </w:rPr>
              <w:t>1.15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0A708C" w14:textId="77777777" w:rsidR="00225EEB" w:rsidRPr="008E1860" w:rsidRDefault="00225EEB" w:rsidP="00225EEB">
            <w:pPr>
              <w:ind w:right="227"/>
              <w:jc w:val="right"/>
              <w:rPr>
                <w:bCs/>
                <w:color w:val="000000"/>
                <w:sz w:val="14"/>
                <w:szCs w:val="14"/>
              </w:rPr>
            </w:pPr>
            <w:r w:rsidRPr="008E1860">
              <w:rPr>
                <w:bCs/>
                <w:color w:val="000000"/>
                <w:sz w:val="14"/>
                <w:szCs w:val="14"/>
              </w:rPr>
              <w:t>0.15</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8C7809" w14:textId="77777777" w:rsidR="00225EEB" w:rsidRPr="008E1860" w:rsidRDefault="00225EEB" w:rsidP="00225EEB">
            <w:pPr>
              <w:ind w:right="227"/>
              <w:jc w:val="right"/>
              <w:rPr>
                <w:bCs/>
                <w:color w:val="000000"/>
                <w:sz w:val="14"/>
                <w:szCs w:val="14"/>
              </w:rPr>
            </w:pPr>
            <w:r w:rsidRPr="008E1860">
              <w:rPr>
                <w:bCs/>
                <w:color w:val="000000"/>
                <w:sz w:val="14"/>
                <w:szCs w:val="14"/>
              </w:rPr>
              <w:t>0.87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EE5CE8E" w14:textId="77777777" w:rsidR="00225EEB" w:rsidRPr="008E1860" w:rsidRDefault="00225EEB" w:rsidP="00225EEB">
            <w:pPr>
              <w:ind w:right="227"/>
              <w:jc w:val="right"/>
              <w:rPr>
                <w:bCs/>
                <w:color w:val="000000"/>
                <w:sz w:val="14"/>
                <w:szCs w:val="14"/>
              </w:rPr>
            </w:pPr>
            <w:r w:rsidRPr="008E1860">
              <w:rPr>
                <w:bCs/>
                <w:color w:val="000000"/>
                <w:sz w:val="14"/>
                <w:szCs w:val="14"/>
              </w:rPr>
              <w:t>5.87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31FCE5" w14:textId="77777777" w:rsidR="00225EEB" w:rsidRPr="008E1860" w:rsidRDefault="00225EEB" w:rsidP="00225EEB">
            <w:pPr>
              <w:ind w:right="227"/>
              <w:jc w:val="right"/>
              <w:rPr>
                <w:bCs/>
                <w:color w:val="000000"/>
                <w:sz w:val="14"/>
                <w:szCs w:val="14"/>
              </w:rPr>
            </w:pPr>
            <w:r w:rsidRPr="008E1860">
              <w:rPr>
                <w:bCs/>
                <w:color w:val="000000"/>
                <w:sz w:val="14"/>
                <w:szCs w:val="14"/>
              </w:rPr>
              <w:t>7.47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BFB8D4" w14:textId="77777777" w:rsidR="00225EEB" w:rsidRPr="008E1860" w:rsidRDefault="00225EEB" w:rsidP="00225EEB">
            <w:pPr>
              <w:ind w:right="227"/>
              <w:jc w:val="right"/>
              <w:rPr>
                <w:bCs/>
                <w:color w:val="000000"/>
                <w:sz w:val="14"/>
                <w:szCs w:val="14"/>
              </w:rPr>
            </w:pPr>
            <w:r w:rsidRPr="008E1860">
              <w:rPr>
                <w:bCs/>
                <w:color w:val="000000"/>
                <w:sz w:val="14"/>
                <w:szCs w:val="14"/>
              </w:rPr>
              <w:t>0.34</w:t>
            </w:r>
          </w:p>
        </w:tc>
      </w:tr>
      <w:tr w:rsidR="00225EEB" w:rsidRPr="00841586" w14:paraId="295A9EFE" w14:textId="77777777" w:rsidTr="00225EEB">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10E1788" w14:textId="77777777" w:rsidR="00225EEB" w:rsidRPr="00841586" w:rsidRDefault="00225EEB" w:rsidP="00225EEB">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54A9939F" w14:textId="77777777" w:rsidR="00225EEB" w:rsidRPr="008E1860" w:rsidRDefault="00225EEB" w:rsidP="00225EEB">
            <w:pPr>
              <w:ind w:right="227"/>
              <w:jc w:val="right"/>
              <w:rPr>
                <w:bCs/>
                <w:color w:val="000000"/>
                <w:sz w:val="14"/>
                <w:szCs w:val="14"/>
              </w:rPr>
            </w:pPr>
            <w:r w:rsidRPr="008E1860">
              <w:rPr>
                <w:bCs/>
                <w:color w:val="000000"/>
                <w:sz w:val="14"/>
                <w:szCs w:val="14"/>
              </w:rPr>
              <w:t>-0.15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912517" w14:textId="77777777" w:rsidR="00225EEB" w:rsidRPr="008E1860" w:rsidRDefault="00225EEB" w:rsidP="00225EEB">
            <w:pPr>
              <w:ind w:right="227"/>
              <w:jc w:val="right"/>
              <w:rPr>
                <w:bCs/>
                <w:color w:val="000000"/>
                <w:sz w:val="14"/>
                <w:szCs w:val="14"/>
              </w:rPr>
            </w:pPr>
            <w:r w:rsidRPr="008E1860">
              <w:rPr>
                <w:bCs/>
                <w:color w:val="000000"/>
                <w:sz w:val="14"/>
                <w:szCs w:val="14"/>
              </w:rPr>
              <w:t>0.16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488D2A" w14:textId="77777777" w:rsidR="00225EEB" w:rsidRPr="008E1860" w:rsidRDefault="00225EEB" w:rsidP="00225EEB">
            <w:pPr>
              <w:ind w:right="227"/>
              <w:jc w:val="right"/>
              <w:rPr>
                <w:bCs/>
                <w:color w:val="000000"/>
                <w:sz w:val="14"/>
                <w:szCs w:val="14"/>
              </w:rPr>
            </w:pPr>
            <w:r w:rsidRPr="008E1860">
              <w:rPr>
                <w:bCs/>
                <w:color w:val="000000"/>
                <w:sz w:val="14"/>
                <w:szCs w:val="14"/>
              </w:rPr>
              <w:t>0.08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15C6BBC" w14:textId="77777777" w:rsidR="00225EEB" w:rsidRPr="008E1860" w:rsidRDefault="00225EEB" w:rsidP="00225EEB">
            <w:pPr>
              <w:ind w:right="227"/>
              <w:jc w:val="right"/>
              <w:rPr>
                <w:bCs/>
                <w:color w:val="000000"/>
                <w:sz w:val="14"/>
                <w:szCs w:val="14"/>
              </w:rPr>
            </w:pPr>
            <w:r w:rsidRPr="008E1860">
              <w:rPr>
                <w:bCs/>
                <w:color w:val="000000"/>
                <w:sz w:val="14"/>
                <w:szCs w:val="14"/>
              </w:rPr>
              <w:t>1.46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9DDF37" w14:textId="77777777" w:rsidR="00225EEB" w:rsidRPr="008E1860" w:rsidRDefault="00225EEB" w:rsidP="00225EEB">
            <w:pPr>
              <w:ind w:right="227"/>
              <w:jc w:val="right"/>
              <w:rPr>
                <w:bCs/>
                <w:color w:val="000000"/>
                <w:sz w:val="14"/>
                <w:szCs w:val="14"/>
              </w:rPr>
            </w:pPr>
            <w:r w:rsidRPr="008E1860">
              <w:rPr>
                <w:bCs/>
                <w:color w:val="000000"/>
                <w:sz w:val="14"/>
                <w:szCs w:val="14"/>
              </w:rPr>
              <w:t>4.68</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892B9C" w14:textId="77777777" w:rsidR="00225EEB" w:rsidRPr="008E1860" w:rsidRDefault="00225EEB" w:rsidP="00225EEB">
            <w:pPr>
              <w:ind w:right="227"/>
              <w:jc w:val="right"/>
              <w:rPr>
                <w:bCs/>
                <w:color w:val="000000"/>
                <w:sz w:val="14"/>
                <w:szCs w:val="14"/>
              </w:rPr>
            </w:pPr>
            <w:r w:rsidRPr="008E1860">
              <w:rPr>
                <w:bCs/>
                <w:color w:val="000000"/>
                <w:sz w:val="14"/>
                <w:szCs w:val="14"/>
              </w:rPr>
              <w:t>1.74</w:t>
            </w:r>
          </w:p>
        </w:tc>
      </w:tr>
      <w:tr w:rsidR="00225EEB" w:rsidRPr="00841586" w14:paraId="1017AB1B" w14:textId="77777777" w:rsidTr="00225EEB">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4924D45" w14:textId="77777777" w:rsidR="00225EEB" w:rsidRPr="00841586" w:rsidRDefault="00225EEB" w:rsidP="00225EEB">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4BAB0A9F" w14:textId="77777777" w:rsidR="00225EEB" w:rsidRPr="008E1860" w:rsidRDefault="00225EEB" w:rsidP="00225EEB">
            <w:pPr>
              <w:ind w:right="227"/>
              <w:jc w:val="right"/>
              <w:rPr>
                <w:b/>
                <w:bCs/>
                <w:color w:val="000000"/>
                <w:sz w:val="14"/>
                <w:szCs w:val="14"/>
              </w:rPr>
            </w:pPr>
            <w:r w:rsidRPr="008E1860">
              <w:rPr>
                <w:b/>
                <w:bCs/>
                <w:color w:val="000000"/>
                <w:sz w:val="14"/>
                <w:szCs w:val="14"/>
              </w:rPr>
              <w:t>0.54</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BC360F1" w14:textId="77777777" w:rsidR="00225EEB" w:rsidRPr="008E1860" w:rsidRDefault="00225EEB" w:rsidP="00225EEB">
            <w:pPr>
              <w:ind w:right="227"/>
              <w:jc w:val="right"/>
              <w:rPr>
                <w:b/>
                <w:bCs/>
                <w:color w:val="000000"/>
                <w:sz w:val="14"/>
                <w:szCs w:val="14"/>
              </w:rPr>
            </w:pPr>
            <w:r w:rsidRPr="008E1860">
              <w:rPr>
                <w:b/>
                <w:bCs/>
                <w:color w:val="000000"/>
                <w:sz w:val="14"/>
                <w:szCs w:val="14"/>
              </w:rPr>
              <w:t>0.22</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16B0AB8" w14:textId="77777777" w:rsidR="00225EEB" w:rsidRPr="008E1860" w:rsidRDefault="00225EEB" w:rsidP="00225EEB">
            <w:pPr>
              <w:ind w:right="227"/>
              <w:jc w:val="right"/>
              <w:rPr>
                <w:b/>
                <w:bCs/>
                <w:color w:val="000000"/>
                <w:sz w:val="14"/>
                <w:szCs w:val="14"/>
              </w:rPr>
            </w:pPr>
            <w:r w:rsidRPr="008E1860">
              <w:rPr>
                <w:b/>
                <w:bCs/>
                <w:color w:val="000000"/>
                <w:sz w:val="14"/>
                <w:szCs w:val="14"/>
              </w:rPr>
              <w:t>0.37</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286F069" w14:textId="77777777" w:rsidR="00225EEB" w:rsidRPr="008E1860" w:rsidRDefault="00225EEB" w:rsidP="00225EEB">
            <w:pPr>
              <w:ind w:right="227"/>
              <w:jc w:val="right"/>
              <w:rPr>
                <w:b/>
                <w:bCs/>
                <w:color w:val="000000"/>
                <w:sz w:val="14"/>
                <w:szCs w:val="14"/>
              </w:rPr>
            </w:pPr>
            <w:r w:rsidRPr="008E1860">
              <w:rPr>
                <w:b/>
                <w:bCs/>
                <w:color w:val="000000"/>
                <w:sz w:val="14"/>
                <w:szCs w:val="14"/>
              </w:rPr>
              <w:t>3.82</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DC1D57F" w14:textId="77777777" w:rsidR="00225EEB" w:rsidRPr="008E1860" w:rsidRDefault="00225EEB" w:rsidP="00225EEB">
            <w:pPr>
              <w:ind w:right="227"/>
              <w:jc w:val="right"/>
              <w:rPr>
                <w:b/>
                <w:bCs/>
                <w:color w:val="000000"/>
                <w:sz w:val="14"/>
                <w:szCs w:val="14"/>
              </w:rPr>
            </w:pPr>
            <w:r w:rsidRPr="008E1860">
              <w:rPr>
                <w:b/>
                <w:bCs/>
                <w:color w:val="000000"/>
                <w:sz w:val="14"/>
                <w:szCs w:val="14"/>
              </w:rPr>
              <w:t>4.12</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0282B73" w14:textId="77777777" w:rsidR="00225EEB" w:rsidRPr="008E1860" w:rsidRDefault="00225EEB" w:rsidP="00225EEB">
            <w:pPr>
              <w:ind w:right="227"/>
              <w:jc w:val="right"/>
              <w:rPr>
                <w:b/>
                <w:bCs/>
                <w:color w:val="000000"/>
                <w:sz w:val="14"/>
                <w:szCs w:val="14"/>
              </w:rPr>
            </w:pPr>
            <w:r w:rsidRPr="008E1860">
              <w:rPr>
                <w:b/>
                <w:bCs/>
                <w:color w:val="000000"/>
                <w:sz w:val="14"/>
                <w:szCs w:val="14"/>
              </w:rPr>
              <w:t>3.86</w:t>
            </w:r>
          </w:p>
        </w:tc>
      </w:tr>
    </w:tbl>
    <w:bookmarkEnd w:id="6"/>
    <w:p w14:paraId="0953CED7" w14:textId="77777777" w:rsidR="0054304E" w:rsidRPr="008D68CA" w:rsidRDefault="0054304E" w:rsidP="0054304E">
      <w:pPr>
        <w:autoSpaceDE w:val="0"/>
        <w:autoSpaceDN w:val="0"/>
        <w:adjustRightInd w:val="0"/>
        <w:ind w:left="283" w:right="113" w:hanging="170"/>
        <w:rPr>
          <w:sz w:val="16"/>
          <w:szCs w:val="14"/>
        </w:rPr>
      </w:pPr>
      <w:r w:rsidRPr="008D68CA">
        <w:rPr>
          <w:sz w:val="16"/>
          <w:szCs w:val="14"/>
          <w:vertAlign w:val="superscript"/>
        </w:rPr>
        <w:t>1/</w:t>
      </w:r>
      <w:r w:rsidRPr="008D68CA">
        <w:rPr>
          <w:sz w:val="16"/>
          <w:szCs w:val="14"/>
          <w:vertAlign w:val="superscript"/>
        </w:rPr>
        <w:tab/>
      </w:r>
      <w:r w:rsidRPr="008D68CA">
        <w:rPr>
          <w:sz w:val="14"/>
          <w:szCs w:val="14"/>
        </w:rPr>
        <w:t xml:space="preserve">Las variaciones anuales durante el primer año del INPP base julio </w:t>
      </w:r>
      <w:r>
        <w:rPr>
          <w:sz w:val="14"/>
          <w:szCs w:val="14"/>
        </w:rPr>
        <w:t xml:space="preserve">de </w:t>
      </w:r>
      <w:r w:rsidRPr="008D68CA">
        <w:rPr>
          <w:sz w:val="14"/>
          <w:szCs w:val="14"/>
        </w:rPr>
        <w:t>2019 se continuarán comparando con el índice de la base anterior</w:t>
      </w:r>
      <w:r>
        <w:rPr>
          <w:sz w:val="14"/>
          <w:szCs w:val="14"/>
        </w:rPr>
        <w:t>.</w:t>
      </w:r>
    </w:p>
    <w:p w14:paraId="31F00F5C" w14:textId="77777777" w:rsidR="004D5C5B" w:rsidRPr="006C0439" w:rsidRDefault="004D5C5B" w:rsidP="005D3875">
      <w:pPr>
        <w:pStyle w:val="n01"/>
        <w:keepLines w:val="0"/>
        <w:widowControl w:val="0"/>
        <w:spacing w:before="36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652808A9" w14:textId="77777777" w:rsidR="00225EEB" w:rsidRPr="00225EEB" w:rsidRDefault="00225EEB" w:rsidP="00225EEB">
      <w:pPr>
        <w:widowControl w:val="0"/>
        <w:autoSpaceDE w:val="0"/>
        <w:autoSpaceDN w:val="0"/>
        <w:adjustRightInd w:val="0"/>
        <w:spacing w:before="120"/>
        <w:rPr>
          <w:snapToGrid w:val="0"/>
        </w:rPr>
      </w:pPr>
      <w:r w:rsidRPr="00225EEB">
        <w:rPr>
          <w:snapToGrid w:val="0"/>
        </w:rPr>
        <w:t>Por destino de la producción, en febrero de 2020 los precios de los bienes finales de Demanda interna presentaron un alza mensual de 0.62%, ubicando su tasa anual en 2.47 por ciento. A su interior, los precios de los bienes de Consumo crecieron 0.65% mensual y 3.12% anual, y los destinados a la Formación de capital se incrementaron 0.56% mensual y 0.68% anual.</w:t>
      </w:r>
    </w:p>
    <w:p w14:paraId="7E2581DF" w14:textId="774D550D" w:rsidR="00C963A9" w:rsidRDefault="00401E08" w:rsidP="00225EEB">
      <w:pPr>
        <w:widowControl w:val="0"/>
        <w:autoSpaceDE w:val="0"/>
        <w:autoSpaceDN w:val="0"/>
        <w:adjustRightInd w:val="0"/>
        <w:spacing w:before="120"/>
        <w:rPr>
          <w:snapToGrid w:val="0"/>
        </w:rPr>
      </w:pPr>
      <w:r>
        <w:rPr>
          <w:snapToGrid w:val="0"/>
        </w:rPr>
        <w:t>Por su parte, l</w:t>
      </w:r>
      <w:r w:rsidR="00225EEB" w:rsidRPr="00225EEB">
        <w:rPr>
          <w:snapToGrid w:val="0"/>
        </w:rPr>
        <w:t>os precios de los bienes orientados a la Exportación decrecieron (</w:t>
      </w:r>
      <w:r w:rsidR="00225EEB">
        <w:rPr>
          <w:snapToGrid w:val="0"/>
        </w:rPr>
        <w:noBreakHyphen/>
      </w:r>
      <w:r w:rsidR="00225EEB" w:rsidRPr="00225EEB">
        <w:rPr>
          <w:snapToGrid w:val="0"/>
        </w:rPr>
        <w:t>)0.79% mensual y aumentaron 0.24% a tasa anual</w:t>
      </w:r>
      <w:r w:rsidR="00C963A9"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4E9DB32A"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12EF4068"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7F86A0B5" w14:textId="1CE7735A" w:rsidR="004D5C5B" w:rsidRDefault="004D5C5B" w:rsidP="004D5C5B">
      <w:pPr>
        <w:keepNext/>
        <w:keepLines/>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sidR="00B074FC">
        <w:rPr>
          <w:b/>
          <w:snapToGrid w:val="0"/>
          <w:sz w:val="22"/>
          <w:szCs w:val="22"/>
        </w:rPr>
        <w:t xml:space="preserve"> FEBR</w:t>
      </w:r>
      <w:r>
        <w:rPr>
          <w:b/>
          <w:snapToGrid w:val="0"/>
          <w:sz w:val="22"/>
          <w:szCs w:val="22"/>
        </w:rPr>
        <w:t>E</w:t>
      </w:r>
      <w:r w:rsidR="00E62A7B">
        <w:rPr>
          <w:b/>
          <w:snapToGrid w:val="0"/>
          <w:sz w:val="22"/>
          <w:szCs w:val="22"/>
        </w:rPr>
        <w:t>RO</w:t>
      </w:r>
      <w:r>
        <w:rPr>
          <w:b/>
          <w:bCs/>
          <w:color w:val="000000"/>
          <w:spacing w:val="1"/>
          <w:sz w:val="22"/>
          <w:szCs w:val="22"/>
        </w:rPr>
        <w:t xml:space="preserve"> DE 20</w:t>
      </w:r>
      <w:r w:rsidR="00E62A7B">
        <w:rPr>
          <w:b/>
          <w:bCs/>
          <w:color w:val="000000"/>
          <w:spacing w:val="1"/>
          <w:sz w:val="22"/>
          <w:szCs w:val="22"/>
        </w:rPr>
        <w:t>20</w:t>
      </w:r>
    </w:p>
    <w:p w14:paraId="6AD0322B" w14:textId="77777777" w:rsidR="004D5C5B" w:rsidRPr="00910135" w:rsidRDefault="004D5C5B" w:rsidP="004D5C5B">
      <w:pPr>
        <w:keepNext/>
        <w:keepLines/>
        <w:widowControl w:val="0"/>
        <w:autoSpaceDE w:val="0"/>
        <w:autoSpaceDN w:val="0"/>
        <w:adjustRightInd w:val="0"/>
        <w:jc w:val="center"/>
        <w:rPr>
          <w:snapToGrid w:val="0"/>
          <w:sz w:val="22"/>
          <w:szCs w:val="22"/>
        </w:rPr>
      </w:pPr>
      <w:r>
        <w:rPr>
          <w:snapToGrid w:val="0"/>
          <w:sz w:val="22"/>
          <w:szCs w:val="22"/>
        </w:rPr>
        <w:t>C</w:t>
      </w:r>
      <w:r w:rsidRPr="00910135">
        <w:rPr>
          <w:snapToGrid w:val="0"/>
          <w:sz w:val="22"/>
          <w:szCs w:val="22"/>
        </w:rPr>
        <w:t>lasificación por destino</w:t>
      </w:r>
    </w:p>
    <w:p w14:paraId="5021838C" w14:textId="77777777" w:rsidR="004D5C5B" w:rsidRDefault="004D5C5B" w:rsidP="004D5C5B">
      <w:pPr>
        <w:keepNext/>
        <w:keepLines/>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B074FC" w:rsidRPr="00A9663B" w14:paraId="0BD19297" w14:textId="77777777" w:rsidTr="00391EF3">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F0DBFFF" w14:textId="77777777" w:rsidR="00B074FC" w:rsidRPr="00A9663B" w:rsidRDefault="00B074FC" w:rsidP="00391EF3">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D8B5DE6" w14:textId="77777777" w:rsidR="00B074FC" w:rsidRPr="00A9663B" w:rsidRDefault="00B074FC" w:rsidP="00391EF3">
            <w:pPr>
              <w:autoSpaceDE w:val="0"/>
              <w:autoSpaceDN w:val="0"/>
              <w:adjustRightInd w:val="0"/>
              <w:jc w:val="center"/>
              <w:rPr>
                <w:bCs/>
                <w:color w:val="000000"/>
                <w:sz w:val="16"/>
                <w:szCs w:val="16"/>
              </w:rPr>
            </w:pPr>
            <w:r w:rsidRPr="00A9663B">
              <w:rPr>
                <w:bCs/>
                <w:color w:val="000000"/>
                <w:sz w:val="16"/>
                <w:szCs w:val="16"/>
              </w:rPr>
              <w:t>Variación 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069E063E" w14:textId="77777777" w:rsidR="00B074FC" w:rsidRPr="002B3CB0" w:rsidRDefault="00B074FC" w:rsidP="00391EF3">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7622926" w14:textId="77777777" w:rsidR="00B074FC" w:rsidRPr="00A9663B" w:rsidRDefault="00B074FC" w:rsidP="00391EF3">
            <w:pPr>
              <w:autoSpaceDE w:val="0"/>
              <w:autoSpaceDN w:val="0"/>
              <w:adjustRightInd w:val="0"/>
              <w:jc w:val="center"/>
              <w:rPr>
                <w:bCs/>
                <w:color w:val="000000"/>
                <w:sz w:val="16"/>
                <w:szCs w:val="16"/>
              </w:rPr>
            </w:pPr>
            <w:r w:rsidRPr="00A9663B">
              <w:rPr>
                <w:bCs/>
                <w:color w:val="000000"/>
                <w:sz w:val="16"/>
                <w:szCs w:val="16"/>
              </w:rPr>
              <w:t>Variación anual</w:t>
            </w:r>
            <w:r>
              <w:rPr>
                <w:bCs/>
                <w:color w:val="000000"/>
                <w:sz w:val="16"/>
                <w:szCs w:val="16"/>
              </w:rPr>
              <w:t xml:space="preserve"> </w:t>
            </w:r>
            <w:r w:rsidRPr="003D64DC">
              <w:rPr>
                <w:bCs/>
                <w:color w:val="000000"/>
                <w:sz w:val="16"/>
                <w:szCs w:val="16"/>
                <w:vertAlign w:val="superscript"/>
              </w:rPr>
              <w:t>2/</w:t>
            </w:r>
          </w:p>
        </w:tc>
      </w:tr>
      <w:tr w:rsidR="00B074FC" w:rsidRPr="00A9663B" w14:paraId="24AE5CF5" w14:textId="77777777" w:rsidTr="00391EF3">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01F16108" w14:textId="77777777" w:rsidR="00B074FC" w:rsidRPr="00A9663B" w:rsidRDefault="00B074FC" w:rsidP="00391EF3">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24242FE6" w14:textId="77777777" w:rsidR="00B074FC" w:rsidRPr="00A9663B" w:rsidRDefault="00B074FC" w:rsidP="00391EF3">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B4E42AE" w14:textId="77777777" w:rsidR="00B074FC" w:rsidRPr="00A9663B" w:rsidRDefault="00B074FC" w:rsidP="00391EF3">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460D991" w14:textId="77777777" w:rsidR="00B074FC" w:rsidRPr="00A9663B" w:rsidRDefault="00B074FC" w:rsidP="00391EF3">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328746AD" w14:textId="77777777" w:rsidR="00B074FC" w:rsidRPr="00A9663B" w:rsidRDefault="00B074FC" w:rsidP="00391EF3">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AAF1AC4" w14:textId="77777777" w:rsidR="00B074FC" w:rsidRPr="00A9663B" w:rsidRDefault="00B074FC" w:rsidP="00391EF3">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AA2825A" w14:textId="77777777" w:rsidR="00B074FC" w:rsidRPr="00A9663B" w:rsidRDefault="00B074FC" w:rsidP="00391EF3">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76FBCE4" w14:textId="77777777" w:rsidR="00B074FC" w:rsidRPr="00A9663B" w:rsidRDefault="00B074FC" w:rsidP="00391EF3">
            <w:pPr>
              <w:jc w:val="center"/>
              <w:rPr>
                <w:bCs/>
                <w:color w:val="000000"/>
                <w:sz w:val="16"/>
                <w:szCs w:val="16"/>
              </w:rPr>
            </w:pPr>
            <w:r w:rsidRPr="00A9663B">
              <w:rPr>
                <w:bCs/>
                <w:color w:val="000000"/>
                <w:sz w:val="16"/>
                <w:szCs w:val="16"/>
              </w:rPr>
              <w:t>Total</w:t>
            </w:r>
          </w:p>
        </w:tc>
      </w:tr>
      <w:tr w:rsidR="00B074FC" w:rsidRPr="00841586" w14:paraId="08CFA809" w14:textId="77777777" w:rsidTr="00391EF3">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5030EC95" w14:textId="77777777" w:rsidR="00B074FC" w:rsidRPr="00841586" w:rsidRDefault="00B074FC" w:rsidP="00B074FC">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7FF0F833"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0.12</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A6EC831"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0.41</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702EFD1"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0.22</w:t>
            </w:r>
          </w:p>
        </w:tc>
        <w:tc>
          <w:tcPr>
            <w:tcW w:w="1004" w:type="dxa"/>
            <w:tcBorders>
              <w:top w:val="single" w:sz="8" w:space="0" w:color="595959"/>
              <w:left w:val="single" w:sz="8" w:space="0" w:color="595959"/>
              <w:bottom w:val="dotted" w:sz="4" w:space="0" w:color="595959"/>
              <w:right w:val="single" w:sz="8" w:space="0" w:color="595959"/>
            </w:tcBorders>
            <w:vAlign w:val="center"/>
          </w:tcPr>
          <w:p w14:paraId="76B713F7"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0.225</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885F246"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0.80</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5AC57E5"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3.67</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FB4DEAE"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1.84</w:t>
            </w:r>
          </w:p>
        </w:tc>
      </w:tr>
      <w:tr w:rsidR="00B074FC" w:rsidRPr="00841586" w14:paraId="686938B7" w14:textId="77777777" w:rsidTr="00391EF3">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216E0743" w14:textId="77777777" w:rsidR="00B074FC" w:rsidRPr="00841586" w:rsidRDefault="00B074FC" w:rsidP="00B074FC">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15194C57"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0.84</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926586"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0.41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94D76D5"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0.62</w:t>
            </w:r>
          </w:p>
        </w:tc>
        <w:tc>
          <w:tcPr>
            <w:tcW w:w="1004" w:type="dxa"/>
            <w:tcBorders>
              <w:top w:val="dotted" w:sz="4" w:space="0" w:color="595959"/>
              <w:left w:val="single" w:sz="8" w:space="0" w:color="595959"/>
              <w:bottom w:val="dotted" w:sz="4" w:space="0" w:color="595959"/>
              <w:right w:val="single" w:sz="8" w:space="0" w:color="595959"/>
            </w:tcBorders>
            <w:vAlign w:val="center"/>
          </w:tcPr>
          <w:p w14:paraId="6BD4A936"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0.448</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86C62AB"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1.40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112233F"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3.60</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FDEFBA8"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2.47</w:t>
            </w:r>
          </w:p>
        </w:tc>
      </w:tr>
      <w:tr w:rsidR="00B074FC" w:rsidRPr="00841586" w14:paraId="52EF64A1" w14:textId="77777777" w:rsidTr="00391EF3">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27B1B8C5" w14:textId="77777777" w:rsidR="00B074FC" w:rsidRPr="00841586" w:rsidRDefault="00B074FC" w:rsidP="00B074FC">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80A33CF"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1.09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7268A9"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0.37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225FAC7"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0.65</w:t>
            </w:r>
          </w:p>
        </w:tc>
        <w:tc>
          <w:tcPr>
            <w:tcW w:w="1004" w:type="dxa"/>
            <w:tcBorders>
              <w:top w:val="dotted" w:sz="4" w:space="0" w:color="595959"/>
              <w:left w:val="single" w:sz="8" w:space="0" w:color="595959"/>
              <w:bottom w:val="dotted" w:sz="4" w:space="0" w:color="595959"/>
              <w:right w:val="single" w:sz="8" w:space="0" w:color="595959"/>
            </w:tcBorders>
            <w:vAlign w:val="center"/>
          </w:tcPr>
          <w:p w14:paraId="461286E6"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0.336</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FCE00E4"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2.13</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D0514C7"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3.76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6FAE9FD"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3.12</w:t>
            </w:r>
          </w:p>
        </w:tc>
      </w:tr>
      <w:tr w:rsidR="00B074FC" w:rsidRPr="00841586" w14:paraId="6F3D8C47" w14:textId="77777777" w:rsidTr="00391EF3">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44F44689" w14:textId="77777777" w:rsidR="00B074FC" w:rsidRPr="00841586" w:rsidRDefault="00B074FC" w:rsidP="00B074FC">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A42CBA3"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0.52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8B0C33"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0.76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45FCE27"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0.56</w:t>
            </w:r>
          </w:p>
        </w:tc>
        <w:tc>
          <w:tcPr>
            <w:tcW w:w="1004" w:type="dxa"/>
            <w:tcBorders>
              <w:top w:val="dotted" w:sz="4" w:space="0" w:color="595959"/>
              <w:left w:val="single" w:sz="8" w:space="0" w:color="595959"/>
              <w:bottom w:val="dotted" w:sz="4" w:space="0" w:color="595959"/>
              <w:right w:val="single" w:sz="8" w:space="0" w:color="595959"/>
            </w:tcBorders>
            <w:vAlign w:val="center"/>
          </w:tcPr>
          <w:p w14:paraId="5A748EE6"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0.112</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49AFA80"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0.51</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888DE64"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1.21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5C8464C" w14:textId="77777777" w:rsidR="00B074FC" w:rsidRPr="00774C1E" w:rsidRDefault="00B074FC" w:rsidP="00391EF3">
            <w:pPr>
              <w:autoSpaceDE w:val="0"/>
              <w:autoSpaceDN w:val="0"/>
              <w:adjustRightInd w:val="0"/>
              <w:ind w:right="283"/>
              <w:jc w:val="right"/>
              <w:rPr>
                <w:bCs/>
                <w:color w:val="000000"/>
                <w:sz w:val="14"/>
                <w:szCs w:val="14"/>
              </w:rPr>
            </w:pPr>
            <w:r w:rsidRPr="00774C1E">
              <w:rPr>
                <w:bCs/>
                <w:color w:val="000000"/>
                <w:sz w:val="14"/>
                <w:szCs w:val="14"/>
              </w:rPr>
              <w:t>0.68</w:t>
            </w:r>
          </w:p>
        </w:tc>
      </w:tr>
      <w:tr w:rsidR="00B074FC" w:rsidRPr="00841586" w14:paraId="7D2B67E6" w14:textId="77777777" w:rsidTr="00391EF3">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273B6240" w14:textId="77777777" w:rsidR="00B074FC" w:rsidRPr="00841586" w:rsidRDefault="00B074FC" w:rsidP="00B074FC">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2C34FECD"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-0.84</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81FD83E"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0.37</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8B766DD"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-0.79</w:t>
            </w:r>
          </w:p>
        </w:tc>
        <w:tc>
          <w:tcPr>
            <w:tcW w:w="1004" w:type="dxa"/>
            <w:tcBorders>
              <w:top w:val="dotted" w:sz="4" w:space="0" w:color="595959"/>
              <w:left w:val="single" w:sz="8" w:space="0" w:color="595959"/>
              <w:bottom w:val="single" w:sz="8" w:space="0" w:color="595959"/>
              <w:right w:val="single" w:sz="8" w:space="0" w:color="595959"/>
            </w:tcBorders>
            <w:vAlign w:val="center"/>
          </w:tcPr>
          <w:p w14:paraId="3EF209CC"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-0.224</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66EA4F5"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-0.02</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DBB40A4"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4.58</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3ABB429" w14:textId="77777777" w:rsidR="00B074FC" w:rsidRPr="00774C1E" w:rsidRDefault="00B074FC" w:rsidP="00391EF3">
            <w:pPr>
              <w:autoSpaceDE w:val="0"/>
              <w:autoSpaceDN w:val="0"/>
              <w:adjustRightInd w:val="0"/>
              <w:ind w:right="283"/>
              <w:jc w:val="right"/>
              <w:rPr>
                <w:b/>
                <w:bCs/>
                <w:color w:val="000000"/>
                <w:sz w:val="14"/>
                <w:szCs w:val="14"/>
              </w:rPr>
            </w:pPr>
            <w:r w:rsidRPr="00774C1E">
              <w:rPr>
                <w:b/>
                <w:bCs/>
                <w:color w:val="000000"/>
                <w:sz w:val="14"/>
                <w:szCs w:val="14"/>
              </w:rPr>
              <w:t>0.24</w:t>
            </w:r>
          </w:p>
        </w:tc>
      </w:tr>
    </w:tbl>
    <w:p w14:paraId="5D70FEFE" w14:textId="7F972980"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 redondeo</w:t>
      </w:r>
      <w:r>
        <w:rPr>
          <w:sz w:val="14"/>
          <w:szCs w:val="14"/>
        </w:rPr>
        <w:t>.</w:t>
      </w:r>
    </w:p>
    <w:p w14:paraId="56CA07B2" w14:textId="3C0D1DD1" w:rsidR="0054304E" w:rsidRDefault="0017655C" w:rsidP="0054304E">
      <w:pPr>
        <w:widowControl w:val="0"/>
        <w:autoSpaceDE w:val="0"/>
        <w:autoSpaceDN w:val="0"/>
        <w:adjustRightInd w:val="0"/>
        <w:ind w:left="283" w:right="113" w:hanging="170"/>
        <w:rPr>
          <w:sz w:val="16"/>
          <w:szCs w:val="18"/>
          <w:vertAlign w:val="superscript"/>
        </w:rPr>
      </w:pPr>
      <w:r>
        <w:rPr>
          <w:sz w:val="16"/>
          <w:szCs w:val="14"/>
          <w:vertAlign w:val="superscript"/>
        </w:rPr>
        <w:t>2</w:t>
      </w:r>
      <w:r w:rsidR="0054304E" w:rsidRPr="008D68CA">
        <w:rPr>
          <w:sz w:val="16"/>
          <w:szCs w:val="14"/>
          <w:vertAlign w:val="superscript"/>
        </w:rPr>
        <w:t>/</w:t>
      </w:r>
      <w:r w:rsidR="0054304E" w:rsidRPr="008D68CA">
        <w:rPr>
          <w:sz w:val="16"/>
          <w:szCs w:val="14"/>
          <w:vertAlign w:val="superscript"/>
        </w:rPr>
        <w:tab/>
      </w:r>
      <w:r w:rsidR="00F85511" w:rsidRPr="008D68CA">
        <w:rPr>
          <w:sz w:val="14"/>
          <w:szCs w:val="14"/>
        </w:rPr>
        <w:t xml:space="preserve">Las variaciones anuales durante el primer año del INPP base julio </w:t>
      </w:r>
      <w:r w:rsidR="00F85511">
        <w:rPr>
          <w:sz w:val="14"/>
          <w:szCs w:val="14"/>
        </w:rPr>
        <w:t>de 2019</w:t>
      </w:r>
      <w:r w:rsidR="00F85511" w:rsidRPr="008D68CA">
        <w:rPr>
          <w:sz w:val="14"/>
          <w:szCs w:val="14"/>
        </w:rPr>
        <w:t xml:space="preserve"> se continuarán comparando con el índice de la base anterior</w:t>
      </w:r>
      <w:r w:rsidR="0054304E">
        <w:rPr>
          <w:sz w:val="14"/>
          <w:szCs w:val="14"/>
        </w:rPr>
        <w:t>.</w:t>
      </w:r>
    </w:p>
    <w:p w14:paraId="1F96157A" w14:textId="678F223A" w:rsidR="0054304E" w:rsidRPr="003F5E65" w:rsidRDefault="0017655C" w:rsidP="0054304E">
      <w:pPr>
        <w:widowControl w:val="0"/>
        <w:autoSpaceDE w:val="0"/>
        <w:autoSpaceDN w:val="0"/>
        <w:adjustRightInd w:val="0"/>
        <w:ind w:left="283" w:right="113" w:hanging="170"/>
        <w:rPr>
          <w:sz w:val="14"/>
          <w:szCs w:val="16"/>
        </w:rPr>
      </w:pPr>
      <w:r>
        <w:rPr>
          <w:sz w:val="16"/>
          <w:szCs w:val="18"/>
          <w:vertAlign w:val="superscript"/>
        </w:rPr>
        <w:t>3</w:t>
      </w:r>
      <w:r w:rsidR="0054304E" w:rsidRPr="003F5E65">
        <w:rPr>
          <w:sz w:val="16"/>
          <w:szCs w:val="18"/>
          <w:vertAlign w:val="superscript"/>
        </w:rPr>
        <w:t>/</w:t>
      </w:r>
      <w:r w:rsidR="0054304E" w:rsidRPr="003F5E65">
        <w:rPr>
          <w:sz w:val="14"/>
          <w:szCs w:val="16"/>
        </w:rPr>
        <w:tab/>
        <w:t>Consumo privado más consumo de gobierno individualizado.</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632067AA" w:rsidR="004D5C5B" w:rsidRPr="00875DDC" w:rsidRDefault="00B074FC" w:rsidP="004D5C5B">
      <w:pPr>
        <w:widowControl w:val="0"/>
        <w:autoSpaceDE w:val="0"/>
        <w:autoSpaceDN w:val="0"/>
        <w:adjustRightInd w:val="0"/>
        <w:spacing w:before="120"/>
        <w:rPr>
          <w:snapToGrid w:val="0"/>
        </w:rPr>
      </w:pPr>
      <w:r w:rsidRPr="00B074FC">
        <w:rPr>
          <w:snapToGrid w:val="0"/>
        </w:rPr>
        <w:t>Las variaciones de precios de los productos genéricos que destacaron por su contribución al comportamiento mensual del INPP Total, incluyendo petróleo, durante febrero de 2020, se muestran en el cuadro siguiente</w:t>
      </w:r>
      <w:r w:rsidR="004D5C5B">
        <w:rPr>
          <w:snapToGrid w:val="0"/>
        </w:rPr>
        <w:t>:</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43D806D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518BA147" w14:textId="15E71D5E"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DURANTE</w:t>
      </w:r>
      <w:r w:rsidRPr="00875DDC">
        <w:rPr>
          <w:b/>
          <w:bCs/>
          <w:color w:val="000000"/>
          <w:spacing w:val="1"/>
          <w:sz w:val="22"/>
          <w:szCs w:val="22"/>
        </w:rPr>
        <w:t xml:space="preserve"> </w:t>
      </w:r>
      <w:r w:rsidR="000F2C80">
        <w:rPr>
          <w:b/>
          <w:bCs/>
          <w:color w:val="000000"/>
          <w:spacing w:val="1"/>
          <w:sz w:val="22"/>
          <w:szCs w:val="22"/>
        </w:rPr>
        <w:t>FEBR</w:t>
      </w:r>
      <w:r>
        <w:rPr>
          <w:b/>
          <w:bCs/>
          <w:color w:val="000000"/>
          <w:spacing w:val="1"/>
          <w:sz w:val="22"/>
          <w:szCs w:val="22"/>
        </w:rPr>
        <w:t>E</w:t>
      </w:r>
      <w:r w:rsidR="00E62A7B">
        <w:rPr>
          <w:b/>
          <w:bCs/>
          <w:color w:val="000000"/>
          <w:spacing w:val="1"/>
          <w:sz w:val="22"/>
          <w:szCs w:val="22"/>
        </w:rPr>
        <w:t>RO</w:t>
      </w:r>
      <w:r>
        <w:rPr>
          <w:b/>
          <w:bCs/>
          <w:color w:val="000000"/>
          <w:spacing w:val="1"/>
          <w:sz w:val="22"/>
          <w:szCs w:val="22"/>
        </w:rPr>
        <w:t xml:space="preserve"> DE 20</w:t>
      </w:r>
      <w:r w:rsidR="00E62A7B">
        <w:rPr>
          <w:b/>
          <w:bCs/>
          <w:color w:val="000000"/>
          <w:spacing w:val="1"/>
          <w:sz w:val="22"/>
          <w:szCs w:val="22"/>
        </w:rPr>
        <w:t>20</w:t>
      </w:r>
    </w:p>
    <w:p w14:paraId="74B6F097" w14:textId="5389EC87" w:rsidR="004D5C5B" w:rsidRDefault="004D5C5B" w:rsidP="004D5C5B">
      <w:pPr>
        <w:widowControl w:val="0"/>
        <w:tabs>
          <w:tab w:val="left" w:pos="1220"/>
        </w:tabs>
        <w:autoSpaceDE w:val="0"/>
        <w:autoSpaceDN w:val="0"/>
        <w:adjustRightInd w:val="0"/>
        <w:jc w:val="center"/>
        <w:rPr>
          <w:bCs/>
          <w:color w:val="000000"/>
          <w:sz w:val="22"/>
          <w:szCs w:val="22"/>
        </w:rPr>
      </w:pPr>
      <w:r w:rsidRPr="003F5E65">
        <w:rPr>
          <w:bC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B074FC" w:rsidRPr="00A9663B" w14:paraId="7CE9BD87" w14:textId="77777777" w:rsidTr="00391EF3">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6C401130" w14:textId="77777777" w:rsidR="00B074FC" w:rsidRPr="00A9663B" w:rsidRDefault="00B074FC" w:rsidP="00391EF3">
            <w:pPr>
              <w:autoSpaceDE w:val="0"/>
              <w:autoSpaceDN w:val="0"/>
              <w:adjustRightInd w:val="0"/>
              <w:ind w:left="227"/>
              <w:rPr>
                <w:bCs/>
                <w:color w:val="000000"/>
                <w:sz w:val="16"/>
                <w:szCs w:val="16"/>
              </w:rPr>
            </w:pPr>
            <w:bookmarkStart w:id="7"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70E0572F" w14:textId="77777777" w:rsidR="00B074FC" w:rsidRPr="00A9663B" w:rsidRDefault="00B074FC" w:rsidP="00391EF3">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697D8827" w14:textId="77777777" w:rsidR="00B074FC" w:rsidRPr="00A9663B" w:rsidRDefault="00B074FC" w:rsidP="00391EF3">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0FDD3788" w14:textId="77777777" w:rsidR="00B074FC" w:rsidRPr="00A9663B" w:rsidRDefault="00B074FC" w:rsidP="00391EF3">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34A81D72" w14:textId="77777777" w:rsidR="00B074FC" w:rsidRPr="00A9663B" w:rsidRDefault="00B074FC" w:rsidP="00391EF3">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307E6B5E" w14:textId="77777777" w:rsidR="00B074FC" w:rsidRPr="00A9663B" w:rsidRDefault="00B074FC" w:rsidP="00391EF3">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B074FC" w:rsidRPr="00841586" w14:paraId="3AA01AFC" w14:textId="77777777" w:rsidTr="00391EF3">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2E18CFB7" w14:textId="77777777" w:rsidR="00B074FC" w:rsidRPr="00334998" w:rsidRDefault="00B074FC" w:rsidP="00B074FC">
            <w:pPr>
              <w:ind w:left="57"/>
              <w:jc w:val="left"/>
              <w:rPr>
                <w:color w:val="000000"/>
                <w:sz w:val="14"/>
                <w:szCs w:val="14"/>
              </w:rPr>
            </w:pPr>
            <w:r w:rsidRPr="00334998">
              <w:rPr>
                <w:color w:val="000000"/>
                <w:sz w:val="14"/>
                <w:szCs w:val="14"/>
              </w:rPr>
              <w:t>Aves</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08E57A13"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35.39</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6688CF2A"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0.214</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29807B2A" w14:textId="77777777" w:rsidR="00B074FC" w:rsidRPr="00334998" w:rsidRDefault="00B074FC" w:rsidP="00B074FC">
            <w:pPr>
              <w:ind w:left="57"/>
              <w:jc w:val="left"/>
              <w:rPr>
                <w:color w:val="000000"/>
                <w:sz w:val="14"/>
                <w:szCs w:val="14"/>
              </w:rPr>
            </w:pPr>
            <w:r w:rsidRPr="00334998">
              <w:rPr>
                <w:color w:val="000000"/>
                <w:sz w:val="14"/>
                <w:szCs w:val="14"/>
              </w:rPr>
              <w:t>Petróleo crudo</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4101CC3B"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-12.46</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7D04C254"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-0.293</w:t>
            </w:r>
          </w:p>
        </w:tc>
      </w:tr>
      <w:tr w:rsidR="00B074FC" w:rsidRPr="00841586" w14:paraId="0D9DDEF8"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B3802CD" w14:textId="77777777" w:rsidR="00B074FC" w:rsidRPr="00334998" w:rsidRDefault="00B074FC" w:rsidP="00B074FC">
            <w:pPr>
              <w:ind w:left="57"/>
              <w:jc w:val="left"/>
              <w:rPr>
                <w:color w:val="000000"/>
                <w:sz w:val="14"/>
                <w:szCs w:val="14"/>
              </w:rPr>
            </w:pPr>
            <w:r w:rsidRPr="00334998">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ED0305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1.00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DC3AF9"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0.051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2CF3E79" w14:textId="77777777" w:rsidR="00B074FC" w:rsidRPr="00334998" w:rsidRDefault="00B074FC" w:rsidP="00B074FC">
            <w:pPr>
              <w:ind w:left="57"/>
              <w:jc w:val="left"/>
              <w:rPr>
                <w:color w:val="000000"/>
                <w:sz w:val="14"/>
                <w:szCs w:val="14"/>
              </w:rPr>
            </w:pPr>
            <w:r w:rsidRPr="00334998">
              <w:rPr>
                <w:color w:val="000000"/>
                <w:sz w:val="14"/>
                <w:szCs w:val="14"/>
              </w:rPr>
              <w:t>Diesel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9C5D89"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-3.67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0BCFF61"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-0.037</w:t>
            </w:r>
          </w:p>
        </w:tc>
      </w:tr>
      <w:tr w:rsidR="00B074FC" w:rsidRPr="00841586" w14:paraId="7273F66C"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7F8271" w14:textId="77777777" w:rsidR="00B074FC" w:rsidRPr="00334998" w:rsidRDefault="00B074FC" w:rsidP="00B074FC">
            <w:pPr>
              <w:ind w:left="57"/>
              <w:jc w:val="left"/>
              <w:rPr>
                <w:color w:val="000000"/>
                <w:sz w:val="14"/>
                <w:szCs w:val="14"/>
              </w:rPr>
            </w:pPr>
            <w:r w:rsidRPr="00334998">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BC2BA7"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0.70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E37039"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0.030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550A47" w14:textId="77777777" w:rsidR="00B074FC" w:rsidRPr="00334998" w:rsidRDefault="00B074FC" w:rsidP="00B074FC">
            <w:pPr>
              <w:ind w:left="57"/>
              <w:jc w:val="left"/>
              <w:rPr>
                <w:color w:val="000000"/>
                <w:sz w:val="14"/>
                <w:szCs w:val="14"/>
              </w:rPr>
            </w:pPr>
            <w:r w:rsidRPr="00334998">
              <w:rPr>
                <w:color w:val="000000"/>
                <w:sz w:val="14"/>
                <w:szCs w:val="14"/>
              </w:rPr>
              <w:t>Transporte aéreo de pasajeros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784241"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-5.41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8925FDA"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-0.024</w:t>
            </w:r>
          </w:p>
        </w:tc>
      </w:tr>
      <w:tr w:rsidR="00B074FC" w:rsidRPr="00841586" w14:paraId="6272231F"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C19155" w14:textId="77777777" w:rsidR="00B074FC" w:rsidRPr="00334998" w:rsidRDefault="00B074FC" w:rsidP="00B074FC">
            <w:pPr>
              <w:ind w:left="57"/>
              <w:jc w:val="left"/>
              <w:rPr>
                <w:color w:val="000000"/>
                <w:sz w:val="14"/>
                <w:szCs w:val="14"/>
              </w:rPr>
            </w:pPr>
            <w:r w:rsidRPr="00334998">
              <w:rPr>
                <w:color w:val="000000"/>
                <w:sz w:val="14"/>
                <w:szCs w:val="14"/>
              </w:rPr>
              <w:t>Contadores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F14CB5"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2.43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18ABFF"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8B3338" w14:textId="77777777" w:rsidR="00B074FC" w:rsidRPr="00334998" w:rsidRDefault="00B074FC" w:rsidP="00B074FC">
            <w:pPr>
              <w:ind w:left="57"/>
              <w:jc w:val="left"/>
              <w:rPr>
                <w:color w:val="000000"/>
                <w:sz w:val="14"/>
                <w:szCs w:val="14"/>
              </w:rPr>
            </w:pPr>
            <w:r w:rsidRPr="00334998">
              <w:rPr>
                <w:color w:val="000000"/>
                <w:sz w:val="14"/>
                <w:szCs w:val="14"/>
              </w:rPr>
              <w:t>Turbosina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38E686"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-12.65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2F09433"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-0.015</w:t>
            </w:r>
          </w:p>
        </w:tc>
      </w:tr>
      <w:tr w:rsidR="00B074FC" w:rsidRPr="00841586" w14:paraId="7AE43075"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FBA37C0" w14:textId="77777777" w:rsidR="00B074FC" w:rsidRPr="00334998" w:rsidRDefault="00B074FC" w:rsidP="00B074FC">
            <w:pPr>
              <w:ind w:left="57"/>
              <w:jc w:val="left"/>
              <w:rPr>
                <w:color w:val="000000"/>
                <w:sz w:val="14"/>
                <w:szCs w:val="14"/>
              </w:rPr>
            </w:pPr>
            <w:r w:rsidRPr="00334998">
              <w:rPr>
                <w:color w:val="000000"/>
                <w:sz w:val="14"/>
                <w:szCs w:val="14"/>
              </w:rPr>
              <w:t>Hospitalización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F9A947"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1.85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DFCB2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0.021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827B01" w14:textId="77777777" w:rsidR="00B074FC" w:rsidRPr="00334998" w:rsidRDefault="00B074FC" w:rsidP="00B074FC">
            <w:pPr>
              <w:ind w:left="57"/>
              <w:jc w:val="left"/>
              <w:rPr>
                <w:color w:val="000000"/>
                <w:sz w:val="14"/>
                <w:szCs w:val="14"/>
              </w:rPr>
            </w:pPr>
            <w:r w:rsidRPr="00334998">
              <w:rPr>
                <w:color w:val="000000"/>
                <w:sz w:val="14"/>
                <w:szCs w:val="14"/>
              </w:rPr>
              <w:t>Lingote y plancha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B5A04A"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-11.43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D3294C"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-0.012</w:t>
            </w:r>
          </w:p>
        </w:tc>
      </w:tr>
      <w:tr w:rsidR="00B074FC" w:rsidRPr="00841586" w14:paraId="0CCB91AE"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23EF6B" w14:textId="77777777" w:rsidR="00B074FC" w:rsidRPr="00334998" w:rsidRDefault="00B074FC" w:rsidP="00B074FC">
            <w:pPr>
              <w:ind w:left="57"/>
              <w:jc w:val="left"/>
              <w:rPr>
                <w:color w:val="000000"/>
                <w:sz w:val="14"/>
                <w:szCs w:val="14"/>
              </w:rPr>
            </w:pPr>
            <w:r w:rsidRPr="00334998">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0A4998A"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0.79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5A3096B"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AAD0FE2" w14:textId="77777777" w:rsidR="00B074FC" w:rsidRPr="00334998" w:rsidRDefault="00B074FC" w:rsidP="00B074FC">
            <w:pPr>
              <w:ind w:left="57"/>
              <w:jc w:val="left"/>
              <w:rPr>
                <w:color w:val="000000"/>
                <w:sz w:val="14"/>
                <w:szCs w:val="14"/>
              </w:rPr>
            </w:pPr>
            <w:r w:rsidRPr="00334998">
              <w:rPr>
                <w:color w:val="000000"/>
                <w:sz w:val="14"/>
                <w:szCs w:val="14"/>
              </w:rPr>
              <w:t>Cobre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C472BEA"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-6.19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6C8F8B"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-0.012</w:t>
            </w:r>
          </w:p>
        </w:tc>
      </w:tr>
      <w:tr w:rsidR="00B074FC" w:rsidRPr="00841586" w14:paraId="43317A2F"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8A06CF1" w14:textId="77777777" w:rsidR="00B074FC" w:rsidRPr="00334998" w:rsidRDefault="00B074FC" w:rsidP="00B074FC">
            <w:pPr>
              <w:ind w:left="57"/>
              <w:jc w:val="left"/>
              <w:rPr>
                <w:color w:val="000000"/>
                <w:sz w:val="14"/>
                <w:szCs w:val="14"/>
              </w:rPr>
            </w:pPr>
            <w:r w:rsidRPr="00334998">
              <w:rPr>
                <w:color w:val="000000"/>
                <w:sz w:val="14"/>
                <w:szCs w:val="14"/>
              </w:rPr>
              <w:t>Vivienda propia y rentada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804440"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0.25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C717E6"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ECCBC9" w14:textId="77777777" w:rsidR="00B074FC" w:rsidRPr="00334998" w:rsidRDefault="00B074FC" w:rsidP="00B074FC">
            <w:pPr>
              <w:ind w:left="57"/>
              <w:jc w:val="left"/>
              <w:rPr>
                <w:color w:val="000000"/>
                <w:sz w:val="14"/>
                <w:szCs w:val="14"/>
              </w:rPr>
            </w:pPr>
            <w:r w:rsidRPr="00334998">
              <w:rPr>
                <w:color w:val="000000"/>
                <w:sz w:val="14"/>
                <w:szCs w:val="14"/>
              </w:rPr>
              <w:t>Gas natural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52DA54"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-5.63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8E892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-0.009</w:t>
            </w:r>
          </w:p>
        </w:tc>
      </w:tr>
      <w:tr w:rsidR="00B074FC" w:rsidRPr="00841586" w14:paraId="59710B95"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5C293A0F" w14:textId="77777777" w:rsidR="00B074FC" w:rsidRPr="00334998" w:rsidRDefault="00B074FC" w:rsidP="00B074FC">
            <w:pPr>
              <w:ind w:left="57"/>
              <w:jc w:val="left"/>
              <w:rPr>
                <w:color w:val="000000"/>
                <w:sz w:val="14"/>
                <w:szCs w:val="14"/>
              </w:rPr>
            </w:pPr>
            <w:r w:rsidRPr="00334998">
              <w:rPr>
                <w:color w:val="000000"/>
                <w:sz w:val="14"/>
                <w:szCs w:val="14"/>
              </w:rPr>
              <w:t>Oro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A53B40"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1.92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1DECC02"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4546B0" w14:textId="77777777" w:rsidR="00B074FC" w:rsidRPr="00334998" w:rsidRDefault="00B074FC" w:rsidP="00B074FC">
            <w:pPr>
              <w:ind w:left="57"/>
              <w:jc w:val="left"/>
              <w:rPr>
                <w:color w:val="000000"/>
                <w:sz w:val="14"/>
                <w:szCs w:val="14"/>
              </w:rPr>
            </w:pPr>
            <w:r w:rsidRPr="00334998">
              <w:rPr>
                <w:color w:val="000000"/>
                <w:sz w:val="14"/>
                <w:szCs w:val="14"/>
              </w:rPr>
              <w:t>Lámina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BB59F3C"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-1.48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AA9DB6"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-0.006</w:t>
            </w:r>
          </w:p>
        </w:tc>
      </w:tr>
      <w:tr w:rsidR="00B074FC" w:rsidRPr="00841586" w14:paraId="635B5AB8"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D6435F" w14:textId="77777777" w:rsidR="00B074FC" w:rsidRPr="00334998" w:rsidRDefault="00B074FC" w:rsidP="00B074FC">
            <w:pPr>
              <w:ind w:left="57"/>
              <w:jc w:val="left"/>
              <w:rPr>
                <w:color w:val="000000"/>
                <w:sz w:val="14"/>
                <w:szCs w:val="14"/>
              </w:rPr>
            </w:pPr>
            <w:r w:rsidRPr="00334998">
              <w:rPr>
                <w:color w:val="000000"/>
                <w:sz w:val="14"/>
                <w:szCs w:val="14"/>
              </w:rPr>
              <w:t>Tomate verde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E3711A"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39.63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76A0E7"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078913" w14:textId="77777777" w:rsidR="00B074FC" w:rsidRPr="00334998" w:rsidRDefault="00B074FC" w:rsidP="00B074FC">
            <w:pPr>
              <w:ind w:left="57"/>
              <w:jc w:val="left"/>
              <w:rPr>
                <w:color w:val="000000"/>
                <w:sz w:val="14"/>
                <w:szCs w:val="14"/>
              </w:rPr>
            </w:pPr>
            <w:r w:rsidRPr="00334998">
              <w:rPr>
                <w:color w:val="000000"/>
                <w:sz w:val="14"/>
                <w:szCs w:val="14"/>
              </w:rPr>
              <w:t>Gas licuado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22587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-5.41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4A9DB9F"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-0.005</w:t>
            </w:r>
          </w:p>
        </w:tc>
      </w:tr>
      <w:tr w:rsidR="00B074FC" w:rsidRPr="00841586" w14:paraId="7DBD371F"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2B43DA1" w14:textId="77777777" w:rsidR="00B074FC" w:rsidRPr="00334998" w:rsidRDefault="00B074FC" w:rsidP="00B074FC">
            <w:pPr>
              <w:ind w:left="57"/>
              <w:jc w:val="left"/>
              <w:rPr>
                <w:color w:val="000000"/>
                <w:sz w:val="14"/>
                <w:szCs w:val="14"/>
              </w:rPr>
            </w:pPr>
            <w:r w:rsidRPr="00334998">
              <w:rPr>
                <w:color w:val="000000"/>
                <w:sz w:val="14"/>
                <w:szCs w:val="14"/>
              </w:rPr>
              <w:t>Muelles y otras partes para suspensión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AD1BD6"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4.73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11AC1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04F0C3" w14:textId="77777777" w:rsidR="00B074FC" w:rsidRPr="00334998" w:rsidRDefault="00B074FC" w:rsidP="00B074FC">
            <w:pPr>
              <w:ind w:left="57"/>
              <w:jc w:val="left"/>
              <w:rPr>
                <w:color w:val="000000"/>
                <w:sz w:val="14"/>
                <w:szCs w:val="14"/>
              </w:rPr>
            </w:pPr>
            <w:r w:rsidRPr="00334998">
              <w:rPr>
                <w:color w:val="000000"/>
                <w:sz w:val="14"/>
                <w:szCs w:val="14"/>
              </w:rPr>
              <w:t>Zinc</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9537F7"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-9.86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90D160"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-0.004</w:t>
            </w:r>
          </w:p>
        </w:tc>
      </w:tr>
      <w:tr w:rsidR="00B074FC" w:rsidRPr="00841586" w14:paraId="6F59BEDE"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F8AC27" w14:textId="77777777" w:rsidR="00B074FC" w:rsidRPr="00334998" w:rsidRDefault="00B074FC" w:rsidP="00B074FC">
            <w:pPr>
              <w:ind w:left="57"/>
              <w:jc w:val="left"/>
              <w:rPr>
                <w:color w:val="000000"/>
                <w:sz w:val="14"/>
                <w:szCs w:val="14"/>
              </w:rPr>
            </w:pPr>
            <w:r w:rsidRPr="00334998">
              <w:rPr>
                <w:color w:val="000000"/>
                <w:sz w:val="14"/>
                <w:szCs w:val="14"/>
              </w:rPr>
              <w:t>Huevo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4F132C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7.02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36CC1F"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419F73" w14:textId="77777777" w:rsidR="00B074FC" w:rsidRPr="00334998" w:rsidRDefault="00B074FC" w:rsidP="00B074FC">
            <w:pPr>
              <w:ind w:left="57"/>
              <w:jc w:val="left"/>
              <w:rPr>
                <w:color w:val="000000"/>
                <w:sz w:val="14"/>
                <w:szCs w:val="14"/>
              </w:rPr>
            </w:pPr>
            <w:r w:rsidRPr="00334998">
              <w:rPr>
                <w:color w:val="000000"/>
                <w:sz w:val="14"/>
                <w:szCs w:val="14"/>
              </w:rPr>
              <w:t>Gasolina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8EBE9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-0.66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3383F2"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-0.004</w:t>
            </w:r>
          </w:p>
        </w:tc>
      </w:tr>
      <w:tr w:rsidR="00B074FC" w:rsidRPr="00841586" w14:paraId="523E03C3"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FC3053" w14:textId="77777777" w:rsidR="00B074FC" w:rsidRPr="00334998" w:rsidRDefault="00B074FC" w:rsidP="00B074FC">
            <w:pPr>
              <w:ind w:left="57"/>
              <w:jc w:val="left"/>
              <w:rPr>
                <w:color w:val="000000"/>
                <w:sz w:val="14"/>
                <w:szCs w:val="14"/>
              </w:rPr>
            </w:pPr>
            <w:r w:rsidRPr="00334998">
              <w:rPr>
                <w:color w:val="000000"/>
                <w:sz w:val="14"/>
                <w:szCs w:val="14"/>
              </w:rPr>
              <w:t>Universidad</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5D6CCB9"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0.97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78B69D"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0.011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0283F9" w14:textId="77777777" w:rsidR="00B074FC" w:rsidRPr="00334998" w:rsidRDefault="00B074FC" w:rsidP="00B074FC">
            <w:pPr>
              <w:ind w:left="57"/>
              <w:jc w:val="left"/>
              <w:rPr>
                <w:color w:val="000000"/>
                <w:sz w:val="14"/>
                <w:szCs w:val="14"/>
              </w:rPr>
            </w:pPr>
            <w:r w:rsidRPr="00334998">
              <w:rPr>
                <w:color w:val="000000"/>
                <w:sz w:val="14"/>
                <w:szCs w:val="14"/>
              </w:rPr>
              <w:t>Computadoras y accesorios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8DA040"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-0.30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49AB51"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-0.003</w:t>
            </w:r>
          </w:p>
        </w:tc>
      </w:tr>
      <w:tr w:rsidR="00B074FC" w:rsidRPr="00841586" w14:paraId="68BB9921"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02338AA" w14:textId="77777777" w:rsidR="00B074FC" w:rsidRPr="00334998" w:rsidRDefault="00B074FC" w:rsidP="00B074FC">
            <w:pPr>
              <w:ind w:left="57"/>
              <w:jc w:val="left"/>
              <w:rPr>
                <w:color w:val="000000"/>
                <w:sz w:val="14"/>
                <w:szCs w:val="14"/>
              </w:rPr>
            </w:pPr>
            <w:r w:rsidRPr="00334998">
              <w:rPr>
                <w:color w:val="000000"/>
                <w:sz w:val="14"/>
                <w:szCs w:val="14"/>
              </w:rPr>
              <w:t>Agencias de empleo y suministro de personal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41B004"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0.37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0A76A0"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575A48D" w14:textId="77777777" w:rsidR="00B074FC" w:rsidRPr="00334998" w:rsidRDefault="00B074FC" w:rsidP="00B074FC">
            <w:pPr>
              <w:ind w:left="57"/>
              <w:jc w:val="left"/>
              <w:rPr>
                <w:color w:val="000000"/>
                <w:sz w:val="14"/>
                <w:szCs w:val="14"/>
              </w:rPr>
            </w:pPr>
            <w:r w:rsidRPr="00334998">
              <w:rPr>
                <w:color w:val="000000"/>
                <w:sz w:val="14"/>
                <w:szCs w:val="14"/>
              </w:rPr>
              <w:t>Asientos para vehículos automotrices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D36998E"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-0.50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AD9861"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-0.003</w:t>
            </w:r>
          </w:p>
        </w:tc>
      </w:tr>
      <w:tr w:rsidR="00B074FC" w:rsidRPr="00841586" w14:paraId="7E84A99D" w14:textId="77777777" w:rsidTr="00391EF3">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EE634C" w14:textId="77777777" w:rsidR="00B074FC" w:rsidRPr="00334998" w:rsidRDefault="00B074FC" w:rsidP="00B074FC">
            <w:pPr>
              <w:ind w:left="57"/>
              <w:jc w:val="left"/>
              <w:rPr>
                <w:color w:val="000000"/>
                <w:sz w:val="14"/>
                <w:szCs w:val="14"/>
              </w:rPr>
            </w:pPr>
            <w:r w:rsidRPr="00334998">
              <w:rPr>
                <w:color w:val="000000"/>
                <w:sz w:val="14"/>
                <w:szCs w:val="14"/>
              </w:rPr>
              <w:t>Refrescos envasados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64526B"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0.96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BABDCB"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0FF661" w14:textId="77777777" w:rsidR="00B074FC" w:rsidRPr="00334998" w:rsidRDefault="00B074FC" w:rsidP="00B074FC">
            <w:pPr>
              <w:ind w:left="57"/>
              <w:jc w:val="left"/>
              <w:rPr>
                <w:color w:val="000000"/>
                <w:sz w:val="14"/>
                <w:szCs w:val="14"/>
              </w:rPr>
            </w:pPr>
            <w:r w:rsidRPr="00334998">
              <w:rPr>
                <w:color w:val="000000"/>
                <w:sz w:val="14"/>
                <w:szCs w:val="14"/>
              </w:rPr>
              <w:t>Cobre afinado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86BB4B7"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-6.20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00A347"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-0.003</w:t>
            </w:r>
          </w:p>
        </w:tc>
      </w:tr>
      <w:tr w:rsidR="00B074FC" w:rsidRPr="00841586" w14:paraId="1FF6F3E8" w14:textId="77777777" w:rsidTr="00391EF3">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426BEF89" w14:textId="77777777" w:rsidR="00B074FC" w:rsidRPr="00334998" w:rsidRDefault="00B074FC" w:rsidP="00B074FC">
            <w:pPr>
              <w:ind w:left="57"/>
              <w:jc w:val="left"/>
              <w:rPr>
                <w:color w:val="000000"/>
                <w:sz w:val="14"/>
                <w:szCs w:val="14"/>
              </w:rPr>
            </w:pPr>
            <w:r w:rsidRPr="00334998">
              <w:rPr>
                <w:color w:val="000000"/>
                <w:sz w:val="14"/>
                <w:szCs w:val="14"/>
              </w:rPr>
              <w:t>Hoteles</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41D12C38"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0.60</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109A24D5"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0.006</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0483B39C" w14:textId="77777777" w:rsidR="00B074FC" w:rsidRPr="00334998" w:rsidRDefault="00B074FC" w:rsidP="00B074FC">
            <w:pPr>
              <w:ind w:left="57"/>
              <w:jc w:val="left"/>
              <w:rPr>
                <w:color w:val="000000"/>
                <w:sz w:val="14"/>
                <w:szCs w:val="14"/>
              </w:rPr>
            </w:pPr>
            <w:r w:rsidRPr="00334998">
              <w:rPr>
                <w:color w:val="000000"/>
                <w:sz w:val="14"/>
                <w:szCs w:val="14"/>
              </w:rPr>
              <w:t>Cebolla</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4B8E0BF0"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-7.75</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236CCCBB" w14:textId="77777777" w:rsidR="00B074FC" w:rsidRPr="00334998" w:rsidRDefault="00B074FC" w:rsidP="00391EF3">
            <w:pPr>
              <w:autoSpaceDE w:val="0"/>
              <w:autoSpaceDN w:val="0"/>
              <w:adjustRightInd w:val="0"/>
              <w:ind w:right="283"/>
              <w:jc w:val="right"/>
              <w:rPr>
                <w:bCs/>
                <w:color w:val="000000"/>
                <w:sz w:val="14"/>
                <w:szCs w:val="14"/>
              </w:rPr>
            </w:pPr>
            <w:r w:rsidRPr="00334998">
              <w:rPr>
                <w:bCs/>
                <w:color w:val="000000"/>
                <w:sz w:val="14"/>
                <w:szCs w:val="14"/>
              </w:rPr>
              <w:t>-0.003</w:t>
            </w:r>
          </w:p>
        </w:tc>
      </w:tr>
    </w:tbl>
    <w:bookmarkEnd w:id="7"/>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288F1DBE" w14:textId="3693DB12" w:rsidR="00DE0B7A" w:rsidRPr="00875DDC" w:rsidRDefault="00B074FC" w:rsidP="00DE0B7A">
      <w:pPr>
        <w:keepNext/>
        <w:keepLines/>
        <w:spacing w:before="600"/>
        <w:jc w:val="left"/>
        <w:rPr>
          <w:b/>
          <w:i/>
        </w:rPr>
      </w:pPr>
      <w:r w:rsidRPr="00D6504D">
        <w:rPr>
          <w:b/>
          <w:i/>
        </w:rPr>
        <w:t xml:space="preserve">Nota metodológica </w:t>
      </w:r>
    </w:p>
    <w:p w14:paraId="3E0B95FC" w14:textId="78184EE7" w:rsidR="00B074FC" w:rsidRPr="00B074FC" w:rsidRDefault="00B074FC" w:rsidP="00B074FC">
      <w:pPr>
        <w:spacing w:before="240"/>
        <w:rPr>
          <w:b/>
          <w:snapToGrid w:val="0"/>
        </w:rPr>
      </w:pPr>
      <w:r w:rsidRPr="00B074FC">
        <w:rPr>
          <w:snapToGrid w:val="0"/>
        </w:rPr>
        <w:t xml:space="preserve">El Índice Nacional de Precios Productor (INPP) es un indicador económico que mide la evolución de los precios de una canasta fija de bienes y servicios representativa de la producción nacional. Integra un conjunto de Índices de precios que permiten medir la variación de los precios de bienes y servicios por origen sectorial de la producción, y de acuerdo su destino, en cuanto a bienes intermedios y finales; estos últimos para el </w:t>
      </w:r>
      <w:r w:rsidR="00401E08">
        <w:rPr>
          <w:snapToGrid w:val="0"/>
        </w:rPr>
        <w:t>c</w:t>
      </w:r>
      <w:r w:rsidRPr="00B074FC">
        <w:rPr>
          <w:snapToGrid w:val="0"/>
        </w:rPr>
        <w:t xml:space="preserve">onsumo, la </w:t>
      </w:r>
      <w:r w:rsidR="00401E08">
        <w:rPr>
          <w:snapToGrid w:val="0"/>
        </w:rPr>
        <w:t>f</w:t>
      </w:r>
      <w:r w:rsidRPr="00B074FC">
        <w:rPr>
          <w:snapToGrid w:val="0"/>
        </w:rPr>
        <w:t xml:space="preserve">ormación de </w:t>
      </w:r>
      <w:r w:rsidR="00401E08">
        <w:rPr>
          <w:snapToGrid w:val="0"/>
        </w:rPr>
        <w:t>c</w:t>
      </w:r>
      <w:r w:rsidRPr="00B074FC">
        <w:rPr>
          <w:snapToGrid w:val="0"/>
        </w:rPr>
        <w:t xml:space="preserve">apital y las </w:t>
      </w:r>
      <w:r w:rsidR="00401E08">
        <w:rPr>
          <w:snapToGrid w:val="0"/>
        </w:rPr>
        <w:t>e</w:t>
      </w:r>
      <w:r w:rsidRPr="00B074FC">
        <w:rPr>
          <w:snapToGrid w:val="0"/>
        </w:rPr>
        <w:t>xportaciones.</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Periodo de referencia</w:t>
      </w:r>
    </w:p>
    <w:p w14:paraId="7389CFB8" w14:textId="7A100B5B" w:rsidR="00B074FC" w:rsidRDefault="00B074FC"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Pr="00B074FC">
        <w:rPr>
          <w:snapToGrid w:val="0"/>
        </w:rPr>
        <w:t xml:space="preserve">. </w:t>
      </w:r>
    </w:p>
    <w:p w14:paraId="31B85698" w14:textId="4290BA8F" w:rsidR="0041700C" w:rsidRDefault="0041700C">
      <w:pPr>
        <w:jc w:val="left"/>
        <w:rPr>
          <w:snapToGrid w:val="0"/>
        </w:rPr>
      </w:pPr>
      <w:r>
        <w:rPr>
          <w:snapToGrid w:val="0"/>
        </w:rPr>
        <w:br w:type="page"/>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lastRenderedPageBreak/>
        <w:t>Canasta de bienes y servicios</w:t>
      </w:r>
    </w:p>
    <w:p w14:paraId="6ED826F2" w14:textId="7EF13B9C" w:rsidR="00B074FC" w:rsidRPr="0041700C" w:rsidRDefault="00B074FC" w:rsidP="006260AF">
      <w:pPr>
        <w:spacing w:before="60"/>
        <w:ind w:left="357"/>
        <w:rPr>
          <w:snapToGrid w:val="0"/>
          <w:lang w:val="es-MX"/>
        </w:rPr>
      </w:pPr>
      <w:r w:rsidRPr="0041700C">
        <w:rPr>
          <w:snapToGrid w:val="0"/>
          <w:lang w:val="es-MX"/>
        </w:rPr>
        <w:t>La canasta de bienes y servicios se integra de 560 productos y servicios genéricos</w:t>
      </w:r>
      <w:r w:rsidRPr="00134108">
        <w:rPr>
          <w:snapToGrid w:val="0"/>
          <w:vertAlign w:val="superscript"/>
          <w:lang w:val="es-MX"/>
        </w:rPr>
        <w:footnoteReference w:id="2"/>
      </w:r>
      <w:r w:rsidRPr="0041700C">
        <w:rPr>
          <w:snapToGrid w:val="0"/>
          <w:lang w:val="es-MX"/>
        </w:rPr>
        <w:t>, de los cuáles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al 0.005</w:t>
      </w:r>
      <w:r w:rsidR="0041700C">
        <w:rPr>
          <w:snapToGrid w:val="0"/>
          <w:lang w:val="es-MX"/>
        </w:rPr>
        <w:t xml:space="preserve"> por ciento.</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54909419" w:rsidR="00B074FC" w:rsidRPr="00B074FC" w:rsidRDefault="00B074FC"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México, así como con información de los Censos Económicos 2014, registros administrativos proporcionados por Petróleos Mexicanos, el Sistema de Información Agropecuaria y Pesquera, </w:t>
      </w:r>
      <w:r w:rsidR="00401E08">
        <w:rPr>
          <w:snapToGrid w:val="0"/>
          <w:lang w:val="es-MX"/>
        </w:rPr>
        <w:t xml:space="preserve">y </w:t>
      </w:r>
      <w:r w:rsidRPr="0041700C">
        <w:rPr>
          <w:snapToGrid w:val="0"/>
          <w:lang w:val="es-MX"/>
        </w:rPr>
        <w:t>la Encuesta Mensual de la Industria Manufacturera 2017, entre otros</w:t>
      </w:r>
      <w:r w:rsidRPr="00B074FC">
        <w:rPr>
          <w:snapToGrid w:val="0"/>
          <w:lang w:val="es-ES"/>
        </w:rPr>
        <w:t xml:space="preserve">. </w:t>
      </w: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Cobertura Sectorial del INPP</w:t>
      </w:r>
    </w:p>
    <w:p w14:paraId="2ED1C23E" w14:textId="5C219DA6" w:rsidR="00B074FC" w:rsidRPr="00B074FC" w:rsidRDefault="00B074FC"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sidR="00401E08">
        <w:rPr>
          <w:snapToGrid w:val="0"/>
        </w:rPr>
        <w:t>s</w:t>
      </w:r>
      <w:r w:rsidRPr="00B074FC">
        <w:rPr>
          <w:snapToGrid w:val="0"/>
        </w:rPr>
        <w:t xml:space="preserve">ectores de </w:t>
      </w:r>
      <w:r w:rsidR="00401E08">
        <w:rPr>
          <w:snapToGrid w:val="0"/>
        </w:rPr>
        <w:t>a</w:t>
      </w:r>
      <w:r w:rsidRPr="00B074FC">
        <w:rPr>
          <w:snapToGrid w:val="0"/>
        </w:rPr>
        <w:t xml:space="preserve">ctividad </w:t>
      </w:r>
      <w:r w:rsidR="00401E08">
        <w:rPr>
          <w:snapToGrid w:val="0"/>
        </w:rPr>
        <w:t>e</w:t>
      </w:r>
      <w:r w:rsidRPr="00B074FC">
        <w:rPr>
          <w:snapToGrid w:val="0"/>
        </w:rPr>
        <w:t xml:space="preserve">conómica del SCIAN </w:t>
      </w:r>
      <w:r w:rsidR="00401E08">
        <w:rPr>
          <w:snapToGrid w:val="0"/>
        </w:rPr>
        <w:t>2013, 62 subsectores, 168 ramas, 268 s</w:t>
      </w:r>
      <w:r w:rsidRPr="00B074FC">
        <w:rPr>
          <w:snapToGrid w:val="0"/>
        </w:rPr>
        <w:t xml:space="preserve">ubramas y 344 </w:t>
      </w:r>
      <w:r w:rsidR="00401E08">
        <w:rPr>
          <w:snapToGrid w:val="0"/>
        </w:rPr>
        <w:t>c</w:t>
      </w:r>
      <w:r w:rsidRPr="00B074FC">
        <w:rPr>
          <w:snapToGrid w:val="0"/>
        </w:rPr>
        <w:t>lases de actividad económica, lo cual representa el 79.2 por ciento del valor de la producción nacional registrada en los Cuadros de Oferta y Utilización de 2017.</w:t>
      </w:r>
    </w:p>
    <w:p w14:paraId="0342D9AE"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0DDDAEDE" w:rsidR="00B074FC" w:rsidRPr="00B074FC" w:rsidRDefault="00B074FC" w:rsidP="006260AF">
      <w:pPr>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sidR="00134108">
        <w:rPr>
          <w:snapToGrid w:val="0"/>
        </w:rPr>
        <w:t xml:space="preserve">de </w:t>
      </w:r>
      <w:r w:rsidRPr="00B074FC">
        <w:rPr>
          <w:snapToGrid w:val="0"/>
        </w:rPr>
        <w:t>registros administrativos del Sistema Nacional de Información e Integración de Mercados (SNIIM), la CFE y PEMEX, entre otros.</w:t>
      </w:r>
    </w:p>
    <w:p w14:paraId="0C4989FC" w14:textId="0EA9319A" w:rsidR="0041700C" w:rsidRDefault="0041700C">
      <w:pPr>
        <w:jc w:val="left"/>
        <w:rPr>
          <w:b/>
          <w:snapToGrid w:val="0"/>
        </w:rPr>
      </w:pPr>
      <w:r>
        <w:rPr>
          <w:b/>
          <w:snapToGrid w:val="0"/>
        </w:rPr>
        <w:br w:type="page"/>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Cálculo del INPP</w:t>
      </w:r>
    </w:p>
    <w:p w14:paraId="1FB811D2" w14:textId="77777777" w:rsidR="00B074FC" w:rsidRPr="00B074FC" w:rsidRDefault="00B074FC"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 la primera, que considera el cálculo de los índices elementales o índices de genéricos, los cuales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 mediante el Índice de Laspeyres, para construir los índices agregados de nivel superior.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7E9D4B91" w14:textId="77777777" w:rsidR="00DC58B9" w:rsidRPr="00FA4ADD" w:rsidRDefault="00DC58B9" w:rsidP="00134108">
      <w:pPr>
        <w:spacing w:before="60"/>
        <w:ind w:left="357"/>
      </w:pPr>
      <w:r w:rsidRPr="00FA4ADD">
        <w:t>El cálculo y divulgación del INPP es mensual; se publica los días 10 de cada mes en el Diario Oficial de la Federación, o el día hábil anterior en caso de que esta fecha sea sábado, domingo o día festivo. Por internet se difunde en la página del INEGI, un día antes de su publicación en el Diario Oficial, junto con un Comunicado de prensa.</w:t>
      </w:r>
    </w:p>
    <w:p w14:paraId="7368FE09" w14:textId="77777777" w:rsidR="00DC58B9" w:rsidRPr="00E45F62" w:rsidRDefault="00DC58B9" w:rsidP="00DC58B9">
      <w:pPr>
        <w:pStyle w:val="Texto"/>
        <w:autoSpaceDE w:val="0"/>
        <w:autoSpaceDN w:val="0"/>
        <w:adjustRightInd w:val="0"/>
        <w:spacing w:before="60" w:after="0" w:line="240" w:lineRule="auto"/>
        <w:ind w:left="357" w:firstLine="0"/>
        <w:rPr>
          <w:sz w:val="24"/>
          <w:szCs w:val="24"/>
          <w:lang w:val="es-ES_tradnl"/>
        </w:rPr>
      </w:pPr>
      <w:r w:rsidRPr="00FA4ADD">
        <w:rPr>
          <w:sz w:val="24"/>
          <w:szCs w:val="28"/>
        </w:rPr>
        <w:t>Debido a que algunas fuentes de información pueden actualizar sus cifras, los resultados del INPP son preliminares, susceptibles de actualización hasta cuatro meses posteriores a la publicación de éste. Asimismo, se publican por el lado de la oferta (por origen o por quién los produce), y por el lado de la demanda (por destino o por quién los consume), tanto para bienes finales como para bienes intermedios.</w:t>
      </w:r>
    </w:p>
    <w:p w14:paraId="78FECA46" w14:textId="7A8C96A6" w:rsidR="00F361F9" w:rsidRDefault="00521B4F" w:rsidP="00521B4F">
      <w:pPr>
        <w:spacing w:before="240"/>
        <w:rPr>
          <w:snapToGrid w:val="0"/>
        </w:rPr>
      </w:pPr>
      <w:r>
        <w:rPr>
          <w:snapToGrid w:val="0"/>
        </w:rPr>
        <w:t>La información contenida en este documento es generada por el INEGI con base en los Índices de Precios y se da a conocer en la fecha establecida en el Calendario de difusión de información estadística y geográfica y de Interés Nacional.</w:t>
      </w:r>
    </w:p>
    <w:p w14:paraId="746E266B" w14:textId="77777777" w:rsidR="00B074FC" w:rsidRPr="00B074FC" w:rsidRDefault="00B074FC" w:rsidP="00521B4F">
      <w:pPr>
        <w:spacing w:before="240"/>
        <w:rPr>
          <w:snapToGrid w:val="0"/>
        </w:rPr>
      </w:pPr>
      <w:r w:rsidRPr="00B074FC">
        <w:rPr>
          <w:snapToGrid w:val="0"/>
        </w:rPr>
        <w:t xml:space="preserve">Para mayor detalle del diseño conceptual y metodológico del INPP consultar la página en Internet del INEGI: </w:t>
      </w:r>
      <w:hyperlink r:id="rId28"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p>
    <w:p w14:paraId="0F9B1450" w14:textId="75B9F417" w:rsidR="00A6567C" w:rsidRPr="00B074FC" w:rsidRDefault="00B074FC" w:rsidP="00FA4ADD">
      <w:pPr>
        <w:spacing w:before="360"/>
        <w:jc w:val="right"/>
        <w:rPr>
          <w:b/>
          <w:snapToGrid w:val="0"/>
        </w:rPr>
      </w:pPr>
      <w:r w:rsidRPr="00B074FC">
        <w:rPr>
          <w:i/>
          <w:iCs/>
          <w:noProof/>
          <w:snapToGrid w:val="0"/>
          <w:lang w:val="es-MX" w:eastAsia="es-MX"/>
        </w:rPr>
        <w:drawing>
          <wp:inline distT="0" distB="0" distL="0" distR="0" wp14:anchorId="7122A0A3" wp14:editId="3978D9D3">
            <wp:extent cx="4587472" cy="1656000"/>
            <wp:effectExtent l="38100" t="0" r="41910" b="400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87472" cy="1656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A6567C" w:rsidRPr="00B074FC" w:rsidSect="003D5B8A">
      <w:headerReference w:type="default" r:id="rId30"/>
      <w:footerReference w:type="default" r:id="rId31"/>
      <w:pgSz w:w="12242" w:h="15842" w:code="1"/>
      <w:pgMar w:top="2552" w:right="1418" w:bottom="1134" w:left="1418" w:header="510" w:footer="34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336AE" w14:textId="77777777" w:rsidR="000A4D3C" w:rsidRDefault="000A4D3C">
      <w:r>
        <w:separator/>
      </w:r>
    </w:p>
  </w:endnote>
  <w:endnote w:type="continuationSeparator" w:id="0">
    <w:p w14:paraId="09659D94" w14:textId="77777777" w:rsidR="000A4D3C" w:rsidRDefault="000A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F754" w14:textId="77777777" w:rsidR="0036279A" w:rsidRDefault="003627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C34B" w14:textId="77777777" w:rsidR="0094242F" w:rsidRPr="002C0DF9" w:rsidRDefault="0094242F" w:rsidP="0094242F">
    <w:pPr>
      <w:pStyle w:val="Piedepgina"/>
      <w:contextualSpacing/>
      <w:jc w:val="center"/>
      <w:rPr>
        <w:color w:val="002060"/>
        <w:sz w:val="18"/>
        <w:szCs w:val="18"/>
      </w:rPr>
    </w:pPr>
    <w:r w:rsidRPr="002C0DF9">
      <w:rPr>
        <w:b/>
        <w:color w:val="002060"/>
        <w:sz w:val="18"/>
        <w:szCs w:val="18"/>
      </w:rPr>
      <w:t>COMUNICACIÓN SOCIAL</w:t>
    </w:r>
  </w:p>
  <w:p w14:paraId="782FD6A1" w14:textId="77777777" w:rsidR="0094242F" w:rsidRPr="00BA5C45" w:rsidRDefault="0094242F" w:rsidP="0094242F">
    <w:pPr>
      <w:pStyle w:val="Piedepgina"/>
      <w:spacing w:before="60"/>
      <w:contextualSpacing/>
      <w:jc w:val="center"/>
      <w:rPr>
        <w:color w:val="002060"/>
        <w:sz w:val="18"/>
        <w:szCs w:val="18"/>
      </w:rPr>
    </w:pPr>
  </w:p>
  <w:p w14:paraId="5E49DC24" w14:textId="77777777" w:rsidR="0094242F" w:rsidRPr="00265B8C" w:rsidRDefault="0094242F" w:rsidP="0094242F">
    <w:pPr>
      <w:pStyle w:val="Piedepgina"/>
      <w:contextualSpacing/>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421B" w14:textId="77777777" w:rsidR="0036279A" w:rsidRDefault="0036279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76F" w14:textId="77777777" w:rsidR="0094242F" w:rsidRDefault="0094242F"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64F84" w14:textId="77777777" w:rsidR="000A4D3C" w:rsidRDefault="000A4D3C">
      <w:r>
        <w:separator/>
      </w:r>
    </w:p>
  </w:footnote>
  <w:footnote w:type="continuationSeparator" w:id="0">
    <w:p w14:paraId="476AAEBD" w14:textId="77777777" w:rsidR="000A4D3C" w:rsidRDefault="000A4D3C">
      <w:r>
        <w:continuationSeparator/>
      </w:r>
    </w:p>
  </w:footnote>
  <w:footnote w:id="1">
    <w:p w14:paraId="068E01D8" w14:textId="77777777" w:rsidR="0094242F" w:rsidRDefault="0094242F" w:rsidP="00CB3E59">
      <w:pPr>
        <w:pStyle w:val="Textonotapie"/>
        <w:ind w:left="170" w:right="-738" w:hanging="170"/>
        <w:rPr>
          <w:spacing w:val="-2"/>
          <w:sz w:val="16"/>
          <w:szCs w:val="16"/>
        </w:rPr>
      </w:pPr>
      <w:r>
        <w:rPr>
          <w:rStyle w:val="Refdenotaalpie"/>
        </w:rPr>
        <w:footnoteRef/>
      </w:r>
      <w:r>
        <w:tab/>
      </w:r>
      <w:r w:rsidRPr="00561AFD">
        <w:rPr>
          <w:sz w:val="16"/>
        </w:rPr>
        <w:t>Nota general:</w:t>
      </w:r>
      <w:r w:rsidRPr="00561AFD">
        <w:rPr>
          <w:spacing w:val="-2"/>
          <w:sz w:val="16"/>
          <w:szCs w:val="16"/>
        </w:rPr>
        <w:t xml:space="preserve"> </w:t>
      </w:r>
      <w:r>
        <w:rPr>
          <w:spacing w:val="-2"/>
          <w:sz w:val="16"/>
          <w:szCs w:val="16"/>
        </w:rPr>
        <w:t>Todas l</w:t>
      </w:r>
      <w:r w:rsidRPr="00034732">
        <w:rPr>
          <w:spacing w:val="-2"/>
          <w:sz w:val="16"/>
          <w:szCs w:val="16"/>
        </w:rPr>
        <w:t>as variaciones anuales durante el primer año del INPP base julio de 2019 se continuarán comparando con el índice de la base anterior.</w:t>
      </w:r>
    </w:p>
    <w:p w14:paraId="10E967E8" w14:textId="77777777" w:rsidR="0094242F" w:rsidRPr="00717509" w:rsidRDefault="0094242F" w:rsidP="00CB3E59">
      <w:pPr>
        <w:pStyle w:val="Textonotapie"/>
        <w:ind w:left="170" w:right="-738" w:hanging="170"/>
        <w:rPr>
          <w:lang w:val="es-MX"/>
        </w:rPr>
      </w:pPr>
    </w:p>
  </w:footnote>
  <w:footnote w:id="2">
    <w:p w14:paraId="4A1EF473" w14:textId="701F86E6" w:rsidR="0094242F" w:rsidRDefault="0094242F" w:rsidP="00134108">
      <w:pPr>
        <w:pStyle w:val="Textonotapie"/>
        <w:ind w:left="170" w:hanging="170"/>
      </w:pPr>
      <w:r>
        <w:rPr>
          <w:rStyle w:val="Refdenotaalpie"/>
        </w:rPr>
        <w:footnoteRef/>
      </w:r>
      <w:r>
        <w:tab/>
      </w:r>
      <w:r w:rsidRPr="006301B8">
        <w:rPr>
          <w:sz w:val="16"/>
          <w:szCs w:val="16"/>
        </w:rPr>
        <w:t xml:space="preserve">Producto Genérico. </w:t>
      </w:r>
      <w:r w:rsidRPr="006301B8">
        <w:rPr>
          <w:color w:val="000000"/>
          <w:sz w:val="16"/>
          <w:szCs w:val="16"/>
        </w:rPr>
        <w:t>Conjunto de bienes y servicios de la canasta del INP</w:t>
      </w:r>
      <w:r>
        <w:rPr>
          <w:color w:val="000000"/>
          <w:sz w:val="16"/>
          <w:szCs w:val="16"/>
        </w:rPr>
        <w:t>P</w:t>
      </w:r>
      <w:r w:rsidRPr="006301B8">
        <w:rPr>
          <w:color w:val="000000"/>
          <w:sz w:val="16"/>
          <w:szCs w:val="16"/>
        </w:rPr>
        <w:t xml:space="preserve"> que poseen alto grado de homogeneidad; se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 xml:space="preserve">y ponderación propia con la que se calculan los índices </w:t>
      </w:r>
      <w:proofErr w:type="gramStart"/>
      <w:r w:rsidRPr="006301B8">
        <w:rPr>
          <w:color w:val="000000"/>
          <w:sz w:val="16"/>
          <w:szCs w:val="16"/>
        </w:rPr>
        <w:t>de acuerdo a</w:t>
      </w:r>
      <w:proofErr w:type="gramEnd"/>
      <w:r w:rsidRPr="006301B8">
        <w:rPr>
          <w:color w:val="000000"/>
          <w:sz w:val="16"/>
          <w:szCs w:val="16"/>
        </w:rPr>
        <w:t xml:space="preserve">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B1EB" w14:textId="77777777" w:rsidR="0036279A" w:rsidRDefault="003627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D7BE" w14:textId="0F844FEB" w:rsidR="0094242F" w:rsidRPr="00265B8C" w:rsidRDefault="0094242F" w:rsidP="0036279A">
    <w:pPr>
      <w:pStyle w:val="Encabezado"/>
      <w:framePr w:w="5848" w:hSpace="141" w:wrap="auto" w:vAnchor="text" w:hAnchor="page" w:x="5251" w:y="32"/>
      <w:ind w:left="567" w:hanging="11"/>
      <w:jc w:val="right"/>
      <w:rPr>
        <w:b/>
        <w:color w:val="002060"/>
      </w:rPr>
    </w:pPr>
    <w:bookmarkStart w:id="0" w:name="_GoBack"/>
    <w:r w:rsidRPr="00265B8C">
      <w:rPr>
        <w:b/>
        <w:color w:val="002060"/>
      </w:rPr>
      <w:t xml:space="preserve">COMUNICADO DE PRENSA NÚM. </w:t>
    </w:r>
    <w:r w:rsidR="0036279A">
      <w:rPr>
        <w:b/>
        <w:color w:val="002060"/>
      </w:rPr>
      <w:t>129</w:t>
    </w:r>
    <w:r w:rsidRPr="00265B8C">
      <w:rPr>
        <w:b/>
        <w:color w:val="002060"/>
      </w:rPr>
      <w:t>/</w:t>
    </w:r>
    <w:r>
      <w:rPr>
        <w:b/>
        <w:color w:val="002060"/>
      </w:rPr>
      <w:t>20</w:t>
    </w:r>
  </w:p>
  <w:p w14:paraId="76B87128" w14:textId="77777777" w:rsidR="0094242F" w:rsidRPr="00265B8C" w:rsidRDefault="0094242F" w:rsidP="0036279A">
    <w:pPr>
      <w:pStyle w:val="Encabezado"/>
      <w:framePr w:w="5848" w:hSpace="141" w:wrap="auto" w:vAnchor="text" w:hAnchor="page" w:x="5251" w:y="32"/>
      <w:ind w:left="567" w:hanging="11"/>
      <w:jc w:val="right"/>
      <w:rPr>
        <w:b/>
        <w:color w:val="002060"/>
        <w:lang w:val="pt-BR"/>
      </w:rPr>
    </w:pPr>
    <w:r>
      <w:rPr>
        <w:b/>
        <w:color w:val="002060"/>
        <w:lang w:val="pt-BR"/>
      </w:rPr>
      <w:t>9</w:t>
    </w:r>
    <w:r w:rsidRPr="00265B8C">
      <w:rPr>
        <w:b/>
        <w:color w:val="002060"/>
        <w:lang w:val="pt-BR"/>
      </w:rPr>
      <w:t xml:space="preserve"> DE</w:t>
    </w:r>
    <w:r>
      <w:rPr>
        <w:b/>
        <w:color w:val="002060"/>
        <w:lang w:val="pt-BR"/>
      </w:rPr>
      <w:t xml:space="preserve"> MARZO DE 2020</w:t>
    </w:r>
  </w:p>
  <w:p w14:paraId="1CDA0345" w14:textId="77777777" w:rsidR="0094242F" w:rsidRPr="00265B8C" w:rsidRDefault="0094242F" w:rsidP="0036279A">
    <w:pPr>
      <w:pStyle w:val="Encabezado"/>
      <w:framePr w:w="5848" w:hSpace="141" w:wrap="auto" w:vAnchor="text" w:hAnchor="page" w:x="5251"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72BC2BBB" w14:textId="77777777" w:rsidR="0094242F" w:rsidRDefault="0094242F" w:rsidP="0094242F">
    <w:pPr>
      <w:pStyle w:val="Encabezado"/>
      <w:ind w:left="-993"/>
    </w:pPr>
    <w:r>
      <w:rPr>
        <w:noProof/>
      </w:rPr>
      <w:drawing>
        <wp:inline distT="0" distB="0" distL="0" distR="0" wp14:anchorId="5CF4E26F" wp14:editId="399FA00E">
          <wp:extent cx="927615" cy="963545"/>
          <wp:effectExtent l="0" t="0" r="635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C1B7" w14:textId="77777777" w:rsidR="0036279A" w:rsidRDefault="0036279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0D4" w14:textId="5E4D9B6D" w:rsidR="0094242F" w:rsidRDefault="0094242F" w:rsidP="00CB3E59">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65914156">
          <wp:extent cx="928800" cy="964800"/>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9"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1"/>
  </w:num>
  <w:num w:numId="13">
    <w:abstractNumId w:val="22"/>
  </w:num>
  <w:num w:numId="14">
    <w:abstractNumId w:val="12"/>
  </w:num>
  <w:num w:numId="15">
    <w:abstractNumId w:val="9"/>
  </w:num>
  <w:num w:numId="16">
    <w:abstractNumId w:val="16"/>
  </w:num>
  <w:num w:numId="17">
    <w:abstractNumId w:val="11"/>
  </w:num>
  <w:num w:numId="18">
    <w:abstractNumId w:val="14"/>
  </w:num>
  <w:num w:numId="19">
    <w:abstractNumId w:val="6"/>
  </w:num>
  <w:num w:numId="20">
    <w:abstractNumId w:val="3"/>
  </w:num>
  <w:num w:numId="21">
    <w:abstractNumId w:val="10"/>
  </w:num>
  <w:num w:numId="22">
    <w:abstractNumId w:val="13"/>
  </w:num>
  <w:num w:numId="23">
    <w:abstractNumId w:val="1"/>
  </w:num>
  <w:num w:numId="24">
    <w:abstractNumId w:val="17"/>
  </w:num>
  <w:num w:numId="25">
    <w:abstractNumId w:val="15"/>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3C25"/>
    <w:rsid w:val="00003C68"/>
    <w:rsid w:val="00004291"/>
    <w:rsid w:val="0000458A"/>
    <w:rsid w:val="000050C6"/>
    <w:rsid w:val="00005940"/>
    <w:rsid w:val="000059E8"/>
    <w:rsid w:val="00006B5A"/>
    <w:rsid w:val="00006DFC"/>
    <w:rsid w:val="000078B1"/>
    <w:rsid w:val="00007A1A"/>
    <w:rsid w:val="00010A59"/>
    <w:rsid w:val="000112A7"/>
    <w:rsid w:val="0001151F"/>
    <w:rsid w:val="00011840"/>
    <w:rsid w:val="00011AC0"/>
    <w:rsid w:val="00011BD3"/>
    <w:rsid w:val="00012278"/>
    <w:rsid w:val="000122CF"/>
    <w:rsid w:val="00012A27"/>
    <w:rsid w:val="00012E16"/>
    <w:rsid w:val="0001302A"/>
    <w:rsid w:val="000132A4"/>
    <w:rsid w:val="00013319"/>
    <w:rsid w:val="00013B98"/>
    <w:rsid w:val="00013E55"/>
    <w:rsid w:val="0001447E"/>
    <w:rsid w:val="000144ED"/>
    <w:rsid w:val="00014FBD"/>
    <w:rsid w:val="00015302"/>
    <w:rsid w:val="00015BCE"/>
    <w:rsid w:val="00015DDA"/>
    <w:rsid w:val="00016590"/>
    <w:rsid w:val="00016B4E"/>
    <w:rsid w:val="00016B7D"/>
    <w:rsid w:val="00016D3A"/>
    <w:rsid w:val="0001718D"/>
    <w:rsid w:val="000176AC"/>
    <w:rsid w:val="00021432"/>
    <w:rsid w:val="00021492"/>
    <w:rsid w:val="000216A3"/>
    <w:rsid w:val="00022562"/>
    <w:rsid w:val="000228C4"/>
    <w:rsid w:val="00022CA3"/>
    <w:rsid w:val="000243B5"/>
    <w:rsid w:val="000260EE"/>
    <w:rsid w:val="00026B3C"/>
    <w:rsid w:val="00026B52"/>
    <w:rsid w:val="00026C14"/>
    <w:rsid w:val="000301E7"/>
    <w:rsid w:val="00030480"/>
    <w:rsid w:val="0003065F"/>
    <w:rsid w:val="00030D10"/>
    <w:rsid w:val="00031231"/>
    <w:rsid w:val="000314D3"/>
    <w:rsid w:val="00031BCF"/>
    <w:rsid w:val="00031CA9"/>
    <w:rsid w:val="000328B5"/>
    <w:rsid w:val="000328D5"/>
    <w:rsid w:val="00032B16"/>
    <w:rsid w:val="00033603"/>
    <w:rsid w:val="00033A14"/>
    <w:rsid w:val="0003447A"/>
    <w:rsid w:val="00034732"/>
    <w:rsid w:val="00034A2E"/>
    <w:rsid w:val="00034BC3"/>
    <w:rsid w:val="00034C7A"/>
    <w:rsid w:val="00034FEC"/>
    <w:rsid w:val="000353F3"/>
    <w:rsid w:val="00035600"/>
    <w:rsid w:val="00035B2D"/>
    <w:rsid w:val="00035DA7"/>
    <w:rsid w:val="000362C3"/>
    <w:rsid w:val="00036D72"/>
    <w:rsid w:val="00037089"/>
    <w:rsid w:val="00037177"/>
    <w:rsid w:val="00037A1B"/>
    <w:rsid w:val="00037CC4"/>
    <w:rsid w:val="0004066E"/>
    <w:rsid w:val="00040F75"/>
    <w:rsid w:val="00041FF7"/>
    <w:rsid w:val="0004225C"/>
    <w:rsid w:val="00042DB1"/>
    <w:rsid w:val="00042F98"/>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F37"/>
    <w:rsid w:val="000602B0"/>
    <w:rsid w:val="000603F1"/>
    <w:rsid w:val="0006056C"/>
    <w:rsid w:val="00061B60"/>
    <w:rsid w:val="0006211B"/>
    <w:rsid w:val="0006228A"/>
    <w:rsid w:val="00062696"/>
    <w:rsid w:val="00063614"/>
    <w:rsid w:val="00063838"/>
    <w:rsid w:val="0006433F"/>
    <w:rsid w:val="000646BA"/>
    <w:rsid w:val="00064BBC"/>
    <w:rsid w:val="00064E9D"/>
    <w:rsid w:val="00064FDB"/>
    <w:rsid w:val="00065106"/>
    <w:rsid w:val="000651F1"/>
    <w:rsid w:val="00065708"/>
    <w:rsid w:val="00065A07"/>
    <w:rsid w:val="00065BC1"/>
    <w:rsid w:val="00066638"/>
    <w:rsid w:val="000667EA"/>
    <w:rsid w:val="00066C10"/>
    <w:rsid w:val="00066EA7"/>
    <w:rsid w:val="00067BD8"/>
    <w:rsid w:val="0007012A"/>
    <w:rsid w:val="0007017F"/>
    <w:rsid w:val="00070431"/>
    <w:rsid w:val="00070702"/>
    <w:rsid w:val="000707FF"/>
    <w:rsid w:val="00070864"/>
    <w:rsid w:val="00070E78"/>
    <w:rsid w:val="000712EF"/>
    <w:rsid w:val="0007145A"/>
    <w:rsid w:val="00071F33"/>
    <w:rsid w:val="000725AC"/>
    <w:rsid w:val="00072B18"/>
    <w:rsid w:val="000730F3"/>
    <w:rsid w:val="00073491"/>
    <w:rsid w:val="000736DB"/>
    <w:rsid w:val="000739D2"/>
    <w:rsid w:val="00073EF4"/>
    <w:rsid w:val="000744A7"/>
    <w:rsid w:val="000753EC"/>
    <w:rsid w:val="0007567F"/>
    <w:rsid w:val="000756C1"/>
    <w:rsid w:val="00075B3A"/>
    <w:rsid w:val="00075DEC"/>
    <w:rsid w:val="00076234"/>
    <w:rsid w:val="000767F7"/>
    <w:rsid w:val="00076EE9"/>
    <w:rsid w:val="00077C46"/>
    <w:rsid w:val="0008027F"/>
    <w:rsid w:val="0008084D"/>
    <w:rsid w:val="000814ED"/>
    <w:rsid w:val="0008175A"/>
    <w:rsid w:val="0008195B"/>
    <w:rsid w:val="000826F7"/>
    <w:rsid w:val="00082F1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B9C"/>
    <w:rsid w:val="00090D7B"/>
    <w:rsid w:val="00091474"/>
    <w:rsid w:val="000915F7"/>
    <w:rsid w:val="00092764"/>
    <w:rsid w:val="0009292F"/>
    <w:rsid w:val="00092F4C"/>
    <w:rsid w:val="00094496"/>
    <w:rsid w:val="00094AE9"/>
    <w:rsid w:val="000950E7"/>
    <w:rsid w:val="00095360"/>
    <w:rsid w:val="000955AA"/>
    <w:rsid w:val="000957BC"/>
    <w:rsid w:val="00096737"/>
    <w:rsid w:val="00097C0A"/>
    <w:rsid w:val="000A0344"/>
    <w:rsid w:val="000A0823"/>
    <w:rsid w:val="000A21D6"/>
    <w:rsid w:val="000A2F4F"/>
    <w:rsid w:val="000A31EF"/>
    <w:rsid w:val="000A3354"/>
    <w:rsid w:val="000A3733"/>
    <w:rsid w:val="000A43B0"/>
    <w:rsid w:val="000A4D3C"/>
    <w:rsid w:val="000A5092"/>
    <w:rsid w:val="000A53E6"/>
    <w:rsid w:val="000A574B"/>
    <w:rsid w:val="000A5B04"/>
    <w:rsid w:val="000A5B0D"/>
    <w:rsid w:val="000A5E2A"/>
    <w:rsid w:val="000A643B"/>
    <w:rsid w:val="000A6CE9"/>
    <w:rsid w:val="000A707A"/>
    <w:rsid w:val="000A7773"/>
    <w:rsid w:val="000A7808"/>
    <w:rsid w:val="000A78BA"/>
    <w:rsid w:val="000B0710"/>
    <w:rsid w:val="000B0D5A"/>
    <w:rsid w:val="000B1C11"/>
    <w:rsid w:val="000B1D13"/>
    <w:rsid w:val="000B26AB"/>
    <w:rsid w:val="000B29B8"/>
    <w:rsid w:val="000B2A27"/>
    <w:rsid w:val="000B42D9"/>
    <w:rsid w:val="000B4A6A"/>
    <w:rsid w:val="000B50FB"/>
    <w:rsid w:val="000B515D"/>
    <w:rsid w:val="000B5A74"/>
    <w:rsid w:val="000B5FA3"/>
    <w:rsid w:val="000B6AF6"/>
    <w:rsid w:val="000B6C67"/>
    <w:rsid w:val="000B7827"/>
    <w:rsid w:val="000C044D"/>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258D"/>
    <w:rsid w:val="000D25A3"/>
    <w:rsid w:val="000D28A5"/>
    <w:rsid w:val="000D2DB1"/>
    <w:rsid w:val="000D31C1"/>
    <w:rsid w:val="000D36B2"/>
    <w:rsid w:val="000D39FD"/>
    <w:rsid w:val="000D451F"/>
    <w:rsid w:val="000D4833"/>
    <w:rsid w:val="000D49D2"/>
    <w:rsid w:val="000D4A88"/>
    <w:rsid w:val="000D4BBC"/>
    <w:rsid w:val="000D4D90"/>
    <w:rsid w:val="000D4E26"/>
    <w:rsid w:val="000D5176"/>
    <w:rsid w:val="000D5EDB"/>
    <w:rsid w:val="000D6C0F"/>
    <w:rsid w:val="000D6F1E"/>
    <w:rsid w:val="000D7A95"/>
    <w:rsid w:val="000D7BBD"/>
    <w:rsid w:val="000E03C0"/>
    <w:rsid w:val="000E0654"/>
    <w:rsid w:val="000E08DB"/>
    <w:rsid w:val="000E19B3"/>
    <w:rsid w:val="000E28A6"/>
    <w:rsid w:val="000E2970"/>
    <w:rsid w:val="000E3CC1"/>
    <w:rsid w:val="000E5331"/>
    <w:rsid w:val="000E5526"/>
    <w:rsid w:val="000E5D6B"/>
    <w:rsid w:val="000E5FE0"/>
    <w:rsid w:val="000E62E2"/>
    <w:rsid w:val="000E6D5D"/>
    <w:rsid w:val="000E75C3"/>
    <w:rsid w:val="000F05D5"/>
    <w:rsid w:val="000F08E7"/>
    <w:rsid w:val="000F17E0"/>
    <w:rsid w:val="000F1DEB"/>
    <w:rsid w:val="000F2C80"/>
    <w:rsid w:val="000F3491"/>
    <w:rsid w:val="000F3DE6"/>
    <w:rsid w:val="000F44E7"/>
    <w:rsid w:val="000F44F2"/>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A20"/>
    <w:rsid w:val="00116647"/>
    <w:rsid w:val="00116F84"/>
    <w:rsid w:val="00117D7A"/>
    <w:rsid w:val="00120112"/>
    <w:rsid w:val="0012050B"/>
    <w:rsid w:val="00120EA1"/>
    <w:rsid w:val="001212C3"/>
    <w:rsid w:val="0012181E"/>
    <w:rsid w:val="00122048"/>
    <w:rsid w:val="001228A0"/>
    <w:rsid w:val="00123EFF"/>
    <w:rsid w:val="001241F7"/>
    <w:rsid w:val="00124D1A"/>
    <w:rsid w:val="001251AF"/>
    <w:rsid w:val="00125654"/>
    <w:rsid w:val="00125D0D"/>
    <w:rsid w:val="00125D9D"/>
    <w:rsid w:val="001263E8"/>
    <w:rsid w:val="00126792"/>
    <w:rsid w:val="00127810"/>
    <w:rsid w:val="001301E6"/>
    <w:rsid w:val="001304F2"/>
    <w:rsid w:val="00130C4C"/>
    <w:rsid w:val="001313EB"/>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CA0"/>
    <w:rsid w:val="00136F09"/>
    <w:rsid w:val="001372CA"/>
    <w:rsid w:val="00137AFD"/>
    <w:rsid w:val="0014012A"/>
    <w:rsid w:val="00140999"/>
    <w:rsid w:val="00140AD8"/>
    <w:rsid w:val="00140BE4"/>
    <w:rsid w:val="001411DE"/>
    <w:rsid w:val="00141399"/>
    <w:rsid w:val="00141A0B"/>
    <w:rsid w:val="00141AF4"/>
    <w:rsid w:val="00142E09"/>
    <w:rsid w:val="0014377B"/>
    <w:rsid w:val="00143D3A"/>
    <w:rsid w:val="00145F65"/>
    <w:rsid w:val="001460E0"/>
    <w:rsid w:val="00146902"/>
    <w:rsid w:val="00146DFA"/>
    <w:rsid w:val="00147C56"/>
    <w:rsid w:val="0015018D"/>
    <w:rsid w:val="00150228"/>
    <w:rsid w:val="001502C3"/>
    <w:rsid w:val="001504E8"/>
    <w:rsid w:val="00150536"/>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5BD"/>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5C"/>
    <w:rsid w:val="00176592"/>
    <w:rsid w:val="00176BCF"/>
    <w:rsid w:val="00176E7D"/>
    <w:rsid w:val="00177026"/>
    <w:rsid w:val="00177187"/>
    <w:rsid w:val="001773BC"/>
    <w:rsid w:val="00180887"/>
    <w:rsid w:val="00180A83"/>
    <w:rsid w:val="00180C81"/>
    <w:rsid w:val="001813AB"/>
    <w:rsid w:val="001819C6"/>
    <w:rsid w:val="00181B78"/>
    <w:rsid w:val="0018211C"/>
    <w:rsid w:val="001821F8"/>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6CAB"/>
    <w:rsid w:val="001C6CC1"/>
    <w:rsid w:val="001C7130"/>
    <w:rsid w:val="001C7E70"/>
    <w:rsid w:val="001D0068"/>
    <w:rsid w:val="001D01C6"/>
    <w:rsid w:val="001D0870"/>
    <w:rsid w:val="001D092F"/>
    <w:rsid w:val="001D1471"/>
    <w:rsid w:val="001D1AEF"/>
    <w:rsid w:val="001D244E"/>
    <w:rsid w:val="001D24F1"/>
    <w:rsid w:val="001D3AD1"/>
    <w:rsid w:val="001D478B"/>
    <w:rsid w:val="001D4970"/>
    <w:rsid w:val="001D4BF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490C"/>
    <w:rsid w:val="001E4C68"/>
    <w:rsid w:val="001E4D9A"/>
    <w:rsid w:val="001E50FD"/>
    <w:rsid w:val="001E5310"/>
    <w:rsid w:val="001E59DC"/>
    <w:rsid w:val="001E5DD7"/>
    <w:rsid w:val="001E5EEE"/>
    <w:rsid w:val="001E7358"/>
    <w:rsid w:val="001E7C2A"/>
    <w:rsid w:val="001E7C72"/>
    <w:rsid w:val="001E7D14"/>
    <w:rsid w:val="001E7EDD"/>
    <w:rsid w:val="001E7F19"/>
    <w:rsid w:val="001F02CD"/>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58D3"/>
    <w:rsid w:val="001F65A4"/>
    <w:rsid w:val="001F65E0"/>
    <w:rsid w:val="001F6EE3"/>
    <w:rsid w:val="001F7362"/>
    <w:rsid w:val="001F7AE9"/>
    <w:rsid w:val="001F7CFD"/>
    <w:rsid w:val="001F7D5E"/>
    <w:rsid w:val="002011D5"/>
    <w:rsid w:val="00201203"/>
    <w:rsid w:val="00201C2D"/>
    <w:rsid w:val="00203367"/>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20BA"/>
    <w:rsid w:val="002227B3"/>
    <w:rsid w:val="002227CF"/>
    <w:rsid w:val="0022296F"/>
    <w:rsid w:val="00222CE3"/>
    <w:rsid w:val="002235D7"/>
    <w:rsid w:val="002239C4"/>
    <w:rsid w:val="00224617"/>
    <w:rsid w:val="00224922"/>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A44"/>
    <w:rsid w:val="00230A52"/>
    <w:rsid w:val="00230FA5"/>
    <w:rsid w:val="00231131"/>
    <w:rsid w:val="00231632"/>
    <w:rsid w:val="0023170E"/>
    <w:rsid w:val="00231839"/>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63A"/>
    <w:rsid w:val="00237D7D"/>
    <w:rsid w:val="002404D1"/>
    <w:rsid w:val="002405C8"/>
    <w:rsid w:val="00240DF5"/>
    <w:rsid w:val="00240ECB"/>
    <w:rsid w:val="002415DA"/>
    <w:rsid w:val="00241620"/>
    <w:rsid w:val="00241857"/>
    <w:rsid w:val="0024187D"/>
    <w:rsid w:val="0024285E"/>
    <w:rsid w:val="00242F79"/>
    <w:rsid w:val="00242FA8"/>
    <w:rsid w:val="0024310E"/>
    <w:rsid w:val="00243204"/>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965"/>
    <w:rsid w:val="00271ACC"/>
    <w:rsid w:val="00271E5D"/>
    <w:rsid w:val="00272082"/>
    <w:rsid w:val="0027349D"/>
    <w:rsid w:val="00273516"/>
    <w:rsid w:val="00273985"/>
    <w:rsid w:val="00273B82"/>
    <w:rsid w:val="00273E7A"/>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ED1"/>
    <w:rsid w:val="002940C5"/>
    <w:rsid w:val="0029454A"/>
    <w:rsid w:val="002948BB"/>
    <w:rsid w:val="00294A06"/>
    <w:rsid w:val="00294FFB"/>
    <w:rsid w:val="002954FD"/>
    <w:rsid w:val="00295A96"/>
    <w:rsid w:val="00296242"/>
    <w:rsid w:val="0029686B"/>
    <w:rsid w:val="00296CE6"/>
    <w:rsid w:val="002973DF"/>
    <w:rsid w:val="00297D6A"/>
    <w:rsid w:val="00297DAE"/>
    <w:rsid w:val="002A0159"/>
    <w:rsid w:val="002A0190"/>
    <w:rsid w:val="002A0801"/>
    <w:rsid w:val="002A0983"/>
    <w:rsid w:val="002A0BF5"/>
    <w:rsid w:val="002A1128"/>
    <w:rsid w:val="002A158C"/>
    <w:rsid w:val="002A24EB"/>
    <w:rsid w:val="002A2A83"/>
    <w:rsid w:val="002A2C5E"/>
    <w:rsid w:val="002A2D66"/>
    <w:rsid w:val="002A428E"/>
    <w:rsid w:val="002A46FA"/>
    <w:rsid w:val="002A4920"/>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C0144"/>
    <w:rsid w:val="002C0CAC"/>
    <w:rsid w:val="002C1F28"/>
    <w:rsid w:val="002C254B"/>
    <w:rsid w:val="002C25DE"/>
    <w:rsid w:val="002C27E8"/>
    <w:rsid w:val="002C2ACB"/>
    <w:rsid w:val="002C2F60"/>
    <w:rsid w:val="002C41CB"/>
    <w:rsid w:val="002C469D"/>
    <w:rsid w:val="002C5C58"/>
    <w:rsid w:val="002C6A1A"/>
    <w:rsid w:val="002C6B67"/>
    <w:rsid w:val="002C73EE"/>
    <w:rsid w:val="002C7660"/>
    <w:rsid w:val="002C7718"/>
    <w:rsid w:val="002C77DB"/>
    <w:rsid w:val="002C77F7"/>
    <w:rsid w:val="002C7CD4"/>
    <w:rsid w:val="002D0321"/>
    <w:rsid w:val="002D0E7A"/>
    <w:rsid w:val="002D155B"/>
    <w:rsid w:val="002D1AD3"/>
    <w:rsid w:val="002D2476"/>
    <w:rsid w:val="002D3CFD"/>
    <w:rsid w:val="002D3D3F"/>
    <w:rsid w:val="002D40A5"/>
    <w:rsid w:val="002D48D7"/>
    <w:rsid w:val="002D48E1"/>
    <w:rsid w:val="002D61C8"/>
    <w:rsid w:val="002D629E"/>
    <w:rsid w:val="002D6E9A"/>
    <w:rsid w:val="002D726B"/>
    <w:rsid w:val="002D75DB"/>
    <w:rsid w:val="002D7D71"/>
    <w:rsid w:val="002E0067"/>
    <w:rsid w:val="002E02D0"/>
    <w:rsid w:val="002E0489"/>
    <w:rsid w:val="002E04C0"/>
    <w:rsid w:val="002E0544"/>
    <w:rsid w:val="002E1DF4"/>
    <w:rsid w:val="002E2C3B"/>
    <w:rsid w:val="002E3C37"/>
    <w:rsid w:val="002E4BA7"/>
    <w:rsid w:val="002E4D3D"/>
    <w:rsid w:val="002E5CA7"/>
    <w:rsid w:val="002E668B"/>
    <w:rsid w:val="002E6EA4"/>
    <w:rsid w:val="002E7235"/>
    <w:rsid w:val="002E7DEA"/>
    <w:rsid w:val="002F0276"/>
    <w:rsid w:val="002F10E7"/>
    <w:rsid w:val="002F11F9"/>
    <w:rsid w:val="002F1274"/>
    <w:rsid w:val="002F13E0"/>
    <w:rsid w:val="002F16CB"/>
    <w:rsid w:val="002F1742"/>
    <w:rsid w:val="002F1AB0"/>
    <w:rsid w:val="002F2133"/>
    <w:rsid w:val="002F3C64"/>
    <w:rsid w:val="002F3D31"/>
    <w:rsid w:val="002F4431"/>
    <w:rsid w:val="002F478D"/>
    <w:rsid w:val="002F47E7"/>
    <w:rsid w:val="002F4D78"/>
    <w:rsid w:val="002F510D"/>
    <w:rsid w:val="002F520A"/>
    <w:rsid w:val="002F5F61"/>
    <w:rsid w:val="00300081"/>
    <w:rsid w:val="0030023E"/>
    <w:rsid w:val="0030059B"/>
    <w:rsid w:val="00300FC5"/>
    <w:rsid w:val="00301277"/>
    <w:rsid w:val="00301837"/>
    <w:rsid w:val="003019CD"/>
    <w:rsid w:val="00301AD7"/>
    <w:rsid w:val="00302483"/>
    <w:rsid w:val="0030341B"/>
    <w:rsid w:val="003034D2"/>
    <w:rsid w:val="0030373E"/>
    <w:rsid w:val="00303A1B"/>
    <w:rsid w:val="003045BE"/>
    <w:rsid w:val="00305766"/>
    <w:rsid w:val="00305F53"/>
    <w:rsid w:val="003060F3"/>
    <w:rsid w:val="0030612A"/>
    <w:rsid w:val="0030638A"/>
    <w:rsid w:val="003068EC"/>
    <w:rsid w:val="00306C01"/>
    <w:rsid w:val="0030759B"/>
    <w:rsid w:val="003076C4"/>
    <w:rsid w:val="003079A6"/>
    <w:rsid w:val="003106C8"/>
    <w:rsid w:val="00310E3F"/>
    <w:rsid w:val="00311270"/>
    <w:rsid w:val="0031175D"/>
    <w:rsid w:val="003119DD"/>
    <w:rsid w:val="00312297"/>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65DE"/>
    <w:rsid w:val="00326A08"/>
    <w:rsid w:val="003274C7"/>
    <w:rsid w:val="003275D6"/>
    <w:rsid w:val="0032767E"/>
    <w:rsid w:val="003277C6"/>
    <w:rsid w:val="00327845"/>
    <w:rsid w:val="00327B0E"/>
    <w:rsid w:val="003302CF"/>
    <w:rsid w:val="00330559"/>
    <w:rsid w:val="00330B86"/>
    <w:rsid w:val="00330DB5"/>
    <w:rsid w:val="00331306"/>
    <w:rsid w:val="003313C8"/>
    <w:rsid w:val="00331659"/>
    <w:rsid w:val="003319C5"/>
    <w:rsid w:val="00331A58"/>
    <w:rsid w:val="003320F9"/>
    <w:rsid w:val="003327BD"/>
    <w:rsid w:val="003338EB"/>
    <w:rsid w:val="00334446"/>
    <w:rsid w:val="0033444C"/>
    <w:rsid w:val="00334725"/>
    <w:rsid w:val="00334A38"/>
    <w:rsid w:val="00334AF1"/>
    <w:rsid w:val="00335332"/>
    <w:rsid w:val="003353D5"/>
    <w:rsid w:val="0033598A"/>
    <w:rsid w:val="00335A53"/>
    <w:rsid w:val="00336328"/>
    <w:rsid w:val="003379A4"/>
    <w:rsid w:val="00337BB0"/>
    <w:rsid w:val="00337BDD"/>
    <w:rsid w:val="00337CB6"/>
    <w:rsid w:val="003403AE"/>
    <w:rsid w:val="003409BD"/>
    <w:rsid w:val="00340E3E"/>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317"/>
    <w:rsid w:val="0035546F"/>
    <w:rsid w:val="003554BD"/>
    <w:rsid w:val="003554CE"/>
    <w:rsid w:val="00356586"/>
    <w:rsid w:val="00356792"/>
    <w:rsid w:val="003571E2"/>
    <w:rsid w:val="003576C9"/>
    <w:rsid w:val="00360A82"/>
    <w:rsid w:val="00361062"/>
    <w:rsid w:val="003610F5"/>
    <w:rsid w:val="003616F4"/>
    <w:rsid w:val="0036279A"/>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B3F"/>
    <w:rsid w:val="00372C6C"/>
    <w:rsid w:val="0037334A"/>
    <w:rsid w:val="003734B3"/>
    <w:rsid w:val="0037443B"/>
    <w:rsid w:val="00374D3E"/>
    <w:rsid w:val="00375820"/>
    <w:rsid w:val="00375B14"/>
    <w:rsid w:val="00375D85"/>
    <w:rsid w:val="00375E72"/>
    <w:rsid w:val="003760FD"/>
    <w:rsid w:val="003769D5"/>
    <w:rsid w:val="00377475"/>
    <w:rsid w:val="00377A8C"/>
    <w:rsid w:val="00377F4C"/>
    <w:rsid w:val="0038054C"/>
    <w:rsid w:val="0038061C"/>
    <w:rsid w:val="0038090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87CB2"/>
    <w:rsid w:val="00390044"/>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42"/>
    <w:rsid w:val="003B1083"/>
    <w:rsid w:val="003B12DB"/>
    <w:rsid w:val="003B1C5D"/>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2706"/>
    <w:rsid w:val="003D32E8"/>
    <w:rsid w:val="003D3779"/>
    <w:rsid w:val="003D425A"/>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A7B"/>
    <w:rsid w:val="003F5B9C"/>
    <w:rsid w:val="003F5E65"/>
    <w:rsid w:val="003F5F0A"/>
    <w:rsid w:val="003F68DB"/>
    <w:rsid w:val="003F6DF4"/>
    <w:rsid w:val="003F7022"/>
    <w:rsid w:val="003F7263"/>
    <w:rsid w:val="003F7D77"/>
    <w:rsid w:val="00400A5E"/>
    <w:rsid w:val="004015B0"/>
    <w:rsid w:val="004016AD"/>
    <w:rsid w:val="00401A15"/>
    <w:rsid w:val="00401C5B"/>
    <w:rsid w:val="00401DB1"/>
    <w:rsid w:val="00401E08"/>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C31"/>
    <w:rsid w:val="00412EF3"/>
    <w:rsid w:val="004133CD"/>
    <w:rsid w:val="00413549"/>
    <w:rsid w:val="00414538"/>
    <w:rsid w:val="0041479C"/>
    <w:rsid w:val="00416787"/>
    <w:rsid w:val="0041700C"/>
    <w:rsid w:val="00417C7F"/>
    <w:rsid w:val="004203CA"/>
    <w:rsid w:val="004208D7"/>
    <w:rsid w:val="00420C77"/>
    <w:rsid w:val="00420CA2"/>
    <w:rsid w:val="004210BA"/>
    <w:rsid w:val="004215FA"/>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01"/>
    <w:rsid w:val="0043104B"/>
    <w:rsid w:val="0043151E"/>
    <w:rsid w:val="0043181D"/>
    <w:rsid w:val="004328E4"/>
    <w:rsid w:val="00432937"/>
    <w:rsid w:val="00433460"/>
    <w:rsid w:val="00433D87"/>
    <w:rsid w:val="00433ECE"/>
    <w:rsid w:val="004343C2"/>
    <w:rsid w:val="004347A7"/>
    <w:rsid w:val="00434800"/>
    <w:rsid w:val="00434F9C"/>
    <w:rsid w:val="00435BEB"/>
    <w:rsid w:val="00435F09"/>
    <w:rsid w:val="00435F6F"/>
    <w:rsid w:val="00436548"/>
    <w:rsid w:val="00436C20"/>
    <w:rsid w:val="004373A1"/>
    <w:rsid w:val="00437844"/>
    <w:rsid w:val="00437FBE"/>
    <w:rsid w:val="00440392"/>
    <w:rsid w:val="00440502"/>
    <w:rsid w:val="00440B8C"/>
    <w:rsid w:val="00440C3A"/>
    <w:rsid w:val="00441069"/>
    <w:rsid w:val="004412E5"/>
    <w:rsid w:val="004415FC"/>
    <w:rsid w:val="00441989"/>
    <w:rsid w:val="00442112"/>
    <w:rsid w:val="00442822"/>
    <w:rsid w:val="0044294A"/>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648"/>
    <w:rsid w:val="00453BF4"/>
    <w:rsid w:val="00454571"/>
    <w:rsid w:val="0045475E"/>
    <w:rsid w:val="00455AFA"/>
    <w:rsid w:val="00456308"/>
    <w:rsid w:val="004566BE"/>
    <w:rsid w:val="0045682E"/>
    <w:rsid w:val="004568B4"/>
    <w:rsid w:val="00457142"/>
    <w:rsid w:val="004573A4"/>
    <w:rsid w:val="00457493"/>
    <w:rsid w:val="004578A5"/>
    <w:rsid w:val="00457958"/>
    <w:rsid w:val="0046087C"/>
    <w:rsid w:val="0046115F"/>
    <w:rsid w:val="0046148D"/>
    <w:rsid w:val="00461535"/>
    <w:rsid w:val="004619CF"/>
    <w:rsid w:val="004620E9"/>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F95"/>
    <w:rsid w:val="004847DD"/>
    <w:rsid w:val="00484D20"/>
    <w:rsid w:val="004850C1"/>
    <w:rsid w:val="004862A1"/>
    <w:rsid w:val="00486F54"/>
    <w:rsid w:val="004871B4"/>
    <w:rsid w:val="004876DD"/>
    <w:rsid w:val="00490973"/>
    <w:rsid w:val="004915E7"/>
    <w:rsid w:val="0049178A"/>
    <w:rsid w:val="00491C1D"/>
    <w:rsid w:val="00491DF1"/>
    <w:rsid w:val="00492535"/>
    <w:rsid w:val="004927C9"/>
    <w:rsid w:val="00493435"/>
    <w:rsid w:val="00494B28"/>
    <w:rsid w:val="00495FFF"/>
    <w:rsid w:val="00496A9F"/>
    <w:rsid w:val="00497358"/>
    <w:rsid w:val="00497FA5"/>
    <w:rsid w:val="004A03B3"/>
    <w:rsid w:val="004A04D5"/>
    <w:rsid w:val="004A1253"/>
    <w:rsid w:val="004A13FE"/>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BD0"/>
    <w:rsid w:val="004C5D52"/>
    <w:rsid w:val="004C5DB0"/>
    <w:rsid w:val="004C60D8"/>
    <w:rsid w:val="004C6197"/>
    <w:rsid w:val="004C62EE"/>
    <w:rsid w:val="004C6A0D"/>
    <w:rsid w:val="004C6DF3"/>
    <w:rsid w:val="004C771C"/>
    <w:rsid w:val="004C7D1D"/>
    <w:rsid w:val="004D1000"/>
    <w:rsid w:val="004D147D"/>
    <w:rsid w:val="004D1D27"/>
    <w:rsid w:val="004D2EC3"/>
    <w:rsid w:val="004D2FF6"/>
    <w:rsid w:val="004D3FD6"/>
    <w:rsid w:val="004D405F"/>
    <w:rsid w:val="004D55CA"/>
    <w:rsid w:val="004D5A27"/>
    <w:rsid w:val="004D5C5B"/>
    <w:rsid w:val="004D5F0E"/>
    <w:rsid w:val="004D6626"/>
    <w:rsid w:val="004D6758"/>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56A1"/>
    <w:rsid w:val="004E58EA"/>
    <w:rsid w:val="004E5F65"/>
    <w:rsid w:val="004E6C7A"/>
    <w:rsid w:val="004E7615"/>
    <w:rsid w:val="004E7CDF"/>
    <w:rsid w:val="004F078C"/>
    <w:rsid w:val="004F1324"/>
    <w:rsid w:val="004F1C7D"/>
    <w:rsid w:val="004F1D24"/>
    <w:rsid w:val="004F21D2"/>
    <w:rsid w:val="004F2621"/>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61A"/>
    <w:rsid w:val="00503551"/>
    <w:rsid w:val="00503F38"/>
    <w:rsid w:val="005043FC"/>
    <w:rsid w:val="00504A55"/>
    <w:rsid w:val="00505F08"/>
    <w:rsid w:val="0050671D"/>
    <w:rsid w:val="0050672C"/>
    <w:rsid w:val="00506C4C"/>
    <w:rsid w:val="0050700E"/>
    <w:rsid w:val="005079D7"/>
    <w:rsid w:val="00507B2A"/>
    <w:rsid w:val="00507EC1"/>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EA5"/>
    <w:rsid w:val="005179DA"/>
    <w:rsid w:val="00517E2A"/>
    <w:rsid w:val="00520C1C"/>
    <w:rsid w:val="00521439"/>
    <w:rsid w:val="00521B4F"/>
    <w:rsid w:val="00522133"/>
    <w:rsid w:val="0052292E"/>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EB4"/>
    <w:rsid w:val="0054304E"/>
    <w:rsid w:val="005448B9"/>
    <w:rsid w:val="00545136"/>
    <w:rsid w:val="005452C1"/>
    <w:rsid w:val="00545B42"/>
    <w:rsid w:val="00545DC2"/>
    <w:rsid w:val="0054612B"/>
    <w:rsid w:val="00546E7B"/>
    <w:rsid w:val="00547753"/>
    <w:rsid w:val="005479F5"/>
    <w:rsid w:val="00547D90"/>
    <w:rsid w:val="00547F76"/>
    <w:rsid w:val="005500F2"/>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7401"/>
    <w:rsid w:val="0055747C"/>
    <w:rsid w:val="00557D41"/>
    <w:rsid w:val="00557F5B"/>
    <w:rsid w:val="00557FE2"/>
    <w:rsid w:val="00560729"/>
    <w:rsid w:val="00560A6F"/>
    <w:rsid w:val="00560A86"/>
    <w:rsid w:val="00561AFD"/>
    <w:rsid w:val="00561C64"/>
    <w:rsid w:val="0056218D"/>
    <w:rsid w:val="00562EAD"/>
    <w:rsid w:val="00563222"/>
    <w:rsid w:val="00563A7C"/>
    <w:rsid w:val="00563AEB"/>
    <w:rsid w:val="00564775"/>
    <w:rsid w:val="00565225"/>
    <w:rsid w:val="00565469"/>
    <w:rsid w:val="00566C28"/>
    <w:rsid w:val="00566EBC"/>
    <w:rsid w:val="00567424"/>
    <w:rsid w:val="00567500"/>
    <w:rsid w:val="0056753D"/>
    <w:rsid w:val="00567811"/>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1CA1"/>
    <w:rsid w:val="005921C8"/>
    <w:rsid w:val="005922A3"/>
    <w:rsid w:val="0059239E"/>
    <w:rsid w:val="005924DB"/>
    <w:rsid w:val="005929E8"/>
    <w:rsid w:val="00592A2E"/>
    <w:rsid w:val="00592C64"/>
    <w:rsid w:val="00593155"/>
    <w:rsid w:val="0059353B"/>
    <w:rsid w:val="005938DB"/>
    <w:rsid w:val="00593E31"/>
    <w:rsid w:val="00593F5D"/>
    <w:rsid w:val="005949FB"/>
    <w:rsid w:val="00594C1A"/>
    <w:rsid w:val="00595106"/>
    <w:rsid w:val="00595692"/>
    <w:rsid w:val="00595B7B"/>
    <w:rsid w:val="00596020"/>
    <w:rsid w:val="0059632F"/>
    <w:rsid w:val="0059643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3BA1"/>
    <w:rsid w:val="005A403A"/>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4B8"/>
    <w:rsid w:val="005C557C"/>
    <w:rsid w:val="005C56B7"/>
    <w:rsid w:val="005C5CDF"/>
    <w:rsid w:val="005C677E"/>
    <w:rsid w:val="005C6CD0"/>
    <w:rsid w:val="005C7072"/>
    <w:rsid w:val="005C757A"/>
    <w:rsid w:val="005C785E"/>
    <w:rsid w:val="005C78D5"/>
    <w:rsid w:val="005D00B6"/>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56B1"/>
    <w:rsid w:val="005E5774"/>
    <w:rsid w:val="005E64AF"/>
    <w:rsid w:val="005E6BE9"/>
    <w:rsid w:val="005E6D97"/>
    <w:rsid w:val="005E71A5"/>
    <w:rsid w:val="005E777B"/>
    <w:rsid w:val="005E77F8"/>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E7"/>
    <w:rsid w:val="005F5E8E"/>
    <w:rsid w:val="005F60E6"/>
    <w:rsid w:val="005F61DD"/>
    <w:rsid w:val="005F764A"/>
    <w:rsid w:val="0060008E"/>
    <w:rsid w:val="006005C1"/>
    <w:rsid w:val="006011A0"/>
    <w:rsid w:val="00602A78"/>
    <w:rsid w:val="00602BCA"/>
    <w:rsid w:val="0060305F"/>
    <w:rsid w:val="006034C7"/>
    <w:rsid w:val="00603B40"/>
    <w:rsid w:val="00604603"/>
    <w:rsid w:val="00604617"/>
    <w:rsid w:val="00604730"/>
    <w:rsid w:val="006049CE"/>
    <w:rsid w:val="00604AE3"/>
    <w:rsid w:val="00604D1B"/>
    <w:rsid w:val="006052A3"/>
    <w:rsid w:val="006053D8"/>
    <w:rsid w:val="006057CF"/>
    <w:rsid w:val="00605970"/>
    <w:rsid w:val="006059A0"/>
    <w:rsid w:val="00605A1A"/>
    <w:rsid w:val="00606054"/>
    <w:rsid w:val="0060611E"/>
    <w:rsid w:val="006063E0"/>
    <w:rsid w:val="00606906"/>
    <w:rsid w:val="00606EE7"/>
    <w:rsid w:val="00606FAA"/>
    <w:rsid w:val="00607B3C"/>
    <w:rsid w:val="00607C10"/>
    <w:rsid w:val="00607F9D"/>
    <w:rsid w:val="00611BA6"/>
    <w:rsid w:val="00612D19"/>
    <w:rsid w:val="0061330F"/>
    <w:rsid w:val="00613641"/>
    <w:rsid w:val="00613A14"/>
    <w:rsid w:val="00614139"/>
    <w:rsid w:val="00614483"/>
    <w:rsid w:val="0061478C"/>
    <w:rsid w:val="00615030"/>
    <w:rsid w:val="0061516E"/>
    <w:rsid w:val="006151BC"/>
    <w:rsid w:val="00615204"/>
    <w:rsid w:val="006154F0"/>
    <w:rsid w:val="00615E77"/>
    <w:rsid w:val="006162A3"/>
    <w:rsid w:val="006165D6"/>
    <w:rsid w:val="00616C7D"/>
    <w:rsid w:val="0061735F"/>
    <w:rsid w:val="006205E1"/>
    <w:rsid w:val="006208EE"/>
    <w:rsid w:val="0062091D"/>
    <w:rsid w:val="00620C44"/>
    <w:rsid w:val="0062100E"/>
    <w:rsid w:val="006211A5"/>
    <w:rsid w:val="006219BC"/>
    <w:rsid w:val="00621DD8"/>
    <w:rsid w:val="00622789"/>
    <w:rsid w:val="006233C1"/>
    <w:rsid w:val="00624649"/>
    <w:rsid w:val="006249A7"/>
    <w:rsid w:val="006249D1"/>
    <w:rsid w:val="00624D4F"/>
    <w:rsid w:val="00625713"/>
    <w:rsid w:val="00625B22"/>
    <w:rsid w:val="00625C53"/>
    <w:rsid w:val="006260AF"/>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FE8"/>
    <w:rsid w:val="00645210"/>
    <w:rsid w:val="00645933"/>
    <w:rsid w:val="006459B3"/>
    <w:rsid w:val="00645D57"/>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6754"/>
    <w:rsid w:val="00666AEA"/>
    <w:rsid w:val="00667FB2"/>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3889"/>
    <w:rsid w:val="00683CFF"/>
    <w:rsid w:val="00683F41"/>
    <w:rsid w:val="006842A2"/>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A06E3"/>
    <w:rsid w:val="006A0B03"/>
    <w:rsid w:val="006A0B52"/>
    <w:rsid w:val="006A0ECA"/>
    <w:rsid w:val="006A11F4"/>
    <w:rsid w:val="006A14A8"/>
    <w:rsid w:val="006A182D"/>
    <w:rsid w:val="006A1ADF"/>
    <w:rsid w:val="006A23AC"/>
    <w:rsid w:val="006A2835"/>
    <w:rsid w:val="006A3A19"/>
    <w:rsid w:val="006A3B6E"/>
    <w:rsid w:val="006A3B9E"/>
    <w:rsid w:val="006A3D6D"/>
    <w:rsid w:val="006A3D73"/>
    <w:rsid w:val="006A43EA"/>
    <w:rsid w:val="006A471A"/>
    <w:rsid w:val="006A5290"/>
    <w:rsid w:val="006A777A"/>
    <w:rsid w:val="006A77BF"/>
    <w:rsid w:val="006A7AE9"/>
    <w:rsid w:val="006A7C9D"/>
    <w:rsid w:val="006B0264"/>
    <w:rsid w:val="006B0D9A"/>
    <w:rsid w:val="006B1E59"/>
    <w:rsid w:val="006B2995"/>
    <w:rsid w:val="006B2F13"/>
    <w:rsid w:val="006B3EFD"/>
    <w:rsid w:val="006B40C8"/>
    <w:rsid w:val="006B423F"/>
    <w:rsid w:val="006B472A"/>
    <w:rsid w:val="006B549F"/>
    <w:rsid w:val="006B65CB"/>
    <w:rsid w:val="006B765D"/>
    <w:rsid w:val="006C0867"/>
    <w:rsid w:val="006C12F3"/>
    <w:rsid w:val="006C150F"/>
    <w:rsid w:val="006C215A"/>
    <w:rsid w:val="006C24C7"/>
    <w:rsid w:val="006C273C"/>
    <w:rsid w:val="006C374A"/>
    <w:rsid w:val="006C3A0F"/>
    <w:rsid w:val="006C479E"/>
    <w:rsid w:val="006C57FE"/>
    <w:rsid w:val="006C5AB5"/>
    <w:rsid w:val="006C621D"/>
    <w:rsid w:val="006C6E36"/>
    <w:rsid w:val="006C705E"/>
    <w:rsid w:val="006C7216"/>
    <w:rsid w:val="006C7266"/>
    <w:rsid w:val="006C7C27"/>
    <w:rsid w:val="006D045E"/>
    <w:rsid w:val="006D057A"/>
    <w:rsid w:val="006D0B6D"/>
    <w:rsid w:val="006D1549"/>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E045E"/>
    <w:rsid w:val="006E09E9"/>
    <w:rsid w:val="006E0B21"/>
    <w:rsid w:val="006E171B"/>
    <w:rsid w:val="006E1971"/>
    <w:rsid w:val="006E2C6D"/>
    <w:rsid w:val="006E33D2"/>
    <w:rsid w:val="006E374B"/>
    <w:rsid w:val="006E3B50"/>
    <w:rsid w:val="006E44D3"/>
    <w:rsid w:val="006E4705"/>
    <w:rsid w:val="006E470D"/>
    <w:rsid w:val="006E49DF"/>
    <w:rsid w:val="006E4E81"/>
    <w:rsid w:val="006E58CF"/>
    <w:rsid w:val="006E6241"/>
    <w:rsid w:val="006E645F"/>
    <w:rsid w:val="006E6F3D"/>
    <w:rsid w:val="006F020B"/>
    <w:rsid w:val="006F117D"/>
    <w:rsid w:val="006F1195"/>
    <w:rsid w:val="006F13F3"/>
    <w:rsid w:val="006F1DBD"/>
    <w:rsid w:val="006F1E00"/>
    <w:rsid w:val="006F2DA6"/>
    <w:rsid w:val="006F301F"/>
    <w:rsid w:val="006F3D30"/>
    <w:rsid w:val="006F5847"/>
    <w:rsid w:val="006F5B1A"/>
    <w:rsid w:val="006F5F76"/>
    <w:rsid w:val="006F6722"/>
    <w:rsid w:val="006F6790"/>
    <w:rsid w:val="00700821"/>
    <w:rsid w:val="007010A7"/>
    <w:rsid w:val="007011D1"/>
    <w:rsid w:val="007011D8"/>
    <w:rsid w:val="00702723"/>
    <w:rsid w:val="0070303A"/>
    <w:rsid w:val="0070328F"/>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B7D"/>
    <w:rsid w:val="00727285"/>
    <w:rsid w:val="00727380"/>
    <w:rsid w:val="00727D91"/>
    <w:rsid w:val="00727E44"/>
    <w:rsid w:val="00730152"/>
    <w:rsid w:val="007301B7"/>
    <w:rsid w:val="0073071A"/>
    <w:rsid w:val="00730DD2"/>
    <w:rsid w:val="007310E4"/>
    <w:rsid w:val="00731129"/>
    <w:rsid w:val="00732732"/>
    <w:rsid w:val="00733075"/>
    <w:rsid w:val="0073397C"/>
    <w:rsid w:val="00734051"/>
    <w:rsid w:val="00734519"/>
    <w:rsid w:val="00734533"/>
    <w:rsid w:val="0073458B"/>
    <w:rsid w:val="00734B84"/>
    <w:rsid w:val="00734D6E"/>
    <w:rsid w:val="00735EBF"/>
    <w:rsid w:val="007365ED"/>
    <w:rsid w:val="00736927"/>
    <w:rsid w:val="00737A4B"/>
    <w:rsid w:val="00740008"/>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1CD8"/>
    <w:rsid w:val="0075218A"/>
    <w:rsid w:val="00752238"/>
    <w:rsid w:val="00752DE0"/>
    <w:rsid w:val="00752E14"/>
    <w:rsid w:val="00753DA5"/>
    <w:rsid w:val="00754E53"/>
    <w:rsid w:val="0075502B"/>
    <w:rsid w:val="00755633"/>
    <w:rsid w:val="00755979"/>
    <w:rsid w:val="00755B6F"/>
    <w:rsid w:val="00756A17"/>
    <w:rsid w:val="00756B41"/>
    <w:rsid w:val="007576EC"/>
    <w:rsid w:val="00757957"/>
    <w:rsid w:val="00760978"/>
    <w:rsid w:val="00760D42"/>
    <w:rsid w:val="00761B5B"/>
    <w:rsid w:val="00761BBC"/>
    <w:rsid w:val="007623B0"/>
    <w:rsid w:val="00762A7D"/>
    <w:rsid w:val="00763B9E"/>
    <w:rsid w:val="00764588"/>
    <w:rsid w:val="007648FE"/>
    <w:rsid w:val="00764B39"/>
    <w:rsid w:val="007664EA"/>
    <w:rsid w:val="007667C4"/>
    <w:rsid w:val="00767062"/>
    <w:rsid w:val="007670FC"/>
    <w:rsid w:val="0076718D"/>
    <w:rsid w:val="00767282"/>
    <w:rsid w:val="007678B9"/>
    <w:rsid w:val="00767DDD"/>
    <w:rsid w:val="00767F7F"/>
    <w:rsid w:val="007703EA"/>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80FF9"/>
    <w:rsid w:val="0078285C"/>
    <w:rsid w:val="00782B30"/>
    <w:rsid w:val="00783A36"/>
    <w:rsid w:val="007845D4"/>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DE1"/>
    <w:rsid w:val="00792265"/>
    <w:rsid w:val="00793181"/>
    <w:rsid w:val="007936BD"/>
    <w:rsid w:val="007936C1"/>
    <w:rsid w:val="007936DE"/>
    <w:rsid w:val="00793D45"/>
    <w:rsid w:val="00795E20"/>
    <w:rsid w:val="00796787"/>
    <w:rsid w:val="007975BD"/>
    <w:rsid w:val="00797B7E"/>
    <w:rsid w:val="007A02A6"/>
    <w:rsid w:val="007A05A2"/>
    <w:rsid w:val="007A10D6"/>
    <w:rsid w:val="007A12EE"/>
    <w:rsid w:val="007A138C"/>
    <w:rsid w:val="007A1834"/>
    <w:rsid w:val="007A1856"/>
    <w:rsid w:val="007A1E52"/>
    <w:rsid w:val="007A2813"/>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4AD"/>
    <w:rsid w:val="007D25B9"/>
    <w:rsid w:val="007D2BE8"/>
    <w:rsid w:val="007D3066"/>
    <w:rsid w:val="007D421B"/>
    <w:rsid w:val="007D4490"/>
    <w:rsid w:val="007D4579"/>
    <w:rsid w:val="007D4CA5"/>
    <w:rsid w:val="007D4DA2"/>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159"/>
    <w:rsid w:val="007E5885"/>
    <w:rsid w:val="007E61B7"/>
    <w:rsid w:val="007E64FF"/>
    <w:rsid w:val="007E6F62"/>
    <w:rsid w:val="007E6FEA"/>
    <w:rsid w:val="007E7C7B"/>
    <w:rsid w:val="007E7E0F"/>
    <w:rsid w:val="007E7F8F"/>
    <w:rsid w:val="007F015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86"/>
    <w:rsid w:val="0082488C"/>
    <w:rsid w:val="008251E7"/>
    <w:rsid w:val="00825417"/>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60CB"/>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FB"/>
    <w:rsid w:val="00853510"/>
    <w:rsid w:val="00853E52"/>
    <w:rsid w:val="00853E5B"/>
    <w:rsid w:val="00854123"/>
    <w:rsid w:val="008542D1"/>
    <w:rsid w:val="00854465"/>
    <w:rsid w:val="008544BD"/>
    <w:rsid w:val="00854946"/>
    <w:rsid w:val="00854B62"/>
    <w:rsid w:val="00854B77"/>
    <w:rsid w:val="00854E58"/>
    <w:rsid w:val="008558ED"/>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58AB"/>
    <w:rsid w:val="00865B18"/>
    <w:rsid w:val="0086672E"/>
    <w:rsid w:val="00866CF2"/>
    <w:rsid w:val="008675EC"/>
    <w:rsid w:val="008679CE"/>
    <w:rsid w:val="00867DA7"/>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C9C"/>
    <w:rsid w:val="008A5C0E"/>
    <w:rsid w:val="008A6041"/>
    <w:rsid w:val="008A60F8"/>
    <w:rsid w:val="008A69FE"/>
    <w:rsid w:val="008A6EC7"/>
    <w:rsid w:val="008A6F36"/>
    <w:rsid w:val="008A7286"/>
    <w:rsid w:val="008A7B50"/>
    <w:rsid w:val="008B0641"/>
    <w:rsid w:val="008B0EB7"/>
    <w:rsid w:val="008B1133"/>
    <w:rsid w:val="008B138E"/>
    <w:rsid w:val="008B1C78"/>
    <w:rsid w:val="008B1F87"/>
    <w:rsid w:val="008B28BD"/>
    <w:rsid w:val="008B2E96"/>
    <w:rsid w:val="008B2F53"/>
    <w:rsid w:val="008B3006"/>
    <w:rsid w:val="008B3139"/>
    <w:rsid w:val="008B3B50"/>
    <w:rsid w:val="008B3D47"/>
    <w:rsid w:val="008B44CB"/>
    <w:rsid w:val="008B46D2"/>
    <w:rsid w:val="008B492E"/>
    <w:rsid w:val="008B5253"/>
    <w:rsid w:val="008B53D8"/>
    <w:rsid w:val="008B5E8A"/>
    <w:rsid w:val="008B63BE"/>
    <w:rsid w:val="008B640E"/>
    <w:rsid w:val="008B6505"/>
    <w:rsid w:val="008B688D"/>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3E6A"/>
    <w:rsid w:val="008D53E2"/>
    <w:rsid w:val="008D5908"/>
    <w:rsid w:val="008D5AF1"/>
    <w:rsid w:val="008D5D4E"/>
    <w:rsid w:val="008D68CA"/>
    <w:rsid w:val="008D6A6E"/>
    <w:rsid w:val="008D781F"/>
    <w:rsid w:val="008D7DBE"/>
    <w:rsid w:val="008E02B7"/>
    <w:rsid w:val="008E20BE"/>
    <w:rsid w:val="008E241B"/>
    <w:rsid w:val="008E3096"/>
    <w:rsid w:val="008E330C"/>
    <w:rsid w:val="008E332F"/>
    <w:rsid w:val="008E4114"/>
    <w:rsid w:val="008E45EA"/>
    <w:rsid w:val="008E4A1A"/>
    <w:rsid w:val="008E5084"/>
    <w:rsid w:val="008E5E01"/>
    <w:rsid w:val="008E69A3"/>
    <w:rsid w:val="008E7B3D"/>
    <w:rsid w:val="008E7CC9"/>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77E"/>
    <w:rsid w:val="008F72E7"/>
    <w:rsid w:val="008F7C28"/>
    <w:rsid w:val="0090034D"/>
    <w:rsid w:val="00900EC7"/>
    <w:rsid w:val="00900FFC"/>
    <w:rsid w:val="009011F9"/>
    <w:rsid w:val="00901244"/>
    <w:rsid w:val="009018CF"/>
    <w:rsid w:val="00901979"/>
    <w:rsid w:val="00902357"/>
    <w:rsid w:val="0090242A"/>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43E"/>
    <w:rsid w:val="0091268D"/>
    <w:rsid w:val="009129C1"/>
    <w:rsid w:val="00913B74"/>
    <w:rsid w:val="00913EBB"/>
    <w:rsid w:val="009141BB"/>
    <w:rsid w:val="00914B55"/>
    <w:rsid w:val="00914DC4"/>
    <w:rsid w:val="00915329"/>
    <w:rsid w:val="0091588C"/>
    <w:rsid w:val="00915DB5"/>
    <w:rsid w:val="00915DF4"/>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242F"/>
    <w:rsid w:val="0094243B"/>
    <w:rsid w:val="009425EB"/>
    <w:rsid w:val="009428A4"/>
    <w:rsid w:val="00943157"/>
    <w:rsid w:val="0094368C"/>
    <w:rsid w:val="00943893"/>
    <w:rsid w:val="009440E7"/>
    <w:rsid w:val="00944312"/>
    <w:rsid w:val="009443DC"/>
    <w:rsid w:val="00944AE2"/>
    <w:rsid w:val="0094526B"/>
    <w:rsid w:val="00945488"/>
    <w:rsid w:val="009456EB"/>
    <w:rsid w:val="00945E7E"/>
    <w:rsid w:val="00945E8F"/>
    <w:rsid w:val="009462EC"/>
    <w:rsid w:val="009463FD"/>
    <w:rsid w:val="009467FD"/>
    <w:rsid w:val="00946D2E"/>
    <w:rsid w:val="00946E64"/>
    <w:rsid w:val="009472F6"/>
    <w:rsid w:val="0094783F"/>
    <w:rsid w:val="00950365"/>
    <w:rsid w:val="00950B18"/>
    <w:rsid w:val="00950C55"/>
    <w:rsid w:val="00950CB3"/>
    <w:rsid w:val="0095267E"/>
    <w:rsid w:val="00952EBB"/>
    <w:rsid w:val="00952F24"/>
    <w:rsid w:val="0095370E"/>
    <w:rsid w:val="00953B5D"/>
    <w:rsid w:val="00953D3D"/>
    <w:rsid w:val="00953F68"/>
    <w:rsid w:val="009543D8"/>
    <w:rsid w:val="009545D6"/>
    <w:rsid w:val="00954F67"/>
    <w:rsid w:val="00955504"/>
    <w:rsid w:val="009555E8"/>
    <w:rsid w:val="00955AA9"/>
    <w:rsid w:val="00955AB2"/>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611"/>
    <w:rsid w:val="00966886"/>
    <w:rsid w:val="009669CC"/>
    <w:rsid w:val="00967655"/>
    <w:rsid w:val="0097090D"/>
    <w:rsid w:val="00970E13"/>
    <w:rsid w:val="00970F12"/>
    <w:rsid w:val="009710BF"/>
    <w:rsid w:val="00971874"/>
    <w:rsid w:val="00971F83"/>
    <w:rsid w:val="00972061"/>
    <w:rsid w:val="0097245C"/>
    <w:rsid w:val="009725FE"/>
    <w:rsid w:val="0097282B"/>
    <w:rsid w:val="00972DAC"/>
    <w:rsid w:val="00972DB7"/>
    <w:rsid w:val="00973A35"/>
    <w:rsid w:val="00974A1E"/>
    <w:rsid w:val="00975221"/>
    <w:rsid w:val="0097559A"/>
    <w:rsid w:val="00975D48"/>
    <w:rsid w:val="00975E39"/>
    <w:rsid w:val="00976546"/>
    <w:rsid w:val="00976FCF"/>
    <w:rsid w:val="00977809"/>
    <w:rsid w:val="009802F9"/>
    <w:rsid w:val="00980BAC"/>
    <w:rsid w:val="00980DF0"/>
    <w:rsid w:val="00980F3F"/>
    <w:rsid w:val="00981D1C"/>
    <w:rsid w:val="00982214"/>
    <w:rsid w:val="009823D4"/>
    <w:rsid w:val="00982474"/>
    <w:rsid w:val="00983285"/>
    <w:rsid w:val="0098397B"/>
    <w:rsid w:val="00984275"/>
    <w:rsid w:val="0098436A"/>
    <w:rsid w:val="00984672"/>
    <w:rsid w:val="00984F97"/>
    <w:rsid w:val="0098569D"/>
    <w:rsid w:val="00985A09"/>
    <w:rsid w:val="00986277"/>
    <w:rsid w:val="009866A3"/>
    <w:rsid w:val="0098693D"/>
    <w:rsid w:val="0099003F"/>
    <w:rsid w:val="0099016D"/>
    <w:rsid w:val="00990343"/>
    <w:rsid w:val="009905E1"/>
    <w:rsid w:val="0099064C"/>
    <w:rsid w:val="0099078A"/>
    <w:rsid w:val="0099097F"/>
    <w:rsid w:val="00992097"/>
    <w:rsid w:val="0099282E"/>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B66"/>
    <w:rsid w:val="00995C16"/>
    <w:rsid w:val="0099625A"/>
    <w:rsid w:val="009965BC"/>
    <w:rsid w:val="0099662E"/>
    <w:rsid w:val="00997258"/>
    <w:rsid w:val="00997C19"/>
    <w:rsid w:val="009A0415"/>
    <w:rsid w:val="009A04CD"/>
    <w:rsid w:val="009A177E"/>
    <w:rsid w:val="009A1AE9"/>
    <w:rsid w:val="009A22E6"/>
    <w:rsid w:val="009A2486"/>
    <w:rsid w:val="009A2690"/>
    <w:rsid w:val="009A277E"/>
    <w:rsid w:val="009A3307"/>
    <w:rsid w:val="009A3520"/>
    <w:rsid w:val="009A3547"/>
    <w:rsid w:val="009A39FF"/>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E9C"/>
    <w:rsid w:val="009C4A32"/>
    <w:rsid w:val="009C5099"/>
    <w:rsid w:val="009C63AB"/>
    <w:rsid w:val="009C69D0"/>
    <w:rsid w:val="009C69F4"/>
    <w:rsid w:val="009C6E3A"/>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CE1"/>
    <w:rsid w:val="009D7FF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B41"/>
    <w:rsid w:val="009F231C"/>
    <w:rsid w:val="009F2512"/>
    <w:rsid w:val="009F2C7D"/>
    <w:rsid w:val="009F40CE"/>
    <w:rsid w:val="009F4CDA"/>
    <w:rsid w:val="009F59BF"/>
    <w:rsid w:val="009F5F68"/>
    <w:rsid w:val="009F776E"/>
    <w:rsid w:val="00A00F42"/>
    <w:rsid w:val="00A01279"/>
    <w:rsid w:val="00A01519"/>
    <w:rsid w:val="00A0195A"/>
    <w:rsid w:val="00A01990"/>
    <w:rsid w:val="00A021DB"/>
    <w:rsid w:val="00A02D3C"/>
    <w:rsid w:val="00A032EA"/>
    <w:rsid w:val="00A0408F"/>
    <w:rsid w:val="00A04E68"/>
    <w:rsid w:val="00A050D4"/>
    <w:rsid w:val="00A05975"/>
    <w:rsid w:val="00A05EAA"/>
    <w:rsid w:val="00A0608D"/>
    <w:rsid w:val="00A060BE"/>
    <w:rsid w:val="00A0695E"/>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566"/>
    <w:rsid w:val="00A15B2D"/>
    <w:rsid w:val="00A163CD"/>
    <w:rsid w:val="00A16778"/>
    <w:rsid w:val="00A16B57"/>
    <w:rsid w:val="00A20224"/>
    <w:rsid w:val="00A2081A"/>
    <w:rsid w:val="00A21424"/>
    <w:rsid w:val="00A21997"/>
    <w:rsid w:val="00A23A98"/>
    <w:rsid w:val="00A24217"/>
    <w:rsid w:val="00A242B6"/>
    <w:rsid w:val="00A244E9"/>
    <w:rsid w:val="00A24530"/>
    <w:rsid w:val="00A24622"/>
    <w:rsid w:val="00A246A3"/>
    <w:rsid w:val="00A24EFF"/>
    <w:rsid w:val="00A24FF0"/>
    <w:rsid w:val="00A259A8"/>
    <w:rsid w:val="00A25ABB"/>
    <w:rsid w:val="00A25E39"/>
    <w:rsid w:val="00A267F3"/>
    <w:rsid w:val="00A26827"/>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D65"/>
    <w:rsid w:val="00A36CF6"/>
    <w:rsid w:val="00A36EC5"/>
    <w:rsid w:val="00A37EDA"/>
    <w:rsid w:val="00A4035D"/>
    <w:rsid w:val="00A413A3"/>
    <w:rsid w:val="00A41CE4"/>
    <w:rsid w:val="00A4254C"/>
    <w:rsid w:val="00A43270"/>
    <w:rsid w:val="00A4539E"/>
    <w:rsid w:val="00A46080"/>
    <w:rsid w:val="00A461CB"/>
    <w:rsid w:val="00A4663F"/>
    <w:rsid w:val="00A46C6C"/>
    <w:rsid w:val="00A46EB1"/>
    <w:rsid w:val="00A46F37"/>
    <w:rsid w:val="00A47A54"/>
    <w:rsid w:val="00A47C59"/>
    <w:rsid w:val="00A50FEC"/>
    <w:rsid w:val="00A51326"/>
    <w:rsid w:val="00A51FC3"/>
    <w:rsid w:val="00A532FC"/>
    <w:rsid w:val="00A53624"/>
    <w:rsid w:val="00A54F72"/>
    <w:rsid w:val="00A55649"/>
    <w:rsid w:val="00A565B6"/>
    <w:rsid w:val="00A567E2"/>
    <w:rsid w:val="00A56806"/>
    <w:rsid w:val="00A57F15"/>
    <w:rsid w:val="00A60066"/>
    <w:rsid w:val="00A60179"/>
    <w:rsid w:val="00A60EE6"/>
    <w:rsid w:val="00A61782"/>
    <w:rsid w:val="00A61FDA"/>
    <w:rsid w:val="00A62B8D"/>
    <w:rsid w:val="00A62B94"/>
    <w:rsid w:val="00A63850"/>
    <w:rsid w:val="00A63C29"/>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8ED"/>
    <w:rsid w:val="00A75386"/>
    <w:rsid w:val="00A7593A"/>
    <w:rsid w:val="00A7597F"/>
    <w:rsid w:val="00A75B45"/>
    <w:rsid w:val="00A75D3F"/>
    <w:rsid w:val="00A760C0"/>
    <w:rsid w:val="00A768C8"/>
    <w:rsid w:val="00A76C21"/>
    <w:rsid w:val="00A77727"/>
    <w:rsid w:val="00A77A46"/>
    <w:rsid w:val="00A8226A"/>
    <w:rsid w:val="00A82941"/>
    <w:rsid w:val="00A82D0D"/>
    <w:rsid w:val="00A834D6"/>
    <w:rsid w:val="00A83DBC"/>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91D"/>
    <w:rsid w:val="00A97D4A"/>
    <w:rsid w:val="00A97DB8"/>
    <w:rsid w:val="00AA0209"/>
    <w:rsid w:val="00AA03A6"/>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B02DD"/>
    <w:rsid w:val="00AB045C"/>
    <w:rsid w:val="00AB05BB"/>
    <w:rsid w:val="00AB090C"/>
    <w:rsid w:val="00AB0F9A"/>
    <w:rsid w:val="00AB1160"/>
    <w:rsid w:val="00AB1411"/>
    <w:rsid w:val="00AB142E"/>
    <w:rsid w:val="00AB1C10"/>
    <w:rsid w:val="00AB212D"/>
    <w:rsid w:val="00AB221D"/>
    <w:rsid w:val="00AB32C1"/>
    <w:rsid w:val="00AB3552"/>
    <w:rsid w:val="00AB39CB"/>
    <w:rsid w:val="00AB481B"/>
    <w:rsid w:val="00AB49C3"/>
    <w:rsid w:val="00AB55F8"/>
    <w:rsid w:val="00AB5DF2"/>
    <w:rsid w:val="00AB65C6"/>
    <w:rsid w:val="00AB6C4D"/>
    <w:rsid w:val="00AB7212"/>
    <w:rsid w:val="00AB7866"/>
    <w:rsid w:val="00AC0768"/>
    <w:rsid w:val="00AC1D3B"/>
    <w:rsid w:val="00AC226A"/>
    <w:rsid w:val="00AC246C"/>
    <w:rsid w:val="00AC2FB2"/>
    <w:rsid w:val="00AC32FB"/>
    <w:rsid w:val="00AC3ADE"/>
    <w:rsid w:val="00AC3F58"/>
    <w:rsid w:val="00AC4C92"/>
    <w:rsid w:val="00AC4E28"/>
    <w:rsid w:val="00AC4E71"/>
    <w:rsid w:val="00AC4F7E"/>
    <w:rsid w:val="00AC5700"/>
    <w:rsid w:val="00AC59C9"/>
    <w:rsid w:val="00AC5A64"/>
    <w:rsid w:val="00AC613C"/>
    <w:rsid w:val="00AC617D"/>
    <w:rsid w:val="00AC7042"/>
    <w:rsid w:val="00AC752F"/>
    <w:rsid w:val="00AC7B8D"/>
    <w:rsid w:val="00AC7E49"/>
    <w:rsid w:val="00AD099F"/>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2CDE"/>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1CE"/>
    <w:rsid w:val="00AF6A59"/>
    <w:rsid w:val="00AF7BDD"/>
    <w:rsid w:val="00B00F8C"/>
    <w:rsid w:val="00B00FEC"/>
    <w:rsid w:val="00B01277"/>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DB9"/>
    <w:rsid w:val="00B16431"/>
    <w:rsid w:val="00B17366"/>
    <w:rsid w:val="00B1780E"/>
    <w:rsid w:val="00B200D3"/>
    <w:rsid w:val="00B2060E"/>
    <w:rsid w:val="00B20DCF"/>
    <w:rsid w:val="00B20F8A"/>
    <w:rsid w:val="00B215EB"/>
    <w:rsid w:val="00B2173E"/>
    <w:rsid w:val="00B22522"/>
    <w:rsid w:val="00B2288A"/>
    <w:rsid w:val="00B230A6"/>
    <w:rsid w:val="00B24D66"/>
    <w:rsid w:val="00B258AF"/>
    <w:rsid w:val="00B264B0"/>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423D"/>
    <w:rsid w:val="00B45847"/>
    <w:rsid w:val="00B460A1"/>
    <w:rsid w:val="00B46275"/>
    <w:rsid w:val="00B464C7"/>
    <w:rsid w:val="00B4658A"/>
    <w:rsid w:val="00B4733F"/>
    <w:rsid w:val="00B4758E"/>
    <w:rsid w:val="00B47CBB"/>
    <w:rsid w:val="00B503D0"/>
    <w:rsid w:val="00B5083E"/>
    <w:rsid w:val="00B50ADB"/>
    <w:rsid w:val="00B51519"/>
    <w:rsid w:val="00B51604"/>
    <w:rsid w:val="00B51F64"/>
    <w:rsid w:val="00B53B4E"/>
    <w:rsid w:val="00B53C5F"/>
    <w:rsid w:val="00B54BD8"/>
    <w:rsid w:val="00B55933"/>
    <w:rsid w:val="00B5596C"/>
    <w:rsid w:val="00B55CC5"/>
    <w:rsid w:val="00B565A9"/>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1F7B"/>
    <w:rsid w:val="00B727DF"/>
    <w:rsid w:val="00B72CF9"/>
    <w:rsid w:val="00B72EE9"/>
    <w:rsid w:val="00B73637"/>
    <w:rsid w:val="00B73D34"/>
    <w:rsid w:val="00B740E5"/>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0AFC"/>
    <w:rsid w:val="00B818AA"/>
    <w:rsid w:val="00B81B66"/>
    <w:rsid w:val="00B81BC2"/>
    <w:rsid w:val="00B81C75"/>
    <w:rsid w:val="00B81D8F"/>
    <w:rsid w:val="00B81EEF"/>
    <w:rsid w:val="00B81F26"/>
    <w:rsid w:val="00B82C22"/>
    <w:rsid w:val="00B82C39"/>
    <w:rsid w:val="00B840BB"/>
    <w:rsid w:val="00B84C9F"/>
    <w:rsid w:val="00B8525F"/>
    <w:rsid w:val="00B856E9"/>
    <w:rsid w:val="00B85774"/>
    <w:rsid w:val="00B86429"/>
    <w:rsid w:val="00B8648F"/>
    <w:rsid w:val="00B866C7"/>
    <w:rsid w:val="00B86EFB"/>
    <w:rsid w:val="00B87563"/>
    <w:rsid w:val="00B87589"/>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392"/>
    <w:rsid w:val="00B9439B"/>
    <w:rsid w:val="00B94AE4"/>
    <w:rsid w:val="00B955F5"/>
    <w:rsid w:val="00B95663"/>
    <w:rsid w:val="00B95A36"/>
    <w:rsid w:val="00B95CCC"/>
    <w:rsid w:val="00B95F44"/>
    <w:rsid w:val="00B96D3C"/>
    <w:rsid w:val="00B97577"/>
    <w:rsid w:val="00BA0FE9"/>
    <w:rsid w:val="00BA139F"/>
    <w:rsid w:val="00BA1A0B"/>
    <w:rsid w:val="00BA1E85"/>
    <w:rsid w:val="00BA1EA6"/>
    <w:rsid w:val="00BA25F7"/>
    <w:rsid w:val="00BA359B"/>
    <w:rsid w:val="00BA3A93"/>
    <w:rsid w:val="00BA4D05"/>
    <w:rsid w:val="00BA5165"/>
    <w:rsid w:val="00BA5599"/>
    <w:rsid w:val="00BA5A40"/>
    <w:rsid w:val="00BA5A84"/>
    <w:rsid w:val="00BA5FD5"/>
    <w:rsid w:val="00BA62AB"/>
    <w:rsid w:val="00BA7E0B"/>
    <w:rsid w:val="00BB0DE3"/>
    <w:rsid w:val="00BB0EA0"/>
    <w:rsid w:val="00BB10CD"/>
    <w:rsid w:val="00BB10F0"/>
    <w:rsid w:val="00BB122E"/>
    <w:rsid w:val="00BB25BB"/>
    <w:rsid w:val="00BB2CEC"/>
    <w:rsid w:val="00BB4A6F"/>
    <w:rsid w:val="00BB4D81"/>
    <w:rsid w:val="00BB4EBC"/>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9"/>
    <w:rsid w:val="00BE706D"/>
    <w:rsid w:val="00BE770F"/>
    <w:rsid w:val="00BE778C"/>
    <w:rsid w:val="00BF01D4"/>
    <w:rsid w:val="00BF077D"/>
    <w:rsid w:val="00BF20FB"/>
    <w:rsid w:val="00BF2997"/>
    <w:rsid w:val="00BF4406"/>
    <w:rsid w:val="00BF4C22"/>
    <w:rsid w:val="00BF4CD1"/>
    <w:rsid w:val="00BF4DD7"/>
    <w:rsid w:val="00BF51E4"/>
    <w:rsid w:val="00BF5375"/>
    <w:rsid w:val="00BF6043"/>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3041"/>
    <w:rsid w:val="00C03815"/>
    <w:rsid w:val="00C041F4"/>
    <w:rsid w:val="00C049FA"/>
    <w:rsid w:val="00C04C59"/>
    <w:rsid w:val="00C0524E"/>
    <w:rsid w:val="00C05428"/>
    <w:rsid w:val="00C058A3"/>
    <w:rsid w:val="00C05E05"/>
    <w:rsid w:val="00C0711F"/>
    <w:rsid w:val="00C077E1"/>
    <w:rsid w:val="00C07E8E"/>
    <w:rsid w:val="00C1077D"/>
    <w:rsid w:val="00C107BE"/>
    <w:rsid w:val="00C10BD0"/>
    <w:rsid w:val="00C10C03"/>
    <w:rsid w:val="00C112F7"/>
    <w:rsid w:val="00C1161D"/>
    <w:rsid w:val="00C12B5F"/>
    <w:rsid w:val="00C12CC4"/>
    <w:rsid w:val="00C12CE6"/>
    <w:rsid w:val="00C12D9C"/>
    <w:rsid w:val="00C13208"/>
    <w:rsid w:val="00C133F5"/>
    <w:rsid w:val="00C1360E"/>
    <w:rsid w:val="00C13819"/>
    <w:rsid w:val="00C13CCA"/>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358"/>
    <w:rsid w:val="00C2071F"/>
    <w:rsid w:val="00C209E6"/>
    <w:rsid w:val="00C20A09"/>
    <w:rsid w:val="00C20AEB"/>
    <w:rsid w:val="00C20F22"/>
    <w:rsid w:val="00C21FF8"/>
    <w:rsid w:val="00C220F2"/>
    <w:rsid w:val="00C223A0"/>
    <w:rsid w:val="00C23BBD"/>
    <w:rsid w:val="00C2455C"/>
    <w:rsid w:val="00C24638"/>
    <w:rsid w:val="00C256A9"/>
    <w:rsid w:val="00C263EF"/>
    <w:rsid w:val="00C26495"/>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8FE"/>
    <w:rsid w:val="00C34FBC"/>
    <w:rsid w:val="00C35087"/>
    <w:rsid w:val="00C3523B"/>
    <w:rsid w:val="00C35947"/>
    <w:rsid w:val="00C36001"/>
    <w:rsid w:val="00C36FFE"/>
    <w:rsid w:val="00C375DD"/>
    <w:rsid w:val="00C37BF4"/>
    <w:rsid w:val="00C40885"/>
    <w:rsid w:val="00C40A83"/>
    <w:rsid w:val="00C40D37"/>
    <w:rsid w:val="00C412E1"/>
    <w:rsid w:val="00C416FD"/>
    <w:rsid w:val="00C41E73"/>
    <w:rsid w:val="00C41FA0"/>
    <w:rsid w:val="00C4271F"/>
    <w:rsid w:val="00C42A6C"/>
    <w:rsid w:val="00C42B60"/>
    <w:rsid w:val="00C43E4A"/>
    <w:rsid w:val="00C43FD4"/>
    <w:rsid w:val="00C4445E"/>
    <w:rsid w:val="00C44846"/>
    <w:rsid w:val="00C4530D"/>
    <w:rsid w:val="00C45A51"/>
    <w:rsid w:val="00C45BA9"/>
    <w:rsid w:val="00C469E3"/>
    <w:rsid w:val="00C47155"/>
    <w:rsid w:val="00C47987"/>
    <w:rsid w:val="00C47CD2"/>
    <w:rsid w:val="00C47D56"/>
    <w:rsid w:val="00C510DE"/>
    <w:rsid w:val="00C536E4"/>
    <w:rsid w:val="00C538AE"/>
    <w:rsid w:val="00C53C32"/>
    <w:rsid w:val="00C53E7A"/>
    <w:rsid w:val="00C54492"/>
    <w:rsid w:val="00C544B6"/>
    <w:rsid w:val="00C54601"/>
    <w:rsid w:val="00C54E26"/>
    <w:rsid w:val="00C5671C"/>
    <w:rsid w:val="00C56A84"/>
    <w:rsid w:val="00C575E8"/>
    <w:rsid w:val="00C5777E"/>
    <w:rsid w:val="00C57EB0"/>
    <w:rsid w:val="00C60984"/>
    <w:rsid w:val="00C60E33"/>
    <w:rsid w:val="00C6111A"/>
    <w:rsid w:val="00C61402"/>
    <w:rsid w:val="00C61801"/>
    <w:rsid w:val="00C618DF"/>
    <w:rsid w:val="00C65030"/>
    <w:rsid w:val="00C6515A"/>
    <w:rsid w:val="00C652A1"/>
    <w:rsid w:val="00C655E4"/>
    <w:rsid w:val="00C65738"/>
    <w:rsid w:val="00C6590A"/>
    <w:rsid w:val="00C65FFB"/>
    <w:rsid w:val="00C6650D"/>
    <w:rsid w:val="00C66663"/>
    <w:rsid w:val="00C668D8"/>
    <w:rsid w:val="00C66BCD"/>
    <w:rsid w:val="00C66E74"/>
    <w:rsid w:val="00C67029"/>
    <w:rsid w:val="00C70B38"/>
    <w:rsid w:val="00C70B43"/>
    <w:rsid w:val="00C70B6D"/>
    <w:rsid w:val="00C71A56"/>
    <w:rsid w:val="00C730CC"/>
    <w:rsid w:val="00C74485"/>
    <w:rsid w:val="00C7532A"/>
    <w:rsid w:val="00C75721"/>
    <w:rsid w:val="00C760A6"/>
    <w:rsid w:val="00C762B7"/>
    <w:rsid w:val="00C76825"/>
    <w:rsid w:val="00C77C4B"/>
    <w:rsid w:val="00C77D50"/>
    <w:rsid w:val="00C80DC6"/>
    <w:rsid w:val="00C815E4"/>
    <w:rsid w:val="00C8177D"/>
    <w:rsid w:val="00C8290C"/>
    <w:rsid w:val="00C83BAE"/>
    <w:rsid w:val="00C83FA7"/>
    <w:rsid w:val="00C8512B"/>
    <w:rsid w:val="00C858C8"/>
    <w:rsid w:val="00C85A79"/>
    <w:rsid w:val="00C86242"/>
    <w:rsid w:val="00C86D64"/>
    <w:rsid w:val="00C86DA1"/>
    <w:rsid w:val="00C87CDD"/>
    <w:rsid w:val="00C909EE"/>
    <w:rsid w:val="00C90AD2"/>
    <w:rsid w:val="00C90E27"/>
    <w:rsid w:val="00C910ED"/>
    <w:rsid w:val="00C914C9"/>
    <w:rsid w:val="00C9156F"/>
    <w:rsid w:val="00C91E57"/>
    <w:rsid w:val="00C922E8"/>
    <w:rsid w:val="00C93188"/>
    <w:rsid w:val="00C939E3"/>
    <w:rsid w:val="00C94EF3"/>
    <w:rsid w:val="00C952A9"/>
    <w:rsid w:val="00C9534F"/>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3E59"/>
    <w:rsid w:val="00CB4759"/>
    <w:rsid w:val="00CB4DA4"/>
    <w:rsid w:val="00CB54FD"/>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A6"/>
    <w:rsid w:val="00CC6ACF"/>
    <w:rsid w:val="00CC722F"/>
    <w:rsid w:val="00CC726E"/>
    <w:rsid w:val="00CC7476"/>
    <w:rsid w:val="00CC75EE"/>
    <w:rsid w:val="00CC7F3D"/>
    <w:rsid w:val="00CD0BAE"/>
    <w:rsid w:val="00CD1017"/>
    <w:rsid w:val="00CD129C"/>
    <w:rsid w:val="00CD12BA"/>
    <w:rsid w:val="00CD181E"/>
    <w:rsid w:val="00CD2C45"/>
    <w:rsid w:val="00CD385F"/>
    <w:rsid w:val="00CD387C"/>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A65"/>
    <w:rsid w:val="00CE3037"/>
    <w:rsid w:val="00CE32AD"/>
    <w:rsid w:val="00CE3361"/>
    <w:rsid w:val="00CE3463"/>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17E97"/>
    <w:rsid w:val="00D20886"/>
    <w:rsid w:val="00D223F2"/>
    <w:rsid w:val="00D22E00"/>
    <w:rsid w:val="00D23853"/>
    <w:rsid w:val="00D23A1E"/>
    <w:rsid w:val="00D24137"/>
    <w:rsid w:val="00D251E6"/>
    <w:rsid w:val="00D259B0"/>
    <w:rsid w:val="00D26097"/>
    <w:rsid w:val="00D261C5"/>
    <w:rsid w:val="00D26391"/>
    <w:rsid w:val="00D2699D"/>
    <w:rsid w:val="00D27747"/>
    <w:rsid w:val="00D27BF7"/>
    <w:rsid w:val="00D30729"/>
    <w:rsid w:val="00D30EAF"/>
    <w:rsid w:val="00D314F6"/>
    <w:rsid w:val="00D318F8"/>
    <w:rsid w:val="00D31A4F"/>
    <w:rsid w:val="00D31C7E"/>
    <w:rsid w:val="00D31D6C"/>
    <w:rsid w:val="00D31D99"/>
    <w:rsid w:val="00D32CDD"/>
    <w:rsid w:val="00D32E0D"/>
    <w:rsid w:val="00D3326D"/>
    <w:rsid w:val="00D33977"/>
    <w:rsid w:val="00D33C97"/>
    <w:rsid w:val="00D34097"/>
    <w:rsid w:val="00D3544C"/>
    <w:rsid w:val="00D3719F"/>
    <w:rsid w:val="00D371C8"/>
    <w:rsid w:val="00D40548"/>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5A5"/>
    <w:rsid w:val="00D606A0"/>
    <w:rsid w:val="00D60A2F"/>
    <w:rsid w:val="00D60DAB"/>
    <w:rsid w:val="00D61817"/>
    <w:rsid w:val="00D61A8A"/>
    <w:rsid w:val="00D62369"/>
    <w:rsid w:val="00D623AA"/>
    <w:rsid w:val="00D62A24"/>
    <w:rsid w:val="00D62FAC"/>
    <w:rsid w:val="00D635B0"/>
    <w:rsid w:val="00D637A9"/>
    <w:rsid w:val="00D63BE1"/>
    <w:rsid w:val="00D65280"/>
    <w:rsid w:val="00D652F6"/>
    <w:rsid w:val="00D6616F"/>
    <w:rsid w:val="00D6699B"/>
    <w:rsid w:val="00D7009E"/>
    <w:rsid w:val="00D70C63"/>
    <w:rsid w:val="00D710C5"/>
    <w:rsid w:val="00D71606"/>
    <w:rsid w:val="00D71705"/>
    <w:rsid w:val="00D71888"/>
    <w:rsid w:val="00D71B45"/>
    <w:rsid w:val="00D722C1"/>
    <w:rsid w:val="00D7231E"/>
    <w:rsid w:val="00D72437"/>
    <w:rsid w:val="00D726A5"/>
    <w:rsid w:val="00D727AC"/>
    <w:rsid w:val="00D72AC2"/>
    <w:rsid w:val="00D72CAE"/>
    <w:rsid w:val="00D73BE5"/>
    <w:rsid w:val="00D74660"/>
    <w:rsid w:val="00D74797"/>
    <w:rsid w:val="00D74968"/>
    <w:rsid w:val="00D749D2"/>
    <w:rsid w:val="00D74D9B"/>
    <w:rsid w:val="00D74DC3"/>
    <w:rsid w:val="00D750A2"/>
    <w:rsid w:val="00D75650"/>
    <w:rsid w:val="00D756E8"/>
    <w:rsid w:val="00D75E77"/>
    <w:rsid w:val="00D76619"/>
    <w:rsid w:val="00D768AE"/>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833"/>
    <w:rsid w:val="00D94E5E"/>
    <w:rsid w:val="00D94F2C"/>
    <w:rsid w:val="00D96138"/>
    <w:rsid w:val="00D965AB"/>
    <w:rsid w:val="00D96B07"/>
    <w:rsid w:val="00D96BD2"/>
    <w:rsid w:val="00D974EC"/>
    <w:rsid w:val="00D97594"/>
    <w:rsid w:val="00D976A0"/>
    <w:rsid w:val="00DA002B"/>
    <w:rsid w:val="00DA0351"/>
    <w:rsid w:val="00DA0417"/>
    <w:rsid w:val="00DA059A"/>
    <w:rsid w:val="00DA0676"/>
    <w:rsid w:val="00DA08F0"/>
    <w:rsid w:val="00DA0F27"/>
    <w:rsid w:val="00DA156A"/>
    <w:rsid w:val="00DA1DA8"/>
    <w:rsid w:val="00DA22C1"/>
    <w:rsid w:val="00DA24B0"/>
    <w:rsid w:val="00DA2582"/>
    <w:rsid w:val="00DA2694"/>
    <w:rsid w:val="00DA31A1"/>
    <w:rsid w:val="00DA3CF1"/>
    <w:rsid w:val="00DA4844"/>
    <w:rsid w:val="00DA4B0E"/>
    <w:rsid w:val="00DA4C73"/>
    <w:rsid w:val="00DA50E4"/>
    <w:rsid w:val="00DA5BEB"/>
    <w:rsid w:val="00DA6177"/>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3214"/>
    <w:rsid w:val="00DC3579"/>
    <w:rsid w:val="00DC3E0F"/>
    <w:rsid w:val="00DC43AE"/>
    <w:rsid w:val="00DC466F"/>
    <w:rsid w:val="00DC4841"/>
    <w:rsid w:val="00DC48FE"/>
    <w:rsid w:val="00DC51EE"/>
    <w:rsid w:val="00DC5533"/>
    <w:rsid w:val="00DC5770"/>
    <w:rsid w:val="00DC58B9"/>
    <w:rsid w:val="00DC59D7"/>
    <w:rsid w:val="00DC6E13"/>
    <w:rsid w:val="00DC6E1B"/>
    <w:rsid w:val="00DC7EBE"/>
    <w:rsid w:val="00DD02F5"/>
    <w:rsid w:val="00DD12EF"/>
    <w:rsid w:val="00DD158F"/>
    <w:rsid w:val="00DD16FB"/>
    <w:rsid w:val="00DD235A"/>
    <w:rsid w:val="00DD2381"/>
    <w:rsid w:val="00DD2B1D"/>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B74"/>
    <w:rsid w:val="00DE3F20"/>
    <w:rsid w:val="00DE40F7"/>
    <w:rsid w:val="00DE47DF"/>
    <w:rsid w:val="00DE4D21"/>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508"/>
    <w:rsid w:val="00DF3D62"/>
    <w:rsid w:val="00DF499C"/>
    <w:rsid w:val="00DF572E"/>
    <w:rsid w:val="00DF596A"/>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43C"/>
    <w:rsid w:val="00E04B4F"/>
    <w:rsid w:val="00E062AA"/>
    <w:rsid w:val="00E06FD6"/>
    <w:rsid w:val="00E074C1"/>
    <w:rsid w:val="00E07B79"/>
    <w:rsid w:val="00E07CDC"/>
    <w:rsid w:val="00E1006A"/>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483"/>
    <w:rsid w:val="00E2055A"/>
    <w:rsid w:val="00E20DFC"/>
    <w:rsid w:val="00E21504"/>
    <w:rsid w:val="00E21F2D"/>
    <w:rsid w:val="00E22A26"/>
    <w:rsid w:val="00E22DD9"/>
    <w:rsid w:val="00E2336E"/>
    <w:rsid w:val="00E23655"/>
    <w:rsid w:val="00E23AB9"/>
    <w:rsid w:val="00E23AC4"/>
    <w:rsid w:val="00E23ED2"/>
    <w:rsid w:val="00E244DC"/>
    <w:rsid w:val="00E24E56"/>
    <w:rsid w:val="00E256F7"/>
    <w:rsid w:val="00E25995"/>
    <w:rsid w:val="00E25CFC"/>
    <w:rsid w:val="00E25D57"/>
    <w:rsid w:val="00E26257"/>
    <w:rsid w:val="00E264AD"/>
    <w:rsid w:val="00E26819"/>
    <w:rsid w:val="00E27074"/>
    <w:rsid w:val="00E27E1C"/>
    <w:rsid w:val="00E300F2"/>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A1E"/>
    <w:rsid w:val="00E41CF2"/>
    <w:rsid w:val="00E41D23"/>
    <w:rsid w:val="00E4297F"/>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EA2"/>
    <w:rsid w:val="00E535D1"/>
    <w:rsid w:val="00E536FC"/>
    <w:rsid w:val="00E539F2"/>
    <w:rsid w:val="00E53AA6"/>
    <w:rsid w:val="00E53C6C"/>
    <w:rsid w:val="00E53CB2"/>
    <w:rsid w:val="00E53D6A"/>
    <w:rsid w:val="00E54438"/>
    <w:rsid w:val="00E54584"/>
    <w:rsid w:val="00E54898"/>
    <w:rsid w:val="00E55558"/>
    <w:rsid w:val="00E55BB8"/>
    <w:rsid w:val="00E56344"/>
    <w:rsid w:val="00E57E87"/>
    <w:rsid w:val="00E60DE1"/>
    <w:rsid w:val="00E61076"/>
    <w:rsid w:val="00E61812"/>
    <w:rsid w:val="00E62A7B"/>
    <w:rsid w:val="00E62CF0"/>
    <w:rsid w:val="00E62E5D"/>
    <w:rsid w:val="00E65073"/>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4F7"/>
    <w:rsid w:val="00E84AD4"/>
    <w:rsid w:val="00E8534F"/>
    <w:rsid w:val="00E854EA"/>
    <w:rsid w:val="00E85EC9"/>
    <w:rsid w:val="00E85F95"/>
    <w:rsid w:val="00E86BAE"/>
    <w:rsid w:val="00E8752E"/>
    <w:rsid w:val="00E876A3"/>
    <w:rsid w:val="00E87DC5"/>
    <w:rsid w:val="00E903A5"/>
    <w:rsid w:val="00E90A19"/>
    <w:rsid w:val="00E90DC9"/>
    <w:rsid w:val="00E91460"/>
    <w:rsid w:val="00E915F1"/>
    <w:rsid w:val="00E91C42"/>
    <w:rsid w:val="00E92341"/>
    <w:rsid w:val="00E92B3B"/>
    <w:rsid w:val="00E93635"/>
    <w:rsid w:val="00E936EA"/>
    <w:rsid w:val="00E945B4"/>
    <w:rsid w:val="00E94F06"/>
    <w:rsid w:val="00E95243"/>
    <w:rsid w:val="00E956CB"/>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45D7"/>
    <w:rsid w:val="00EB47B3"/>
    <w:rsid w:val="00EB4926"/>
    <w:rsid w:val="00EB4B58"/>
    <w:rsid w:val="00EB4E5F"/>
    <w:rsid w:val="00EB5181"/>
    <w:rsid w:val="00EB5197"/>
    <w:rsid w:val="00EB5629"/>
    <w:rsid w:val="00EB5734"/>
    <w:rsid w:val="00EB5FF4"/>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34A"/>
    <w:rsid w:val="00EE2B55"/>
    <w:rsid w:val="00EE3341"/>
    <w:rsid w:val="00EE3445"/>
    <w:rsid w:val="00EE4436"/>
    <w:rsid w:val="00EE4BBE"/>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2D2"/>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3F9"/>
    <w:rsid w:val="00F04E02"/>
    <w:rsid w:val="00F05558"/>
    <w:rsid w:val="00F0595E"/>
    <w:rsid w:val="00F05A7B"/>
    <w:rsid w:val="00F06454"/>
    <w:rsid w:val="00F0681F"/>
    <w:rsid w:val="00F06CB2"/>
    <w:rsid w:val="00F06E72"/>
    <w:rsid w:val="00F07C8A"/>
    <w:rsid w:val="00F07D8B"/>
    <w:rsid w:val="00F104D0"/>
    <w:rsid w:val="00F10544"/>
    <w:rsid w:val="00F10840"/>
    <w:rsid w:val="00F1086A"/>
    <w:rsid w:val="00F116E1"/>
    <w:rsid w:val="00F11E4F"/>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F6"/>
    <w:rsid w:val="00F25470"/>
    <w:rsid w:val="00F25C36"/>
    <w:rsid w:val="00F26145"/>
    <w:rsid w:val="00F26345"/>
    <w:rsid w:val="00F2634C"/>
    <w:rsid w:val="00F264A6"/>
    <w:rsid w:val="00F26D6D"/>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5F2"/>
    <w:rsid w:val="00F42037"/>
    <w:rsid w:val="00F423F6"/>
    <w:rsid w:val="00F42415"/>
    <w:rsid w:val="00F424D3"/>
    <w:rsid w:val="00F4284C"/>
    <w:rsid w:val="00F43696"/>
    <w:rsid w:val="00F443B0"/>
    <w:rsid w:val="00F444E7"/>
    <w:rsid w:val="00F447EA"/>
    <w:rsid w:val="00F44943"/>
    <w:rsid w:val="00F453DF"/>
    <w:rsid w:val="00F46462"/>
    <w:rsid w:val="00F4737E"/>
    <w:rsid w:val="00F47D5F"/>
    <w:rsid w:val="00F47E5F"/>
    <w:rsid w:val="00F50623"/>
    <w:rsid w:val="00F511EE"/>
    <w:rsid w:val="00F51D28"/>
    <w:rsid w:val="00F51DF3"/>
    <w:rsid w:val="00F51E4D"/>
    <w:rsid w:val="00F533F9"/>
    <w:rsid w:val="00F534EB"/>
    <w:rsid w:val="00F53867"/>
    <w:rsid w:val="00F539AC"/>
    <w:rsid w:val="00F53D94"/>
    <w:rsid w:val="00F5420D"/>
    <w:rsid w:val="00F54768"/>
    <w:rsid w:val="00F54ADC"/>
    <w:rsid w:val="00F553E8"/>
    <w:rsid w:val="00F55630"/>
    <w:rsid w:val="00F55AA3"/>
    <w:rsid w:val="00F55DFC"/>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A0B"/>
    <w:rsid w:val="00F6557B"/>
    <w:rsid w:val="00F666B5"/>
    <w:rsid w:val="00F66B92"/>
    <w:rsid w:val="00F6708D"/>
    <w:rsid w:val="00F67275"/>
    <w:rsid w:val="00F67E59"/>
    <w:rsid w:val="00F67EF9"/>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22A0"/>
    <w:rsid w:val="00F83A8B"/>
    <w:rsid w:val="00F83B2E"/>
    <w:rsid w:val="00F84099"/>
    <w:rsid w:val="00F8412E"/>
    <w:rsid w:val="00F843F7"/>
    <w:rsid w:val="00F8476D"/>
    <w:rsid w:val="00F85501"/>
    <w:rsid w:val="00F85511"/>
    <w:rsid w:val="00F856DE"/>
    <w:rsid w:val="00F85851"/>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C89"/>
    <w:rsid w:val="00FD0917"/>
    <w:rsid w:val="00FD0F61"/>
    <w:rsid w:val="00FD1280"/>
    <w:rsid w:val="00FD143C"/>
    <w:rsid w:val="00FD1946"/>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CB3E5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hyperlink" Target="https://www.inegi.org.mx/programas/inpp/2019/" TargetMode="Externa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2.xml"/><Relationship Id="rId30" Type="http://schemas.openxmlformats.org/officeDocument/2006/relationships/header" Target="header4.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5898412698412692E-2"/>
          <c:y val="4.8670531508681961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8EB4E3"/>
            </a:solidFill>
            <a:ln w="6350">
              <a:solidFill>
                <a:schemeClr val="tx1"/>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petroleo'!$Y$79:$AA$79</c:f>
              <c:numCache>
                <c:formatCode>0.00</c:formatCode>
                <c:ptCount val="3"/>
                <c:pt idx="0">
                  <c:v>3.741544798844</c:v>
                </c:pt>
                <c:pt idx="1">
                  <c:v>4.4825691107900001</c:v>
                </c:pt>
                <c:pt idx="2">
                  <c:v>0.96275413864314885</c:v>
                </c:pt>
              </c:numCache>
            </c:numRef>
          </c:val>
          <c:extLst>
            <c:ext xmlns:c16="http://schemas.microsoft.com/office/drawing/2014/chart" uri="{C3380CC4-5D6E-409C-BE32-E72D297353CC}">
              <c16:uniqueId val="{00000000-396C-4D0E-A08D-9B2A80944240}"/>
            </c:ext>
          </c:extLst>
        </c:ser>
        <c:ser>
          <c:idx val="1"/>
          <c:order val="1"/>
          <c:tx>
            <c:strRef>
              <c:f>'Datos con petroleo'!$AB$76:$AG$76</c:f>
              <c:strCache>
                <c:ptCount val="6"/>
                <c:pt idx="0">
                  <c:v>Actividades Primarias </c:v>
                </c:pt>
              </c:strCache>
            </c:strRef>
          </c:tx>
          <c:spPr>
            <a:pattFill prst="smCheck">
              <a:fgClr>
                <a:srgbClr val="B4CDE5"/>
              </a:fgClr>
              <a:bgClr>
                <a:schemeClr val="bg1"/>
              </a:bgClr>
            </a:pattFill>
            <a:ln>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petroleo'!$AF$79:$AH$79</c:f>
              <c:numCache>
                <c:formatCode>0.00</c:formatCode>
                <c:ptCount val="3"/>
                <c:pt idx="0">
                  <c:v>9.4557053689570001</c:v>
                </c:pt>
                <c:pt idx="1">
                  <c:v>-0.73243886712700002</c:v>
                </c:pt>
                <c:pt idx="2">
                  <c:v>0.56298954154763692</c:v>
                </c:pt>
              </c:numCache>
            </c:numRef>
          </c:val>
          <c:extLst>
            <c:ext xmlns:c16="http://schemas.microsoft.com/office/drawing/2014/chart" uri="{C3380CC4-5D6E-409C-BE32-E72D297353CC}">
              <c16:uniqueId val="{00000001-396C-4D0E-A08D-9B2A80944240}"/>
            </c:ext>
          </c:extLst>
        </c:ser>
        <c:ser>
          <c:idx val="2"/>
          <c:order val="2"/>
          <c:tx>
            <c:strRef>
              <c:f>'Datos con petroleo'!$AI$76:$AN$76</c:f>
              <c:strCache>
                <c:ptCount val="6"/>
                <c:pt idx="0">
                  <c:v>Actividades Secundarias</c:v>
                </c:pt>
              </c:strCache>
            </c:strRef>
          </c:tx>
          <c:spPr>
            <a:solidFill>
              <a:srgbClr val="376092"/>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petroleo'!$AM$79:$AO$79</c:f>
              <c:numCache>
                <c:formatCode>0.00</c:formatCode>
                <c:ptCount val="3"/>
                <c:pt idx="0">
                  <c:v>3.3871920849419999</c:v>
                </c:pt>
                <c:pt idx="1">
                  <c:v>5.2505990288</c:v>
                </c:pt>
                <c:pt idx="2">
                  <c:v>-0.39171100331503794</c:v>
                </c:pt>
              </c:numCache>
            </c:numRef>
          </c:val>
          <c:extLst>
            <c:ext xmlns:c16="http://schemas.microsoft.com/office/drawing/2014/chart" uri="{C3380CC4-5D6E-409C-BE32-E72D297353CC}">
              <c16:uniqueId val="{00000002-396C-4D0E-A08D-9B2A80944240}"/>
            </c:ext>
          </c:extLst>
        </c:ser>
        <c:ser>
          <c:idx val="3"/>
          <c:order val="3"/>
          <c:tx>
            <c:strRef>
              <c:f>'Datos con petroleo'!$AP$76:$AU$76</c:f>
              <c:strCache>
                <c:ptCount val="6"/>
                <c:pt idx="0">
                  <c:v>Actividades Terciarias</c:v>
                </c:pt>
              </c:strCache>
            </c:strRef>
          </c:tx>
          <c:spPr>
            <a:pattFill prst="dkUpDiag">
              <a:fgClr>
                <a:srgbClr val="4BACC6"/>
              </a:fgClr>
              <a:bgClr>
                <a:schemeClr val="bg1"/>
              </a:bgClr>
            </a:pattFill>
            <a:ln w="3175">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petroleo'!$AT$79:$AV$79</c:f>
              <c:numCache>
                <c:formatCode>0.00</c:formatCode>
                <c:ptCount val="3"/>
                <c:pt idx="0">
                  <c:v>3.6228421161540001</c:v>
                </c:pt>
                <c:pt idx="1">
                  <c:v>3.838402225816</c:v>
                </c:pt>
                <c:pt idx="2">
                  <c:v>3.6088097888737281</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106139392"/>
        <c:axId val="106139776"/>
      </c:barChart>
      <c:catAx>
        <c:axId val="106139392"/>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106139776"/>
        <c:crosses val="autoZero"/>
        <c:auto val="1"/>
        <c:lblAlgn val="ctr"/>
        <c:lblOffset val="100"/>
        <c:tickLblSkip val="1"/>
        <c:noMultiLvlLbl val="0"/>
      </c:catAx>
      <c:valAx>
        <c:axId val="106139776"/>
        <c:scaling>
          <c:orientation val="minMax"/>
          <c:max val="12"/>
          <c:min val="-2"/>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106139392"/>
        <c:crossesAt val="1"/>
        <c:crossBetween val="between"/>
        <c:majorUnit val="2"/>
      </c:valAx>
      <c:spPr>
        <a:noFill/>
        <a:ln w="6350">
          <a:no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4.6626984127002603E-4"/>
                  <c:y val="4.221628867581983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FA-4EE2-A970-0BAD5BA3E60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petroleo'!$A$67:$B$103</c:f>
              <c:multiLvlStrCache>
                <c:ptCount val="37"/>
                <c:lvl>
                  <c:pt idx="0">
                    <c:v>F</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lvl>
                <c:lvl>
                  <c:pt idx="0">
                    <c:v>2017</c:v>
                  </c:pt>
                  <c:pt idx="11">
                    <c:v>2018</c:v>
                  </c:pt>
                  <c:pt idx="23">
                    <c:v>2019</c:v>
                  </c:pt>
                  <c:pt idx="35">
                    <c:v>2020</c:v>
                  </c:pt>
                </c:lvl>
              </c:multiLvlStrCache>
            </c:multiLvlStrRef>
          </c:cat>
          <c:val>
            <c:numRef>
              <c:f>'Datos con petroleo'!$O$67:$O$103</c:f>
              <c:numCache>
                <c:formatCode>0.00</c:formatCode>
                <c:ptCount val="37"/>
                <c:pt idx="0">
                  <c:v>11.518060453045999</c:v>
                </c:pt>
                <c:pt idx="1">
                  <c:v>10.667918767952999</c:v>
                </c:pt>
                <c:pt idx="2">
                  <c:v>9.7337798595549998</c:v>
                </c:pt>
                <c:pt idx="3">
                  <c:v>8.5805320242020002</c:v>
                </c:pt>
                <c:pt idx="4">
                  <c:v>6.470328022466</c:v>
                </c:pt>
                <c:pt idx="5">
                  <c:v>6.0378080409999999</c:v>
                </c:pt>
                <c:pt idx="6">
                  <c:v>5.953320260411</c:v>
                </c:pt>
                <c:pt idx="7">
                  <c:v>4.9948342475669998</c:v>
                </c:pt>
                <c:pt idx="8">
                  <c:v>5.7286930776179998</c:v>
                </c:pt>
                <c:pt idx="9">
                  <c:v>6.0980795439950004</c:v>
                </c:pt>
                <c:pt idx="10">
                  <c:v>5.1668094672559999</c:v>
                </c:pt>
                <c:pt idx="11">
                  <c:v>3.8409904137069999</c:v>
                </c:pt>
                <c:pt idx="12">
                  <c:v>3.741544798844</c:v>
                </c:pt>
                <c:pt idx="13">
                  <c:v>4.6323972709439998</c:v>
                </c:pt>
                <c:pt idx="14">
                  <c:v>5.0446205716149999</c:v>
                </c:pt>
                <c:pt idx="15">
                  <c:v>6.9621551693530002</c:v>
                </c:pt>
                <c:pt idx="16">
                  <c:v>9.2199928547750005</c:v>
                </c:pt>
                <c:pt idx="17">
                  <c:v>8.4716707922140007</c:v>
                </c:pt>
                <c:pt idx="18">
                  <c:v>7.9092000088630003</c:v>
                </c:pt>
                <c:pt idx="19">
                  <c:v>8.5724985979459998</c:v>
                </c:pt>
                <c:pt idx="20">
                  <c:v>8.1738816367493285</c:v>
                </c:pt>
                <c:pt idx="21">
                  <c:v>7.0925614940459996</c:v>
                </c:pt>
                <c:pt idx="22">
                  <c:v>6.1074298927420001</c:v>
                </c:pt>
                <c:pt idx="23">
                  <c:v>4.4190802663359996</c:v>
                </c:pt>
                <c:pt idx="24">
                  <c:v>4.4825691107900001</c:v>
                </c:pt>
                <c:pt idx="25">
                  <c:v>4.3370517675369999</c:v>
                </c:pt>
                <c:pt idx="26">
                  <c:v>4.8307753255339998</c:v>
                </c:pt>
                <c:pt idx="27">
                  <c:v>2.774343932636</c:v>
                </c:pt>
                <c:pt idx="28">
                  <c:v>1.5966322782119999</c:v>
                </c:pt>
                <c:pt idx="29">
                  <c:v>2.486245252857</c:v>
                </c:pt>
                <c:pt idx="30">
                  <c:v>1.9728454392070001</c:v>
                </c:pt>
                <c:pt idx="31">
                  <c:v>1.8791804448124338</c:v>
                </c:pt>
                <c:pt idx="32">
                  <c:v>0.62139901353905902</c:v>
                </c:pt>
                <c:pt idx="33">
                  <c:v>0.15222887446604272</c:v>
                </c:pt>
                <c:pt idx="34">
                  <c:v>1.0030328907588704</c:v>
                </c:pt>
                <c:pt idx="35">
                  <c:v>1.1813401638298693</c:v>
                </c:pt>
                <c:pt idx="36">
                  <c:v>0.96275413864315151</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0396825397010184E-5"/>
                  <c:y val="8.55132979775182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FA-4EE2-A970-0BAD5BA3E60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petroleo'!$A$67:$B$103</c:f>
              <c:multiLvlStrCache>
                <c:ptCount val="37"/>
                <c:lvl>
                  <c:pt idx="0">
                    <c:v>F</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lvl>
                <c:lvl>
                  <c:pt idx="0">
                    <c:v>2017</c:v>
                  </c:pt>
                  <c:pt idx="11">
                    <c:v>2018</c:v>
                  </c:pt>
                  <c:pt idx="23">
                    <c:v>2019</c:v>
                  </c:pt>
                  <c:pt idx="35">
                    <c:v>2020</c:v>
                  </c:pt>
                </c:lvl>
              </c:multiLvlStrCache>
            </c:multiLvlStrRef>
          </c:cat>
          <c:val>
            <c:numRef>
              <c:f>'Datos con petroleo'!$Q$67:$Q$103</c:f>
              <c:numCache>
                <c:formatCode>0.00</c:formatCode>
                <c:ptCount val="37"/>
                <c:pt idx="0">
                  <c:v>16.279473366367998</c:v>
                </c:pt>
                <c:pt idx="1">
                  <c:v>15.149407562342001</c:v>
                </c:pt>
                <c:pt idx="2">
                  <c:v>13.301023635123</c:v>
                </c:pt>
                <c:pt idx="3">
                  <c:v>11.577548401995999</c:v>
                </c:pt>
                <c:pt idx="4">
                  <c:v>8.7303033643429995</c:v>
                </c:pt>
                <c:pt idx="5">
                  <c:v>7.9205378881239996</c:v>
                </c:pt>
                <c:pt idx="6">
                  <c:v>7.2492977167279999</c:v>
                </c:pt>
                <c:pt idx="7">
                  <c:v>5.9678936249880001</c:v>
                </c:pt>
                <c:pt idx="8">
                  <c:v>6.4971177576620001</c:v>
                </c:pt>
                <c:pt idx="9">
                  <c:v>7.3917813079489996</c:v>
                </c:pt>
                <c:pt idx="10">
                  <c:v>6.3118424439050003</c:v>
                </c:pt>
                <c:pt idx="11">
                  <c:v>4.5440208058009999</c:v>
                </c:pt>
                <c:pt idx="12">
                  <c:v>4.5409095735199996</c:v>
                </c:pt>
                <c:pt idx="13">
                  <c:v>5.2694084898569997</c:v>
                </c:pt>
                <c:pt idx="14">
                  <c:v>6.1436743298590004</c:v>
                </c:pt>
                <c:pt idx="15">
                  <c:v>8.9483560277740004</c:v>
                </c:pt>
                <c:pt idx="16">
                  <c:v>11.739315074348999</c:v>
                </c:pt>
                <c:pt idx="17">
                  <c:v>11.121879976277</c:v>
                </c:pt>
                <c:pt idx="18">
                  <c:v>10.47853243544</c:v>
                </c:pt>
                <c:pt idx="19">
                  <c:v>11.308714776853</c:v>
                </c:pt>
                <c:pt idx="20">
                  <c:v>10.834220498766999</c:v>
                </c:pt>
                <c:pt idx="21">
                  <c:v>8.8840817437599995</c:v>
                </c:pt>
                <c:pt idx="22">
                  <c:v>6.9540594768309996</c:v>
                </c:pt>
                <c:pt idx="23">
                  <c:v>4.5654259852410002</c:v>
                </c:pt>
                <c:pt idx="24">
                  <c:v>4.4496815810659998</c:v>
                </c:pt>
                <c:pt idx="25">
                  <c:v>4.240177887432</c:v>
                </c:pt>
                <c:pt idx="26">
                  <c:v>4.7964909359819998</c:v>
                </c:pt>
                <c:pt idx="27">
                  <c:v>2.1038903642890001</c:v>
                </c:pt>
                <c:pt idx="28">
                  <c:v>0.51586227177699995</c:v>
                </c:pt>
                <c:pt idx="29">
                  <c:v>1.607133555109</c:v>
                </c:pt>
                <c:pt idx="30">
                  <c:v>-0.13813061550700001</c:v>
                </c:pt>
                <c:pt idx="31">
                  <c:v>-0.13150189347165275</c:v>
                </c:pt>
                <c:pt idx="32">
                  <c:v>-2.1465399924927797</c:v>
                </c:pt>
                <c:pt idx="33">
                  <c:v>-2.3665099945998525</c:v>
                </c:pt>
                <c:pt idx="34">
                  <c:v>-0.77365111857246038</c:v>
                </c:pt>
                <c:pt idx="35">
                  <c:v>-0.65414576725913998</c:v>
                </c:pt>
                <c:pt idx="36">
                  <c:v>-1.238463100811138</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4.6626984127002603E-4"/>
                  <c:y val="-8.767473922927312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FA-4EE2-A970-0BAD5BA3E60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petroleo'!$A$67:$B$103</c:f>
              <c:multiLvlStrCache>
                <c:ptCount val="37"/>
                <c:lvl>
                  <c:pt idx="0">
                    <c:v>F</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lvl>
                <c:lvl>
                  <c:pt idx="0">
                    <c:v>2017</c:v>
                  </c:pt>
                  <c:pt idx="11">
                    <c:v>2018</c:v>
                  </c:pt>
                  <c:pt idx="23">
                    <c:v>2019</c:v>
                  </c:pt>
                  <c:pt idx="35">
                    <c:v>2020</c:v>
                  </c:pt>
                </c:lvl>
              </c:multiLvlStrCache>
            </c:multiLvlStrRef>
          </c:cat>
          <c:val>
            <c:numRef>
              <c:f>'Datos con petroleo'!$P$67:$P$103</c:f>
              <c:numCache>
                <c:formatCode>0.00</c:formatCode>
                <c:ptCount val="37"/>
                <c:pt idx="0">
                  <c:v>9.4606855739570008</c:v>
                </c:pt>
                <c:pt idx="1">
                  <c:v>8.7202240091699998</c:v>
                </c:pt>
                <c:pt idx="2">
                  <c:v>8.1737038344910005</c:v>
                </c:pt>
                <c:pt idx="3">
                  <c:v>7.2631552469110003</c:v>
                </c:pt>
                <c:pt idx="4">
                  <c:v>5.4728310910099998</c:v>
                </c:pt>
                <c:pt idx="5">
                  <c:v>5.2056469065130004</c:v>
                </c:pt>
                <c:pt idx="6">
                  <c:v>5.3774965992929999</c:v>
                </c:pt>
                <c:pt idx="7">
                  <c:v>4.5602443638199999</c:v>
                </c:pt>
                <c:pt idx="8">
                  <c:v>5.384428082236</c:v>
                </c:pt>
                <c:pt idx="9">
                  <c:v>5.5170915528610003</c:v>
                </c:pt>
                <c:pt idx="10">
                  <c:v>4.6506240585979999</c:v>
                </c:pt>
                <c:pt idx="11">
                  <c:v>3.5192304885049999</c:v>
                </c:pt>
                <c:pt idx="12">
                  <c:v>3.3746280928229999</c:v>
                </c:pt>
                <c:pt idx="13">
                  <c:v>4.3391749471779999</c:v>
                </c:pt>
                <c:pt idx="14">
                  <c:v>4.5411848324440003</c:v>
                </c:pt>
                <c:pt idx="15">
                  <c:v>6.0539785870609997</c:v>
                </c:pt>
                <c:pt idx="16">
                  <c:v>8.0736841746800003</c:v>
                </c:pt>
                <c:pt idx="17">
                  <c:v>7.2700577716749999</c:v>
                </c:pt>
                <c:pt idx="18">
                  <c:v>6.7473262653220001</c:v>
                </c:pt>
                <c:pt idx="19">
                  <c:v>7.3339918159730004</c:v>
                </c:pt>
                <c:pt idx="20">
                  <c:v>6.6062789633639998</c:v>
                </c:pt>
                <c:pt idx="21">
                  <c:v>6.2737141570280004</c:v>
                </c:pt>
                <c:pt idx="22">
                  <c:v>5.7197074038849998</c:v>
                </c:pt>
                <c:pt idx="23">
                  <c:v>4.3514383288219998</c:v>
                </c:pt>
                <c:pt idx="24">
                  <c:v>4.4978351385390001</c:v>
                </c:pt>
                <c:pt idx="25">
                  <c:v>4.382041294764</c:v>
                </c:pt>
                <c:pt idx="26">
                  <c:v>4.8467204615380002</c:v>
                </c:pt>
                <c:pt idx="27">
                  <c:v>3.0892706862370001</c:v>
                </c:pt>
                <c:pt idx="28">
                  <c:v>2.1050693349139999</c:v>
                </c:pt>
                <c:pt idx="29">
                  <c:v>2.899149733527</c:v>
                </c:pt>
                <c:pt idx="30">
                  <c:v>2.8603260694069998</c:v>
                </c:pt>
                <c:pt idx="31">
                  <c:v>2.7427981547228697</c:v>
                </c:pt>
                <c:pt idx="32">
                  <c:v>1.8043278854535494</c:v>
                </c:pt>
                <c:pt idx="33">
                  <c:v>1.2055156293719893</c:v>
                </c:pt>
                <c:pt idx="34">
                  <c:v>1.7020996273841682</c:v>
                </c:pt>
                <c:pt idx="35">
                  <c:v>1.9019241159717648</c:v>
                </c:pt>
                <c:pt idx="36">
                  <c:v>1.8379427202243059</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106292096"/>
        <c:axId val="106288832"/>
      </c:lineChart>
      <c:valAx>
        <c:axId val="106288832"/>
        <c:scaling>
          <c:orientation val="minMax"/>
          <c:max val="18"/>
          <c:min val="-3"/>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106292096"/>
        <c:crossesAt val="1"/>
        <c:crossBetween val="midCat"/>
        <c:majorUnit val="3"/>
      </c:valAx>
      <c:catAx>
        <c:axId val="106292096"/>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106288832"/>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0.32017</cdr:x>
      <cdr:y>0.89587</cdr:y>
    </cdr:from>
    <cdr:to>
      <cdr:x>0.39874</cdr:x>
      <cdr:y>0.93269</cdr:y>
    </cdr:to>
    <cdr:sp macro="" textlink="">
      <cdr:nvSpPr>
        <cdr:cNvPr id="4" name="Rectángulo 3"/>
        <cdr:cNvSpPr/>
      </cdr:nvSpPr>
      <cdr:spPr>
        <a:xfrm xmlns:a="http://schemas.openxmlformats.org/drawingml/2006/main">
          <a:off x="1613655" y="2579859"/>
          <a:ext cx="395993" cy="106032"/>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s-MX" sz="700" b="1" baseline="0">
              <a:solidFill>
                <a:sysClr val="windowText" lastClr="000000"/>
              </a:solidFill>
              <a:latin typeface="Arial" panose="020B0604020202020204" pitchFamily="34" charset="0"/>
            </a:rPr>
            <a:t>2018</a:t>
          </a:r>
        </a:p>
      </cdr:txBody>
    </cdr:sp>
  </cdr:relSizeAnchor>
  <cdr:relSizeAnchor xmlns:cdr="http://schemas.openxmlformats.org/drawingml/2006/chartDrawing">
    <cdr:from>
      <cdr:x>0.61595</cdr:x>
      <cdr:y>0.89217</cdr:y>
    </cdr:from>
    <cdr:to>
      <cdr:x>0.69343</cdr:x>
      <cdr:y>0.92899</cdr:y>
    </cdr:to>
    <cdr:sp macro="" textlink="">
      <cdr:nvSpPr>
        <cdr:cNvPr id="6" name="Rectángulo 5"/>
        <cdr:cNvSpPr/>
      </cdr:nvSpPr>
      <cdr:spPr>
        <a:xfrm xmlns:a="http://schemas.openxmlformats.org/drawingml/2006/main">
          <a:off x="3104385" y="2569204"/>
          <a:ext cx="390499" cy="106032"/>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tIns="0" bIns="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s-MX" sz="700" b="1" baseline="0">
              <a:solidFill>
                <a:sysClr val="windowText" lastClr="000000"/>
              </a:solidFill>
              <a:latin typeface="Arial" panose="020B0604020202020204" pitchFamily="34" charset="0"/>
            </a:rPr>
            <a:t>2019</a:t>
          </a:r>
        </a:p>
      </cdr:txBody>
    </cdr:sp>
  </cdr:relSizeAnchor>
  <cdr:relSizeAnchor xmlns:cdr="http://schemas.openxmlformats.org/drawingml/2006/chartDrawing">
    <cdr:from>
      <cdr:x>0.90944</cdr:x>
      <cdr:y>0.89408</cdr:y>
    </cdr:from>
    <cdr:to>
      <cdr:x>0.98692</cdr:x>
      <cdr:y>0.9309</cdr:y>
    </cdr:to>
    <cdr:sp macro="" textlink="">
      <cdr:nvSpPr>
        <cdr:cNvPr id="7" name="Rectángulo 6"/>
        <cdr:cNvSpPr/>
      </cdr:nvSpPr>
      <cdr:spPr>
        <a:xfrm xmlns:a="http://schemas.openxmlformats.org/drawingml/2006/main">
          <a:off x="4583573" y="2574705"/>
          <a:ext cx="390499" cy="106031"/>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tIns="0" bIns="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s-MX" sz="700" b="1" baseline="0">
              <a:solidFill>
                <a:sysClr val="windowText" lastClr="000000"/>
              </a:solidFill>
              <a:latin typeface="Arial" panose="020B0604020202020204" pitchFamily="34" charset="0"/>
            </a:rPr>
            <a:t>2020</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581E-31E6-443D-943D-07A1018F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46</TotalTime>
  <Pages>11</Pages>
  <Words>3434</Words>
  <Characters>19008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Comunicado de Prensa. Índice Nacional de Precios Productor</vt:lpstr>
    </vt:vector>
  </TitlesOfParts>
  <Company>INEGI</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SALA DE PRENSA</cp:lastModifiedBy>
  <cp:revision>16</cp:revision>
  <cp:lastPrinted>2020-03-04T19:26:00Z</cp:lastPrinted>
  <dcterms:created xsi:type="dcterms:W3CDTF">2020-03-04T21:10:00Z</dcterms:created>
  <dcterms:modified xsi:type="dcterms:W3CDTF">2020-03-06T23:51:00Z</dcterms:modified>
  <cp:category>INDICES DE PRECIOS</cp:category>
  <cp:version>1</cp:version>
</cp:coreProperties>
</file>