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F6897" w14:textId="77777777" w:rsidR="00EF0025" w:rsidRDefault="00EF0025" w:rsidP="00EF0025">
      <w:pPr>
        <w:pStyle w:val="Subttulo"/>
        <w:ind w:left="-567" w:right="-518"/>
        <w:jc w:val="both"/>
        <w:rPr>
          <w:b w:val="0"/>
          <w:spacing w:val="10"/>
          <w:sz w:val="22"/>
          <w:szCs w:val="22"/>
        </w:rPr>
      </w:pPr>
      <w:bookmarkStart w:id="0" w:name="_Hlk47357870"/>
    </w:p>
    <w:bookmarkEnd w:id="0"/>
    <w:p w14:paraId="3F154787" w14:textId="77777777" w:rsidR="006A6A18" w:rsidRPr="00951A27" w:rsidRDefault="006A6A18" w:rsidP="006A6A18">
      <w:pPr>
        <w:pStyle w:val="Ttulo"/>
        <w:ind w:left="-567" w:right="-518"/>
        <w:rPr>
          <w:rFonts w:cs="Arial"/>
          <w:szCs w:val="24"/>
        </w:rPr>
      </w:pPr>
      <w:r w:rsidRPr="00951A27">
        <w:rPr>
          <w:rFonts w:cs="Arial"/>
          <w:szCs w:val="24"/>
        </w:rPr>
        <w:t xml:space="preserve">RESULTADOS DE LA ENCUESTA </w:t>
      </w:r>
      <w:r>
        <w:rPr>
          <w:rFonts w:cs="Arial"/>
          <w:szCs w:val="24"/>
        </w:rPr>
        <w:t>NACIONAL DE OCUPACIÓN Y EMPLEO (NUEVA EDICIÓN) (ENOE</w:t>
      </w:r>
      <w:r>
        <w:rPr>
          <w:rFonts w:cs="Arial"/>
          <w:szCs w:val="24"/>
          <w:vertAlign w:val="superscript"/>
        </w:rPr>
        <w:t>N</w:t>
      </w:r>
      <w:r>
        <w:rPr>
          <w:rFonts w:cs="Arial"/>
          <w:szCs w:val="24"/>
        </w:rPr>
        <w:t>)</w:t>
      </w:r>
    </w:p>
    <w:p w14:paraId="2E65EA00" w14:textId="77777777" w:rsidR="006A6A18" w:rsidRDefault="006A6A18" w:rsidP="006A6A18">
      <w:pPr>
        <w:pStyle w:val="Subttulo"/>
        <w:ind w:left="-567" w:right="-518"/>
        <w:rPr>
          <w:color w:val="000000" w:themeColor="text1"/>
        </w:rPr>
      </w:pPr>
      <w:r w:rsidRPr="00951A27">
        <w:t xml:space="preserve">CIFRAS OPORTUNAS </w:t>
      </w:r>
      <w:r w:rsidRPr="00951A27">
        <w:rPr>
          <w:color w:val="000000" w:themeColor="text1"/>
        </w:rPr>
        <w:t xml:space="preserve">DE </w:t>
      </w:r>
      <w:r>
        <w:rPr>
          <w:color w:val="000000" w:themeColor="text1"/>
        </w:rPr>
        <w:t>JULIO DE</w:t>
      </w:r>
      <w:r w:rsidRPr="00951A27">
        <w:rPr>
          <w:color w:val="000000" w:themeColor="text1"/>
        </w:rPr>
        <w:t xml:space="preserve"> 2020</w:t>
      </w:r>
    </w:p>
    <w:p w14:paraId="16CEC151" w14:textId="77777777" w:rsidR="006A6A18" w:rsidRPr="00951A27" w:rsidRDefault="006A6A18" w:rsidP="006A6A18">
      <w:pPr>
        <w:pStyle w:val="Subttulo"/>
        <w:ind w:left="-567" w:right="-518"/>
        <w:rPr>
          <w:color w:val="000000" w:themeColor="text1"/>
        </w:rPr>
      </w:pPr>
    </w:p>
    <w:p w14:paraId="14DB0690" w14:textId="77777777" w:rsidR="006A6A18" w:rsidRDefault="006A6A18" w:rsidP="006A6A18">
      <w:pPr>
        <w:pStyle w:val="Subttulo"/>
        <w:ind w:left="-567" w:right="-518"/>
        <w:jc w:val="both"/>
        <w:rPr>
          <w:b w:val="0"/>
          <w:color w:val="000000" w:themeColor="text1"/>
          <w:spacing w:val="10"/>
          <w:sz w:val="22"/>
          <w:szCs w:val="22"/>
        </w:rPr>
      </w:pPr>
      <w:r w:rsidRPr="00640491">
        <w:rPr>
          <w:b w:val="0"/>
          <w:color w:val="000000" w:themeColor="text1"/>
          <w:spacing w:val="10"/>
          <w:sz w:val="22"/>
          <w:szCs w:val="22"/>
        </w:rPr>
        <w:t>El INEGI i</w:t>
      </w:r>
      <w:r>
        <w:rPr>
          <w:b w:val="0"/>
          <w:color w:val="000000" w:themeColor="text1"/>
          <w:spacing w:val="10"/>
          <w:sz w:val="22"/>
          <w:szCs w:val="22"/>
        </w:rPr>
        <w:t>nforma sobre los resultados del</w:t>
      </w:r>
      <w:r w:rsidRPr="00640491">
        <w:rPr>
          <w:b w:val="0"/>
          <w:color w:val="000000" w:themeColor="text1"/>
          <w:spacing w:val="10"/>
          <w:sz w:val="22"/>
          <w:szCs w:val="22"/>
        </w:rPr>
        <w:t xml:space="preserve"> levantamiento de </w:t>
      </w:r>
      <w:bookmarkStart w:id="1" w:name="_Hlk49811570"/>
      <w:r w:rsidRPr="00640491">
        <w:rPr>
          <w:b w:val="0"/>
          <w:color w:val="000000" w:themeColor="text1"/>
          <w:spacing w:val="10"/>
          <w:sz w:val="22"/>
          <w:szCs w:val="22"/>
        </w:rPr>
        <w:t xml:space="preserve">la Encuesta </w:t>
      </w:r>
      <w:r>
        <w:rPr>
          <w:b w:val="0"/>
          <w:color w:val="000000" w:themeColor="text1"/>
          <w:spacing w:val="10"/>
          <w:sz w:val="22"/>
          <w:szCs w:val="22"/>
        </w:rPr>
        <w:t>Nacional de Ocupación y Empleo (Nueva Edición) (ENOE</w:t>
      </w:r>
      <w:r>
        <w:rPr>
          <w:b w:val="0"/>
          <w:color w:val="000000" w:themeColor="text1"/>
          <w:spacing w:val="10"/>
          <w:sz w:val="22"/>
          <w:szCs w:val="22"/>
          <w:vertAlign w:val="superscript"/>
        </w:rPr>
        <w:t>N</w:t>
      </w:r>
      <w:r>
        <w:rPr>
          <w:b w:val="0"/>
          <w:color w:val="000000" w:themeColor="text1"/>
          <w:spacing w:val="10"/>
          <w:sz w:val="22"/>
          <w:szCs w:val="22"/>
        </w:rPr>
        <w:t>)</w:t>
      </w:r>
      <w:bookmarkEnd w:id="1"/>
      <w:r w:rsidRPr="00640491">
        <w:rPr>
          <w:b w:val="0"/>
          <w:color w:val="000000" w:themeColor="text1"/>
          <w:spacing w:val="10"/>
          <w:sz w:val="22"/>
          <w:szCs w:val="22"/>
        </w:rPr>
        <w:t xml:space="preserve"> </w:t>
      </w:r>
      <w:r>
        <w:rPr>
          <w:b w:val="0"/>
          <w:color w:val="000000" w:themeColor="text1"/>
          <w:spacing w:val="10"/>
          <w:sz w:val="22"/>
          <w:szCs w:val="22"/>
        </w:rPr>
        <w:t xml:space="preserve">correspondientes a </w:t>
      </w:r>
      <w:r w:rsidRPr="00640491">
        <w:rPr>
          <w:b w:val="0"/>
          <w:color w:val="000000" w:themeColor="text1"/>
          <w:spacing w:val="10"/>
          <w:sz w:val="22"/>
          <w:szCs w:val="22"/>
        </w:rPr>
        <w:t>ju</w:t>
      </w:r>
      <w:r>
        <w:rPr>
          <w:b w:val="0"/>
          <w:color w:val="000000" w:themeColor="text1"/>
          <w:spacing w:val="10"/>
          <w:sz w:val="22"/>
          <w:szCs w:val="22"/>
        </w:rPr>
        <w:t>lio</w:t>
      </w:r>
      <w:r w:rsidRPr="00640491">
        <w:rPr>
          <w:b w:val="0"/>
          <w:color w:val="000000" w:themeColor="text1"/>
          <w:spacing w:val="10"/>
          <w:sz w:val="22"/>
          <w:szCs w:val="22"/>
        </w:rPr>
        <w:t xml:space="preserve"> de 2020</w:t>
      </w:r>
      <w:r>
        <w:rPr>
          <w:b w:val="0"/>
          <w:color w:val="000000" w:themeColor="text1"/>
          <w:spacing w:val="10"/>
          <w:sz w:val="22"/>
          <w:szCs w:val="22"/>
        </w:rPr>
        <w:t xml:space="preserve">. </w:t>
      </w:r>
      <w:bookmarkStart w:id="2" w:name="_Hlk47356628"/>
    </w:p>
    <w:p w14:paraId="31977664" w14:textId="77777777" w:rsidR="006A6A18" w:rsidRDefault="006A6A18" w:rsidP="006A6A18">
      <w:pPr>
        <w:pStyle w:val="Subttulo"/>
        <w:ind w:left="-567" w:right="-518"/>
        <w:jc w:val="both"/>
        <w:rPr>
          <w:b w:val="0"/>
          <w:color w:val="000000" w:themeColor="text1"/>
          <w:spacing w:val="10"/>
          <w:sz w:val="22"/>
          <w:szCs w:val="22"/>
        </w:rPr>
      </w:pPr>
    </w:p>
    <w:p w14:paraId="1AA59706" w14:textId="77777777" w:rsidR="006A6A18" w:rsidRDefault="006A6A18" w:rsidP="006A6A18">
      <w:pPr>
        <w:pStyle w:val="Subttulo"/>
        <w:ind w:left="-567" w:right="-518"/>
        <w:jc w:val="both"/>
        <w:rPr>
          <w:b w:val="0"/>
          <w:color w:val="000000" w:themeColor="text1"/>
          <w:spacing w:val="10"/>
          <w:sz w:val="22"/>
          <w:szCs w:val="22"/>
        </w:rPr>
      </w:pPr>
      <w:r>
        <w:rPr>
          <w:b w:val="0"/>
          <w:color w:val="000000" w:themeColor="text1"/>
          <w:spacing w:val="10"/>
          <w:sz w:val="22"/>
          <w:szCs w:val="22"/>
        </w:rPr>
        <w:t xml:space="preserve">Ante la reapertura gradual de </w:t>
      </w:r>
      <w:r w:rsidRPr="00640491">
        <w:rPr>
          <w:b w:val="0"/>
          <w:color w:val="000000" w:themeColor="text1"/>
          <w:spacing w:val="10"/>
          <w:sz w:val="22"/>
          <w:szCs w:val="22"/>
        </w:rPr>
        <w:t>los negocios y empresas en actividades económicas no esenciales,</w:t>
      </w:r>
      <w:r>
        <w:rPr>
          <w:b w:val="0"/>
          <w:color w:val="000000" w:themeColor="text1"/>
          <w:spacing w:val="10"/>
          <w:sz w:val="22"/>
          <w:szCs w:val="22"/>
        </w:rPr>
        <w:t xml:space="preserve"> en julio de 2020, en comparación con el mes previo,</w:t>
      </w:r>
      <w:r w:rsidRPr="00640491">
        <w:rPr>
          <w:b w:val="0"/>
          <w:color w:val="000000" w:themeColor="text1"/>
          <w:spacing w:val="10"/>
          <w:sz w:val="22"/>
          <w:szCs w:val="22"/>
        </w:rPr>
        <w:t xml:space="preserve"> se observa:</w:t>
      </w:r>
    </w:p>
    <w:p w14:paraId="5D9F7999" w14:textId="77777777" w:rsidR="006A6A18" w:rsidRPr="00640491" w:rsidRDefault="006A6A18" w:rsidP="006A6A18">
      <w:pPr>
        <w:pStyle w:val="Subttulo"/>
        <w:ind w:left="-567" w:right="-518"/>
        <w:jc w:val="left"/>
        <w:rPr>
          <w:b w:val="0"/>
          <w:color w:val="000000" w:themeColor="text1"/>
          <w:spacing w:val="10"/>
          <w:sz w:val="22"/>
          <w:szCs w:val="22"/>
        </w:rPr>
      </w:pPr>
    </w:p>
    <w:p w14:paraId="4A08DA2B" w14:textId="279BCDED" w:rsidR="006A6A18" w:rsidRPr="00640491" w:rsidRDefault="006A6A18" w:rsidP="006A6A18">
      <w:pPr>
        <w:pStyle w:val="Subttulo"/>
        <w:numPr>
          <w:ilvl w:val="2"/>
          <w:numId w:val="3"/>
        </w:numPr>
        <w:ind w:left="284" w:right="49" w:hanging="284"/>
        <w:jc w:val="both"/>
        <w:rPr>
          <w:b w:val="0"/>
          <w:color w:val="000000" w:themeColor="text1"/>
          <w:spacing w:val="10"/>
          <w:sz w:val="22"/>
          <w:szCs w:val="22"/>
        </w:rPr>
      </w:pPr>
      <w:r>
        <w:rPr>
          <w:b w:val="0"/>
          <w:color w:val="000000" w:themeColor="text1"/>
          <w:spacing w:val="10"/>
          <w:sz w:val="22"/>
          <w:szCs w:val="22"/>
        </w:rPr>
        <w:t xml:space="preserve">La incorporación de 1.5 </w:t>
      </w:r>
      <w:r w:rsidRPr="00640491">
        <w:rPr>
          <w:b w:val="0"/>
          <w:color w:val="000000" w:themeColor="text1"/>
          <w:spacing w:val="10"/>
          <w:sz w:val="22"/>
          <w:szCs w:val="22"/>
        </w:rPr>
        <w:t xml:space="preserve">millones de </w:t>
      </w:r>
      <w:r>
        <w:rPr>
          <w:b w:val="0"/>
          <w:color w:val="000000" w:themeColor="text1"/>
          <w:spacing w:val="10"/>
          <w:sz w:val="22"/>
          <w:szCs w:val="22"/>
        </w:rPr>
        <w:t xml:space="preserve">personas a la </w:t>
      </w:r>
      <w:r w:rsidRPr="00640491">
        <w:rPr>
          <w:b w:val="0"/>
          <w:spacing w:val="10"/>
          <w:sz w:val="22"/>
          <w:szCs w:val="22"/>
        </w:rPr>
        <w:t>Población Económicamente Activa (PEA)</w:t>
      </w:r>
      <w:r>
        <w:rPr>
          <w:b w:val="0"/>
          <w:color w:val="000000" w:themeColor="text1"/>
          <w:spacing w:val="10"/>
          <w:sz w:val="22"/>
          <w:szCs w:val="22"/>
        </w:rPr>
        <w:t>, al pasar de 51.1 millones a 52.6 millones. De los 12 millones de personas que salieron de la PEA en abril de 2020, regresaron alrededor de 7.2 millones para el sé</w:t>
      </w:r>
      <w:r w:rsidR="007A05E6">
        <w:rPr>
          <w:b w:val="0"/>
          <w:color w:val="000000" w:themeColor="text1"/>
          <w:spacing w:val="10"/>
          <w:sz w:val="22"/>
          <w:szCs w:val="22"/>
        </w:rPr>
        <w:t>ptimo</w:t>
      </w:r>
      <w:r>
        <w:rPr>
          <w:b w:val="0"/>
          <w:color w:val="000000" w:themeColor="text1"/>
          <w:spacing w:val="10"/>
          <w:sz w:val="22"/>
          <w:szCs w:val="22"/>
        </w:rPr>
        <w:t xml:space="preserve"> mes de este año. </w:t>
      </w:r>
    </w:p>
    <w:p w14:paraId="50A67990" w14:textId="77777777" w:rsidR="006A6A18" w:rsidRPr="00EB572F" w:rsidRDefault="006A6A18" w:rsidP="006A6A18">
      <w:pPr>
        <w:pStyle w:val="Subttulo"/>
        <w:numPr>
          <w:ilvl w:val="2"/>
          <w:numId w:val="3"/>
        </w:numPr>
        <w:ind w:left="284" w:right="49" w:hanging="284"/>
        <w:jc w:val="both"/>
        <w:rPr>
          <w:b w:val="0"/>
          <w:color w:val="000000" w:themeColor="text1"/>
          <w:spacing w:val="10"/>
          <w:sz w:val="22"/>
          <w:szCs w:val="22"/>
        </w:rPr>
      </w:pPr>
      <w:r w:rsidRPr="006E5F04">
        <w:rPr>
          <w:b w:val="0"/>
          <w:color w:val="000000" w:themeColor="text1"/>
          <w:spacing w:val="10"/>
          <w:sz w:val="22"/>
          <w:szCs w:val="22"/>
        </w:rPr>
        <w:t>La población ocupada fue</w:t>
      </w:r>
      <w:r>
        <w:rPr>
          <w:b w:val="0"/>
          <w:color w:val="000000" w:themeColor="text1"/>
          <w:spacing w:val="10"/>
          <w:sz w:val="22"/>
          <w:szCs w:val="22"/>
        </w:rPr>
        <w:t xml:space="preserve"> de</w:t>
      </w:r>
      <w:r w:rsidRPr="006E5F04">
        <w:rPr>
          <w:b w:val="0"/>
          <w:color w:val="000000" w:themeColor="text1"/>
          <w:spacing w:val="10"/>
          <w:sz w:val="22"/>
          <w:szCs w:val="22"/>
        </w:rPr>
        <w:t xml:space="preserve"> 49.8 millones de personas</w:t>
      </w:r>
      <w:r>
        <w:rPr>
          <w:b w:val="0"/>
          <w:color w:val="000000" w:themeColor="text1"/>
          <w:spacing w:val="10"/>
          <w:sz w:val="22"/>
          <w:szCs w:val="22"/>
        </w:rPr>
        <w:t>.</w:t>
      </w:r>
      <w:r w:rsidRPr="006E5F04">
        <w:rPr>
          <w:b w:val="0"/>
          <w:color w:val="000000" w:themeColor="text1"/>
          <w:spacing w:val="10"/>
          <w:sz w:val="22"/>
          <w:szCs w:val="22"/>
        </w:rPr>
        <w:t xml:space="preserve"> </w:t>
      </w:r>
      <w:r>
        <w:rPr>
          <w:b w:val="0"/>
          <w:color w:val="000000" w:themeColor="text1"/>
          <w:spacing w:val="10"/>
          <w:sz w:val="22"/>
          <w:szCs w:val="22"/>
        </w:rPr>
        <w:t>Se registra</w:t>
      </w:r>
      <w:r w:rsidRPr="00EB572F">
        <w:rPr>
          <w:b w:val="0"/>
          <w:color w:val="000000" w:themeColor="text1"/>
          <w:spacing w:val="10"/>
          <w:sz w:val="22"/>
          <w:szCs w:val="22"/>
        </w:rPr>
        <w:t xml:space="preserve"> una disminución de 2 millones de ocupados en jornadas de tiempo parcial </w:t>
      </w:r>
      <w:r>
        <w:rPr>
          <w:b w:val="0"/>
          <w:color w:val="000000" w:themeColor="text1"/>
          <w:spacing w:val="10"/>
          <w:sz w:val="22"/>
          <w:szCs w:val="22"/>
        </w:rPr>
        <w:t>(</w:t>
      </w:r>
      <w:r w:rsidRPr="00EB572F">
        <w:rPr>
          <w:b w:val="0"/>
          <w:color w:val="000000" w:themeColor="text1"/>
          <w:spacing w:val="10"/>
          <w:sz w:val="22"/>
          <w:szCs w:val="22"/>
        </w:rPr>
        <w:t>al pasar de 14.6 millones a 12.6 millones</w:t>
      </w:r>
      <w:r>
        <w:rPr>
          <w:b w:val="0"/>
          <w:color w:val="000000" w:themeColor="text1"/>
          <w:spacing w:val="10"/>
          <w:sz w:val="22"/>
          <w:szCs w:val="22"/>
        </w:rPr>
        <w:t xml:space="preserve">) y un </w:t>
      </w:r>
      <w:r w:rsidRPr="006E5F04">
        <w:rPr>
          <w:b w:val="0"/>
          <w:color w:val="000000" w:themeColor="text1"/>
          <w:spacing w:val="10"/>
          <w:sz w:val="22"/>
          <w:szCs w:val="22"/>
        </w:rPr>
        <w:t xml:space="preserve">incremento de </w:t>
      </w:r>
      <w:r w:rsidRPr="00EB572F">
        <w:rPr>
          <w:b w:val="0"/>
          <w:color w:val="000000" w:themeColor="text1"/>
          <w:spacing w:val="10"/>
          <w:sz w:val="22"/>
          <w:szCs w:val="22"/>
        </w:rPr>
        <w:t>4.2 millones de ocupad</w:t>
      </w:r>
      <w:r>
        <w:rPr>
          <w:b w:val="0"/>
          <w:color w:val="000000" w:themeColor="text1"/>
          <w:spacing w:val="10"/>
          <w:sz w:val="22"/>
          <w:szCs w:val="22"/>
        </w:rPr>
        <w:t xml:space="preserve">os </w:t>
      </w:r>
      <w:r w:rsidRPr="006E5F04">
        <w:rPr>
          <w:b w:val="0"/>
          <w:color w:val="000000" w:themeColor="text1"/>
          <w:spacing w:val="10"/>
          <w:sz w:val="22"/>
          <w:szCs w:val="22"/>
        </w:rPr>
        <w:t>en jornadas de tiempo completo</w:t>
      </w:r>
      <w:r w:rsidRPr="00EB572F">
        <w:rPr>
          <w:b w:val="0"/>
          <w:color w:val="000000" w:themeColor="text1"/>
          <w:spacing w:val="10"/>
          <w:sz w:val="22"/>
          <w:szCs w:val="22"/>
        </w:rPr>
        <w:t xml:space="preserve"> </w:t>
      </w:r>
      <w:r>
        <w:rPr>
          <w:b w:val="0"/>
          <w:color w:val="000000" w:themeColor="text1"/>
          <w:spacing w:val="10"/>
          <w:sz w:val="22"/>
          <w:szCs w:val="22"/>
        </w:rPr>
        <w:t>(</w:t>
      </w:r>
      <w:r w:rsidRPr="00EB572F">
        <w:rPr>
          <w:b w:val="0"/>
          <w:color w:val="000000" w:themeColor="text1"/>
          <w:spacing w:val="10"/>
          <w:sz w:val="22"/>
          <w:szCs w:val="22"/>
        </w:rPr>
        <w:t>de 28.9 millones a 33.1 millones</w:t>
      </w:r>
      <w:r>
        <w:rPr>
          <w:b w:val="0"/>
          <w:color w:val="000000" w:themeColor="text1"/>
          <w:spacing w:val="10"/>
          <w:sz w:val="22"/>
          <w:szCs w:val="22"/>
        </w:rPr>
        <w:t>)</w:t>
      </w:r>
      <w:r w:rsidRPr="00EB572F">
        <w:rPr>
          <w:b w:val="0"/>
          <w:color w:val="000000" w:themeColor="text1"/>
          <w:spacing w:val="10"/>
          <w:sz w:val="22"/>
          <w:szCs w:val="22"/>
        </w:rPr>
        <w:t>.</w:t>
      </w:r>
    </w:p>
    <w:p w14:paraId="1D927044" w14:textId="77777777" w:rsidR="006A6A18" w:rsidRPr="00640491" w:rsidRDefault="006A6A18" w:rsidP="006A6A18">
      <w:pPr>
        <w:pStyle w:val="Subttulo"/>
        <w:numPr>
          <w:ilvl w:val="2"/>
          <w:numId w:val="3"/>
        </w:numPr>
        <w:ind w:left="284" w:right="49" w:hanging="284"/>
        <w:jc w:val="both"/>
        <w:rPr>
          <w:b w:val="0"/>
          <w:color w:val="000000" w:themeColor="text1"/>
          <w:spacing w:val="10"/>
          <w:sz w:val="22"/>
          <w:szCs w:val="22"/>
        </w:rPr>
      </w:pPr>
      <w:r>
        <w:rPr>
          <w:b w:val="0"/>
          <w:color w:val="000000" w:themeColor="text1"/>
          <w:spacing w:val="10"/>
          <w:sz w:val="22"/>
          <w:szCs w:val="22"/>
        </w:rPr>
        <w:t>E</w:t>
      </w:r>
      <w:r w:rsidRPr="00640491">
        <w:rPr>
          <w:b w:val="0"/>
          <w:color w:val="000000" w:themeColor="text1"/>
          <w:spacing w:val="10"/>
          <w:sz w:val="22"/>
          <w:szCs w:val="22"/>
        </w:rPr>
        <w:t xml:space="preserve">l </w:t>
      </w:r>
      <w:r>
        <w:rPr>
          <w:b w:val="0"/>
          <w:color w:val="000000" w:themeColor="text1"/>
          <w:spacing w:val="10"/>
          <w:sz w:val="22"/>
          <w:szCs w:val="22"/>
        </w:rPr>
        <w:t>crecimiento</w:t>
      </w:r>
      <w:r w:rsidRPr="00640491">
        <w:rPr>
          <w:b w:val="0"/>
          <w:color w:val="000000" w:themeColor="text1"/>
          <w:spacing w:val="10"/>
          <w:sz w:val="22"/>
          <w:szCs w:val="22"/>
        </w:rPr>
        <w:t xml:space="preserve"> de </w:t>
      </w:r>
      <w:r>
        <w:rPr>
          <w:b w:val="0"/>
          <w:color w:val="000000" w:themeColor="text1"/>
          <w:spacing w:val="10"/>
          <w:sz w:val="22"/>
          <w:szCs w:val="22"/>
        </w:rPr>
        <w:t>1.3</w:t>
      </w:r>
      <w:r w:rsidRPr="00640491">
        <w:rPr>
          <w:b w:val="0"/>
          <w:color w:val="000000" w:themeColor="text1"/>
          <w:spacing w:val="10"/>
          <w:sz w:val="22"/>
          <w:szCs w:val="22"/>
        </w:rPr>
        <w:t xml:space="preserve"> millones de ocupados con ingresos entre </w:t>
      </w:r>
      <w:r>
        <w:rPr>
          <w:b w:val="0"/>
          <w:color w:val="000000" w:themeColor="text1"/>
          <w:spacing w:val="10"/>
          <w:sz w:val="22"/>
          <w:szCs w:val="22"/>
        </w:rPr>
        <w:t>dos</w:t>
      </w:r>
      <w:r w:rsidRPr="00640491">
        <w:rPr>
          <w:b w:val="0"/>
          <w:color w:val="000000" w:themeColor="text1"/>
          <w:spacing w:val="10"/>
          <w:sz w:val="22"/>
          <w:szCs w:val="22"/>
        </w:rPr>
        <w:t xml:space="preserve"> y </w:t>
      </w:r>
      <w:r>
        <w:rPr>
          <w:b w:val="0"/>
          <w:color w:val="000000" w:themeColor="text1"/>
          <w:spacing w:val="10"/>
          <w:sz w:val="22"/>
          <w:szCs w:val="22"/>
        </w:rPr>
        <w:t>cinco</w:t>
      </w:r>
      <w:r w:rsidRPr="00640491">
        <w:rPr>
          <w:b w:val="0"/>
          <w:color w:val="000000" w:themeColor="text1"/>
          <w:spacing w:val="10"/>
          <w:sz w:val="22"/>
          <w:szCs w:val="22"/>
        </w:rPr>
        <w:t xml:space="preserve"> salarios mínimos,</w:t>
      </w:r>
      <w:r>
        <w:rPr>
          <w:b w:val="0"/>
          <w:color w:val="000000" w:themeColor="text1"/>
          <w:spacing w:val="10"/>
          <w:sz w:val="22"/>
          <w:szCs w:val="22"/>
        </w:rPr>
        <w:t xml:space="preserve"> al pasar de 9.5 millones a 10.8 millones.</w:t>
      </w:r>
    </w:p>
    <w:p w14:paraId="15E9AA36" w14:textId="77777777" w:rsidR="006A6A18" w:rsidRDefault="006A6A18" w:rsidP="006A6A18">
      <w:pPr>
        <w:pStyle w:val="Subttulo"/>
        <w:numPr>
          <w:ilvl w:val="2"/>
          <w:numId w:val="3"/>
        </w:numPr>
        <w:ind w:left="284" w:right="49" w:hanging="284"/>
        <w:jc w:val="both"/>
        <w:rPr>
          <w:b w:val="0"/>
          <w:color w:val="000000" w:themeColor="text1"/>
          <w:spacing w:val="10"/>
          <w:sz w:val="22"/>
          <w:szCs w:val="22"/>
        </w:rPr>
      </w:pPr>
      <w:r w:rsidRPr="00640491">
        <w:rPr>
          <w:b w:val="0"/>
          <w:color w:val="000000" w:themeColor="text1"/>
          <w:spacing w:val="10"/>
          <w:sz w:val="22"/>
          <w:szCs w:val="22"/>
        </w:rPr>
        <w:t>Un</w:t>
      </w:r>
      <w:r>
        <w:rPr>
          <w:b w:val="0"/>
          <w:color w:val="000000" w:themeColor="text1"/>
          <w:spacing w:val="10"/>
          <w:sz w:val="22"/>
          <w:szCs w:val="22"/>
        </w:rPr>
        <w:t xml:space="preserve"> regreso de población ocupada en </w:t>
      </w:r>
      <w:r w:rsidRPr="00640491">
        <w:rPr>
          <w:b w:val="0"/>
          <w:color w:val="000000" w:themeColor="text1"/>
          <w:spacing w:val="10"/>
          <w:sz w:val="22"/>
          <w:szCs w:val="22"/>
        </w:rPr>
        <w:t xml:space="preserve">informalidad laboral </w:t>
      </w:r>
      <w:r>
        <w:rPr>
          <w:b w:val="0"/>
          <w:color w:val="000000" w:themeColor="text1"/>
          <w:spacing w:val="10"/>
          <w:sz w:val="22"/>
          <w:szCs w:val="22"/>
        </w:rPr>
        <w:t>de</w:t>
      </w:r>
      <w:r w:rsidRPr="00640491">
        <w:rPr>
          <w:b w:val="0"/>
          <w:color w:val="000000" w:themeColor="text1"/>
          <w:spacing w:val="10"/>
          <w:sz w:val="22"/>
          <w:szCs w:val="22"/>
        </w:rPr>
        <w:t xml:space="preserve"> </w:t>
      </w:r>
      <w:r>
        <w:rPr>
          <w:b w:val="0"/>
          <w:color w:val="000000" w:themeColor="text1"/>
          <w:spacing w:val="10"/>
          <w:sz w:val="22"/>
          <w:szCs w:val="22"/>
        </w:rPr>
        <w:t>1.7</w:t>
      </w:r>
      <w:r w:rsidRPr="00640491">
        <w:rPr>
          <w:b w:val="0"/>
          <w:color w:val="000000" w:themeColor="text1"/>
          <w:spacing w:val="10"/>
          <w:sz w:val="22"/>
          <w:szCs w:val="22"/>
        </w:rPr>
        <w:t xml:space="preserve"> millones de </w:t>
      </w:r>
      <w:r>
        <w:rPr>
          <w:b w:val="0"/>
          <w:color w:val="000000" w:themeColor="text1"/>
          <w:spacing w:val="10"/>
          <w:sz w:val="22"/>
          <w:szCs w:val="22"/>
        </w:rPr>
        <w:t>personas</w:t>
      </w:r>
      <w:r w:rsidRPr="00640491">
        <w:rPr>
          <w:b w:val="0"/>
          <w:color w:val="000000" w:themeColor="text1"/>
          <w:spacing w:val="10"/>
          <w:sz w:val="22"/>
          <w:szCs w:val="22"/>
        </w:rPr>
        <w:t>,</w:t>
      </w:r>
      <w:r>
        <w:rPr>
          <w:b w:val="0"/>
          <w:color w:val="000000" w:themeColor="text1"/>
          <w:spacing w:val="10"/>
          <w:sz w:val="22"/>
          <w:szCs w:val="22"/>
        </w:rPr>
        <w:t xml:space="preserve"> siendo en junio 25.6 millones y 27.3 millones en julio. </w:t>
      </w:r>
    </w:p>
    <w:p w14:paraId="4033945C" w14:textId="77777777" w:rsidR="006A6A18" w:rsidRPr="002B1A81" w:rsidRDefault="006A6A18" w:rsidP="006A6A18">
      <w:pPr>
        <w:pStyle w:val="Subttulo"/>
        <w:numPr>
          <w:ilvl w:val="2"/>
          <w:numId w:val="3"/>
        </w:numPr>
        <w:ind w:left="284" w:right="49" w:hanging="284"/>
        <w:jc w:val="both"/>
        <w:rPr>
          <w:b w:val="0"/>
          <w:color w:val="000000" w:themeColor="text1"/>
          <w:spacing w:val="10"/>
          <w:sz w:val="22"/>
          <w:szCs w:val="22"/>
        </w:rPr>
      </w:pPr>
      <w:r w:rsidRPr="002B1A81">
        <w:rPr>
          <w:b w:val="0"/>
          <w:color w:val="000000" w:themeColor="text1"/>
          <w:spacing w:val="10"/>
          <w:sz w:val="22"/>
          <w:szCs w:val="22"/>
        </w:rPr>
        <w:t>Se tiene una recuperación en el volumen de población ocupada en el sector comercio, a diferencia de los sectores de la construcción, restaurantes, servicios de alojamiento y transportes. Asimismo, se observa una falta de recuperación en personas ocupadas en trabajos domésticos remunerados.</w:t>
      </w:r>
    </w:p>
    <w:p w14:paraId="15CF76D9" w14:textId="77777777" w:rsidR="006A6A18" w:rsidRPr="00156D29" w:rsidRDefault="006A6A18" w:rsidP="006A6A18">
      <w:pPr>
        <w:pStyle w:val="Subttulo"/>
        <w:numPr>
          <w:ilvl w:val="2"/>
          <w:numId w:val="3"/>
        </w:numPr>
        <w:ind w:left="284" w:right="49" w:hanging="284"/>
        <w:jc w:val="both"/>
        <w:rPr>
          <w:b w:val="0"/>
          <w:color w:val="000000" w:themeColor="text1"/>
          <w:spacing w:val="10"/>
          <w:sz w:val="22"/>
          <w:szCs w:val="22"/>
        </w:rPr>
      </w:pPr>
      <w:r w:rsidRPr="006E5F04">
        <w:rPr>
          <w:b w:val="0"/>
          <w:color w:val="000000" w:themeColor="text1"/>
          <w:spacing w:val="10"/>
          <w:sz w:val="22"/>
          <w:szCs w:val="22"/>
        </w:rPr>
        <w:t>La tasa de desocupación fue de 5.4</w:t>
      </w:r>
      <w:r w:rsidRPr="00156D29">
        <w:rPr>
          <w:b w:val="0"/>
          <w:color w:val="000000" w:themeColor="text1"/>
          <w:spacing w:val="10"/>
          <w:sz w:val="22"/>
          <w:szCs w:val="22"/>
        </w:rPr>
        <w:t>% en julio y de 5.5% en junio de 2020.</w:t>
      </w:r>
    </w:p>
    <w:bookmarkEnd w:id="2"/>
    <w:p w14:paraId="530F2C1C" w14:textId="77777777" w:rsidR="006A6A18" w:rsidRPr="00640491" w:rsidRDefault="006A6A18" w:rsidP="006A6A18">
      <w:pPr>
        <w:pStyle w:val="Subttulo"/>
        <w:ind w:left="-567" w:right="-518"/>
        <w:jc w:val="both"/>
        <w:rPr>
          <w:b w:val="0"/>
          <w:color w:val="000000" w:themeColor="text1"/>
          <w:spacing w:val="10"/>
          <w:sz w:val="22"/>
          <w:szCs w:val="22"/>
        </w:rPr>
      </w:pPr>
    </w:p>
    <w:p w14:paraId="081C20BE" w14:textId="77777777" w:rsidR="006A6A18" w:rsidRPr="00640491" w:rsidRDefault="006A6A18" w:rsidP="006A6A18">
      <w:pPr>
        <w:pStyle w:val="Subttulo"/>
        <w:ind w:left="-567" w:right="-518"/>
        <w:jc w:val="both"/>
        <w:rPr>
          <w:b w:val="0"/>
          <w:spacing w:val="10"/>
          <w:sz w:val="22"/>
          <w:szCs w:val="22"/>
        </w:rPr>
      </w:pPr>
      <w:r w:rsidRPr="00DF3C61">
        <w:rPr>
          <w:b w:val="0"/>
          <w:spacing w:val="10"/>
          <w:sz w:val="22"/>
          <w:szCs w:val="22"/>
        </w:rPr>
        <w:t>Ante el Acuerdo de la Secretaría de Salud por el cual se reanudan todos los censos y encuestas a realizarse en el territorio nacional (publicado en el Diario Oficial de la Federación el 17 de julio de 2020), el INEGI reinició las entrevistas cara a cara para seguir manteniendo su compromiso de brindar información oportuna y pertinente para la toma de decisiones.</w:t>
      </w:r>
    </w:p>
    <w:p w14:paraId="3A20C216" w14:textId="77777777" w:rsidR="006A6A18" w:rsidRPr="00640491" w:rsidRDefault="006A6A18" w:rsidP="006A6A18">
      <w:pPr>
        <w:pStyle w:val="Subttulo"/>
        <w:ind w:left="-567" w:right="-518"/>
        <w:jc w:val="both"/>
        <w:rPr>
          <w:b w:val="0"/>
          <w:spacing w:val="10"/>
          <w:sz w:val="22"/>
          <w:szCs w:val="22"/>
        </w:rPr>
      </w:pPr>
    </w:p>
    <w:p w14:paraId="15C28E27" w14:textId="77777777" w:rsidR="006A6A18" w:rsidRDefault="006A6A18" w:rsidP="006A6A18">
      <w:pPr>
        <w:pStyle w:val="Subttulo"/>
        <w:ind w:left="-567" w:right="-518"/>
        <w:jc w:val="both"/>
        <w:rPr>
          <w:b w:val="0"/>
          <w:bCs w:val="0"/>
          <w:sz w:val="22"/>
          <w:szCs w:val="22"/>
        </w:rPr>
      </w:pPr>
      <w:r w:rsidRPr="00DF3C61">
        <w:rPr>
          <w:b w:val="0"/>
          <w:spacing w:val="10"/>
          <w:sz w:val="22"/>
          <w:szCs w:val="22"/>
        </w:rPr>
        <w:t>La Encuesta Nacional de Ocupación y Empleo (ENOE) forma parte de los programas que se reanudaron, alcanzando ya un</w:t>
      </w:r>
      <w:r w:rsidRPr="00DF3C61">
        <w:rPr>
          <w:b w:val="0"/>
          <w:color w:val="FF0000"/>
          <w:spacing w:val="10"/>
          <w:sz w:val="22"/>
          <w:szCs w:val="22"/>
        </w:rPr>
        <w:t xml:space="preserve"> </w:t>
      </w:r>
      <w:r w:rsidRPr="00DF3C61">
        <w:rPr>
          <w:b w:val="0"/>
          <w:spacing w:val="10"/>
          <w:sz w:val="22"/>
          <w:szCs w:val="22"/>
        </w:rPr>
        <w:t>57% de la muestra mensual que regularmente se logra con la ENOE tradicional, por</w:t>
      </w:r>
      <w:r w:rsidRPr="00DF3C61">
        <w:rPr>
          <w:b w:val="0"/>
          <w:bCs w:val="0"/>
          <w:sz w:val="22"/>
          <w:szCs w:val="22"/>
        </w:rPr>
        <w:t xml:space="preserve"> lo que los resultados de la encuesta que se </w:t>
      </w:r>
      <w:r>
        <w:rPr>
          <w:b w:val="0"/>
          <w:bCs w:val="0"/>
          <w:sz w:val="22"/>
          <w:szCs w:val="22"/>
        </w:rPr>
        <w:t>difundió</w:t>
      </w:r>
      <w:r w:rsidRPr="00DF3C61">
        <w:rPr>
          <w:b w:val="0"/>
          <w:bCs w:val="0"/>
          <w:sz w:val="22"/>
          <w:szCs w:val="22"/>
        </w:rPr>
        <w:t xml:space="preserve"> hoy contienen</w:t>
      </w:r>
      <w:r>
        <w:rPr>
          <w:b w:val="0"/>
          <w:bCs w:val="0"/>
          <w:sz w:val="22"/>
          <w:szCs w:val="22"/>
        </w:rPr>
        <w:t xml:space="preserve"> todos</w:t>
      </w:r>
      <w:r w:rsidRPr="00DF3C61">
        <w:rPr>
          <w:b w:val="0"/>
          <w:bCs w:val="0"/>
          <w:sz w:val="22"/>
          <w:szCs w:val="22"/>
        </w:rPr>
        <w:t xml:space="preserve"> los indicadores</w:t>
      </w:r>
      <w:r>
        <w:rPr>
          <w:b w:val="0"/>
          <w:bCs w:val="0"/>
          <w:sz w:val="22"/>
          <w:szCs w:val="22"/>
        </w:rPr>
        <w:t xml:space="preserve"> estratégicos de</w:t>
      </w:r>
      <w:r w:rsidRPr="00DF3C61">
        <w:rPr>
          <w:b w:val="0"/>
          <w:bCs w:val="0"/>
          <w:sz w:val="22"/>
          <w:szCs w:val="22"/>
        </w:rPr>
        <w:t xml:space="preserve"> </w:t>
      </w:r>
      <w:r w:rsidRPr="008B3CD0">
        <w:rPr>
          <w:b w:val="0"/>
          <w:bCs w:val="0"/>
          <w:sz w:val="22"/>
          <w:szCs w:val="22"/>
        </w:rPr>
        <w:t>ediciones anteriores</w:t>
      </w:r>
      <w:r>
        <w:rPr>
          <w:b w:val="0"/>
          <w:bCs w:val="0"/>
          <w:sz w:val="22"/>
          <w:szCs w:val="22"/>
        </w:rPr>
        <w:t>, en algunos casos con niveles menores de precisión</w:t>
      </w:r>
      <w:r w:rsidRPr="008B3CD0">
        <w:rPr>
          <w:b w:val="0"/>
          <w:bCs w:val="0"/>
          <w:sz w:val="22"/>
          <w:szCs w:val="22"/>
        </w:rPr>
        <w:t xml:space="preserve">. </w:t>
      </w:r>
    </w:p>
    <w:p w14:paraId="63D41E92" w14:textId="77777777" w:rsidR="006A6A18" w:rsidRDefault="006A6A18" w:rsidP="006A6A18">
      <w:pPr>
        <w:pStyle w:val="Subttulo"/>
        <w:ind w:left="-567" w:right="-518"/>
        <w:jc w:val="both"/>
        <w:rPr>
          <w:b w:val="0"/>
          <w:spacing w:val="10"/>
          <w:sz w:val="22"/>
          <w:szCs w:val="22"/>
        </w:rPr>
      </w:pPr>
    </w:p>
    <w:p w14:paraId="5BA5ADEA" w14:textId="377BA64F" w:rsidR="006A6A18" w:rsidRDefault="006A6A18" w:rsidP="006A6A18">
      <w:pPr>
        <w:pStyle w:val="Subttulo"/>
        <w:ind w:left="-567" w:right="-518"/>
        <w:jc w:val="both"/>
        <w:rPr>
          <w:b w:val="0"/>
          <w:color w:val="000000" w:themeColor="text1"/>
          <w:spacing w:val="10"/>
          <w:sz w:val="22"/>
          <w:szCs w:val="22"/>
        </w:rPr>
      </w:pPr>
      <w:r>
        <w:rPr>
          <w:b w:val="0"/>
          <w:spacing w:val="10"/>
          <w:sz w:val="22"/>
          <w:szCs w:val="22"/>
        </w:rPr>
        <w:t>La</w:t>
      </w:r>
      <w:r w:rsidRPr="00DF3C61">
        <w:rPr>
          <w:b w:val="0"/>
          <w:spacing w:val="10"/>
          <w:sz w:val="22"/>
          <w:szCs w:val="22"/>
        </w:rPr>
        <w:t xml:space="preserve"> Encuesta Nacional de Ocupación y Empleo</w:t>
      </w:r>
      <w:r>
        <w:rPr>
          <w:b w:val="0"/>
          <w:spacing w:val="10"/>
          <w:sz w:val="22"/>
          <w:szCs w:val="22"/>
        </w:rPr>
        <w:t xml:space="preserve"> que hoy se presenta se denomina </w:t>
      </w:r>
      <w:r w:rsidRPr="00DF3C61">
        <w:rPr>
          <w:b w:val="0"/>
          <w:spacing w:val="10"/>
          <w:sz w:val="22"/>
          <w:szCs w:val="22"/>
        </w:rPr>
        <w:t xml:space="preserve">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 xml:space="preserve"> ya que, </w:t>
      </w:r>
      <w:r w:rsidRPr="002A698D">
        <w:rPr>
          <w:b w:val="0"/>
          <w:sz w:val="22"/>
          <w:szCs w:val="22"/>
        </w:rPr>
        <w:t xml:space="preserve">aunque </w:t>
      </w:r>
      <w:r w:rsidRPr="002A698D">
        <w:rPr>
          <w:b w:val="0"/>
          <w:spacing w:val="10"/>
          <w:sz w:val="22"/>
          <w:szCs w:val="22"/>
        </w:rPr>
        <w:t xml:space="preserve">mantiene el mismo diseño conceptual, estadístico y </w:t>
      </w:r>
      <w:r>
        <w:rPr>
          <w:b w:val="0"/>
          <w:spacing w:val="10"/>
          <w:sz w:val="22"/>
          <w:szCs w:val="22"/>
        </w:rPr>
        <w:t>m</w:t>
      </w:r>
      <w:r w:rsidRPr="002A698D">
        <w:rPr>
          <w:b w:val="0"/>
          <w:spacing w:val="10"/>
          <w:sz w:val="22"/>
          <w:szCs w:val="22"/>
        </w:rPr>
        <w:t>etodológico que la ENOE tradicional</w:t>
      </w:r>
      <w:r w:rsidRPr="006E5F04">
        <w:rPr>
          <w:b w:val="0"/>
          <w:spacing w:val="10"/>
          <w:sz w:val="22"/>
          <w:szCs w:val="22"/>
        </w:rPr>
        <w:t>, su muestra se conformó de un 72% entrevistas cara a cara y un 28% de entrevi</w:t>
      </w:r>
      <w:r w:rsidRPr="00DF3C61">
        <w:rPr>
          <w:b w:val="0"/>
          <w:spacing w:val="10"/>
          <w:sz w:val="22"/>
          <w:szCs w:val="22"/>
        </w:rPr>
        <w:t>stas telefónicas</w:t>
      </w:r>
      <w:r>
        <w:rPr>
          <w:b w:val="0"/>
          <w:spacing w:val="10"/>
          <w:sz w:val="22"/>
          <w:szCs w:val="22"/>
        </w:rPr>
        <w:t>.</w:t>
      </w:r>
      <w:r w:rsidRPr="00DF3C61">
        <w:rPr>
          <w:b w:val="0"/>
          <w:spacing w:val="10"/>
          <w:sz w:val="22"/>
          <w:szCs w:val="22"/>
        </w:rPr>
        <w:t xml:space="preserve"> </w:t>
      </w:r>
      <w:r>
        <w:rPr>
          <w:b w:val="0"/>
          <w:spacing w:val="10"/>
          <w:sz w:val="22"/>
          <w:szCs w:val="22"/>
        </w:rPr>
        <w:t xml:space="preserve">Es importante destacar que </w:t>
      </w:r>
      <w:r w:rsidRPr="00DF3C61">
        <w:rPr>
          <w:b w:val="0"/>
          <w:spacing w:val="10"/>
          <w:sz w:val="22"/>
          <w:szCs w:val="22"/>
        </w:rPr>
        <w:t>no existen cambios estadísticos significativos en los indicadores estratégicos de ocupación y empleo</w:t>
      </w:r>
      <w:r>
        <w:rPr>
          <w:b w:val="0"/>
          <w:spacing w:val="10"/>
          <w:sz w:val="22"/>
          <w:szCs w:val="22"/>
        </w:rPr>
        <w:t xml:space="preserve"> </w:t>
      </w:r>
      <w:r w:rsidRPr="00DF3C61">
        <w:rPr>
          <w:b w:val="0"/>
          <w:spacing w:val="10"/>
          <w:sz w:val="22"/>
          <w:szCs w:val="22"/>
        </w:rPr>
        <w:t>cuando se consideran exclusivamente entrevistas cara a cara, de cuando se combinan con entrevistas telefónicas</w:t>
      </w:r>
      <w:r>
        <w:rPr>
          <w:b w:val="0"/>
          <w:spacing w:val="10"/>
          <w:sz w:val="22"/>
          <w:szCs w:val="22"/>
        </w:rPr>
        <w:t>. Por lo anterior, a</w:t>
      </w:r>
      <w:r>
        <w:rPr>
          <w:b w:val="0"/>
          <w:color w:val="000000" w:themeColor="text1"/>
          <w:spacing w:val="10"/>
          <w:sz w:val="22"/>
          <w:szCs w:val="22"/>
        </w:rPr>
        <w:t xml:space="preserve"> partir de este mes, concluye la Encuesta Telefónica de Ocupación y Empleo (ETOE).</w:t>
      </w:r>
    </w:p>
    <w:p w14:paraId="1DA80788" w14:textId="5235B649" w:rsidR="006A6A18" w:rsidRDefault="006A6A18" w:rsidP="006A6A18">
      <w:pPr>
        <w:pStyle w:val="Subttulo"/>
        <w:ind w:left="-567" w:right="-518"/>
        <w:jc w:val="both"/>
        <w:rPr>
          <w:b w:val="0"/>
          <w:color w:val="000000" w:themeColor="text1"/>
          <w:spacing w:val="10"/>
          <w:sz w:val="22"/>
          <w:szCs w:val="22"/>
        </w:rPr>
      </w:pPr>
    </w:p>
    <w:p w14:paraId="719EEC1A" w14:textId="77777777" w:rsidR="006A6A18" w:rsidRPr="00640491" w:rsidRDefault="006A6A18" w:rsidP="006A6A18">
      <w:pPr>
        <w:pStyle w:val="Subttulo"/>
        <w:ind w:left="-567" w:right="-518"/>
        <w:jc w:val="both"/>
        <w:rPr>
          <w:b w:val="0"/>
          <w:color w:val="000000" w:themeColor="text1"/>
          <w:spacing w:val="10"/>
          <w:sz w:val="22"/>
          <w:szCs w:val="22"/>
        </w:rPr>
      </w:pPr>
    </w:p>
    <w:p w14:paraId="7E0DD2E7" w14:textId="77777777" w:rsidR="006A6A18" w:rsidRDefault="006A6A18" w:rsidP="006A6A18">
      <w:pPr>
        <w:pStyle w:val="Subttulo"/>
        <w:ind w:right="-518"/>
        <w:jc w:val="both"/>
        <w:rPr>
          <w:b w:val="0"/>
          <w:spacing w:val="10"/>
          <w:sz w:val="22"/>
          <w:szCs w:val="22"/>
        </w:rPr>
      </w:pPr>
    </w:p>
    <w:p w14:paraId="7360F382" w14:textId="77777777" w:rsidR="006A6A18" w:rsidRPr="00640491" w:rsidRDefault="006A6A18" w:rsidP="006A6A18">
      <w:pPr>
        <w:pStyle w:val="Subttulo"/>
        <w:tabs>
          <w:tab w:val="left" w:pos="567"/>
        </w:tabs>
        <w:ind w:left="-567" w:right="-518"/>
        <w:jc w:val="both"/>
        <w:rPr>
          <w:b w:val="0"/>
          <w:spacing w:val="10"/>
          <w:sz w:val="22"/>
          <w:szCs w:val="22"/>
        </w:rPr>
      </w:pPr>
      <w:r w:rsidRPr="00640491">
        <w:rPr>
          <w:b w:val="0"/>
          <w:spacing w:val="10"/>
          <w:sz w:val="22"/>
          <w:szCs w:val="22"/>
        </w:rPr>
        <w:t xml:space="preserve">En términos generales los resultados del levantamiento de 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Pr>
          <w:b w:val="0"/>
          <w:spacing w:val="10"/>
          <w:sz w:val="22"/>
          <w:szCs w:val="22"/>
        </w:rPr>
        <w:t xml:space="preserve">de julio de 2020 confirman la </w:t>
      </w:r>
      <w:r w:rsidRPr="00640491">
        <w:rPr>
          <w:b w:val="0"/>
          <w:spacing w:val="10"/>
          <w:sz w:val="22"/>
          <w:szCs w:val="22"/>
        </w:rPr>
        <w:t xml:space="preserve">recuperación de la ocupación y el empleo </w:t>
      </w:r>
      <w:r>
        <w:rPr>
          <w:b w:val="0"/>
          <w:spacing w:val="10"/>
          <w:sz w:val="22"/>
          <w:szCs w:val="22"/>
        </w:rPr>
        <w:t xml:space="preserve">iniciada en </w:t>
      </w:r>
      <w:r w:rsidRPr="00640491">
        <w:rPr>
          <w:b w:val="0"/>
          <w:spacing w:val="10"/>
          <w:sz w:val="22"/>
          <w:szCs w:val="22"/>
        </w:rPr>
        <w:t xml:space="preserve">junio, principalmente impulsada por la reapertura gradual de los negocios y empresas en actividades económicas no esenciales. Los cambios más importantes entre junio </w:t>
      </w:r>
      <w:r>
        <w:rPr>
          <w:b w:val="0"/>
          <w:spacing w:val="10"/>
          <w:sz w:val="22"/>
          <w:szCs w:val="22"/>
        </w:rPr>
        <w:t xml:space="preserve">y julio </w:t>
      </w:r>
      <w:r w:rsidRPr="00640491">
        <w:rPr>
          <w:b w:val="0"/>
          <w:spacing w:val="10"/>
          <w:sz w:val="22"/>
          <w:szCs w:val="22"/>
        </w:rPr>
        <w:t>de 2020 tuvieron lugar en un aumento de la P</w:t>
      </w:r>
      <w:r>
        <w:rPr>
          <w:b w:val="0"/>
          <w:spacing w:val="10"/>
          <w:sz w:val="22"/>
          <w:szCs w:val="22"/>
        </w:rPr>
        <w:t>EA</w:t>
      </w:r>
      <w:r w:rsidRPr="00640491">
        <w:rPr>
          <w:b w:val="0"/>
          <w:spacing w:val="10"/>
          <w:sz w:val="22"/>
          <w:szCs w:val="22"/>
        </w:rPr>
        <w:t xml:space="preserve"> y en la conformación de la población ocupada, en la que se observó una disminución en los </w:t>
      </w:r>
      <w:r>
        <w:rPr>
          <w:b w:val="0"/>
          <w:spacing w:val="10"/>
          <w:sz w:val="22"/>
          <w:szCs w:val="22"/>
        </w:rPr>
        <w:t>ocupados a tiempo parcial</w:t>
      </w:r>
      <w:r w:rsidRPr="00640491">
        <w:rPr>
          <w:b w:val="0"/>
          <w:spacing w:val="10"/>
          <w:sz w:val="22"/>
          <w:szCs w:val="22"/>
        </w:rPr>
        <w:t xml:space="preserve">, frente a un crecimiento de la informalidad laboral, del trabajo a tiempo completo y de los ocupados con ingresos </w:t>
      </w:r>
      <w:r>
        <w:rPr>
          <w:b w:val="0"/>
          <w:spacing w:val="10"/>
          <w:sz w:val="22"/>
          <w:szCs w:val="22"/>
        </w:rPr>
        <w:t>laborales</w:t>
      </w:r>
      <w:r w:rsidRPr="00640491">
        <w:rPr>
          <w:b w:val="0"/>
          <w:spacing w:val="10"/>
          <w:sz w:val="22"/>
          <w:szCs w:val="22"/>
        </w:rPr>
        <w:t xml:space="preserve"> entre </w:t>
      </w:r>
      <w:r>
        <w:rPr>
          <w:b w:val="0"/>
          <w:spacing w:val="10"/>
          <w:sz w:val="22"/>
          <w:szCs w:val="22"/>
        </w:rPr>
        <w:t xml:space="preserve">dos </w:t>
      </w:r>
      <w:r w:rsidRPr="00640491">
        <w:rPr>
          <w:b w:val="0"/>
          <w:spacing w:val="10"/>
          <w:sz w:val="22"/>
          <w:szCs w:val="22"/>
        </w:rPr>
        <w:t xml:space="preserve">y </w:t>
      </w:r>
      <w:r>
        <w:rPr>
          <w:b w:val="0"/>
          <w:spacing w:val="10"/>
          <w:sz w:val="22"/>
          <w:szCs w:val="22"/>
        </w:rPr>
        <w:t xml:space="preserve">cinco </w:t>
      </w:r>
      <w:r w:rsidRPr="00640491">
        <w:rPr>
          <w:b w:val="0"/>
          <w:spacing w:val="10"/>
          <w:sz w:val="22"/>
          <w:szCs w:val="22"/>
        </w:rPr>
        <w:t>salarios mínimos.</w:t>
      </w:r>
    </w:p>
    <w:p w14:paraId="696AAB59" w14:textId="77777777" w:rsidR="006A6A18" w:rsidRPr="00640491" w:rsidRDefault="006A6A18" w:rsidP="006A6A18">
      <w:pPr>
        <w:pStyle w:val="Subttulo"/>
        <w:tabs>
          <w:tab w:val="left" w:pos="567"/>
        </w:tabs>
        <w:ind w:left="-567" w:right="-518"/>
        <w:jc w:val="both"/>
        <w:rPr>
          <w:b w:val="0"/>
          <w:color w:val="000000" w:themeColor="text1"/>
          <w:spacing w:val="10"/>
          <w:sz w:val="22"/>
          <w:szCs w:val="22"/>
        </w:rPr>
      </w:pPr>
    </w:p>
    <w:p w14:paraId="3C3C6F8A" w14:textId="77777777" w:rsidR="006A6A18" w:rsidRPr="00640491" w:rsidRDefault="006A6A18" w:rsidP="006A6A18">
      <w:pPr>
        <w:pStyle w:val="Subttulo"/>
        <w:ind w:left="-567" w:right="-518"/>
        <w:jc w:val="both"/>
        <w:rPr>
          <w:b w:val="0"/>
          <w:spacing w:val="10"/>
          <w:sz w:val="22"/>
          <w:szCs w:val="22"/>
        </w:rPr>
      </w:pPr>
      <w:r w:rsidRPr="00640491">
        <w:rPr>
          <w:b w:val="0"/>
          <w:color w:val="000000" w:themeColor="text1"/>
          <w:spacing w:val="10"/>
          <w:sz w:val="22"/>
          <w:szCs w:val="22"/>
        </w:rPr>
        <w:t xml:space="preserve">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sidRPr="00640491">
        <w:rPr>
          <w:b w:val="0"/>
          <w:color w:val="000000" w:themeColor="text1"/>
          <w:spacing w:val="10"/>
          <w:sz w:val="22"/>
          <w:szCs w:val="22"/>
        </w:rPr>
        <w:t>en ju</w:t>
      </w:r>
      <w:r>
        <w:rPr>
          <w:b w:val="0"/>
          <w:color w:val="000000" w:themeColor="text1"/>
          <w:spacing w:val="10"/>
          <w:sz w:val="22"/>
          <w:szCs w:val="22"/>
        </w:rPr>
        <w:t>l</w:t>
      </w:r>
      <w:r w:rsidRPr="00640491">
        <w:rPr>
          <w:b w:val="0"/>
          <w:color w:val="000000" w:themeColor="text1"/>
          <w:spacing w:val="10"/>
          <w:sz w:val="22"/>
          <w:szCs w:val="22"/>
        </w:rPr>
        <w:t>io de 2020</w:t>
      </w:r>
      <w:r w:rsidRPr="00640491">
        <w:rPr>
          <w:b w:val="0"/>
          <w:spacing w:val="10"/>
          <w:sz w:val="22"/>
          <w:szCs w:val="22"/>
        </w:rPr>
        <w:t xml:space="preserve">, reportó un incremento de </w:t>
      </w:r>
      <w:r>
        <w:rPr>
          <w:b w:val="0"/>
          <w:spacing w:val="10"/>
          <w:sz w:val="22"/>
          <w:szCs w:val="22"/>
        </w:rPr>
        <w:t>1.5</w:t>
      </w:r>
      <w:r w:rsidRPr="00640491">
        <w:rPr>
          <w:b w:val="0"/>
          <w:spacing w:val="10"/>
          <w:sz w:val="22"/>
          <w:szCs w:val="22"/>
        </w:rPr>
        <w:t xml:space="preserve"> millones de personas en la PEA, con una Tasa de Participación Económica</w:t>
      </w:r>
      <w:r w:rsidRPr="00640491">
        <w:rPr>
          <w:rStyle w:val="Refdenotaalpie"/>
          <w:b w:val="0"/>
          <w:spacing w:val="10"/>
          <w:sz w:val="22"/>
          <w:szCs w:val="22"/>
        </w:rPr>
        <w:footnoteReference w:id="1"/>
      </w:r>
      <w:r w:rsidRPr="00640491">
        <w:rPr>
          <w:b w:val="0"/>
          <w:spacing w:val="10"/>
          <w:sz w:val="22"/>
          <w:szCs w:val="22"/>
        </w:rPr>
        <w:t xml:space="preserve"> de </w:t>
      </w:r>
      <w:r>
        <w:rPr>
          <w:b w:val="0"/>
          <w:spacing w:val="10"/>
          <w:sz w:val="22"/>
          <w:szCs w:val="22"/>
        </w:rPr>
        <w:t>54.9</w:t>
      </w:r>
      <w:r w:rsidRPr="00640491">
        <w:rPr>
          <w:b w:val="0"/>
          <w:spacing w:val="10"/>
          <w:sz w:val="22"/>
          <w:szCs w:val="22"/>
        </w:rPr>
        <w:t xml:space="preserve">% respecto a la población de 15 años y más, cifra </w:t>
      </w:r>
      <w:r>
        <w:rPr>
          <w:b w:val="0"/>
          <w:spacing w:val="10"/>
          <w:sz w:val="22"/>
          <w:szCs w:val="22"/>
        </w:rPr>
        <w:t>1.8</w:t>
      </w:r>
      <w:r w:rsidRPr="00640491">
        <w:rPr>
          <w:b w:val="0"/>
          <w:spacing w:val="10"/>
          <w:sz w:val="22"/>
          <w:szCs w:val="22"/>
        </w:rPr>
        <w:t xml:space="preserve"> puntos porcentuales superior a la de </w:t>
      </w:r>
      <w:r>
        <w:rPr>
          <w:b w:val="0"/>
          <w:spacing w:val="10"/>
          <w:sz w:val="22"/>
          <w:szCs w:val="22"/>
        </w:rPr>
        <w:t>junio</w:t>
      </w:r>
      <w:r w:rsidRPr="00640491">
        <w:rPr>
          <w:b w:val="0"/>
          <w:spacing w:val="10"/>
          <w:sz w:val="22"/>
          <w:szCs w:val="22"/>
        </w:rPr>
        <w:t xml:space="preserve"> pasado. Cabe destacar que las Tasas de Participación Económica de hombres y mujeres resultaron en </w:t>
      </w:r>
      <w:r>
        <w:rPr>
          <w:b w:val="0"/>
          <w:spacing w:val="10"/>
          <w:sz w:val="22"/>
          <w:szCs w:val="22"/>
        </w:rPr>
        <w:t>72.2</w:t>
      </w:r>
      <w:r w:rsidRPr="00640491">
        <w:rPr>
          <w:b w:val="0"/>
          <w:spacing w:val="10"/>
          <w:sz w:val="22"/>
          <w:szCs w:val="22"/>
        </w:rPr>
        <w:t>% y 39.</w:t>
      </w:r>
      <w:r>
        <w:rPr>
          <w:b w:val="0"/>
          <w:spacing w:val="10"/>
          <w:sz w:val="22"/>
          <w:szCs w:val="22"/>
        </w:rPr>
        <w:t>2</w:t>
      </w:r>
      <w:r w:rsidRPr="00640491">
        <w:rPr>
          <w:b w:val="0"/>
          <w:spacing w:val="10"/>
          <w:sz w:val="22"/>
          <w:szCs w:val="22"/>
        </w:rPr>
        <w:t>%, respectivamente.</w:t>
      </w:r>
    </w:p>
    <w:p w14:paraId="758FE4C9" w14:textId="77777777" w:rsidR="006A6A18" w:rsidRPr="00640491" w:rsidRDefault="006A6A18" w:rsidP="006A6A18">
      <w:pPr>
        <w:pStyle w:val="Subttulo"/>
        <w:ind w:left="-567" w:right="-518"/>
        <w:jc w:val="both"/>
        <w:rPr>
          <w:b w:val="0"/>
          <w:color w:val="000000" w:themeColor="text1"/>
          <w:spacing w:val="10"/>
          <w:sz w:val="22"/>
          <w:szCs w:val="22"/>
        </w:rPr>
      </w:pPr>
    </w:p>
    <w:p w14:paraId="2C48E330" w14:textId="77777777" w:rsidR="006A6A18" w:rsidRPr="00640491" w:rsidRDefault="006A6A18" w:rsidP="006A6A18">
      <w:pPr>
        <w:pStyle w:val="Subttulo"/>
        <w:ind w:left="-567" w:right="-516"/>
        <w:jc w:val="both"/>
        <w:rPr>
          <w:b w:val="0"/>
          <w:spacing w:val="10"/>
          <w:sz w:val="22"/>
          <w:szCs w:val="22"/>
        </w:rPr>
      </w:pPr>
      <w:r w:rsidRPr="00640491">
        <w:rPr>
          <w:b w:val="0"/>
          <w:spacing w:val="10"/>
          <w:sz w:val="22"/>
          <w:szCs w:val="22"/>
        </w:rPr>
        <w:t xml:space="preserve">En </w:t>
      </w:r>
      <w:r>
        <w:rPr>
          <w:b w:val="0"/>
          <w:spacing w:val="10"/>
          <w:sz w:val="22"/>
          <w:szCs w:val="22"/>
        </w:rPr>
        <w:t>el séptimo mes de 2020</w:t>
      </w:r>
      <w:r w:rsidRPr="00640491">
        <w:rPr>
          <w:b w:val="0"/>
          <w:spacing w:val="10"/>
          <w:sz w:val="22"/>
          <w:szCs w:val="22"/>
        </w:rPr>
        <w:t xml:space="preserve">, la población ocupada resultó en </w:t>
      </w:r>
      <w:r>
        <w:rPr>
          <w:b w:val="0"/>
          <w:spacing w:val="10"/>
          <w:sz w:val="22"/>
          <w:szCs w:val="22"/>
        </w:rPr>
        <w:t>49.8</w:t>
      </w:r>
      <w:r w:rsidRPr="00640491">
        <w:rPr>
          <w:b w:val="0"/>
          <w:spacing w:val="10"/>
          <w:sz w:val="22"/>
          <w:szCs w:val="22"/>
        </w:rPr>
        <w:t xml:space="preserve"> millones de personas, con un incremento de </w:t>
      </w:r>
      <w:r>
        <w:rPr>
          <w:b w:val="0"/>
          <w:spacing w:val="10"/>
          <w:sz w:val="22"/>
          <w:szCs w:val="22"/>
        </w:rPr>
        <w:t>1.5</w:t>
      </w:r>
      <w:r w:rsidRPr="00640491">
        <w:rPr>
          <w:b w:val="0"/>
          <w:spacing w:val="10"/>
          <w:sz w:val="22"/>
          <w:szCs w:val="22"/>
        </w:rPr>
        <w:t xml:space="preserve"> millones de personas respecto a </w:t>
      </w:r>
      <w:r>
        <w:rPr>
          <w:b w:val="0"/>
          <w:spacing w:val="10"/>
          <w:sz w:val="22"/>
          <w:szCs w:val="22"/>
        </w:rPr>
        <w:t>junio</w:t>
      </w:r>
      <w:r w:rsidRPr="00640491">
        <w:rPr>
          <w:b w:val="0"/>
          <w:spacing w:val="10"/>
          <w:sz w:val="22"/>
          <w:szCs w:val="22"/>
        </w:rPr>
        <w:t>.</w:t>
      </w:r>
    </w:p>
    <w:p w14:paraId="03407F22" w14:textId="77777777" w:rsidR="006A6A18" w:rsidRPr="00640491" w:rsidRDefault="006A6A18" w:rsidP="006A6A18">
      <w:pPr>
        <w:pStyle w:val="Subttulo"/>
        <w:ind w:left="-567" w:right="-516"/>
        <w:jc w:val="both"/>
        <w:rPr>
          <w:b w:val="0"/>
          <w:spacing w:val="10"/>
          <w:sz w:val="22"/>
          <w:szCs w:val="22"/>
        </w:rPr>
      </w:pPr>
    </w:p>
    <w:p w14:paraId="5C59F4E5" w14:textId="77777777" w:rsidR="006A6A18" w:rsidRPr="00640491" w:rsidRDefault="006A6A18" w:rsidP="006A6A18">
      <w:pPr>
        <w:pStyle w:val="Subttulo"/>
        <w:ind w:left="-567" w:right="-516"/>
        <w:jc w:val="both"/>
        <w:rPr>
          <w:b w:val="0"/>
          <w:spacing w:val="10"/>
          <w:sz w:val="22"/>
          <w:szCs w:val="22"/>
        </w:rPr>
      </w:pPr>
      <w:r w:rsidRPr="00640491">
        <w:rPr>
          <w:b w:val="0"/>
          <w:spacing w:val="10"/>
          <w:sz w:val="22"/>
          <w:szCs w:val="22"/>
        </w:rPr>
        <w:t xml:space="preserve">La población ocupada </w:t>
      </w:r>
      <w:r>
        <w:rPr>
          <w:b w:val="0"/>
          <w:spacing w:val="10"/>
          <w:sz w:val="22"/>
          <w:szCs w:val="22"/>
        </w:rPr>
        <w:t xml:space="preserve">a tiempo parcial (jornadas inferiores a 35 horas semanales) </w:t>
      </w:r>
      <w:r w:rsidRPr="00640491">
        <w:rPr>
          <w:b w:val="0"/>
          <w:spacing w:val="10"/>
          <w:sz w:val="22"/>
          <w:szCs w:val="22"/>
        </w:rPr>
        <w:t xml:space="preserve">disminuyó en (-)2 millones entre junio </w:t>
      </w:r>
      <w:r>
        <w:rPr>
          <w:b w:val="0"/>
          <w:spacing w:val="10"/>
          <w:sz w:val="22"/>
          <w:szCs w:val="22"/>
        </w:rPr>
        <w:t xml:space="preserve">y julio </w:t>
      </w:r>
      <w:r w:rsidRPr="00640491">
        <w:rPr>
          <w:b w:val="0"/>
          <w:spacing w:val="10"/>
          <w:sz w:val="22"/>
          <w:szCs w:val="22"/>
        </w:rPr>
        <w:t>de 2020</w:t>
      </w:r>
      <w:r>
        <w:rPr>
          <w:b w:val="0"/>
          <w:spacing w:val="10"/>
          <w:sz w:val="22"/>
          <w:szCs w:val="22"/>
        </w:rPr>
        <w:t>.</w:t>
      </w:r>
      <w:r w:rsidRPr="00640491">
        <w:rPr>
          <w:b w:val="0"/>
          <w:spacing w:val="10"/>
          <w:sz w:val="22"/>
          <w:szCs w:val="22"/>
        </w:rPr>
        <w:t xml:space="preserve"> </w:t>
      </w:r>
      <w:r>
        <w:rPr>
          <w:b w:val="0"/>
          <w:spacing w:val="10"/>
          <w:sz w:val="22"/>
          <w:szCs w:val="22"/>
        </w:rPr>
        <w:t>Por su parte</w:t>
      </w:r>
      <w:r w:rsidRPr="00640491">
        <w:rPr>
          <w:b w:val="0"/>
          <w:spacing w:val="10"/>
          <w:sz w:val="22"/>
          <w:szCs w:val="22"/>
        </w:rPr>
        <w:t xml:space="preserve"> los ocupados </w:t>
      </w:r>
      <w:r>
        <w:rPr>
          <w:b w:val="0"/>
          <w:spacing w:val="10"/>
          <w:sz w:val="22"/>
          <w:szCs w:val="22"/>
        </w:rPr>
        <w:t>a tiempo completo (jornadas de</w:t>
      </w:r>
      <w:r w:rsidRPr="00640491">
        <w:rPr>
          <w:b w:val="0"/>
          <w:spacing w:val="10"/>
          <w:sz w:val="22"/>
          <w:szCs w:val="22"/>
        </w:rPr>
        <w:t xml:space="preserve"> 35 </w:t>
      </w:r>
      <w:r>
        <w:rPr>
          <w:b w:val="0"/>
          <w:spacing w:val="10"/>
          <w:sz w:val="22"/>
          <w:szCs w:val="22"/>
        </w:rPr>
        <w:t>o más h</w:t>
      </w:r>
      <w:r w:rsidRPr="00640491">
        <w:rPr>
          <w:b w:val="0"/>
          <w:spacing w:val="10"/>
          <w:sz w:val="22"/>
          <w:szCs w:val="22"/>
        </w:rPr>
        <w:t xml:space="preserve">oras </w:t>
      </w:r>
      <w:r>
        <w:rPr>
          <w:b w:val="0"/>
          <w:spacing w:val="10"/>
          <w:sz w:val="22"/>
          <w:szCs w:val="22"/>
        </w:rPr>
        <w:t xml:space="preserve">semanales) </w:t>
      </w:r>
      <w:r w:rsidRPr="00640491">
        <w:rPr>
          <w:b w:val="0"/>
          <w:spacing w:val="10"/>
          <w:sz w:val="22"/>
          <w:szCs w:val="22"/>
        </w:rPr>
        <w:t>aumentaron en 4.</w:t>
      </w:r>
      <w:r>
        <w:rPr>
          <w:b w:val="0"/>
          <w:spacing w:val="10"/>
          <w:sz w:val="22"/>
          <w:szCs w:val="22"/>
        </w:rPr>
        <w:t>2</w:t>
      </w:r>
      <w:r w:rsidRPr="00640491">
        <w:rPr>
          <w:b w:val="0"/>
          <w:spacing w:val="10"/>
          <w:sz w:val="22"/>
          <w:szCs w:val="22"/>
        </w:rPr>
        <w:t xml:space="preserve"> millones de personas en el mismo periodo.</w:t>
      </w:r>
    </w:p>
    <w:p w14:paraId="0214E238" w14:textId="77777777" w:rsidR="006A6A18" w:rsidRPr="00640491" w:rsidRDefault="006A6A18" w:rsidP="006A6A18">
      <w:pPr>
        <w:pStyle w:val="Subttulo"/>
        <w:ind w:left="-567" w:right="-518"/>
        <w:jc w:val="both"/>
        <w:rPr>
          <w:b w:val="0"/>
          <w:color w:val="000000" w:themeColor="text1"/>
          <w:spacing w:val="10"/>
          <w:sz w:val="22"/>
          <w:szCs w:val="22"/>
        </w:rPr>
      </w:pPr>
    </w:p>
    <w:p w14:paraId="76372D78" w14:textId="77777777" w:rsidR="006A6A18" w:rsidRPr="00640491" w:rsidRDefault="006A6A18" w:rsidP="006A6A18">
      <w:pPr>
        <w:pStyle w:val="Subttulo"/>
        <w:ind w:left="-567" w:right="-518"/>
        <w:jc w:val="both"/>
        <w:rPr>
          <w:b w:val="0"/>
          <w:spacing w:val="10"/>
          <w:sz w:val="22"/>
          <w:szCs w:val="22"/>
        </w:rPr>
      </w:pPr>
      <w:r w:rsidRPr="00640491">
        <w:rPr>
          <w:b w:val="0"/>
          <w:color w:val="000000" w:themeColor="text1"/>
          <w:spacing w:val="10"/>
          <w:sz w:val="22"/>
          <w:szCs w:val="22"/>
        </w:rPr>
        <w:t xml:space="preserve">La </w:t>
      </w:r>
      <w:r w:rsidRPr="00427871">
        <w:rPr>
          <w:b w:val="0"/>
          <w:spacing w:val="10"/>
          <w:sz w:val="22"/>
          <w:szCs w:val="22"/>
        </w:rPr>
        <w:t>ENOE</w:t>
      </w:r>
      <w:r>
        <w:rPr>
          <w:b w:val="0"/>
          <w:spacing w:val="10"/>
          <w:sz w:val="22"/>
          <w:szCs w:val="22"/>
          <w:vertAlign w:val="superscript"/>
        </w:rPr>
        <w:t>N</w:t>
      </w:r>
      <w:r w:rsidRPr="00035E7F">
        <w:rPr>
          <w:spacing w:val="10"/>
          <w:sz w:val="22"/>
          <w:szCs w:val="22"/>
        </w:rPr>
        <w:t xml:space="preserve"> </w:t>
      </w:r>
      <w:r w:rsidRPr="00640491">
        <w:rPr>
          <w:b w:val="0"/>
          <w:color w:val="000000" w:themeColor="text1"/>
          <w:spacing w:val="10"/>
          <w:sz w:val="22"/>
          <w:szCs w:val="22"/>
        </w:rPr>
        <w:t>en ju</w:t>
      </w:r>
      <w:r>
        <w:rPr>
          <w:b w:val="0"/>
          <w:color w:val="000000" w:themeColor="text1"/>
          <w:spacing w:val="10"/>
          <w:sz w:val="22"/>
          <w:szCs w:val="22"/>
        </w:rPr>
        <w:t>l</w:t>
      </w:r>
      <w:r w:rsidRPr="00640491">
        <w:rPr>
          <w:b w:val="0"/>
          <w:color w:val="000000" w:themeColor="text1"/>
          <w:spacing w:val="10"/>
          <w:sz w:val="22"/>
          <w:szCs w:val="22"/>
        </w:rPr>
        <w:t>io de 2020 registró una tasa de subocupación</w:t>
      </w:r>
      <w:r w:rsidRPr="00640491">
        <w:rPr>
          <w:rStyle w:val="Refdenotaalpie"/>
          <w:b w:val="0"/>
          <w:spacing w:val="10"/>
          <w:sz w:val="22"/>
          <w:szCs w:val="22"/>
        </w:rPr>
        <w:footnoteReference w:id="2"/>
      </w:r>
      <w:r w:rsidRPr="00640491">
        <w:rPr>
          <w:b w:val="0"/>
          <w:spacing w:val="10"/>
          <w:sz w:val="22"/>
          <w:szCs w:val="22"/>
        </w:rPr>
        <w:t xml:space="preserve"> de </w:t>
      </w:r>
      <w:r>
        <w:rPr>
          <w:b w:val="0"/>
          <w:spacing w:val="10"/>
          <w:sz w:val="22"/>
          <w:szCs w:val="22"/>
        </w:rPr>
        <w:t>18.4</w:t>
      </w:r>
      <w:r w:rsidRPr="00640491">
        <w:rPr>
          <w:b w:val="0"/>
          <w:spacing w:val="10"/>
          <w:sz w:val="22"/>
          <w:szCs w:val="22"/>
        </w:rPr>
        <w:t>%, cifra inferior en</w:t>
      </w:r>
      <w:r>
        <w:rPr>
          <w:b w:val="0"/>
          <w:spacing w:val="10"/>
          <w:sz w:val="22"/>
          <w:szCs w:val="22"/>
        </w:rPr>
        <w:t xml:space="preserve">      </w:t>
      </w:r>
      <w:r w:rsidRPr="00640491">
        <w:rPr>
          <w:b w:val="0"/>
          <w:spacing w:val="10"/>
          <w:sz w:val="22"/>
          <w:szCs w:val="22"/>
        </w:rPr>
        <w:t>(-)</w:t>
      </w:r>
      <w:r>
        <w:rPr>
          <w:b w:val="0"/>
          <w:spacing w:val="10"/>
          <w:sz w:val="22"/>
          <w:szCs w:val="22"/>
        </w:rPr>
        <w:t>1.6</w:t>
      </w:r>
      <w:r w:rsidRPr="00640491">
        <w:rPr>
          <w:b w:val="0"/>
          <w:spacing w:val="10"/>
          <w:sz w:val="22"/>
          <w:szCs w:val="22"/>
        </w:rPr>
        <w:t xml:space="preserve"> puntos porcentuales a la de </w:t>
      </w:r>
      <w:r>
        <w:rPr>
          <w:b w:val="0"/>
          <w:spacing w:val="10"/>
          <w:sz w:val="22"/>
          <w:szCs w:val="22"/>
        </w:rPr>
        <w:t>junio</w:t>
      </w:r>
      <w:r w:rsidRPr="00640491">
        <w:rPr>
          <w:b w:val="0"/>
          <w:spacing w:val="10"/>
          <w:sz w:val="22"/>
          <w:szCs w:val="22"/>
        </w:rPr>
        <w:t xml:space="preserve"> del mismo año. Este descenso representa una variación de </w:t>
      </w:r>
      <w:r>
        <w:rPr>
          <w:b w:val="0"/>
          <w:spacing w:val="10"/>
          <w:sz w:val="22"/>
          <w:szCs w:val="22"/>
        </w:rPr>
        <w:t>(-)0.5</w:t>
      </w:r>
      <w:r w:rsidRPr="00640491">
        <w:rPr>
          <w:b w:val="0"/>
          <w:spacing w:val="10"/>
          <w:sz w:val="22"/>
          <w:szCs w:val="22"/>
        </w:rPr>
        <w:t xml:space="preserve"> millones de personas ocupadas. La tasa de subocupación según sexo fue de </w:t>
      </w:r>
      <w:r>
        <w:rPr>
          <w:b w:val="0"/>
          <w:spacing w:val="10"/>
          <w:sz w:val="22"/>
          <w:szCs w:val="22"/>
        </w:rPr>
        <w:t>18.5</w:t>
      </w:r>
      <w:r w:rsidRPr="00640491">
        <w:rPr>
          <w:b w:val="0"/>
          <w:spacing w:val="10"/>
          <w:sz w:val="22"/>
          <w:szCs w:val="22"/>
        </w:rPr>
        <w:t>% en los hombres</w:t>
      </w:r>
      <w:r>
        <w:rPr>
          <w:b w:val="0"/>
          <w:spacing w:val="10"/>
          <w:sz w:val="22"/>
          <w:szCs w:val="22"/>
        </w:rPr>
        <w:t xml:space="preserve">, cifra inferior en </w:t>
      </w:r>
      <w:r w:rsidRPr="00640491">
        <w:rPr>
          <w:b w:val="0"/>
          <w:spacing w:val="10"/>
          <w:sz w:val="22"/>
          <w:szCs w:val="22"/>
        </w:rPr>
        <w:t>(-)</w:t>
      </w:r>
      <w:r>
        <w:rPr>
          <w:b w:val="0"/>
          <w:spacing w:val="10"/>
          <w:sz w:val="22"/>
          <w:szCs w:val="22"/>
        </w:rPr>
        <w:t>3.3</w:t>
      </w:r>
      <w:r w:rsidRPr="00640491">
        <w:rPr>
          <w:b w:val="0"/>
          <w:spacing w:val="10"/>
          <w:sz w:val="22"/>
          <w:szCs w:val="22"/>
        </w:rPr>
        <w:t xml:space="preserve"> </w:t>
      </w:r>
      <w:r>
        <w:rPr>
          <w:b w:val="0"/>
          <w:spacing w:val="10"/>
          <w:sz w:val="22"/>
          <w:szCs w:val="22"/>
        </w:rPr>
        <w:t xml:space="preserve">puntos </w:t>
      </w:r>
      <w:r w:rsidRPr="00640491">
        <w:rPr>
          <w:b w:val="0"/>
          <w:spacing w:val="10"/>
          <w:sz w:val="22"/>
          <w:szCs w:val="22"/>
        </w:rPr>
        <w:t>porcentuales</w:t>
      </w:r>
      <w:r>
        <w:rPr>
          <w:b w:val="0"/>
          <w:spacing w:val="10"/>
          <w:sz w:val="22"/>
          <w:szCs w:val="22"/>
        </w:rPr>
        <w:t xml:space="preserve"> respecto al mes anterior, mientras que la tasa de subocupación en las mujeres fue de 18.4</w:t>
      </w:r>
      <w:r w:rsidRPr="00640491">
        <w:rPr>
          <w:b w:val="0"/>
          <w:spacing w:val="10"/>
          <w:sz w:val="22"/>
          <w:szCs w:val="22"/>
        </w:rPr>
        <w:t xml:space="preserve">%, </w:t>
      </w:r>
      <w:r>
        <w:rPr>
          <w:b w:val="0"/>
          <w:spacing w:val="10"/>
          <w:sz w:val="22"/>
          <w:szCs w:val="22"/>
        </w:rPr>
        <w:t xml:space="preserve">tasa </w:t>
      </w:r>
      <w:r w:rsidRPr="00640491">
        <w:rPr>
          <w:b w:val="0"/>
          <w:spacing w:val="10"/>
          <w:sz w:val="22"/>
          <w:szCs w:val="22"/>
        </w:rPr>
        <w:t>1</w:t>
      </w:r>
      <w:r>
        <w:rPr>
          <w:b w:val="0"/>
          <w:spacing w:val="10"/>
          <w:sz w:val="22"/>
          <w:szCs w:val="22"/>
        </w:rPr>
        <w:t>.</w:t>
      </w:r>
      <w:r w:rsidRPr="00640491">
        <w:rPr>
          <w:b w:val="0"/>
          <w:spacing w:val="10"/>
          <w:sz w:val="22"/>
          <w:szCs w:val="22"/>
        </w:rPr>
        <w:t>1 puntos porcentuales</w:t>
      </w:r>
      <w:r>
        <w:rPr>
          <w:b w:val="0"/>
          <w:spacing w:val="10"/>
          <w:sz w:val="22"/>
          <w:szCs w:val="22"/>
        </w:rPr>
        <w:t xml:space="preserve"> mayor a la del mes previo.</w:t>
      </w:r>
    </w:p>
    <w:p w14:paraId="3DD85E77" w14:textId="77777777" w:rsidR="006A6A18" w:rsidRPr="00640491" w:rsidRDefault="006A6A18" w:rsidP="006A6A18">
      <w:pPr>
        <w:pStyle w:val="Subttulo"/>
        <w:ind w:left="-567" w:right="-518"/>
        <w:jc w:val="both"/>
        <w:rPr>
          <w:b w:val="0"/>
          <w:spacing w:val="10"/>
          <w:sz w:val="22"/>
          <w:szCs w:val="22"/>
        </w:rPr>
      </w:pPr>
    </w:p>
    <w:p w14:paraId="30ACCE2D" w14:textId="41CDF801" w:rsidR="006A6A18" w:rsidRPr="00640491" w:rsidRDefault="006A6A18" w:rsidP="006A6A18">
      <w:pPr>
        <w:pStyle w:val="Subttulo"/>
        <w:tabs>
          <w:tab w:val="left" w:pos="567"/>
        </w:tabs>
        <w:ind w:left="-567" w:right="-516"/>
        <w:jc w:val="both"/>
        <w:rPr>
          <w:b w:val="0"/>
          <w:color w:val="000000" w:themeColor="text1"/>
          <w:spacing w:val="10"/>
          <w:sz w:val="22"/>
          <w:szCs w:val="22"/>
        </w:rPr>
      </w:pPr>
      <w:r w:rsidRPr="00640491">
        <w:rPr>
          <w:b w:val="0"/>
          <w:color w:val="000000" w:themeColor="text1"/>
          <w:spacing w:val="10"/>
          <w:sz w:val="22"/>
          <w:szCs w:val="22"/>
        </w:rPr>
        <w:t xml:space="preserve">La ocupación informal en </w:t>
      </w:r>
      <w:r w:rsidR="005C3B56">
        <w:rPr>
          <w:b w:val="0"/>
          <w:color w:val="000000" w:themeColor="text1"/>
          <w:spacing w:val="10"/>
          <w:sz w:val="22"/>
          <w:szCs w:val="22"/>
        </w:rPr>
        <w:t xml:space="preserve">julio </w:t>
      </w:r>
      <w:r w:rsidRPr="00640491">
        <w:rPr>
          <w:b w:val="0"/>
          <w:color w:val="000000" w:themeColor="text1"/>
          <w:spacing w:val="10"/>
          <w:sz w:val="22"/>
          <w:szCs w:val="22"/>
        </w:rPr>
        <w:t xml:space="preserve">de 2020 ascendió a </w:t>
      </w:r>
      <w:r>
        <w:rPr>
          <w:b w:val="0"/>
          <w:color w:val="000000" w:themeColor="text1"/>
          <w:spacing w:val="10"/>
          <w:sz w:val="22"/>
          <w:szCs w:val="22"/>
        </w:rPr>
        <w:t>27.3</w:t>
      </w:r>
      <w:r w:rsidRPr="00640491">
        <w:rPr>
          <w:b w:val="0"/>
          <w:color w:val="000000" w:themeColor="text1"/>
          <w:spacing w:val="10"/>
          <w:sz w:val="22"/>
          <w:szCs w:val="22"/>
        </w:rPr>
        <w:t xml:space="preserve"> millones, </w:t>
      </w:r>
      <w:r>
        <w:rPr>
          <w:b w:val="0"/>
          <w:color w:val="000000" w:themeColor="text1"/>
          <w:spacing w:val="10"/>
          <w:sz w:val="22"/>
          <w:szCs w:val="22"/>
        </w:rPr>
        <w:t>al tiempo</w:t>
      </w:r>
      <w:r w:rsidRPr="00640491">
        <w:rPr>
          <w:b w:val="0"/>
          <w:color w:val="000000" w:themeColor="text1"/>
          <w:spacing w:val="10"/>
          <w:sz w:val="22"/>
          <w:szCs w:val="22"/>
        </w:rPr>
        <w:t xml:space="preserve"> que la Tasa de Informalidad Laboral 1 (TIL1) se situó en </w:t>
      </w:r>
      <w:r>
        <w:rPr>
          <w:b w:val="0"/>
          <w:color w:val="000000" w:themeColor="text1"/>
          <w:spacing w:val="10"/>
          <w:sz w:val="22"/>
          <w:szCs w:val="22"/>
        </w:rPr>
        <w:t>54.9</w:t>
      </w:r>
      <w:r w:rsidRPr="00640491">
        <w:rPr>
          <w:b w:val="0"/>
          <w:color w:val="000000" w:themeColor="text1"/>
          <w:spacing w:val="10"/>
          <w:sz w:val="22"/>
          <w:szCs w:val="22"/>
        </w:rPr>
        <w:t>%, cifra mayor en 1.</w:t>
      </w:r>
      <w:r>
        <w:rPr>
          <w:b w:val="0"/>
          <w:color w:val="000000" w:themeColor="text1"/>
          <w:spacing w:val="10"/>
          <w:sz w:val="22"/>
          <w:szCs w:val="22"/>
        </w:rPr>
        <w:t>9</w:t>
      </w:r>
      <w:r w:rsidRPr="00640491">
        <w:rPr>
          <w:b w:val="0"/>
          <w:color w:val="000000" w:themeColor="text1"/>
          <w:spacing w:val="10"/>
          <w:sz w:val="22"/>
          <w:szCs w:val="22"/>
        </w:rPr>
        <w:t xml:space="preserve"> puntos porcentuales comparada con la del mes </w:t>
      </w:r>
      <w:r>
        <w:rPr>
          <w:b w:val="0"/>
          <w:color w:val="000000" w:themeColor="text1"/>
          <w:spacing w:val="10"/>
          <w:sz w:val="22"/>
          <w:szCs w:val="22"/>
        </w:rPr>
        <w:t>previo</w:t>
      </w:r>
      <w:r w:rsidRPr="00640491">
        <w:rPr>
          <w:b w:val="0"/>
          <w:color w:val="000000" w:themeColor="text1"/>
          <w:spacing w:val="10"/>
          <w:sz w:val="22"/>
          <w:szCs w:val="22"/>
        </w:rPr>
        <w:t>.</w:t>
      </w:r>
    </w:p>
    <w:p w14:paraId="706E711B" w14:textId="77777777" w:rsidR="006A6A18" w:rsidRPr="00640491" w:rsidRDefault="006A6A18" w:rsidP="006A6A18">
      <w:pPr>
        <w:pStyle w:val="Subttulo"/>
        <w:tabs>
          <w:tab w:val="left" w:pos="567"/>
        </w:tabs>
        <w:ind w:left="-567" w:right="-516"/>
        <w:jc w:val="both"/>
        <w:rPr>
          <w:b w:val="0"/>
          <w:color w:val="000000" w:themeColor="text1"/>
          <w:spacing w:val="10"/>
          <w:sz w:val="22"/>
          <w:szCs w:val="22"/>
          <w:highlight w:val="yellow"/>
        </w:rPr>
      </w:pPr>
    </w:p>
    <w:p w14:paraId="57F61411" w14:textId="77777777" w:rsidR="006A6A18" w:rsidRPr="00640491" w:rsidRDefault="006A6A18" w:rsidP="006A6A18">
      <w:pPr>
        <w:pStyle w:val="Subttulo"/>
        <w:ind w:left="-567" w:right="-516"/>
        <w:jc w:val="both"/>
        <w:rPr>
          <w:b w:val="0"/>
          <w:spacing w:val="10"/>
          <w:sz w:val="22"/>
          <w:szCs w:val="22"/>
        </w:rPr>
      </w:pPr>
      <w:r w:rsidRPr="00640491">
        <w:rPr>
          <w:b w:val="0"/>
          <w:spacing w:val="10"/>
          <w:sz w:val="22"/>
          <w:szCs w:val="22"/>
        </w:rPr>
        <w:t xml:space="preserve">La población desocupada </w:t>
      </w:r>
      <w:r>
        <w:rPr>
          <w:b w:val="0"/>
          <w:spacing w:val="10"/>
          <w:sz w:val="22"/>
          <w:szCs w:val="22"/>
        </w:rPr>
        <w:t>fue de 5.4</w:t>
      </w:r>
      <w:r w:rsidRPr="00640491">
        <w:rPr>
          <w:b w:val="0"/>
          <w:spacing w:val="10"/>
          <w:sz w:val="22"/>
          <w:szCs w:val="22"/>
        </w:rPr>
        <w:t xml:space="preserve">% en </w:t>
      </w:r>
      <w:r>
        <w:rPr>
          <w:b w:val="0"/>
          <w:spacing w:val="10"/>
          <w:sz w:val="22"/>
          <w:szCs w:val="22"/>
        </w:rPr>
        <w:t>julio y de</w:t>
      </w:r>
      <w:r w:rsidRPr="00640491">
        <w:rPr>
          <w:b w:val="0"/>
          <w:spacing w:val="10"/>
          <w:sz w:val="22"/>
          <w:szCs w:val="22"/>
        </w:rPr>
        <w:t xml:space="preserve"> 5.5% </w:t>
      </w:r>
      <w:r>
        <w:rPr>
          <w:b w:val="0"/>
          <w:spacing w:val="10"/>
          <w:sz w:val="22"/>
          <w:szCs w:val="22"/>
        </w:rPr>
        <w:t>en junio como proporción de la PEA</w:t>
      </w:r>
      <w:r w:rsidRPr="00640491">
        <w:rPr>
          <w:b w:val="0"/>
          <w:spacing w:val="10"/>
          <w:sz w:val="22"/>
          <w:szCs w:val="22"/>
        </w:rPr>
        <w:t xml:space="preserve">, </w:t>
      </w:r>
      <w:r>
        <w:rPr>
          <w:b w:val="0"/>
          <w:spacing w:val="10"/>
          <w:sz w:val="22"/>
          <w:szCs w:val="22"/>
        </w:rPr>
        <w:t xml:space="preserve">porcentaje equivalente a </w:t>
      </w:r>
      <w:r w:rsidRPr="00640491">
        <w:rPr>
          <w:b w:val="0"/>
          <w:spacing w:val="10"/>
          <w:sz w:val="22"/>
          <w:szCs w:val="22"/>
        </w:rPr>
        <w:t>2.8 millones de personas</w:t>
      </w:r>
      <w:r>
        <w:rPr>
          <w:b w:val="0"/>
          <w:spacing w:val="10"/>
          <w:sz w:val="22"/>
          <w:szCs w:val="22"/>
        </w:rPr>
        <w:t xml:space="preserve"> en ambos meses.</w:t>
      </w:r>
    </w:p>
    <w:p w14:paraId="166CA260" w14:textId="77777777" w:rsidR="006A6A18" w:rsidRPr="00640491" w:rsidRDefault="006A6A18" w:rsidP="006A6A18">
      <w:pPr>
        <w:pStyle w:val="Subttulo"/>
        <w:tabs>
          <w:tab w:val="left" w:pos="567"/>
        </w:tabs>
        <w:ind w:left="-567" w:right="-518"/>
        <w:jc w:val="both"/>
        <w:rPr>
          <w:b w:val="0"/>
          <w:color w:val="000000" w:themeColor="text1"/>
          <w:spacing w:val="10"/>
          <w:sz w:val="22"/>
          <w:szCs w:val="22"/>
        </w:rPr>
      </w:pPr>
    </w:p>
    <w:p w14:paraId="609DFA51" w14:textId="77777777" w:rsidR="006A6A18" w:rsidRDefault="006A6A18" w:rsidP="006A6A18">
      <w:pPr>
        <w:pStyle w:val="Subttulo"/>
        <w:ind w:left="-567" w:right="-518"/>
        <w:jc w:val="both"/>
        <w:rPr>
          <w:b w:val="0"/>
          <w:bCs w:val="0"/>
          <w:spacing w:val="10"/>
          <w:sz w:val="22"/>
          <w:szCs w:val="22"/>
        </w:rPr>
      </w:pPr>
      <w:r w:rsidRPr="00640491">
        <w:rPr>
          <w:b w:val="0"/>
          <w:bCs w:val="0"/>
          <w:spacing w:val="10"/>
          <w:sz w:val="22"/>
          <w:szCs w:val="22"/>
        </w:rPr>
        <w:t xml:space="preserve">La Población No Económicamente Activa (PNEA) disponible para trabajar, es decir, población que no </w:t>
      </w:r>
      <w:r>
        <w:rPr>
          <w:b w:val="0"/>
          <w:bCs w:val="0"/>
          <w:spacing w:val="10"/>
          <w:sz w:val="22"/>
          <w:szCs w:val="22"/>
        </w:rPr>
        <w:t xml:space="preserve">trabajó ni </w:t>
      </w:r>
      <w:r w:rsidRPr="00640491">
        <w:rPr>
          <w:b w:val="0"/>
          <w:bCs w:val="0"/>
          <w:spacing w:val="10"/>
          <w:sz w:val="22"/>
          <w:szCs w:val="22"/>
        </w:rPr>
        <w:t>buscó trabajo pero que aceptaría un</w:t>
      </w:r>
      <w:r>
        <w:rPr>
          <w:b w:val="0"/>
          <w:bCs w:val="0"/>
          <w:spacing w:val="10"/>
          <w:sz w:val="22"/>
          <w:szCs w:val="22"/>
        </w:rPr>
        <w:t xml:space="preserve"> trabajo</w:t>
      </w:r>
      <w:r w:rsidRPr="00640491">
        <w:rPr>
          <w:b w:val="0"/>
          <w:bCs w:val="0"/>
          <w:spacing w:val="10"/>
          <w:sz w:val="22"/>
          <w:szCs w:val="22"/>
        </w:rPr>
        <w:t xml:space="preserve"> si se lo ofrecieran, fue de </w:t>
      </w:r>
      <w:r>
        <w:rPr>
          <w:b w:val="0"/>
          <w:bCs w:val="0"/>
          <w:spacing w:val="10"/>
          <w:sz w:val="22"/>
          <w:szCs w:val="22"/>
        </w:rPr>
        <w:t>11.3</w:t>
      </w:r>
      <w:r w:rsidRPr="00640491">
        <w:rPr>
          <w:b w:val="0"/>
          <w:bCs w:val="0"/>
          <w:spacing w:val="10"/>
          <w:sz w:val="22"/>
          <w:szCs w:val="22"/>
        </w:rPr>
        <w:t xml:space="preserve"> millones, lo que representa el </w:t>
      </w:r>
      <w:r>
        <w:rPr>
          <w:b w:val="0"/>
          <w:bCs w:val="0"/>
          <w:spacing w:val="10"/>
          <w:sz w:val="22"/>
          <w:szCs w:val="22"/>
        </w:rPr>
        <w:t>26.1</w:t>
      </w:r>
      <w:r w:rsidRPr="00640491">
        <w:rPr>
          <w:b w:val="0"/>
          <w:bCs w:val="0"/>
          <w:spacing w:val="10"/>
          <w:sz w:val="22"/>
          <w:szCs w:val="22"/>
        </w:rPr>
        <w:t xml:space="preserve">% de la PNEA. En comparación con </w:t>
      </w:r>
      <w:r>
        <w:rPr>
          <w:b w:val="0"/>
          <w:bCs w:val="0"/>
          <w:spacing w:val="10"/>
          <w:sz w:val="22"/>
          <w:szCs w:val="22"/>
        </w:rPr>
        <w:t>junio</w:t>
      </w:r>
      <w:r w:rsidRPr="00640491">
        <w:rPr>
          <w:b w:val="0"/>
          <w:bCs w:val="0"/>
          <w:spacing w:val="10"/>
          <w:sz w:val="22"/>
          <w:szCs w:val="22"/>
        </w:rPr>
        <w:t xml:space="preserve"> de 2020, la situación de la PNEA disponible para trabajar disminuyó en (-)</w:t>
      </w:r>
      <w:r>
        <w:rPr>
          <w:b w:val="0"/>
          <w:bCs w:val="0"/>
          <w:spacing w:val="10"/>
          <w:sz w:val="22"/>
          <w:szCs w:val="22"/>
        </w:rPr>
        <w:t>2</w:t>
      </w:r>
      <w:r w:rsidRPr="00640491">
        <w:rPr>
          <w:b w:val="0"/>
          <w:bCs w:val="0"/>
          <w:spacing w:val="10"/>
          <w:sz w:val="22"/>
          <w:szCs w:val="22"/>
        </w:rPr>
        <w:t xml:space="preserve"> millones en el </w:t>
      </w:r>
      <w:r>
        <w:rPr>
          <w:b w:val="0"/>
          <w:bCs w:val="0"/>
          <w:spacing w:val="10"/>
          <w:sz w:val="22"/>
          <w:szCs w:val="22"/>
        </w:rPr>
        <w:t>séptimo</w:t>
      </w:r>
      <w:r w:rsidRPr="00640491">
        <w:rPr>
          <w:b w:val="0"/>
          <w:bCs w:val="0"/>
          <w:spacing w:val="10"/>
          <w:sz w:val="22"/>
          <w:szCs w:val="22"/>
        </w:rPr>
        <w:t xml:space="preserve"> mes de este año.</w:t>
      </w:r>
    </w:p>
    <w:p w14:paraId="2798CD2B" w14:textId="77777777" w:rsidR="006A6A18" w:rsidRDefault="006A6A18" w:rsidP="006A6A18">
      <w:pPr>
        <w:pStyle w:val="Subttulo"/>
        <w:ind w:left="-567" w:right="-518"/>
        <w:jc w:val="both"/>
        <w:rPr>
          <w:b w:val="0"/>
          <w:bCs w:val="0"/>
          <w:spacing w:val="10"/>
          <w:sz w:val="22"/>
          <w:szCs w:val="22"/>
        </w:rPr>
      </w:pPr>
    </w:p>
    <w:p w14:paraId="2C03B8FF" w14:textId="77777777" w:rsidR="006A6A18" w:rsidRDefault="006A6A18" w:rsidP="006A6A18">
      <w:pPr>
        <w:pStyle w:val="Subttulo"/>
        <w:ind w:left="-567" w:right="-518"/>
        <w:jc w:val="both"/>
        <w:rPr>
          <w:b w:val="0"/>
          <w:spacing w:val="10"/>
          <w:sz w:val="22"/>
          <w:szCs w:val="22"/>
        </w:rPr>
      </w:pPr>
      <w:r>
        <w:rPr>
          <w:b w:val="0"/>
          <w:spacing w:val="10"/>
          <w:sz w:val="22"/>
          <w:szCs w:val="22"/>
        </w:rPr>
        <w:t>Se informa a los usuarios que el INEGI analiza la conveniencia de mantener en próximas ediciones de la encuesta la combinación de entrevistas cara a cara con entrevistas telefónicas como parte del proceso de levantamiento regular de la encuesta, por lo que se someterá a consulta pública la incorporación de dichos cambios en la estrategia operativa.</w:t>
      </w:r>
    </w:p>
    <w:p w14:paraId="25DCE854" w14:textId="77777777" w:rsidR="006A6A18" w:rsidRDefault="006A6A18" w:rsidP="006A6A18">
      <w:pPr>
        <w:pStyle w:val="Subttulo"/>
        <w:ind w:left="-567" w:right="-518"/>
        <w:jc w:val="both"/>
        <w:rPr>
          <w:b w:val="0"/>
          <w:spacing w:val="10"/>
          <w:sz w:val="22"/>
          <w:szCs w:val="22"/>
        </w:rPr>
      </w:pPr>
    </w:p>
    <w:p w14:paraId="26C9A241" w14:textId="77777777" w:rsidR="006A6A18" w:rsidRDefault="006A6A18" w:rsidP="006A6A18">
      <w:pPr>
        <w:pStyle w:val="Subttulo"/>
        <w:ind w:left="-567" w:right="-518"/>
        <w:jc w:val="both"/>
        <w:rPr>
          <w:b w:val="0"/>
          <w:spacing w:val="10"/>
          <w:sz w:val="22"/>
          <w:szCs w:val="22"/>
        </w:rPr>
      </w:pPr>
      <w:r>
        <w:rPr>
          <w:b w:val="0"/>
          <w:spacing w:val="10"/>
          <w:sz w:val="22"/>
          <w:szCs w:val="22"/>
        </w:rPr>
        <w:t xml:space="preserve">Con lo anterior se busca prevenir cualquier interrupción del levantamiento tradicional cara a cara de la ENOE en el futuro, como ocurrió con la pandemia por la que se atraviesa actualmente y se pueda así asegurar que la información sobre el mercado laboral se siga generando sin contratiempo y preserve su continuidad histórica. </w:t>
      </w:r>
    </w:p>
    <w:p w14:paraId="206252E2" w14:textId="77777777" w:rsidR="006A6A18" w:rsidRDefault="006A6A18" w:rsidP="006A6A18">
      <w:pPr>
        <w:pStyle w:val="Subttulo"/>
        <w:ind w:left="-567" w:right="-518"/>
        <w:jc w:val="both"/>
        <w:rPr>
          <w:b w:val="0"/>
          <w:spacing w:val="10"/>
          <w:sz w:val="22"/>
          <w:szCs w:val="22"/>
        </w:rPr>
      </w:pPr>
    </w:p>
    <w:p w14:paraId="77127593" w14:textId="77777777" w:rsidR="006A6A18" w:rsidRPr="008B3CD0" w:rsidRDefault="006A6A18" w:rsidP="006A6A18">
      <w:pPr>
        <w:pStyle w:val="Subttulo"/>
        <w:ind w:left="-567" w:right="-518"/>
        <w:jc w:val="both"/>
        <w:rPr>
          <w:b w:val="0"/>
          <w:spacing w:val="10"/>
          <w:sz w:val="22"/>
          <w:szCs w:val="22"/>
        </w:rPr>
      </w:pPr>
      <w:r>
        <w:rPr>
          <w:b w:val="0"/>
          <w:spacing w:val="10"/>
          <w:sz w:val="22"/>
          <w:szCs w:val="22"/>
        </w:rPr>
        <w:t>Asimismo, en otras etapas se contempla realizar el levantamiento de la encuesta utilizando dispositivos electrónicos y la puesta al día de la codificación y clasificación de la información con base en los más recientes catálogos y clasificadores.</w:t>
      </w:r>
    </w:p>
    <w:p w14:paraId="1A358190" w14:textId="77777777" w:rsidR="006A6A18" w:rsidRDefault="006A6A18" w:rsidP="006A6A18">
      <w:pPr>
        <w:pStyle w:val="Subttulo"/>
        <w:ind w:left="-567" w:right="-518"/>
        <w:jc w:val="both"/>
        <w:rPr>
          <w:b w:val="0"/>
          <w:bCs w:val="0"/>
          <w:spacing w:val="10"/>
          <w:sz w:val="22"/>
          <w:szCs w:val="22"/>
        </w:rPr>
      </w:pPr>
    </w:p>
    <w:p w14:paraId="11B84037" w14:textId="77777777" w:rsidR="006A6A18" w:rsidRDefault="006A6A18" w:rsidP="006A6A18">
      <w:pPr>
        <w:pStyle w:val="Subttulo"/>
        <w:ind w:left="-567" w:right="-518"/>
        <w:jc w:val="both"/>
        <w:rPr>
          <w:b w:val="0"/>
          <w:bCs w:val="0"/>
          <w:spacing w:val="10"/>
          <w:sz w:val="22"/>
          <w:szCs w:val="22"/>
        </w:rPr>
      </w:pPr>
    </w:p>
    <w:p w14:paraId="64843BB8" w14:textId="77777777" w:rsidR="006A6A18" w:rsidRPr="002B1A81" w:rsidRDefault="006A6A18" w:rsidP="006A6A18">
      <w:pPr>
        <w:pStyle w:val="Ttulo"/>
        <w:rPr>
          <w:rFonts w:cs="Arial"/>
          <w:sz w:val="22"/>
          <w:szCs w:val="22"/>
        </w:rPr>
      </w:pPr>
      <w:r w:rsidRPr="002B1A81">
        <w:rPr>
          <w:rFonts w:cs="Arial"/>
          <w:sz w:val="22"/>
          <w:szCs w:val="22"/>
        </w:rPr>
        <w:t>Se anexa Nota Técnica</w:t>
      </w:r>
    </w:p>
    <w:p w14:paraId="3FF3F575" w14:textId="77777777" w:rsidR="006A6A18" w:rsidRPr="00387213" w:rsidRDefault="006A6A18" w:rsidP="006A6A18">
      <w:pPr>
        <w:pStyle w:val="Ttulo"/>
        <w:rPr>
          <w:rFonts w:cs="Arial"/>
          <w:sz w:val="20"/>
          <w:szCs w:val="22"/>
        </w:rPr>
      </w:pPr>
    </w:p>
    <w:p w14:paraId="0D1C6DC3"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16AB86AB"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4D5A03C5"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114F7882"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30CEC1D5"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06EEE179"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154C9150"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356F5FF0"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0CC044AB"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47171CBA"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5CB5E5C8"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493D1E2B"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48BB42C5"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52FD4FAA"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5AE60D44" w14:textId="77777777" w:rsidR="006A6A18" w:rsidRDefault="006A6A18" w:rsidP="006A6A18">
      <w:pPr>
        <w:pStyle w:val="NormalWeb"/>
        <w:spacing w:before="0" w:beforeAutospacing="0" w:after="0" w:afterAutospacing="0"/>
        <w:ind w:left="-567" w:right="-518"/>
        <w:contextualSpacing/>
        <w:jc w:val="center"/>
        <w:rPr>
          <w:rFonts w:ascii="Arial" w:hAnsi="Arial" w:cs="Arial"/>
          <w:sz w:val="20"/>
          <w:szCs w:val="22"/>
        </w:rPr>
      </w:pPr>
    </w:p>
    <w:p w14:paraId="75FA4A40" w14:textId="1DFF7F26" w:rsidR="00D26976" w:rsidRDefault="00D26976" w:rsidP="00F14CF7">
      <w:pPr>
        <w:pStyle w:val="Subttulo"/>
        <w:ind w:left="-567" w:right="-518"/>
        <w:jc w:val="both"/>
        <w:rPr>
          <w:b w:val="0"/>
          <w:bCs w:val="0"/>
          <w:spacing w:val="10"/>
          <w:sz w:val="22"/>
          <w:szCs w:val="22"/>
        </w:rPr>
      </w:pPr>
    </w:p>
    <w:p w14:paraId="6DBD9F0E" w14:textId="1E8BDC84" w:rsidR="00D26976" w:rsidRDefault="00D26976" w:rsidP="00F14CF7">
      <w:pPr>
        <w:pStyle w:val="Subttulo"/>
        <w:ind w:left="-567" w:right="-518"/>
        <w:jc w:val="both"/>
        <w:rPr>
          <w:b w:val="0"/>
          <w:bCs w:val="0"/>
          <w:spacing w:val="10"/>
          <w:sz w:val="22"/>
          <w:szCs w:val="22"/>
        </w:rPr>
      </w:pPr>
    </w:p>
    <w:p w14:paraId="76977450" w14:textId="77777777" w:rsidR="00D26976" w:rsidRDefault="00D26976" w:rsidP="00F14CF7">
      <w:pPr>
        <w:pStyle w:val="Subttulo"/>
        <w:ind w:left="-567" w:right="-518"/>
        <w:jc w:val="both"/>
        <w:rPr>
          <w:b w:val="0"/>
          <w:bCs w:val="0"/>
          <w:spacing w:val="10"/>
          <w:sz w:val="22"/>
          <w:szCs w:val="22"/>
        </w:rPr>
      </w:pPr>
    </w:p>
    <w:p w14:paraId="5EF65B13" w14:textId="77777777" w:rsidR="00F14CF7" w:rsidRPr="00F14CF7" w:rsidRDefault="00F14CF7" w:rsidP="00F14CF7">
      <w:pPr>
        <w:pStyle w:val="Subttulo"/>
        <w:ind w:left="-567" w:right="-518"/>
        <w:jc w:val="both"/>
        <w:rPr>
          <w:b w:val="0"/>
          <w:bCs w:val="0"/>
          <w:spacing w:val="10"/>
          <w:sz w:val="22"/>
          <w:szCs w:val="22"/>
        </w:rPr>
      </w:pPr>
    </w:p>
    <w:p w14:paraId="19D1489A" w14:textId="77777777" w:rsidR="00F14CF7" w:rsidRPr="00387213" w:rsidRDefault="00F14CF7" w:rsidP="00012BE5">
      <w:pPr>
        <w:pStyle w:val="Ttulo"/>
        <w:rPr>
          <w:rFonts w:cs="Arial"/>
          <w:sz w:val="20"/>
          <w:szCs w:val="22"/>
        </w:rPr>
      </w:pPr>
    </w:p>
    <w:p w14:paraId="0CDB0BD3" w14:textId="525AB43B" w:rsidR="00012BE5" w:rsidRDefault="00012BE5" w:rsidP="00012BE5">
      <w:pPr>
        <w:pStyle w:val="NormalWeb"/>
        <w:spacing w:before="0" w:beforeAutospacing="0" w:after="0" w:afterAutospacing="0"/>
        <w:ind w:left="-567" w:right="-518"/>
        <w:contextualSpacing/>
        <w:jc w:val="center"/>
        <w:rPr>
          <w:rFonts w:ascii="Arial" w:hAnsi="Arial" w:cs="Arial"/>
          <w:sz w:val="22"/>
          <w:szCs w:val="22"/>
        </w:rPr>
      </w:pPr>
      <w:r w:rsidRPr="006A6A18">
        <w:rPr>
          <w:rFonts w:ascii="Arial" w:hAnsi="Arial" w:cs="Arial"/>
          <w:sz w:val="22"/>
          <w:szCs w:val="22"/>
        </w:rPr>
        <w:t xml:space="preserve">Para consultas de medios y periodistas, contactar a: comunicacionsocial@inegi.org.mx </w:t>
      </w:r>
    </w:p>
    <w:p w14:paraId="7CC10C5A" w14:textId="77777777" w:rsidR="006A6A18" w:rsidRPr="006A6A18" w:rsidRDefault="006A6A18" w:rsidP="00012BE5">
      <w:pPr>
        <w:pStyle w:val="NormalWeb"/>
        <w:spacing w:before="0" w:beforeAutospacing="0" w:after="0" w:afterAutospacing="0"/>
        <w:ind w:left="-567" w:right="-518"/>
        <w:contextualSpacing/>
        <w:jc w:val="center"/>
        <w:rPr>
          <w:rFonts w:ascii="Arial" w:hAnsi="Arial" w:cs="Arial"/>
          <w:sz w:val="22"/>
          <w:szCs w:val="22"/>
        </w:rPr>
      </w:pPr>
    </w:p>
    <w:p w14:paraId="4A6142E4" w14:textId="1503DF7F" w:rsidR="00012BE5" w:rsidRDefault="00012BE5" w:rsidP="00012BE5">
      <w:pPr>
        <w:pStyle w:val="NormalWeb"/>
        <w:spacing w:before="0" w:beforeAutospacing="0" w:after="0" w:afterAutospacing="0"/>
        <w:ind w:left="-567" w:right="-518"/>
        <w:contextualSpacing/>
        <w:jc w:val="center"/>
        <w:rPr>
          <w:rFonts w:ascii="Arial" w:hAnsi="Arial" w:cs="Arial"/>
          <w:sz w:val="22"/>
          <w:szCs w:val="22"/>
        </w:rPr>
      </w:pPr>
      <w:r w:rsidRPr="006A6A18">
        <w:rPr>
          <w:rFonts w:ascii="Arial" w:hAnsi="Arial" w:cs="Arial"/>
          <w:sz w:val="22"/>
          <w:szCs w:val="22"/>
        </w:rPr>
        <w:t>o llamar al teléfono (55) 52-78-10-00, ext. 1134, 1260 y 1241.</w:t>
      </w:r>
    </w:p>
    <w:p w14:paraId="50A1B5EC" w14:textId="77777777" w:rsidR="006A6A18" w:rsidRPr="006A6A18" w:rsidRDefault="006A6A18" w:rsidP="00012BE5">
      <w:pPr>
        <w:pStyle w:val="NormalWeb"/>
        <w:spacing w:before="0" w:beforeAutospacing="0" w:after="0" w:afterAutospacing="0"/>
        <w:ind w:left="-567" w:right="-518"/>
        <w:contextualSpacing/>
        <w:jc w:val="center"/>
        <w:rPr>
          <w:rFonts w:ascii="Arial" w:hAnsi="Arial" w:cs="Arial"/>
          <w:sz w:val="22"/>
          <w:szCs w:val="22"/>
        </w:rPr>
      </w:pPr>
    </w:p>
    <w:p w14:paraId="1050093C" w14:textId="77777777" w:rsidR="00012BE5" w:rsidRPr="006A6A18" w:rsidRDefault="00012BE5" w:rsidP="00012BE5">
      <w:pPr>
        <w:ind w:left="-567" w:right="-518"/>
        <w:contextualSpacing/>
        <w:jc w:val="center"/>
        <w:rPr>
          <w:rFonts w:ascii="Arial" w:hAnsi="Arial" w:cs="Arial"/>
        </w:rPr>
      </w:pPr>
      <w:r w:rsidRPr="006A6A18">
        <w:rPr>
          <w:rFonts w:ascii="Arial" w:hAnsi="Arial" w:cs="Arial"/>
        </w:rPr>
        <w:t>Dirección de Atención a Medios / Dirección General Adjunta de Comunicación</w:t>
      </w:r>
    </w:p>
    <w:p w14:paraId="697F058E" w14:textId="77777777" w:rsidR="00F14CF7" w:rsidRPr="00A14E08" w:rsidRDefault="00F14CF7" w:rsidP="00012BE5">
      <w:pPr>
        <w:ind w:left="-567" w:right="-518"/>
        <w:contextualSpacing/>
        <w:jc w:val="center"/>
        <w:rPr>
          <w:rFonts w:ascii="Arial" w:hAnsi="Arial" w:cs="Arial"/>
        </w:rPr>
      </w:pPr>
    </w:p>
    <w:p w14:paraId="490512B8" w14:textId="77777777" w:rsidR="00012BE5" w:rsidRDefault="00012BE5" w:rsidP="00012BE5">
      <w:pPr>
        <w:ind w:left="-567"/>
        <w:rPr>
          <w:noProof/>
          <w:lang w:eastAsia="es-MX"/>
        </w:rPr>
        <w:sectPr w:rsidR="00012BE5" w:rsidSect="00F14CF7">
          <w:headerReference w:type="default" r:id="rId11"/>
          <w:footerReference w:type="default" r:id="rId12"/>
          <w:pgSz w:w="12240" w:h="15840"/>
          <w:pgMar w:top="1417" w:right="1701" w:bottom="1134" w:left="1701" w:header="708" w:footer="708" w:gutter="0"/>
          <w:cols w:space="708"/>
          <w:docGrid w:linePitch="360"/>
        </w:sectPr>
      </w:pPr>
      <w:r>
        <w:rPr>
          <w:noProof/>
          <w:lang w:eastAsia="es-MX"/>
        </w:rPr>
        <w:t xml:space="preserve">                                            </w:t>
      </w:r>
      <w:r w:rsidRPr="008F0992">
        <w:rPr>
          <w:noProof/>
          <w:lang w:eastAsia="es-MX"/>
        </w:rPr>
        <w:drawing>
          <wp:inline distT="0" distB="0" distL="0" distR="0" wp14:anchorId="670EA673" wp14:editId="38146F75">
            <wp:extent cx="260541" cy="239236"/>
            <wp:effectExtent l="0" t="0" r="6350" b="8890"/>
            <wp:docPr id="48" name="Imagen 48"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0304A1A4" wp14:editId="63B9C4A7">
            <wp:extent cx="244675" cy="243005"/>
            <wp:effectExtent l="0" t="0" r="3175" b="5080"/>
            <wp:docPr id="32" name="Imagen 32"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68BA1DB9" wp14:editId="471337FF">
            <wp:extent cx="245856" cy="248015"/>
            <wp:effectExtent l="0" t="0" r="1905" b="0"/>
            <wp:docPr id="208" name="Imagen 208"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eastAsia="es-MX"/>
        </w:rPr>
        <w:drawing>
          <wp:inline distT="0" distB="0" distL="0" distR="0" wp14:anchorId="4757F9CB" wp14:editId="1516B784">
            <wp:extent cx="238125" cy="242051"/>
            <wp:effectExtent l="0" t="0" r="0" b="5715"/>
            <wp:docPr id="209" name="Imagen 209"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eastAsia="es-MX"/>
        </w:rPr>
        <w:drawing>
          <wp:inline distT="0" distB="0" distL="0" distR="0" wp14:anchorId="238B0378" wp14:editId="2710D522">
            <wp:extent cx="2214751" cy="304800"/>
            <wp:effectExtent l="0" t="0" r="0" b="0"/>
            <wp:docPr id="210" name="Imagen 2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62ABF987" w14:textId="77777777" w:rsidR="00252EDE" w:rsidRPr="00484460" w:rsidRDefault="00252EDE" w:rsidP="00252EDE">
      <w:pPr>
        <w:pStyle w:val="Ttulo"/>
        <w:rPr>
          <w:rFonts w:cs="Arial"/>
          <w:szCs w:val="24"/>
        </w:rPr>
      </w:pPr>
      <w:r w:rsidRPr="00484460">
        <w:rPr>
          <w:rFonts w:cs="Arial"/>
          <w:szCs w:val="24"/>
        </w:rPr>
        <w:t>NOTA TÉCNICA</w:t>
      </w:r>
    </w:p>
    <w:p w14:paraId="7A90A454" w14:textId="77777777" w:rsidR="006644DF" w:rsidRPr="00484460" w:rsidRDefault="006644DF" w:rsidP="00F14CF7">
      <w:pPr>
        <w:pStyle w:val="Ttulo"/>
        <w:jc w:val="left"/>
        <w:rPr>
          <w:rFonts w:cs="Arial"/>
          <w:szCs w:val="24"/>
        </w:rPr>
      </w:pPr>
    </w:p>
    <w:p w14:paraId="19FD2720" w14:textId="77777777" w:rsidR="006644DF" w:rsidRPr="00484460" w:rsidRDefault="006644DF" w:rsidP="006644DF">
      <w:pPr>
        <w:pStyle w:val="Ttulo"/>
        <w:rPr>
          <w:rFonts w:cs="Arial"/>
          <w:szCs w:val="24"/>
        </w:rPr>
      </w:pPr>
      <w:r w:rsidRPr="00484460">
        <w:rPr>
          <w:rFonts w:cs="Arial"/>
          <w:szCs w:val="24"/>
        </w:rPr>
        <w:t xml:space="preserve">ALCANCE METODOLÓGICO DE LA ENCUESTA </w:t>
      </w:r>
      <w:r w:rsidR="007F1D32" w:rsidRPr="00484460">
        <w:rPr>
          <w:rFonts w:cs="Arial"/>
          <w:szCs w:val="24"/>
        </w:rPr>
        <w:t>NACIONAL DE OCUPACIÓN Y EMPLEO</w:t>
      </w:r>
      <w:r w:rsidR="002B3CA4">
        <w:rPr>
          <w:rFonts w:cs="Arial"/>
          <w:szCs w:val="24"/>
        </w:rPr>
        <w:t xml:space="preserve"> (</w:t>
      </w:r>
      <w:r w:rsidR="00A4701D">
        <w:rPr>
          <w:rFonts w:cs="Arial"/>
          <w:szCs w:val="24"/>
        </w:rPr>
        <w:t>NUEVA EDICIÓN)</w:t>
      </w:r>
      <w:r w:rsidR="002B3CA4">
        <w:rPr>
          <w:rFonts w:cs="Arial"/>
          <w:szCs w:val="24"/>
        </w:rPr>
        <w:t xml:space="preserve"> </w:t>
      </w:r>
      <w:r w:rsidR="007F1D32" w:rsidRPr="00484460">
        <w:rPr>
          <w:rFonts w:cs="Arial"/>
          <w:szCs w:val="24"/>
        </w:rPr>
        <w:t>(ENOE</w:t>
      </w:r>
      <w:r w:rsidR="00F66482">
        <w:rPr>
          <w:rFonts w:cs="Arial"/>
          <w:szCs w:val="24"/>
          <w:vertAlign w:val="superscript"/>
        </w:rPr>
        <w:t>N</w:t>
      </w:r>
      <w:r w:rsidR="007F1D32" w:rsidRPr="00484460">
        <w:rPr>
          <w:rFonts w:cs="Arial"/>
          <w:szCs w:val="24"/>
        </w:rPr>
        <w:t>)</w:t>
      </w:r>
    </w:p>
    <w:p w14:paraId="1FD2ACCD" w14:textId="77777777" w:rsidR="006644DF" w:rsidRPr="00484460" w:rsidRDefault="006644DF" w:rsidP="006644DF">
      <w:pPr>
        <w:pStyle w:val="Ttulo"/>
        <w:rPr>
          <w:rFonts w:cs="Arial"/>
          <w:szCs w:val="24"/>
        </w:rPr>
      </w:pPr>
    </w:p>
    <w:p w14:paraId="7A735C0E" w14:textId="61E7331B" w:rsidR="007911DC" w:rsidRDefault="007911DC" w:rsidP="00255227">
      <w:pPr>
        <w:pStyle w:val="Subttulo"/>
        <w:jc w:val="both"/>
        <w:rPr>
          <w:b w:val="0"/>
          <w:bCs w:val="0"/>
          <w:sz w:val="22"/>
          <w:szCs w:val="22"/>
        </w:rPr>
      </w:pPr>
      <w:r>
        <w:rPr>
          <w:b w:val="0"/>
          <w:spacing w:val="10"/>
          <w:sz w:val="22"/>
          <w:szCs w:val="22"/>
        </w:rPr>
        <w:t xml:space="preserve">Para el mes de julio se reanudó </w:t>
      </w:r>
      <w:r w:rsidR="00D02448">
        <w:rPr>
          <w:b w:val="0"/>
          <w:spacing w:val="10"/>
          <w:sz w:val="22"/>
          <w:szCs w:val="22"/>
        </w:rPr>
        <w:t>l</w:t>
      </w:r>
      <w:r w:rsidRPr="00DF3C61">
        <w:rPr>
          <w:b w:val="0"/>
          <w:spacing w:val="10"/>
          <w:sz w:val="22"/>
          <w:szCs w:val="22"/>
        </w:rPr>
        <w:t>a Encuesta Nacional de Ocupación y Empleo (ENOE) alcanzando ya un</w:t>
      </w:r>
      <w:r w:rsidRPr="00DF3C61">
        <w:rPr>
          <w:b w:val="0"/>
          <w:color w:val="FF0000"/>
          <w:spacing w:val="10"/>
          <w:sz w:val="22"/>
          <w:szCs w:val="22"/>
        </w:rPr>
        <w:t xml:space="preserve"> </w:t>
      </w:r>
      <w:r w:rsidRPr="00DF3C61">
        <w:rPr>
          <w:b w:val="0"/>
          <w:spacing w:val="10"/>
          <w:sz w:val="22"/>
          <w:szCs w:val="22"/>
        </w:rPr>
        <w:t>57% de la muestra mensual que regularmente se logra con la ENOE tradicional, por</w:t>
      </w:r>
      <w:r w:rsidRPr="00DF3C61">
        <w:rPr>
          <w:b w:val="0"/>
          <w:bCs w:val="0"/>
          <w:sz w:val="22"/>
          <w:szCs w:val="22"/>
        </w:rPr>
        <w:t xml:space="preserve"> lo que los resultados de la encuesta que se presentan hoy contienen</w:t>
      </w:r>
      <w:r>
        <w:rPr>
          <w:b w:val="0"/>
          <w:bCs w:val="0"/>
          <w:sz w:val="22"/>
          <w:szCs w:val="22"/>
        </w:rPr>
        <w:t xml:space="preserve"> todos</w:t>
      </w:r>
      <w:r w:rsidRPr="00DF3C61">
        <w:rPr>
          <w:b w:val="0"/>
          <w:bCs w:val="0"/>
          <w:sz w:val="22"/>
          <w:szCs w:val="22"/>
        </w:rPr>
        <w:t xml:space="preserve"> los indicadores</w:t>
      </w:r>
      <w:r>
        <w:rPr>
          <w:b w:val="0"/>
          <w:bCs w:val="0"/>
          <w:sz w:val="22"/>
          <w:szCs w:val="22"/>
        </w:rPr>
        <w:t xml:space="preserve"> estratégicos de</w:t>
      </w:r>
      <w:r w:rsidRPr="00DF3C61">
        <w:rPr>
          <w:b w:val="0"/>
          <w:bCs w:val="0"/>
          <w:sz w:val="22"/>
          <w:szCs w:val="22"/>
        </w:rPr>
        <w:t xml:space="preserve"> </w:t>
      </w:r>
      <w:r w:rsidRPr="008B3CD0">
        <w:rPr>
          <w:b w:val="0"/>
          <w:bCs w:val="0"/>
          <w:sz w:val="22"/>
          <w:szCs w:val="22"/>
        </w:rPr>
        <w:t>ediciones anteriores</w:t>
      </w:r>
      <w:r>
        <w:rPr>
          <w:b w:val="0"/>
          <w:bCs w:val="0"/>
          <w:sz w:val="22"/>
          <w:szCs w:val="22"/>
        </w:rPr>
        <w:t>, en algunos casos con niveles menores de precisión</w:t>
      </w:r>
      <w:r w:rsidRPr="008B3CD0">
        <w:rPr>
          <w:b w:val="0"/>
          <w:bCs w:val="0"/>
          <w:sz w:val="22"/>
          <w:szCs w:val="22"/>
        </w:rPr>
        <w:t xml:space="preserve">. </w:t>
      </w:r>
    </w:p>
    <w:p w14:paraId="369F7A46" w14:textId="77777777" w:rsidR="007911DC" w:rsidRDefault="007911DC" w:rsidP="007911DC">
      <w:pPr>
        <w:pStyle w:val="Subttulo"/>
        <w:ind w:left="-567" w:right="-518"/>
        <w:jc w:val="both"/>
        <w:rPr>
          <w:b w:val="0"/>
          <w:spacing w:val="10"/>
          <w:sz w:val="22"/>
          <w:szCs w:val="22"/>
        </w:rPr>
      </w:pPr>
    </w:p>
    <w:p w14:paraId="7698983C" w14:textId="07ABC295" w:rsidR="007911DC" w:rsidRDefault="007911DC" w:rsidP="007911DC">
      <w:pPr>
        <w:pStyle w:val="Subttulo"/>
        <w:jc w:val="both"/>
        <w:rPr>
          <w:b w:val="0"/>
          <w:spacing w:val="10"/>
          <w:sz w:val="22"/>
          <w:szCs w:val="22"/>
        </w:rPr>
      </w:pPr>
      <w:r>
        <w:rPr>
          <w:b w:val="0"/>
          <w:spacing w:val="10"/>
          <w:sz w:val="22"/>
          <w:szCs w:val="22"/>
        </w:rPr>
        <w:t>La</w:t>
      </w:r>
      <w:r w:rsidRPr="00DF3C61">
        <w:rPr>
          <w:b w:val="0"/>
          <w:spacing w:val="10"/>
          <w:sz w:val="22"/>
          <w:szCs w:val="22"/>
        </w:rPr>
        <w:t xml:space="preserve"> Encuesta Nacional de Ocupación y Empleo</w:t>
      </w:r>
      <w:r>
        <w:rPr>
          <w:b w:val="0"/>
          <w:spacing w:val="10"/>
          <w:sz w:val="22"/>
          <w:szCs w:val="22"/>
        </w:rPr>
        <w:t xml:space="preserve"> se denomina </w:t>
      </w:r>
      <w:r w:rsidRPr="00DF3C61">
        <w:rPr>
          <w:b w:val="0"/>
          <w:spacing w:val="10"/>
          <w:sz w:val="22"/>
          <w:szCs w:val="22"/>
        </w:rPr>
        <w:t xml:space="preserve">Nueva Edición </w:t>
      </w:r>
      <w:r w:rsidRPr="00DF3C61">
        <w:rPr>
          <w:b w:val="0"/>
          <w:sz w:val="22"/>
          <w:szCs w:val="22"/>
        </w:rPr>
        <w:t>(ENOE</w:t>
      </w:r>
      <w:r w:rsidRPr="00DF3C61">
        <w:rPr>
          <w:b w:val="0"/>
          <w:sz w:val="22"/>
          <w:szCs w:val="22"/>
          <w:vertAlign w:val="superscript"/>
        </w:rPr>
        <w:t>N</w:t>
      </w:r>
      <w:r w:rsidRPr="00DF3C61">
        <w:rPr>
          <w:b w:val="0"/>
          <w:sz w:val="22"/>
          <w:szCs w:val="22"/>
        </w:rPr>
        <w:t>)</w:t>
      </w:r>
      <w:r>
        <w:rPr>
          <w:b w:val="0"/>
          <w:sz w:val="22"/>
          <w:szCs w:val="22"/>
        </w:rPr>
        <w:t xml:space="preserve"> ya que, </w:t>
      </w:r>
      <w:r w:rsidRPr="00A039B6">
        <w:rPr>
          <w:b w:val="0"/>
          <w:sz w:val="22"/>
          <w:szCs w:val="22"/>
        </w:rPr>
        <w:t xml:space="preserve">aunque </w:t>
      </w:r>
      <w:r w:rsidRPr="00A039B6">
        <w:rPr>
          <w:b w:val="0"/>
          <w:spacing w:val="10"/>
          <w:sz w:val="22"/>
          <w:szCs w:val="22"/>
        </w:rPr>
        <w:t>mantiene el mismo diseño conceptual, estadístico y metodológico que la ENOE tradicional, su muestra se conformó de un 72% entrevistas cara a cara y un 28% de entrevi</w:t>
      </w:r>
      <w:r w:rsidRPr="00DF3C61">
        <w:rPr>
          <w:b w:val="0"/>
          <w:spacing w:val="10"/>
          <w:sz w:val="22"/>
          <w:szCs w:val="22"/>
        </w:rPr>
        <w:t>stas telefónicas</w:t>
      </w:r>
      <w:r>
        <w:rPr>
          <w:b w:val="0"/>
          <w:spacing w:val="10"/>
          <w:sz w:val="22"/>
          <w:szCs w:val="22"/>
        </w:rPr>
        <w:t>.</w:t>
      </w:r>
      <w:r w:rsidRPr="00DF3C61">
        <w:rPr>
          <w:b w:val="0"/>
          <w:spacing w:val="10"/>
          <w:sz w:val="22"/>
          <w:szCs w:val="22"/>
        </w:rPr>
        <w:t xml:space="preserve"> </w:t>
      </w:r>
    </w:p>
    <w:p w14:paraId="64804744" w14:textId="77777777" w:rsidR="007911DC" w:rsidRPr="00484460" w:rsidRDefault="007911DC" w:rsidP="007911DC">
      <w:pPr>
        <w:pStyle w:val="Subttulo"/>
        <w:jc w:val="both"/>
        <w:rPr>
          <w:b w:val="0"/>
          <w:spacing w:val="10"/>
          <w:sz w:val="22"/>
          <w:szCs w:val="22"/>
        </w:rPr>
      </w:pPr>
    </w:p>
    <w:p w14:paraId="5CA25999" w14:textId="45470A46" w:rsidR="00702D1E" w:rsidRPr="00484460" w:rsidRDefault="00702D1E" w:rsidP="00702D1E">
      <w:pPr>
        <w:pStyle w:val="Subttulo"/>
        <w:ind w:right="49"/>
        <w:jc w:val="both"/>
        <w:rPr>
          <w:b w:val="0"/>
          <w:spacing w:val="10"/>
          <w:sz w:val="22"/>
          <w:szCs w:val="22"/>
        </w:rPr>
      </w:pPr>
      <w:r w:rsidRPr="00484460">
        <w:rPr>
          <w:b w:val="0"/>
          <w:spacing w:val="10"/>
          <w:sz w:val="22"/>
          <w:szCs w:val="22"/>
        </w:rPr>
        <w:t xml:space="preserve">La combinación </w:t>
      </w:r>
      <w:r w:rsidR="0006385F">
        <w:rPr>
          <w:b w:val="0"/>
          <w:spacing w:val="10"/>
          <w:sz w:val="22"/>
          <w:szCs w:val="22"/>
        </w:rPr>
        <w:t xml:space="preserve">de ambas estrategias de levantamiento es válida en tanto que </w:t>
      </w:r>
      <w:r w:rsidRPr="00484460">
        <w:rPr>
          <w:b w:val="0"/>
          <w:spacing w:val="10"/>
          <w:sz w:val="22"/>
          <w:szCs w:val="22"/>
        </w:rPr>
        <w:t>mantienen el mismo diseño conceptual, estadístico y</w:t>
      </w:r>
      <w:r w:rsidR="00274148">
        <w:rPr>
          <w:b w:val="0"/>
          <w:spacing w:val="10"/>
          <w:sz w:val="22"/>
          <w:szCs w:val="22"/>
        </w:rPr>
        <w:t xml:space="preserve"> metodológico, además de que derivado del análisis de los resultados de los indicadores estratégicos considerando la muestra de entrevistas cara a cara versus la muestra de entrevistas cara a cara más las entrevistas telefónicas, se observa que no </w:t>
      </w:r>
      <w:r w:rsidRPr="00484460">
        <w:rPr>
          <w:b w:val="0"/>
          <w:spacing w:val="10"/>
          <w:sz w:val="22"/>
          <w:szCs w:val="22"/>
        </w:rPr>
        <w:t>existen cambios estadístic</w:t>
      </w:r>
      <w:r w:rsidR="00274148">
        <w:rPr>
          <w:b w:val="0"/>
          <w:spacing w:val="10"/>
          <w:sz w:val="22"/>
          <w:szCs w:val="22"/>
        </w:rPr>
        <w:t xml:space="preserve">amente significativos </w:t>
      </w:r>
      <w:r w:rsidRPr="00484460">
        <w:rPr>
          <w:b w:val="0"/>
          <w:spacing w:val="10"/>
          <w:sz w:val="22"/>
          <w:szCs w:val="22"/>
        </w:rPr>
        <w:t>en los indicadores estratégicos de ocupación y empleo</w:t>
      </w:r>
      <w:r w:rsidR="00274148">
        <w:rPr>
          <w:b w:val="0"/>
          <w:spacing w:val="10"/>
          <w:sz w:val="22"/>
          <w:szCs w:val="22"/>
        </w:rPr>
        <w:t xml:space="preserve"> y mejoran las precisiones estadísticas de los resultados.</w:t>
      </w:r>
    </w:p>
    <w:p w14:paraId="5B541A8C" w14:textId="77777777" w:rsidR="00702D1E" w:rsidRPr="00484460" w:rsidRDefault="00702D1E" w:rsidP="006644DF">
      <w:pPr>
        <w:pStyle w:val="Subttulo"/>
        <w:jc w:val="both"/>
        <w:rPr>
          <w:b w:val="0"/>
          <w:spacing w:val="10"/>
          <w:sz w:val="22"/>
          <w:szCs w:val="22"/>
        </w:rPr>
      </w:pPr>
    </w:p>
    <w:p w14:paraId="27B046AB" w14:textId="33F78865" w:rsidR="007911DC" w:rsidRDefault="007911DC" w:rsidP="004540FE">
      <w:pPr>
        <w:pStyle w:val="Subttulo"/>
        <w:jc w:val="both"/>
        <w:rPr>
          <w:b w:val="0"/>
          <w:spacing w:val="10"/>
          <w:sz w:val="22"/>
          <w:szCs w:val="22"/>
        </w:rPr>
      </w:pPr>
      <w:r w:rsidRPr="00484460">
        <w:rPr>
          <w:b w:val="0"/>
          <w:spacing w:val="10"/>
          <w:sz w:val="22"/>
          <w:szCs w:val="22"/>
        </w:rPr>
        <w:t>La ENOE</w:t>
      </w:r>
      <w:r>
        <w:rPr>
          <w:b w:val="0"/>
          <w:spacing w:val="10"/>
          <w:sz w:val="22"/>
          <w:szCs w:val="22"/>
          <w:vertAlign w:val="superscript"/>
        </w:rPr>
        <w:t>N</w:t>
      </w:r>
      <w:r>
        <w:rPr>
          <w:b w:val="0"/>
          <w:spacing w:val="10"/>
          <w:sz w:val="22"/>
          <w:szCs w:val="22"/>
        </w:rPr>
        <w:t xml:space="preserve"> responde a la necesidad de retornar de manera paulatina al levantamiento regular de la Encuesta Nacional de Ocupación y Empleo (ENOE) y dar continuidad a la generación de la</w:t>
      </w:r>
      <w:r w:rsidRPr="00484460">
        <w:rPr>
          <w:b w:val="0"/>
          <w:spacing w:val="10"/>
          <w:sz w:val="22"/>
          <w:szCs w:val="22"/>
        </w:rPr>
        <w:t xml:space="preserve"> información </w:t>
      </w:r>
      <w:r>
        <w:rPr>
          <w:b w:val="0"/>
          <w:spacing w:val="10"/>
          <w:sz w:val="22"/>
          <w:szCs w:val="22"/>
        </w:rPr>
        <w:t xml:space="preserve">sobre las características y condiciones de la </w:t>
      </w:r>
      <w:r w:rsidRPr="00484460">
        <w:rPr>
          <w:b w:val="0"/>
          <w:spacing w:val="10"/>
          <w:sz w:val="22"/>
          <w:szCs w:val="22"/>
        </w:rPr>
        <w:t xml:space="preserve">población </w:t>
      </w:r>
      <w:r>
        <w:rPr>
          <w:b w:val="0"/>
          <w:spacing w:val="10"/>
          <w:sz w:val="22"/>
          <w:szCs w:val="22"/>
        </w:rPr>
        <w:t xml:space="preserve">vinculada </w:t>
      </w:r>
      <w:r w:rsidRPr="00484460">
        <w:rPr>
          <w:b w:val="0"/>
          <w:spacing w:val="10"/>
          <w:sz w:val="22"/>
          <w:szCs w:val="22"/>
        </w:rPr>
        <w:t>al mercado laboral</w:t>
      </w:r>
      <w:r>
        <w:rPr>
          <w:b w:val="0"/>
          <w:spacing w:val="10"/>
          <w:sz w:val="22"/>
          <w:szCs w:val="22"/>
        </w:rPr>
        <w:t>, por lo que a partir de este mes concluye la Encuesta Telefónica de Ocupación y Empleo (ETOE)</w:t>
      </w:r>
      <w:r w:rsidRPr="00484460">
        <w:rPr>
          <w:b w:val="0"/>
          <w:spacing w:val="10"/>
          <w:sz w:val="22"/>
          <w:szCs w:val="22"/>
        </w:rPr>
        <w:t>.</w:t>
      </w:r>
    </w:p>
    <w:p w14:paraId="3A386129" w14:textId="77777777" w:rsidR="007911DC" w:rsidRDefault="007911DC" w:rsidP="004540FE">
      <w:pPr>
        <w:pStyle w:val="Subttulo"/>
        <w:jc w:val="both"/>
        <w:rPr>
          <w:b w:val="0"/>
          <w:spacing w:val="10"/>
          <w:sz w:val="22"/>
          <w:szCs w:val="22"/>
        </w:rPr>
      </w:pPr>
    </w:p>
    <w:p w14:paraId="448B5024" w14:textId="56FC7DD6" w:rsidR="00F27519" w:rsidRPr="00484460" w:rsidRDefault="006644DF" w:rsidP="004540FE">
      <w:pPr>
        <w:pStyle w:val="Subttulo"/>
        <w:jc w:val="both"/>
        <w:rPr>
          <w:b w:val="0"/>
          <w:spacing w:val="10"/>
          <w:sz w:val="22"/>
          <w:szCs w:val="22"/>
        </w:rPr>
      </w:pPr>
      <w:r w:rsidRPr="00484460">
        <w:rPr>
          <w:b w:val="0"/>
          <w:spacing w:val="10"/>
          <w:sz w:val="22"/>
          <w:szCs w:val="22"/>
        </w:rPr>
        <w:t xml:space="preserve">En cuanto al diseño estadístico, la </w:t>
      </w:r>
      <w:r w:rsidR="00D44113" w:rsidRPr="00484460">
        <w:rPr>
          <w:b w:val="0"/>
          <w:spacing w:val="10"/>
          <w:sz w:val="22"/>
          <w:szCs w:val="22"/>
        </w:rPr>
        <w:t>ENOE</w:t>
      </w:r>
      <w:r w:rsidR="00F66482">
        <w:rPr>
          <w:b w:val="0"/>
          <w:spacing w:val="10"/>
          <w:sz w:val="22"/>
          <w:szCs w:val="22"/>
          <w:vertAlign w:val="superscript"/>
        </w:rPr>
        <w:t>N</w:t>
      </w:r>
      <w:r w:rsidR="00274148">
        <w:rPr>
          <w:b w:val="0"/>
          <w:spacing w:val="10"/>
          <w:sz w:val="22"/>
          <w:szCs w:val="22"/>
        </w:rPr>
        <w:t xml:space="preserve"> </w:t>
      </w:r>
      <w:r w:rsidRPr="00484460">
        <w:rPr>
          <w:b w:val="0"/>
          <w:spacing w:val="10"/>
          <w:sz w:val="22"/>
          <w:szCs w:val="22"/>
        </w:rPr>
        <w:t xml:space="preserve">sigue </w:t>
      </w:r>
      <w:r w:rsidR="00D44113" w:rsidRPr="00484460">
        <w:rPr>
          <w:b w:val="0"/>
          <w:spacing w:val="10"/>
          <w:sz w:val="22"/>
          <w:szCs w:val="22"/>
        </w:rPr>
        <w:t xml:space="preserve">el </w:t>
      </w:r>
      <w:r w:rsidR="00274148">
        <w:rPr>
          <w:b w:val="0"/>
          <w:spacing w:val="10"/>
          <w:sz w:val="22"/>
          <w:szCs w:val="22"/>
        </w:rPr>
        <w:t xml:space="preserve">mismo </w:t>
      </w:r>
      <w:r w:rsidR="00D44113" w:rsidRPr="00484460">
        <w:rPr>
          <w:b w:val="0"/>
          <w:spacing w:val="10"/>
          <w:sz w:val="22"/>
          <w:szCs w:val="22"/>
        </w:rPr>
        <w:t xml:space="preserve">diseño muestral de </w:t>
      </w:r>
      <w:r w:rsidR="00274148">
        <w:rPr>
          <w:b w:val="0"/>
          <w:spacing w:val="10"/>
          <w:sz w:val="22"/>
          <w:szCs w:val="22"/>
        </w:rPr>
        <w:t xml:space="preserve">la </w:t>
      </w:r>
      <w:r w:rsidRPr="00484460">
        <w:rPr>
          <w:b w:val="0"/>
          <w:spacing w:val="10"/>
          <w:sz w:val="22"/>
          <w:szCs w:val="22"/>
        </w:rPr>
        <w:t xml:space="preserve">ENOE, </w:t>
      </w:r>
      <w:r w:rsidR="00274148">
        <w:rPr>
          <w:b w:val="0"/>
          <w:spacing w:val="10"/>
          <w:sz w:val="22"/>
          <w:szCs w:val="22"/>
        </w:rPr>
        <w:t xml:space="preserve">al tomarse </w:t>
      </w:r>
      <w:r w:rsidRPr="00484460">
        <w:rPr>
          <w:b w:val="0"/>
          <w:spacing w:val="10"/>
          <w:sz w:val="22"/>
          <w:szCs w:val="22"/>
        </w:rPr>
        <w:t xml:space="preserve">la muestra </w:t>
      </w:r>
      <w:r w:rsidR="00274148">
        <w:rPr>
          <w:b w:val="0"/>
          <w:spacing w:val="10"/>
          <w:sz w:val="22"/>
          <w:szCs w:val="22"/>
        </w:rPr>
        <w:t>correspondiente al</w:t>
      </w:r>
      <w:r w:rsidRPr="00484460">
        <w:rPr>
          <w:b w:val="0"/>
          <w:spacing w:val="10"/>
          <w:sz w:val="22"/>
          <w:szCs w:val="22"/>
        </w:rPr>
        <w:t xml:space="preserve"> </w:t>
      </w:r>
      <w:r w:rsidR="009A29AE">
        <w:rPr>
          <w:b w:val="0"/>
          <w:spacing w:val="10"/>
          <w:sz w:val="22"/>
          <w:szCs w:val="22"/>
        </w:rPr>
        <w:t xml:space="preserve">mes de julio </w:t>
      </w:r>
      <w:r w:rsidRPr="00484460">
        <w:rPr>
          <w:b w:val="0"/>
          <w:spacing w:val="10"/>
          <w:sz w:val="22"/>
          <w:szCs w:val="22"/>
        </w:rPr>
        <w:t>de 2020</w:t>
      </w:r>
      <w:r w:rsidR="00274148">
        <w:rPr>
          <w:b w:val="0"/>
          <w:spacing w:val="10"/>
          <w:sz w:val="22"/>
          <w:szCs w:val="22"/>
        </w:rPr>
        <w:t xml:space="preserve"> para las entrevistas cara a cara y la muestra de viviendas de entrevistas telefónicas de la muestra del primer trimestre de 2020</w:t>
      </w:r>
      <w:r w:rsidRPr="00484460">
        <w:rPr>
          <w:b w:val="0"/>
          <w:spacing w:val="10"/>
          <w:sz w:val="22"/>
          <w:szCs w:val="22"/>
        </w:rPr>
        <w:t>.</w:t>
      </w:r>
      <w:r w:rsidR="00A417A9">
        <w:rPr>
          <w:b w:val="0"/>
          <w:spacing w:val="10"/>
          <w:sz w:val="22"/>
          <w:szCs w:val="22"/>
        </w:rPr>
        <w:t xml:space="preserve"> En</w:t>
      </w:r>
      <w:r w:rsidR="006B26A3" w:rsidRPr="00484460">
        <w:rPr>
          <w:b w:val="0"/>
          <w:spacing w:val="10"/>
          <w:sz w:val="22"/>
          <w:szCs w:val="22"/>
        </w:rPr>
        <w:t xml:space="preserve">  julio,</w:t>
      </w:r>
      <w:r w:rsidR="004540FE" w:rsidRPr="00484460">
        <w:rPr>
          <w:b w:val="0"/>
          <w:spacing w:val="10"/>
          <w:sz w:val="22"/>
          <w:szCs w:val="22"/>
        </w:rPr>
        <w:t xml:space="preserve"> la E</w:t>
      </w:r>
      <w:r w:rsidR="00A417A9">
        <w:rPr>
          <w:b w:val="0"/>
          <w:spacing w:val="10"/>
          <w:sz w:val="22"/>
          <w:szCs w:val="22"/>
        </w:rPr>
        <w:t>N</w:t>
      </w:r>
      <w:r w:rsidR="004540FE" w:rsidRPr="00484460">
        <w:rPr>
          <w:b w:val="0"/>
          <w:spacing w:val="10"/>
          <w:sz w:val="22"/>
          <w:szCs w:val="22"/>
        </w:rPr>
        <w:t>OE</w:t>
      </w:r>
      <w:r w:rsidR="00F66482">
        <w:rPr>
          <w:b w:val="0"/>
          <w:spacing w:val="10"/>
          <w:sz w:val="22"/>
          <w:szCs w:val="22"/>
          <w:vertAlign w:val="superscript"/>
        </w:rPr>
        <w:t>N</w:t>
      </w:r>
      <w:r w:rsidR="001A631B" w:rsidRPr="00484460">
        <w:rPr>
          <w:b w:val="0"/>
          <w:spacing w:val="10"/>
          <w:sz w:val="22"/>
          <w:szCs w:val="22"/>
        </w:rPr>
        <w:t xml:space="preserve"> </w:t>
      </w:r>
      <w:r w:rsidR="00A417A9">
        <w:rPr>
          <w:b w:val="0"/>
          <w:spacing w:val="10"/>
          <w:sz w:val="22"/>
          <w:szCs w:val="22"/>
        </w:rPr>
        <w:t xml:space="preserve">estimó los ponderadores de la encuesta igual que se realizaba en la ENOE, es decir, no fue necesario </w:t>
      </w:r>
      <w:r w:rsidR="00A417A9">
        <w:rPr>
          <w:spacing w:val="10"/>
          <w:sz w:val="22"/>
          <w:szCs w:val="22"/>
        </w:rPr>
        <w:t xml:space="preserve">su </w:t>
      </w:r>
      <w:r w:rsidR="006B26A3" w:rsidRPr="00484460">
        <w:rPr>
          <w:spacing w:val="10"/>
          <w:sz w:val="22"/>
          <w:szCs w:val="22"/>
        </w:rPr>
        <w:t>ajuste</w:t>
      </w:r>
      <w:r w:rsidR="00A417A9">
        <w:rPr>
          <w:spacing w:val="10"/>
          <w:sz w:val="22"/>
          <w:szCs w:val="22"/>
        </w:rPr>
        <w:t xml:space="preserve"> mediante la </w:t>
      </w:r>
      <w:r w:rsidR="004540FE" w:rsidRPr="00484460">
        <w:rPr>
          <w:spacing w:val="10"/>
          <w:sz w:val="22"/>
          <w:szCs w:val="22"/>
        </w:rPr>
        <w:t>calibración</w:t>
      </w:r>
      <w:r w:rsidR="006949A3">
        <w:rPr>
          <w:spacing w:val="10"/>
          <w:sz w:val="22"/>
          <w:szCs w:val="22"/>
        </w:rPr>
        <w:t xml:space="preserve"> con modelos de optimización</w:t>
      </w:r>
      <w:r w:rsidR="00B5198B" w:rsidRPr="00484460">
        <w:rPr>
          <w:b w:val="0"/>
          <w:spacing w:val="10"/>
          <w:sz w:val="22"/>
          <w:szCs w:val="22"/>
        </w:rPr>
        <w:t xml:space="preserve">, a diferencia de los meses de </w:t>
      </w:r>
      <w:r w:rsidR="00E50951" w:rsidRPr="00484460">
        <w:rPr>
          <w:b w:val="0"/>
          <w:spacing w:val="10"/>
          <w:sz w:val="22"/>
          <w:szCs w:val="22"/>
        </w:rPr>
        <w:t>abril, mayo y junio</w:t>
      </w:r>
      <w:r w:rsidR="004540FE" w:rsidRPr="00484460">
        <w:rPr>
          <w:b w:val="0"/>
          <w:spacing w:val="10"/>
          <w:sz w:val="22"/>
          <w:szCs w:val="22"/>
        </w:rPr>
        <w:t>.</w:t>
      </w:r>
    </w:p>
    <w:p w14:paraId="4539EEA5" w14:textId="77777777" w:rsidR="00702D1E" w:rsidRPr="00484460" w:rsidRDefault="00702D1E" w:rsidP="004540FE">
      <w:pPr>
        <w:pStyle w:val="Subttulo"/>
        <w:jc w:val="both"/>
        <w:rPr>
          <w:b w:val="0"/>
          <w:spacing w:val="10"/>
          <w:sz w:val="22"/>
          <w:szCs w:val="22"/>
        </w:rPr>
      </w:pPr>
    </w:p>
    <w:p w14:paraId="5A850C7A" w14:textId="77777777" w:rsidR="006644DF" w:rsidRPr="00484460" w:rsidRDefault="00A417A9" w:rsidP="006644DF">
      <w:pPr>
        <w:pStyle w:val="Subttulo"/>
        <w:jc w:val="both"/>
        <w:rPr>
          <w:b w:val="0"/>
          <w:spacing w:val="10"/>
          <w:sz w:val="22"/>
          <w:szCs w:val="22"/>
        </w:rPr>
      </w:pPr>
      <w:r>
        <w:rPr>
          <w:b w:val="0"/>
          <w:spacing w:val="10"/>
          <w:sz w:val="22"/>
          <w:szCs w:val="22"/>
        </w:rPr>
        <w:t xml:space="preserve">Con la </w:t>
      </w:r>
      <w:r w:rsidR="006644DF" w:rsidRPr="00484460">
        <w:rPr>
          <w:b w:val="0"/>
          <w:spacing w:val="10"/>
          <w:sz w:val="22"/>
          <w:szCs w:val="22"/>
        </w:rPr>
        <w:t>publicación de la E</w:t>
      </w:r>
      <w:r>
        <w:rPr>
          <w:b w:val="0"/>
          <w:spacing w:val="10"/>
          <w:sz w:val="22"/>
          <w:szCs w:val="22"/>
        </w:rPr>
        <w:t>N</w:t>
      </w:r>
      <w:r w:rsidR="006644DF" w:rsidRPr="00484460">
        <w:rPr>
          <w:b w:val="0"/>
          <w:spacing w:val="10"/>
          <w:sz w:val="22"/>
          <w:szCs w:val="22"/>
        </w:rPr>
        <w:t>OE</w:t>
      </w:r>
      <w:r w:rsidR="00F66482">
        <w:rPr>
          <w:b w:val="0"/>
          <w:spacing w:val="10"/>
          <w:sz w:val="22"/>
          <w:szCs w:val="22"/>
          <w:vertAlign w:val="superscript"/>
        </w:rPr>
        <w:t>N</w:t>
      </w:r>
      <w:r>
        <w:rPr>
          <w:b w:val="0"/>
          <w:spacing w:val="10"/>
          <w:sz w:val="22"/>
          <w:szCs w:val="22"/>
          <w:vertAlign w:val="superscript"/>
        </w:rPr>
        <w:t xml:space="preserve"> </w:t>
      </w:r>
      <w:r>
        <w:rPr>
          <w:b w:val="0"/>
          <w:spacing w:val="10"/>
          <w:sz w:val="22"/>
          <w:szCs w:val="22"/>
        </w:rPr>
        <w:t>del mes de julio de 2020,</w:t>
      </w:r>
      <w:r w:rsidR="006644DF" w:rsidRPr="00484460">
        <w:rPr>
          <w:b w:val="0"/>
          <w:spacing w:val="10"/>
          <w:sz w:val="22"/>
          <w:szCs w:val="22"/>
        </w:rPr>
        <w:t xml:space="preserve"> el INEGI </w:t>
      </w:r>
      <w:r>
        <w:rPr>
          <w:b w:val="0"/>
          <w:spacing w:val="10"/>
          <w:sz w:val="22"/>
          <w:szCs w:val="22"/>
        </w:rPr>
        <w:t xml:space="preserve">iniciará una nueva etapa en la difusión de </w:t>
      </w:r>
      <w:r w:rsidR="00B47C14">
        <w:rPr>
          <w:b w:val="0"/>
          <w:spacing w:val="10"/>
          <w:sz w:val="22"/>
          <w:szCs w:val="22"/>
        </w:rPr>
        <w:t xml:space="preserve">la información mensual, ampliando la información de los indicadores que mensualmente publicaba con base en la ENOE, de tal manera que ahora los usuarios contarán con los indicadores estratégicos mensuales preliminares </w:t>
      </w:r>
      <w:r w:rsidR="00E53893">
        <w:rPr>
          <w:b w:val="0"/>
          <w:spacing w:val="10"/>
          <w:sz w:val="22"/>
          <w:szCs w:val="22"/>
        </w:rPr>
        <w:t xml:space="preserve">en cifras absolutas </w:t>
      </w:r>
      <w:r w:rsidR="00B47C14">
        <w:rPr>
          <w:b w:val="0"/>
          <w:spacing w:val="10"/>
          <w:sz w:val="22"/>
          <w:szCs w:val="22"/>
        </w:rPr>
        <w:t>a nivel nacional</w:t>
      </w:r>
      <w:r w:rsidR="00AC798B">
        <w:rPr>
          <w:b w:val="0"/>
          <w:spacing w:val="10"/>
          <w:sz w:val="22"/>
          <w:szCs w:val="22"/>
        </w:rPr>
        <w:t>,</w:t>
      </w:r>
      <w:r w:rsidR="00B47C14">
        <w:rPr>
          <w:b w:val="0"/>
          <w:spacing w:val="10"/>
          <w:sz w:val="22"/>
          <w:szCs w:val="22"/>
        </w:rPr>
        <w:t xml:space="preserve"> desglosados según sexo.</w:t>
      </w:r>
      <w:r>
        <w:rPr>
          <w:b w:val="0"/>
          <w:spacing w:val="10"/>
          <w:sz w:val="22"/>
          <w:szCs w:val="22"/>
        </w:rPr>
        <w:t xml:space="preserve"> </w:t>
      </w:r>
      <w:r w:rsidR="00B47C14">
        <w:rPr>
          <w:b w:val="0"/>
          <w:spacing w:val="10"/>
          <w:sz w:val="22"/>
          <w:szCs w:val="22"/>
        </w:rPr>
        <w:t xml:space="preserve">También pondrá a </w:t>
      </w:r>
      <w:r w:rsidR="006644DF" w:rsidRPr="00484460">
        <w:rPr>
          <w:b w:val="0"/>
          <w:spacing w:val="10"/>
          <w:sz w:val="22"/>
          <w:szCs w:val="22"/>
        </w:rPr>
        <w:t xml:space="preserve">disposición de los usuarios </w:t>
      </w:r>
      <w:r w:rsidR="00B47C14">
        <w:rPr>
          <w:b w:val="0"/>
          <w:spacing w:val="10"/>
          <w:sz w:val="22"/>
          <w:szCs w:val="22"/>
        </w:rPr>
        <w:t>la nota técnica con lo</w:t>
      </w:r>
      <w:r w:rsidR="006644DF" w:rsidRPr="00484460">
        <w:rPr>
          <w:b w:val="0"/>
          <w:spacing w:val="10"/>
          <w:sz w:val="22"/>
          <w:szCs w:val="22"/>
        </w:rPr>
        <w:t xml:space="preserve">s principales </w:t>
      </w:r>
      <w:r w:rsidR="00B47C14">
        <w:rPr>
          <w:b w:val="0"/>
          <w:spacing w:val="10"/>
          <w:sz w:val="22"/>
          <w:szCs w:val="22"/>
        </w:rPr>
        <w:t>resultados mensuales, así como la</w:t>
      </w:r>
      <w:r w:rsidR="006644DF" w:rsidRPr="00484460">
        <w:rPr>
          <w:b w:val="0"/>
          <w:spacing w:val="10"/>
          <w:sz w:val="22"/>
          <w:szCs w:val="22"/>
        </w:rPr>
        <w:t xml:space="preserve"> documentación metodológica</w:t>
      </w:r>
      <w:r w:rsidR="00B47C14">
        <w:rPr>
          <w:b w:val="0"/>
          <w:spacing w:val="10"/>
          <w:sz w:val="22"/>
          <w:szCs w:val="22"/>
        </w:rPr>
        <w:t>.</w:t>
      </w:r>
    </w:p>
    <w:p w14:paraId="3D3C8AAC" w14:textId="77777777" w:rsidR="006644DF" w:rsidRPr="00484460" w:rsidRDefault="006644DF" w:rsidP="006644DF">
      <w:pPr>
        <w:pStyle w:val="Subttulo"/>
        <w:jc w:val="both"/>
        <w:rPr>
          <w:b w:val="0"/>
          <w:spacing w:val="10"/>
          <w:sz w:val="22"/>
          <w:szCs w:val="22"/>
        </w:rPr>
      </w:pPr>
    </w:p>
    <w:p w14:paraId="56A0C6F8" w14:textId="22513971" w:rsidR="002F2C46" w:rsidRPr="006644DF" w:rsidRDefault="00B47C14" w:rsidP="006644DF">
      <w:pPr>
        <w:pStyle w:val="Subttulo"/>
        <w:jc w:val="both"/>
        <w:rPr>
          <w:b w:val="0"/>
          <w:spacing w:val="10"/>
          <w:sz w:val="22"/>
          <w:szCs w:val="22"/>
        </w:rPr>
      </w:pPr>
      <w:r>
        <w:rPr>
          <w:b w:val="0"/>
          <w:spacing w:val="10"/>
          <w:sz w:val="22"/>
          <w:szCs w:val="22"/>
        </w:rPr>
        <w:t xml:space="preserve">De igual manera se informa a los usuarios, que el INEGI se encuentra en un proceso de </w:t>
      </w:r>
      <w:r w:rsidR="00D02448">
        <w:rPr>
          <w:b w:val="0"/>
          <w:spacing w:val="10"/>
          <w:sz w:val="22"/>
          <w:szCs w:val="22"/>
        </w:rPr>
        <w:t>análisis</w:t>
      </w:r>
      <w:r>
        <w:rPr>
          <w:b w:val="0"/>
          <w:spacing w:val="10"/>
          <w:sz w:val="22"/>
          <w:szCs w:val="22"/>
        </w:rPr>
        <w:t xml:space="preserve"> en torno a la </w:t>
      </w:r>
      <w:r w:rsidR="00AD1A93">
        <w:rPr>
          <w:b w:val="0"/>
          <w:spacing w:val="10"/>
          <w:sz w:val="22"/>
          <w:szCs w:val="22"/>
        </w:rPr>
        <w:t xml:space="preserve">Encuesta Nacional de Ocupación y Empleo (ENOE) </w:t>
      </w:r>
      <w:r>
        <w:rPr>
          <w:b w:val="0"/>
          <w:spacing w:val="10"/>
          <w:sz w:val="22"/>
          <w:szCs w:val="22"/>
        </w:rPr>
        <w:t xml:space="preserve">y someterá a consulta pública la incorporación de cambios en la estrategia operativa de la encuesta, </w:t>
      </w:r>
      <w:r w:rsidR="00AD1A93">
        <w:rPr>
          <w:b w:val="0"/>
          <w:spacing w:val="10"/>
          <w:sz w:val="22"/>
          <w:szCs w:val="22"/>
        </w:rPr>
        <w:t xml:space="preserve">en una primera etapa, en la que se combine el levantamiento de entrevistas cara a cara con el levantamiento de entrevistas telefónicas como parte del proceso de levantamiento regular de la encuesta, </w:t>
      </w:r>
      <w:r w:rsidR="003F7739">
        <w:rPr>
          <w:b w:val="0"/>
          <w:spacing w:val="10"/>
          <w:sz w:val="22"/>
          <w:szCs w:val="22"/>
        </w:rPr>
        <w:t>de tal manera que ante cualquier interrupción del levantamiento tradicional cara a cara de la ENOE, como ocurrió con la pandemia por la que se atraviesa actualmente, se pueda asegurar que la información sobre el mercado laboral se siga generando sin contratiempo preservando continuidad histórica.</w:t>
      </w:r>
      <w:r w:rsidR="00AD1A93">
        <w:rPr>
          <w:b w:val="0"/>
          <w:spacing w:val="10"/>
          <w:sz w:val="22"/>
          <w:szCs w:val="22"/>
        </w:rPr>
        <w:t xml:space="preserve"> Asimismo, en otras etapas se contempla el levantamiento de la encuesta utilizando dispositivos electrónicos y la puesta al día de la codificación y clasificación de la información con base en los más recientes catálogos y clasificadores</w:t>
      </w:r>
      <w:r w:rsidR="008F129B">
        <w:rPr>
          <w:b w:val="0"/>
          <w:spacing w:val="10"/>
          <w:sz w:val="22"/>
          <w:szCs w:val="22"/>
        </w:rPr>
        <w:t>.</w:t>
      </w:r>
    </w:p>
    <w:p w14:paraId="70FDF3CE" w14:textId="77777777" w:rsidR="00B47C14" w:rsidRDefault="00B47C14">
      <w:pPr>
        <w:rPr>
          <w:rFonts w:ascii="Arial" w:eastAsia="Times New Roman" w:hAnsi="Arial" w:cs="Arial"/>
          <w:b/>
          <w:sz w:val="24"/>
          <w:szCs w:val="24"/>
          <w:lang w:val="es-ES" w:eastAsia="es-ES"/>
        </w:rPr>
      </w:pPr>
      <w:r>
        <w:rPr>
          <w:rFonts w:cs="Arial"/>
          <w:szCs w:val="24"/>
        </w:rPr>
        <w:br w:type="page"/>
      </w:r>
    </w:p>
    <w:p w14:paraId="597F0C43" w14:textId="77777777" w:rsidR="00252EDE" w:rsidRPr="007B4B63" w:rsidRDefault="00252EDE" w:rsidP="00252EDE">
      <w:pPr>
        <w:pStyle w:val="Ttulo"/>
        <w:rPr>
          <w:rFonts w:cs="Arial"/>
          <w:szCs w:val="24"/>
        </w:rPr>
      </w:pPr>
      <w:r w:rsidRPr="007B4B63">
        <w:rPr>
          <w:rFonts w:cs="Arial"/>
          <w:szCs w:val="24"/>
        </w:rPr>
        <w:t xml:space="preserve">PRINCIPALES RESULTADOS DE LA ENCUESTA </w:t>
      </w:r>
      <w:r w:rsidR="00427871">
        <w:rPr>
          <w:rFonts w:cs="Arial"/>
          <w:szCs w:val="24"/>
        </w:rPr>
        <w:t xml:space="preserve">NACIONAL </w:t>
      </w:r>
      <w:r w:rsidRPr="007B4B63">
        <w:rPr>
          <w:rFonts w:cs="Arial"/>
          <w:szCs w:val="24"/>
        </w:rPr>
        <w:t>DE OCUPACIÓN Y EMPLEO</w:t>
      </w:r>
      <w:r w:rsidR="00A4701D">
        <w:rPr>
          <w:rFonts w:cs="Arial"/>
          <w:szCs w:val="24"/>
        </w:rPr>
        <w:t xml:space="preserve"> (NUEVA EDICIÓN)</w:t>
      </w:r>
      <w:r w:rsidRPr="007B4B63">
        <w:rPr>
          <w:rFonts w:cs="Arial"/>
          <w:szCs w:val="24"/>
        </w:rPr>
        <w:t xml:space="preserve"> </w:t>
      </w:r>
      <w:r w:rsidR="00A4701D">
        <w:rPr>
          <w:rFonts w:cs="Arial"/>
          <w:szCs w:val="24"/>
        </w:rPr>
        <w:t>(</w:t>
      </w:r>
      <w:r w:rsidR="00427871" w:rsidRPr="00427871">
        <w:rPr>
          <w:rFonts w:cs="Arial"/>
          <w:szCs w:val="24"/>
        </w:rPr>
        <w:t>ENOE</w:t>
      </w:r>
      <w:r w:rsidR="00F66482">
        <w:rPr>
          <w:rFonts w:cs="Arial"/>
          <w:szCs w:val="24"/>
          <w:vertAlign w:val="superscript"/>
        </w:rPr>
        <w:t>N</w:t>
      </w:r>
      <w:r w:rsidR="00A4701D">
        <w:rPr>
          <w:rFonts w:cs="Arial"/>
          <w:szCs w:val="24"/>
        </w:rPr>
        <w:t>)</w:t>
      </w:r>
      <w:r w:rsidR="00427871" w:rsidRPr="00427871">
        <w:rPr>
          <w:rFonts w:cs="Arial"/>
          <w:szCs w:val="24"/>
        </w:rPr>
        <w:t xml:space="preserve"> </w:t>
      </w:r>
      <w:r w:rsidR="003848B4" w:rsidRPr="007B4B63">
        <w:rPr>
          <w:rFonts w:cs="Arial"/>
          <w:szCs w:val="24"/>
        </w:rPr>
        <w:t xml:space="preserve">DE </w:t>
      </w:r>
      <w:r w:rsidR="00343375">
        <w:rPr>
          <w:rFonts w:cs="Arial"/>
          <w:szCs w:val="24"/>
        </w:rPr>
        <w:t>JU</w:t>
      </w:r>
      <w:r w:rsidR="002702AD">
        <w:rPr>
          <w:rFonts w:cs="Arial"/>
          <w:szCs w:val="24"/>
        </w:rPr>
        <w:t>LIO</w:t>
      </w:r>
      <w:r w:rsidR="003848B4" w:rsidRPr="007B4B63">
        <w:rPr>
          <w:rFonts w:cs="Arial"/>
          <w:szCs w:val="24"/>
        </w:rPr>
        <w:t xml:space="preserve"> DE 2020</w:t>
      </w:r>
    </w:p>
    <w:p w14:paraId="7A064BDD" w14:textId="77777777" w:rsidR="00252EDE" w:rsidRDefault="00252EDE" w:rsidP="00252EDE">
      <w:pPr>
        <w:pStyle w:val="Subttulo"/>
        <w:jc w:val="both"/>
        <w:rPr>
          <w:b w:val="0"/>
          <w:spacing w:val="10"/>
          <w:sz w:val="22"/>
          <w:szCs w:val="22"/>
        </w:rPr>
      </w:pPr>
    </w:p>
    <w:p w14:paraId="5E996235" w14:textId="77777777" w:rsidR="00D60FB7" w:rsidRDefault="001F1F8C" w:rsidP="00527920">
      <w:pPr>
        <w:pStyle w:val="Subttulo"/>
        <w:jc w:val="both"/>
        <w:rPr>
          <w:b w:val="0"/>
          <w:spacing w:val="10"/>
          <w:sz w:val="22"/>
          <w:szCs w:val="22"/>
        </w:rPr>
      </w:pPr>
      <w:r>
        <w:rPr>
          <w:b w:val="0"/>
          <w:spacing w:val="10"/>
          <w:sz w:val="22"/>
          <w:szCs w:val="22"/>
        </w:rPr>
        <w:t xml:space="preserve">Los principales resultados del levantamiento de la </w:t>
      </w:r>
      <w:r w:rsidR="00427871" w:rsidRPr="00427871">
        <w:rPr>
          <w:b w:val="0"/>
          <w:spacing w:val="10"/>
          <w:sz w:val="22"/>
          <w:szCs w:val="22"/>
        </w:rPr>
        <w:t>ENOE</w:t>
      </w:r>
      <w:r w:rsidR="00F66482">
        <w:rPr>
          <w:b w:val="0"/>
          <w:spacing w:val="10"/>
          <w:sz w:val="22"/>
          <w:szCs w:val="22"/>
          <w:vertAlign w:val="superscript"/>
        </w:rPr>
        <w:t>N</w:t>
      </w:r>
      <w:r>
        <w:rPr>
          <w:b w:val="0"/>
          <w:spacing w:val="10"/>
          <w:sz w:val="22"/>
          <w:szCs w:val="22"/>
        </w:rPr>
        <w:t xml:space="preserve"> correspondientes al mes de ju</w:t>
      </w:r>
      <w:r w:rsidR="002702AD">
        <w:rPr>
          <w:b w:val="0"/>
          <w:spacing w:val="10"/>
          <w:sz w:val="22"/>
          <w:szCs w:val="22"/>
        </w:rPr>
        <w:t>lio</w:t>
      </w:r>
      <w:r>
        <w:rPr>
          <w:b w:val="0"/>
          <w:spacing w:val="10"/>
          <w:sz w:val="22"/>
          <w:szCs w:val="22"/>
        </w:rPr>
        <w:t xml:space="preserve"> de 2020</w:t>
      </w:r>
      <w:r w:rsidR="00D60FB7">
        <w:rPr>
          <w:b w:val="0"/>
          <w:spacing w:val="10"/>
          <w:sz w:val="22"/>
          <w:szCs w:val="22"/>
        </w:rPr>
        <w:t>, en comparación con el mes inmediato anterior</w:t>
      </w:r>
      <w:r w:rsidR="00527920">
        <w:rPr>
          <w:b w:val="0"/>
          <w:spacing w:val="10"/>
          <w:sz w:val="22"/>
          <w:szCs w:val="22"/>
        </w:rPr>
        <w:t>, permit</w:t>
      </w:r>
      <w:r w:rsidR="00D60FB7">
        <w:rPr>
          <w:b w:val="0"/>
          <w:spacing w:val="10"/>
          <w:sz w:val="22"/>
          <w:szCs w:val="22"/>
        </w:rPr>
        <w:t>en</w:t>
      </w:r>
      <w:r w:rsidR="00527920">
        <w:rPr>
          <w:b w:val="0"/>
          <w:spacing w:val="10"/>
          <w:sz w:val="22"/>
          <w:szCs w:val="22"/>
        </w:rPr>
        <w:t xml:space="preserve"> observar los cambios en la ocupación y el empleo </w:t>
      </w:r>
      <w:r w:rsidR="00D60FB7">
        <w:rPr>
          <w:b w:val="0"/>
          <w:spacing w:val="10"/>
          <w:sz w:val="22"/>
          <w:szCs w:val="22"/>
        </w:rPr>
        <w:t xml:space="preserve">durante el </w:t>
      </w:r>
      <w:r w:rsidR="002702AD">
        <w:rPr>
          <w:b w:val="0"/>
          <w:spacing w:val="10"/>
          <w:sz w:val="22"/>
          <w:szCs w:val="22"/>
        </w:rPr>
        <w:t>cuarto</w:t>
      </w:r>
      <w:r w:rsidR="00A03870">
        <w:rPr>
          <w:b w:val="0"/>
          <w:spacing w:val="10"/>
          <w:sz w:val="22"/>
          <w:szCs w:val="22"/>
        </w:rPr>
        <w:t xml:space="preserve"> mes del </w:t>
      </w:r>
      <w:r w:rsidR="00527920">
        <w:rPr>
          <w:b w:val="0"/>
          <w:spacing w:val="10"/>
          <w:sz w:val="22"/>
          <w:szCs w:val="22"/>
        </w:rPr>
        <w:t xml:space="preserve">periodo </w:t>
      </w:r>
      <w:r w:rsidR="009A7A1E">
        <w:rPr>
          <w:b w:val="0"/>
          <w:spacing w:val="10"/>
          <w:sz w:val="22"/>
          <w:szCs w:val="22"/>
        </w:rPr>
        <w:t xml:space="preserve">de contingencia sanitaria </w:t>
      </w:r>
      <w:r w:rsidR="00527920">
        <w:rPr>
          <w:b w:val="0"/>
          <w:spacing w:val="10"/>
          <w:sz w:val="22"/>
          <w:szCs w:val="22"/>
        </w:rPr>
        <w:t>originada por el COV</w:t>
      </w:r>
      <w:r w:rsidR="00480E8A">
        <w:rPr>
          <w:b w:val="0"/>
          <w:spacing w:val="10"/>
          <w:sz w:val="22"/>
          <w:szCs w:val="22"/>
        </w:rPr>
        <w:t>I</w:t>
      </w:r>
      <w:r w:rsidR="00D60FB7">
        <w:rPr>
          <w:b w:val="0"/>
          <w:spacing w:val="10"/>
          <w:sz w:val="22"/>
          <w:szCs w:val="22"/>
        </w:rPr>
        <w:t>D-19.</w:t>
      </w:r>
    </w:p>
    <w:p w14:paraId="3D596E16" w14:textId="77777777" w:rsidR="00D60FB7" w:rsidRDefault="00D60FB7" w:rsidP="00527920">
      <w:pPr>
        <w:pStyle w:val="Subttulo"/>
        <w:jc w:val="both"/>
        <w:rPr>
          <w:b w:val="0"/>
          <w:spacing w:val="10"/>
          <w:sz w:val="22"/>
          <w:szCs w:val="22"/>
        </w:rPr>
      </w:pPr>
    </w:p>
    <w:p w14:paraId="5E748D66" w14:textId="77777777" w:rsidR="00252EDE" w:rsidRDefault="00252EDE" w:rsidP="00252EDE">
      <w:pPr>
        <w:pStyle w:val="Subttulo"/>
        <w:jc w:val="both"/>
        <w:rPr>
          <w:b w:val="0"/>
          <w:spacing w:val="10"/>
          <w:sz w:val="22"/>
          <w:szCs w:val="22"/>
        </w:rPr>
      </w:pPr>
      <w:r>
        <w:rPr>
          <w:b w:val="0"/>
          <w:spacing w:val="10"/>
          <w:sz w:val="22"/>
          <w:szCs w:val="22"/>
        </w:rPr>
        <w:t xml:space="preserve">La </w:t>
      </w:r>
      <w:r w:rsidR="00427871" w:rsidRPr="00427871">
        <w:rPr>
          <w:b w:val="0"/>
          <w:spacing w:val="10"/>
          <w:sz w:val="22"/>
          <w:szCs w:val="22"/>
        </w:rPr>
        <w:t>ENOE</w:t>
      </w:r>
      <w:r w:rsidR="00F66482">
        <w:rPr>
          <w:b w:val="0"/>
          <w:spacing w:val="10"/>
          <w:sz w:val="22"/>
          <w:szCs w:val="22"/>
          <w:vertAlign w:val="superscript"/>
        </w:rPr>
        <w:t>N</w:t>
      </w:r>
      <w:r w:rsidR="00427871" w:rsidRPr="00035E7F">
        <w:rPr>
          <w:spacing w:val="10"/>
          <w:sz w:val="22"/>
          <w:szCs w:val="22"/>
        </w:rPr>
        <w:t xml:space="preserve"> </w:t>
      </w:r>
      <w:r>
        <w:rPr>
          <w:b w:val="0"/>
          <w:spacing w:val="10"/>
          <w:sz w:val="22"/>
          <w:szCs w:val="22"/>
        </w:rPr>
        <w:t xml:space="preserve">muestra el siguiente panorama laboral </w:t>
      </w:r>
      <w:r w:rsidR="00A706A2">
        <w:rPr>
          <w:b w:val="0"/>
          <w:spacing w:val="10"/>
          <w:sz w:val="22"/>
          <w:szCs w:val="22"/>
        </w:rPr>
        <w:t xml:space="preserve">durante </w:t>
      </w:r>
      <w:r w:rsidR="00D92C9F">
        <w:rPr>
          <w:b w:val="0"/>
          <w:spacing w:val="10"/>
          <w:sz w:val="22"/>
          <w:szCs w:val="22"/>
        </w:rPr>
        <w:t>ju</w:t>
      </w:r>
      <w:r w:rsidR="000F7D3E">
        <w:rPr>
          <w:b w:val="0"/>
          <w:spacing w:val="10"/>
          <w:sz w:val="22"/>
          <w:szCs w:val="22"/>
        </w:rPr>
        <w:t>l</w:t>
      </w:r>
      <w:r w:rsidR="00D92C9F">
        <w:rPr>
          <w:b w:val="0"/>
          <w:spacing w:val="10"/>
          <w:sz w:val="22"/>
          <w:szCs w:val="22"/>
        </w:rPr>
        <w:t>io</w:t>
      </w:r>
      <w:r>
        <w:rPr>
          <w:b w:val="0"/>
          <w:spacing w:val="10"/>
          <w:sz w:val="22"/>
          <w:szCs w:val="22"/>
        </w:rPr>
        <w:t xml:space="preserve"> de 2020</w:t>
      </w:r>
      <w:r w:rsidR="005A3886">
        <w:rPr>
          <w:rStyle w:val="Refdenotaalpie"/>
          <w:b w:val="0"/>
          <w:spacing w:val="10"/>
          <w:sz w:val="22"/>
          <w:szCs w:val="22"/>
        </w:rPr>
        <w:footnoteReference w:id="3"/>
      </w:r>
      <w:r>
        <w:rPr>
          <w:b w:val="0"/>
          <w:spacing w:val="10"/>
          <w:sz w:val="22"/>
          <w:szCs w:val="22"/>
        </w:rPr>
        <w:t>.</w:t>
      </w:r>
    </w:p>
    <w:p w14:paraId="38617392" w14:textId="77777777" w:rsidR="001F4770" w:rsidRPr="00C63172" w:rsidRDefault="001F4770" w:rsidP="00252EDE">
      <w:pPr>
        <w:pStyle w:val="n0"/>
        <w:keepLines w:val="0"/>
        <w:widowControl w:val="0"/>
        <w:spacing w:before="0"/>
        <w:ind w:left="0" w:right="49" w:firstLine="0"/>
        <w:jc w:val="left"/>
        <w:rPr>
          <w:b/>
          <w:smallCaps/>
          <w:color w:val="auto"/>
          <w:sz w:val="22"/>
          <w:szCs w:val="22"/>
        </w:rPr>
      </w:pPr>
    </w:p>
    <w:p w14:paraId="0D9B8900" w14:textId="77777777" w:rsidR="0054404B" w:rsidRPr="00C63172" w:rsidRDefault="0054404B" w:rsidP="00252EDE">
      <w:pPr>
        <w:pStyle w:val="n0"/>
        <w:keepLines w:val="0"/>
        <w:widowControl w:val="0"/>
        <w:spacing w:before="0"/>
        <w:ind w:left="0" w:right="49" w:firstLine="0"/>
        <w:jc w:val="left"/>
        <w:rPr>
          <w:b/>
          <w:smallCaps/>
          <w:color w:val="auto"/>
          <w:sz w:val="22"/>
          <w:szCs w:val="22"/>
        </w:rPr>
      </w:pPr>
    </w:p>
    <w:p w14:paraId="22E37A20" w14:textId="77777777"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t>Situación de la fuerza de trabajo</w:t>
      </w:r>
    </w:p>
    <w:p w14:paraId="0BD0EF27" w14:textId="77777777" w:rsidR="00252EDE" w:rsidRPr="004340B4" w:rsidRDefault="00252EDE" w:rsidP="00252EDE">
      <w:pPr>
        <w:pStyle w:val="Subttulo"/>
        <w:jc w:val="both"/>
        <w:rPr>
          <w:b w:val="0"/>
          <w:spacing w:val="10"/>
          <w:sz w:val="22"/>
          <w:szCs w:val="22"/>
        </w:rPr>
      </w:pPr>
    </w:p>
    <w:p w14:paraId="69735041" w14:textId="46050D2B" w:rsidR="007D089E" w:rsidRDefault="00252EDE" w:rsidP="00792692">
      <w:pPr>
        <w:pStyle w:val="Subttulo"/>
        <w:jc w:val="both"/>
        <w:rPr>
          <w:b w:val="0"/>
          <w:spacing w:val="10"/>
          <w:sz w:val="22"/>
          <w:szCs w:val="22"/>
        </w:rPr>
      </w:pPr>
      <w:r w:rsidRPr="002A45EE">
        <w:rPr>
          <w:b w:val="0"/>
          <w:spacing w:val="10"/>
          <w:sz w:val="22"/>
          <w:szCs w:val="22"/>
        </w:rPr>
        <w:t>La Población Económicamente Activa</w:t>
      </w:r>
      <w:r w:rsidR="00792692">
        <w:rPr>
          <w:b w:val="0"/>
          <w:spacing w:val="10"/>
          <w:sz w:val="22"/>
          <w:szCs w:val="22"/>
        </w:rPr>
        <w:t xml:space="preserve"> (PEA)</w:t>
      </w:r>
      <w:r w:rsidRPr="002A45EE">
        <w:rPr>
          <w:b w:val="0"/>
          <w:spacing w:val="10"/>
          <w:sz w:val="22"/>
          <w:szCs w:val="22"/>
        </w:rPr>
        <w:t>, es decir, las personas que en la semana pasada a la entrevista</w:t>
      </w:r>
      <w:r w:rsidR="00255227">
        <w:rPr>
          <w:b w:val="0"/>
          <w:spacing w:val="10"/>
          <w:sz w:val="22"/>
          <w:szCs w:val="22"/>
        </w:rPr>
        <w:t xml:space="preserve"> </w:t>
      </w:r>
      <w:r w:rsidRPr="002A45EE">
        <w:rPr>
          <w:b w:val="0"/>
          <w:spacing w:val="10"/>
          <w:sz w:val="22"/>
          <w:szCs w:val="22"/>
        </w:rPr>
        <w:t>se encontraban ocupadas o desocupadas,</w:t>
      </w:r>
      <w:r w:rsidR="0044335D">
        <w:rPr>
          <w:b w:val="0"/>
          <w:spacing w:val="10"/>
          <w:sz w:val="22"/>
          <w:szCs w:val="22"/>
        </w:rPr>
        <w:t xml:space="preserve"> </w:t>
      </w:r>
      <w:r w:rsidR="00A706A2">
        <w:rPr>
          <w:b w:val="0"/>
          <w:spacing w:val="10"/>
          <w:sz w:val="22"/>
          <w:szCs w:val="22"/>
        </w:rPr>
        <w:t>fueron</w:t>
      </w:r>
      <w:r w:rsidR="00C44CE2">
        <w:rPr>
          <w:b w:val="0"/>
          <w:spacing w:val="10"/>
          <w:sz w:val="22"/>
          <w:szCs w:val="22"/>
        </w:rPr>
        <w:t xml:space="preserve"> </w:t>
      </w:r>
      <w:r w:rsidR="0001502C">
        <w:rPr>
          <w:b w:val="0"/>
          <w:spacing w:val="10"/>
          <w:sz w:val="22"/>
          <w:szCs w:val="22"/>
        </w:rPr>
        <w:t>5</w:t>
      </w:r>
      <w:r w:rsidR="000F7D3E">
        <w:rPr>
          <w:b w:val="0"/>
          <w:spacing w:val="10"/>
          <w:sz w:val="22"/>
          <w:szCs w:val="22"/>
        </w:rPr>
        <w:t>2</w:t>
      </w:r>
      <w:r w:rsidR="0001502C">
        <w:rPr>
          <w:b w:val="0"/>
          <w:spacing w:val="10"/>
          <w:sz w:val="22"/>
          <w:szCs w:val="22"/>
        </w:rPr>
        <w:t>.</w:t>
      </w:r>
      <w:r w:rsidR="000F7D3E">
        <w:rPr>
          <w:b w:val="0"/>
          <w:spacing w:val="10"/>
          <w:sz w:val="22"/>
          <w:szCs w:val="22"/>
        </w:rPr>
        <w:t>6</w:t>
      </w:r>
      <w:r w:rsidR="00C44CE2">
        <w:rPr>
          <w:b w:val="0"/>
          <w:spacing w:val="10"/>
          <w:sz w:val="22"/>
          <w:szCs w:val="22"/>
        </w:rPr>
        <w:t xml:space="preserve"> </w:t>
      </w:r>
      <w:r w:rsidR="0044335D">
        <w:rPr>
          <w:b w:val="0"/>
          <w:spacing w:val="10"/>
          <w:sz w:val="22"/>
          <w:szCs w:val="22"/>
        </w:rPr>
        <w:t xml:space="preserve">millones de personas en </w:t>
      </w:r>
      <w:r w:rsidR="00D92C9F">
        <w:rPr>
          <w:b w:val="0"/>
          <w:spacing w:val="10"/>
          <w:sz w:val="22"/>
          <w:szCs w:val="22"/>
        </w:rPr>
        <w:t>ju</w:t>
      </w:r>
      <w:r w:rsidR="000F7D3E">
        <w:rPr>
          <w:b w:val="0"/>
          <w:spacing w:val="10"/>
          <w:sz w:val="22"/>
          <w:szCs w:val="22"/>
        </w:rPr>
        <w:t>l</w:t>
      </w:r>
      <w:r w:rsidR="00D92C9F">
        <w:rPr>
          <w:b w:val="0"/>
          <w:spacing w:val="10"/>
          <w:sz w:val="22"/>
          <w:szCs w:val="22"/>
        </w:rPr>
        <w:t>io</w:t>
      </w:r>
      <w:r w:rsidR="0044335D">
        <w:rPr>
          <w:b w:val="0"/>
          <w:spacing w:val="10"/>
          <w:sz w:val="22"/>
          <w:szCs w:val="22"/>
        </w:rPr>
        <w:t xml:space="preserve"> de 2020, </w:t>
      </w:r>
      <w:r w:rsidR="000F7D3E">
        <w:rPr>
          <w:b w:val="0"/>
          <w:spacing w:val="10"/>
          <w:sz w:val="22"/>
          <w:szCs w:val="22"/>
        </w:rPr>
        <w:t>1.5</w:t>
      </w:r>
      <w:r w:rsidR="001B08D2">
        <w:rPr>
          <w:b w:val="0"/>
          <w:spacing w:val="10"/>
          <w:sz w:val="22"/>
          <w:szCs w:val="22"/>
        </w:rPr>
        <w:t xml:space="preserve"> millones más que en </w:t>
      </w:r>
      <w:r w:rsidR="000F7D3E">
        <w:rPr>
          <w:b w:val="0"/>
          <w:spacing w:val="10"/>
          <w:sz w:val="22"/>
          <w:szCs w:val="22"/>
        </w:rPr>
        <w:t>junio</w:t>
      </w:r>
      <w:r w:rsidR="001B08D2">
        <w:rPr>
          <w:b w:val="0"/>
          <w:spacing w:val="10"/>
          <w:sz w:val="22"/>
          <w:szCs w:val="22"/>
        </w:rPr>
        <w:t xml:space="preserve"> </w:t>
      </w:r>
      <w:r w:rsidR="00B560ED">
        <w:rPr>
          <w:b w:val="0"/>
          <w:spacing w:val="10"/>
          <w:sz w:val="22"/>
          <w:szCs w:val="22"/>
        </w:rPr>
        <w:t>pasado</w:t>
      </w:r>
      <w:r w:rsidR="001B08D2">
        <w:rPr>
          <w:b w:val="0"/>
          <w:spacing w:val="10"/>
          <w:sz w:val="22"/>
          <w:szCs w:val="22"/>
        </w:rPr>
        <w:t>. La</w:t>
      </w:r>
      <w:r w:rsidR="00C44CE2">
        <w:rPr>
          <w:b w:val="0"/>
          <w:spacing w:val="10"/>
          <w:sz w:val="22"/>
          <w:szCs w:val="22"/>
        </w:rPr>
        <w:t xml:space="preserve"> </w:t>
      </w:r>
      <w:r w:rsidR="00440634">
        <w:rPr>
          <w:b w:val="0"/>
          <w:spacing w:val="10"/>
          <w:sz w:val="22"/>
          <w:szCs w:val="22"/>
        </w:rPr>
        <w:t xml:space="preserve">tasa de participación </w:t>
      </w:r>
      <w:r w:rsidR="00A03870">
        <w:rPr>
          <w:b w:val="0"/>
          <w:spacing w:val="10"/>
          <w:sz w:val="22"/>
          <w:szCs w:val="22"/>
        </w:rPr>
        <w:t xml:space="preserve">económica </w:t>
      </w:r>
      <w:r w:rsidR="001B08D2">
        <w:rPr>
          <w:b w:val="0"/>
          <w:spacing w:val="10"/>
          <w:sz w:val="22"/>
          <w:szCs w:val="22"/>
        </w:rPr>
        <w:t xml:space="preserve">fue </w:t>
      </w:r>
      <w:r w:rsidR="00440634">
        <w:rPr>
          <w:b w:val="0"/>
          <w:spacing w:val="10"/>
          <w:sz w:val="22"/>
          <w:szCs w:val="22"/>
        </w:rPr>
        <w:t xml:space="preserve">de </w:t>
      </w:r>
      <w:r w:rsidR="009A7A1E">
        <w:rPr>
          <w:b w:val="0"/>
          <w:spacing w:val="10"/>
          <w:sz w:val="22"/>
          <w:szCs w:val="22"/>
        </w:rPr>
        <w:t>5</w:t>
      </w:r>
      <w:r w:rsidR="000F7D3E">
        <w:rPr>
          <w:b w:val="0"/>
          <w:spacing w:val="10"/>
          <w:sz w:val="22"/>
          <w:szCs w:val="22"/>
        </w:rPr>
        <w:t>4</w:t>
      </w:r>
      <w:r w:rsidR="00CB0067">
        <w:rPr>
          <w:b w:val="0"/>
          <w:spacing w:val="10"/>
          <w:sz w:val="22"/>
          <w:szCs w:val="22"/>
        </w:rPr>
        <w:t>.</w:t>
      </w:r>
      <w:r w:rsidR="000F7D3E">
        <w:rPr>
          <w:b w:val="0"/>
          <w:spacing w:val="10"/>
          <w:sz w:val="22"/>
          <w:szCs w:val="22"/>
        </w:rPr>
        <w:t>9</w:t>
      </w:r>
      <w:r w:rsidR="00B560ED">
        <w:rPr>
          <w:b w:val="0"/>
          <w:spacing w:val="10"/>
          <w:sz w:val="22"/>
          <w:szCs w:val="22"/>
        </w:rPr>
        <w:t>%</w:t>
      </w:r>
      <w:r w:rsidR="007543F9">
        <w:rPr>
          <w:b w:val="0"/>
          <w:spacing w:val="10"/>
          <w:sz w:val="22"/>
          <w:szCs w:val="22"/>
        </w:rPr>
        <w:t xml:space="preserve"> de la población en edad para trabajar,</w:t>
      </w:r>
      <w:r w:rsidR="00A97FEB">
        <w:rPr>
          <w:b w:val="0"/>
          <w:spacing w:val="10"/>
          <w:sz w:val="22"/>
          <w:szCs w:val="22"/>
        </w:rPr>
        <w:t xml:space="preserve"> </w:t>
      </w:r>
      <w:r w:rsidR="000F7D3E">
        <w:rPr>
          <w:b w:val="0"/>
          <w:spacing w:val="10"/>
          <w:sz w:val="22"/>
          <w:szCs w:val="22"/>
        </w:rPr>
        <w:t>1.8</w:t>
      </w:r>
      <w:r w:rsidR="00A97FEB">
        <w:rPr>
          <w:b w:val="0"/>
          <w:spacing w:val="10"/>
          <w:sz w:val="22"/>
          <w:szCs w:val="22"/>
        </w:rPr>
        <w:t xml:space="preserve"> puntos porcentuales superior a la del mes previo</w:t>
      </w:r>
      <w:r w:rsidR="00E347EC">
        <w:rPr>
          <w:b w:val="0"/>
          <w:spacing w:val="10"/>
          <w:sz w:val="22"/>
          <w:szCs w:val="22"/>
        </w:rPr>
        <w:t>.</w:t>
      </w:r>
      <w:r w:rsidR="00D25B40">
        <w:rPr>
          <w:b w:val="0"/>
          <w:spacing w:val="10"/>
          <w:sz w:val="22"/>
          <w:szCs w:val="22"/>
        </w:rPr>
        <w:t xml:space="preserve"> El aumento de la PEA fue en la población ocupada, </w:t>
      </w:r>
      <w:r w:rsidR="000F7D3E">
        <w:rPr>
          <w:b w:val="0"/>
          <w:spacing w:val="10"/>
          <w:sz w:val="22"/>
          <w:szCs w:val="22"/>
        </w:rPr>
        <w:t>al mantenerse sin cambios</w:t>
      </w:r>
      <w:r w:rsidR="00D25B40">
        <w:rPr>
          <w:b w:val="0"/>
          <w:spacing w:val="10"/>
          <w:sz w:val="22"/>
          <w:szCs w:val="22"/>
        </w:rPr>
        <w:t xml:space="preserve"> la población </w:t>
      </w:r>
      <w:r w:rsidR="008F2739">
        <w:rPr>
          <w:b w:val="0"/>
          <w:spacing w:val="10"/>
          <w:sz w:val="22"/>
          <w:szCs w:val="22"/>
        </w:rPr>
        <w:t>des</w:t>
      </w:r>
      <w:r w:rsidR="00D25B40">
        <w:rPr>
          <w:b w:val="0"/>
          <w:spacing w:val="10"/>
          <w:sz w:val="22"/>
          <w:szCs w:val="22"/>
        </w:rPr>
        <w:t>ocupada</w:t>
      </w:r>
      <w:r w:rsidR="000F7D3E">
        <w:rPr>
          <w:b w:val="0"/>
          <w:spacing w:val="10"/>
          <w:sz w:val="22"/>
          <w:szCs w:val="22"/>
        </w:rPr>
        <w:t>.</w:t>
      </w:r>
    </w:p>
    <w:p w14:paraId="07DACA73" w14:textId="77777777" w:rsidR="009A7A1E" w:rsidRDefault="009A7A1E" w:rsidP="00792692">
      <w:pPr>
        <w:pStyle w:val="Subttulo"/>
        <w:jc w:val="both"/>
        <w:rPr>
          <w:b w:val="0"/>
          <w:spacing w:val="10"/>
          <w:sz w:val="22"/>
          <w:szCs w:val="22"/>
        </w:rPr>
      </w:pPr>
    </w:p>
    <w:p w14:paraId="6F95426A" w14:textId="77777777" w:rsidR="00252EDE" w:rsidRDefault="00792692" w:rsidP="00792692">
      <w:pPr>
        <w:pStyle w:val="Subttulo"/>
        <w:jc w:val="both"/>
        <w:rPr>
          <w:b w:val="0"/>
          <w:spacing w:val="10"/>
          <w:sz w:val="22"/>
          <w:szCs w:val="22"/>
        </w:rPr>
      </w:pPr>
      <w:r>
        <w:rPr>
          <w:b w:val="0"/>
          <w:spacing w:val="10"/>
          <w:sz w:val="22"/>
          <w:szCs w:val="22"/>
        </w:rPr>
        <w:t xml:space="preserve">La PEA femenina en </w:t>
      </w:r>
      <w:r w:rsidR="00D92C9F">
        <w:rPr>
          <w:b w:val="0"/>
          <w:spacing w:val="10"/>
          <w:sz w:val="22"/>
          <w:szCs w:val="22"/>
        </w:rPr>
        <w:t>ju</w:t>
      </w:r>
      <w:r w:rsidR="00917CB4">
        <w:rPr>
          <w:b w:val="0"/>
          <w:spacing w:val="10"/>
          <w:sz w:val="22"/>
          <w:szCs w:val="22"/>
        </w:rPr>
        <w:t>l</w:t>
      </w:r>
      <w:r w:rsidR="00D92C9F">
        <w:rPr>
          <w:b w:val="0"/>
          <w:spacing w:val="10"/>
          <w:sz w:val="22"/>
          <w:szCs w:val="22"/>
        </w:rPr>
        <w:t>io</w:t>
      </w:r>
      <w:r>
        <w:rPr>
          <w:b w:val="0"/>
          <w:spacing w:val="10"/>
          <w:sz w:val="22"/>
          <w:szCs w:val="22"/>
        </w:rPr>
        <w:t xml:space="preserve"> fue de </w:t>
      </w:r>
      <w:r w:rsidR="00917CB4">
        <w:rPr>
          <w:b w:val="0"/>
          <w:spacing w:val="10"/>
          <w:sz w:val="22"/>
          <w:szCs w:val="22"/>
        </w:rPr>
        <w:t>19.6</w:t>
      </w:r>
      <w:r>
        <w:rPr>
          <w:b w:val="0"/>
          <w:spacing w:val="10"/>
          <w:sz w:val="22"/>
          <w:szCs w:val="22"/>
        </w:rPr>
        <w:t xml:space="preserve"> millones y la masculina de </w:t>
      </w:r>
      <w:r w:rsidR="00917CB4">
        <w:rPr>
          <w:b w:val="0"/>
          <w:spacing w:val="10"/>
          <w:sz w:val="22"/>
          <w:szCs w:val="22"/>
        </w:rPr>
        <w:t>33</w:t>
      </w:r>
      <w:r>
        <w:rPr>
          <w:b w:val="0"/>
          <w:spacing w:val="10"/>
          <w:sz w:val="22"/>
          <w:szCs w:val="22"/>
        </w:rPr>
        <w:t xml:space="preserve"> millones, con una tasa de participación </w:t>
      </w:r>
      <w:r w:rsidR="00A03870">
        <w:rPr>
          <w:b w:val="0"/>
          <w:spacing w:val="10"/>
          <w:sz w:val="22"/>
          <w:szCs w:val="22"/>
        </w:rPr>
        <w:t xml:space="preserve">económica </w:t>
      </w:r>
      <w:r>
        <w:rPr>
          <w:b w:val="0"/>
          <w:spacing w:val="10"/>
          <w:sz w:val="22"/>
          <w:szCs w:val="22"/>
        </w:rPr>
        <w:t xml:space="preserve">de </w:t>
      </w:r>
      <w:r w:rsidR="00917CB4">
        <w:rPr>
          <w:b w:val="0"/>
          <w:spacing w:val="10"/>
          <w:sz w:val="22"/>
          <w:szCs w:val="22"/>
        </w:rPr>
        <w:t>39.2</w:t>
      </w:r>
      <w:r w:rsidR="009A7A1E">
        <w:rPr>
          <w:b w:val="0"/>
          <w:spacing w:val="10"/>
          <w:sz w:val="22"/>
          <w:szCs w:val="22"/>
        </w:rPr>
        <w:t>%</w:t>
      </w:r>
      <w:r>
        <w:rPr>
          <w:b w:val="0"/>
          <w:spacing w:val="10"/>
          <w:sz w:val="22"/>
          <w:szCs w:val="22"/>
        </w:rPr>
        <w:t xml:space="preserve"> </w:t>
      </w:r>
      <w:r w:rsidR="005B0767">
        <w:rPr>
          <w:b w:val="0"/>
          <w:spacing w:val="10"/>
          <w:sz w:val="22"/>
          <w:szCs w:val="22"/>
        </w:rPr>
        <w:t xml:space="preserve">en </w:t>
      </w:r>
      <w:r w:rsidR="00B560ED">
        <w:rPr>
          <w:b w:val="0"/>
          <w:spacing w:val="10"/>
          <w:sz w:val="22"/>
          <w:szCs w:val="22"/>
        </w:rPr>
        <w:t xml:space="preserve">las </w:t>
      </w:r>
      <w:r w:rsidR="005B0767">
        <w:rPr>
          <w:b w:val="0"/>
          <w:spacing w:val="10"/>
          <w:sz w:val="22"/>
          <w:szCs w:val="22"/>
        </w:rPr>
        <w:t xml:space="preserve">mujeres en edad de trabajar </w:t>
      </w:r>
      <w:r>
        <w:rPr>
          <w:b w:val="0"/>
          <w:spacing w:val="10"/>
          <w:sz w:val="22"/>
          <w:szCs w:val="22"/>
        </w:rPr>
        <w:t xml:space="preserve">y </w:t>
      </w:r>
      <w:r w:rsidR="00B560ED">
        <w:rPr>
          <w:b w:val="0"/>
          <w:spacing w:val="10"/>
          <w:sz w:val="22"/>
          <w:szCs w:val="22"/>
        </w:rPr>
        <w:t xml:space="preserve">de </w:t>
      </w:r>
      <w:r w:rsidR="00917CB4">
        <w:rPr>
          <w:b w:val="0"/>
          <w:spacing w:val="10"/>
          <w:sz w:val="22"/>
          <w:szCs w:val="22"/>
        </w:rPr>
        <w:t>72.2</w:t>
      </w:r>
      <w:r w:rsidR="009A7A1E">
        <w:rPr>
          <w:b w:val="0"/>
          <w:spacing w:val="10"/>
          <w:sz w:val="22"/>
          <w:szCs w:val="22"/>
        </w:rPr>
        <w:t>%</w:t>
      </w:r>
      <w:r w:rsidR="005B0767">
        <w:rPr>
          <w:b w:val="0"/>
          <w:spacing w:val="10"/>
          <w:sz w:val="22"/>
          <w:szCs w:val="22"/>
        </w:rPr>
        <w:t xml:space="preserve"> en </w:t>
      </w:r>
      <w:r w:rsidR="00B560ED">
        <w:rPr>
          <w:b w:val="0"/>
          <w:spacing w:val="10"/>
          <w:sz w:val="22"/>
          <w:szCs w:val="22"/>
        </w:rPr>
        <w:t>los</w:t>
      </w:r>
      <w:r w:rsidR="005B0767">
        <w:rPr>
          <w:b w:val="0"/>
          <w:spacing w:val="10"/>
          <w:sz w:val="22"/>
          <w:szCs w:val="22"/>
        </w:rPr>
        <w:t xml:space="preserve"> hombres</w:t>
      </w:r>
      <w:r w:rsidR="00D92C9F">
        <w:rPr>
          <w:b w:val="0"/>
          <w:spacing w:val="10"/>
          <w:sz w:val="22"/>
          <w:szCs w:val="22"/>
        </w:rPr>
        <w:t>.</w:t>
      </w:r>
    </w:p>
    <w:p w14:paraId="4C21D5E4" w14:textId="77777777" w:rsidR="002D2334" w:rsidRDefault="002D2334" w:rsidP="0043090B">
      <w:pPr>
        <w:pStyle w:val="Subttulo"/>
        <w:jc w:val="both"/>
        <w:rPr>
          <w:b w:val="0"/>
          <w:spacing w:val="10"/>
          <w:sz w:val="22"/>
          <w:szCs w:val="22"/>
        </w:rPr>
      </w:pPr>
    </w:p>
    <w:p w14:paraId="49176F8F" w14:textId="77777777" w:rsidR="001E2286" w:rsidRDefault="001E2286">
      <w:pPr>
        <w:rPr>
          <w:rFonts w:ascii="Arial" w:hAnsi="Arial" w:cs="Arial"/>
          <w:b/>
          <w:smallCaps/>
        </w:rPr>
      </w:pPr>
      <w:r>
        <w:rPr>
          <w:rFonts w:ascii="Arial" w:hAnsi="Arial" w:cs="Arial"/>
          <w:b/>
          <w:smallCaps/>
        </w:rPr>
        <w:br w:type="page"/>
      </w:r>
    </w:p>
    <w:p w14:paraId="231F91B9" w14:textId="77777777" w:rsidR="009E1BC7" w:rsidRPr="000C73EB" w:rsidRDefault="00C142BC" w:rsidP="000C73EB">
      <w:pPr>
        <w:spacing w:after="0" w:line="240" w:lineRule="auto"/>
        <w:contextualSpacing/>
        <w:jc w:val="center"/>
        <w:rPr>
          <w:rFonts w:ascii="Arial" w:hAnsi="Arial" w:cs="Arial"/>
          <w:b/>
          <w:smallCaps/>
        </w:rPr>
      </w:pPr>
      <w:r w:rsidRPr="000C73EB">
        <w:rPr>
          <w:rFonts w:ascii="Arial" w:hAnsi="Arial" w:cs="Arial"/>
          <w:b/>
          <w:smallCaps/>
        </w:rPr>
        <w:t xml:space="preserve">Gráfico 1. </w:t>
      </w:r>
      <w:r w:rsidR="009E1BC7" w:rsidRPr="000C73EB">
        <w:rPr>
          <w:rFonts w:ascii="Arial" w:hAnsi="Arial" w:cs="Arial"/>
          <w:b/>
          <w:smallCaps/>
        </w:rPr>
        <w:t>Tasa de participación E</w:t>
      </w:r>
      <w:r w:rsidR="00427871">
        <w:rPr>
          <w:rFonts w:ascii="Arial" w:hAnsi="Arial" w:cs="Arial"/>
          <w:b/>
          <w:smallCaps/>
        </w:rPr>
        <w:t>N</w:t>
      </w:r>
      <w:r w:rsidR="009E1BC7" w:rsidRPr="000C73EB">
        <w:rPr>
          <w:rFonts w:ascii="Arial" w:hAnsi="Arial" w:cs="Arial"/>
          <w:b/>
          <w:smallCaps/>
        </w:rPr>
        <w:t>OE</w:t>
      </w:r>
      <w:r w:rsidR="00F66482">
        <w:rPr>
          <w:rFonts w:ascii="Arial" w:hAnsi="Arial" w:cs="Arial"/>
          <w:b/>
          <w:smallCaps/>
          <w:vertAlign w:val="superscript"/>
        </w:rPr>
        <w:t>N</w:t>
      </w:r>
      <w:r w:rsidR="009E1BC7" w:rsidRPr="000C73EB">
        <w:rPr>
          <w:rFonts w:ascii="Arial" w:hAnsi="Arial" w:cs="Arial"/>
          <w:b/>
          <w:smallCaps/>
        </w:rPr>
        <w:t xml:space="preserve"> a</w:t>
      </w:r>
      <w:r w:rsidR="00055ABA" w:rsidRPr="000C73EB">
        <w:rPr>
          <w:rFonts w:ascii="Arial" w:hAnsi="Arial" w:cs="Arial"/>
          <w:b/>
          <w:smallCaps/>
        </w:rPr>
        <w:t>l mes de</w:t>
      </w:r>
      <w:r w:rsidR="009E1BC7" w:rsidRPr="000C73EB">
        <w:rPr>
          <w:rFonts w:ascii="Arial" w:hAnsi="Arial" w:cs="Arial"/>
          <w:b/>
          <w:smallCaps/>
        </w:rPr>
        <w:t xml:space="preserve"> </w:t>
      </w:r>
      <w:r w:rsidR="00D92C9F">
        <w:rPr>
          <w:rFonts w:ascii="Arial" w:hAnsi="Arial" w:cs="Arial"/>
          <w:b/>
          <w:smallCaps/>
        </w:rPr>
        <w:t>ju</w:t>
      </w:r>
      <w:r w:rsidR="00140502">
        <w:rPr>
          <w:rFonts w:ascii="Arial" w:hAnsi="Arial" w:cs="Arial"/>
          <w:b/>
          <w:smallCaps/>
        </w:rPr>
        <w:t>l</w:t>
      </w:r>
      <w:r w:rsidR="00D92C9F">
        <w:rPr>
          <w:rFonts w:ascii="Arial" w:hAnsi="Arial" w:cs="Arial"/>
          <w:b/>
          <w:smallCaps/>
        </w:rPr>
        <w:t>io</w:t>
      </w:r>
      <w:r w:rsidR="009E1BC7" w:rsidRPr="000C73EB">
        <w:rPr>
          <w:rFonts w:ascii="Arial" w:hAnsi="Arial" w:cs="Arial"/>
          <w:b/>
          <w:smallCaps/>
        </w:rPr>
        <w:t xml:space="preserve"> de 2020 </w:t>
      </w:r>
    </w:p>
    <w:p w14:paraId="0D2638B5" w14:textId="77777777" w:rsidR="001531CF" w:rsidRPr="000C73EB" w:rsidRDefault="001531CF" w:rsidP="000C73EB">
      <w:pPr>
        <w:spacing w:after="0" w:line="240" w:lineRule="auto"/>
        <w:contextualSpacing/>
        <w:jc w:val="center"/>
        <w:rPr>
          <w:rFonts w:ascii="Arial" w:hAnsi="Arial" w:cs="Arial"/>
          <w:b/>
          <w:smallCaps/>
        </w:rPr>
      </w:pPr>
      <w:r w:rsidRPr="000C73EB">
        <w:rPr>
          <w:rFonts w:ascii="Arial" w:hAnsi="Arial" w:cs="Arial"/>
          <w:b/>
          <w:smallCaps/>
        </w:rPr>
        <w:t>(Porcentajes respecto a la población de 15 años y más)</w:t>
      </w:r>
    </w:p>
    <w:p w14:paraId="0E5A2AB5" w14:textId="77777777" w:rsidR="009E1BC7" w:rsidRDefault="009E1BC7" w:rsidP="000C73EB">
      <w:pPr>
        <w:spacing w:after="0" w:line="240" w:lineRule="auto"/>
        <w:contextualSpacing/>
        <w:jc w:val="center"/>
        <w:rPr>
          <w:rFonts w:ascii="Arial" w:hAnsi="Arial" w:cs="Arial"/>
          <w:b/>
          <w:smallCaps/>
        </w:rPr>
      </w:pPr>
      <w:r w:rsidRPr="000C73EB">
        <w:rPr>
          <w:rFonts w:ascii="Arial" w:hAnsi="Arial" w:cs="Arial"/>
          <w:b/>
          <w:smallCaps/>
        </w:rPr>
        <w:t xml:space="preserve">ENOE </w:t>
      </w:r>
      <w:r w:rsidR="00D92C9F">
        <w:rPr>
          <w:rFonts w:ascii="Arial" w:hAnsi="Arial" w:cs="Arial"/>
          <w:b/>
          <w:smallCaps/>
        </w:rPr>
        <w:t>ju</w:t>
      </w:r>
      <w:r w:rsidR="00140502">
        <w:rPr>
          <w:rFonts w:ascii="Arial" w:hAnsi="Arial" w:cs="Arial"/>
          <w:b/>
          <w:smallCaps/>
        </w:rPr>
        <w:t>l</w:t>
      </w:r>
      <w:r w:rsidR="00D92C9F">
        <w:rPr>
          <w:rFonts w:ascii="Arial" w:hAnsi="Arial" w:cs="Arial"/>
          <w:b/>
          <w:smallCaps/>
        </w:rPr>
        <w:t>io</w:t>
      </w:r>
      <w:r w:rsidR="00792692" w:rsidRPr="000C73EB">
        <w:rPr>
          <w:rFonts w:ascii="Arial" w:hAnsi="Arial" w:cs="Arial"/>
          <w:b/>
          <w:smallCaps/>
        </w:rPr>
        <w:t xml:space="preserve"> </w:t>
      </w:r>
      <w:r w:rsidR="00EF0FE0" w:rsidRPr="000C73EB">
        <w:rPr>
          <w:rFonts w:ascii="Arial" w:hAnsi="Arial" w:cs="Arial"/>
          <w:b/>
          <w:smallCaps/>
        </w:rPr>
        <w:t xml:space="preserve">2019 y </w:t>
      </w:r>
      <w:r w:rsidR="006F18D4">
        <w:rPr>
          <w:rFonts w:ascii="Arial" w:hAnsi="Arial" w:cs="Arial"/>
          <w:b/>
          <w:smallCaps/>
        </w:rPr>
        <w:t xml:space="preserve">ETOE </w:t>
      </w:r>
      <w:r w:rsidR="00792692" w:rsidRPr="000C73EB">
        <w:rPr>
          <w:rFonts w:ascii="Arial" w:hAnsi="Arial" w:cs="Arial"/>
          <w:b/>
          <w:smallCaps/>
        </w:rPr>
        <w:t>abril</w:t>
      </w:r>
      <w:r w:rsidR="00CE03F1">
        <w:rPr>
          <w:rFonts w:ascii="Arial" w:hAnsi="Arial" w:cs="Arial"/>
          <w:b/>
          <w:smallCaps/>
        </w:rPr>
        <w:t>,</w:t>
      </w:r>
      <w:r w:rsidR="00D92C9F">
        <w:rPr>
          <w:rFonts w:ascii="Arial" w:hAnsi="Arial" w:cs="Arial"/>
          <w:b/>
          <w:smallCaps/>
        </w:rPr>
        <w:t xml:space="preserve"> </w:t>
      </w:r>
      <w:r w:rsidR="00343375">
        <w:rPr>
          <w:rFonts w:ascii="Arial" w:hAnsi="Arial" w:cs="Arial"/>
          <w:b/>
          <w:smallCaps/>
        </w:rPr>
        <w:t>mayo</w:t>
      </w:r>
      <w:r w:rsidR="00427871">
        <w:rPr>
          <w:rFonts w:ascii="Arial" w:hAnsi="Arial" w:cs="Arial"/>
          <w:b/>
          <w:smallCaps/>
        </w:rPr>
        <w:t xml:space="preserve"> y</w:t>
      </w:r>
      <w:r w:rsidR="00CE03F1" w:rsidRPr="001D4E1E">
        <w:rPr>
          <w:rFonts w:ascii="Arial" w:hAnsi="Arial" w:cs="Arial"/>
          <w:b/>
          <w:smallCaps/>
        </w:rPr>
        <w:t xml:space="preserve"> junio</w:t>
      </w:r>
      <w:r w:rsidR="00427871">
        <w:rPr>
          <w:rFonts w:ascii="Arial" w:hAnsi="Arial" w:cs="Arial"/>
          <w:b/>
          <w:smallCaps/>
        </w:rPr>
        <w:t xml:space="preserve"> </w:t>
      </w:r>
      <w:r w:rsidR="00CE03F1">
        <w:rPr>
          <w:b/>
          <w:smallCaps/>
        </w:rPr>
        <w:t xml:space="preserve"> </w:t>
      </w:r>
      <w:r w:rsidR="00EF0FE0" w:rsidRPr="000C73EB">
        <w:rPr>
          <w:rFonts w:ascii="Arial" w:hAnsi="Arial" w:cs="Arial"/>
          <w:b/>
          <w:smallCaps/>
        </w:rPr>
        <w:t>2020</w:t>
      </w:r>
    </w:p>
    <w:p w14:paraId="34252903" w14:textId="77777777" w:rsidR="00157838" w:rsidRDefault="00692E40" w:rsidP="0032196F">
      <w:pPr>
        <w:spacing w:after="0" w:line="240" w:lineRule="auto"/>
        <w:contextualSpacing/>
        <w:jc w:val="center"/>
      </w:pPr>
      <w:r>
        <w:rPr>
          <w:noProof/>
          <w:lang w:eastAsia="es-MX"/>
        </w:rPr>
        <w:drawing>
          <wp:inline distT="0" distB="0" distL="0" distR="0" wp14:anchorId="4BCD3837" wp14:editId="1AF27F08">
            <wp:extent cx="5663565" cy="29387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3565" cy="2938780"/>
                    </a:xfrm>
                    <a:prstGeom prst="rect">
                      <a:avLst/>
                    </a:prstGeom>
                    <a:noFill/>
                  </pic:spPr>
                </pic:pic>
              </a:graphicData>
            </a:graphic>
          </wp:inline>
        </w:drawing>
      </w:r>
    </w:p>
    <w:p w14:paraId="10A327F7" w14:textId="77777777" w:rsidR="003C400B" w:rsidRDefault="003C400B" w:rsidP="00C427D7">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5E40FA55" w14:textId="77777777" w:rsidR="00794B17" w:rsidRDefault="003C400B"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DD07348" w14:textId="77777777" w:rsidR="003C400B" w:rsidRDefault="00AE2C98"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3C400B">
        <w:rPr>
          <w:rFonts w:ascii="Arial" w:hAnsi="Arial" w:cs="Arial"/>
          <w:noProof/>
          <w:sz w:val="14"/>
          <w:szCs w:val="14"/>
          <w:lang w:val="es-ES" w:eastAsia="es-ES"/>
        </w:rPr>
        <w:t xml:space="preserve">INEGI. Encuesta Telefónica de Ocupación y Empleo, </w:t>
      </w:r>
      <w:r w:rsidR="00322069">
        <w:rPr>
          <w:rFonts w:ascii="Arial" w:hAnsi="Arial" w:cs="Arial"/>
          <w:noProof/>
          <w:sz w:val="14"/>
          <w:szCs w:val="14"/>
          <w:lang w:val="es-ES" w:eastAsia="es-ES"/>
        </w:rPr>
        <w:t>para abril, mayo</w:t>
      </w:r>
      <w:r w:rsidR="00090065">
        <w:rPr>
          <w:rFonts w:ascii="Arial" w:hAnsi="Arial" w:cs="Arial"/>
          <w:noProof/>
          <w:sz w:val="14"/>
          <w:szCs w:val="14"/>
          <w:lang w:val="es-ES" w:eastAsia="es-ES"/>
        </w:rPr>
        <w:t xml:space="preserve"> y</w:t>
      </w:r>
      <w:r w:rsidR="00322069">
        <w:rPr>
          <w:rFonts w:ascii="Arial" w:hAnsi="Arial" w:cs="Arial"/>
          <w:noProof/>
          <w:sz w:val="14"/>
          <w:szCs w:val="14"/>
          <w:lang w:val="es-ES" w:eastAsia="es-ES"/>
        </w:rPr>
        <w:t xml:space="preserve"> junio 2020</w:t>
      </w:r>
      <w:r w:rsidR="003C400B">
        <w:rPr>
          <w:rFonts w:ascii="Arial" w:hAnsi="Arial" w:cs="Arial"/>
          <w:noProof/>
          <w:sz w:val="14"/>
          <w:szCs w:val="14"/>
          <w:lang w:val="es-ES" w:eastAsia="es-ES"/>
        </w:rPr>
        <w:t>.</w:t>
      </w:r>
    </w:p>
    <w:p w14:paraId="40E37A48" w14:textId="77777777" w:rsidR="003C400B" w:rsidRDefault="00090065" w:rsidP="00C427D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3C400B">
        <w:rPr>
          <w:rFonts w:ascii="Arial" w:hAnsi="Arial" w:cs="Arial"/>
          <w:noProof/>
          <w:sz w:val="14"/>
          <w:szCs w:val="14"/>
          <w:lang w:val="es-ES" w:eastAsia="es-ES"/>
        </w:rPr>
        <w:t>INEGI. Encuesta Nacional de Ocupación y Empleo</w:t>
      </w:r>
      <w:r w:rsidR="00322069">
        <w:rPr>
          <w:rFonts w:ascii="Arial" w:hAnsi="Arial" w:cs="Arial"/>
          <w:noProof/>
          <w:sz w:val="14"/>
          <w:szCs w:val="14"/>
          <w:lang w:val="es-ES" w:eastAsia="es-ES"/>
        </w:rPr>
        <w:t>, julio 2019</w:t>
      </w:r>
      <w:r w:rsidR="003C400B">
        <w:rPr>
          <w:rFonts w:ascii="Arial" w:hAnsi="Arial" w:cs="Arial"/>
          <w:noProof/>
          <w:sz w:val="14"/>
          <w:szCs w:val="14"/>
          <w:lang w:val="es-ES" w:eastAsia="es-ES"/>
        </w:rPr>
        <w:t>.</w:t>
      </w:r>
    </w:p>
    <w:p w14:paraId="71D6F000" w14:textId="77777777" w:rsidR="009E1BC7" w:rsidRDefault="009E1BC7" w:rsidP="00252EDE">
      <w:pPr>
        <w:pStyle w:val="Subttulo"/>
        <w:jc w:val="both"/>
        <w:rPr>
          <w:b w:val="0"/>
          <w:spacing w:val="10"/>
          <w:sz w:val="22"/>
          <w:szCs w:val="22"/>
        </w:rPr>
      </w:pPr>
    </w:p>
    <w:p w14:paraId="5DC213A7" w14:textId="77777777" w:rsidR="00252EDE" w:rsidRDefault="00252EDE" w:rsidP="00252EDE">
      <w:pPr>
        <w:pStyle w:val="Subttulo"/>
        <w:jc w:val="both"/>
        <w:rPr>
          <w:b w:val="0"/>
          <w:spacing w:val="10"/>
          <w:sz w:val="22"/>
          <w:szCs w:val="22"/>
        </w:rPr>
      </w:pPr>
      <w:r w:rsidRPr="002A45EE">
        <w:rPr>
          <w:b w:val="0"/>
          <w:spacing w:val="10"/>
          <w:sz w:val="22"/>
          <w:szCs w:val="22"/>
        </w:rPr>
        <w:t xml:space="preserve">La población ocupada, que representa a las personas que trabajaron </w:t>
      </w:r>
      <w:r w:rsidRPr="00DD6926">
        <w:rPr>
          <w:b w:val="0"/>
          <w:spacing w:val="10"/>
          <w:sz w:val="22"/>
          <w:szCs w:val="22"/>
        </w:rPr>
        <w:t>en la semana pasada a la entrevista</w:t>
      </w:r>
      <w:r w:rsidRPr="002A45EE">
        <w:rPr>
          <w:b w:val="0"/>
          <w:spacing w:val="10"/>
          <w:sz w:val="22"/>
          <w:szCs w:val="22"/>
        </w:rPr>
        <w:t xml:space="preserve"> o que no trabajaron</w:t>
      </w:r>
      <w:r w:rsidR="008728FF">
        <w:rPr>
          <w:b w:val="0"/>
          <w:spacing w:val="10"/>
          <w:sz w:val="22"/>
          <w:szCs w:val="22"/>
        </w:rPr>
        <w:t>,</w:t>
      </w:r>
      <w:r w:rsidRPr="002A45EE">
        <w:rPr>
          <w:b w:val="0"/>
          <w:spacing w:val="10"/>
          <w:sz w:val="22"/>
          <w:szCs w:val="22"/>
        </w:rPr>
        <w:t xml:space="preserve"> pero mantenían un vínculo laboral con la unidad económica para la que trabajan, representaron el </w:t>
      </w:r>
      <w:r w:rsidR="00CB0067">
        <w:rPr>
          <w:b w:val="0"/>
          <w:spacing w:val="10"/>
          <w:sz w:val="22"/>
          <w:szCs w:val="22"/>
        </w:rPr>
        <w:t>94.</w:t>
      </w:r>
      <w:r w:rsidR="00A21C5F">
        <w:rPr>
          <w:b w:val="0"/>
          <w:spacing w:val="10"/>
          <w:sz w:val="22"/>
          <w:szCs w:val="22"/>
        </w:rPr>
        <w:t>6</w:t>
      </w:r>
      <w:r w:rsidR="009A7A1E">
        <w:rPr>
          <w:b w:val="0"/>
          <w:spacing w:val="10"/>
          <w:sz w:val="22"/>
          <w:szCs w:val="22"/>
        </w:rPr>
        <w:t xml:space="preserve">% </w:t>
      </w:r>
      <w:r w:rsidRPr="002A45EE">
        <w:rPr>
          <w:b w:val="0"/>
          <w:spacing w:val="10"/>
          <w:sz w:val="22"/>
          <w:szCs w:val="22"/>
        </w:rPr>
        <w:t xml:space="preserve">de la población económicamente activa; mientras que la población desocupada, </w:t>
      </w:r>
      <w:r w:rsidR="00A706A2">
        <w:rPr>
          <w:b w:val="0"/>
          <w:spacing w:val="10"/>
          <w:sz w:val="22"/>
          <w:szCs w:val="22"/>
        </w:rPr>
        <w:t xml:space="preserve">que es </w:t>
      </w:r>
      <w:r w:rsidRPr="002A45EE">
        <w:rPr>
          <w:b w:val="0"/>
          <w:spacing w:val="10"/>
          <w:sz w:val="22"/>
          <w:szCs w:val="22"/>
        </w:rPr>
        <w:t>aquella que no contaba con trabajo</w:t>
      </w:r>
      <w:r w:rsidR="00121E72">
        <w:rPr>
          <w:b w:val="0"/>
          <w:spacing w:val="10"/>
          <w:sz w:val="22"/>
          <w:szCs w:val="22"/>
        </w:rPr>
        <w:t>,</w:t>
      </w:r>
      <w:r w:rsidRPr="002A45EE">
        <w:rPr>
          <w:b w:val="0"/>
          <w:spacing w:val="10"/>
          <w:sz w:val="22"/>
          <w:szCs w:val="22"/>
        </w:rPr>
        <w:t xml:space="preserve"> </w:t>
      </w:r>
      <w:r w:rsidR="00A706A2" w:rsidRPr="00DD6926">
        <w:rPr>
          <w:b w:val="0"/>
          <w:spacing w:val="10"/>
          <w:sz w:val="22"/>
          <w:szCs w:val="22"/>
        </w:rPr>
        <w:t xml:space="preserve">pero </w:t>
      </w:r>
      <w:r w:rsidRPr="00DD6926">
        <w:rPr>
          <w:b w:val="0"/>
          <w:spacing w:val="10"/>
          <w:sz w:val="22"/>
          <w:szCs w:val="22"/>
        </w:rPr>
        <w:t>buscó uno en el último mes,</w:t>
      </w:r>
      <w:r w:rsidRPr="00EF0FE0">
        <w:rPr>
          <w:b w:val="0"/>
          <w:spacing w:val="10"/>
          <w:sz w:val="22"/>
          <w:szCs w:val="22"/>
        </w:rPr>
        <w:t xml:space="preserve"> fue del </w:t>
      </w:r>
      <w:r w:rsidR="00CB0067">
        <w:rPr>
          <w:b w:val="0"/>
          <w:spacing w:val="10"/>
          <w:sz w:val="22"/>
          <w:szCs w:val="22"/>
        </w:rPr>
        <w:t>5.</w:t>
      </w:r>
      <w:r w:rsidR="00A21C5F">
        <w:rPr>
          <w:b w:val="0"/>
          <w:spacing w:val="10"/>
          <w:sz w:val="22"/>
          <w:szCs w:val="22"/>
        </w:rPr>
        <w:t>4</w:t>
      </w:r>
      <w:r w:rsidR="009A7A1E">
        <w:rPr>
          <w:b w:val="0"/>
          <w:spacing w:val="10"/>
          <w:sz w:val="22"/>
          <w:szCs w:val="22"/>
        </w:rPr>
        <w:t>%</w:t>
      </w:r>
      <w:r w:rsidR="00EF0FE0" w:rsidRPr="00A83689">
        <w:rPr>
          <w:b w:val="0"/>
          <w:spacing w:val="10"/>
          <w:sz w:val="22"/>
          <w:szCs w:val="22"/>
        </w:rPr>
        <w:t xml:space="preserve"> de la población económicamente activa</w:t>
      </w:r>
      <w:r w:rsidRPr="002A45EE">
        <w:rPr>
          <w:b w:val="0"/>
          <w:spacing w:val="10"/>
          <w:sz w:val="22"/>
          <w:szCs w:val="22"/>
        </w:rPr>
        <w:t xml:space="preserve"> en </w:t>
      </w:r>
      <w:r w:rsidR="00D92C9F">
        <w:rPr>
          <w:b w:val="0"/>
          <w:spacing w:val="10"/>
          <w:sz w:val="22"/>
          <w:szCs w:val="22"/>
        </w:rPr>
        <w:t>ju</w:t>
      </w:r>
      <w:r w:rsidR="00A21C5F">
        <w:rPr>
          <w:b w:val="0"/>
          <w:spacing w:val="10"/>
          <w:sz w:val="22"/>
          <w:szCs w:val="22"/>
        </w:rPr>
        <w:t>l</w:t>
      </w:r>
      <w:r w:rsidR="00D92C9F">
        <w:rPr>
          <w:b w:val="0"/>
          <w:spacing w:val="10"/>
          <w:sz w:val="22"/>
          <w:szCs w:val="22"/>
        </w:rPr>
        <w:t>io</w:t>
      </w:r>
      <w:r w:rsidRPr="002A45EE">
        <w:rPr>
          <w:b w:val="0"/>
          <w:spacing w:val="10"/>
          <w:sz w:val="22"/>
          <w:szCs w:val="22"/>
        </w:rPr>
        <w:t xml:space="preserve"> de 2020.</w:t>
      </w:r>
      <w:r w:rsidR="00416493">
        <w:rPr>
          <w:b w:val="0"/>
          <w:spacing w:val="10"/>
          <w:sz w:val="22"/>
          <w:szCs w:val="22"/>
        </w:rPr>
        <w:t xml:space="preserve"> </w:t>
      </w:r>
      <w:r w:rsidR="005B0767">
        <w:rPr>
          <w:b w:val="0"/>
          <w:spacing w:val="10"/>
          <w:sz w:val="22"/>
          <w:szCs w:val="22"/>
        </w:rPr>
        <w:t>En los</w:t>
      </w:r>
      <w:r w:rsidR="00416493">
        <w:rPr>
          <w:b w:val="0"/>
          <w:spacing w:val="10"/>
          <w:sz w:val="22"/>
          <w:szCs w:val="22"/>
        </w:rPr>
        <w:t xml:space="preserve"> hombres el </w:t>
      </w:r>
      <w:r w:rsidR="00CB0067">
        <w:rPr>
          <w:b w:val="0"/>
          <w:spacing w:val="10"/>
          <w:sz w:val="22"/>
          <w:szCs w:val="22"/>
        </w:rPr>
        <w:t>9</w:t>
      </w:r>
      <w:r w:rsidR="00A21C5F">
        <w:rPr>
          <w:b w:val="0"/>
          <w:spacing w:val="10"/>
          <w:sz w:val="22"/>
          <w:szCs w:val="22"/>
        </w:rPr>
        <w:t>5</w:t>
      </w:r>
      <w:r w:rsidR="00CB0067">
        <w:rPr>
          <w:b w:val="0"/>
          <w:spacing w:val="10"/>
          <w:sz w:val="22"/>
          <w:szCs w:val="22"/>
        </w:rPr>
        <w:t>.</w:t>
      </w:r>
      <w:r w:rsidR="00A21C5F">
        <w:rPr>
          <w:b w:val="0"/>
          <w:spacing w:val="10"/>
          <w:sz w:val="22"/>
          <w:szCs w:val="22"/>
        </w:rPr>
        <w:t>2</w:t>
      </w:r>
      <w:r w:rsidR="009A7A1E">
        <w:rPr>
          <w:b w:val="0"/>
          <w:spacing w:val="10"/>
          <w:sz w:val="22"/>
          <w:szCs w:val="22"/>
        </w:rPr>
        <w:t xml:space="preserve">% </w:t>
      </w:r>
      <w:r w:rsidR="005B0767">
        <w:rPr>
          <w:b w:val="0"/>
          <w:spacing w:val="10"/>
          <w:sz w:val="22"/>
          <w:szCs w:val="22"/>
        </w:rPr>
        <w:t xml:space="preserve">de la PEA </w:t>
      </w:r>
      <w:r w:rsidR="00030476">
        <w:rPr>
          <w:b w:val="0"/>
          <w:spacing w:val="10"/>
          <w:sz w:val="22"/>
          <w:szCs w:val="22"/>
        </w:rPr>
        <w:t xml:space="preserve">estuvieron </w:t>
      </w:r>
      <w:r w:rsidR="005B0767">
        <w:rPr>
          <w:b w:val="0"/>
          <w:spacing w:val="10"/>
          <w:sz w:val="22"/>
          <w:szCs w:val="22"/>
        </w:rPr>
        <w:t xml:space="preserve">ocupados y </w:t>
      </w:r>
      <w:r w:rsidR="009A7A1E">
        <w:rPr>
          <w:b w:val="0"/>
          <w:spacing w:val="10"/>
          <w:sz w:val="22"/>
          <w:szCs w:val="22"/>
        </w:rPr>
        <w:t xml:space="preserve">el </w:t>
      </w:r>
      <w:r w:rsidR="00A21C5F">
        <w:rPr>
          <w:b w:val="0"/>
          <w:spacing w:val="10"/>
          <w:sz w:val="22"/>
          <w:szCs w:val="22"/>
        </w:rPr>
        <w:t>4.8</w:t>
      </w:r>
      <w:r w:rsidR="009A7A1E">
        <w:rPr>
          <w:b w:val="0"/>
          <w:spacing w:val="10"/>
          <w:sz w:val="22"/>
          <w:szCs w:val="22"/>
        </w:rPr>
        <w:t xml:space="preserve">% </w:t>
      </w:r>
      <w:r w:rsidR="005B0767">
        <w:rPr>
          <w:b w:val="0"/>
          <w:spacing w:val="10"/>
          <w:sz w:val="22"/>
          <w:szCs w:val="22"/>
        </w:rPr>
        <w:t>desocupados</w:t>
      </w:r>
      <w:r w:rsidR="009A7A1E">
        <w:rPr>
          <w:b w:val="0"/>
          <w:spacing w:val="10"/>
          <w:sz w:val="22"/>
          <w:szCs w:val="22"/>
        </w:rPr>
        <w:t>;</w:t>
      </w:r>
      <w:r w:rsidR="005B0767">
        <w:rPr>
          <w:b w:val="0"/>
          <w:spacing w:val="10"/>
          <w:sz w:val="22"/>
          <w:szCs w:val="22"/>
        </w:rPr>
        <w:t xml:space="preserve"> </w:t>
      </w:r>
      <w:r w:rsidR="00AF4D07">
        <w:rPr>
          <w:b w:val="0"/>
          <w:spacing w:val="10"/>
          <w:sz w:val="22"/>
          <w:szCs w:val="22"/>
        </w:rPr>
        <w:t>por su parte</w:t>
      </w:r>
      <w:r w:rsidR="001E2286">
        <w:rPr>
          <w:b w:val="0"/>
          <w:spacing w:val="10"/>
          <w:sz w:val="22"/>
          <w:szCs w:val="22"/>
        </w:rPr>
        <w:t>,</w:t>
      </w:r>
      <w:r w:rsidR="00416493">
        <w:rPr>
          <w:b w:val="0"/>
          <w:spacing w:val="10"/>
          <w:sz w:val="22"/>
          <w:szCs w:val="22"/>
        </w:rPr>
        <w:t xml:space="preserve"> de la PEA </w:t>
      </w:r>
      <w:r w:rsidR="00AF4D07">
        <w:rPr>
          <w:b w:val="0"/>
          <w:spacing w:val="10"/>
          <w:sz w:val="22"/>
          <w:szCs w:val="22"/>
        </w:rPr>
        <w:t>femenina,</w:t>
      </w:r>
      <w:r w:rsidR="00416493">
        <w:rPr>
          <w:b w:val="0"/>
          <w:spacing w:val="10"/>
          <w:sz w:val="22"/>
          <w:szCs w:val="22"/>
        </w:rPr>
        <w:t xml:space="preserve"> </w:t>
      </w:r>
      <w:r w:rsidR="00CB0067">
        <w:rPr>
          <w:b w:val="0"/>
          <w:spacing w:val="10"/>
          <w:sz w:val="22"/>
          <w:szCs w:val="22"/>
        </w:rPr>
        <w:t>9</w:t>
      </w:r>
      <w:r w:rsidR="00A21C5F">
        <w:rPr>
          <w:b w:val="0"/>
          <w:spacing w:val="10"/>
          <w:sz w:val="22"/>
          <w:szCs w:val="22"/>
        </w:rPr>
        <w:t>3</w:t>
      </w:r>
      <w:r w:rsidR="00CB0067">
        <w:rPr>
          <w:b w:val="0"/>
          <w:spacing w:val="10"/>
          <w:sz w:val="22"/>
          <w:szCs w:val="22"/>
        </w:rPr>
        <w:t>.</w:t>
      </w:r>
      <w:r w:rsidR="00A21C5F">
        <w:rPr>
          <w:b w:val="0"/>
          <w:spacing w:val="10"/>
          <w:sz w:val="22"/>
          <w:szCs w:val="22"/>
        </w:rPr>
        <w:t>7</w:t>
      </w:r>
      <w:r w:rsidR="00416493">
        <w:rPr>
          <w:b w:val="0"/>
          <w:spacing w:val="10"/>
          <w:sz w:val="22"/>
          <w:szCs w:val="22"/>
        </w:rPr>
        <w:t xml:space="preserve">% </w:t>
      </w:r>
      <w:r w:rsidR="00030476">
        <w:rPr>
          <w:b w:val="0"/>
          <w:spacing w:val="10"/>
          <w:sz w:val="22"/>
          <w:szCs w:val="22"/>
        </w:rPr>
        <w:t xml:space="preserve">fueron </w:t>
      </w:r>
      <w:r w:rsidR="00AF4D07">
        <w:rPr>
          <w:b w:val="0"/>
          <w:spacing w:val="10"/>
          <w:sz w:val="22"/>
          <w:szCs w:val="22"/>
        </w:rPr>
        <w:t xml:space="preserve">ocupadas </w:t>
      </w:r>
      <w:r w:rsidR="001E2286">
        <w:rPr>
          <w:b w:val="0"/>
          <w:spacing w:val="10"/>
          <w:sz w:val="22"/>
          <w:szCs w:val="22"/>
        </w:rPr>
        <w:t xml:space="preserve">y </w:t>
      </w:r>
      <w:r w:rsidR="00AF4D07">
        <w:rPr>
          <w:b w:val="0"/>
          <w:spacing w:val="10"/>
          <w:sz w:val="22"/>
          <w:szCs w:val="22"/>
        </w:rPr>
        <w:t xml:space="preserve">el </w:t>
      </w:r>
      <w:r w:rsidR="00A21C5F">
        <w:rPr>
          <w:b w:val="0"/>
          <w:spacing w:val="10"/>
          <w:sz w:val="22"/>
          <w:szCs w:val="22"/>
        </w:rPr>
        <w:t>6.3</w:t>
      </w:r>
      <w:r w:rsidR="00416493">
        <w:rPr>
          <w:b w:val="0"/>
          <w:spacing w:val="10"/>
          <w:sz w:val="22"/>
          <w:szCs w:val="22"/>
        </w:rPr>
        <w:t xml:space="preserve">% </w:t>
      </w:r>
      <w:r w:rsidR="001E2286">
        <w:rPr>
          <w:b w:val="0"/>
          <w:spacing w:val="10"/>
          <w:sz w:val="22"/>
          <w:szCs w:val="22"/>
        </w:rPr>
        <w:t>desocupadas</w:t>
      </w:r>
      <w:r w:rsidR="00416493">
        <w:rPr>
          <w:b w:val="0"/>
          <w:spacing w:val="10"/>
          <w:sz w:val="22"/>
          <w:szCs w:val="22"/>
        </w:rPr>
        <w:t>.</w:t>
      </w:r>
    </w:p>
    <w:p w14:paraId="7978DDFB" w14:textId="77777777" w:rsidR="00416493" w:rsidRDefault="00416493" w:rsidP="00252EDE">
      <w:pPr>
        <w:pStyle w:val="Subttulo"/>
        <w:jc w:val="both"/>
        <w:rPr>
          <w:b w:val="0"/>
          <w:spacing w:val="10"/>
          <w:sz w:val="22"/>
          <w:szCs w:val="22"/>
        </w:rPr>
      </w:pPr>
    </w:p>
    <w:p w14:paraId="2CE8F11A" w14:textId="77777777" w:rsidR="005A3CB1" w:rsidRDefault="008B0808" w:rsidP="00252EDE">
      <w:pPr>
        <w:pStyle w:val="Subttulo"/>
        <w:jc w:val="both"/>
        <w:rPr>
          <w:b w:val="0"/>
          <w:spacing w:val="10"/>
          <w:sz w:val="22"/>
          <w:szCs w:val="22"/>
        </w:rPr>
      </w:pPr>
      <w:r>
        <w:rPr>
          <w:b w:val="0"/>
          <w:spacing w:val="10"/>
          <w:sz w:val="22"/>
          <w:szCs w:val="22"/>
        </w:rPr>
        <w:t>La Población No Económicamente Activa (PNEA)</w:t>
      </w:r>
      <w:r w:rsidR="002F477C">
        <w:rPr>
          <w:b w:val="0"/>
          <w:spacing w:val="10"/>
          <w:sz w:val="22"/>
          <w:szCs w:val="22"/>
        </w:rPr>
        <w:t>,</w:t>
      </w:r>
      <w:r>
        <w:rPr>
          <w:b w:val="0"/>
          <w:spacing w:val="10"/>
          <w:sz w:val="22"/>
          <w:szCs w:val="22"/>
        </w:rPr>
        <w:t xml:space="preserve"> </w:t>
      </w:r>
      <w:r w:rsidR="00A706A2">
        <w:rPr>
          <w:b w:val="0"/>
          <w:spacing w:val="10"/>
          <w:sz w:val="22"/>
          <w:szCs w:val="22"/>
        </w:rPr>
        <w:t>fue de</w:t>
      </w:r>
      <w:r w:rsidR="00BB0732">
        <w:rPr>
          <w:b w:val="0"/>
          <w:spacing w:val="10"/>
          <w:sz w:val="22"/>
          <w:szCs w:val="22"/>
        </w:rPr>
        <w:t xml:space="preserve"> </w:t>
      </w:r>
      <w:r w:rsidR="00CB0067">
        <w:rPr>
          <w:b w:val="0"/>
          <w:spacing w:val="10"/>
          <w:sz w:val="22"/>
          <w:szCs w:val="22"/>
        </w:rPr>
        <w:t>4</w:t>
      </w:r>
      <w:r w:rsidR="00A21C5F">
        <w:rPr>
          <w:b w:val="0"/>
          <w:spacing w:val="10"/>
          <w:sz w:val="22"/>
          <w:szCs w:val="22"/>
        </w:rPr>
        <w:t>3</w:t>
      </w:r>
      <w:r w:rsidR="00CB0067">
        <w:rPr>
          <w:b w:val="0"/>
          <w:spacing w:val="10"/>
          <w:sz w:val="22"/>
          <w:szCs w:val="22"/>
        </w:rPr>
        <w:t>.</w:t>
      </w:r>
      <w:r w:rsidR="00A21C5F">
        <w:rPr>
          <w:b w:val="0"/>
          <w:spacing w:val="10"/>
          <w:sz w:val="22"/>
          <w:szCs w:val="22"/>
        </w:rPr>
        <w:t>2</w:t>
      </w:r>
      <w:r w:rsidR="00BB0732">
        <w:rPr>
          <w:b w:val="0"/>
          <w:spacing w:val="10"/>
          <w:sz w:val="22"/>
          <w:szCs w:val="22"/>
        </w:rPr>
        <w:t xml:space="preserve"> millones de personas (</w:t>
      </w:r>
      <w:r w:rsidR="00A03870">
        <w:rPr>
          <w:b w:val="0"/>
          <w:spacing w:val="10"/>
          <w:sz w:val="22"/>
          <w:szCs w:val="22"/>
        </w:rPr>
        <w:t>4</w:t>
      </w:r>
      <w:r w:rsidR="00A21C5F">
        <w:rPr>
          <w:b w:val="0"/>
          <w:spacing w:val="10"/>
          <w:sz w:val="22"/>
          <w:szCs w:val="22"/>
        </w:rPr>
        <w:t>5</w:t>
      </w:r>
      <w:r w:rsidR="00CB0067">
        <w:rPr>
          <w:b w:val="0"/>
          <w:spacing w:val="10"/>
          <w:sz w:val="22"/>
          <w:szCs w:val="22"/>
        </w:rPr>
        <w:t>.</w:t>
      </w:r>
      <w:r w:rsidR="00A21C5F">
        <w:rPr>
          <w:b w:val="0"/>
          <w:spacing w:val="10"/>
          <w:sz w:val="22"/>
          <w:szCs w:val="22"/>
        </w:rPr>
        <w:t>1</w:t>
      </w:r>
      <w:r>
        <w:rPr>
          <w:b w:val="0"/>
          <w:spacing w:val="10"/>
          <w:sz w:val="22"/>
          <w:szCs w:val="22"/>
        </w:rPr>
        <w:t>%</w:t>
      </w:r>
      <w:r w:rsidR="002F477C">
        <w:rPr>
          <w:b w:val="0"/>
          <w:spacing w:val="10"/>
          <w:sz w:val="22"/>
          <w:szCs w:val="22"/>
        </w:rPr>
        <w:t xml:space="preserve"> de la población </w:t>
      </w:r>
      <w:r w:rsidR="002F2660">
        <w:rPr>
          <w:b w:val="0"/>
          <w:spacing w:val="10"/>
          <w:sz w:val="22"/>
          <w:szCs w:val="22"/>
        </w:rPr>
        <w:t>de 15 y más años de edad</w:t>
      </w:r>
      <w:r w:rsidR="00BB0732">
        <w:rPr>
          <w:b w:val="0"/>
          <w:spacing w:val="10"/>
          <w:sz w:val="22"/>
          <w:szCs w:val="22"/>
        </w:rPr>
        <w:t>)</w:t>
      </w:r>
      <w:r w:rsidR="00C142BC">
        <w:rPr>
          <w:b w:val="0"/>
          <w:spacing w:val="10"/>
          <w:sz w:val="22"/>
          <w:szCs w:val="22"/>
        </w:rPr>
        <w:t xml:space="preserve"> en </w:t>
      </w:r>
      <w:r w:rsidR="00343375">
        <w:rPr>
          <w:b w:val="0"/>
          <w:spacing w:val="10"/>
          <w:sz w:val="22"/>
          <w:szCs w:val="22"/>
        </w:rPr>
        <w:t>ju</w:t>
      </w:r>
      <w:r w:rsidR="00A21C5F">
        <w:rPr>
          <w:b w:val="0"/>
          <w:spacing w:val="10"/>
          <w:sz w:val="22"/>
          <w:szCs w:val="22"/>
        </w:rPr>
        <w:t>l</w:t>
      </w:r>
      <w:r w:rsidR="00343375">
        <w:rPr>
          <w:b w:val="0"/>
          <w:spacing w:val="10"/>
          <w:sz w:val="22"/>
          <w:szCs w:val="22"/>
        </w:rPr>
        <w:t>io</w:t>
      </w:r>
      <w:r w:rsidR="00C142BC">
        <w:rPr>
          <w:b w:val="0"/>
          <w:spacing w:val="10"/>
          <w:sz w:val="22"/>
          <w:szCs w:val="22"/>
        </w:rPr>
        <w:t xml:space="preserve"> de </w:t>
      </w:r>
      <w:r w:rsidR="00864D56">
        <w:rPr>
          <w:b w:val="0"/>
          <w:spacing w:val="10"/>
          <w:sz w:val="22"/>
          <w:szCs w:val="22"/>
        </w:rPr>
        <w:t>este año</w:t>
      </w:r>
      <w:r w:rsidR="00366564">
        <w:rPr>
          <w:b w:val="0"/>
          <w:spacing w:val="10"/>
          <w:sz w:val="22"/>
          <w:szCs w:val="22"/>
        </w:rPr>
        <w:t xml:space="preserve">, cifra </w:t>
      </w:r>
      <w:r w:rsidR="00864D56">
        <w:rPr>
          <w:b w:val="0"/>
          <w:spacing w:val="10"/>
          <w:sz w:val="22"/>
          <w:szCs w:val="22"/>
        </w:rPr>
        <w:t>(-)</w:t>
      </w:r>
      <w:r w:rsidR="00A21C5F">
        <w:rPr>
          <w:b w:val="0"/>
          <w:spacing w:val="10"/>
          <w:sz w:val="22"/>
          <w:szCs w:val="22"/>
        </w:rPr>
        <w:t>2</w:t>
      </w:r>
      <w:r w:rsidR="00366564">
        <w:rPr>
          <w:b w:val="0"/>
          <w:spacing w:val="10"/>
          <w:sz w:val="22"/>
          <w:szCs w:val="22"/>
        </w:rPr>
        <w:t xml:space="preserve"> millones inferior a la del mes previo. De la PNEA total</w:t>
      </w:r>
      <w:r w:rsidR="005A3CB1">
        <w:rPr>
          <w:b w:val="0"/>
          <w:spacing w:val="10"/>
          <w:sz w:val="22"/>
          <w:szCs w:val="22"/>
        </w:rPr>
        <w:t>, los hombres</w:t>
      </w:r>
      <w:r w:rsidR="00864D56">
        <w:rPr>
          <w:b w:val="0"/>
          <w:spacing w:val="10"/>
          <w:sz w:val="22"/>
          <w:szCs w:val="22"/>
        </w:rPr>
        <w:t xml:space="preserve"> se ubicaron en </w:t>
      </w:r>
      <w:r w:rsidR="00CB0067">
        <w:rPr>
          <w:b w:val="0"/>
          <w:spacing w:val="10"/>
          <w:sz w:val="22"/>
          <w:szCs w:val="22"/>
        </w:rPr>
        <w:t>1</w:t>
      </w:r>
      <w:r w:rsidR="00A21C5F">
        <w:rPr>
          <w:b w:val="0"/>
          <w:spacing w:val="10"/>
          <w:sz w:val="22"/>
          <w:szCs w:val="22"/>
        </w:rPr>
        <w:t>2</w:t>
      </w:r>
      <w:r w:rsidR="00CB0067">
        <w:rPr>
          <w:b w:val="0"/>
          <w:spacing w:val="10"/>
          <w:sz w:val="22"/>
          <w:szCs w:val="22"/>
        </w:rPr>
        <w:t>.</w:t>
      </w:r>
      <w:r w:rsidR="00A21C5F">
        <w:rPr>
          <w:b w:val="0"/>
          <w:spacing w:val="10"/>
          <w:sz w:val="22"/>
          <w:szCs w:val="22"/>
        </w:rPr>
        <w:t>7</w:t>
      </w:r>
      <w:r w:rsidR="005A3CB1">
        <w:rPr>
          <w:b w:val="0"/>
          <w:spacing w:val="10"/>
          <w:sz w:val="22"/>
          <w:szCs w:val="22"/>
        </w:rPr>
        <w:t xml:space="preserve"> millones </w:t>
      </w:r>
      <w:r w:rsidR="00FD2BE9">
        <w:rPr>
          <w:b w:val="0"/>
          <w:spacing w:val="10"/>
          <w:sz w:val="22"/>
          <w:szCs w:val="22"/>
        </w:rPr>
        <w:t>(</w:t>
      </w:r>
      <w:r w:rsidR="00A21C5F">
        <w:rPr>
          <w:b w:val="0"/>
          <w:spacing w:val="10"/>
          <w:sz w:val="22"/>
          <w:szCs w:val="22"/>
        </w:rPr>
        <w:t>27.8</w:t>
      </w:r>
      <w:r w:rsidR="00FD2BE9">
        <w:rPr>
          <w:b w:val="0"/>
          <w:spacing w:val="10"/>
          <w:sz w:val="22"/>
          <w:szCs w:val="22"/>
        </w:rPr>
        <w:t xml:space="preserve">%) </w:t>
      </w:r>
      <w:r w:rsidR="005A3CB1">
        <w:rPr>
          <w:b w:val="0"/>
          <w:spacing w:val="10"/>
          <w:sz w:val="22"/>
          <w:szCs w:val="22"/>
        </w:rPr>
        <w:t>y la</w:t>
      </w:r>
      <w:r w:rsidR="00D66A7E">
        <w:rPr>
          <w:b w:val="0"/>
          <w:spacing w:val="10"/>
          <w:sz w:val="22"/>
          <w:szCs w:val="22"/>
        </w:rPr>
        <w:t>s</w:t>
      </w:r>
      <w:r w:rsidR="005A3CB1">
        <w:rPr>
          <w:b w:val="0"/>
          <w:spacing w:val="10"/>
          <w:sz w:val="22"/>
          <w:szCs w:val="22"/>
        </w:rPr>
        <w:t xml:space="preserve"> mujeres </w:t>
      </w:r>
      <w:r w:rsidR="00864D56">
        <w:rPr>
          <w:b w:val="0"/>
          <w:spacing w:val="10"/>
          <w:sz w:val="22"/>
          <w:szCs w:val="22"/>
        </w:rPr>
        <w:t xml:space="preserve">en </w:t>
      </w:r>
      <w:r w:rsidR="001E2286">
        <w:rPr>
          <w:b w:val="0"/>
          <w:spacing w:val="10"/>
          <w:sz w:val="22"/>
          <w:szCs w:val="22"/>
        </w:rPr>
        <w:t>30.</w:t>
      </w:r>
      <w:r w:rsidR="00A21C5F">
        <w:rPr>
          <w:b w:val="0"/>
          <w:spacing w:val="10"/>
          <w:sz w:val="22"/>
          <w:szCs w:val="22"/>
        </w:rPr>
        <w:t>5</w:t>
      </w:r>
      <w:r w:rsidR="005A3CB1">
        <w:rPr>
          <w:b w:val="0"/>
          <w:spacing w:val="10"/>
          <w:sz w:val="22"/>
          <w:szCs w:val="22"/>
        </w:rPr>
        <w:t xml:space="preserve"> millones</w:t>
      </w:r>
      <w:r w:rsidR="00FD2BE9">
        <w:rPr>
          <w:b w:val="0"/>
          <w:spacing w:val="10"/>
          <w:sz w:val="22"/>
          <w:szCs w:val="22"/>
        </w:rPr>
        <w:t xml:space="preserve"> (</w:t>
      </w:r>
      <w:r w:rsidR="00CB0067">
        <w:rPr>
          <w:b w:val="0"/>
          <w:spacing w:val="10"/>
          <w:sz w:val="22"/>
          <w:szCs w:val="22"/>
        </w:rPr>
        <w:t>60.</w:t>
      </w:r>
      <w:r w:rsidR="00A21C5F">
        <w:rPr>
          <w:b w:val="0"/>
          <w:spacing w:val="10"/>
          <w:sz w:val="22"/>
          <w:szCs w:val="22"/>
        </w:rPr>
        <w:t>8</w:t>
      </w:r>
      <w:r w:rsidR="001E2286">
        <w:rPr>
          <w:b w:val="0"/>
          <w:spacing w:val="10"/>
          <w:sz w:val="22"/>
          <w:szCs w:val="22"/>
        </w:rPr>
        <w:t xml:space="preserve"> por ciento</w:t>
      </w:r>
      <w:r w:rsidR="00FD2BE9">
        <w:rPr>
          <w:b w:val="0"/>
          <w:spacing w:val="10"/>
          <w:sz w:val="22"/>
          <w:szCs w:val="22"/>
        </w:rPr>
        <w:t>)</w:t>
      </w:r>
      <w:r w:rsidR="005A3CB1">
        <w:rPr>
          <w:b w:val="0"/>
          <w:spacing w:val="10"/>
          <w:sz w:val="22"/>
          <w:szCs w:val="22"/>
        </w:rPr>
        <w:t>.</w:t>
      </w:r>
    </w:p>
    <w:p w14:paraId="7F76434A" w14:textId="77777777" w:rsidR="00366564" w:rsidRDefault="00366564" w:rsidP="00252EDE">
      <w:pPr>
        <w:pStyle w:val="Subttulo"/>
        <w:jc w:val="both"/>
        <w:rPr>
          <w:b w:val="0"/>
          <w:spacing w:val="10"/>
          <w:sz w:val="22"/>
          <w:szCs w:val="22"/>
        </w:rPr>
      </w:pPr>
    </w:p>
    <w:p w14:paraId="77006DB5" w14:textId="77777777" w:rsidR="003E203B" w:rsidRDefault="003E203B" w:rsidP="003E203B">
      <w:pPr>
        <w:pStyle w:val="Subttulo"/>
        <w:jc w:val="both"/>
        <w:rPr>
          <w:b w:val="0"/>
          <w:spacing w:val="10"/>
          <w:sz w:val="22"/>
          <w:szCs w:val="22"/>
        </w:rPr>
      </w:pPr>
      <w:r>
        <w:rPr>
          <w:b w:val="0"/>
          <w:spacing w:val="10"/>
          <w:sz w:val="22"/>
          <w:szCs w:val="22"/>
        </w:rPr>
        <w:t xml:space="preserve">La PNEA disponible </w:t>
      </w:r>
      <w:r w:rsidRPr="00B5576B">
        <w:rPr>
          <w:b w:val="0"/>
          <w:color w:val="000000" w:themeColor="text1"/>
          <w:spacing w:val="10"/>
          <w:sz w:val="22"/>
          <w:szCs w:val="22"/>
        </w:rPr>
        <w:t>para trabajar</w:t>
      </w:r>
      <w:r>
        <w:rPr>
          <w:rStyle w:val="Refdenotaalpie"/>
          <w:b w:val="0"/>
          <w:color w:val="000000" w:themeColor="text1"/>
          <w:spacing w:val="10"/>
          <w:sz w:val="22"/>
          <w:szCs w:val="22"/>
        </w:rPr>
        <w:footnoteReference w:id="4"/>
      </w:r>
      <w:r>
        <w:rPr>
          <w:b w:val="0"/>
          <w:color w:val="000000" w:themeColor="text1"/>
          <w:spacing w:val="10"/>
          <w:sz w:val="22"/>
          <w:szCs w:val="22"/>
        </w:rPr>
        <w:t>, es decir, quienes no buscaron trabajo</w:t>
      </w:r>
      <w:r w:rsidR="00121E72">
        <w:rPr>
          <w:b w:val="0"/>
          <w:color w:val="000000" w:themeColor="text1"/>
          <w:spacing w:val="10"/>
          <w:sz w:val="22"/>
          <w:szCs w:val="22"/>
        </w:rPr>
        <w:t>,</w:t>
      </w:r>
      <w:r>
        <w:rPr>
          <w:b w:val="0"/>
          <w:color w:val="000000" w:themeColor="text1"/>
          <w:spacing w:val="10"/>
          <w:sz w:val="22"/>
          <w:szCs w:val="22"/>
        </w:rPr>
        <w:t xml:space="preserve"> pero aceptarían uno</w:t>
      </w:r>
      <w:r w:rsidR="007543F9">
        <w:rPr>
          <w:b w:val="0"/>
          <w:color w:val="000000" w:themeColor="text1"/>
          <w:spacing w:val="10"/>
          <w:sz w:val="22"/>
          <w:szCs w:val="22"/>
        </w:rPr>
        <w:t xml:space="preserve"> si se los ofrecieran</w:t>
      </w:r>
      <w:r>
        <w:rPr>
          <w:b w:val="0"/>
          <w:color w:val="000000" w:themeColor="text1"/>
          <w:spacing w:val="10"/>
          <w:sz w:val="22"/>
          <w:szCs w:val="22"/>
        </w:rPr>
        <w:t xml:space="preserve">, </w:t>
      </w:r>
      <w:r>
        <w:rPr>
          <w:b w:val="0"/>
          <w:spacing w:val="10"/>
          <w:sz w:val="22"/>
          <w:szCs w:val="22"/>
        </w:rPr>
        <w:t xml:space="preserve">fue de </w:t>
      </w:r>
      <w:r w:rsidR="00224419">
        <w:rPr>
          <w:b w:val="0"/>
          <w:spacing w:val="10"/>
          <w:sz w:val="22"/>
          <w:szCs w:val="22"/>
        </w:rPr>
        <w:t>11.3</w:t>
      </w:r>
      <w:r>
        <w:rPr>
          <w:b w:val="0"/>
          <w:spacing w:val="10"/>
          <w:sz w:val="22"/>
          <w:szCs w:val="22"/>
        </w:rPr>
        <w:t xml:space="preserve"> millones de personas en </w:t>
      </w:r>
      <w:r w:rsidR="00864D56">
        <w:rPr>
          <w:b w:val="0"/>
          <w:spacing w:val="10"/>
          <w:sz w:val="22"/>
          <w:szCs w:val="22"/>
        </w:rPr>
        <w:t xml:space="preserve">el </w:t>
      </w:r>
      <w:r w:rsidR="00224419">
        <w:rPr>
          <w:b w:val="0"/>
          <w:spacing w:val="10"/>
          <w:sz w:val="22"/>
          <w:szCs w:val="22"/>
        </w:rPr>
        <w:t>séptimo</w:t>
      </w:r>
      <w:r w:rsidR="00864D56">
        <w:rPr>
          <w:b w:val="0"/>
          <w:spacing w:val="10"/>
          <w:sz w:val="22"/>
          <w:szCs w:val="22"/>
        </w:rPr>
        <w:t xml:space="preserve"> mes </w:t>
      </w:r>
      <w:r>
        <w:rPr>
          <w:b w:val="0"/>
          <w:spacing w:val="10"/>
          <w:sz w:val="22"/>
          <w:szCs w:val="22"/>
        </w:rPr>
        <w:t xml:space="preserve">de 2020, lo que representa el </w:t>
      </w:r>
      <w:r w:rsidR="00224419">
        <w:rPr>
          <w:b w:val="0"/>
          <w:spacing w:val="10"/>
          <w:sz w:val="22"/>
          <w:szCs w:val="22"/>
        </w:rPr>
        <w:t>26.1</w:t>
      </w:r>
      <w:r w:rsidR="00EC5279">
        <w:rPr>
          <w:b w:val="0"/>
          <w:spacing w:val="10"/>
          <w:sz w:val="22"/>
          <w:szCs w:val="22"/>
        </w:rPr>
        <w:t>%</w:t>
      </w:r>
      <w:r>
        <w:rPr>
          <w:b w:val="0"/>
          <w:spacing w:val="10"/>
          <w:sz w:val="22"/>
          <w:szCs w:val="22"/>
        </w:rPr>
        <w:t xml:space="preserve"> de la PNEA. Por su parte, la PNEA disponible para trabajar de hombres fue de </w:t>
      </w:r>
      <w:r w:rsidR="00224419">
        <w:rPr>
          <w:b w:val="0"/>
          <w:spacing w:val="10"/>
          <w:sz w:val="22"/>
          <w:szCs w:val="22"/>
        </w:rPr>
        <w:t>4</w:t>
      </w:r>
      <w:r w:rsidR="00CB0067">
        <w:rPr>
          <w:b w:val="0"/>
          <w:spacing w:val="10"/>
          <w:sz w:val="22"/>
          <w:szCs w:val="22"/>
        </w:rPr>
        <w:t>.8</w:t>
      </w:r>
      <w:r>
        <w:rPr>
          <w:b w:val="0"/>
          <w:spacing w:val="10"/>
          <w:sz w:val="22"/>
          <w:szCs w:val="22"/>
        </w:rPr>
        <w:t xml:space="preserve"> millones que equivale a </w:t>
      </w:r>
      <w:r w:rsidR="00224419">
        <w:rPr>
          <w:b w:val="0"/>
          <w:spacing w:val="10"/>
          <w:sz w:val="22"/>
          <w:szCs w:val="22"/>
        </w:rPr>
        <w:t>37.8</w:t>
      </w:r>
      <w:r>
        <w:rPr>
          <w:b w:val="0"/>
          <w:spacing w:val="10"/>
          <w:sz w:val="22"/>
          <w:szCs w:val="22"/>
        </w:rPr>
        <w:t xml:space="preserve">% de la PNEA masculina; en contraste, la PNEA disponible para trabajar femenina es de </w:t>
      </w:r>
      <w:r w:rsidR="00224419">
        <w:rPr>
          <w:b w:val="0"/>
          <w:spacing w:val="10"/>
          <w:sz w:val="22"/>
          <w:szCs w:val="22"/>
        </w:rPr>
        <w:t>6.5</w:t>
      </w:r>
      <w:r>
        <w:rPr>
          <w:b w:val="0"/>
          <w:spacing w:val="10"/>
          <w:sz w:val="22"/>
          <w:szCs w:val="22"/>
        </w:rPr>
        <w:t xml:space="preserve"> millones, cifra que representa el </w:t>
      </w:r>
      <w:r w:rsidR="00224419">
        <w:rPr>
          <w:b w:val="0"/>
          <w:spacing w:val="10"/>
          <w:sz w:val="22"/>
          <w:szCs w:val="22"/>
        </w:rPr>
        <w:t>21.2</w:t>
      </w:r>
      <w:r>
        <w:rPr>
          <w:b w:val="0"/>
          <w:spacing w:val="10"/>
          <w:sz w:val="22"/>
          <w:szCs w:val="22"/>
        </w:rPr>
        <w:t>% de la PNEA femenina.</w:t>
      </w:r>
    </w:p>
    <w:p w14:paraId="667DB475" w14:textId="77777777" w:rsidR="003E203B" w:rsidRDefault="003E203B" w:rsidP="00252EDE">
      <w:pPr>
        <w:pStyle w:val="Subttulo"/>
        <w:jc w:val="both"/>
        <w:rPr>
          <w:b w:val="0"/>
          <w:spacing w:val="10"/>
          <w:sz w:val="22"/>
          <w:szCs w:val="22"/>
        </w:rPr>
      </w:pPr>
    </w:p>
    <w:p w14:paraId="7F80E882" w14:textId="77777777" w:rsidR="00252EDE" w:rsidRPr="000C73EB" w:rsidRDefault="00D92903" w:rsidP="000C73EB">
      <w:pPr>
        <w:spacing w:after="0" w:line="240" w:lineRule="auto"/>
        <w:contextualSpacing/>
        <w:jc w:val="center"/>
        <w:rPr>
          <w:rFonts w:ascii="Arial" w:hAnsi="Arial" w:cs="Arial"/>
          <w:b/>
          <w:smallCaps/>
        </w:rPr>
      </w:pPr>
      <w:bookmarkStart w:id="3" w:name="_Hlk49818448"/>
      <w:r w:rsidRPr="000C73EB">
        <w:rPr>
          <w:rFonts w:ascii="Arial" w:hAnsi="Arial" w:cs="Arial"/>
          <w:b/>
          <w:smallCaps/>
        </w:rPr>
        <w:t>Población de 15 y más años por condición de actividad económica</w:t>
      </w:r>
      <w:r w:rsidR="006E2144">
        <w:rPr>
          <w:rFonts w:ascii="Arial" w:hAnsi="Arial" w:cs="Arial"/>
          <w:b/>
          <w:smallCaps/>
        </w:rPr>
        <w:t xml:space="preserve">, de ocupación y disponibilidad para trabajar </w:t>
      </w:r>
      <w:bookmarkEnd w:id="3"/>
      <w:r w:rsidR="006E2144">
        <w:rPr>
          <w:rFonts w:ascii="Arial" w:hAnsi="Arial" w:cs="Arial"/>
          <w:b/>
          <w:smallCaps/>
        </w:rPr>
        <w:t>según sexo</w:t>
      </w:r>
      <w:r w:rsidRPr="000C73EB">
        <w:rPr>
          <w:rFonts w:ascii="Arial" w:hAnsi="Arial" w:cs="Arial"/>
          <w:b/>
          <w:smallCaps/>
        </w:rPr>
        <w:t xml:space="preserve"> durante</w:t>
      </w:r>
      <w:r w:rsidR="0020118F" w:rsidRPr="000C73EB">
        <w:rPr>
          <w:rFonts w:ascii="Arial" w:hAnsi="Arial" w:cs="Arial"/>
          <w:b/>
          <w:smallCaps/>
        </w:rPr>
        <w:t xml:space="preserve"> </w:t>
      </w:r>
      <w:r w:rsidR="00343375">
        <w:rPr>
          <w:rFonts w:ascii="Arial" w:hAnsi="Arial" w:cs="Arial"/>
          <w:b/>
          <w:smallCaps/>
        </w:rPr>
        <w:t>ju</w:t>
      </w:r>
      <w:r w:rsidR="00140502">
        <w:rPr>
          <w:rFonts w:ascii="Arial" w:hAnsi="Arial" w:cs="Arial"/>
          <w:b/>
          <w:smallCaps/>
        </w:rPr>
        <w:t>li</w:t>
      </w:r>
      <w:r w:rsidR="00343375">
        <w:rPr>
          <w:rFonts w:ascii="Arial" w:hAnsi="Arial" w:cs="Arial"/>
          <w:b/>
          <w:smallCaps/>
        </w:rPr>
        <w:t>o</w:t>
      </w:r>
      <w:r w:rsidRPr="000C73EB">
        <w:rPr>
          <w:rFonts w:ascii="Arial" w:hAnsi="Arial" w:cs="Arial"/>
          <w:b/>
          <w:smallCaps/>
        </w:rPr>
        <w:t xml:space="preserve"> de 2020</w:t>
      </w:r>
    </w:p>
    <w:p w14:paraId="0F64B4AC" w14:textId="77777777" w:rsidR="00EE43E5" w:rsidRPr="00B11292" w:rsidRDefault="00EE43E5" w:rsidP="00EE43E5">
      <w:pPr>
        <w:spacing w:after="0" w:line="240" w:lineRule="auto"/>
        <w:contextualSpacing/>
        <w:jc w:val="center"/>
        <w:rPr>
          <w:rFonts w:ascii="Arial" w:hAnsi="Arial" w:cs="Arial"/>
          <w:smallCaps/>
        </w:rPr>
      </w:pPr>
      <w:r w:rsidRPr="00B11292">
        <w:rPr>
          <w:rFonts w:ascii="Arial" w:hAnsi="Arial" w:cs="Arial"/>
          <w:smallCaps/>
        </w:rPr>
        <w:t>(Porcentaje)</w:t>
      </w:r>
    </w:p>
    <w:p w14:paraId="2573DE43" w14:textId="77777777" w:rsidR="005E26A8" w:rsidRDefault="00DB4F74" w:rsidP="00CC5E3A">
      <w:pPr>
        <w:spacing w:after="0" w:line="240" w:lineRule="auto"/>
        <w:ind w:right="51"/>
        <w:jc w:val="center"/>
        <w:rPr>
          <w:rFonts w:ascii="Arial" w:hAnsi="Arial" w:cs="Arial"/>
          <w:smallCaps/>
        </w:rPr>
      </w:pPr>
      <w:r w:rsidRPr="00DB4F74">
        <w:rPr>
          <w:noProof/>
          <w:lang w:eastAsia="es-MX"/>
        </w:rPr>
        <w:drawing>
          <wp:inline distT="0" distB="0" distL="0" distR="0" wp14:anchorId="640022B5" wp14:editId="74405A8F">
            <wp:extent cx="5612130" cy="3914634"/>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3914634"/>
                    </a:xfrm>
                    <a:prstGeom prst="rect">
                      <a:avLst/>
                    </a:prstGeom>
                    <a:noFill/>
                    <a:ln>
                      <a:noFill/>
                    </a:ln>
                  </pic:spPr>
                </pic:pic>
              </a:graphicData>
            </a:graphic>
          </wp:inline>
        </w:drawing>
      </w:r>
    </w:p>
    <w:p w14:paraId="69227785"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6A501895"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1DCC0238"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367DDC03" w14:textId="77777777" w:rsidR="001F4770" w:rsidRPr="00C63172" w:rsidRDefault="001F4770" w:rsidP="001F4770">
      <w:pPr>
        <w:pStyle w:val="n0"/>
        <w:keepLines w:val="0"/>
        <w:widowControl w:val="0"/>
        <w:spacing w:before="0"/>
        <w:ind w:left="0" w:right="49" w:firstLine="0"/>
        <w:jc w:val="left"/>
        <w:rPr>
          <w:b/>
          <w:smallCaps/>
          <w:color w:val="auto"/>
          <w:sz w:val="22"/>
          <w:szCs w:val="22"/>
        </w:rPr>
      </w:pPr>
    </w:p>
    <w:p w14:paraId="156E2560" w14:textId="77777777" w:rsidR="001B08D2" w:rsidRPr="00744F7E" w:rsidRDefault="001B08D2" w:rsidP="008400D8">
      <w:pPr>
        <w:pStyle w:val="Subttulo"/>
        <w:jc w:val="both"/>
        <w:rPr>
          <w:b w:val="0"/>
          <w:bCs w:val="0"/>
          <w:spacing w:val="10"/>
          <w:sz w:val="22"/>
          <w:szCs w:val="22"/>
        </w:rPr>
      </w:pPr>
      <w:r w:rsidRPr="00744F7E">
        <w:rPr>
          <w:b w:val="0"/>
          <w:bCs w:val="0"/>
          <w:spacing w:val="10"/>
          <w:sz w:val="22"/>
          <w:szCs w:val="22"/>
        </w:rPr>
        <w:t xml:space="preserve">En términos absolutos, la PNEA disponible para trabajar disminuyó en </w:t>
      </w:r>
      <w:r w:rsidR="00C71849">
        <w:rPr>
          <w:b w:val="0"/>
          <w:bCs w:val="0"/>
          <w:spacing w:val="10"/>
          <w:sz w:val="22"/>
          <w:szCs w:val="22"/>
        </w:rPr>
        <w:t>(-)</w:t>
      </w:r>
      <w:r w:rsidR="00224419">
        <w:rPr>
          <w:b w:val="0"/>
          <w:bCs w:val="0"/>
          <w:spacing w:val="10"/>
          <w:sz w:val="22"/>
          <w:szCs w:val="22"/>
        </w:rPr>
        <w:t>2</w:t>
      </w:r>
      <w:r w:rsidRPr="00744F7E">
        <w:rPr>
          <w:b w:val="0"/>
          <w:bCs w:val="0"/>
          <w:spacing w:val="10"/>
          <w:sz w:val="22"/>
          <w:szCs w:val="22"/>
        </w:rPr>
        <w:t xml:space="preserve"> millones de personas entre junio</w:t>
      </w:r>
      <w:r w:rsidR="00224419">
        <w:rPr>
          <w:b w:val="0"/>
          <w:bCs w:val="0"/>
          <w:spacing w:val="10"/>
          <w:sz w:val="22"/>
          <w:szCs w:val="22"/>
        </w:rPr>
        <w:t xml:space="preserve"> y julio</w:t>
      </w:r>
      <w:r w:rsidRPr="00744F7E">
        <w:rPr>
          <w:b w:val="0"/>
          <w:bCs w:val="0"/>
          <w:spacing w:val="10"/>
          <w:sz w:val="22"/>
          <w:szCs w:val="22"/>
        </w:rPr>
        <w:t xml:space="preserve"> de 2020, </w:t>
      </w:r>
      <w:r w:rsidR="00224419">
        <w:rPr>
          <w:b w:val="0"/>
          <w:bCs w:val="0"/>
          <w:spacing w:val="10"/>
          <w:sz w:val="22"/>
          <w:szCs w:val="22"/>
        </w:rPr>
        <w:t>mientras que</w:t>
      </w:r>
      <w:r w:rsidR="00835862" w:rsidRPr="00744F7E">
        <w:rPr>
          <w:b w:val="0"/>
          <w:bCs w:val="0"/>
          <w:spacing w:val="10"/>
          <w:sz w:val="22"/>
          <w:szCs w:val="22"/>
        </w:rPr>
        <w:t xml:space="preserve"> </w:t>
      </w:r>
      <w:r w:rsidRPr="00744F7E">
        <w:rPr>
          <w:b w:val="0"/>
          <w:bCs w:val="0"/>
          <w:spacing w:val="10"/>
          <w:sz w:val="22"/>
          <w:szCs w:val="22"/>
        </w:rPr>
        <w:t>en el mismo periodo la PNEA no disponible para trabajar</w:t>
      </w:r>
      <w:r w:rsidR="00224419">
        <w:rPr>
          <w:b w:val="0"/>
          <w:bCs w:val="0"/>
          <w:spacing w:val="10"/>
          <w:sz w:val="22"/>
          <w:szCs w:val="22"/>
        </w:rPr>
        <w:t xml:space="preserve"> se mantuvo sin cambios</w:t>
      </w:r>
      <w:r w:rsidRPr="00744F7E">
        <w:rPr>
          <w:b w:val="0"/>
          <w:bCs w:val="0"/>
          <w:spacing w:val="10"/>
          <w:sz w:val="22"/>
          <w:szCs w:val="22"/>
        </w:rPr>
        <w:t>.</w:t>
      </w:r>
    </w:p>
    <w:p w14:paraId="3D9C95E3" w14:textId="77777777" w:rsidR="00835862" w:rsidRPr="00744F7E" w:rsidRDefault="00835862" w:rsidP="008400D8">
      <w:pPr>
        <w:pStyle w:val="Subttulo"/>
        <w:jc w:val="both"/>
        <w:rPr>
          <w:b w:val="0"/>
          <w:bCs w:val="0"/>
          <w:spacing w:val="10"/>
          <w:sz w:val="22"/>
          <w:szCs w:val="22"/>
        </w:rPr>
      </w:pPr>
    </w:p>
    <w:p w14:paraId="3B2F0047" w14:textId="77777777" w:rsidR="004670C5" w:rsidRPr="004670C5" w:rsidRDefault="004670C5" w:rsidP="001F4770">
      <w:pPr>
        <w:pStyle w:val="n0"/>
        <w:keepLines w:val="0"/>
        <w:widowControl w:val="0"/>
        <w:spacing w:before="0"/>
        <w:ind w:left="0" w:right="49" w:firstLine="0"/>
        <w:jc w:val="left"/>
        <w:rPr>
          <w:smallCaps/>
          <w:color w:val="auto"/>
          <w:sz w:val="22"/>
          <w:szCs w:val="22"/>
        </w:rPr>
      </w:pPr>
    </w:p>
    <w:p w14:paraId="152A8354" w14:textId="77777777" w:rsidR="00252EDE" w:rsidRPr="00C63172" w:rsidRDefault="00252EDE" w:rsidP="001F4770">
      <w:pPr>
        <w:pStyle w:val="n0"/>
        <w:keepLines w:val="0"/>
        <w:widowControl w:val="0"/>
        <w:spacing w:before="0"/>
        <w:ind w:left="0" w:right="49" w:firstLine="0"/>
        <w:jc w:val="left"/>
        <w:rPr>
          <w:b/>
          <w:smallCaps/>
          <w:color w:val="auto"/>
          <w:sz w:val="22"/>
          <w:szCs w:val="22"/>
        </w:rPr>
      </w:pPr>
      <w:r w:rsidRPr="00C63172">
        <w:rPr>
          <w:b/>
          <w:smallCaps/>
          <w:color w:val="auto"/>
          <w:sz w:val="22"/>
          <w:szCs w:val="22"/>
        </w:rPr>
        <w:t>población ocupada</w:t>
      </w:r>
    </w:p>
    <w:p w14:paraId="1AFCF7B2" w14:textId="77777777" w:rsidR="003A7249" w:rsidRDefault="003A7249" w:rsidP="00252EDE">
      <w:pPr>
        <w:pStyle w:val="Prrafodelista"/>
        <w:spacing w:after="0" w:line="240" w:lineRule="auto"/>
        <w:ind w:left="0" w:right="49"/>
        <w:jc w:val="both"/>
        <w:rPr>
          <w:rFonts w:ascii="Arial" w:hAnsi="Arial" w:cs="Arial"/>
          <w:bCs/>
          <w:spacing w:val="8"/>
        </w:rPr>
      </w:pPr>
    </w:p>
    <w:p w14:paraId="75B73AC2" w14:textId="30BEEDE2" w:rsidR="00D14A14" w:rsidRDefault="00252EDE"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Durante </w:t>
      </w:r>
      <w:r w:rsidR="00343375">
        <w:rPr>
          <w:rFonts w:ascii="Arial" w:hAnsi="Arial" w:cs="Arial"/>
          <w:bCs/>
          <w:spacing w:val="8"/>
        </w:rPr>
        <w:t>ju</w:t>
      </w:r>
      <w:r w:rsidR="004B60E7">
        <w:rPr>
          <w:rFonts w:ascii="Arial" w:hAnsi="Arial" w:cs="Arial"/>
          <w:bCs/>
          <w:spacing w:val="8"/>
        </w:rPr>
        <w:t>l</w:t>
      </w:r>
      <w:r w:rsidR="00343375">
        <w:rPr>
          <w:rFonts w:ascii="Arial" w:hAnsi="Arial" w:cs="Arial"/>
          <w:bCs/>
          <w:spacing w:val="8"/>
        </w:rPr>
        <w:t>io</w:t>
      </w:r>
      <w:r>
        <w:rPr>
          <w:rFonts w:ascii="Arial" w:hAnsi="Arial" w:cs="Arial"/>
          <w:bCs/>
          <w:spacing w:val="8"/>
        </w:rPr>
        <w:t xml:space="preserve"> de 2020, </w:t>
      </w:r>
      <w:r w:rsidR="00D14A14">
        <w:rPr>
          <w:rFonts w:ascii="Arial" w:hAnsi="Arial" w:cs="Arial"/>
          <w:bCs/>
          <w:spacing w:val="8"/>
        </w:rPr>
        <w:t xml:space="preserve">la población ocupada </w:t>
      </w:r>
      <w:r w:rsidR="004B60E7">
        <w:rPr>
          <w:rFonts w:ascii="Arial" w:hAnsi="Arial" w:cs="Arial"/>
          <w:bCs/>
          <w:spacing w:val="8"/>
        </w:rPr>
        <w:t>fue de 49.8 millones</w:t>
      </w:r>
      <w:r w:rsidR="00D14A14">
        <w:rPr>
          <w:rFonts w:ascii="Arial" w:hAnsi="Arial" w:cs="Arial"/>
          <w:bCs/>
          <w:spacing w:val="8"/>
        </w:rPr>
        <w:t xml:space="preserve">, cifra </w:t>
      </w:r>
      <w:r w:rsidR="00CA720D">
        <w:rPr>
          <w:rFonts w:ascii="Arial" w:hAnsi="Arial" w:cs="Arial"/>
          <w:bCs/>
          <w:spacing w:val="8"/>
        </w:rPr>
        <w:t xml:space="preserve">mayor en </w:t>
      </w:r>
      <w:r w:rsidR="004B60E7">
        <w:rPr>
          <w:rFonts w:ascii="Arial" w:hAnsi="Arial" w:cs="Arial"/>
          <w:bCs/>
          <w:spacing w:val="8"/>
        </w:rPr>
        <w:t>1.5</w:t>
      </w:r>
      <w:r w:rsidR="00CA720D">
        <w:rPr>
          <w:rFonts w:ascii="Arial" w:hAnsi="Arial" w:cs="Arial"/>
          <w:bCs/>
          <w:spacing w:val="8"/>
        </w:rPr>
        <w:t xml:space="preserve"> </w:t>
      </w:r>
      <w:r w:rsidR="004B60E7">
        <w:rPr>
          <w:rFonts w:ascii="Arial" w:hAnsi="Arial" w:cs="Arial"/>
          <w:bCs/>
          <w:spacing w:val="8"/>
        </w:rPr>
        <w:t>millones</w:t>
      </w:r>
      <w:r w:rsidR="00220E74">
        <w:rPr>
          <w:rFonts w:ascii="Arial" w:hAnsi="Arial" w:cs="Arial"/>
          <w:bCs/>
          <w:spacing w:val="8"/>
        </w:rPr>
        <w:t xml:space="preserve"> </w:t>
      </w:r>
      <w:r w:rsidR="009925A2">
        <w:rPr>
          <w:rFonts w:ascii="Arial" w:hAnsi="Arial" w:cs="Arial"/>
          <w:bCs/>
          <w:spacing w:val="8"/>
        </w:rPr>
        <w:t>comparada con</w:t>
      </w:r>
      <w:r w:rsidR="00220E74">
        <w:rPr>
          <w:rFonts w:ascii="Arial" w:hAnsi="Arial" w:cs="Arial"/>
          <w:bCs/>
          <w:spacing w:val="8"/>
        </w:rPr>
        <w:t xml:space="preserve"> </w:t>
      </w:r>
      <w:r w:rsidR="00C71849">
        <w:rPr>
          <w:rFonts w:ascii="Arial" w:hAnsi="Arial" w:cs="Arial"/>
          <w:bCs/>
          <w:spacing w:val="8"/>
        </w:rPr>
        <w:t xml:space="preserve">la de </w:t>
      </w:r>
      <w:r w:rsidR="004B60E7">
        <w:rPr>
          <w:rFonts w:ascii="Arial" w:hAnsi="Arial" w:cs="Arial"/>
          <w:bCs/>
          <w:spacing w:val="8"/>
        </w:rPr>
        <w:t>junio</w:t>
      </w:r>
      <w:r w:rsidR="00220E74">
        <w:rPr>
          <w:rFonts w:ascii="Arial" w:hAnsi="Arial" w:cs="Arial"/>
          <w:bCs/>
          <w:spacing w:val="8"/>
        </w:rPr>
        <w:t xml:space="preserve"> </w:t>
      </w:r>
      <w:r w:rsidR="00D14A14">
        <w:rPr>
          <w:rFonts w:ascii="Arial" w:hAnsi="Arial" w:cs="Arial"/>
          <w:bCs/>
          <w:spacing w:val="8"/>
        </w:rPr>
        <w:t>de</w:t>
      </w:r>
      <w:r w:rsidR="00721D75">
        <w:rPr>
          <w:rFonts w:ascii="Arial" w:hAnsi="Arial" w:cs="Arial"/>
          <w:bCs/>
          <w:spacing w:val="8"/>
        </w:rPr>
        <w:t>l mismo año</w:t>
      </w:r>
      <w:r w:rsidR="004B60E7">
        <w:rPr>
          <w:rFonts w:ascii="Arial" w:hAnsi="Arial" w:cs="Arial"/>
          <w:bCs/>
          <w:spacing w:val="8"/>
        </w:rPr>
        <w:t xml:space="preserve">. La población ocupada de hombres </w:t>
      </w:r>
      <w:r w:rsidR="00A94999">
        <w:rPr>
          <w:rFonts w:ascii="Arial" w:hAnsi="Arial" w:cs="Arial"/>
          <w:bCs/>
          <w:spacing w:val="8"/>
        </w:rPr>
        <w:t>fue</w:t>
      </w:r>
      <w:r w:rsidR="004B60E7">
        <w:rPr>
          <w:rFonts w:ascii="Arial" w:hAnsi="Arial" w:cs="Arial"/>
          <w:bCs/>
          <w:spacing w:val="8"/>
        </w:rPr>
        <w:t xml:space="preserve"> </w:t>
      </w:r>
      <w:r w:rsidR="00A94999">
        <w:rPr>
          <w:rFonts w:ascii="Arial" w:hAnsi="Arial" w:cs="Arial"/>
          <w:bCs/>
          <w:spacing w:val="8"/>
        </w:rPr>
        <w:t>de</w:t>
      </w:r>
      <w:r w:rsidR="004B60E7">
        <w:rPr>
          <w:rFonts w:ascii="Arial" w:hAnsi="Arial" w:cs="Arial"/>
          <w:bCs/>
          <w:spacing w:val="8"/>
        </w:rPr>
        <w:t xml:space="preserve"> 31.4 millones</w:t>
      </w:r>
      <w:r w:rsidR="00A94999">
        <w:rPr>
          <w:rFonts w:ascii="Arial" w:hAnsi="Arial" w:cs="Arial"/>
          <w:bCs/>
          <w:spacing w:val="8"/>
        </w:rPr>
        <w:t xml:space="preserve">, 2.2 millones más que en junio de 2020, frente una </w:t>
      </w:r>
      <w:r w:rsidR="004B60E7">
        <w:rPr>
          <w:rFonts w:ascii="Arial" w:hAnsi="Arial" w:cs="Arial"/>
          <w:bCs/>
          <w:spacing w:val="8"/>
        </w:rPr>
        <w:t xml:space="preserve">población ocupada de mujeres </w:t>
      </w:r>
      <w:r w:rsidR="00A94999">
        <w:rPr>
          <w:rFonts w:ascii="Arial" w:hAnsi="Arial" w:cs="Arial"/>
          <w:bCs/>
          <w:spacing w:val="8"/>
        </w:rPr>
        <w:t>de</w:t>
      </w:r>
      <w:r w:rsidR="004B60E7">
        <w:rPr>
          <w:rFonts w:ascii="Arial" w:hAnsi="Arial" w:cs="Arial"/>
          <w:bCs/>
          <w:spacing w:val="8"/>
        </w:rPr>
        <w:t xml:space="preserve"> 18.4 millones, </w:t>
      </w:r>
      <w:r w:rsidR="00A94999">
        <w:rPr>
          <w:rFonts w:ascii="Arial" w:hAnsi="Arial" w:cs="Arial"/>
          <w:bCs/>
          <w:spacing w:val="8"/>
        </w:rPr>
        <w:t>(-)787 mil personas menos en el mismo periodo.</w:t>
      </w:r>
    </w:p>
    <w:p w14:paraId="27B8CAA6" w14:textId="77430A15" w:rsidR="00777953" w:rsidRDefault="00777953" w:rsidP="00252EDE">
      <w:pPr>
        <w:pStyle w:val="Prrafodelista"/>
        <w:spacing w:after="0" w:line="240" w:lineRule="auto"/>
        <w:ind w:left="0" w:right="49"/>
        <w:jc w:val="both"/>
        <w:rPr>
          <w:rFonts w:ascii="Arial" w:hAnsi="Arial" w:cs="Arial"/>
          <w:bCs/>
          <w:spacing w:val="8"/>
        </w:rPr>
      </w:pPr>
    </w:p>
    <w:p w14:paraId="61E6C847" w14:textId="2F854F95" w:rsidR="00777953" w:rsidRDefault="00D444EE" w:rsidP="00252EDE">
      <w:pPr>
        <w:pStyle w:val="Prrafodelista"/>
        <w:spacing w:after="0" w:line="240" w:lineRule="auto"/>
        <w:ind w:left="0" w:right="49"/>
        <w:jc w:val="both"/>
        <w:rPr>
          <w:rFonts w:ascii="Arial" w:hAnsi="Arial" w:cs="Arial"/>
          <w:bCs/>
          <w:spacing w:val="8"/>
        </w:rPr>
      </w:pPr>
      <w:r>
        <w:rPr>
          <w:rFonts w:ascii="Arial" w:hAnsi="Arial" w:cs="Arial"/>
          <w:bCs/>
          <w:spacing w:val="8"/>
        </w:rPr>
        <w:t>En cuanto a l</w:t>
      </w:r>
      <w:r w:rsidR="00777953">
        <w:rPr>
          <w:rFonts w:ascii="Arial" w:hAnsi="Arial" w:cs="Arial"/>
          <w:bCs/>
          <w:spacing w:val="8"/>
        </w:rPr>
        <w:t xml:space="preserve">a población ocupada en el agregado urbano de 32 ciudades </w:t>
      </w:r>
      <w:r w:rsidR="00F67A3D">
        <w:rPr>
          <w:rFonts w:ascii="Arial" w:hAnsi="Arial" w:cs="Arial"/>
          <w:bCs/>
          <w:spacing w:val="8"/>
        </w:rPr>
        <w:t xml:space="preserve">la cifra </w:t>
      </w:r>
      <w:r>
        <w:rPr>
          <w:rFonts w:ascii="Arial" w:hAnsi="Arial" w:cs="Arial"/>
          <w:bCs/>
          <w:spacing w:val="8"/>
        </w:rPr>
        <w:t>corresponde a</w:t>
      </w:r>
      <w:r w:rsidR="00777953">
        <w:rPr>
          <w:rFonts w:ascii="Arial" w:hAnsi="Arial" w:cs="Arial"/>
          <w:bCs/>
          <w:spacing w:val="8"/>
        </w:rPr>
        <w:t xml:space="preserve"> 21.1 millones de personas</w:t>
      </w:r>
      <w:r>
        <w:rPr>
          <w:rFonts w:ascii="Arial" w:hAnsi="Arial" w:cs="Arial"/>
          <w:bCs/>
          <w:spacing w:val="8"/>
        </w:rPr>
        <w:t>,</w:t>
      </w:r>
      <w:r w:rsidR="00777953">
        <w:rPr>
          <w:rFonts w:ascii="Arial" w:hAnsi="Arial" w:cs="Arial"/>
          <w:bCs/>
          <w:spacing w:val="8"/>
        </w:rPr>
        <w:t xml:space="preserve"> de las cuales 12.6 millones son hombres y 8.5 millones son mujeres.</w:t>
      </w:r>
    </w:p>
    <w:p w14:paraId="11560F2D" w14:textId="77777777" w:rsidR="001E2286" w:rsidRDefault="001E2286" w:rsidP="00252EDE">
      <w:pPr>
        <w:pStyle w:val="Prrafodelista"/>
        <w:spacing w:after="0" w:line="240" w:lineRule="auto"/>
        <w:ind w:left="0" w:right="49"/>
        <w:jc w:val="both"/>
        <w:rPr>
          <w:rFonts w:ascii="Arial" w:hAnsi="Arial" w:cs="Arial"/>
          <w:bCs/>
          <w:spacing w:val="8"/>
        </w:rPr>
      </w:pPr>
    </w:p>
    <w:p w14:paraId="2D90FE00" w14:textId="77777777" w:rsidR="00A94999" w:rsidRDefault="00220E74" w:rsidP="00252EDE">
      <w:pPr>
        <w:pStyle w:val="Prrafodelista"/>
        <w:spacing w:after="0" w:line="240" w:lineRule="auto"/>
        <w:ind w:left="0" w:right="49"/>
        <w:jc w:val="both"/>
        <w:rPr>
          <w:rFonts w:ascii="Arial" w:hAnsi="Arial" w:cs="Arial"/>
          <w:bCs/>
          <w:spacing w:val="8"/>
        </w:rPr>
      </w:pPr>
      <w:r>
        <w:rPr>
          <w:rFonts w:ascii="Arial" w:hAnsi="Arial" w:cs="Arial"/>
          <w:bCs/>
          <w:spacing w:val="8"/>
        </w:rPr>
        <w:t>L</w:t>
      </w:r>
      <w:r w:rsidR="00252EDE" w:rsidRPr="006565E1">
        <w:rPr>
          <w:rFonts w:ascii="Arial" w:hAnsi="Arial" w:cs="Arial"/>
          <w:bCs/>
          <w:spacing w:val="8"/>
        </w:rPr>
        <w:t xml:space="preserve">a distribución según su posición </w:t>
      </w:r>
      <w:r>
        <w:rPr>
          <w:rFonts w:ascii="Arial" w:hAnsi="Arial" w:cs="Arial"/>
          <w:bCs/>
          <w:spacing w:val="8"/>
        </w:rPr>
        <w:t>en la ocupación</w:t>
      </w:r>
      <w:r w:rsidR="006565E1" w:rsidRPr="006565E1">
        <w:rPr>
          <w:rFonts w:ascii="Arial" w:hAnsi="Arial" w:cs="Arial"/>
          <w:bCs/>
          <w:spacing w:val="8"/>
        </w:rPr>
        <w:t xml:space="preserve"> indica que </w:t>
      </w:r>
      <w:r w:rsidR="00252EDE" w:rsidRPr="006565E1">
        <w:rPr>
          <w:rFonts w:ascii="Arial" w:hAnsi="Arial" w:cs="Arial"/>
          <w:bCs/>
          <w:spacing w:val="8"/>
        </w:rPr>
        <w:t xml:space="preserve">los trabajadores subordinados y remunerados </w:t>
      </w:r>
      <w:r w:rsidR="00754B6D">
        <w:rPr>
          <w:rFonts w:ascii="Arial" w:hAnsi="Arial" w:cs="Arial"/>
          <w:bCs/>
          <w:spacing w:val="8"/>
        </w:rPr>
        <w:t>concentraron</w:t>
      </w:r>
      <w:r w:rsidR="00252EDE" w:rsidRPr="006565E1">
        <w:rPr>
          <w:rFonts w:ascii="Arial" w:hAnsi="Arial" w:cs="Arial"/>
          <w:bCs/>
          <w:spacing w:val="8"/>
        </w:rPr>
        <w:t xml:space="preserve"> </w:t>
      </w:r>
      <w:r w:rsidR="006565E1">
        <w:rPr>
          <w:rFonts w:ascii="Arial" w:hAnsi="Arial" w:cs="Arial"/>
          <w:bCs/>
          <w:spacing w:val="8"/>
        </w:rPr>
        <w:t>e</w:t>
      </w:r>
      <w:r w:rsidR="00754B6D">
        <w:rPr>
          <w:rFonts w:ascii="Arial" w:hAnsi="Arial" w:cs="Arial"/>
          <w:bCs/>
          <w:spacing w:val="8"/>
        </w:rPr>
        <w:t>l</w:t>
      </w:r>
      <w:r w:rsidR="00252EDE" w:rsidRPr="006565E1">
        <w:rPr>
          <w:rFonts w:ascii="Arial" w:hAnsi="Arial" w:cs="Arial"/>
          <w:bCs/>
          <w:spacing w:val="8"/>
        </w:rPr>
        <w:t xml:space="preserve"> </w:t>
      </w:r>
      <w:r w:rsidR="00A94999">
        <w:rPr>
          <w:rFonts w:ascii="Arial" w:hAnsi="Arial" w:cs="Arial"/>
          <w:bCs/>
          <w:spacing w:val="8"/>
        </w:rPr>
        <w:t>68</w:t>
      </w:r>
      <w:r w:rsidR="00252EDE" w:rsidRPr="006565E1">
        <w:rPr>
          <w:rFonts w:ascii="Arial" w:hAnsi="Arial" w:cs="Arial"/>
          <w:bCs/>
          <w:spacing w:val="8"/>
        </w:rPr>
        <w:t>%</w:t>
      </w:r>
      <w:r w:rsidR="00754B6D">
        <w:rPr>
          <w:rFonts w:ascii="Arial" w:hAnsi="Arial" w:cs="Arial"/>
          <w:bCs/>
          <w:spacing w:val="8"/>
        </w:rPr>
        <w:t xml:space="preserve"> del total</w:t>
      </w:r>
      <w:r w:rsidR="006565E1" w:rsidRPr="006565E1">
        <w:rPr>
          <w:rFonts w:ascii="Arial" w:hAnsi="Arial" w:cs="Arial"/>
          <w:bCs/>
          <w:spacing w:val="8"/>
        </w:rPr>
        <w:t xml:space="preserve"> </w:t>
      </w:r>
      <w:r w:rsidR="00721D75">
        <w:rPr>
          <w:rFonts w:ascii="Arial" w:hAnsi="Arial" w:cs="Arial"/>
          <w:bCs/>
          <w:spacing w:val="8"/>
        </w:rPr>
        <w:t xml:space="preserve">de la población ocupada </w:t>
      </w:r>
      <w:r w:rsidR="006565E1" w:rsidRPr="006565E1">
        <w:rPr>
          <w:rFonts w:ascii="Arial" w:hAnsi="Arial" w:cs="Arial"/>
          <w:bCs/>
          <w:spacing w:val="8"/>
        </w:rPr>
        <w:t xml:space="preserve">y los </w:t>
      </w:r>
      <w:r w:rsidR="00252EDE" w:rsidRPr="006565E1">
        <w:rPr>
          <w:rFonts w:ascii="Arial" w:hAnsi="Arial" w:cs="Arial"/>
          <w:bCs/>
          <w:spacing w:val="8"/>
        </w:rPr>
        <w:t xml:space="preserve">trabajadores por cuenta propia </w:t>
      </w:r>
      <w:r w:rsidR="006565E1" w:rsidRPr="006565E1">
        <w:rPr>
          <w:rFonts w:ascii="Arial" w:hAnsi="Arial" w:cs="Arial"/>
          <w:bCs/>
          <w:spacing w:val="8"/>
        </w:rPr>
        <w:t xml:space="preserve">representaron el </w:t>
      </w:r>
      <w:r w:rsidR="00744F7E">
        <w:rPr>
          <w:rFonts w:ascii="Arial" w:hAnsi="Arial" w:cs="Arial"/>
          <w:bCs/>
          <w:spacing w:val="8"/>
        </w:rPr>
        <w:t>2</w:t>
      </w:r>
      <w:r w:rsidR="00A94999">
        <w:rPr>
          <w:rFonts w:ascii="Arial" w:hAnsi="Arial" w:cs="Arial"/>
          <w:bCs/>
          <w:spacing w:val="8"/>
        </w:rPr>
        <w:t>2.3</w:t>
      </w:r>
      <w:r w:rsidR="00252EDE" w:rsidRPr="006565E1">
        <w:rPr>
          <w:rFonts w:ascii="Arial" w:hAnsi="Arial" w:cs="Arial"/>
          <w:bCs/>
          <w:spacing w:val="8"/>
        </w:rPr>
        <w:t>%</w:t>
      </w:r>
      <w:r w:rsidR="006565E1" w:rsidRPr="006565E1">
        <w:rPr>
          <w:rFonts w:ascii="Arial" w:hAnsi="Arial" w:cs="Arial"/>
          <w:bCs/>
          <w:spacing w:val="8"/>
        </w:rPr>
        <w:t xml:space="preserve"> </w:t>
      </w:r>
      <w:r w:rsidR="00721D75">
        <w:rPr>
          <w:rFonts w:ascii="Arial" w:hAnsi="Arial" w:cs="Arial"/>
          <w:bCs/>
          <w:spacing w:val="8"/>
        </w:rPr>
        <w:t xml:space="preserve">para </w:t>
      </w:r>
      <w:r w:rsidR="00343375">
        <w:rPr>
          <w:rFonts w:ascii="Arial" w:hAnsi="Arial" w:cs="Arial"/>
          <w:bCs/>
          <w:spacing w:val="8"/>
        </w:rPr>
        <w:t>ju</w:t>
      </w:r>
      <w:r w:rsidR="00A94999">
        <w:rPr>
          <w:rFonts w:ascii="Arial" w:hAnsi="Arial" w:cs="Arial"/>
          <w:bCs/>
          <w:spacing w:val="8"/>
        </w:rPr>
        <w:t>l</w:t>
      </w:r>
      <w:r w:rsidR="00343375">
        <w:rPr>
          <w:rFonts w:ascii="Arial" w:hAnsi="Arial" w:cs="Arial"/>
          <w:bCs/>
          <w:spacing w:val="8"/>
        </w:rPr>
        <w:t>io</w:t>
      </w:r>
      <w:r w:rsidR="006565E1" w:rsidRPr="006565E1">
        <w:rPr>
          <w:rFonts w:ascii="Arial" w:hAnsi="Arial" w:cs="Arial"/>
          <w:bCs/>
          <w:spacing w:val="8"/>
        </w:rPr>
        <w:t xml:space="preserve"> de </w:t>
      </w:r>
      <w:r w:rsidR="00C71849">
        <w:rPr>
          <w:rFonts w:ascii="Arial" w:hAnsi="Arial" w:cs="Arial"/>
          <w:bCs/>
          <w:spacing w:val="8"/>
        </w:rPr>
        <w:t>este año</w:t>
      </w:r>
      <w:r w:rsidR="00252EDE" w:rsidRPr="006565E1">
        <w:rPr>
          <w:rFonts w:ascii="Arial" w:hAnsi="Arial" w:cs="Arial"/>
          <w:bCs/>
          <w:spacing w:val="8"/>
        </w:rPr>
        <w:t>.</w:t>
      </w:r>
      <w:r w:rsidR="009925A2">
        <w:rPr>
          <w:rFonts w:ascii="Arial" w:hAnsi="Arial" w:cs="Arial"/>
          <w:bCs/>
          <w:spacing w:val="8"/>
        </w:rPr>
        <w:t xml:space="preserve"> </w:t>
      </w:r>
      <w:r w:rsidR="00A94999">
        <w:rPr>
          <w:rFonts w:ascii="Arial" w:hAnsi="Arial" w:cs="Arial"/>
          <w:bCs/>
          <w:spacing w:val="8"/>
        </w:rPr>
        <w:t>Estos son los dos grupos ocupacionales dominantes en cuanto a estructura, pero en cuanto a variación respecto a junio de 2020, se observa una pérdida de participación de los trabajadores subordinados remunerados del orden de (-)2.8 puntos porcentuales, en tanto que los trabajadores por cuenta propia aumentaron 1.9 puntos porcentuales.</w:t>
      </w:r>
    </w:p>
    <w:p w14:paraId="2E6D18DF" w14:textId="77777777" w:rsidR="00A94999" w:rsidRDefault="00A94999" w:rsidP="00252EDE">
      <w:pPr>
        <w:pStyle w:val="Prrafodelista"/>
        <w:spacing w:after="0" w:line="240" w:lineRule="auto"/>
        <w:ind w:left="0" w:right="49"/>
        <w:jc w:val="both"/>
        <w:rPr>
          <w:rFonts w:ascii="Arial" w:hAnsi="Arial" w:cs="Arial"/>
          <w:bCs/>
          <w:spacing w:val="8"/>
        </w:rPr>
      </w:pPr>
    </w:p>
    <w:p w14:paraId="2A5FF8CE" w14:textId="77777777" w:rsidR="00252EDE" w:rsidRDefault="009925A2"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Los porcentajes de trabajadores subordinados y remunerados según sexo fueron de </w:t>
      </w:r>
      <w:r w:rsidR="00A94999">
        <w:rPr>
          <w:rFonts w:ascii="Arial" w:hAnsi="Arial" w:cs="Arial"/>
          <w:bCs/>
          <w:spacing w:val="8"/>
        </w:rPr>
        <w:t>68.4</w:t>
      </w:r>
      <w:r>
        <w:rPr>
          <w:rFonts w:ascii="Arial" w:hAnsi="Arial" w:cs="Arial"/>
          <w:bCs/>
          <w:spacing w:val="8"/>
        </w:rPr>
        <w:t xml:space="preserve">% en los hombres y de </w:t>
      </w:r>
      <w:r w:rsidR="00A94999">
        <w:rPr>
          <w:rFonts w:ascii="Arial" w:hAnsi="Arial" w:cs="Arial"/>
          <w:bCs/>
          <w:spacing w:val="8"/>
        </w:rPr>
        <w:t>67.3</w:t>
      </w:r>
      <w:r>
        <w:rPr>
          <w:rFonts w:ascii="Arial" w:hAnsi="Arial" w:cs="Arial"/>
          <w:bCs/>
          <w:spacing w:val="8"/>
        </w:rPr>
        <w:t xml:space="preserve">% en las mujeres; en contraste, los trabajadores por cuenta propia en los hombres constituyen el </w:t>
      </w:r>
      <w:r w:rsidR="00744F7E">
        <w:rPr>
          <w:rFonts w:ascii="Arial" w:hAnsi="Arial" w:cs="Arial"/>
          <w:bCs/>
          <w:spacing w:val="8"/>
        </w:rPr>
        <w:t>22</w:t>
      </w:r>
      <w:r>
        <w:rPr>
          <w:rFonts w:ascii="Arial" w:hAnsi="Arial" w:cs="Arial"/>
          <w:bCs/>
          <w:spacing w:val="8"/>
        </w:rPr>
        <w:t xml:space="preserve">% y en las mujeres el </w:t>
      </w:r>
      <w:r w:rsidR="00A94999">
        <w:rPr>
          <w:rFonts w:ascii="Arial" w:hAnsi="Arial" w:cs="Arial"/>
          <w:bCs/>
          <w:spacing w:val="8"/>
        </w:rPr>
        <w:t>22.8</w:t>
      </w:r>
      <w:r w:rsidR="009A6D12">
        <w:rPr>
          <w:rFonts w:ascii="Arial" w:hAnsi="Arial" w:cs="Arial"/>
          <w:bCs/>
          <w:spacing w:val="8"/>
        </w:rPr>
        <w:t xml:space="preserve"> </w:t>
      </w:r>
      <w:r w:rsidR="00721D75">
        <w:rPr>
          <w:rFonts w:ascii="Arial" w:hAnsi="Arial" w:cs="Arial"/>
          <w:bCs/>
          <w:spacing w:val="8"/>
        </w:rPr>
        <w:t>por ciento</w:t>
      </w:r>
      <w:r>
        <w:rPr>
          <w:rFonts w:ascii="Arial" w:hAnsi="Arial" w:cs="Arial"/>
          <w:bCs/>
          <w:spacing w:val="8"/>
        </w:rPr>
        <w:t>.</w:t>
      </w:r>
      <w:r w:rsidR="00AF4D07">
        <w:rPr>
          <w:rFonts w:ascii="Arial" w:hAnsi="Arial" w:cs="Arial"/>
          <w:bCs/>
          <w:spacing w:val="8"/>
        </w:rPr>
        <w:t xml:space="preserve"> </w:t>
      </w:r>
    </w:p>
    <w:p w14:paraId="3ED8CFDA" w14:textId="77777777" w:rsidR="00A577D5" w:rsidRDefault="00A577D5" w:rsidP="000C73EB">
      <w:pPr>
        <w:spacing w:after="0" w:line="240" w:lineRule="auto"/>
        <w:contextualSpacing/>
        <w:jc w:val="center"/>
        <w:rPr>
          <w:rFonts w:ascii="Arial" w:hAnsi="Arial" w:cs="Arial"/>
          <w:b/>
          <w:smallCaps/>
        </w:rPr>
      </w:pPr>
    </w:p>
    <w:p w14:paraId="1EAAAFF2" w14:textId="77777777" w:rsidR="0074035D"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Población ocupada según posición en la ocupación </w:t>
      </w:r>
      <w:r w:rsidR="003427BB">
        <w:rPr>
          <w:rFonts w:ascii="Arial" w:hAnsi="Arial" w:cs="Arial"/>
          <w:b/>
          <w:smallCaps/>
        </w:rPr>
        <w:t>y sexo</w:t>
      </w:r>
    </w:p>
    <w:p w14:paraId="152C90E9" w14:textId="77777777" w:rsidR="00252EDE" w:rsidRPr="000C73EB" w:rsidRDefault="00252EDE" w:rsidP="000C73E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40502">
        <w:rPr>
          <w:rFonts w:ascii="Arial" w:hAnsi="Arial" w:cs="Arial"/>
          <w:b/>
          <w:smallCaps/>
        </w:rPr>
        <w:t>jul</w:t>
      </w:r>
      <w:r w:rsidR="00343375">
        <w:rPr>
          <w:rFonts w:ascii="Arial" w:hAnsi="Arial" w:cs="Arial"/>
          <w:b/>
          <w:smallCaps/>
        </w:rPr>
        <w:t>io</w:t>
      </w:r>
      <w:r w:rsidRPr="000C73EB">
        <w:rPr>
          <w:rFonts w:ascii="Arial" w:hAnsi="Arial" w:cs="Arial"/>
          <w:b/>
          <w:smallCaps/>
        </w:rPr>
        <w:t xml:space="preserve"> de 2020</w:t>
      </w:r>
    </w:p>
    <w:p w14:paraId="69C004BF" w14:textId="77777777" w:rsidR="005E26A8" w:rsidRPr="00EE43E5" w:rsidRDefault="00252EDE" w:rsidP="000C73EB">
      <w:pPr>
        <w:spacing w:after="0" w:line="240" w:lineRule="auto"/>
        <w:contextualSpacing/>
        <w:jc w:val="center"/>
        <w:rPr>
          <w:rFonts w:ascii="Arial" w:hAnsi="Arial" w:cs="Arial"/>
          <w:smallCaps/>
        </w:rPr>
      </w:pPr>
      <w:r w:rsidRPr="00EE43E5">
        <w:rPr>
          <w:rFonts w:ascii="Arial" w:hAnsi="Arial" w:cs="Arial"/>
          <w:smallCaps/>
        </w:rPr>
        <w:t>(Porcentaje)</w:t>
      </w:r>
    </w:p>
    <w:p w14:paraId="068305E2" w14:textId="77777777" w:rsidR="00574F1E" w:rsidRDefault="00DB4F74" w:rsidP="00CC5E3A">
      <w:pPr>
        <w:spacing w:after="0" w:line="240" w:lineRule="auto"/>
        <w:ind w:right="51"/>
        <w:jc w:val="center"/>
        <w:rPr>
          <w:rFonts w:ascii="Arial" w:hAnsi="Arial" w:cs="Arial"/>
          <w:smallCaps/>
        </w:rPr>
      </w:pPr>
      <w:r w:rsidRPr="00DB4F74">
        <w:rPr>
          <w:noProof/>
          <w:lang w:eastAsia="es-MX"/>
        </w:rPr>
        <w:drawing>
          <wp:inline distT="0" distB="0" distL="0" distR="0" wp14:anchorId="63DF13DD" wp14:editId="0009DF21">
            <wp:extent cx="5612130" cy="3472938"/>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2130" cy="3472938"/>
                    </a:xfrm>
                    <a:prstGeom prst="rect">
                      <a:avLst/>
                    </a:prstGeom>
                    <a:noFill/>
                    <a:ln>
                      <a:noFill/>
                    </a:ln>
                  </pic:spPr>
                </pic:pic>
              </a:graphicData>
            </a:graphic>
          </wp:inline>
        </w:drawing>
      </w:r>
    </w:p>
    <w:p w14:paraId="6B855131"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488B770"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3BF24098"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57A4D944" w14:textId="77777777" w:rsidR="00A94999" w:rsidRDefault="00A94999" w:rsidP="00252EDE">
      <w:pPr>
        <w:pStyle w:val="Prrafodelista"/>
        <w:spacing w:after="0" w:line="240" w:lineRule="auto"/>
        <w:ind w:left="0" w:right="49"/>
        <w:jc w:val="both"/>
        <w:rPr>
          <w:rFonts w:ascii="Arial" w:hAnsi="Arial" w:cs="Arial"/>
          <w:bCs/>
          <w:spacing w:val="8"/>
        </w:rPr>
      </w:pPr>
    </w:p>
    <w:p w14:paraId="6A2FDB92" w14:textId="77777777" w:rsidR="00252EDE" w:rsidRPr="00BF71A5" w:rsidRDefault="00252EDE" w:rsidP="00252EDE">
      <w:pPr>
        <w:pStyle w:val="Prrafodelista"/>
        <w:spacing w:after="0" w:line="240" w:lineRule="auto"/>
        <w:ind w:left="0" w:right="49"/>
        <w:jc w:val="both"/>
        <w:rPr>
          <w:rFonts w:ascii="Arial" w:hAnsi="Arial" w:cs="Arial"/>
          <w:bCs/>
          <w:spacing w:val="8"/>
        </w:rPr>
      </w:pPr>
      <w:r w:rsidRPr="00BF71A5">
        <w:rPr>
          <w:rFonts w:ascii="Arial" w:hAnsi="Arial" w:cs="Arial"/>
          <w:bCs/>
          <w:spacing w:val="8"/>
        </w:rPr>
        <w:t xml:space="preserve">El sector </w:t>
      </w:r>
      <w:r w:rsidR="00030476">
        <w:rPr>
          <w:rFonts w:ascii="Arial" w:hAnsi="Arial" w:cs="Arial"/>
          <w:bCs/>
          <w:spacing w:val="8"/>
        </w:rPr>
        <w:t xml:space="preserve">económico </w:t>
      </w:r>
      <w:r w:rsidR="00D56FC6">
        <w:rPr>
          <w:rFonts w:ascii="Arial" w:hAnsi="Arial" w:cs="Arial"/>
          <w:bCs/>
          <w:spacing w:val="8"/>
        </w:rPr>
        <w:t xml:space="preserve">terciario sigue concentrando </w:t>
      </w:r>
      <w:r w:rsidR="00CA720D">
        <w:rPr>
          <w:rFonts w:ascii="Arial" w:hAnsi="Arial" w:cs="Arial"/>
          <w:bCs/>
          <w:spacing w:val="8"/>
        </w:rPr>
        <w:t>en j</w:t>
      </w:r>
      <w:r w:rsidR="00343375">
        <w:rPr>
          <w:rFonts w:ascii="Arial" w:hAnsi="Arial" w:cs="Arial"/>
          <w:bCs/>
          <w:spacing w:val="8"/>
        </w:rPr>
        <w:t>u</w:t>
      </w:r>
      <w:r w:rsidR="00A94999">
        <w:rPr>
          <w:rFonts w:ascii="Arial" w:hAnsi="Arial" w:cs="Arial"/>
          <w:bCs/>
          <w:spacing w:val="8"/>
        </w:rPr>
        <w:t>l</w:t>
      </w:r>
      <w:r w:rsidR="00343375">
        <w:rPr>
          <w:rFonts w:ascii="Arial" w:hAnsi="Arial" w:cs="Arial"/>
          <w:bCs/>
          <w:spacing w:val="8"/>
        </w:rPr>
        <w:t>io</w:t>
      </w:r>
      <w:r w:rsidR="00CA720D">
        <w:rPr>
          <w:rFonts w:ascii="Arial" w:hAnsi="Arial" w:cs="Arial"/>
          <w:bCs/>
          <w:spacing w:val="8"/>
        </w:rPr>
        <w:t xml:space="preserve"> de 2020 la mayor</w:t>
      </w:r>
      <w:r w:rsidR="00D56FC6">
        <w:rPr>
          <w:rFonts w:ascii="Arial" w:hAnsi="Arial" w:cs="Arial"/>
          <w:bCs/>
          <w:spacing w:val="8"/>
        </w:rPr>
        <w:t xml:space="preserve"> parte de la población ocupada, con una participación del</w:t>
      </w:r>
      <w:r w:rsidR="00B12321">
        <w:rPr>
          <w:rFonts w:ascii="Arial" w:hAnsi="Arial" w:cs="Arial"/>
          <w:bCs/>
          <w:spacing w:val="8"/>
        </w:rPr>
        <w:t xml:space="preserve"> </w:t>
      </w:r>
      <w:r w:rsidR="00744F7E">
        <w:rPr>
          <w:rFonts w:ascii="Arial" w:hAnsi="Arial" w:cs="Arial"/>
          <w:bCs/>
          <w:spacing w:val="8"/>
        </w:rPr>
        <w:t>63.1</w:t>
      </w:r>
      <w:r w:rsidRPr="00BF71A5">
        <w:rPr>
          <w:rFonts w:ascii="Arial" w:hAnsi="Arial" w:cs="Arial"/>
          <w:bCs/>
          <w:spacing w:val="8"/>
        </w:rPr>
        <w:t>%</w:t>
      </w:r>
      <w:r w:rsidR="003A319F">
        <w:rPr>
          <w:rFonts w:ascii="Arial" w:hAnsi="Arial" w:cs="Arial"/>
          <w:bCs/>
          <w:spacing w:val="8"/>
        </w:rPr>
        <w:t xml:space="preserve">, </w:t>
      </w:r>
      <w:r w:rsidR="00A94999">
        <w:rPr>
          <w:rFonts w:ascii="Arial" w:hAnsi="Arial" w:cs="Arial"/>
          <w:bCs/>
          <w:spacing w:val="8"/>
        </w:rPr>
        <w:t xml:space="preserve">manteniéndose sin cambio </w:t>
      </w:r>
      <w:r w:rsidR="005B5D92">
        <w:rPr>
          <w:rFonts w:ascii="Arial" w:hAnsi="Arial" w:cs="Arial"/>
          <w:bCs/>
          <w:spacing w:val="8"/>
        </w:rPr>
        <w:t xml:space="preserve">respecto </w:t>
      </w:r>
      <w:r w:rsidR="00C51713">
        <w:rPr>
          <w:rFonts w:ascii="Arial" w:hAnsi="Arial" w:cs="Arial"/>
          <w:bCs/>
          <w:spacing w:val="8"/>
        </w:rPr>
        <w:t>a</w:t>
      </w:r>
      <w:r w:rsidR="005B5D92">
        <w:rPr>
          <w:rFonts w:ascii="Arial" w:hAnsi="Arial" w:cs="Arial"/>
          <w:bCs/>
          <w:spacing w:val="8"/>
        </w:rPr>
        <w:t xml:space="preserve"> </w:t>
      </w:r>
      <w:r w:rsidR="00A94999">
        <w:rPr>
          <w:rFonts w:ascii="Arial" w:hAnsi="Arial" w:cs="Arial"/>
          <w:bCs/>
          <w:spacing w:val="8"/>
        </w:rPr>
        <w:t>junio</w:t>
      </w:r>
      <w:r w:rsidR="00CA720D">
        <w:rPr>
          <w:rFonts w:ascii="Arial" w:hAnsi="Arial" w:cs="Arial"/>
          <w:bCs/>
          <w:spacing w:val="8"/>
        </w:rPr>
        <w:t xml:space="preserve"> </w:t>
      </w:r>
      <w:r w:rsidR="005B5D92">
        <w:rPr>
          <w:rFonts w:ascii="Arial" w:hAnsi="Arial" w:cs="Arial"/>
          <w:bCs/>
          <w:spacing w:val="8"/>
        </w:rPr>
        <w:t>de</w:t>
      </w:r>
      <w:r w:rsidR="00C51713">
        <w:rPr>
          <w:rFonts w:ascii="Arial" w:hAnsi="Arial" w:cs="Arial"/>
          <w:bCs/>
          <w:spacing w:val="8"/>
        </w:rPr>
        <w:t>l año en curso</w:t>
      </w:r>
      <w:r w:rsidR="005B5D92">
        <w:rPr>
          <w:rFonts w:ascii="Arial" w:hAnsi="Arial" w:cs="Arial"/>
          <w:bCs/>
          <w:spacing w:val="8"/>
        </w:rPr>
        <w:t xml:space="preserve">. </w:t>
      </w:r>
      <w:r w:rsidR="00D56FC6">
        <w:rPr>
          <w:rFonts w:ascii="Arial" w:hAnsi="Arial" w:cs="Arial"/>
          <w:bCs/>
          <w:spacing w:val="8"/>
        </w:rPr>
        <w:t xml:space="preserve">Este sector </w:t>
      </w:r>
      <w:r w:rsidRPr="00BF71A5">
        <w:rPr>
          <w:rFonts w:ascii="Arial" w:hAnsi="Arial" w:cs="Arial"/>
          <w:bCs/>
          <w:spacing w:val="8"/>
        </w:rPr>
        <w:t>incluye al comercio, restaurantes y servicios de alojamiento, transportes, comunicaciones, servicios profesionales, financieros, servicios sociales, servicios diversos, gobierno y organismos internacionales.</w:t>
      </w:r>
    </w:p>
    <w:p w14:paraId="49075006" w14:textId="77777777" w:rsidR="00252EDE" w:rsidRDefault="00252EDE" w:rsidP="00252EDE">
      <w:pPr>
        <w:pStyle w:val="Prrafodelista"/>
        <w:spacing w:after="0" w:line="240" w:lineRule="auto"/>
        <w:ind w:left="0" w:right="49"/>
        <w:jc w:val="both"/>
        <w:rPr>
          <w:rFonts w:ascii="Arial" w:hAnsi="Arial" w:cs="Arial"/>
          <w:bCs/>
          <w:spacing w:val="8"/>
        </w:rPr>
      </w:pPr>
    </w:p>
    <w:p w14:paraId="3895C3CE" w14:textId="77777777" w:rsidR="00717775" w:rsidRDefault="00717775" w:rsidP="00252EDE">
      <w:pPr>
        <w:pStyle w:val="Prrafodelista"/>
        <w:spacing w:after="0" w:line="240" w:lineRule="auto"/>
        <w:ind w:left="0" w:right="49"/>
        <w:jc w:val="both"/>
        <w:rPr>
          <w:rFonts w:ascii="Arial" w:hAnsi="Arial" w:cs="Arial"/>
          <w:bCs/>
          <w:spacing w:val="8"/>
        </w:rPr>
      </w:pPr>
    </w:p>
    <w:p w14:paraId="64859691" w14:textId="77777777" w:rsidR="00717775" w:rsidRDefault="00717775" w:rsidP="00252EDE">
      <w:pPr>
        <w:pStyle w:val="Prrafodelista"/>
        <w:spacing w:after="0" w:line="240" w:lineRule="auto"/>
        <w:ind w:left="0" w:right="49"/>
        <w:jc w:val="both"/>
        <w:rPr>
          <w:rFonts w:ascii="Arial" w:hAnsi="Arial" w:cs="Arial"/>
          <w:bCs/>
          <w:spacing w:val="8"/>
        </w:rPr>
      </w:pPr>
    </w:p>
    <w:p w14:paraId="73EE259E" w14:textId="77777777" w:rsidR="0074035D" w:rsidRDefault="00252EDE" w:rsidP="00DF2689">
      <w:pPr>
        <w:spacing w:after="0" w:line="240" w:lineRule="auto"/>
        <w:jc w:val="center"/>
        <w:rPr>
          <w:rFonts w:ascii="Arial" w:hAnsi="Arial" w:cs="Arial"/>
          <w:b/>
          <w:smallCaps/>
        </w:rPr>
      </w:pPr>
      <w:r w:rsidRPr="000C73EB">
        <w:rPr>
          <w:rFonts w:ascii="Arial" w:hAnsi="Arial" w:cs="Arial"/>
          <w:b/>
          <w:smallCaps/>
        </w:rPr>
        <w:t>Población ocupada según sector de actividad económica</w:t>
      </w:r>
    </w:p>
    <w:p w14:paraId="122622A6" w14:textId="77777777" w:rsidR="00252EDE" w:rsidRPr="000C73EB" w:rsidRDefault="00252EDE" w:rsidP="003E203B">
      <w:pPr>
        <w:spacing w:after="0" w:line="240" w:lineRule="auto"/>
        <w:contextualSpacing/>
        <w:jc w:val="center"/>
        <w:rPr>
          <w:rFonts w:ascii="Arial" w:hAnsi="Arial" w:cs="Arial"/>
          <w:b/>
          <w:smallCaps/>
        </w:rPr>
      </w:pPr>
      <w:r w:rsidRPr="000C73EB">
        <w:rPr>
          <w:rFonts w:ascii="Arial" w:hAnsi="Arial" w:cs="Arial"/>
          <w:b/>
          <w:smallCaps/>
        </w:rPr>
        <w:t xml:space="preserve">durante </w:t>
      </w:r>
      <w:r w:rsidR="00140502">
        <w:rPr>
          <w:rFonts w:ascii="Arial" w:hAnsi="Arial" w:cs="Arial"/>
          <w:b/>
          <w:smallCaps/>
        </w:rPr>
        <w:t>jul</w:t>
      </w:r>
      <w:r w:rsidR="00343375">
        <w:rPr>
          <w:rFonts w:ascii="Arial" w:hAnsi="Arial" w:cs="Arial"/>
          <w:b/>
          <w:smallCaps/>
        </w:rPr>
        <w:t>io</w:t>
      </w:r>
      <w:r w:rsidRPr="000C73EB">
        <w:rPr>
          <w:rFonts w:ascii="Arial" w:hAnsi="Arial" w:cs="Arial"/>
          <w:b/>
          <w:smallCaps/>
        </w:rPr>
        <w:t xml:space="preserve"> de 2020</w:t>
      </w:r>
    </w:p>
    <w:p w14:paraId="5C0C04B5" w14:textId="77777777" w:rsidR="0076447E" w:rsidRPr="000C73EB" w:rsidRDefault="00252EDE" w:rsidP="000C73EB">
      <w:pPr>
        <w:spacing w:after="0" w:line="240" w:lineRule="auto"/>
        <w:contextualSpacing/>
        <w:jc w:val="center"/>
        <w:rPr>
          <w:rFonts w:ascii="Arial" w:hAnsi="Arial" w:cs="Arial"/>
          <w:smallCaps/>
        </w:rPr>
      </w:pPr>
      <w:r w:rsidRPr="000C73EB">
        <w:rPr>
          <w:rFonts w:ascii="Arial" w:hAnsi="Arial" w:cs="Arial"/>
          <w:smallCaps/>
        </w:rPr>
        <w:t>(Porcentaje)</w:t>
      </w:r>
    </w:p>
    <w:p w14:paraId="541D7BC1" w14:textId="77777777" w:rsidR="00574F1E" w:rsidRDefault="00DB4F74" w:rsidP="00CC5E3A">
      <w:pPr>
        <w:spacing w:after="0" w:line="240" w:lineRule="auto"/>
        <w:ind w:right="51"/>
        <w:jc w:val="center"/>
        <w:rPr>
          <w:rFonts w:ascii="Arial" w:hAnsi="Arial" w:cs="Arial"/>
          <w:smallCaps/>
        </w:rPr>
      </w:pPr>
      <w:r w:rsidRPr="00DB4F74">
        <w:rPr>
          <w:noProof/>
          <w:lang w:eastAsia="es-MX"/>
        </w:rPr>
        <w:drawing>
          <wp:inline distT="0" distB="0" distL="0" distR="0" wp14:anchorId="15C1A04D" wp14:editId="402F5D00">
            <wp:extent cx="5612130" cy="1610889"/>
            <wp:effectExtent l="0" t="0" r="762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1610889"/>
                    </a:xfrm>
                    <a:prstGeom prst="rect">
                      <a:avLst/>
                    </a:prstGeom>
                    <a:noFill/>
                    <a:ln>
                      <a:noFill/>
                    </a:ln>
                  </pic:spPr>
                </pic:pic>
              </a:graphicData>
            </a:graphic>
          </wp:inline>
        </w:drawing>
      </w:r>
    </w:p>
    <w:p w14:paraId="0A217974"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413CFE8E"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5BFE55E4"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4731F088" w14:textId="77777777" w:rsidR="005B5D92" w:rsidRDefault="005B5D92" w:rsidP="00252EDE">
      <w:pPr>
        <w:spacing w:after="0" w:line="240" w:lineRule="auto"/>
        <w:ind w:right="49"/>
        <w:jc w:val="both"/>
        <w:rPr>
          <w:rFonts w:ascii="Arial" w:hAnsi="Arial" w:cs="Arial"/>
        </w:rPr>
      </w:pPr>
    </w:p>
    <w:p w14:paraId="61E5700A" w14:textId="77777777" w:rsidR="005B5D92" w:rsidRDefault="003427BB" w:rsidP="00252EDE">
      <w:pPr>
        <w:spacing w:after="0" w:line="240" w:lineRule="auto"/>
        <w:ind w:right="49"/>
        <w:jc w:val="both"/>
        <w:rPr>
          <w:rFonts w:ascii="Arial" w:hAnsi="Arial" w:cs="Arial"/>
        </w:rPr>
      </w:pPr>
      <w:r>
        <w:rPr>
          <w:rFonts w:ascii="Arial" w:hAnsi="Arial" w:cs="Arial"/>
        </w:rPr>
        <w:t xml:space="preserve">En cuanto a la </w:t>
      </w:r>
      <w:r w:rsidR="00D56FC6">
        <w:rPr>
          <w:rFonts w:ascii="Arial" w:hAnsi="Arial" w:cs="Arial"/>
        </w:rPr>
        <w:t>duración de la jornada de trabajo durante</w:t>
      </w:r>
      <w:r w:rsidR="00640491">
        <w:rPr>
          <w:rFonts w:ascii="Arial" w:hAnsi="Arial" w:cs="Arial"/>
        </w:rPr>
        <w:t xml:space="preserve"> </w:t>
      </w:r>
      <w:r w:rsidR="00C53AE4">
        <w:rPr>
          <w:rFonts w:ascii="Arial" w:hAnsi="Arial" w:cs="Arial"/>
        </w:rPr>
        <w:t>el mes de referencia</w:t>
      </w:r>
      <w:r w:rsidR="00A25C39">
        <w:rPr>
          <w:rFonts w:ascii="Arial" w:hAnsi="Arial" w:cs="Arial"/>
        </w:rPr>
        <w:t xml:space="preserve">, destaca </w:t>
      </w:r>
      <w:r w:rsidR="00D450A8">
        <w:rPr>
          <w:rFonts w:ascii="Arial" w:hAnsi="Arial" w:cs="Arial"/>
        </w:rPr>
        <w:t xml:space="preserve">el </w:t>
      </w:r>
      <w:r w:rsidR="00E56BAF">
        <w:rPr>
          <w:rFonts w:ascii="Arial" w:hAnsi="Arial" w:cs="Arial"/>
        </w:rPr>
        <w:t>aumento</w:t>
      </w:r>
      <w:r w:rsidR="005B5D92">
        <w:rPr>
          <w:rFonts w:ascii="Arial" w:hAnsi="Arial" w:cs="Arial"/>
        </w:rPr>
        <w:t xml:space="preserve"> de los ocupados </w:t>
      </w:r>
      <w:r w:rsidR="00721D75">
        <w:rPr>
          <w:rFonts w:ascii="Arial" w:hAnsi="Arial" w:cs="Arial"/>
        </w:rPr>
        <w:t xml:space="preserve">que </w:t>
      </w:r>
      <w:r w:rsidR="00D450A8">
        <w:rPr>
          <w:rFonts w:ascii="Arial" w:hAnsi="Arial" w:cs="Arial"/>
        </w:rPr>
        <w:t xml:space="preserve">laboran más de 48 horas semanales, al pasar de 21.6% a 24.9% y los que </w:t>
      </w:r>
      <w:r w:rsidR="00721D75">
        <w:rPr>
          <w:rFonts w:ascii="Arial" w:hAnsi="Arial" w:cs="Arial"/>
        </w:rPr>
        <w:t xml:space="preserve">trabajan </w:t>
      </w:r>
      <w:r w:rsidR="005B5D92">
        <w:rPr>
          <w:rFonts w:ascii="Arial" w:hAnsi="Arial" w:cs="Arial"/>
        </w:rPr>
        <w:t xml:space="preserve">de </w:t>
      </w:r>
      <w:r w:rsidR="00B40DA8">
        <w:rPr>
          <w:rFonts w:ascii="Arial" w:hAnsi="Arial" w:cs="Arial"/>
        </w:rPr>
        <w:t xml:space="preserve">35 a 48 </w:t>
      </w:r>
      <w:r w:rsidR="005B5D92">
        <w:rPr>
          <w:rFonts w:ascii="Arial" w:hAnsi="Arial" w:cs="Arial"/>
        </w:rPr>
        <w:t>horas semanales</w:t>
      </w:r>
      <w:r w:rsidR="00721D75">
        <w:rPr>
          <w:rFonts w:ascii="Arial" w:hAnsi="Arial" w:cs="Arial"/>
        </w:rPr>
        <w:t>,</w:t>
      </w:r>
      <w:r w:rsidR="005B5D92">
        <w:rPr>
          <w:rFonts w:ascii="Arial" w:hAnsi="Arial" w:cs="Arial"/>
        </w:rPr>
        <w:t xml:space="preserve"> que de </w:t>
      </w:r>
      <w:r w:rsidR="00744F7E">
        <w:rPr>
          <w:rFonts w:ascii="Arial" w:hAnsi="Arial" w:cs="Arial"/>
        </w:rPr>
        <w:t>38.3</w:t>
      </w:r>
      <w:r w:rsidR="005B5D92">
        <w:rPr>
          <w:rFonts w:ascii="Arial" w:hAnsi="Arial" w:cs="Arial"/>
        </w:rPr>
        <w:t>%</w:t>
      </w:r>
      <w:r w:rsidR="00D450A8">
        <w:rPr>
          <w:rFonts w:ascii="Arial" w:hAnsi="Arial" w:cs="Arial"/>
        </w:rPr>
        <w:t xml:space="preserve"> pasaron a 41.6%, frente a una disminución de </w:t>
      </w:r>
      <w:r w:rsidR="00B40DA8">
        <w:rPr>
          <w:rFonts w:ascii="Arial" w:hAnsi="Arial" w:cs="Arial"/>
        </w:rPr>
        <w:t>los ocupados</w:t>
      </w:r>
      <w:r w:rsidR="00D450A8">
        <w:rPr>
          <w:rFonts w:ascii="Arial" w:hAnsi="Arial" w:cs="Arial"/>
        </w:rPr>
        <w:t xml:space="preserve"> en jornadas de 15 a 34 horas semanales de 21.4% a 18.1% </w:t>
      </w:r>
      <w:r w:rsidR="00B40DA8">
        <w:rPr>
          <w:rFonts w:ascii="Arial" w:hAnsi="Arial" w:cs="Arial"/>
        </w:rPr>
        <w:t>en el mismo periodo</w:t>
      </w:r>
      <w:r w:rsidR="005B5D92">
        <w:rPr>
          <w:rFonts w:ascii="Arial" w:hAnsi="Arial" w:cs="Arial"/>
        </w:rPr>
        <w:t>.</w:t>
      </w:r>
    </w:p>
    <w:p w14:paraId="3A081948" w14:textId="77777777" w:rsidR="005B5D92" w:rsidRDefault="005B5D92" w:rsidP="00252EDE">
      <w:pPr>
        <w:spacing w:after="0" w:line="240" w:lineRule="auto"/>
        <w:ind w:right="49"/>
        <w:jc w:val="both"/>
        <w:rPr>
          <w:rFonts w:ascii="Arial" w:hAnsi="Arial" w:cs="Arial"/>
        </w:rPr>
      </w:pPr>
    </w:p>
    <w:p w14:paraId="63BEBD57" w14:textId="20B9944C" w:rsidR="004670C5" w:rsidRPr="00D450A8" w:rsidRDefault="004670C5" w:rsidP="004670C5">
      <w:pPr>
        <w:spacing w:after="0" w:line="240" w:lineRule="auto"/>
        <w:ind w:right="49"/>
        <w:jc w:val="both"/>
        <w:rPr>
          <w:rFonts w:ascii="Arial" w:hAnsi="Arial" w:cs="Arial"/>
        </w:rPr>
      </w:pPr>
      <w:r>
        <w:rPr>
          <w:rFonts w:ascii="Arial" w:hAnsi="Arial" w:cs="Arial"/>
          <w:bCs/>
          <w:spacing w:val="8"/>
        </w:rPr>
        <w:t xml:space="preserve">La jornada de trabajo en los hombres presenta un comportamiento similar al total. </w:t>
      </w:r>
      <w:r>
        <w:rPr>
          <w:rFonts w:ascii="Arial" w:hAnsi="Arial" w:cs="Arial"/>
        </w:rPr>
        <w:t xml:space="preserve">Los ocupados que laboran más de 48 horas semanales aumentaron de 26.2% a 29.8% y los que trabajan de 35 a 48 horas semanales pasaron de 39.5% a 42.7%, frente a una </w:t>
      </w:r>
      <w:r w:rsidR="00CA4ACC">
        <w:rPr>
          <w:rFonts w:ascii="Arial" w:hAnsi="Arial" w:cs="Arial"/>
        </w:rPr>
        <w:t xml:space="preserve">reducción </w:t>
      </w:r>
      <w:r>
        <w:rPr>
          <w:rFonts w:ascii="Arial" w:hAnsi="Arial" w:cs="Arial"/>
        </w:rPr>
        <w:t xml:space="preserve">de los ocupados en jornadas de 15 a 34 horas semanales de 20.5% a 16% entre junio y julio de 2020. </w:t>
      </w:r>
      <w:r>
        <w:rPr>
          <w:rFonts w:ascii="Arial" w:hAnsi="Arial" w:cs="Arial"/>
          <w:bCs/>
          <w:spacing w:val="8"/>
        </w:rPr>
        <w:t>De igual manera, las mujeres</w:t>
      </w:r>
      <w:r>
        <w:rPr>
          <w:rFonts w:ascii="Arial" w:hAnsi="Arial" w:cs="Arial"/>
        </w:rPr>
        <w:t xml:space="preserve"> ocupadas en jornadas de más de 48 horas semanales aumentaron de 14.5% a 16.6% y l</w:t>
      </w:r>
      <w:r w:rsidR="006D0387">
        <w:rPr>
          <w:rFonts w:ascii="Arial" w:hAnsi="Arial" w:cs="Arial"/>
        </w:rPr>
        <w:t>a</w:t>
      </w:r>
      <w:r>
        <w:rPr>
          <w:rFonts w:ascii="Arial" w:hAnsi="Arial" w:cs="Arial"/>
        </w:rPr>
        <w:t xml:space="preserve">s que trabajan de 35 a 48 horas semanales pasaron de 36.4% a 39.6%, frente a </w:t>
      </w:r>
      <w:r w:rsidR="00CA4ACC">
        <w:rPr>
          <w:rFonts w:ascii="Arial" w:hAnsi="Arial" w:cs="Arial"/>
        </w:rPr>
        <w:t xml:space="preserve">un descenso </w:t>
      </w:r>
      <w:r>
        <w:rPr>
          <w:rFonts w:ascii="Arial" w:hAnsi="Arial" w:cs="Arial"/>
        </w:rPr>
        <w:t xml:space="preserve">de las ocupadas en jornadas de 15 a 34 horas semanales de 14.1% a 12% en el mismo </w:t>
      </w:r>
      <w:r w:rsidR="00CA4ACC">
        <w:rPr>
          <w:rFonts w:ascii="Arial" w:hAnsi="Arial" w:cs="Arial"/>
        </w:rPr>
        <w:t>lapso</w:t>
      </w:r>
      <w:r>
        <w:rPr>
          <w:rFonts w:ascii="Arial" w:hAnsi="Arial" w:cs="Arial"/>
        </w:rPr>
        <w:t>.</w:t>
      </w:r>
    </w:p>
    <w:p w14:paraId="277298CF" w14:textId="77777777" w:rsidR="004670C5" w:rsidRDefault="004670C5">
      <w:pPr>
        <w:rPr>
          <w:rFonts w:ascii="Arial" w:hAnsi="Arial" w:cs="Arial"/>
          <w:b/>
          <w:smallCaps/>
        </w:rPr>
      </w:pPr>
      <w:r>
        <w:rPr>
          <w:rFonts w:ascii="Arial" w:hAnsi="Arial" w:cs="Arial"/>
          <w:b/>
          <w:smallCaps/>
        </w:rPr>
        <w:br w:type="page"/>
      </w:r>
    </w:p>
    <w:p w14:paraId="725D0DBF" w14:textId="77777777" w:rsidR="00874BD1" w:rsidRDefault="00252EDE" w:rsidP="0076447E">
      <w:pPr>
        <w:spacing w:after="0" w:line="240" w:lineRule="auto"/>
        <w:contextualSpacing/>
        <w:jc w:val="center"/>
        <w:rPr>
          <w:rFonts w:ascii="Arial" w:hAnsi="Arial" w:cs="Arial"/>
          <w:b/>
          <w:smallCaps/>
        </w:rPr>
      </w:pPr>
      <w:r w:rsidRPr="00874BD1">
        <w:rPr>
          <w:rFonts w:ascii="Arial" w:hAnsi="Arial" w:cs="Arial"/>
          <w:b/>
          <w:smallCaps/>
        </w:rPr>
        <w:t>Población ocupada según duración de la jornada de trabajo</w:t>
      </w:r>
      <w:r w:rsidR="003427BB">
        <w:rPr>
          <w:rFonts w:ascii="Arial" w:hAnsi="Arial" w:cs="Arial"/>
          <w:b/>
          <w:smallCaps/>
        </w:rPr>
        <w:t xml:space="preserve"> por sexo</w:t>
      </w:r>
    </w:p>
    <w:p w14:paraId="76E53C57" w14:textId="77777777" w:rsidR="00252EDE" w:rsidRPr="00874BD1" w:rsidRDefault="00252EDE" w:rsidP="0076447E">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40502">
        <w:rPr>
          <w:rFonts w:ascii="Arial" w:hAnsi="Arial" w:cs="Arial"/>
          <w:b/>
          <w:smallCaps/>
        </w:rPr>
        <w:t>jul</w:t>
      </w:r>
      <w:r w:rsidR="00343375">
        <w:rPr>
          <w:rFonts w:ascii="Arial" w:hAnsi="Arial" w:cs="Arial"/>
          <w:b/>
          <w:smallCaps/>
        </w:rPr>
        <w:t>io</w:t>
      </w:r>
      <w:r w:rsidRPr="00874BD1">
        <w:rPr>
          <w:rFonts w:ascii="Arial" w:hAnsi="Arial" w:cs="Arial"/>
          <w:b/>
          <w:smallCaps/>
        </w:rPr>
        <w:t xml:space="preserve"> de 2020</w:t>
      </w:r>
    </w:p>
    <w:p w14:paraId="5348BB6F" w14:textId="77777777" w:rsidR="0076447E" w:rsidRDefault="00252EDE" w:rsidP="0076447E">
      <w:pPr>
        <w:spacing w:after="0" w:line="240" w:lineRule="auto"/>
        <w:ind w:right="51"/>
        <w:jc w:val="center"/>
        <w:rPr>
          <w:rFonts w:ascii="Arial" w:hAnsi="Arial" w:cs="Arial"/>
          <w:smallCaps/>
        </w:rPr>
      </w:pPr>
      <w:r w:rsidRPr="00874BD1">
        <w:rPr>
          <w:rFonts w:ascii="Arial" w:hAnsi="Arial" w:cs="Arial"/>
          <w:smallCaps/>
        </w:rPr>
        <w:t>(Porcentaje)</w:t>
      </w:r>
    </w:p>
    <w:p w14:paraId="284B6578" w14:textId="77777777" w:rsidR="0076447E" w:rsidRDefault="00DB4F74" w:rsidP="0076447E">
      <w:pPr>
        <w:spacing w:after="0" w:line="240" w:lineRule="auto"/>
        <w:ind w:right="51"/>
        <w:jc w:val="center"/>
        <w:rPr>
          <w:rFonts w:ascii="Arial" w:hAnsi="Arial" w:cs="Arial"/>
          <w:smallCaps/>
        </w:rPr>
      </w:pPr>
      <w:r w:rsidRPr="00DB4F74">
        <w:rPr>
          <w:noProof/>
          <w:lang w:eastAsia="es-MX"/>
        </w:rPr>
        <w:drawing>
          <wp:inline distT="0" distB="0" distL="0" distR="0" wp14:anchorId="740FA4E1" wp14:editId="1735383D">
            <wp:extent cx="5612130" cy="4261062"/>
            <wp:effectExtent l="0" t="0" r="762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2130" cy="4261062"/>
                    </a:xfrm>
                    <a:prstGeom prst="rect">
                      <a:avLst/>
                    </a:prstGeom>
                    <a:noFill/>
                    <a:ln>
                      <a:noFill/>
                    </a:ln>
                  </pic:spPr>
                </pic:pic>
              </a:graphicData>
            </a:graphic>
          </wp:inline>
        </w:drawing>
      </w:r>
    </w:p>
    <w:p w14:paraId="6F8085C1"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30984329"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5C555415"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5087A1D0" w14:textId="77777777" w:rsidR="00F97FB7" w:rsidRDefault="00F97FB7" w:rsidP="00B40DA8">
      <w:pPr>
        <w:spacing w:after="0" w:line="240" w:lineRule="auto"/>
        <w:ind w:right="49"/>
        <w:jc w:val="both"/>
        <w:rPr>
          <w:rFonts w:ascii="Arial" w:hAnsi="Arial" w:cs="Arial"/>
          <w:bCs/>
          <w:spacing w:val="8"/>
        </w:rPr>
      </w:pPr>
    </w:p>
    <w:p w14:paraId="7E578FE3" w14:textId="16F458E1" w:rsidR="00E95EFC" w:rsidRDefault="00E95EFC" w:rsidP="003C44CE">
      <w:pPr>
        <w:pStyle w:val="n0"/>
        <w:keepLines w:val="0"/>
        <w:widowControl w:val="0"/>
        <w:spacing w:before="0"/>
        <w:ind w:left="0" w:right="49" w:firstLine="0"/>
        <w:rPr>
          <w:color w:val="000000" w:themeColor="text1"/>
          <w:sz w:val="22"/>
        </w:rPr>
      </w:pPr>
      <w:r>
        <w:rPr>
          <w:color w:val="000000" w:themeColor="text1"/>
          <w:sz w:val="22"/>
        </w:rPr>
        <w:t>En la ocupación por ámbito y tamaño de la unidad económica</w:t>
      </w:r>
      <w:r w:rsidR="00031479">
        <w:rPr>
          <w:color w:val="000000" w:themeColor="text1"/>
          <w:sz w:val="22"/>
        </w:rPr>
        <w:t xml:space="preserve"> </w:t>
      </w:r>
      <w:r>
        <w:rPr>
          <w:color w:val="000000" w:themeColor="text1"/>
          <w:sz w:val="22"/>
        </w:rPr>
        <w:t xml:space="preserve">destaca el </w:t>
      </w:r>
      <w:r w:rsidR="004E1B1D">
        <w:rPr>
          <w:color w:val="000000" w:themeColor="text1"/>
          <w:sz w:val="22"/>
        </w:rPr>
        <w:t>aumento</w:t>
      </w:r>
      <w:r>
        <w:rPr>
          <w:color w:val="000000" w:themeColor="text1"/>
          <w:sz w:val="22"/>
        </w:rPr>
        <w:t xml:space="preserve"> </w:t>
      </w:r>
      <w:r w:rsidR="007543F9">
        <w:rPr>
          <w:color w:val="000000" w:themeColor="text1"/>
          <w:sz w:val="22"/>
        </w:rPr>
        <w:t xml:space="preserve">en la participación </w:t>
      </w:r>
      <w:r>
        <w:rPr>
          <w:color w:val="000000" w:themeColor="text1"/>
          <w:sz w:val="22"/>
        </w:rPr>
        <w:t>de los</w:t>
      </w:r>
      <w:r w:rsidR="00031479">
        <w:rPr>
          <w:color w:val="000000" w:themeColor="text1"/>
          <w:sz w:val="22"/>
        </w:rPr>
        <w:t xml:space="preserve"> ocupados que laboran en</w:t>
      </w:r>
      <w:r>
        <w:rPr>
          <w:color w:val="000000" w:themeColor="text1"/>
          <w:sz w:val="22"/>
        </w:rPr>
        <w:t xml:space="preserve"> micronegocios de </w:t>
      </w:r>
      <w:r w:rsidR="004E1B1D">
        <w:rPr>
          <w:color w:val="000000" w:themeColor="text1"/>
          <w:sz w:val="22"/>
        </w:rPr>
        <w:t>44.</w:t>
      </w:r>
      <w:r w:rsidR="00A33929">
        <w:rPr>
          <w:color w:val="000000" w:themeColor="text1"/>
          <w:sz w:val="22"/>
        </w:rPr>
        <w:t>2</w:t>
      </w:r>
      <w:r>
        <w:rPr>
          <w:color w:val="000000" w:themeColor="text1"/>
          <w:sz w:val="22"/>
        </w:rPr>
        <w:t xml:space="preserve">% en </w:t>
      </w:r>
      <w:r w:rsidR="004E1B1D">
        <w:rPr>
          <w:color w:val="000000" w:themeColor="text1"/>
          <w:sz w:val="22"/>
        </w:rPr>
        <w:t>junio</w:t>
      </w:r>
      <w:r>
        <w:rPr>
          <w:color w:val="000000" w:themeColor="text1"/>
          <w:sz w:val="22"/>
        </w:rPr>
        <w:t xml:space="preserve"> a </w:t>
      </w:r>
      <w:r w:rsidR="004E1B1D">
        <w:rPr>
          <w:color w:val="000000" w:themeColor="text1"/>
          <w:sz w:val="22"/>
        </w:rPr>
        <w:t>48.9</w:t>
      </w:r>
      <w:r>
        <w:rPr>
          <w:color w:val="000000" w:themeColor="text1"/>
          <w:sz w:val="22"/>
        </w:rPr>
        <w:t xml:space="preserve">% en </w:t>
      </w:r>
      <w:r w:rsidR="0067216E">
        <w:rPr>
          <w:color w:val="000000" w:themeColor="text1"/>
          <w:sz w:val="22"/>
        </w:rPr>
        <w:t>el mes de referencia</w:t>
      </w:r>
      <w:r>
        <w:rPr>
          <w:color w:val="000000" w:themeColor="text1"/>
          <w:sz w:val="22"/>
        </w:rPr>
        <w:t>. Por otro lado</w:t>
      </w:r>
      <w:r w:rsidR="000C2469">
        <w:rPr>
          <w:color w:val="000000" w:themeColor="text1"/>
          <w:sz w:val="22"/>
        </w:rPr>
        <w:t>,</w:t>
      </w:r>
      <w:r w:rsidR="00031479">
        <w:rPr>
          <w:color w:val="000000" w:themeColor="text1"/>
          <w:sz w:val="22"/>
        </w:rPr>
        <w:t xml:space="preserve"> en </w:t>
      </w:r>
      <w:r w:rsidR="00860BE4">
        <w:rPr>
          <w:color w:val="000000" w:themeColor="text1"/>
          <w:sz w:val="22"/>
        </w:rPr>
        <w:t>el mismo periodo</w:t>
      </w:r>
      <w:r>
        <w:rPr>
          <w:color w:val="000000" w:themeColor="text1"/>
          <w:sz w:val="22"/>
        </w:rPr>
        <w:t xml:space="preserve"> </w:t>
      </w:r>
      <w:r w:rsidR="00031479">
        <w:rPr>
          <w:color w:val="000000" w:themeColor="text1"/>
          <w:sz w:val="22"/>
        </w:rPr>
        <w:t>hubo</w:t>
      </w:r>
      <w:r>
        <w:rPr>
          <w:color w:val="000000" w:themeColor="text1"/>
          <w:sz w:val="22"/>
        </w:rPr>
        <w:t xml:space="preserve"> un</w:t>
      </w:r>
      <w:r w:rsidR="004E1B1D">
        <w:rPr>
          <w:color w:val="000000" w:themeColor="text1"/>
          <w:sz w:val="22"/>
        </w:rPr>
        <w:t>a disminución de (-)3.5</w:t>
      </w:r>
      <w:r w:rsidR="005E0992">
        <w:rPr>
          <w:color w:val="000000" w:themeColor="text1"/>
          <w:sz w:val="22"/>
        </w:rPr>
        <w:t xml:space="preserve"> puntos porcentuales </w:t>
      </w:r>
      <w:r>
        <w:rPr>
          <w:color w:val="000000" w:themeColor="text1"/>
          <w:sz w:val="22"/>
        </w:rPr>
        <w:t xml:space="preserve">en los </w:t>
      </w:r>
      <w:r w:rsidR="00031479">
        <w:rPr>
          <w:color w:val="000000" w:themeColor="text1"/>
          <w:sz w:val="22"/>
        </w:rPr>
        <w:t xml:space="preserve">ocupados que laboran </w:t>
      </w:r>
      <w:r w:rsidR="004E1B1D">
        <w:rPr>
          <w:color w:val="000000" w:themeColor="text1"/>
          <w:sz w:val="22"/>
        </w:rPr>
        <w:t xml:space="preserve">en el gobierno y otras actividades y de (-)2.3 puntos porcentuales en los ocupados que laboran </w:t>
      </w:r>
      <w:r w:rsidR="00031479">
        <w:rPr>
          <w:color w:val="000000" w:themeColor="text1"/>
          <w:sz w:val="22"/>
        </w:rPr>
        <w:t xml:space="preserve">en </w:t>
      </w:r>
      <w:r w:rsidR="004E1B1D">
        <w:rPr>
          <w:color w:val="000000" w:themeColor="text1"/>
          <w:sz w:val="22"/>
        </w:rPr>
        <w:t xml:space="preserve">medianos </w:t>
      </w:r>
      <w:r>
        <w:rPr>
          <w:color w:val="000000" w:themeColor="text1"/>
          <w:sz w:val="22"/>
        </w:rPr>
        <w:t xml:space="preserve">establecimientos </w:t>
      </w:r>
      <w:r w:rsidR="004E1B1D">
        <w:rPr>
          <w:color w:val="000000" w:themeColor="text1"/>
          <w:sz w:val="22"/>
        </w:rPr>
        <w:t>en el periodo de junio y julio de 2020</w:t>
      </w:r>
      <w:r w:rsidR="00774382">
        <w:rPr>
          <w:color w:val="000000" w:themeColor="text1"/>
          <w:sz w:val="22"/>
        </w:rPr>
        <w:t>.</w:t>
      </w:r>
    </w:p>
    <w:p w14:paraId="0037E3D1" w14:textId="77777777" w:rsidR="004670C5" w:rsidRDefault="004670C5" w:rsidP="00F45312">
      <w:pPr>
        <w:spacing w:after="0" w:line="240" w:lineRule="auto"/>
        <w:contextualSpacing/>
        <w:jc w:val="center"/>
        <w:rPr>
          <w:rFonts w:ascii="Arial" w:hAnsi="Arial" w:cs="Arial"/>
          <w:b/>
          <w:smallCaps/>
        </w:rPr>
      </w:pPr>
    </w:p>
    <w:p w14:paraId="7B2B6F36" w14:textId="77777777" w:rsidR="004670C5" w:rsidRDefault="004670C5">
      <w:pPr>
        <w:rPr>
          <w:rFonts w:ascii="Arial" w:hAnsi="Arial" w:cs="Arial"/>
          <w:b/>
          <w:smallCaps/>
        </w:rPr>
      </w:pPr>
      <w:r>
        <w:rPr>
          <w:rFonts w:ascii="Arial" w:hAnsi="Arial" w:cs="Arial"/>
          <w:b/>
          <w:smallCaps/>
        </w:rPr>
        <w:br w:type="page"/>
      </w:r>
    </w:p>
    <w:p w14:paraId="4C5663DA" w14:textId="77777777" w:rsidR="00F45312" w:rsidRDefault="00F45312" w:rsidP="00F45312">
      <w:pPr>
        <w:spacing w:after="0" w:line="240" w:lineRule="auto"/>
        <w:contextualSpacing/>
        <w:jc w:val="center"/>
        <w:rPr>
          <w:rFonts w:ascii="Arial" w:hAnsi="Arial" w:cs="Arial"/>
          <w:b/>
          <w:smallCaps/>
        </w:rPr>
      </w:pPr>
      <w:r w:rsidRPr="00874BD1">
        <w:rPr>
          <w:rFonts w:ascii="Arial" w:hAnsi="Arial" w:cs="Arial"/>
          <w:b/>
          <w:smallCaps/>
        </w:rPr>
        <w:t xml:space="preserve">Población ocupada </w:t>
      </w:r>
      <w:r>
        <w:rPr>
          <w:rFonts w:ascii="Arial" w:hAnsi="Arial" w:cs="Arial"/>
          <w:b/>
          <w:smallCaps/>
        </w:rPr>
        <w:t xml:space="preserve">por </w:t>
      </w:r>
      <w:r w:rsidR="003966E8">
        <w:rPr>
          <w:rFonts w:ascii="Arial" w:hAnsi="Arial" w:cs="Arial"/>
          <w:b/>
          <w:smallCaps/>
        </w:rPr>
        <w:t>á</w:t>
      </w:r>
      <w:r>
        <w:rPr>
          <w:rFonts w:ascii="Arial" w:hAnsi="Arial" w:cs="Arial"/>
          <w:b/>
          <w:smallCaps/>
        </w:rPr>
        <w:t>mbito y tamaño de unidad económica</w:t>
      </w:r>
      <w:r w:rsidR="003427BB">
        <w:rPr>
          <w:rFonts w:ascii="Arial" w:hAnsi="Arial" w:cs="Arial"/>
          <w:b/>
          <w:smallCaps/>
        </w:rPr>
        <w:t xml:space="preserve"> por sexo</w:t>
      </w:r>
    </w:p>
    <w:p w14:paraId="29418660" w14:textId="77777777" w:rsidR="00F45312" w:rsidRPr="00874BD1" w:rsidRDefault="00F45312" w:rsidP="00F45312">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40502">
        <w:rPr>
          <w:rFonts w:ascii="Arial" w:hAnsi="Arial" w:cs="Arial"/>
          <w:b/>
          <w:smallCaps/>
        </w:rPr>
        <w:t>jul</w:t>
      </w:r>
      <w:r w:rsidR="00343375">
        <w:rPr>
          <w:rFonts w:ascii="Arial" w:hAnsi="Arial" w:cs="Arial"/>
          <w:b/>
          <w:smallCaps/>
        </w:rPr>
        <w:t>io</w:t>
      </w:r>
      <w:r w:rsidRPr="00874BD1">
        <w:rPr>
          <w:rFonts w:ascii="Arial" w:hAnsi="Arial" w:cs="Arial"/>
          <w:b/>
          <w:smallCaps/>
        </w:rPr>
        <w:t xml:space="preserve"> de 2020</w:t>
      </w:r>
    </w:p>
    <w:p w14:paraId="51CCE518" w14:textId="77777777" w:rsidR="00F45312" w:rsidRDefault="00F45312" w:rsidP="00F45312">
      <w:pPr>
        <w:spacing w:after="0" w:line="240" w:lineRule="auto"/>
        <w:ind w:right="51"/>
        <w:jc w:val="center"/>
        <w:rPr>
          <w:rFonts w:ascii="Arial" w:hAnsi="Arial" w:cs="Arial"/>
          <w:smallCaps/>
        </w:rPr>
      </w:pPr>
      <w:r w:rsidRPr="00874BD1">
        <w:rPr>
          <w:rFonts w:ascii="Arial" w:hAnsi="Arial" w:cs="Arial"/>
          <w:smallCaps/>
        </w:rPr>
        <w:t>(Porcentaje)</w:t>
      </w:r>
    </w:p>
    <w:p w14:paraId="3C7DA9DA" w14:textId="77777777" w:rsidR="00F45312" w:rsidRDefault="00DB4F74" w:rsidP="00F45312">
      <w:pPr>
        <w:spacing w:after="0" w:line="240" w:lineRule="auto"/>
        <w:ind w:right="51"/>
        <w:jc w:val="center"/>
        <w:rPr>
          <w:rFonts w:ascii="Arial" w:hAnsi="Arial" w:cs="Arial"/>
          <w:smallCaps/>
        </w:rPr>
      </w:pPr>
      <w:r w:rsidRPr="00DB4F74">
        <w:rPr>
          <w:noProof/>
          <w:lang w:eastAsia="es-MX"/>
        </w:rPr>
        <w:drawing>
          <wp:inline distT="0" distB="0" distL="0" distR="0" wp14:anchorId="6FBB303C" wp14:editId="7B3650D9">
            <wp:extent cx="5612130" cy="461615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4616150"/>
                    </a:xfrm>
                    <a:prstGeom prst="rect">
                      <a:avLst/>
                    </a:prstGeom>
                    <a:noFill/>
                    <a:ln>
                      <a:noFill/>
                    </a:ln>
                  </pic:spPr>
                </pic:pic>
              </a:graphicData>
            </a:graphic>
          </wp:inline>
        </w:drawing>
      </w:r>
    </w:p>
    <w:p w14:paraId="3BE9EBC2"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180649F8"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4450766D"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5DDC0A70" w14:textId="77777777" w:rsidR="00B9251B" w:rsidRDefault="00B9251B" w:rsidP="00252EDE">
      <w:pPr>
        <w:pStyle w:val="n0"/>
        <w:keepLines w:val="0"/>
        <w:widowControl w:val="0"/>
        <w:spacing w:before="0"/>
        <w:ind w:left="0" w:right="49" w:firstLine="0"/>
        <w:jc w:val="left"/>
        <w:rPr>
          <w:b/>
          <w:smallCaps/>
          <w:color w:val="auto"/>
          <w:sz w:val="22"/>
          <w:szCs w:val="22"/>
        </w:rPr>
      </w:pPr>
    </w:p>
    <w:p w14:paraId="5D895888" w14:textId="71B36601" w:rsidR="007848D1" w:rsidRDefault="00030476" w:rsidP="007848D1">
      <w:pPr>
        <w:pStyle w:val="n0"/>
        <w:keepLines w:val="0"/>
        <w:widowControl w:val="0"/>
        <w:spacing w:before="0"/>
        <w:ind w:left="0" w:right="49" w:firstLine="0"/>
        <w:rPr>
          <w:color w:val="000000" w:themeColor="text1"/>
          <w:sz w:val="22"/>
        </w:rPr>
      </w:pPr>
      <w:r>
        <w:rPr>
          <w:color w:val="000000" w:themeColor="text1"/>
          <w:sz w:val="22"/>
        </w:rPr>
        <w:t>Entre</w:t>
      </w:r>
      <w:r w:rsidR="007848D1">
        <w:rPr>
          <w:color w:val="000000" w:themeColor="text1"/>
          <w:sz w:val="22"/>
        </w:rPr>
        <w:t xml:space="preserve"> hombres y mujeres el comportamiento </w:t>
      </w:r>
      <w:r w:rsidR="00536048">
        <w:rPr>
          <w:color w:val="000000" w:themeColor="text1"/>
          <w:sz w:val="22"/>
        </w:rPr>
        <w:t xml:space="preserve">fue </w:t>
      </w:r>
      <w:r w:rsidR="007848D1">
        <w:rPr>
          <w:color w:val="000000" w:themeColor="text1"/>
          <w:sz w:val="22"/>
        </w:rPr>
        <w:t xml:space="preserve">similar, para los hombres destaca el </w:t>
      </w:r>
      <w:r w:rsidR="00A33929">
        <w:rPr>
          <w:color w:val="000000" w:themeColor="text1"/>
          <w:sz w:val="22"/>
        </w:rPr>
        <w:t xml:space="preserve">incremento </w:t>
      </w:r>
      <w:r w:rsidR="007848D1">
        <w:rPr>
          <w:color w:val="000000" w:themeColor="text1"/>
          <w:sz w:val="22"/>
        </w:rPr>
        <w:t xml:space="preserve">de los ocupados que laboran en micronegocios, que pasó de </w:t>
      </w:r>
      <w:r w:rsidR="003F520F">
        <w:rPr>
          <w:color w:val="000000" w:themeColor="text1"/>
          <w:sz w:val="22"/>
        </w:rPr>
        <w:t>49.2</w:t>
      </w:r>
      <w:r w:rsidR="007848D1">
        <w:rPr>
          <w:color w:val="000000" w:themeColor="text1"/>
          <w:sz w:val="22"/>
        </w:rPr>
        <w:t xml:space="preserve">% en </w:t>
      </w:r>
      <w:r w:rsidR="004E1B1D">
        <w:rPr>
          <w:color w:val="000000" w:themeColor="text1"/>
          <w:sz w:val="22"/>
        </w:rPr>
        <w:t>junio</w:t>
      </w:r>
      <w:r w:rsidR="007848D1">
        <w:rPr>
          <w:color w:val="000000" w:themeColor="text1"/>
          <w:sz w:val="22"/>
        </w:rPr>
        <w:t xml:space="preserve"> a </w:t>
      </w:r>
      <w:r w:rsidR="003F520F">
        <w:rPr>
          <w:color w:val="000000" w:themeColor="text1"/>
          <w:sz w:val="22"/>
        </w:rPr>
        <w:t>51</w:t>
      </w:r>
      <w:r w:rsidR="004E1B1D">
        <w:rPr>
          <w:color w:val="000000" w:themeColor="text1"/>
          <w:sz w:val="22"/>
        </w:rPr>
        <w:t>% en jul</w:t>
      </w:r>
      <w:r w:rsidR="007848D1">
        <w:rPr>
          <w:color w:val="000000" w:themeColor="text1"/>
          <w:sz w:val="22"/>
        </w:rPr>
        <w:t>io de 2020, y en las mujeres</w:t>
      </w:r>
      <w:r w:rsidR="00B11292">
        <w:rPr>
          <w:color w:val="000000" w:themeColor="text1"/>
          <w:sz w:val="22"/>
        </w:rPr>
        <w:t xml:space="preserve"> </w:t>
      </w:r>
      <w:r w:rsidR="00536048">
        <w:rPr>
          <w:color w:val="000000" w:themeColor="text1"/>
          <w:sz w:val="22"/>
        </w:rPr>
        <w:t>pasó de</w:t>
      </w:r>
      <w:r w:rsidR="007848D1">
        <w:rPr>
          <w:color w:val="000000" w:themeColor="text1"/>
          <w:sz w:val="22"/>
        </w:rPr>
        <w:t xml:space="preserve"> </w:t>
      </w:r>
      <w:r w:rsidR="00774382">
        <w:rPr>
          <w:color w:val="000000" w:themeColor="text1"/>
          <w:sz w:val="22"/>
        </w:rPr>
        <w:t>38.1</w:t>
      </w:r>
      <w:r w:rsidR="007848D1">
        <w:rPr>
          <w:color w:val="000000" w:themeColor="text1"/>
          <w:sz w:val="22"/>
        </w:rPr>
        <w:t>%</w:t>
      </w:r>
      <w:r w:rsidR="003F520F">
        <w:rPr>
          <w:color w:val="000000" w:themeColor="text1"/>
          <w:sz w:val="22"/>
        </w:rPr>
        <w:t xml:space="preserve"> a 45.9%</w:t>
      </w:r>
      <w:r w:rsidR="007848D1">
        <w:rPr>
          <w:color w:val="000000" w:themeColor="text1"/>
          <w:sz w:val="22"/>
        </w:rPr>
        <w:t xml:space="preserve">, </w:t>
      </w:r>
      <w:r w:rsidR="003F520F">
        <w:rPr>
          <w:color w:val="000000" w:themeColor="text1"/>
          <w:sz w:val="22"/>
        </w:rPr>
        <w:t>en igual periodo</w:t>
      </w:r>
      <w:r w:rsidR="007848D1">
        <w:rPr>
          <w:color w:val="000000" w:themeColor="text1"/>
          <w:sz w:val="22"/>
        </w:rPr>
        <w:t>.</w:t>
      </w:r>
    </w:p>
    <w:p w14:paraId="79163E2F" w14:textId="77777777" w:rsidR="007848D1" w:rsidRPr="004C6D3F" w:rsidRDefault="007848D1" w:rsidP="00252EDE">
      <w:pPr>
        <w:pStyle w:val="n0"/>
        <w:keepLines w:val="0"/>
        <w:widowControl w:val="0"/>
        <w:spacing w:before="0"/>
        <w:ind w:left="0" w:right="49" w:firstLine="0"/>
        <w:jc w:val="left"/>
        <w:rPr>
          <w:b/>
          <w:smallCaps/>
          <w:color w:val="auto"/>
          <w:sz w:val="22"/>
          <w:szCs w:val="22"/>
        </w:rPr>
      </w:pPr>
    </w:p>
    <w:p w14:paraId="655C76AD" w14:textId="77777777" w:rsidR="003F520F" w:rsidRDefault="00030476" w:rsidP="00F97FB7">
      <w:pPr>
        <w:spacing w:after="0" w:line="240" w:lineRule="auto"/>
        <w:ind w:right="49"/>
        <w:jc w:val="both"/>
        <w:rPr>
          <w:rFonts w:ascii="Arial" w:hAnsi="Arial" w:cs="Arial"/>
          <w:bCs/>
          <w:spacing w:val="8"/>
        </w:rPr>
      </w:pPr>
      <w:r>
        <w:rPr>
          <w:rFonts w:ascii="Arial" w:hAnsi="Arial" w:cs="Arial"/>
          <w:bCs/>
          <w:spacing w:val="8"/>
        </w:rPr>
        <w:t>Con relación</w:t>
      </w:r>
      <w:r w:rsidR="00536048">
        <w:rPr>
          <w:rFonts w:ascii="Arial" w:hAnsi="Arial" w:cs="Arial"/>
          <w:bCs/>
          <w:spacing w:val="8"/>
        </w:rPr>
        <w:t xml:space="preserve"> a</w:t>
      </w:r>
      <w:r w:rsidR="00F97FB7">
        <w:rPr>
          <w:rFonts w:ascii="Arial" w:hAnsi="Arial" w:cs="Arial"/>
          <w:bCs/>
          <w:spacing w:val="8"/>
        </w:rPr>
        <w:t xml:space="preserve"> los ingresos derivados del trabajo, </w:t>
      </w:r>
      <w:r w:rsidR="003F520F">
        <w:rPr>
          <w:rFonts w:ascii="Arial" w:hAnsi="Arial" w:cs="Arial"/>
          <w:bCs/>
          <w:spacing w:val="8"/>
        </w:rPr>
        <w:t xml:space="preserve">en julio </w:t>
      </w:r>
      <w:r w:rsidR="003F520F" w:rsidRPr="00F97FB7">
        <w:rPr>
          <w:rFonts w:ascii="Arial" w:hAnsi="Arial" w:cs="Arial"/>
          <w:bCs/>
          <w:spacing w:val="8"/>
        </w:rPr>
        <w:t>de 2020</w:t>
      </w:r>
      <w:r w:rsidR="003F520F">
        <w:rPr>
          <w:rFonts w:ascii="Arial" w:hAnsi="Arial" w:cs="Arial"/>
          <w:bCs/>
          <w:spacing w:val="8"/>
        </w:rPr>
        <w:t xml:space="preserve"> en comparación con el mes previo, </w:t>
      </w:r>
      <w:r w:rsidR="00F97FB7" w:rsidRPr="00F97FB7">
        <w:rPr>
          <w:rFonts w:ascii="Arial" w:hAnsi="Arial" w:cs="Arial"/>
          <w:bCs/>
          <w:spacing w:val="8"/>
        </w:rPr>
        <w:t>la población ocupada</w:t>
      </w:r>
      <w:r w:rsidR="003F520F">
        <w:rPr>
          <w:rFonts w:ascii="Arial" w:hAnsi="Arial" w:cs="Arial"/>
          <w:bCs/>
          <w:spacing w:val="8"/>
        </w:rPr>
        <w:t xml:space="preserve"> </w:t>
      </w:r>
      <w:r w:rsidR="00536048">
        <w:rPr>
          <w:rFonts w:ascii="Arial" w:hAnsi="Arial" w:cs="Arial"/>
          <w:bCs/>
          <w:spacing w:val="8"/>
        </w:rPr>
        <w:t xml:space="preserve">con una percepción de </w:t>
      </w:r>
      <w:r w:rsidR="00F97FB7" w:rsidRPr="00F97FB7">
        <w:rPr>
          <w:rFonts w:ascii="Arial" w:hAnsi="Arial" w:cs="Arial"/>
          <w:bCs/>
          <w:spacing w:val="8"/>
        </w:rPr>
        <w:t xml:space="preserve">más de uno a dos salarios mínimos </w:t>
      </w:r>
      <w:r w:rsidR="003F520F">
        <w:rPr>
          <w:rFonts w:ascii="Arial" w:hAnsi="Arial" w:cs="Arial"/>
          <w:bCs/>
          <w:spacing w:val="8"/>
        </w:rPr>
        <w:t>disminuyó (-)3.2 puntos porcentuales al pasar de 36.9% a 33.7%, frente a un aumento de los ocupados de 3 a 5 salarios mínimos y de los ocupados de 2 a 3 salarios mínimos, con 1.2 y 0.8 puntos porcentuales más entre junio y julio de 2020.</w:t>
      </w:r>
    </w:p>
    <w:p w14:paraId="2741B061" w14:textId="77777777" w:rsidR="000F4BDA" w:rsidRDefault="000F4BDA" w:rsidP="00F97FB7">
      <w:pPr>
        <w:spacing w:after="0" w:line="240" w:lineRule="auto"/>
        <w:ind w:right="49"/>
        <w:jc w:val="both"/>
        <w:rPr>
          <w:rFonts w:ascii="Arial" w:hAnsi="Arial" w:cs="Arial"/>
          <w:bCs/>
          <w:spacing w:val="8"/>
        </w:rPr>
      </w:pPr>
    </w:p>
    <w:p w14:paraId="1E183170" w14:textId="77777777" w:rsidR="00717775" w:rsidRPr="00F97FB7" w:rsidRDefault="00717775" w:rsidP="00F97FB7">
      <w:pPr>
        <w:spacing w:after="0" w:line="240" w:lineRule="auto"/>
        <w:ind w:right="49"/>
        <w:jc w:val="both"/>
        <w:rPr>
          <w:rFonts w:ascii="Arial" w:hAnsi="Arial" w:cs="Arial"/>
          <w:bCs/>
          <w:spacing w:val="8"/>
        </w:rPr>
      </w:pPr>
    </w:p>
    <w:p w14:paraId="212D5202" w14:textId="77777777" w:rsidR="00F97FB7" w:rsidRDefault="00F97FB7" w:rsidP="00F97FB7">
      <w:pPr>
        <w:pStyle w:val="n0"/>
        <w:keepLines w:val="0"/>
        <w:widowControl w:val="0"/>
        <w:spacing w:before="0"/>
        <w:ind w:left="0" w:right="49" w:firstLine="0"/>
        <w:rPr>
          <w:color w:val="000000" w:themeColor="text1"/>
          <w:sz w:val="22"/>
        </w:rPr>
      </w:pPr>
    </w:p>
    <w:p w14:paraId="62AFD2AB" w14:textId="77777777" w:rsidR="003F520F" w:rsidRDefault="003F520F">
      <w:pPr>
        <w:rPr>
          <w:rFonts w:ascii="Arial" w:hAnsi="Arial" w:cs="Arial"/>
          <w:b/>
          <w:smallCaps/>
        </w:rPr>
      </w:pPr>
    </w:p>
    <w:p w14:paraId="0E31CFF4" w14:textId="77777777" w:rsidR="00F97FB7" w:rsidRDefault="00F97FB7" w:rsidP="00F97FB7">
      <w:pPr>
        <w:spacing w:after="0" w:line="240" w:lineRule="auto"/>
        <w:contextualSpacing/>
        <w:jc w:val="center"/>
        <w:rPr>
          <w:rFonts w:ascii="Arial" w:hAnsi="Arial" w:cs="Arial"/>
          <w:b/>
          <w:smallCaps/>
        </w:rPr>
      </w:pPr>
      <w:r w:rsidRPr="00874BD1">
        <w:rPr>
          <w:rFonts w:ascii="Arial" w:hAnsi="Arial" w:cs="Arial"/>
          <w:b/>
          <w:smallCaps/>
        </w:rPr>
        <w:t xml:space="preserve">Población ocupada según </w:t>
      </w:r>
      <w:r>
        <w:rPr>
          <w:rFonts w:ascii="Arial" w:hAnsi="Arial" w:cs="Arial"/>
          <w:b/>
          <w:smallCaps/>
        </w:rPr>
        <w:t>nivel de ingreso</w:t>
      </w:r>
    </w:p>
    <w:p w14:paraId="28037159" w14:textId="77777777" w:rsidR="00F97FB7" w:rsidRPr="00874BD1" w:rsidRDefault="00F97FB7" w:rsidP="00F97FB7">
      <w:pPr>
        <w:spacing w:after="0" w:line="240" w:lineRule="auto"/>
        <w:contextualSpacing/>
        <w:jc w:val="center"/>
        <w:rPr>
          <w:rFonts w:ascii="Arial" w:eastAsia="Times New Roman" w:hAnsi="Arial" w:cs="Arial"/>
          <w:b/>
          <w:smallCaps/>
          <w:lang w:val="es-ES_tradnl" w:eastAsia="es-ES"/>
        </w:rPr>
      </w:pPr>
      <w:r w:rsidRPr="00874BD1">
        <w:rPr>
          <w:rFonts w:ascii="Arial" w:hAnsi="Arial" w:cs="Arial"/>
          <w:b/>
          <w:smallCaps/>
        </w:rPr>
        <w:t xml:space="preserve">durante </w:t>
      </w:r>
      <w:r w:rsidR="00140502">
        <w:rPr>
          <w:rFonts w:ascii="Arial" w:hAnsi="Arial" w:cs="Arial"/>
          <w:b/>
          <w:smallCaps/>
        </w:rPr>
        <w:t>jul</w:t>
      </w:r>
      <w:r>
        <w:rPr>
          <w:rFonts w:ascii="Arial" w:hAnsi="Arial" w:cs="Arial"/>
          <w:b/>
          <w:smallCaps/>
        </w:rPr>
        <w:t>io</w:t>
      </w:r>
      <w:r w:rsidRPr="00874BD1">
        <w:rPr>
          <w:rFonts w:ascii="Arial" w:hAnsi="Arial" w:cs="Arial"/>
          <w:b/>
          <w:smallCaps/>
        </w:rPr>
        <w:t xml:space="preserve"> de 2020</w:t>
      </w:r>
    </w:p>
    <w:p w14:paraId="27203588" w14:textId="77777777" w:rsidR="00F97FB7" w:rsidRDefault="00F97FB7" w:rsidP="00F97FB7">
      <w:pPr>
        <w:spacing w:after="0" w:line="240" w:lineRule="auto"/>
        <w:ind w:right="51"/>
        <w:jc w:val="center"/>
        <w:rPr>
          <w:rFonts w:ascii="Arial" w:hAnsi="Arial" w:cs="Arial"/>
          <w:smallCaps/>
        </w:rPr>
      </w:pPr>
      <w:r w:rsidRPr="00874BD1">
        <w:rPr>
          <w:rFonts w:ascii="Arial" w:hAnsi="Arial" w:cs="Arial"/>
          <w:smallCaps/>
        </w:rPr>
        <w:t>(Porcentaje)</w:t>
      </w:r>
    </w:p>
    <w:p w14:paraId="19B25FDA" w14:textId="77777777" w:rsidR="00F97FB7" w:rsidRDefault="00DB4F74" w:rsidP="00657781">
      <w:pPr>
        <w:spacing w:after="0" w:line="240" w:lineRule="auto"/>
        <w:ind w:right="51"/>
        <w:jc w:val="center"/>
        <w:rPr>
          <w:color w:val="000000" w:themeColor="text1"/>
        </w:rPr>
      </w:pPr>
      <w:r w:rsidRPr="00DB4F74">
        <w:rPr>
          <w:noProof/>
          <w:lang w:eastAsia="es-MX"/>
        </w:rPr>
        <w:drawing>
          <wp:inline distT="0" distB="0" distL="0" distR="0" wp14:anchorId="6DC89A21" wp14:editId="43CDC339">
            <wp:extent cx="5612130" cy="1948656"/>
            <wp:effectExtent l="0" t="0" r="762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1948656"/>
                    </a:xfrm>
                    <a:prstGeom prst="rect">
                      <a:avLst/>
                    </a:prstGeom>
                    <a:noFill/>
                    <a:ln>
                      <a:noFill/>
                    </a:ln>
                  </pic:spPr>
                </pic:pic>
              </a:graphicData>
            </a:graphic>
          </wp:inline>
        </w:drawing>
      </w:r>
    </w:p>
    <w:p w14:paraId="6B13DF92"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474D8C6"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41AD2422"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p>
    <w:p w14:paraId="2A4FFE1A" w14:textId="77777777" w:rsidR="00F97FB7" w:rsidRDefault="00F97FB7" w:rsidP="00F97FB7">
      <w:pPr>
        <w:pStyle w:val="n0"/>
        <w:keepLines w:val="0"/>
        <w:widowControl w:val="0"/>
        <w:spacing w:before="0"/>
        <w:ind w:left="0" w:right="49" w:firstLine="0"/>
        <w:jc w:val="center"/>
        <w:rPr>
          <w:color w:val="000000" w:themeColor="text1"/>
          <w:sz w:val="22"/>
        </w:rPr>
      </w:pPr>
    </w:p>
    <w:p w14:paraId="59D3E570" w14:textId="77777777" w:rsidR="0054404B" w:rsidRPr="004C6D3F" w:rsidRDefault="0054404B" w:rsidP="00252EDE">
      <w:pPr>
        <w:pStyle w:val="n0"/>
        <w:keepLines w:val="0"/>
        <w:widowControl w:val="0"/>
        <w:spacing w:before="0"/>
        <w:ind w:left="0" w:right="49" w:firstLine="0"/>
        <w:jc w:val="left"/>
        <w:rPr>
          <w:b/>
          <w:smallCaps/>
          <w:color w:val="auto"/>
          <w:sz w:val="22"/>
          <w:szCs w:val="22"/>
        </w:rPr>
      </w:pPr>
    </w:p>
    <w:p w14:paraId="3115EA28" w14:textId="77777777" w:rsidR="00252EDE" w:rsidRPr="004C6D3F" w:rsidRDefault="00252EDE" w:rsidP="00252EDE">
      <w:pPr>
        <w:pStyle w:val="n0"/>
        <w:keepLines w:val="0"/>
        <w:widowControl w:val="0"/>
        <w:spacing w:before="0"/>
        <w:ind w:left="0" w:right="49" w:firstLine="0"/>
        <w:jc w:val="left"/>
        <w:rPr>
          <w:b/>
          <w:smallCaps/>
          <w:color w:val="auto"/>
          <w:sz w:val="22"/>
          <w:szCs w:val="22"/>
        </w:rPr>
      </w:pPr>
      <w:r w:rsidRPr="004C6D3F">
        <w:rPr>
          <w:b/>
          <w:smallCaps/>
          <w:color w:val="auto"/>
          <w:sz w:val="22"/>
          <w:szCs w:val="22"/>
        </w:rPr>
        <w:t xml:space="preserve">población </w:t>
      </w:r>
      <w:proofErr w:type="spellStart"/>
      <w:r w:rsidRPr="004C6D3F">
        <w:rPr>
          <w:b/>
          <w:smallCaps/>
          <w:color w:val="auto"/>
          <w:sz w:val="22"/>
          <w:szCs w:val="22"/>
        </w:rPr>
        <w:t>subocupada</w:t>
      </w:r>
      <w:proofErr w:type="spellEnd"/>
    </w:p>
    <w:p w14:paraId="30C4CCA9" w14:textId="77777777" w:rsidR="00252EDE" w:rsidRDefault="00252EDE" w:rsidP="00252EDE">
      <w:pPr>
        <w:spacing w:after="0" w:line="240" w:lineRule="auto"/>
        <w:ind w:right="49"/>
        <w:jc w:val="both"/>
        <w:rPr>
          <w:rFonts w:ascii="Arial" w:hAnsi="Arial" w:cs="Arial"/>
          <w:bCs/>
          <w:spacing w:val="8"/>
        </w:rPr>
      </w:pPr>
    </w:p>
    <w:p w14:paraId="08EC37DB" w14:textId="318EB4D7" w:rsidR="008E5007"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Las personas ocupadas que tienen la necesidad y disponibilidad de ofertar más tiempo de trabajo de lo que su ocupación actual les demanda,</w:t>
      </w:r>
      <w:r w:rsidR="008A4879">
        <w:rPr>
          <w:rFonts w:ascii="Arial" w:eastAsia="Times New Roman" w:hAnsi="Arial" w:cs="Arial"/>
          <w:color w:val="000000" w:themeColor="text1"/>
          <w:lang w:val="es-ES_tradnl" w:eastAsia="es-ES"/>
        </w:rPr>
        <w:t xml:space="preserve"> pasó de </w:t>
      </w:r>
      <w:r w:rsidR="003F520F">
        <w:rPr>
          <w:rFonts w:ascii="Arial" w:eastAsia="Times New Roman" w:hAnsi="Arial" w:cs="Arial"/>
          <w:color w:val="000000" w:themeColor="text1"/>
          <w:lang w:val="es-ES_tradnl" w:eastAsia="es-ES"/>
        </w:rPr>
        <w:t>9.7</w:t>
      </w:r>
      <w:r w:rsidR="008A4879">
        <w:rPr>
          <w:rFonts w:ascii="Arial" w:eastAsia="Times New Roman" w:hAnsi="Arial" w:cs="Arial"/>
          <w:color w:val="000000" w:themeColor="text1"/>
          <w:lang w:val="es-ES_tradnl" w:eastAsia="es-ES"/>
        </w:rPr>
        <w:t xml:space="preserve"> millones en </w:t>
      </w:r>
      <w:r w:rsidR="003F520F">
        <w:rPr>
          <w:rFonts w:ascii="Arial" w:eastAsia="Times New Roman" w:hAnsi="Arial" w:cs="Arial"/>
          <w:color w:val="000000" w:themeColor="text1"/>
          <w:lang w:val="es-ES_tradnl" w:eastAsia="es-ES"/>
        </w:rPr>
        <w:t>junio</w:t>
      </w:r>
      <w:r w:rsidR="006446E8">
        <w:rPr>
          <w:rFonts w:ascii="Arial" w:eastAsia="Times New Roman" w:hAnsi="Arial" w:cs="Arial"/>
          <w:color w:val="000000" w:themeColor="text1"/>
          <w:lang w:val="es-ES_tradnl" w:eastAsia="es-ES"/>
        </w:rPr>
        <w:t xml:space="preserve"> </w:t>
      </w:r>
      <w:r w:rsidR="008E5007">
        <w:rPr>
          <w:rFonts w:ascii="Arial" w:eastAsia="Times New Roman" w:hAnsi="Arial" w:cs="Arial"/>
          <w:color w:val="000000" w:themeColor="text1"/>
          <w:lang w:val="es-ES_tradnl" w:eastAsia="es-ES"/>
        </w:rPr>
        <w:t xml:space="preserve">a </w:t>
      </w:r>
      <w:r w:rsidR="003F520F">
        <w:rPr>
          <w:rFonts w:ascii="Arial" w:eastAsia="Times New Roman" w:hAnsi="Arial" w:cs="Arial"/>
          <w:color w:val="000000" w:themeColor="text1"/>
          <w:lang w:val="es-ES_tradnl" w:eastAsia="es-ES"/>
        </w:rPr>
        <w:t xml:space="preserve">9.2 </w:t>
      </w:r>
      <w:r w:rsidR="008E5007">
        <w:rPr>
          <w:rFonts w:ascii="Arial" w:eastAsia="Times New Roman" w:hAnsi="Arial" w:cs="Arial"/>
          <w:color w:val="000000" w:themeColor="text1"/>
          <w:lang w:val="es-ES_tradnl" w:eastAsia="es-ES"/>
        </w:rPr>
        <w:t xml:space="preserve">millones </w:t>
      </w:r>
      <w:r w:rsidR="008A4879">
        <w:rPr>
          <w:rFonts w:ascii="Arial" w:eastAsia="Times New Roman" w:hAnsi="Arial" w:cs="Arial"/>
          <w:color w:val="000000" w:themeColor="text1"/>
          <w:lang w:val="es-ES_tradnl" w:eastAsia="es-ES"/>
        </w:rPr>
        <w:t xml:space="preserve">en </w:t>
      </w:r>
      <w:r w:rsidR="00343375">
        <w:rPr>
          <w:rFonts w:ascii="Arial" w:eastAsia="Times New Roman" w:hAnsi="Arial" w:cs="Arial"/>
          <w:color w:val="000000" w:themeColor="text1"/>
          <w:lang w:val="es-ES_tradnl" w:eastAsia="es-ES"/>
        </w:rPr>
        <w:t>ju</w:t>
      </w:r>
      <w:r w:rsidR="003F520F">
        <w:rPr>
          <w:rFonts w:ascii="Arial" w:eastAsia="Times New Roman" w:hAnsi="Arial" w:cs="Arial"/>
          <w:color w:val="000000" w:themeColor="text1"/>
          <w:lang w:val="es-ES_tradnl" w:eastAsia="es-ES"/>
        </w:rPr>
        <w:t>l</w:t>
      </w:r>
      <w:r w:rsidR="00343375">
        <w:rPr>
          <w:rFonts w:ascii="Arial" w:eastAsia="Times New Roman" w:hAnsi="Arial" w:cs="Arial"/>
          <w:color w:val="000000" w:themeColor="text1"/>
          <w:lang w:val="es-ES_tradnl" w:eastAsia="es-ES"/>
        </w:rPr>
        <w:t>io</w:t>
      </w:r>
      <w:r w:rsidR="008A4879">
        <w:rPr>
          <w:rFonts w:ascii="Arial" w:eastAsia="Times New Roman" w:hAnsi="Arial" w:cs="Arial"/>
          <w:color w:val="000000" w:themeColor="text1"/>
          <w:lang w:val="es-ES_tradnl" w:eastAsia="es-ES"/>
        </w:rPr>
        <w:t xml:space="preserve"> de 2020</w:t>
      </w:r>
      <w:r w:rsidR="00B96E1D">
        <w:rPr>
          <w:rFonts w:ascii="Arial" w:eastAsia="Times New Roman" w:hAnsi="Arial" w:cs="Arial"/>
          <w:color w:val="000000" w:themeColor="text1"/>
          <w:lang w:val="es-ES_tradnl" w:eastAsia="es-ES"/>
        </w:rPr>
        <w:t xml:space="preserve">, </w:t>
      </w:r>
      <w:r w:rsidR="00AA0480">
        <w:rPr>
          <w:rFonts w:ascii="Arial" w:eastAsia="Times New Roman" w:hAnsi="Arial" w:cs="Arial"/>
          <w:color w:val="000000" w:themeColor="text1"/>
          <w:lang w:val="es-ES_tradnl" w:eastAsia="es-ES"/>
        </w:rPr>
        <w:t xml:space="preserve">con una </w:t>
      </w:r>
      <w:r w:rsidR="00263175">
        <w:rPr>
          <w:rFonts w:ascii="Arial" w:eastAsia="Times New Roman" w:hAnsi="Arial" w:cs="Arial"/>
          <w:color w:val="000000" w:themeColor="text1"/>
          <w:lang w:val="es-ES_tradnl" w:eastAsia="es-ES"/>
        </w:rPr>
        <w:t xml:space="preserve">disminución de </w:t>
      </w:r>
      <w:r w:rsidR="00CE03F1">
        <w:rPr>
          <w:rFonts w:ascii="Arial" w:eastAsia="Times New Roman" w:hAnsi="Arial" w:cs="Arial"/>
          <w:color w:val="000000" w:themeColor="text1"/>
          <w:lang w:val="es-ES_tradnl" w:eastAsia="es-ES"/>
        </w:rPr>
        <w:t>(-)</w:t>
      </w:r>
      <w:r w:rsidR="007B2315">
        <w:rPr>
          <w:rFonts w:ascii="Arial" w:eastAsia="Times New Roman" w:hAnsi="Arial" w:cs="Arial"/>
          <w:color w:val="000000" w:themeColor="text1"/>
          <w:lang w:val="es-ES_tradnl" w:eastAsia="es-ES"/>
        </w:rPr>
        <w:t>0.5</w:t>
      </w:r>
      <w:r w:rsidR="00263175">
        <w:rPr>
          <w:rFonts w:ascii="Arial" w:eastAsia="Times New Roman" w:hAnsi="Arial" w:cs="Arial"/>
          <w:color w:val="000000" w:themeColor="text1"/>
          <w:lang w:val="es-ES_tradnl" w:eastAsia="es-ES"/>
        </w:rPr>
        <w:t xml:space="preserve"> millones</w:t>
      </w:r>
      <w:r w:rsidRPr="00BF71A5">
        <w:rPr>
          <w:rFonts w:ascii="Arial" w:eastAsia="Times New Roman" w:hAnsi="Arial" w:cs="Arial"/>
          <w:color w:val="000000" w:themeColor="text1"/>
          <w:lang w:val="es-ES_tradnl" w:eastAsia="es-ES"/>
        </w:rPr>
        <w:t>.</w:t>
      </w:r>
      <w:r w:rsidR="008E5007">
        <w:rPr>
          <w:rFonts w:ascii="Arial" w:eastAsia="Times New Roman" w:hAnsi="Arial" w:cs="Arial"/>
          <w:color w:val="000000" w:themeColor="text1"/>
          <w:lang w:val="es-ES_tradnl" w:eastAsia="es-ES"/>
        </w:rPr>
        <w:t xml:space="preserve"> </w:t>
      </w:r>
      <w:r w:rsidR="00860BE4">
        <w:rPr>
          <w:rFonts w:ascii="Arial" w:eastAsia="Times New Roman" w:hAnsi="Arial" w:cs="Arial"/>
          <w:color w:val="000000" w:themeColor="text1"/>
          <w:lang w:val="es-ES_tradnl" w:eastAsia="es-ES"/>
        </w:rPr>
        <w:t xml:space="preserve">Por sexo, la </w:t>
      </w:r>
      <w:r w:rsidR="00AC233F">
        <w:rPr>
          <w:rFonts w:ascii="Arial" w:eastAsia="Times New Roman" w:hAnsi="Arial" w:cs="Arial"/>
          <w:color w:val="000000" w:themeColor="text1"/>
          <w:lang w:val="es-ES_tradnl" w:eastAsia="es-ES"/>
        </w:rPr>
        <w:t xml:space="preserve">población </w:t>
      </w:r>
      <w:proofErr w:type="spellStart"/>
      <w:r w:rsidR="00AC233F">
        <w:rPr>
          <w:rFonts w:ascii="Arial" w:eastAsia="Times New Roman" w:hAnsi="Arial" w:cs="Arial"/>
          <w:color w:val="000000" w:themeColor="text1"/>
          <w:lang w:val="es-ES_tradnl" w:eastAsia="es-ES"/>
        </w:rPr>
        <w:t>subocupada</w:t>
      </w:r>
      <w:proofErr w:type="spellEnd"/>
      <w:r w:rsidR="00AC233F">
        <w:rPr>
          <w:rFonts w:ascii="Arial" w:eastAsia="Times New Roman" w:hAnsi="Arial" w:cs="Arial"/>
          <w:color w:val="000000" w:themeColor="text1"/>
          <w:lang w:val="es-ES_tradnl" w:eastAsia="es-ES"/>
        </w:rPr>
        <w:t xml:space="preserve"> en los hombres cambi</w:t>
      </w:r>
      <w:r w:rsidR="005E0992">
        <w:rPr>
          <w:rFonts w:ascii="Arial" w:eastAsia="Times New Roman" w:hAnsi="Arial" w:cs="Arial"/>
          <w:color w:val="000000" w:themeColor="text1"/>
          <w:lang w:val="es-ES_tradnl" w:eastAsia="es-ES"/>
        </w:rPr>
        <w:t>ó</w:t>
      </w:r>
      <w:r w:rsidR="00AC233F">
        <w:rPr>
          <w:rFonts w:ascii="Arial" w:eastAsia="Times New Roman" w:hAnsi="Arial" w:cs="Arial"/>
          <w:color w:val="000000" w:themeColor="text1"/>
          <w:lang w:val="es-ES_tradnl" w:eastAsia="es-ES"/>
        </w:rPr>
        <w:t xml:space="preserve"> de </w:t>
      </w:r>
      <w:r w:rsidR="007B2315">
        <w:rPr>
          <w:rFonts w:ascii="Arial" w:eastAsia="Times New Roman" w:hAnsi="Arial" w:cs="Arial"/>
          <w:color w:val="000000" w:themeColor="text1"/>
          <w:lang w:val="es-ES_tradnl" w:eastAsia="es-ES"/>
        </w:rPr>
        <w:t>6.4</w:t>
      </w:r>
      <w:r w:rsidR="00AC233F">
        <w:rPr>
          <w:rFonts w:ascii="Arial" w:eastAsia="Times New Roman" w:hAnsi="Arial" w:cs="Arial"/>
          <w:color w:val="000000" w:themeColor="text1"/>
          <w:lang w:val="es-ES_tradnl" w:eastAsia="es-ES"/>
        </w:rPr>
        <w:t xml:space="preserve"> millones en </w:t>
      </w:r>
      <w:r w:rsidR="007B2315">
        <w:rPr>
          <w:rFonts w:ascii="Arial" w:eastAsia="Times New Roman" w:hAnsi="Arial" w:cs="Arial"/>
          <w:color w:val="000000" w:themeColor="text1"/>
          <w:lang w:val="es-ES_tradnl" w:eastAsia="es-ES"/>
        </w:rPr>
        <w:t>junio</w:t>
      </w:r>
      <w:r w:rsidR="00AC233F">
        <w:rPr>
          <w:rFonts w:ascii="Arial" w:eastAsia="Times New Roman" w:hAnsi="Arial" w:cs="Arial"/>
          <w:color w:val="000000" w:themeColor="text1"/>
          <w:lang w:val="es-ES_tradnl" w:eastAsia="es-ES"/>
        </w:rPr>
        <w:t xml:space="preserve"> a </w:t>
      </w:r>
      <w:r w:rsidR="007B2315">
        <w:rPr>
          <w:rFonts w:ascii="Arial" w:eastAsia="Times New Roman" w:hAnsi="Arial" w:cs="Arial"/>
          <w:color w:val="000000" w:themeColor="text1"/>
          <w:lang w:val="es-ES_tradnl" w:eastAsia="es-ES"/>
        </w:rPr>
        <w:t>5.8</w:t>
      </w:r>
      <w:r w:rsidR="00AC233F">
        <w:rPr>
          <w:rFonts w:ascii="Arial" w:eastAsia="Times New Roman" w:hAnsi="Arial" w:cs="Arial"/>
          <w:color w:val="000000" w:themeColor="text1"/>
          <w:lang w:val="es-ES_tradnl" w:eastAsia="es-ES"/>
        </w:rPr>
        <w:t xml:space="preserve"> millones en </w:t>
      </w:r>
      <w:r w:rsidR="00343375">
        <w:rPr>
          <w:rFonts w:ascii="Arial" w:eastAsia="Times New Roman" w:hAnsi="Arial" w:cs="Arial"/>
          <w:color w:val="000000" w:themeColor="text1"/>
          <w:lang w:val="es-ES_tradnl" w:eastAsia="es-ES"/>
        </w:rPr>
        <w:t>ju</w:t>
      </w:r>
      <w:r w:rsidR="007B2315">
        <w:rPr>
          <w:rFonts w:ascii="Arial" w:eastAsia="Times New Roman" w:hAnsi="Arial" w:cs="Arial"/>
          <w:color w:val="000000" w:themeColor="text1"/>
          <w:lang w:val="es-ES_tradnl" w:eastAsia="es-ES"/>
        </w:rPr>
        <w:t>l</w:t>
      </w:r>
      <w:r w:rsidR="00343375">
        <w:rPr>
          <w:rFonts w:ascii="Arial" w:eastAsia="Times New Roman" w:hAnsi="Arial" w:cs="Arial"/>
          <w:color w:val="000000" w:themeColor="text1"/>
          <w:lang w:val="es-ES_tradnl" w:eastAsia="es-ES"/>
        </w:rPr>
        <w:t>io</w:t>
      </w:r>
      <w:r w:rsidR="00CE03F1">
        <w:rPr>
          <w:rFonts w:ascii="Arial" w:eastAsia="Times New Roman" w:hAnsi="Arial" w:cs="Arial"/>
          <w:color w:val="000000" w:themeColor="text1"/>
          <w:lang w:val="es-ES_tradnl" w:eastAsia="es-ES"/>
        </w:rPr>
        <w:t xml:space="preserve"> y</w:t>
      </w:r>
      <w:r w:rsidR="00AC233F">
        <w:rPr>
          <w:rFonts w:ascii="Arial" w:eastAsia="Times New Roman" w:hAnsi="Arial" w:cs="Arial"/>
          <w:color w:val="000000" w:themeColor="text1"/>
          <w:lang w:val="es-ES_tradnl" w:eastAsia="es-ES"/>
        </w:rPr>
        <w:t xml:space="preserve"> en las mujeres de </w:t>
      </w:r>
      <w:r w:rsidR="007B2315">
        <w:rPr>
          <w:rFonts w:ascii="Arial" w:eastAsia="Times New Roman" w:hAnsi="Arial" w:cs="Arial"/>
          <w:color w:val="000000" w:themeColor="text1"/>
          <w:lang w:val="es-ES_tradnl" w:eastAsia="es-ES"/>
        </w:rPr>
        <w:t>3.3</w:t>
      </w:r>
      <w:r w:rsidR="00AC233F">
        <w:rPr>
          <w:rFonts w:ascii="Arial" w:eastAsia="Times New Roman" w:hAnsi="Arial" w:cs="Arial"/>
          <w:color w:val="000000" w:themeColor="text1"/>
          <w:lang w:val="es-ES_tradnl" w:eastAsia="es-ES"/>
        </w:rPr>
        <w:t xml:space="preserve"> millones a </w:t>
      </w:r>
      <w:r w:rsidR="007B2315">
        <w:rPr>
          <w:rFonts w:ascii="Arial" w:eastAsia="Times New Roman" w:hAnsi="Arial" w:cs="Arial"/>
          <w:color w:val="000000" w:themeColor="text1"/>
          <w:lang w:val="es-ES_tradnl" w:eastAsia="es-ES"/>
        </w:rPr>
        <w:t>3.4</w:t>
      </w:r>
      <w:r w:rsidR="00AC233F">
        <w:rPr>
          <w:rFonts w:ascii="Arial" w:eastAsia="Times New Roman" w:hAnsi="Arial" w:cs="Arial"/>
          <w:color w:val="000000" w:themeColor="text1"/>
          <w:lang w:val="es-ES_tradnl" w:eastAsia="es-ES"/>
        </w:rPr>
        <w:t xml:space="preserve"> millones en </w:t>
      </w:r>
      <w:r w:rsidR="00860BE4">
        <w:rPr>
          <w:rFonts w:ascii="Arial" w:eastAsia="Times New Roman" w:hAnsi="Arial" w:cs="Arial"/>
          <w:color w:val="000000" w:themeColor="text1"/>
          <w:lang w:val="es-ES_tradnl" w:eastAsia="es-ES"/>
        </w:rPr>
        <w:t>el mismo periodo</w:t>
      </w:r>
      <w:r w:rsidR="00AC233F">
        <w:rPr>
          <w:rFonts w:ascii="Arial" w:eastAsia="Times New Roman" w:hAnsi="Arial" w:cs="Arial"/>
          <w:color w:val="000000" w:themeColor="text1"/>
          <w:lang w:val="es-ES_tradnl" w:eastAsia="es-ES"/>
        </w:rPr>
        <w:t>.</w:t>
      </w:r>
    </w:p>
    <w:p w14:paraId="69277278" w14:textId="77777777" w:rsidR="006446E8" w:rsidRDefault="006446E8" w:rsidP="00252EDE">
      <w:pPr>
        <w:spacing w:after="0" w:line="240" w:lineRule="auto"/>
        <w:ind w:right="49"/>
        <w:jc w:val="both"/>
        <w:rPr>
          <w:rFonts w:ascii="Arial" w:eastAsia="Times New Roman" w:hAnsi="Arial" w:cs="Arial"/>
          <w:color w:val="000000" w:themeColor="text1"/>
          <w:lang w:val="es-ES_tradnl" w:eastAsia="es-ES"/>
        </w:rPr>
      </w:pPr>
    </w:p>
    <w:p w14:paraId="295F625A" w14:textId="385C553D" w:rsidR="00252EDE" w:rsidRPr="00E0630B" w:rsidRDefault="00252EDE" w:rsidP="00252EDE">
      <w:pPr>
        <w:spacing w:after="0" w:line="240" w:lineRule="auto"/>
        <w:ind w:right="49"/>
        <w:jc w:val="both"/>
        <w:rPr>
          <w:rFonts w:ascii="Arial" w:eastAsia="Times New Roman" w:hAnsi="Arial" w:cs="Arial"/>
          <w:color w:val="000000" w:themeColor="text1"/>
          <w:lang w:val="es-ES_tradnl" w:eastAsia="es-ES"/>
        </w:rPr>
      </w:pPr>
      <w:r w:rsidRPr="00BF71A5">
        <w:rPr>
          <w:rFonts w:ascii="Arial" w:eastAsia="Times New Roman" w:hAnsi="Arial" w:cs="Arial"/>
          <w:color w:val="000000" w:themeColor="text1"/>
          <w:lang w:val="es-ES_tradnl" w:eastAsia="es-ES"/>
        </w:rPr>
        <w:t xml:space="preserve">En su comparación </w:t>
      </w:r>
      <w:r w:rsidR="008E5007">
        <w:rPr>
          <w:rFonts w:ascii="Arial" w:eastAsia="Times New Roman" w:hAnsi="Arial" w:cs="Arial"/>
          <w:color w:val="000000" w:themeColor="text1"/>
          <w:lang w:val="es-ES_tradnl" w:eastAsia="es-ES"/>
        </w:rPr>
        <w:t>con el mes previo</w:t>
      </w:r>
      <w:r w:rsidRPr="00BF71A5">
        <w:rPr>
          <w:rFonts w:ascii="Arial" w:eastAsia="Times New Roman" w:hAnsi="Arial" w:cs="Arial"/>
          <w:color w:val="000000" w:themeColor="text1"/>
          <w:lang w:val="es-ES_tradnl" w:eastAsia="es-ES"/>
        </w:rPr>
        <w:t>, la tasa de subocupación fue</w:t>
      </w:r>
      <w:r w:rsidR="006446E8">
        <w:rPr>
          <w:rFonts w:ascii="Arial" w:eastAsia="Times New Roman" w:hAnsi="Arial" w:cs="Arial"/>
          <w:color w:val="000000" w:themeColor="text1"/>
          <w:lang w:val="es-ES_tradnl" w:eastAsia="es-ES"/>
        </w:rPr>
        <w:t xml:space="preserve"> menor en </w:t>
      </w:r>
      <w:r w:rsidR="00CE03F1">
        <w:rPr>
          <w:rFonts w:ascii="Arial" w:eastAsia="Times New Roman" w:hAnsi="Arial" w:cs="Arial"/>
          <w:color w:val="000000" w:themeColor="text1"/>
          <w:lang w:val="es-ES_tradnl" w:eastAsia="es-ES"/>
        </w:rPr>
        <w:t>(-)</w:t>
      </w:r>
      <w:r w:rsidR="007B2315">
        <w:rPr>
          <w:rFonts w:ascii="Arial" w:eastAsia="Times New Roman" w:hAnsi="Arial" w:cs="Arial"/>
          <w:color w:val="000000" w:themeColor="text1"/>
          <w:lang w:val="es-ES_tradnl" w:eastAsia="es-ES"/>
        </w:rPr>
        <w:t>1</w:t>
      </w:r>
      <w:r w:rsidR="00CE03F1">
        <w:rPr>
          <w:rFonts w:ascii="Arial" w:eastAsia="Times New Roman" w:hAnsi="Arial" w:cs="Arial"/>
          <w:color w:val="000000" w:themeColor="text1"/>
          <w:lang w:val="es-ES_tradnl" w:eastAsia="es-ES"/>
        </w:rPr>
        <w:t>.</w:t>
      </w:r>
      <w:r w:rsidR="007B2315">
        <w:rPr>
          <w:rFonts w:ascii="Arial" w:eastAsia="Times New Roman" w:hAnsi="Arial" w:cs="Arial"/>
          <w:color w:val="000000" w:themeColor="text1"/>
          <w:lang w:val="es-ES_tradnl" w:eastAsia="es-ES"/>
        </w:rPr>
        <w:t>6</w:t>
      </w:r>
      <w:r w:rsidR="00030476" w:rsidRPr="007775FD">
        <w:rPr>
          <w:rFonts w:ascii="Arial" w:eastAsia="Times New Roman" w:hAnsi="Arial" w:cs="Arial"/>
          <w:color w:val="000000" w:themeColor="text1"/>
          <w:lang w:val="es-ES_tradnl" w:eastAsia="es-ES"/>
        </w:rPr>
        <w:t xml:space="preserve"> </w:t>
      </w:r>
      <w:r w:rsidRPr="007775FD">
        <w:rPr>
          <w:rFonts w:ascii="Arial" w:eastAsia="Times New Roman" w:hAnsi="Arial" w:cs="Arial"/>
          <w:color w:val="000000" w:themeColor="text1"/>
          <w:lang w:val="es-ES_tradnl" w:eastAsia="es-ES"/>
        </w:rPr>
        <w:t xml:space="preserve">puntos porcentuales </w:t>
      </w:r>
      <w:r w:rsidR="00AC233F">
        <w:rPr>
          <w:rFonts w:ascii="Arial" w:eastAsia="Times New Roman" w:hAnsi="Arial" w:cs="Arial"/>
          <w:color w:val="000000" w:themeColor="text1"/>
          <w:lang w:val="es-ES_tradnl" w:eastAsia="es-ES"/>
        </w:rPr>
        <w:t xml:space="preserve">en </w:t>
      </w:r>
      <w:r w:rsidR="00343375">
        <w:rPr>
          <w:rFonts w:ascii="Arial" w:eastAsia="Times New Roman" w:hAnsi="Arial" w:cs="Arial"/>
          <w:color w:val="000000" w:themeColor="text1"/>
          <w:lang w:val="es-ES_tradnl" w:eastAsia="es-ES"/>
        </w:rPr>
        <w:t>ju</w:t>
      </w:r>
      <w:r w:rsidR="007B2315">
        <w:rPr>
          <w:rFonts w:ascii="Arial" w:eastAsia="Times New Roman" w:hAnsi="Arial" w:cs="Arial"/>
          <w:color w:val="000000" w:themeColor="text1"/>
          <w:lang w:val="es-ES_tradnl" w:eastAsia="es-ES"/>
        </w:rPr>
        <w:t>l</w:t>
      </w:r>
      <w:r w:rsidR="00343375">
        <w:rPr>
          <w:rFonts w:ascii="Arial" w:eastAsia="Times New Roman" w:hAnsi="Arial" w:cs="Arial"/>
          <w:color w:val="000000" w:themeColor="text1"/>
          <w:lang w:val="es-ES_tradnl" w:eastAsia="es-ES"/>
        </w:rPr>
        <w:t>io</w:t>
      </w:r>
      <w:r w:rsidR="00AC233F">
        <w:rPr>
          <w:rFonts w:ascii="Arial" w:eastAsia="Times New Roman" w:hAnsi="Arial" w:cs="Arial"/>
          <w:color w:val="000000" w:themeColor="text1"/>
          <w:lang w:val="es-ES_tradnl" w:eastAsia="es-ES"/>
        </w:rPr>
        <w:t xml:space="preserve"> de 2020</w:t>
      </w:r>
      <w:r w:rsidR="00BB10BB">
        <w:rPr>
          <w:rFonts w:ascii="Arial" w:eastAsia="Times New Roman" w:hAnsi="Arial" w:cs="Arial"/>
          <w:color w:val="000000" w:themeColor="text1"/>
          <w:lang w:val="es-ES_tradnl" w:eastAsia="es-ES"/>
        </w:rPr>
        <w:t xml:space="preserve">, </w:t>
      </w:r>
      <w:r w:rsidR="006B1E0A">
        <w:rPr>
          <w:rFonts w:ascii="Arial" w:eastAsia="Times New Roman" w:hAnsi="Arial" w:cs="Arial"/>
          <w:color w:val="000000" w:themeColor="text1"/>
          <w:lang w:val="es-ES_tradnl" w:eastAsia="es-ES"/>
        </w:rPr>
        <w:t xml:space="preserve">al pasar de </w:t>
      </w:r>
      <w:r w:rsidR="007B2315">
        <w:rPr>
          <w:rFonts w:ascii="Arial" w:eastAsia="Times New Roman" w:hAnsi="Arial" w:cs="Arial"/>
          <w:color w:val="000000" w:themeColor="text1"/>
          <w:lang w:val="es-ES_tradnl" w:eastAsia="es-ES"/>
        </w:rPr>
        <w:t>20.1</w:t>
      </w:r>
      <w:r w:rsidR="006B1E0A">
        <w:rPr>
          <w:rFonts w:ascii="Arial" w:eastAsia="Times New Roman" w:hAnsi="Arial" w:cs="Arial"/>
          <w:color w:val="000000" w:themeColor="text1"/>
          <w:lang w:val="es-ES_tradnl" w:eastAsia="es-ES"/>
        </w:rPr>
        <w:t xml:space="preserve">% a </w:t>
      </w:r>
      <w:r w:rsidR="007B2315">
        <w:rPr>
          <w:rFonts w:ascii="Arial" w:eastAsia="Times New Roman" w:hAnsi="Arial" w:cs="Arial"/>
          <w:color w:val="000000" w:themeColor="text1"/>
          <w:lang w:val="es-ES_tradnl" w:eastAsia="es-ES"/>
        </w:rPr>
        <w:t>18.4</w:t>
      </w:r>
      <w:r w:rsidR="004626B9">
        <w:rPr>
          <w:rFonts w:ascii="Arial" w:eastAsia="Times New Roman" w:hAnsi="Arial" w:cs="Arial"/>
          <w:color w:val="000000" w:themeColor="text1"/>
          <w:lang w:val="es-ES_tradnl" w:eastAsia="es-ES"/>
        </w:rPr>
        <w:t xml:space="preserve"> por ciento. </w:t>
      </w:r>
      <w:r w:rsidR="00AC233F">
        <w:rPr>
          <w:rFonts w:ascii="Arial" w:eastAsia="Times New Roman" w:hAnsi="Arial" w:cs="Arial"/>
          <w:color w:val="000000" w:themeColor="text1"/>
          <w:lang w:val="es-ES_tradnl" w:eastAsia="es-ES"/>
        </w:rPr>
        <w:t>La situación según sexo</w:t>
      </w:r>
      <w:r w:rsidR="00030476">
        <w:rPr>
          <w:rFonts w:ascii="Arial" w:eastAsia="Times New Roman" w:hAnsi="Arial" w:cs="Arial"/>
          <w:color w:val="000000" w:themeColor="text1"/>
          <w:lang w:val="es-ES_tradnl" w:eastAsia="es-ES"/>
        </w:rPr>
        <w:t xml:space="preserve"> fue la siguiente</w:t>
      </w:r>
      <w:r w:rsidR="00B96E1D">
        <w:rPr>
          <w:rFonts w:ascii="Arial" w:eastAsia="Times New Roman" w:hAnsi="Arial" w:cs="Arial"/>
          <w:color w:val="000000" w:themeColor="text1"/>
          <w:lang w:val="es-ES_tradnl" w:eastAsia="es-ES"/>
        </w:rPr>
        <w:t xml:space="preserve">: </w:t>
      </w:r>
      <w:r w:rsidR="00AC233F">
        <w:rPr>
          <w:rFonts w:ascii="Arial" w:eastAsia="Times New Roman" w:hAnsi="Arial" w:cs="Arial"/>
          <w:color w:val="000000" w:themeColor="text1"/>
          <w:lang w:val="es-ES_tradnl" w:eastAsia="es-ES"/>
        </w:rPr>
        <w:t xml:space="preserve">en los hombres la tasa de subocupación de </w:t>
      </w:r>
      <w:r w:rsidR="00343375">
        <w:rPr>
          <w:rFonts w:ascii="Arial" w:eastAsia="Times New Roman" w:hAnsi="Arial" w:cs="Arial"/>
          <w:color w:val="000000" w:themeColor="text1"/>
          <w:lang w:val="es-ES_tradnl" w:eastAsia="es-ES"/>
        </w:rPr>
        <w:t>ju</w:t>
      </w:r>
      <w:r w:rsidR="007B2315">
        <w:rPr>
          <w:rFonts w:ascii="Arial" w:eastAsia="Times New Roman" w:hAnsi="Arial" w:cs="Arial"/>
          <w:color w:val="000000" w:themeColor="text1"/>
          <w:lang w:val="es-ES_tradnl" w:eastAsia="es-ES"/>
        </w:rPr>
        <w:t>l</w:t>
      </w:r>
      <w:r w:rsidR="00343375">
        <w:rPr>
          <w:rFonts w:ascii="Arial" w:eastAsia="Times New Roman" w:hAnsi="Arial" w:cs="Arial"/>
          <w:color w:val="000000" w:themeColor="text1"/>
          <w:lang w:val="es-ES_tradnl" w:eastAsia="es-ES"/>
        </w:rPr>
        <w:t>io</w:t>
      </w:r>
      <w:r w:rsidR="00AC233F">
        <w:rPr>
          <w:rFonts w:ascii="Arial" w:eastAsia="Times New Roman" w:hAnsi="Arial" w:cs="Arial"/>
          <w:color w:val="000000" w:themeColor="text1"/>
          <w:lang w:val="es-ES_tradnl" w:eastAsia="es-ES"/>
        </w:rPr>
        <w:t xml:space="preserve"> fue </w:t>
      </w:r>
      <w:r w:rsidR="00CE03F1">
        <w:rPr>
          <w:rFonts w:ascii="Arial" w:eastAsia="Times New Roman" w:hAnsi="Arial" w:cs="Arial"/>
          <w:color w:val="000000" w:themeColor="text1"/>
          <w:lang w:val="es-ES_tradnl" w:eastAsia="es-ES"/>
        </w:rPr>
        <w:t>(-)</w:t>
      </w:r>
      <w:r w:rsidR="007B2315">
        <w:rPr>
          <w:rFonts w:ascii="Arial" w:eastAsia="Times New Roman" w:hAnsi="Arial" w:cs="Arial"/>
          <w:color w:val="000000" w:themeColor="text1"/>
          <w:lang w:val="es-ES_tradnl" w:eastAsia="es-ES"/>
        </w:rPr>
        <w:t>3</w:t>
      </w:r>
      <w:r w:rsidR="00774382">
        <w:rPr>
          <w:rFonts w:ascii="Arial" w:eastAsia="Times New Roman" w:hAnsi="Arial" w:cs="Arial"/>
          <w:color w:val="000000" w:themeColor="text1"/>
          <w:lang w:val="es-ES_tradnl" w:eastAsia="es-ES"/>
        </w:rPr>
        <w:t>.</w:t>
      </w:r>
      <w:r w:rsidR="007B2315">
        <w:rPr>
          <w:rFonts w:ascii="Arial" w:eastAsia="Times New Roman" w:hAnsi="Arial" w:cs="Arial"/>
          <w:color w:val="000000" w:themeColor="text1"/>
          <w:lang w:val="es-ES_tradnl" w:eastAsia="es-ES"/>
        </w:rPr>
        <w:t>3</w:t>
      </w:r>
      <w:r w:rsidR="00AC233F">
        <w:rPr>
          <w:rFonts w:ascii="Arial" w:eastAsia="Times New Roman" w:hAnsi="Arial" w:cs="Arial"/>
          <w:color w:val="000000" w:themeColor="text1"/>
          <w:lang w:val="es-ES_tradnl" w:eastAsia="es-ES"/>
        </w:rPr>
        <w:t xml:space="preserve"> puntos porcentuales </w:t>
      </w:r>
      <w:r w:rsidR="006446E8">
        <w:rPr>
          <w:rFonts w:ascii="Arial" w:eastAsia="Times New Roman" w:hAnsi="Arial" w:cs="Arial"/>
          <w:color w:val="000000" w:themeColor="text1"/>
          <w:lang w:val="es-ES_tradnl" w:eastAsia="es-ES"/>
        </w:rPr>
        <w:t>menor</w:t>
      </w:r>
      <w:r w:rsidR="00AC233F">
        <w:rPr>
          <w:rFonts w:ascii="Arial" w:eastAsia="Times New Roman" w:hAnsi="Arial" w:cs="Arial"/>
          <w:color w:val="000000" w:themeColor="text1"/>
          <w:lang w:val="es-ES_tradnl" w:eastAsia="es-ES"/>
        </w:rPr>
        <w:t xml:space="preserve"> respecto al mes de </w:t>
      </w:r>
      <w:r w:rsidR="007B2315">
        <w:rPr>
          <w:rFonts w:ascii="Arial" w:eastAsia="Times New Roman" w:hAnsi="Arial" w:cs="Arial"/>
          <w:color w:val="000000" w:themeColor="text1"/>
          <w:lang w:val="es-ES_tradnl" w:eastAsia="es-ES"/>
        </w:rPr>
        <w:t>junio</w:t>
      </w:r>
      <w:r w:rsidR="00AC233F">
        <w:rPr>
          <w:rFonts w:ascii="Arial" w:eastAsia="Times New Roman" w:hAnsi="Arial" w:cs="Arial"/>
          <w:color w:val="000000" w:themeColor="text1"/>
          <w:lang w:val="es-ES_tradnl" w:eastAsia="es-ES"/>
        </w:rPr>
        <w:t xml:space="preserve"> </w:t>
      </w:r>
      <w:r w:rsidR="00CE03F1">
        <w:rPr>
          <w:rFonts w:ascii="Arial" w:eastAsia="Times New Roman" w:hAnsi="Arial" w:cs="Arial"/>
          <w:color w:val="000000" w:themeColor="text1"/>
          <w:lang w:val="es-ES_tradnl" w:eastAsia="es-ES"/>
        </w:rPr>
        <w:t>del presente año</w:t>
      </w:r>
      <w:r w:rsidR="00AC233F">
        <w:rPr>
          <w:rFonts w:ascii="Arial" w:eastAsia="Times New Roman" w:hAnsi="Arial" w:cs="Arial"/>
          <w:color w:val="000000" w:themeColor="text1"/>
          <w:lang w:val="es-ES_tradnl" w:eastAsia="es-ES"/>
        </w:rPr>
        <w:t xml:space="preserve">, mientras que en las mujeres la tasa de subocupación fue </w:t>
      </w:r>
      <w:r w:rsidR="007B2315">
        <w:rPr>
          <w:rFonts w:ascii="Arial" w:eastAsia="Times New Roman" w:hAnsi="Arial" w:cs="Arial"/>
          <w:color w:val="000000" w:themeColor="text1"/>
          <w:lang w:val="es-ES_tradnl" w:eastAsia="es-ES"/>
        </w:rPr>
        <w:t>1.1</w:t>
      </w:r>
      <w:r w:rsidR="00AC233F">
        <w:rPr>
          <w:rFonts w:ascii="Arial" w:eastAsia="Times New Roman" w:hAnsi="Arial" w:cs="Arial"/>
          <w:color w:val="000000" w:themeColor="text1"/>
          <w:lang w:val="es-ES_tradnl" w:eastAsia="es-ES"/>
        </w:rPr>
        <w:t xml:space="preserve"> punto</w:t>
      </w:r>
      <w:r w:rsidR="007B2315">
        <w:rPr>
          <w:rFonts w:ascii="Arial" w:eastAsia="Times New Roman" w:hAnsi="Arial" w:cs="Arial"/>
          <w:color w:val="000000" w:themeColor="text1"/>
          <w:lang w:val="es-ES_tradnl" w:eastAsia="es-ES"/>
        </w:rPr>
        <w:t>s</w:t>
      </w:r>
      <w:r w:rsidR="00AC233F">
        <w:rPr>
          <w:rFonts w:ascii="Arial" w:eastAsia="Times New Roman" w:hAnsi="Arial" w:cs="Arial"/>
          <w:color w:val="000000" w:themeColor="text1"/>
          <w:lang w:val="es-ES_tradnl" w:eastAsia="es-ES"/>
        </w:rPr>
        <w:t xml:space="preserve"> porcentual</w:t>
      </w:r>
      <w:r w:rsidR="007B2315">
        <w:rPr>
          <w:rFonts w:ascii="Arial" w:eastAsia="Times New Roman" w:hAnsi="Arial" w:cs="Arial"/>
          <w:color w:val="000000" w:themeColor="text1"/>
          <w:lang w:val="es-ES_tradnl" w:eastAsia="es-ES"/>
        </w:rPr>
        <w:t>es</w:t>
      </w:r>
      <w:r w:rsidR="00AC233F">
        <w:rPr>
          <w:rFonts w:ascii="Arial" w:eastAsia="Times New Roman" w:hAnsi="Arial" w:cs="Arial"/>
          <w:color w:val="000000" w:themeColor="text1"/>
          <w:lang w:val="es-ES_tradnl" w:eastAsia="es-ES"/>
        </w:rPr>
        <w:t xml:space="preserve"> </w:t>
      </w:r>
      <w:r w:rsidR="007B2315">
        <w:rPr>
          <w:rFonts w:ascii="Arial" w:eastAsia="Times New Roman" w:hAnsi="Arial" w:cs="Arial"/>
          <w:color w:val="000000" w:themeColor="text1"/>
          <w:lang w:val="es-ES_tradnl" w:eastAsia="es-ES"/>
        </w:rPr>
        <w:t xml:space="preserve">mayor </w:t>
      </w:r>
      <w:r w:rsidR="00AC233F">
        <w:rPr>
          <w:rFonts w:ascii="Arial" w:eastAsia="Times New Roman" w:hAnsi="Arial" w:cs="Arial"/>
          <w:color w:val="000000" w:themeColor="text1"/>
          <w:lang w:val="es-ES_tradnl" w:eastAsia="es-ES"/>
        </w:rPr>
        <w:t>en el mismo periodo.</w:t>
      </w:r>
    </w:p>
    <w:p w14:paraId="4B4CDABB" w14:textId="77777777" w:rsidR="00B76B1A" w:rsidRDefault="00B76B1A" w:rsidP="00CC5E3A">
      <w:pPr>
        <w:pStyle w:val="n0"/>
        <w:keepLines w:val="0"/>
        <w:widowControl w:val="0"/>
        <w:spacing w:before="0"/>
        <w:ind w:left="0" w:right="49" w:firstLine="0"/>
        <w:jc w:val="center"/>
        <w:rPr>
          <w:b/>
          <w:smallCaps/>
          <w:color w:val="auto"/>
          <w:sz w:val="22"/>
          <w:szCs w:val="22"/>
        </w:rPr>
      </w:pPr>
    </w:p>
    <w:p w14:paraId="5E700F13" w14:textId="77777777" w:rsidR="00F97FB7" w:rsidRDefault="00F97FB7">
      <w:pPr>
        <w:rPr>
          <w:rFonts w:ascii="Arial" w:eastAsia="Times New Roman" w:hAnsi="Arial" w:cs="Arial"/>
          <w:b/>
          <w:smallCaps/>
          <w:lang w:val="es-ES_tradnl" w:eastAsia="es-ES"/>
        </w:rPr>
      </w:pPr>
      <w:r>
        <w:rPr>
          <w:b/>
          <w:smallCaps/>
        </w:rPr>
        <w:br w:type="page"/>
      </w:r>
    </w:p>
    <w:p w14:paraId="0BFF2F43" w14:textId="77777777" w:rsidR="006915B0" w:rsidRPr="00B5576B" w:rsidRDefault="00C142BC" w:rsidP="00CC5E3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Gráfico 2. </w:t>
      </w:r>
      <w:r w:rsidR="006915B0" w:rsidRPr="00B5576B">
        <w:rPr>
          <w:b/>
          <w:smallCaps/>
          <w:color w:val="auto"/>
          <w:sz w:val="22"/>
          <w:szCs w:val="22"/>
        </w:rPr>
        <w:t xml:space="preserve">Tasa de </w:t>
      </w:r>
      <w:r w:rsidR="006915B0">
        <w:rPr>
          <w:b/>
          <w:smallCaps/>
          <w:color w:val="auto"/>
          <w:sz w:val="22"/>
          <w:szCs w:val="22"/>
        </w:rPr>
        <w:t>subocupación</w:t>
      </w:r>
      <w:r w:rsidR="003427BB">
        <w:rPr>
          <w:b/>
          <w:smallCaps/>
          <w:color w:val="auto"/>
          <w:sz w:val="22"/>
          <w:szCs w:val="22"/>
        </w:rPr>
        <w:t xml:space="preserve"> por sexo</w:t>
      </w:r>
      <w:r w:rsidR="006915B0" w:rsidRPr="00B5576B">
        <w:rPr>
          <w:b/>
          <w:smallCaps/>
          <w:color w:val="auto"/>
          <w:sz w:val="22"/>
          <w:szCs w:val="22"/>
        </w:rPr>
        <w:t xml:space="preserve"> </w:t>
      </w:r>
      <w:r w:rsidR="00B7794A">
        <w:rPr>
          <w:b/>
          <w:smallCaps/>
          <w:color w:val="auto"/>
          <w:sz w:val="22"/>
          <w:szCs w:val="22"/>
        </w:rPr>
        <w:t>EN</w:t>
      </w:r>
      <w:r w:rsidR="006915B0" w:rsidRPr="00B5576B">
        <w:rPr>
          <w:b/>
          <w:smallCaps/>
          <w:color w:val="auto"/>
          <w:sz w:val="22"/>
          <w:szCs w:val="22"/>
        </w:rPr>
        <w:t>OE</w:t>
      </w:r>
      <w:r w:rsidR="00F66482">
        <w:rPr>
          <w:b/>
          <w:smallCaps/>
          <w:color w:val="auto"/>
          <w:sz w:val="22"/>
          <w:szCs w:val="22"/>
          <w:vertAlign w:val="superscript"/>
        </w:rPr>
        <w:t>N</w:t>
      </w:r>
      <w:r w:rsidR="006915B0" w:rsidRPr="00B5576B">
        <w:rPr>
          <w:b/>
          <w:smallCaps/>
          <w:color w:val="auto"/>
          <w:sz w:val="22"/>
          <w:szCs w:val="22"/>
        </w:rPr>
        <w:t xml:space="preserve"> a</w:t>
      </w:r>
      <w:r w:rsidR="003966E8">
        <w:rPr>
          <w:b/>
          <w:smallCaps/>
          <w:color w:val="auto"/>
          <w:sz w:val="22"/>
          <w:szCs w:val="22"/>
        </w:rPr>
        <w:t>l mes de</w:t>
      </w:r>
      <w:r w:rsidR="006915B0" w:rsidRPr="00B5576B">
        <w:rPr>
          <w:b/>
          <w:smallCaps/>
          <w:color w:val="auto"/>
          <w:sz w:val="22"/>
          <w:szCs w:val="22"/>
        </w:rPr>
        <w:t xml:space="preserv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006915B0" w:rsidRPr="00B5576B">
        <w:rPr>
          <w:b/>
          <w:smallCaps/>
          <w:color w:val="auto"/>
          <w:sz w:val="22"/>
          <w:szCs w:val="22"/>
        </w:rPr>
        <w:t xml:space="preserve"> de 2020</w:t>
      </w:r>
      <w:r w:rsidR="006915B0">
        <w:rPr>
          <w:b/>
          <w:smallCaps/>
          <w:color w:val="auto"/>
          <w:sz w:val="22"/>
          <w:szCs w:val="22"/>
        </w:rPr>
        <w:t xml:space="preserve"> </w:t>
      </w:r>
    </w:p>
    <w:p w14:paraId="57C4CB45"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(Porcentajes respecto </w:t>
      </w:r>
      <w:r w:rsidR="00327531" w:rsidRPr="000C73EB">
        <w:rPr>
          <w:b/>
          <w:smallCaps/>
          <w:color w:val="auto"/>
          <w:sz w:val="22"/>
          <w:szCs w:val="22"/>
        </w:rPr>
        <w:t>de</w:t>
      </w:r>
      <w:r w:rsidRPr="000C73EB">
        <w:rPr>
          <w:b/>
          <w:smallCaps/>
          <w:color w:val="auto"/>
          <w:sz w:val="22"/>
          <w:szCs w:val="22"/>
        </w:rPr>
        <w:t xml:space="preserve"> la población ocupada)</w:t>
      </w:r>
    </w:p>
    <w:p w14:paraId="33B6FD2B" w14:textId="77777777" w:rsidR="00435A6C" w:rsidRPr="000C73EB" w:rsidRDefault="00435A6C" w:rsidP="00CC5E3A">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0C73EB">
        <w:rPr>
          <w:b/>
          <w:smallCaps/>
          <w:color w:val="auto"/>
          <w:sz w:val="22"/>
          <w:szCs w:val="22"/>
        </w:rPr>
        <w:t xml:space="preserve"> 2019 y </w:t>
      </w:r>
      <w:r w:rsidR="00EE43E5">
        <w:rPr>
          <w:b/>
          <w:smallCaps/>
          <w:color w:val="auto"/>
          <w:sz w:val="22"/>
          <w:szCs w:val="22"/>
        </w:rPr>
        <w:t>ETOE abril</w:t>
      </w:r>
      <w:r w:rsidR="00343375">
        <w:rPr>
          <w:b/>
          <w:smallCaps/>
          <w:color w:val="auto"/>
          <w:sz w:val="22"/>
          <w:szCs w:val="22"/>
        </w:rPr>
        <w:t xml:space="preserve"> mayo</w:t>
      </w:r>
      <w:r w:rsidR="00E51800">
        <w:rPr>
          <w:b/>
          <w:smallCaps/>
          <w:color w:val="auto"/>
          <w:sz w:val="22"/>
          <w:szCs w:val="22"/>
        </w:rPr>
        <w:t xml:space="preserve"> y</w:t>
      </w:r>
      <w:r w:rsidR="00CE03F1">
        <w:rPr>
          <w:b/>
          <w:smallCaps/>
          <w:color w:val="auto"/>
          <w:sz w:val="22"/>
          <w:szCs w:val="22"/>
        </w:rPr>
        <w:t xml:space="preserve"> junio </w:t>
      </w:r>
      <w:r w:rsidRPr="000C73EB">
        <w:rPr>
          <w:b/>
          <w:smallCaps/>
          <w:color w:val="auto"/>
          <w:sz w:val="22"/>
          <w:szCs w:val="22"/>
        </w:rPr>
        <w:t>2020</w:t>
      </w:r>
    </w:p>
    <w:p w14:paraId="0E1B3211" w14:textId="77777777" w:rsidR="0039067D" w:rsidRDefault="00DB4F74">
      <w:pPr>
        <w:pStyle w:val="n0"/>
        <w:keepLines w:val="0"/>
        <w:widowControl w:val="0"/>
        <w:spacing w:before="0"/>
        <w:ind w:left="0" w:right="49" w:firstLine="0"/>
        <w:jc w:val="center"/>
        <w:rPr>
          <w:b/>
          <w:color w:val="000000" w:themeColor="text1"/>
          <w:sz w:val="20"/>
          <w:szCs w:val="20"/>
        </w:rPr>
      </w:pPr>
      <w:r>
        <w:rPr>
          <w:b/>
          <w:noProof/>
          <w:color w:val="000000" w:themeColor="text1"/>
          <w:sz w:val="20"/>
          <w:szCs w:val="20"/>
          <w:lang w:val="es-MX" w:eastAsia="es-MX"/>
        </w:rPr>
        <w:drawing>
          <wp:inline distT="0" distB="0" distL="0" distR="0" wp14:anchorId="47C73673" wp14:editId="4080C453">
            <wp:extent cx="5681980" cy="292036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1980" cy="2920365"/>
                    </a:xfrm>
                    <a:prstGeom prst="rect">
                      <a:avLst/>
                    </a:prstGeom>
                    <a:noFill/>
                  </pic:spPr>
                </pic:pic>
              </a:graphicData>
            </a:graphic>
          </wp:inline>
        </w:drawing>
      </w:r>
    </w:p>
    <w:p w14:paraId="445C68AD" w14:textId="77777777" w:rsidR="00AE2C98" w:rsidRDefault="00AE2C98" w:rsidP="00AE2C98">
      <w:pPr>
        <w:spacing w:after="0" w:line="240" w:lineRule="auto"/>
        <w:ind w:left="284" w:right="333"/>
        <w:jc w:val="both"/>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28289F06"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39696B6B"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1C4AB13A"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787DD13D" w14:textId="77777777" w:rsidR="000C73EB" w:rsidRDefault="000C73EB" w:rsidP="00CC5E3A">
      <w:pPr>
        <w:pStyle w:val="Prrafodelista"/>
        <w:spacing w:after="0" w:line="240" w:lineRule="auto"/>
        <w:ind w:left="0" w:right="49"/>
        <w:jc w:val="both"/>
        <w:rPr>
          <w:rFonts w:ascii="Arial" w:hAnsi="Arial" w:cs="Arial"/>
          <w:bCs/>
          <w:spacing w:val="8"/>
        </w:rPr>
      </w:pPr>
    </w:p>
    <w:p w14:paraId="0DD102D4" w14:textId="3BFD94D1" w:rsidR="00A14E08" w:rsidRDefault="00B96E1D" w:rsidP="00CC5E3A">
      <w:pPr>
        <w:pStyle w:val="Prrafodelista"/>
        <w:spacing w:after="0" w:line="240" w:lineRule="auto"/>
        <w:ind w:left="0" w:right="49"/>
        <w:jc w:val="both"/>
        <w:rPr>
          <w:rFonts w:ascii="Arial" w:hAnsi="Arial" w:cs="Arial"/>
          <w:bCs/>
          <w:spacing w:val="8"/>
        </w:rPr>
      </w:pPr>
      <w:r>
        <w:rPr>
          <w:rFonts w:ascii="Arial" w:hAnsi="Arial" w:cs="Arial"/>
          <w:bCs/>
          <w:spacing w:val="8"/>
        </w:rPr>
        <w:t>Con relación a la</w:t>
      </w:r>
      <w:r w:rsidR="00AC233F">
        <w:rPr>
          <w:rFonts w:ascii="Arial" w:hAnsi="Arial" w:cs="Arial"/>
          <w:bCs/>
          <w:spacing w:val="8"/>
        </w:rPr>
        <w:t xml:space="preserve"> población </w:t>
      </w:r>
      <w:proofErr w:type="spellStart"/>
      <w:r w:rsidR="00AC233F">
        <w:rPr>
          <w:rFonts w:ascii="Arial" w:hAnsi="Arial" w:cs="Arial"/>
          <w:bCs/>
          <w:spacing w:val="8"/>
        </w:rPr>
        <w:t>subocupada</w:t>
      </w:r>
      <w:proofErr w:type="spellEnd"/>
      <w:r w:rsidR="00AC233F">
        <w:rPr>
          <w:rFonts w:ascii="Arial" w:hAnsi="Arial" w:cs="Arial"/>
          <w:bCs/>
          <w:spacing w:val="8"/>
        </w:rPr>
        <w:t xml:space="preserve"> </w:t>
      </w:r>
      <w:r w:rsidR="00860BE4">
        <w:rPr>
          <w:rFonts w:ascii="Arial" w:hAnsi="Arial" w:cs="Arial"/>
          <w:bCs/>
          <w:spacing w:val="8"/>
        </w:rPr>
        <w:t xml:space="preserve">durante el </w:t>
      </w:r>
      <w:r w:rsidR="007B2315">
        <w:rPr>
          <w:rFonts w:ascii="Arial" w:hAnsi="Arial" w:cs="Arial"/>
          <w:bCs/>
          <w:spacing w:val="8"/>
        </w:rPr>
        <w:t>sé</w:t>
      </w:r>
      <w:r w:rsidR="006D0387">
        <w:rPr>
          <w:rFonts w:ascii="Arial" w:hAnsi="Arial" w:cs="Arial"/>
          <w:bCs/>
          <w:spacing w:val="8"/>
        </w:rPr>
        <w:t>p</w:t>
      </w:r>
      <w:r w:rsidR="007B2315">
        <w:rPr>
          <w:rFonts w:ascii="Arial" w:hAnsi="Arial" w:cs="Arial"/>
          <w:bCs/>
          <w:spacing w:val="8"/>
        </w:rPr>
        <w:t>timo</w:t>
      </w:r>
      <w:r w:rsidR="006976A8">
        <w:rPr>
          <w:rFonts w:ascii="Arial" w:hAnsi="Arial" w:cs="Arial"/>
          <w:bCs/>
          <w:spacing w:val="8"/>
        </w:rPr>
        <w:t xml:space="preserve"> </w:t>
      </w:r>
      <w:r w:rsidR="00860BE4">
        <w:rPr>
          <w:rFonts w:ascii="Arial" w:hAnsi="Arial" w:cs="Arial"/>
          <w:bCs/>
          <w:spacing w:val="8"/>
        </w:rPr>
        <w:t xml:space="preserve">mes </w:t>
      </w:r>
      <w:r w:rsidR="00AC233F">
        <w:rPr>
          <w:rFonts w:ascii="Arial" w:hAnsi="Arial" w:cs="Arial"/>
          <w:bCs/>
          <w:spacing w:val="8"/>
        </w:rPr>
        <w:t xml:space="preserve">de 2020 según </w:t>
      </w:r>
      <w:r w:rsidR="006976A8">
        <w:rPr>
          <w:rFonts w:ascii="Arial" w:hAnsi="Arial" w:cs="Arial"/>
          <w:bCs/>
          <w:spacing w:val="8"/>
        </w:rPr>
        <w:t xml:space="preserve">su </w:t>
      </w:r>
      <w:r w:rsidR="00AC233F">
        <w:rPr>
          <w:rFonts w:ascii="Arial" w:hAnsi="Arial" w:cs="Arial"/>
          <w:bCs/>
          <w:spacing w:val="8"/>
        </w:rPr>
        <w:t>posición en la ocupación</w:t>
      </w:r>
      <w:r>
        <w:rPr>
          <w:rFonts w:ascii="Arial" w:hAnsi="Arial" w:cs="Arial"/>
          <w:bCs/>
          <w:spacing w:val="8"/>
        </w:rPr>
        <w:t xml:space="preserve">, </w:t>
      </w:r>
      <w:r w:rsidR="00200FD9">
        <w:rPr>
          <w:rFonts w:ascii="Arial" w:hAnsi="Arial" w:cs="Arial"/>
          <w:bCs/>
          <w:spacing w:val="8"/>
        </w:rPr>
        <w:t>los</w:t>
      </w:r>
      <w:r w:rsidR="00A03FAA">
        <w:rPr>
          <w:rFonts w:ascii="Arial" w:hAnsi="Arial" w:cs="Arial"/>
          <w:bCs/>
          <w:spacing w:val="8"/>
        </w:rPr>
        <w:t xml:space="preserve"> trabajadores subordinados y remunerados concentraron el </w:t>
      </w:r>
      <w:r w:rsidR="007B2315">
        <w:rPr>
          <w:rFonts w:ascii="Arial" w:hAnsi="Arial" w:cs="Arial"/>
          <w:bCs/>
          <w:spacing w:val="8"/>
        </w:rPr>
        <w:t>53</w:t>
      </w:r>
      <w:r w:rsidR="00200FD9">
        <w:rPr>
          <w:rFonts w:ascii="Arial" w:hAnsi="Arial" w:cs="Arial"/>
          <w:bCs/>
          <w:spacing w:val="8"/>
        </w:rPr>
        <w:t>.</w:t>
      </w:r>
      <w:r w:rsidR="0000410E">
        <w:rPr>
          <w:rFonts w:ascii="Arial" w:hAnsi="Arial" w:cs="Arial"/>
          <w:bCs/>
          <w:spacing w:val="8"/>
        </w:rPr>
        <w:t>1</w:t>
      </w:r>
      <w:r w:rsidR="00A03FAA">
        <w:rPr>
          <w:rFonts w:ascii="Arial" w:hAnsi="Arial" w:cs="Arial"/>
          <w:bCs/>
          <w:spacing w:val="8"/>
        </w:rPr>
        <w:t>%</w:t>
      </w:r>
      <w:r w:rsidR="00200FD9">
        <w:rPr>
          <w:rFonts w:ascii="Arial" w:hAnsi="Arial" w:cs="Arial"/>
          <w:bCs/>
          <w:spacing w:val="8"/>
        </w:rPr>
        <w:t>, con un</w:t>
      </w:r>
      <w:r w:rsidR="008860B4">
        <w:rPr>
          <w:rFonts w:ascii="Arial" w:hAnsi="Arial" w:cs="Arial"/>
          <w:bCs/>
          <w:spacing w:val="8"/>
        </w:rPr>
        <w:t>a disminución de (-)5</w:t>
      </w:r>
      <w:r w:rsidR="00200FD9">
        <w:rPr>
          <w:rFonts w:ascii="Arial" w:hAnsi="Arial" w:cs="Arial"/>
          <w:bCs/>
          <w:spacing w:val="8"/>
        </w:rPr>
        <w:t xml:space="preserve"> puntos porcentuales respecto al mes previo</w:t>
      </w:r>
      <w:r w:rsidR="00A03FAA">
        <w:rPr>
          <w:rFonts w:ascii="Arial" w:hAnsi="Arial" w:cs="Arial"/>
          <w:bCs/>
          <w:spacing w:val="8"/>
        </w:rPr>
        <w:t xml:space="preserve"> y los trabajadores por cuenta propia </w:t>
      </w:r>
      <w:r w:rsidR="00200FD9">
        <w:rPr>
          <w:rFonts w:ascii="Arial" w:hAnsi="Arial" w:cs="Arial"/>
          <w:bCs/>
          <w:spacing w:val="8"/>
        </w:rPr>
        <w:t xml:space="preserve">representaron </w:t>
      </w:r>
      <w:r w:rsidR="00A03FAA">
        <w:rPr>
          <w:rFonts w:ascii="Arial" w:hAnsi="Arial" w:cs="Arial"/>
          <w:bCs/>
          <w:spacing w:val="8"/>
        </w:rPr>
        <w:t xml:space="preserve">el </w:t>
      </w:r>
      <w:r w:rsidR="008860B4">
        <w:rPr>
          <w:rFonts w:ascii="Arial" w:hAnsi="Arial" w:cs="Arial"/>
          <w:bCs/>
          <w:spacing w:val="8"/>
        </w:rPr>
        <w:t>36.8</w:t>
      </w:r>
      <w:r w:rsidR="00200FD9">
        <w:rPr>
          <w:rFonts w:ascii="Arial" w:hAnsi="Arial" w:cs="Arial"/>
          <w:bCs/>
          <w:spacing w:val="8"/>
        </w:rPr>
        <w:t xml:space="preserve">%, </w:t>
      </w:r>
      <w:r w:rsidR="00AA0480">
        <w:rPr>
          <w:rFonts w:ascii="Arial" w:hAnsi="Arial" w:cs="Arial"/>
          <w:bCs/>
          <w:spacing w:val="8"/>
        </w:rPr>
        <w:t xml:space="preserve">es decir, </w:t>
      </w:r>
      <w:r w:rsidR="008860B4">
        <w:rPr>
          <w:rFonts w:ascii="Arial" w:hAnsi="Arial" w:cs="Arial"/>
          <w:bCs/>
          <w:spacing w:val="8"/>
        </w:rPr>
        <w:t xml:space="preserve">1.6 </w:t>
      </w:r>
      <w:r w:rsidR="00200FD9">
        <w:rPr>
          <w:rFonts w:ascii="Arial" w:hAnsi="Arial" w:cs="Arial"/>
          <w:bCs/>
          <w:spacing w:val="8"/>
        </w:rPr>
        <w:t xml:space="preserve">puntos porcentuales más que en </w:t>
      </w:r>
      <w:r w:rsidR="008860B4">
        <w:rPr>
          <w:rFonts w:ascii="Arial" w:hAnsi="Arial" w:cs="Arial"/>
          <w:bCs/>
          <w:spacing w:val="8"/>
        </w:rPr>
        <w:t>junio</w:t>
      </w:r>
      <w:r w:rsidR="00200FD9">
        <w:rPr>
          <w:rFonts w:ascii="Arial" w:hAnsi="Arial" w:cs="Arial"/>
          <w:bCs/>
          <w:spacing w:val="8"/>
        </w:rPr>
        <w:t xml:space="preserve"> </w:t>
      </w:r>
      <w:r w:rsidR="006976A8">
        <w:rPr>
          <w:rFonts w:ascii="Arial" w:hAnsi="Arial" w:cs="Arial"/>
          <w:bCs/>
          <w:spacing w:val="8"/>
        </w:rPr>
        <w:t>pasado</w:t>
      </w:r>
      <w:r w:rsidR="00200FD9">
        <w:rPr>
          <w:rFonts w:ascii="Arial" w:hAnsi="Arial" w:cs="Arial"/>
          <w:bCs/>
          <w:spacing w:val="8"/>
        </w:rPr>
        <w:t>.</w:t>
      </w:r>
    </w:p>
    <w:p w14:paraId="2666479F" w14:textId="77777777" w:rsidR="00A14E08" w:rsidRDefault="00A14E08" w:rsidP="00252EDE">
      <w:pPr>
        <w:pStyle w:val="Prrafodelista"/>
        <w:spacing w:after="0" w:line="240" w:lineRule="auto"/>
        <w:ind w:left="0" w:right="49"/>
        <w:jc w:val="both"/>
        <w:rPr>
          <w:rFonts w:ascii="Arial" w:hAnsi="Arial" w:cs="Arial"/>
          <w:bCs/>
          <w:spacing w:val="8"/>
        </w:rPr>
      </w:pPr>
    </w:p>
    <w:p w14:paraId="3CD678FA" w14:textId="77777777" w:rsidR="0074035D"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t xml:space="preserve">Población </w:t>
      </w:r>
      <w:proofErr w:type="spellStart"/>
      <w:r w:rsidRPr="00EE43E5">
        <w:rPr>
          <w:b/>
          <w:smallCaps/>
          <w:color w:val="auto"/>
          <w:sz w:val="22"/>
          <w:szCs w:val="22"/>
        </w:rPr>
        <w:t>subocupada</w:t>
      </w:r>
      <w:proofErr w:type="spellEnd"/>
      <w:r w:rsidRPr="00EE43E5">
        <w:rPr>
          <w:b/>
          <w:smallCaps/>
          <w:color w:val="auto"/>
          <w:sz w:val="22"/>
          <w:szCs w:val="22"/>
        </w:rPr>
        <w:t xml:space="preserve"> según posición en la ocupación</w:t>
      </w:r>
    </w:p>
    <w:p w14:paraId="0AEBDCF9" w14:textId="77777777" w:rsidR="00252EDE" w:rsidRPr="00EE43E5" w:rsidRDefault="00252EDE" w:rsidP="00EE43E5">
      <w:pPr>
        <w:pStyle w:val="n0"/>
        <w:keepLines w:val="0"/>
        <w:widowControl w:val="0"/>
        <w:spacing w:before="0"/>
        <w:ind w:left="0" w:right="49" w:firstLine="0"/>
        <w:jc w:val="center"/>
        <w:rPr>
          <w:b/>
          <w:smallCaps/>
          <w:color w:val="auto"/>
          <w:sz w:val="22"/>
          <w:szCs w:val="22"/>
        </w:rPr>
      </w:pPr>
      <w:r w:rsidRPr="00EE43E5">
        <w:rPr>
          <w:b/>
          <w:smallCaps/>
          <w:color w:val="auto"/>
          <w:sz w:val="22"/>
          <w:szCs w:val="22"/>
        </w:rPr>
        <w:t xml:space="preserve">durante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EE43E5">
        <w:rPr>
          <w:b/>
          <w:smallCaps/>
          <w:color w:val="auto"/>
          <w:sz w:val="22"/>
          <w:szCs w:val="22"/>
        </w:rPr>
        <w:t xml:space="preserve"> de 2020</w:t>
      </w:r>
    </w:p>
    <w:p w14:paraId="1589013E" w14:textId="77777777" w:rsidR="0076447E" w:rsidRDefault="00252EDE" w:rsidP="000F4BDA">
      <w:pPr>
        <w:spacing w:after="0" w:line="240" w:lineRule="auto"/>
        <w:ind w:right="51"/>
        <w:jc w:val="center"/>
        <w:rPr>
          <w:rFonts w:ascii="Arial" w:hAnsi="Arial" w:cs="Arial"/>
          <w:smallCaps/>
        </w:rPr>
      </w:pPr>
      <w:r w:rsidRPr="00707308">
        <w:rPr>
          <w:rFonts w:ascii="Arial" w:hAnsi="Arial" w:cs="Arial"/>
          <w:smallCaps/>
        </w:rPr>
        <w:t>(Porcentaje)</w:t>
      </w:r>
    </w:p>
    <w:p w14:paraId="4401779F" w14:textId="77777777" w:rsidR="0039067D" w:rsidRDefault="00DB4F74" w:rsidP="00CC5E3A">
      <w:pPr>
        <w:spacing w:after="0" w:line="240" w:lineRule="auto"/>
        <w:ind w:right="51"/>
        <w:jc w:val="center"/>
        <w:rPr>
          <w:rFonts w:ascii="Arial" w:hAnsi="Arial" w:cs="Arial"/>
          <w:smallCaps/>
        </w:rPr>
      </w:pPr>
      <w:r w:rsidRPr="00DB4F74">
        <w:rPr>
          <w:noProof/>
          <w:lang w:eastAsia="es-MX"/>
        </w:rPr>
        <w:drawing>
          <wp:inline distT="0" distB="0" distL="0" distR="0" wp14:anchorId="26F8893C" wp14:editId="27B5778C">
            <wp:extent cx="5612130" cy="174080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1740800"/>
                    </a:xfrm>
                    <a:prstGeom prst="rect">
                      <a:avLst/>
                    </a:prstGeom>
                    <a:noFill/>
                    <a:ln>
                      <a:noFill/>
                    </a:ln>
                  </pic:spPr>
                </pic:pic>
              </a:graphicData>
            </a:graphic>
          </wp:inline>
        </w:drawing>
      </w:r>
    </w:p>
    <w:p w14:paraId="0756EF46" w14:textId="77777777" w:rsidR="00AE2C98" w:rsidRDefault="00DE1072">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2D26021C" w14:textId="77777777" w:rsidR="00AE2C98" w:rsidRDefault="00AE2C98" w:rsidP="00AE2C98">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Telefónica de Ocupación y Empleo, para abril, mayo y junio 2020.</w:t>
      </w:r>
    </w:p>
    <w:p w14:paraId="262BB00F" w14:textId="77777777" w:rsidR="00DE1072" w:rsidRDefault="00AE2C98" w:rsidP="007C2018">
      <w:pPr>
        <w:tabs>
          <w:tab w:val="left" w:pos="993"/>
        </w:tabs>
        <w:spacing w:after="0" w:line="240" w:lineRule="auto"/>
        <w:ind w:right="523" w:firstLine="709"/>
        <w:jc w:val="both"/>
        <w:rPr>
          <w:rFonts w:ascii="Arial" w:hAnsi="Arial" w:cs="Arial"/>
          <w:noProof/>
          <w:sz w:val="14"/>
          <w:szCs w:val="14"/>
          <w:lang w:val="es-ES" w:eastAsia="es-ES"/>
        </w:rPr>
      </w:pPr>
      <w:r w:rsidRPr="007C2018">
        <w:rPr>
          <w:rFonts w:ascii="Arial" w:hAnsi="Arial" w:cs="Arial"/>
          <w:noProof/>
          <w:sz w:val="12"/>
          <w:szCs w:val="14"/>
          <w:lang w:val="es-ES" w:eastAsia="es-ES"/>
        </w:rPr>
        <w:t xml:space="preserve">    </w:t>
      </w:r>
      <w:r>
        <w:rPr>
          <w:rFonts w:ascii="Arial" w:hAnsi="Arial" w:cs="Arial"/>
          <w:noProof/>
          <w:sz w:val="14"/>
          <w:szCs w:val="14"/>
          <w:lang w:val="es-ES" w:eastAsia="es-ES"/>
        </w:rPr>
        <w:t>I</w:t>
      </w:r>
      <w:r w:rsidR="00DE1072">
        <w:rPr>
          <w:rFonts w:ascii="Arial" w:hAnsi="Arial" w:cs="Arial"/>
          <w:noProof/>
          <w:sz w:val="14"/>
          <w:szCs w:val="14"/>
          <w:lang w:val="es-ES" w:eastAsia="es-ES"/>
        </w:rPr>
        <w:t>NEGI. Encuesta Nacional de Ocupación y Empleo</w:t>
      </w:r>
      <w:r w:rsidR="00322069">
        <w:rPr>
          <w:rFonts w:ascii="Arial" w:hAnsi="Arial" w:cs="Arial"/>
          <w:noProof/>
          <w:sz w:val="14"/>
          <w:szCs w:val="14"/>
          <w:lang w:val="es-ES" w:eastAsia="es-ES"/>
        </w:rPr>
        <w:t>, julio 2019</w:t>
      </w:r>
      <w:r w:rsidR="00DE1072">
        <w:rPr>
          <w:rFonts w:ascii="Arial" w:hAnsi="Arial" w:cs="Arial"/>
          <w:noProof/>
          <w:sz w:val="14"/>
          <w:szCs w:val="14"/>
          <w:lang w:val="es-ES" w:eastAsia="es-ES"/>
        </w:rPr>
        <w:t>.</w:t>
      </w:r>
    </w:p>
    <w:p w14:paraId="750DF8A7" w14:textId="77777777" w:rsidR="002E3151" w:rsidRDefault="002E3151" w:rsidP="00252EDE">
      <w:pPr>
        <w:pStyle w:val="Prrafodelista"/>
        <w:spacing w:after="0" w:line="240" w:lineRule="auto"/>
        <w:ind w:left="0" w:right="49"/>
        <w:jc w:val="both"/>
        <w:rPr>
          <w:rFonts w:ascii="Arial" w:hAnsi="Arial" w:cs="Arial"/>
          <w:bCs/>
          <w:spacing w:val="8"/>
        </w:rPr>
      </w:pPr>
    </w:p>
    <w:p w14:paraId="34090A44" w14:textId="77777777" w:rsidR="00AE2C98" w:rsidRDefault="00AE2C98" w:rsidP="00252EDE">
      <w:pPr>
        <w:pStyle w:val="Prrafodelista"/>
        <w:spacing w:after="0" w:line="240" w:lineRule="auto"/>
        <w:ind w:left="0" w:right="49"/>
        <w:jc w:val="both"/>
        <w:rPr>
          <w:rFonts w:ascii="Arial" w:hAnsi="Arial" w:cs="Arial"/>
          <w:bCs/>
          <w:spacing w:val="8"/>
        </w:rPr>
      </w:pPr>
    </w:p>
    <w:p w14:paraId="59DBA63F" w14:textId="77777777" w:rsidR="003F1245" w:rsidRDefault="003F1245" w:rsidP="00252EDE">
      <w:pPr>
        <w:pStyle w:val="Prrafodelista"/>
        <w:spacing w:after="0" w:line="240" w:lineRule="auto"/>
        <w:ind w:left="0" w:right="49"/>
        <w:jc w:val="both"/>
        <w:rPr>
          <w:rFonts w:ascii="Arial" w:hAnsi="Arial" w:cs="Arial"/>
          <w:bCs/>
          <w:spacing w:val="8"/>
        </w:rPr>
      </w:pPr>
      <w:r>
        <w:rPr>
          <w:rFonts w:ascii="Arial" w:hAnsi="Arial" w:cs="Arial"/>
          <w:bCs/>
          <w:spacing w:val="8"/>
        </w:rPr>
        <w:t xml:space="preserve">La población </w:t>
      </w:r>
      <w:proofErr w:type="spellStart"/>
      <w:r>
        <w:rPr>
          <w:rFonts w:ascii="Arial" w:hAnsi="Arial" w:cs="Arial"/>
          <w:bCs/>
          <w:spacing w:val="8"/>
        </w:rPr>
        <w:t>subocupada</w:t>
      </w:r>
      <w:proofErr w:type="spellEnd"/>
      <w:r>
        <w:rPr>
          <w:rFonts w:ascii="Arial" w:hAnsi="Arial" w:cs="Arial"/>
          <w:bCs/>
          <w:spacing w:val="8"/>
        </w:rPr>
        <w:t xml:space="preserve"> según </w:t>
      </w:r>
      <w:r w:rsidR="006976A8">
        <w:rPr>
          <w:rFonts w:ascii="Arial" w:hAnsi="Arial" w:cs="Arial"/>
          <w:bCs/>
          <w:spacing w:val="8"/>
        </w:rPr>
        <w:t xml:space="preserve">el </w:t>
      </w:r>
      <w:r w:rsidR="00252EDE" w:rsidRPr="00FE4E28">
        <w:rPr>
          <w:rFonts w:ascii="Arial" w:hAnsi="Arial" w:cs="Arial"/>
          <w:bCs/>
          <w:spacing w:val="8"/>
        </w:rPr>
        <w:t xml:space="preserve">sector </w:t>
      </w:r>
      <w:r>
        <w:rPr>
          <w:rFonts w:ascii="Arial" w:hAnsi="Arial" w:cs="Arial"/>
          <w:bCs/>
          <w:spacing w:val="8"/>
        </w:rPr>
        <w:t xml:space="preserve">de actividad </w:t>
      </w:r>
      <w:r w:rsidR="00252EDE" w:rsidRPr="00FE4E28">
        <w:rPr>
          <w:rFonts w:ascii="Arial" w:hAnsi="Arial" w:cs="Arial"/>
          <w:bCs/>
          <w:spacing w:val="8"/>
        </w:rPr>
        <w:t>económic</w:t>
      </w:r>
      <w:r>
        <w:rPr>
          <w:rFonts w:ascii="Arial" w:hAnsi="Arial" w:cs="Arial"/>
          <w:bCs/>
          <w:spacing w:val="8"/>
        </w:rPr>
        <w:t xml:space="preserve">a entre </w:t>
      </w:r>
      <w:r w:rsidR="00343375">
        <w:rPr>
          <w:rFonts w:ascii="Arial" w:hAnsi="Arial" w:cs="Arial"/>
          <w:bCs/>
          <w:spacing w:val="8"/>
        </w:rPr>
        <w:t>junio</w:t>
      </w:r>
      <w:r>
        <w:rPr>
          <w:rFonts w:ascii="Arial" w:hAnsi="Arial" w:cs="Arial"/>
          <w:bCs/>
          <w:spacing w:val="8"/>
        </w:rPr>
        <w:t xml:space="preserve"> </w:t>
      </w:r>
      <w:r w:rsidR="008860B4">
        <w:rPr>
          <w:rFonts w:ascii="Arial" w:hAnsi="Arial" w:cs="Arial"/>
          <w:bCs/>
          <w:spacing w:val="8"/>
        </w:rPr>
        <w:t xml:space="preserve">y julio </w:t>
      </w:r>
      <w:r>
        <w:rPr>
          <w:rFonts w:ascii="Arial" w:hAnsi="Arial" w:cs="Arial"/>
          <w:bCs/>
          <w:spacing w:val="8"/>
        </w:rPr>
        <w:t>de 2020 presentó los siguientes cambios</w:t>
      </w:r>
      <w:r w:rsidR="006976A8">
        <w:rPr>
          <w:rFonts w:ascii="Arial" w:hAnsi="Arial" w:cs="Arial"/>
          <w:bCs/>
          <w:spacing w:val="8"/>
        </w:rPr>
        <w:t>:</w:t>
      </w:r>
      <w:r>
        <w:rPr>
          <w:rFonts w:ascii="Arial" w:hAnsi="Arial" w:cs="Arial"/>
          <w:bCs/>
          <w:spacing w:val="8"/>
        </w:rPr>
        <w:t xml:space="preserve"> </w:t>
      </w:r>
      <w:r w:rsidR="006976A8">
        <w:rPr>
          <w:rFonts w:ascii="Arial" w:hAnsi="Arial" w:cs="Arial"/>
          <w:bCs/>
          <w:spacing w:val="8"/>
        </w:rPr>
        <w:t xml:space="preserve">en </w:t>
      </w:r>
      <w:r w:rsidR="00F37682">
        <w:rPr>
          <w:rFonts w:ascii="Arial" w:hAnsi="Arial" w:cs="Arial"/>
          <w:bCs/>
          <w:spacing w:val="8"/>
        </w:rPr>
        <w:t xml:space="preserve">el </w:t>
      </w:r>
      <w:r>
        <w:rPr>
          <w:rFonts w:ascii="Arial" w:hAnsi="Arial" w:cs="Arial"/>
          <w:bCs/>
          <w:spacing w:val="8"/>
        </w:rPr>
        <w:t xml:space="preserve">sector secundario </w:t>
      </w:r>
      <w:r w:rsidR="00FB7848">
        <w:rPr>
          <w:rFonts w:ascii="Arial" w:hAnsi="Arial" w:cs="Arial"/>
          <w:bCs/>
          <w:spacing w:val="8"/>
        </w:rPr>
        <w:t xml:space="preserve">aumentó </w:t>
      </w:r>
      <w:r w:rsidR="008860B4">
        <w:rPr>
          <w:rFonts w:ascii="Arial" w:hAnsi="Arial" w:cs="Arial"/>
          <w:bCs/>
          <w:spacing w:val="8"/>
        </w:rPr>
        <w:t>0.9</w:t>
      </w:r>
      <w:r>
        <w:rPr>
          <w:rFonts w:ascii="Arial" w:hAnsi="Arial" w:cs="Arial"/>
          <w:bCs/>
          <w:spacing w:val="8"/>
        </w:rPr>
        <w:t xml:space="preserve"> puntos porcentuales</w:t>
      </w:r>
      <w:r w:rsidR="008860B4">
        <w:rPr>
          <w:rFonts w:ascii="Arial" w:hAnsi="Arial" w:cs="Arial"/>
          <w:bCs/>
          <w:spacing w:val="8"/>
        </w:rPr>
        <w:t xml:space="preserve">, </w:t>
      </w:r>
      <w:r w:rsidR="00A33929">
        <w:rPr>
          <w:rFonts w:ascii="Arial" w:hAnsi="Arial" w:cs="Arial"/>
          <w:bCs/>
          <w:spacing w:val="8"/>
        </w:rPr>
        <w:t xml:space="preserve">en </w:t>
      </w:r>
      <w:r w:rsidR="008860B4">
        <w:rPr>
          <w:rFonts w:ascii="Arial" w:hAnsi="Arial" w:cs="Arial"/>
          <w:bCs/>
          <w:spacing w:val="8"/>
        </w:rPr>
        <w:t>el sector terciario disminuyó (-)0.7 puntos porcentuales</w:t>
      </w:r>
      <w:r w:rsidR="00C83B9E">
        <w:rPr>
          <w:rFonts w:ascii="Arial" w:hAnsi="Arial" w:cs="Arial"/>
          <w:bCs/>
          <w:spacing w:val="8"/>
        </w:rPr>
        <w:t xml:space="preserve"> y en el primario se registró un descenso de (</w:t>
      </w:r>
      <w:r w:rsidR="00C83B9E">
        <w:rPr>
          <w:rFonts w:ascii="Arial" w:hAnsi="Arial" w:cs="Arial"/>
          <w:bCs/>
          <w:spacing w:val="8"/>
        </w:rPr>
        <w:noBreakHyphen/>
        <w:t>)</w:t>
      </w:r>
      <w:r w:rsidR="008860B4">
        <w:rPr>
          <w:rFonts w:ascii="Arial" w:hAnsi="Arial" w:cs="Arial"/>
          <w:bCs/>
          <w:spacing w:val="8"/>
        </w:rPr>
        <w:t>0.</w:t>
      </w:r>
      <w:r w:rsidR="00C83B9E">
        <w:rPr>
          <w:rFonts w:ascii="Arial" w:hAnsi="Arial" w:cs="Arial"/>
          <w:bCs/>
          <w:spacing w:val="8"/>
        </w:rPr>
        <w:t>3 puntos porcentuales</w:t>
      </w:r>
      <w:r>
        <w:rPr>
          <w:rFonts w:ascii="Arial" w:hAnsi="Arial" w:cs="Arial"/>
          <w:bCs/>
          <w:spacing w:val="8"/>
        </w:rPr>
        <w:t>.</w:t>
      </w:r>
    </w:p>
    <w:p w14:paraId="5A85AD08" w14:textId="77777777" w:rsidR="003F1245" w:rsidRDefault="003F1245" w:rsidP="00252EDE">
      <w:pPr>
        <w:pStyle w:val="Prrafodelista"/>
        <w:spacing w:after="0" w:line="240" w:lineRule="auto"/>
        <w:ind w:left="0" w:right="49"/>
        <w:jc w:val="both"/>
        <w:rPr>
          <w:rFonts w:ascii="Arial" w:hAnsi="Arial" w:cs="Arial"/>
          <w:bCs/>
          <w:spacing w:val="8"/>
        </w:rPr>
      </w:pPr>
    </w:p>
    <w:p w14:paraId="554BE632" w14:textId="77777777" w:rsidR="0074035D"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 xml:space="preserve">Población </w:t>
      </w:r>
      <w:proofErr w:type="spellStart"/>
      <w:r w:rsidRPr="00F54EC6">
        <w:rPr>
          <w:b/>
          <w:smallCaps/>
          <w:color w:val="auto"/>
          <w:sz w:val="22"/>
          <w:szCs w:val="22"/>
        </w:rPr>
        <w:t>subocupada</w:t>
      </w:r>
      <w:proofErr w:type="spellEnd"/>
      <w:r w:rsidRPr="00F54EC6">
        <w:rPr>
          <w:b/>
          <w:smallCaps/>
          <w:color w:val="auto"/>
          <w:sz w:val="22"/>
          <w:szCs w:val="22"/>
        </w:rPr>
        <w:t xml:space="preserve"> según sector de actividad económica</w:t>
      </w:r>
    </w:p>
    <w:p w14:paraId="5BCAE148" w14:textId="77777777" w:rsidR="00252EDE" w:rsidRPr="00F54EC6" w:rsidRDefault="00252EDE" w:rsidP="003966E8">
      <w:pPr>
        <w:pStyle w:val="n0"/>
        <w:keepLines w:val="0"/>
        <w:widowControl w:val="0"/>
        <w:spacing w:before="0"/>
        <w:ind w:left="0" w:right="49" w:firstLine="0"/>
        <w:jc w:val="center"/>
        <w:rPr>
          <w:b/>
          <w:smallCaps/>
          <w:color w:val="auto"/>
          <w:sz w:val="22"/>
          <w:szCs w:val="22"/>
        </w:rPr>
      </w:pPr>
      <w:r w:rsidRPr="00F54EC6">
        <w:rPr>
          <w:b/>
          <w:smallCaps/>
          <w:color w:val="auto"/>
          <w:sz w:val="22"/>
          <w:szCs w:val="22"/>
        </w:rPr>
        <w:t xml:space="preserve">durante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F54EC6">
        <w:rPr>
          <w:b/>
          <w:smallCaps/>
          <w:color w:val="auto"/>
          <w:sz w:val="22"/>
          <w:szCs w:val="22"/>
        </w:rPr>
        <w:t xml:space="preserve"> de 2020</w:t>
      </w:r>
    </w:p>
    <w:p w14:paraId="11316E30" w14:textId="77777777" w:rsidR="0076447E" w:rsidRPr="000C73EB" w:rsidRDefault="00252EDE" w:rsidP="000C73EB">
      <w:pPr>
        <w:spacing w:after="0" w:line="240" w:lineRule="auto"/>
        <w:ind w:right="51"/>
        <w:jc w:val="center"/>
        <w:rPr>
          <w:rFonts w:ascii="Arial" w:hAnsi="Arial" w:cs="Arial"/>
          <w:smallCaps/>
        </w:rPr>
      </w:pPr>
      <w:r w:rsidRPr="000C73EB">
        <w:rPr>
          <w:rFonts w:ascii="Arial" w:hAnsi="Arial" w:cs="Arial"/>
          <w:smallCaps/>
        </w:rPr>
        <w:t>(Porcentaje)</w:t>
      </w:r>
    </w:p>
    <w:p w14:paraId="73DFC4D8" w14:textId="77777777" w:rsidR="0039067D" w:rsidRDefault="00DB4F74" w:rsidP="000C73EB">
      <w:pPr>
        <w:spacing w:after="0" w:line="240" w:lineRule="auto"/>
        <w:ind w:right="51"/>
        <w:jc w:val="center"/>
        <w:rPr>
          <w:rFonts w:ascii="Arial" w:hAnsi="Arial" w:cs="Arial"/>
          <w:smallCaps/>
          <w:sz w:val="20"/>
        </w:rPr>
      </w:pPr>
      <w:r w:rsidRPr="00DB4F74">
        <w:rPr>
          <w:noProof/>
          <w:lang w:eastAsia="es-MX"/>
        </w:rPr>
        <w:drawing>
          <wp:inline distT="0" distB="0" distL="0" distR="0" wp14:anchorId="77B80AE6" wp14:editId="6A871FF9">
            <wp:extent cx="5612130" cy="1610889"/>
            <wp:effectExtent l="0" t="0" r="762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1610889"/>
                    </a:xfrm>
                    <a:prstGeom prst="rect">
                      <a:avLst/>
                    </a:prstGeom>
                    <a:noFill/>
                    <a:ln>
                      <a:noFill/>
                    </a:ln>
                  </pic:spPr>
                </pic:pic>
              </a:graphicData>
            </a:graphic>
          </wp:inline>
        </w:drawing>
      </w:r>
    </w:p>
    <w:p w14:paraId="6A8F7C44"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1D9F28D4"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7DEE049C"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2F33CC55" w14:textId="77777777" w:rsidR="001F4770" w:rsidRDefault="001F4770" w:rsidP="00252EDE">
      <w:pPr>
        <w:pStyle w:val="n0"/>
        <w:keepLines w:val="0"/>
        <w:widowControl w:val="0"/>
        <w:spacing w:before="0"/>
        <w:ind w:left="0" w:right="49" w:firstLine="0"/>
        <w:jc w:val="left"/>
        <w:rPr>
          <w:b/>
          <w:smallCaps/>
          <w:color w:val="auto"/>
          <w:sz w:val="22"/>
          <w:szCs w:val="22"/>
        </w:rPr>
      </w:pPr>
    </w:p>
    <w:p w14:paraId="7132B5DD" w14:textId="77777777" w:rsidR="00F97FB7" w:rsidRPr="004C6D3F" w:rsidRDefault="00F97FB7" w:rsidP="00252EDE">
      <w:pPr>
        <w:pStyle w:val="n0"/>
        <w:keepLines w:val="0"/>
        <w:widowControl w:val="0"/>
        <w:spacing w:before="0"/>
        <w:ind w:left="0" w:right="49" w:firstLine="0"/>
        <w:jc w:val="left"/>
        <w:rPr>
          <w:b/>
          <w:smallCaps/>
          <w:color w:val="auto"/>
          <w:sz w:val="22"/>
          <w:szCs w:val="22"/>
        </w:rPr>
      </w:pPr>
    </w:p>
    <w:p w14:paraId="4177C916" w14:textId="77777777" w:rsidR="00EF4921" w:rsidRDefault="00EF4921" w:rsidP="00252EDE">
      <w:pPr>
        <w:pStyle w:val="n0"/>
        <w:keepLines w:val="0"/>
        <w:widowControl w:val="0"/>
        <w:spacing w:before="0"/>
        <w:ind w:left="0" w:right="49" w:firstLine="0"/>
        <w:jc w:val="left"/>
        <w:rPr>
          <w:b/>
          <w:smallCaps/>
          <w:color w:val="auto"/>
          <w:sz w:val="22"/>
          <w:szCs w:val="22"/>
        </w:rPr>
      </w:pPr>
      <w:r w:rsidRPr="00F54EC6">
        <w:rPr>
          <w:b/>
          <w:smallCaps/>
          <w:color w:val="auto"/>
          <w:sz w:val="22"/>
          <w:szCs w:val="22"/>
        </w:rPr>
        <w:t>OCUPACIÓN INFORMAL</w:t>
      </w:r>
    </w:p>
    <w:p w14:paraId="2B6A16C1" w14:textId="77777777" w:rsidR="00EF4921" w:rsidRPr="00F54EC6" w:rsidRDefault="00EF4921" w:rsidP="00252EDE">
      <w:pPr>
        <w:pStyle w:val="n0"/>
        <w:keepLines w:val="0"/>
        <w:widowControl w:val="0"/>
        <w:spacing w:before="0"/>
        <w:ind w:left="0" w:right="49" w:firstLine="0"/>
        <w:jc w:val="left"/>
        <w:rPr>
          <w:b/>
          <w:smallCaps/>
          <w:color w:val="auto"/>
          <w:sz w:val="22"/>
          <w:szCs w:val="22"/>
        </w:rPr>
      </w:pPr>
    </w:p>
    <w:p w14:paraId="1FF7A1B6" w14:textId="77777777" w:rsidR="003F4FB4" w:rsidRDefault="00EF4921" w:rsidP="00EF4921">
      <w:pPr>
        <w:pStyle w:val="n0"/>
        <w:keepLines w:val="0"/>
        <w:widowControl w:val="0"/>
        <w:spacing w:before="0"/>
        <w:ind w:left="0" w:right="49" w:firstLine="0"/>
        <w:rPr>
          <w:bCs/>
          <w:color w:val="auto"/>
          <w:spacing w:val="10"/>
          <w:sz w:val="22"/>
          <w:szCs w:val="22"/>
        </w:rPr>
      </w:pPr>
      <w:r w:rsidRPr="00F54EC6">
        <w:rPr>
          <w:bCs/>
          <w:color w:val="auto"/>
          <w:spacing w:val="10"/>
          <w:sz w:val="22"/>
          <w:szCs w:val="22"/>
        </w:rPr>
        <w:t xml:space="preserve">La población ocupada </w:t>
      </w:r>
      <w:r w:rsidR="00F37682">
        <w:rPr>
          <w:bCs/>
          <w:color w:val="auto"/>
          <w:spacing w:val="10"/>
          <w:sz w:val="22"/>
          <w:szCs w:val="22"/>
        </w:rPr>
        <w:t xml:space="preserve">informal, que comprende a los </w:t>
      </w:r>
      <w:r w:rsidR="00F37682" w:rsidRPr="00CC15D8">
        <w:rPr>
          <w:color w:val="auto"/>
          <w:sz w:val="22"/>
          <w:szCs w:val="22"/>
        </w:rPr>
        <w:t>ocupados que son laboralmente vulnerables por la naturaleza de la unidad económica para la que trabajan</w:t>
      </w:r>
      <w:r w:rsidR="00F37682">
        <w:rPr>
          <w:color w:val="auto"/>
          <w:sz w:val="22"/>
          <w:szCs w:val="22"/>
        </w:rPr>
        <w:t>,</w:t>
      </w:r>
      <w:r w:rsidR="00F37682" w:rsidRPr="00CC15D8">
        <w:rPr>
          <w:color w:val="auto"/>
          <w:sz w:val="22"/>
          <w:szCs w:val="22"/>
        </w:rPr>
        <w:t xml:space="preserve"> como aquellos cuyo vínculo o dependencia laboral no es reconocido por su fuente de trabajo</w:t>
      </w:r>
      <w:r w:rsidR="006976A8">
        <w:rPr>
          <w:color w:val="auto"/>
          <w:sz w:val="22"/>
          <w:szCs w:val="22"/>
        </w:rPr>
        <w:t>, e</w:t>
      </w:r>
      <w:r w:rsidRPr="00F54EC6">
        <w:rPr>
          <w:bCs/>
          <w:color w:val="auto"/>
          <w:spacing w:val="10"/>
          <w:sz w:val="22"/>
          <w:szCs w:val="22"/>
        </w:rPr>
        <w:t xml:space="preserve">n </w:t>
      </w:r>
      <w:r w:rsidR="00343375">
        <w:rPr>
          <w:bCs/>
          <w:color w:val="auto"/>
          <w:spacing w:val="10"/>
          <w:sz w:val="22"/>
          <w:szCs w:val="22"/>
        </w:rPr>
        <w:t>ju</w:t>
      </w:r>
      <w:r w:rsidR="008860B4">
        <w:rPr>
          <w:bCs/>
          <w:color w:val="auto"/>
          <w:spacing w:val="10"/>
          <w:sz w:val="22"/>
          <w:szCs w:val="22"/>
        </w:rPr>
        <w:t>l</w:t>
      </w:r>
      <w:r w:rsidR="00343375">
        <w:rPr>
          <w:bCs/>
          <w:color w:val="auto"/>
          <w:spacing w:val="10"/>
          <w:sz w:val="22"/>
          <w:szCs w:val="22"/>
        </w:rPr>
        <w:t>io</w:t>
      </w:r>
      <w:r w:rsidRPr="00F54EC6">
        <w:rPr>
          <w:bCs/>
          <w:color w:val="auto"/>
          <w:spacing w:val="10"/>
          <w:sz w:val="22"/>
          <w:szCs w:val="22"/>
        </w:rPr>
        <w:t xml:space="preserve"> de 2020 fue de </w:t>
      </w:r>
      <w:r w:rsidR="0000410E">
        <w:rPr>
          <w:bCs/>
          <w:color w:val="auto"/>
          <w:spacing w:val="10"/>
          <w:sz w:val="22"/>
          <w:szCs w:val="22"/>
        </w:rPr>
        <w:t>2</w:t>
      </w:r>
      <w:r w:rsidR="008860B4">
        <w:rPr>
          <w:bCs/>
          <w:color w:val="auto"/>
          <w:spacing w:val="10"/>
          <w:sz w:val="22"/>
          <w:szCs w:val="22"/>
        </w:rPr>
        <w:t>7</w:t>
      </w:r>
      <w:r w:rsidR="0000410E">
        <w:rPr>
          <w:bCs/>
          <w:color w:val="auto"/>
          <w:spacing w:val="10"/>
          <w:sz w:val="22"/>
          <w:szCs w:val="22"/>
        </w:rPr>
        <w:t>.</w:t>
      </w:r>
      <w:r w:rsidR="008860B4">
        <w:rPr>
          <w:bCs/>
          <w:color w:val="auto"/>
          <w:spacing w:val="10"/>
          <w:sz w:val="22"/>
          <w:szCs w:val="22"/>
        </w:rPr>
        <w:t>3</w:t>
      </w:r>
      <w:r w:rsidR="000E7BE6" w:rsidRPr="00F54EC6">
        <w:rPr>
          <w:bCs/>
          <w:color w:val="auto"/>
          <w:spacing w:val="10"/>
          <w:sz w:val="22"/>
          <w:szCs w:val="22"/>
        </w:rPr>
        <w:t xml:space="preserve"> millones, </w:t>
      </w:r>
      <w:r w:rsidR="00734FF7">
        <w:rPr>
          <w:bCs/>
          <w:color w:val="auto"/>
          <w:spacing w:val="10"/>
          <w:sz w:val="22"/>
          <w:szCs w:val="22"/>
        </w:rPr>
        <w:t>1.7</w:t>
      </w:r>
      <w:r w:rsidR="000E7BE6" w:rsidRPr="00F54EC6">
        <w:rPr>
          <w:bCs/>
          <w:color w:val="auto"/>
          <w:spacing w:val="10"/>
          <w:sz w:val="22"/>
          <w:szCs w:val="22"/>
        </w:rPr>
        <w:t xml:space="preserve"> mill</w:t>
      </w:r>
      <w:r w:rsidR="00734FF7">
        <w:rPr>
          <w:bCs/>
          <w:color w:val="auto"/>
          <w:spacing w:val="10"/>
          <w:sz w:val="22"/>
          <w:szCs w:val="22"/>
        </w:rPr>
        <w:t>ones</w:t>
      </w:r>
      <w:r w:rsidR="000E7BE6" w:rsidRPr="00F54EC6">
        <w:rPr>
          <w:bCs/>
          <w:color w:val="auto"/>
          <w:spacing w:val="10"/>
          <w:sz w:val="22"/>
          <w:szCs w:val="22"/>
        </w:rPr>
        <w:t xml:space="preserve"> más que en </w:t>
      </w:r>
      <w:r w:rsidR="00734FF7">
        <w:rPr>
          <w:bCs/>
          <w:color w:val="auto"/>
          <w:spacing w:val="10"/>
          <w:sz w:val="22"/>
          <w:szCs w:val="22"/>
        </w:rPr>
        <w:t>junio</w:t>
      </w:r>
      <w:r w:rsidR="000E7BE6" w:rsidRPr="00F54EC6">
        <w:rPr>
          <w:bCs/>
          <w:color w:val="auto"/>
          <w:spacing w:val="10"/>
          <w:sz w:val="22"/>
          <w:szCs w:val="22"/>
        </w:rPr>
        <w:t xml:space="preserve"> de</w:t>
      </w:r>
      <w:r w:rsidR="00C83B9E">
        <w:rPr>
          <w:bCs/>
          <w:color w:val="auto"/>
          <w:spacing w:val="10"/>
          <w:sz w:val="22"/>
          <w:szCs w:val="22"/>
        </w:rPr>
        <w:t>l mismo año</w:t>
      </w:r>
      <w:r w:rsidR="00030476">
        <w:rPr>
          <w:bCs/>
          <w:color w:val="auto"/>
          <w:spacing w:val="10"/>
          <w:sz w:val="22"/>
          <w:szCs w:val="22"/>
        </w:rPr>
        <w:t>.</w:t>
      </w:r>
      <w:r w:rsidR="00734FF7">
        <w:rPr>
          <w:bCs/>
          <w:color w:val="auto"/>
          <w:spacing w:val="10"/>
          <w:sz w:val="22"/>
          <w:szCs w:val="22"/>
        </w:rPr>
        <w:t xml:space="preserve"> Dicho comportamiento se debió principalmente al crecimiento de los ocupados en el sector informal que pasó de 11.9 millones en junio a 13.8 millones en julio de 2020.</w:t>
      </w:r>
    </w:p>
    <w:p w14:paraId="7A039469" w14:textId="77777777" w:rsidR="008860B4" w:rsidRPr="00F54EC6" w:rsidRDefault="008860B4" w:rsidP="00EF4921">
      <w:pPr>
        <w:pStyle w:val="n0"/>
        <w:keepLines w:val="0"/>
        <w:widowControl w:val="0"/>
        <w:spacing w:before="0"/>
        <w:ind w:left="0" w:right="49" w:firstLine="0"/>
        <w:rPr>
          <w:bCs/>
          <w:color w:val="auto"/>
          <w:spacing w:val="10"/>
          <w:sz w:val="22"/>
          <w:szCs w:val="22"/>
        </w:rPr>
      </w:pPr>
    </w:p>
    <w:p w14:paraId="7661836A" w14:textId="77777777" w:rsidR="008A6B5B" w:rsidRDefault="008A6B5B" w:rsidP="00FB7848">
      <w:pPr>
        <w:pStyle w:val="n0"/>
        <w:keepLines w:val="0"/>
        <w:widowControl w:val="0"/>
        <w:spacing w:before="0"/>
        <w:ind w:left="0" w:right="49" w:firstLine="0"/>
        <w:rPr>
          <w:b/>
          <w:smallCaps/>
          <w:color w:val="auto"/>
          <w:sz w:val="22"/>
          <w:szCs w:val="22"/>
        </w:rPr>
      </w:pPr>
    </w:p>
    <w:p w14:paraId="15FB82B4" w14:textId="77777777" w:rsidR="008860B4" w:rsidRDefault="008860B4">
      <w:pPr>
        <w:rPr>
          <w:rFonts w:ascii="Arial" w:eastAsia="Times New Roman" w:hAnsi="Arial" w:cs="Arial"/>
          <w:b/>
          <w:smallCaps/>
          <w:lang w:val="es-ES_tradnl" w:eastAsia="es-ES"/>
        </w:rPr>
      </w:pPr>
      <w:r>
        <w:rPr>
          <w:b/>
          <w:smallCaps/>
        </w:rPr>
        <w:br w:type="page"/>
      </w:r>
    </w:p>
    <w:p w14:paraId="6CD1FD58"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Gráfico 3. </w:t>
      </w:r>
      <w:r w:rsidR="00AA57BA">
        <w:rPr>
          <w:b/>
          <w:smallCaps/>
          <w:color w:val="auto"/>
          <w:sz w:val="22"/>
          <w:szCs w:val="22"/>
        </w:rPr>
        <w:t xml:space="preserve">Población en </w:t>
      </w:r>
      <w:r>
        <w:rPr>
          <w:b/>
          <w:smallCaps/>
          <w:color w:val="auto"/>
          <w:sz w:val="22"/>
          <w:szCs w:val="22"/>
        </w:rPr>
        <w:t>ocupación</w:t>
      </w:r>
      <w:r w:rsidRPr="00B5576B">
        <w:rPr>
          <w:b/>
          <w:smallCaps/>
          <w:color w:val="auto"/>
          <w:sz w:val="22"/>
          <w:szCs w:val="22"/>
        </w:rPr>
        <w:t xml:space="preserve"> </w:t>
      </w:r>
      <w:r w:rsidR="00AA57BA">
        <w:rPr>
          <w:b/>
          <w:smallCaps/>
          <w:color w:val="auto"/>
          <w:sz w:val="22"/>
          <w:szCs w:val="22"/>
        </w:rPr>
        <w:t xml:space="preserve">informal </w:t>
      </w:r>
      <w:r w:rsidRPr="00B5576B">
        <w:rPr>
          <w:b/>
          <w:smallCaps/>
          <w:color w:val="auto"/>
          <w:sz w:val="22"/>
          <w:szCs w:val="22"/>
        </w:rPr>
        <w:t>E</w:t>
      </w:r>
      <w:r w:rsidR="00B7794A">
        <w:rPr>
          <w:b/>
          <w:smallCaps/>
          <w:color w:val="auto"/>
          <w:sz w:val="22"/>
          <w:szCs w:val="22"/>
        </w:rPr>
        <w:t>N</w:t>
      </w:r>
      <w:r w:rsidRPr="00B5576B">
        <w:rPr>
          <w:b/>
          <w:smallCaps/>
          <w:color w:val="auto"/>
          <w:sz w:val="22"/>
          <w:szCs w:val="22"/>
        </w:rPr>
        <w:t>OE</w:t>
      </w:r>
      <w:r w:rsidR="00F66482">
        <w:rPr>
          <w:b/>
          <w:smallCaps/>
          <w:color w:val="auto"/>
          <w:sz w:val="22"/>
          <w:szCs w:val="22"/>
          <w:vertAlign w:val="superscript"/>
        </w:rPr>
        <w:t>N</w:t>
      </w:r>
      <w:r w:rsidRPr="00B5576B">
        <w:rPr>
          <w:b/>
          <w:smallCaps/>
          <w:color w:val="auto"/>
          <w:sz w:val="22"/>
          <w:szCs w:val="22"/>
        </w:rPr>
        <w:t xml:space="preserve"> </w:t>
      </w:r>
      <w:r w:rsidRPr="00674B11">
        <w:rPr>
          <w:b/>
          <w:smallCaps/>
          <w:color w:val="auto"/>
          <w:sz w:val="22"/>
          <w:szCs w:val="22"/>
        </w:rPr>
        <w:t>a</w:t>
      </w:r>
      <w:r w:rsidR="003966E8" w:rsidRPr="00674B11">
        <w:rPr>
          <w:b/>
          <w:smallCaps/>
          <w:color w:val="auto"/>
          <w:sz w:val="22"/>
          <w:szCs w:val="22"/>
        </w:rPr>
        <w:t>l mes de</w:t>
      </w:r>
      <w:r w:rsidRPr="00674B11">
        <w:rPr>
          <w:b/>
          <w:smallCaps/>
          <w:color w:val="auto"/>
          <w:sz w:val="22"/>
          <w:szCs w:val="22"/>
        </w:rPr>
        <w:t xml:space="preserv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674B11">
        <w:rPr>
          <w:b/>
          <w:smallCaps/>
          <w:color w:val="auto"/>
          <w:sz w:val="22"/>
          <w:szCs w:val="22"/>
        </w:rPr>
        <w:t xml:space="preserve"> de 2020 </w:t>
      </w:r>
    </w:p>
    <w:p w14:paraId="4EF0FD86"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w:t>
      </w:r>
      <w:r w:rsidR="008A6B5B" w:rsidRPr="00674B11">
        <w:rPr>
          <w:b/>
          <w:smallCaps/>
          <w:color w:val="auto"/>
          <w:sz w:val="22"/>
          <w:szCs w:val="22"/>
        </w:rPr>
        <w:t>millones de personas</w:t>
      </w:r>
      <w:r w:rsidRPr="00674B11">
        <w:rPr>
          <w:b/>
          <w:smallCaps/>
          <w:color w:val="auto"/>
          <w:sz w:val="22"/>
          <w:szCs w:val="22"/>
        </w:rPr>
        <w:t>)</w:t>
      </w:r>
    </w:p>
    <w:p w14:paraId="0E3ACE88" w14:textId="77777777" w:rsidR="00685A0A" w:rsidRPr="00674B11" w:rsidRDefault="00685A0A" w:rsidP="00685A0A">
      <w:pPr>
        <w:pStyle w:val="n0"/>
        <w:keepLines w:val="0"/>
        <w:widowControl w:val="0"/>
        <w:spacing w:before="0"/>
        <w:ind w:left="0" w:right="49" w:firstLine="0"/>
        <w:jc w:val="center"/>
        <w:rPr>
          <w:b/>
          <w:smallCaps/>
          <w:color w:val="auto"/>
          <w:sz w:val="22"/>
          <w:szCs w:val="22"/>
        </w:rPr>
      </w:pPr>
      <w:r w:rsidRPr="00674B11">
        <w:rPr>
          <w:b/>
          <w:smallCaps/>
          <w:color w:val="auto"/>
          <w:sz w:val="22"/>
          <w:szCs w:val="22"/>
        </w:rPr>
        <w:t xml:space="preserve">ENOE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674B11">
        <w:rPr>
          <w:b/>
          <w:smallCaps/>
          <w:color w:val="auto"/>
          <w:sz w:val="22"/>
          <w:szCs w:val="22"/>
        </w:rPr>
        <w:t xml:space="preserve"> 2019 y ETOE abril</w:t>
      </w:r>
      <w:r w:rsidR="006976A8">
        <w:rPr>
          <w:b/>
          <w:smallCaps/>
          <w:color w:val="auto"/>
          <w:sz w:val="22"/>
          <w:szCs w:val="22"/>
        </w:rPr>
        <w:t>,</w:t>
      </w:r>
      <w:r w:rsidR="00343375">
        <w:rPr>
          <w:b/>
          <w:smallCaps/>
          <w:color w:val="auto"/>
          <w:sz w:val="22"/>
          <w:szCs w:val="22"/>
        </w:rPr>
        <w:t xml:space="preserve"> mayo</w:t>
      </w:r>
      <w:r w:rsidR="00E51800">
        <w:rPr>
          <w:b/>
          <w:smallCaps/>
          <w:color w:val="auto"/>
          <w:sz w:val="22"/>
          <w:szCs w:val="22"/>
        </w:rPr>
        <w:t xml:space="preserve"> y</w:t>
      </w:r>
      <w:r w:rsidR="006976A8">
        <w:rPr>
          <w:b/>
          <w:smallCaps/>
          <w:color w:val="auto"/>
          <w:sz w:val="22"/>
          <w:szCs w:val="22"/>
        </w:rPr>
        <w:t xml:space="preserve"> junio</w:t>
      </w:r>
      <w:r w:rsidR="00343375">
        <w:rPr>
          <w:b/>
          <w:smallCaps/>
          <w:color w:val="auto"/>
          <w:sz w:val="22"/>
          <w:szCs w:val="22"/>
        </w:rPr>
        <w:t xml:space="preserve"> </w:t>
      </w:r>
      <w:r w:rsidRPr="00674B11">
        <w:rPr>
          <w:b/>
          <w:smallCaps/>
          <w:color w:val="auto"/>
          <w:sz w:val="22"/>
          <w:szCs w:val="22"/>
        </w:rPr>
        <w:t>2020</w:t>
      </w:r>
    </w:p>
    <w:p w14:paraId="0111EA83" w14:textId="77777777" w:rsidR="0039067D" w:rsidRPr="00674B11" w:rsidRDefault="00DB4F74">
      <w:pPr>
        <w:pStyle w:val="n0"/>
        <w:keepLines w:val="0"/>
        <w:widowControl w:val="0"/>
        <w:spacing w:before="0"/>
        <w:ind w:left="0" w:right="49" w:firstLine="0"/>
        <w:jc w:val="center"/>
        <w:rPr>
          <w:bCs/>
          <w:color w:val="auto"/>
          <w:spacing w:val="10"/>
          <w:sz w:val="22"/>
          <w:szCs w:val="22"/>
        </w:rPr>
      </w:pPr>
      <w:r>
        <w:rPr>
          <w:bCs/>
          <w:noProof/>
          <w:color w:val="auto"/>
          <w:spacing w:val="10"/>
          <w:sz w:val="22"/>
          <w:szCs w:val="22"/>
          <w:lang w:val="es-MX" w:eastAsia="es-MX"/>
        </w:rPr>
        <w:drawing>
          <wp:inline distT="0" distB="0" distL="0" distR="0" wp14:anchorId="5CE28E90" wp14:editId="7A8414DB">
            <wp:extent cx="5675630" cy="2914015"/>
            <wp:effectExtent l="0" t="0" r="127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75630" cy="2914015"/>
                    </a:xfrm>
                    <a:prstGeom prst="rect">
                      <a:avLst/>
                    </a:prstGeom>
                    <a:noFill/>
                  </pic:spPr>
                </pic:pic>
              </a:graphicData>
            </a:graphic>
          </wp:inline>
        </w:drawing>
      </w:r>
    </w:p>
    <w:p w14:paraId="275E526C" w14:textId="77777777" w:rsidR="00DE1072" w:rsidRPr="00674B11" w:rsidRDefault="00DE1072" w:rsidP="00B7794A">
      <w:pPr>
        <w:tabs>
          <w:tab w:val="left" w:pos="851"/>
        </w:tabs>
        <w:spacing w:after="0" w:line="240" w:lineRule="auto"/>
        <w:ind w:left="284" w:right="333"/>
        <w:rPr>
          <w:rFonts w:ascii="Arial" w:hAnsi="Arial" w:cs="Arial"/>
          <w:noProof/>
          <w:sz w:val="14"/>
          <w:szCs w:val="14"/>
          <w:lang w:val="es-ES" w:eastAsia="es-ES"/>
        </w:rPr>
      </w:pPr>
      <w:r w:rsidRPr="00674B11">
        <w:rPr>
          <w:rFonts w:ascii="Arial" w:hAnsi="Arial" w:cs="Arial"/>
          <w:noProof/>
          <w:sz w:val="14"/>
          <w:szCs w:val="14"/>
          <w:lang w:val="es-ES" w:eastAsia="es-ES"/>
        </w:rPr>
        <w:t>Intervalos de confianza al 90 por ciento.</w:t>
      </w:r>
    </w:p>
    <w:p w14:paraId="688CC0DD"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ACFDC80"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134B068D"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40470000" w14:textId="77777777" w:rsidR="005347BD" w:rsidRPr="00674B11" w:rsidRDefault="005347BD" w:rsidP="00EF4921">
      <w:pPr>
        <w:pStyle w:val="n0"/>
        <w:keepLines w:val="0"/>
        <w:widowControl w:val="0"/>
        <w:spacing w:before="0"/>
        <w:ind w:left="0" w:right="49" w:firstLine="0"/>
        <w:rPr>
          <w:bCs/>
          <w:color w:val="auto"/>
          <w:spacing w:val="10"/>
          <w:sz w:val="22"/>
          <w:szCs w:val="22"/>
        </w:rPr>
      </w:pPr>
    </w:p>
    <w:p w14:paraId="7ED7E35A" w14:textId="77777777" w:rsidR="005E600D" w:rsidRDefault="005347BD" w:rsidP="001530F2">
      <w:pPr>
        <w:pStyle w:val="n0"/>
        <w:keepLines w:val="0"/>
        <w:widowControl w:val="0"/>
        <w:spacing w:before="0"/>
        <w:ind w:left="0" w:right="49" w:firstLine="0"/>
        <w:rPr>
          <w:bCs/>
          <w:color w:val="auto"/>
          <w:spacing w:val="10"/>
          <w:sz w:val="22"/>
          <w:szCs w:val="22"/>
        </w:rPr>
      </w:pPr>
      <w:r w:rsidRPr="00674B11">
        <w:rPr>
          <w:bCs/>
          <w:color w:val="auto"/>
          <w:spacing w:val="10"/>
          <w:sz w:val="22"/>
          <w:szCs w:val="22"/>
        </w:rPr>
        <w:t xml:space="preserve">En el caso de los hombres el aumento en la ocupación informal fue de </w:t>
      </w:r>
      <w:r w:rsidR="00DC4022">
        <w:rPr>
          <w:bCs/>
          <w:color w:val="auto"/>
          <w:spacing w:val="10"/>
          <w:sz w:val="22"/>
          <w:szCs w:val="22"/>
        </w:rPr>
        <w:t>1.</w:t>
      </w:r>
      <w:r w:rsidR="007A4119">
        <w:rPr>
          <w:bCs/>
          <w:color w:val="auto"/>
          <w:spacing w:val="10"/>
          <w:sz w:val="22"/>
          <w:szCs w:val="22"/>
        </w:rPr>
        <w:t>8</w:t>
      </w:r>
      <w:r w:rsidR="00DC4022">
        <w:rPr>
          <w:bCs/>
          <w:color w:val="auto"/>
          <w:spacing w:val="10"/>
          <w:sz w:val="22"/>
          <w:szCs w:val="22"/>
        </w:rPr>
        <w:t xml:space="preserve"> millones</w:t>
      </w:r>
      <w:r w:rsidRPr="00674B11">
        <w:rPr>
          <w:bCs/>
          <w:color w:val="auto"/>
          <w:spacing w:val="10"/>
          <w:sz w:val="22"/>
          <w:szCs w:val="22"/>
        </w:rPr>
        <w:t xml:space="preserve"> y </w:t>
      </w:r>
      <w:r w:rsidR="00F97FB7">
        <w:rPr>
          <w:bCs/>
          <w:color w:val="auto"/>
          <w:spacing w:val="10"/>
          <w:sz w:val="22"/>
          <w:szCs w:val="22"/>
        </w:rPr>
        <w:t>en</w:t>
      </w:r>
      <w:r w:rsidRPr="00674B11">
        <w:rPr>
          <w:bCs/>
          <w:color w:val="auto"/>
          <w:spacing w:val="10"/>
          <w:sz w:val="22"/>
          <w:szCs w:val="22"/>
        </w:rPr>
        <w:t xml:space="preserve"> las mujeres </w:t>
      </w:r>
      <w:r w:rsidR="007A4119">
        <w:rPr>
          <w:bCs/>
          <w:color w:val="auto"/>
          <w:spacing w:val="10"/>
          <w:sz w:val="22"/>
          <w:szCs w:val="22"/>
        </w:rPr>
        <w:t xml:space="preserve">una disminución de (-)134 mil </w:t>
      </w:r>
      <w:r w:rsidR="00DC4022">
        <w:rPr>
          <w:bCs/>
          <w:color w:val="auto"/>
          <w:spacing w:val="10"/>
          <w:sz w:val="22"/>
          <w:szCs w:val="22"/>
        </w:rPr>
        <w:t>personas</w:t>
      </w:r>
      <w:r w:rsidR="00F77B1C" w:rsidRPr="00674B11">
        <w:rPr>
          <w:bCs/>
          <w:color w:val="auto"/>
          <w:spacing w:val="10"/>
          <w:sz w:val="22"/>
          <w:szCs w:val="22"/>
        </w:rPr>
        <w:t xml:space="preserve"> </w:t>
      </w:r>
      <w:r w:rsidR="00030476">
        <w:rPr>
          <w:bCs/>
          <w:color w:val="auto"/>
          <w:spacing w:val="10"/>
          <w:sz w:val="22"/>
          <w:szCs w:val="22"/>
        </w:rPr>
        <w:t>entre</w:t>
      </w:r>
      <w:r w:rsidR="00F77B1C" w:rsidRPr="00674B11">
        <w:rPr>
          <w:bCs/>
          <w:color w:val="auto"/>
          <w:spacing w:val="10"/>
          <w:sz w:val="22"/>
          <w:szCs w:val="22"/>
        </w:rPr>
        <w:t xml:space="preserve"> </w:t>
      </w:r>
      <w:r w:rsidR="00343375">
        <w:rPr>
          <w:bCs/>
          <w:color w:val="auto"/>
          <w:spacing w:val="10"/>
          <w:sz w:val="22"/>
          <w:szCs w:val="22"/>
        </w:rPr>
        <w:t>junio</w:t>
      </w:r>
      <w:r w:rsidR="00F77B1C" w:rsidRPr="00674B11">
        <w:rPr>
          <w:bCs/>
          <w:color w:val="auto"/>
          <w:spacing w:val="10"/>
          <w:sz w:val="22"/>
          <w:szCs w:val="22"/>
        </w:rPr>
        <w:t xml:space="preserve"> </w:t>
      </w:r>
      <w:r w:rsidR="007A4119">
        <w:rPr>
          <w:bCs/>
          <w:color w:val="auto"/>
          <w:spacing w:val="10"/>
          <w:sz w:val="22"/>
          <w:szCs w:val="22"/>
        </w:rPr>
        <w:t xml:space="preserve">y julio </w:t>
      </w:r>
      <w:r w:rsidR="00F77B1C" w:rsidRPr="00674B11">
        <w:rPr>
          <w:bCs/>
          <w:color w:val="auto"/>
          <w:spacing w:val="10"/>
          <w:sz w:val="22"/>
          <w:szCs w:val="22"/>
        </w:rPr>
        <w:t>de 2020.</w:t>
      </w:r>
    </w:p>
    <w:p w14:paraId="3D75315E" w14:textId="77777777" w:rsidR="00D02448" w:rsidRDefault="00D02448" w:rsidP="001A1D45">
      <w:pPr>
        <w:pStyle w:val="n0"/>
        <w:keepLines w:val="0"/>
        <w:widowControl w:val="0"/>
        <w:spacing w:before="0"/>
        <w:ind w:left="0" w:right="49" w:firstLine="0"/>
        <w:jc w:val="center"/>
        <w:rPr>
          <w:bCs/>
          <w:color w:val="auto"/>
          <w:spacing w:val="10"/>
          <w:sz w:val="22"/>
          <w:szCs w:val="22"/>
        </w:rPr>
      </w:pPr>
    </w:p>
    <w:p w14:paraId="4A1BB6C5" w14:textId="77777777" w:rsidR="00D02448" w:rsidRDefault="00D02448" w:rsidP="001A1D45">
      <w:pPr>
        <w:pStyle w:val="n0"/>
        <w:keepLines w:val="0"/>
        <w:widowControl w:val="0"/>
        <w:spacing w:before="0"/>
        <w:ind w:left="0" w:right="49" w:firstLine="0"/>
        <w:jc w:val="center"/>
        <w:rPr>
          <w:bCs/>
          <w:color w:val="auto"/>
          <w:spacing w:val="10"/>
          <w:sz w:val="22"/>
          <w:szCs w:val="22"/>
        </w:rPr>
      </w:pPr>
    </w:p>
    <w:p w14:paraId="35A81E6C" w14:textId="53F3C6BA" w:rsidR="008A6B5B" w:rsidRPr="001A1D45" w:rsidRDefault="008A6B5B" w:rsidP="001A1D45">
      <w:pPr>
        <w:pStyle w:val="n0"/>
        <w:keepLines w:val="0"/>
        <w:widowControl w:val="0"/>
        <w:spacing w:before="0"/>
        <w:ind w:left="0" w:right="49" w:firstLine="0"/>
        <w:jc w:val="center"/>
        <w:rPr>
          <w:b/>
          <w:smallCaps/>
          <w:color w:val="auto"/>
          <w:sz w:val="22"/>
          <w:szCs w:val="22"/>
        </w:rPr>
      </w:pPr>
      <w:r w:rsidRPr="001A1D45">
        <w:rPr>
          <w:b/>
          <w:smallCaps/>
          <w:color w:val="auto"/>
          <w:sz w:val="22"/>
          <w:szCs w:val="22"/>
        </w:rPr>
        <w:t xml:space="preserve">Gráfico 4. Población </w:t>
      </w:r>
      <w:r w:rsidR="0074035D" w:rsidRPr="001A1D45">
        <w:rPr>
          <w:b/>
          <w:smallCaps/>
          <w:color w:val="auto"/>
          <w:sz w:val="22"/>
          <w:szCs w:val="22"/>
        </w:rPr>
        <w:t xml:space="preserve">ocupada </w:t>
      </w:r>
      <w:r w:rsidRPr="001A1D45">
        <w:rPr>
          <w:b/>
          <w:smallCaps/>
          <w:color w:val="auto"/>
          <w:sz w:val="22"/>
          <w:szCs w:val="22"/>
        </w:rPr>
        <w:t>informal por sexo E</w:t>
      </w:r>
      <w:r w:rsidR="00B7794A">
        <w:rPr>
          <w:b/>
          <w:smallCaps/>
          <w:color w:val="auto"/>
          <w:sz w:val="22"/>
          <w:szCs w:val="22"/>
        </w:rPr>
        <w:t>N</w:t>
      </w:r>
      <w:r w:rsidRPr="001A1D45">
        <w:rPr>
          <w:b/>
          <w:smallCaps/>
          <w:color w:val="auto"/>
          <w:sz w:val="22"/>
          <w:szCs w:val="22"/>
        </w:rPr>
        <w:t>OE</w:t>
      </w:r>
      <w:r w:rsidR="00F66482">
        <w:rPr>
          <w:b/>
          <w:smallCaps/>
          <w:color w:val="auto"/>
          <w:sz w:val="22"/>
          <w:szCs w:val="22"/>
          <w:vertAlign w:val="superscript"/>
        </w:rPr>
        <w:t>N</w:t>
      </w:r>
      <w:r w:rsidRPr="001A1D45">
        <w:rPr>
          <w:b/>
          <w:smallCaps/>
          <w:color w:val="auto"/>
          <w:sz w:val="22"/>
          <w:szCs w:val="22"/>
        </w:rPr>
        <w:t xml:space="preserve"> a</w:t>
      </w:r>
      <w:r w:rsidR="003966E8" w:rsidRPr="001A1D45">
        <w:rPr>
          <w:b/>
          <w:smallCaps/>
          <w:color w:val="auto"/>
          <w:sz w:val="22"/>
          <w:szCs w:val="22"/>
        </w:rPr>
        <w:t>l mes de</w:t>
      </w:r>
      <w:r w:rsidRPr="001A1D45">
        <w:rPr>
          <w:b/>
          <w:smallCaps/>
          <w:color w:val="auto"/>
          <w:sz w:val="22"/>
          <w:szCs w:val="22"/>
        </w:rPr>
        <w:t xml:space="preserv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1A1D45">
        <w:rPr>
          <w:b/>
          <w:smallCaps/>
          <w:color w:val="auto"/>
          <w:sz w:val="22"/>
          <w:szCs w:val="22"/>
        </w:rPr>
        <w:t xml:space="preserve"> de 2020</w:t>
      </w:r>
    </w:p>
    <w:p w14:paraId="0DA3E9FB" w14:textId="77777777" w:rsidR="008A6B5B" w:rsidRPr="000C73EB" w:rsidRDefault="008A6B5B" w:rsidP="008A6B5B">
      <w:pPr>
        <w:pStyle w:val="n0"/>
        <w:keepLines w:val="0"/>
        <w:widowControl w:val="0"/>
        <w:spacing w:before="0"/>
        <w:ind w:left="0" w:right="49" w:firstLine="0"/>
        <w:jc w:val="center"/>
        <w:rPr>
          <w:b/>
          <w:smallCaps/>
          <w:color w:val="auto"/>
          <w:sz w:val="22"/>
          <w:szCs w:val="22"/>
        </w:rPr>
      </w:pPr>
      <w:r w:rsidRPr="000C73EB">
        <w:rPr>
          <w:b/>
          <w:smallCaps/>
          <w:color w:val="auto"/>
          <w:sz w:val="22"/>
          <w:szCs w:val="22"/>
        </w:rPr>
        <w:t>(</w:t>
      </w:r>
      <w:r>
        <w:rPr>
          <w:b/>
          <w:smallCaps/>
          <w:color w:val="auto"/>
          <w:sz w:val="22"/>
          <w:szCs w:val="22"/>
        </w:rPr>
        <w:t>millones de personas</w:t>
      </w:r>
      <w:r w:rsidRPr="000C73EB">
        <w:rPr>
          <w:b/>
          <w:smallCaps/>
          <w:color w:val="auto"/>
          <w:sz w:val="22"/>
          <w:szCs w:val="22"/>
        </w:rPr>
        <w:t>)</w:t>
      </w:r>
    </w:p>
    <w:p w14:paraId="6454065E" w14:textId="6FB20B0D" w:rsidR="008A6B5B" w:rsidRDefault="008A6B5B" w:rsidP="00F54EC6">
      <w:pPr>
        <w:pStyle w:val="n0"/>
        <w:keepLines w:val="0"/>
        <w:widowControl w:val="0"/>
        <w:spacing w:before="0"/>
        <w:ind w:left="0" w:right="49" w:firstLine="0"/>
        <w:jc w:val="center"/>
        <w:rPr>
          <w:b/>
          <w:smallCaps/>
          <w:color w:val="auto"/>
          <w:sz w:val="22"/>
          <w:szCs w:val="22"/>
        </w:rPr>
      </w:pPr>
      <w:r w:rsidRPr="000C73EB">
        <w:rPr>
          <w:b/>
          <w:smallCaps/>
          <w:color w:val="auto"/>
          <w:sz w:val="22"/>
          <w:szCs w:val="22"/>
        </w:rPr>
        <w:t xml:space="preserve">ENOE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0C73EB">
        <w:rPr>
          <w:b/>
          <w:smallCaps/>
          <w:color w:val="auto"/>
          <w:sz w:val="22"/>
          <w:szCs w:val="22"/>
        </w:rPr>
        <w:t xml:space="preserve"> 2019 y </w:t>
      </w:r>
      <w:r>
        <w:rPr>
          <w:b/>
          <w:smallCaps/>
          <w:color w:val="auto"/>
          <w:sz w:val="22"/>
          <w:szCs w:val="22"/>
        </w:rPr>
        <w:t>ETOE abril</w:t>
      </w:r>
      <w:r w:rsidR="006976A8">
        <w:rPr>
          <w:b/>
          <w:smallCaps/>
          <w:color w:val="auto"/>
          <w:sz w:val="22"/>
          <w:szCs w:val="22"/>
        </w:rPr>
        <w:t>,</w:t>
      </w:r>
      <w:r w:rsidR="00343375">
        <w:rPr>
          <w:b/>
          <w:smallCaps/>
          <w:color w:val="auto"/>
          <w:sz w:val="22"/>
          <w:szCs w:val="22"/>
        </w:rPr>
        <w:t xml:space="preserve"> mayo</w:t>
      </w:r>
      <w:r w:rsidR="00E51800">
        <w:rPr>
          <w:b/>
          <w:smallCaps/>
          <w:color w:val="auto"/>
          <w:sz w:val="22"/>
          <w:szCs w:val="22"/>
        </w:rPr>
        <w:t xml:space="preserve"> y</w:t>
      </w:r>
      <w:r w:rsidR="006976A8">
        <w:rPr>
          <w:b/>
          <w:smallCaps/>
          <w:color w:val="auto"/>
          <w:sz w:val="22"/>
          <w:szCs w:val="22"/>
        </w:rPr>
        <w:t xml:space="preserve"> junio </w:t>
      </w:r>
      <w:r w:rsidRPr="000C73EB">
        <w:rPr>
          <w:b/>
          <w:smallCaps/>
          <w:color w:val="auto"/>
          <w:sz w:val="22"/>
          <w:szCs w:val="22"/>
        </w:rPr>
        <w:t>2020</w:t>
      </w:r>
    </w:p>
    <w:p w14:paraId="0685293B" w14:textId="2B0A94ED" w:rsidR="0039067D" w:rsidRPr="00930A05" w:rsidRDefault="002136CF">
      <w:pPr>
        <w:pStyle w:val="n0"/>
        <w:keepLines w:val="0"/>
        <w:widowControl w:val="0"/>
        <w:spacing w:before="0"/>
        <w:ind w:left="0" w:right="49" w:firstLine="0"/>
        <w:jc w:val="center"/>
        <w:rPr>
          <w:bCs/>
          <w:color w:val="auto"/>
          <w:spacing w:val="10"/>
          <w:sz w:val="22"/>
          <w:szCs w:val="22"/>
        </w:rPr>
      </w:pPr>
      <w:r>
        <w:rPr>
          <w:noProof/>
        </w:rPr>
        <w:drawing>
          <wp:inline distT="0" distB="0" distL="0" distR="0" wp14:anchorId="0079BFBE" wp14:editId="2AE4A168">
            <wp:extent cx="5612130" cy="2479675"/>
            <wp:effectExtent l="0" t="0" r="7620" b="0"/>
            <wp:docPr id="1" name="Imagen 5">
              <a:extLst xmlns:a="http://schemas.openxmlformats.org/drawingml/2006/main">
                <a:ext uri="{FF2B5EF4-FFF2-40B4-BE49-F238E27FC236}">
                  <a16:creationId xmlns:a16="http://schemas.microsoft.com/office/drawing/2014/main" id="{C366382F-4F19-446D-B3EA-9F6FB53B4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C366382F-4F19-446D-B3EA-9F6FB53B4515}"/>
                        </a:ext>
                      </a:extLst>
                    </pic:cNvPr>
                    <pic:cNvPicPr>
                      <a:picLocks noChangeAspect="1"/>
                    </pic:cNvPicPr>
                  </pic:nvPicPr>
                  <pic:blipFill>
                    <a:blip r:embed="rId34"/>
                    <a:stretch>
                      <a:fillRect/>
                    </a:stretch>
                  </pic:blipFill>
                  <pic:spPr>
                    <a:xfrm>
                      <a:off x="0" y="0"/>
                      <a:ext cx="5612130" cy="2479675"/>
                    </a:xfrm>
                    <a:prstGeom prst="rect">
                      <a:avLst/>
                    </a:prstGeom>
                  </pic:spPr>
                </pic:pic>
              </a:graphicData>
            </a:graphic>
          </wp:inline>
        </w:drawing>
      </w:r>
    </w:p>
    <w:p w14:paraId="3D8B712F" w14:textId="77777777" w:rsidR="00DE1072" w:rsidRDefault="00DE1072"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Intervalos de confianza al 90 por ciento.</w:t>
      </w:r>
    </w:p>
    <w:p w14:paraId="2981ED1F"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87277F4"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5A70C699"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64127284" w14:textId="147F5A9D" w:rsidR="00252EDE" w:rsidRPr="00C63172" w:rsidRDefault="00252EDE" w:rsidP="00252EDE">
      <w:pPr>
        <w:pStyle w:val="n0"/>
        <w:keepLines w:val="0"/>
        <w:widowControl w:val="0"/>
        <w:spacing w:before="0"/>
        <w:ind w:left="0" w:right="49" w:firstLine="0"/>
        <w:jc w:val="left"/>
        <w:rPr>
          <w:b/>
          <w:smallCaps/>
          <w:color w:val="auto"/>
          <w:sz w:val="22"/>
          <w:szCs w:val="22"/>
        </w:rPr>
      </w:pPr>
      <w:r w:rsidRPr="00C63172">
        <w:rPr>
          <w:b/>
          <w:smallCaps/>
          <w:color w:val="auto"/>
          <w:sz w:val="22"/>
          <w:szCs w:val="22"/>
        </w:rPr>
        <w:t>población desocupada</w:t>
      </w:r>
    </w:p>
    <w:p w14:paraId="32C00E6A" w14:textId="77777777" w:rsidR="00252EDE" w:rsidRPr="00134FC4" w:rsidRDefault="00252EDE" w:rsidP="00252EDE">
      <w:pPr>
        <w:spacing w:after="0" w:line="240" w:lineRule="auto"/>
        <w:ind w:right="49"/>
        <w:rPr>
          <w:rFonts w:ascii="Arial" w:eastAsia="Times New Roman" w:hAnsi="Arial" w:cs="Arial"/>
          <w:bCs/>
          <w:spacing w:val="10"/>
          <w:highlight w:val="yellow"/>
          <w:lang w:val="es-ES_tradnl" w:eastAsia="es-ES"/>
        </w:rPr>
      </w:pPr>
    </w:p>
    <w:p w14:paraId="0CF5D7E5" w14:textId="351FC667" w:rsidR="00EE7CE9" w:rsidRDefault="00252EDE" w:rsidP="00252EDE">
      <w:pPr>
        <w:spacing w:after="0" w:line="240" w:lineRule="auto"/>
        <w:ind w:right="49"/>
        <w:jc w:val="both"/>
        <w:rPr>
          <w:rFonts w:ascii="Arial" w:eastAsia="Times New Roman" w:hAnsi="Arial" w:cs="Arial"/>
          <w:bCs/>
          <w:spacing w:val="10"/>
          <w:lang w:val="es-ES_tradnl" w:eastAsia="es-ES"/>
        </w:rPr>
      </w:pPr>
      <w:r w:rsidRPr="00007612">
        <w:rPr>
          <w:rFonts w:ascii="Arial" w:eastAsia="Times New Roman" w:hAnsi="Arial" w:cs="Arial"/>
          <w:bCs/>
          <w:spacing w:val="10"/>
          <w:lang w:val="es-ES_tradnl" w:eastAsia="es-ES"/>
        </w:rPr>
        <w:t xml:space="preserve">La población que se encuentra sin trabajar y que estuvo buscando trabajo en el último mes, </w:t>
      </w:r>
      <w:r w:rsidR="00F37682">
        <w:rPr>
          <w:rFonts w:ascii="Arial" w:eastAsia="Times New Roman" w:hAnsi="Arial" w:cs="Arial"/>
          <w:bCs/>
          <w:spacing w:val="10"/>
          <w:lang w:val="es-ES_tradnl" w:eastAsia="es-ES"/>
        </w:rPr>
        <w:t>fue de</w:t>
      </w:r>
      <w:r w:rsidRPr="00007612">
        <w:rPr>
          <w:rFonts w:ascii="Arial" w:eastAsia="Times New Roman" w:hAnsi="Arial" w:cs="Arial"/>
          <w:bCs/>
          <w:spacing w:val="10"/>
          <w:lang w:val="es-ES_tradnl" w:eastAsia="es-ES"/>
        </w:rPr>
        <w:t xml:space="preserve"> </w:t>
      </w:r>
      <w:r w:rsidR="0000410E">
        <w:rPr>
          <w:rFonts w:ascii="Arial" w:eastAsia="Times New Roman" w:hAnsi="Arial" w:cs="Arial"/>
          <w:bCs/>
          <w:spacing w:val="10"/>
          <w:lang w:val="es-ES_tradnl" w:eastAsia="es-ES"/>
        </w:rPr>
        <w:t>5.</w:t>
      </w:r>
      <w:r w:rsidR="0037146B">
        <w:rPr>
          <w:rFonts w:ascii="Arial" w:eastAsia="Times New Roman" w:hAnsi="Arial" w:cs="Arial"/>
          <w:bCs/>
          <w:spacing w:val="10"/>
          <w:lang w:val="es-ES_tradnl" w:eastAsia="es-ES"/>
        </w:rPr>
        <w:t>4</w:t>
      </w:r>
      <w:r w:rsidR="00007612" w:rsidRPr="00007612">
        <w:rPr>
          <w:rFonts w:ascii="Arial" w:eastAsia="Times New Roman" w:hAnsi="Arial" w:cs="Arial"/>
          <w:bCs/>
          <w:spacing w:val="10"/>
          <w:lang w:val="es-ES_tradnl" w:eastAsia="es-ES"/>
        </w:rPr>
        <w:t>%</w:t>
      </w:r>
      <w:r w:rsidRPr="00007612">
        <w:rPr>
          <w:rFonts w:ascii="Arial" w:eastAsia="Times New Roman" w:hAnsi="Arial" w:cs="Arial"/>
          <w:bCs/>
          <w:spacing w:val="10"/>
          <w:lang w:val="es-ES_tradnl" w:eastAsia="es-ES"/>
        </w:rPr>
        <w:t xml:space="preserve"> de la PEA en el mes de </w:t>
      </w:r>
      <w:r w:rsidR="00343375">
        <w:rPr>
          <w:rFonts w:ascii="Arial" w:eastAsia="Times New Roman" w:hAnsi="Arial" w:cs="Arial"/>
          <w:bCs/>
          <w:spacing w:val="10"/>
          <w:lang w:val="es-ES_tradnl" w:eastAsia="es-ES"/>
        </w:rPr>
        <w:t>ju</w:t>
      </w:r>
      <w:r w:rsidR="0037146B">
        <w:rPr>
          <w:rFonts w:ascii="Arial" w:eastAsia="Times New Roman" w:hAnsi="Arial" w:cs="Arial"/>
          <w:bCs/>
          <w:spacing w:val="10"/>
          <w:lang w:val="es-ES_tradnl" w:eastAsia="es-ES"/>
        </w:rPr>
        <w:t>l</w:t>
      </w:r>
      <w:r w:rsidR="00343375">
        <w:rPr>
          <w:rFonts w:ascii="Arial" w:eastAsia="Times New Roman" w:hAnsi="Arial" w:cs="Arial"/>
          <w:bCs/>
          <w:spacing w:val="10"/>
          <w:lang w:val="es-ES_tradnl" w:eastAsia="es-ES"/>
        </w:rPr>
        <w:t>io</w:t>
      </w:r>
      <w:r w:rsidRPr="00007612">
        <w:rPr>
          <w:rFonts w:ascii="Arial" w:eastAsia="Times New Roman" w:hAnsi="Arial" w:cs="Arial"/>
          <w:bCs/>
          <w:spacing w:val="10"/>
          <w:lang w:val="es-ES_tradnl" w:eastAsia="es-ES"/>
        </w:rPr>
        <w:t xml:space="preserve"> de 2020, </w:t>
      </w:r>
      <w:r w:rsidR="00F37682">
        <w:rPr>
          <w:rFonts w:ascii="Arial" w:eastAsia="Times New Roman" w:hAnsi="Arial" w:cs="Arial"/>
          <w:bCs/>
          <w:spacing w:val="10"/>
          <w:lang w:val="es-ES_tradnl" w:eastAsia="es-ES"/>
        </w:rPr>
        <w:t>porcentaje</w:t>
      </w:r>
      <w:r w:rsidRPr="00007612">
        <w:rPr>
          <w:rFonts w:ascii="Arial" w:eastAsia="Times New Roman" w:hAnsi="Arial" w:cs="Arial"/>
          <w:bCs/>
          <w:spacing w:val="10"/>
          <w:lang w:val="es-ES_tradnl" w:eastAsia="es-ES"/>
        </w:rPr>
        <w:t xml:space="preserve"> </w:t>
      </w:r>
      <w:r w:rsidR="0037146B">
        <w:rPr>
          <w:rFonts w:ascii="Arial" w:eastAsia="Times New Roman" w:hAnsi="Arial" w:cs="Arial"/>
          <w:bCs/>
          <w:spacing w:val="10"/>
          <w:lang w:val="es-ES_tradnl" w:eastAsia="es-ES"/>
        </w:rPr>
        <w:t xml:space="preserve">que en el </w:t>
      </w:r>
      <w:r w:rsidRPr="00007612">
        <w:rPr>
          <w:rFonts w:ascii="Arial" w:eastAsia="Times New Roman" w:hAnsi="Arial" w:cs="Arial"/>
          <w:bCs/>
          <w:spacing w:val="10"/>
          <w:lang w:val="es-ES_tradnl" w:eastAsia="es-ES"/>
        </w:rPr>
        <w:t>mes inmediato anterior</w:t>
      </w:r>
      <w:r w:rsidR="00EE7CE9">
        <w:rPr>
          <w:rFonts w:ascii="Arial" w:eastAsia="Times New Roman" w:hAnsi="Arial" w:cs="Arial"/>
          <w:bCs/>
          <w:spacing w:val="10"/>
          <w:lang w:val="es-ES_tradnl" w:eastAsia="es-ES"/>
        </w:rPr>
        <w:t xml:space="preserve"> fue de </w:t>
      </w:r>
      <w:r w:rsidR="0037146B">
        <w:rPr>
          <w:rFonts w:ascii="Arial" w:eastAsia="Times New Roman" w:hAnsi="Arial" w:cs="Arial"/>
          <w:bCs/>
          <w:spacing w:val="10"/>
          <w:lang w:val="es-ES_tradnl" w:eastAsia="es-ES"/>
        </w:rPr>
        <w:t xml:space="preserve">5.5 </w:t>
      </w:r>
      <w:r w:rsidR="00520245">
        <w:rPr>
          <w:rFonts w:ascii="Arial" w:eastAsia="Times New Roman" w:hAnsi="Arial" w:cs="Arial"/>
          <w:bCs/>
          <w:spacing w:val="10"/>
          <w:lang w:val="es-ES_tradnl" w:eastAsia="es-ES"/>
        </w:rPr>
        <w:t>por ciento.</w:t>
      </w:r>
      <w:r w:rsidR="00263175">
        <w:rPr>
          <w:rFonts w:ascii="Arial" w:eastAsia="Times New Roman" w:hAnsi="Arial" w:cs="Arial"/>
          <w:bCs/>
          <w:spacing w:val="10"/>
          <w:lang w:val="es-ES_tradnl" w:eastAsia="es-ES"/>
        </w:rPr>
        <w:t xml:space="preserve"> En términos absolutos, la población desocupada </w:t>
      </w:r>
      <w:r w:rsidR="0037146B">
        <w:rPr>
          <w:rFonts w:ascii="Arial" w:eastAsia="Times New Roman" w:hAnsi="Arial" w:cs="Arial"/>
          <w:bCs/>
          <w:spacing w:val="10"/>
          <w:lang w:val="es-ES_tradnl" w:eastAsia="es-ES"/>
        </w:rPr>
        <w:t xml:space="preserve">fue de </w:t>
      </w:r>
      <w:r w:rsidR="00263175">
        <w:rPr>
          <w:rFonts w:ascii="Arial" w:eastAsia="Times New Roman" w:hAnsi="Arial" w:cs="Arial"/>
          <w:bCs/>
          <w:spacing w:val="10"/>
          <w:lang w:val="es-ES_tradnl" w:eastAsia="es-ES"/>
        </w:rPr>
        <w:t>2.8 millones</w:t>
      </w:r>
      <w:r w:rsidR="0037146B">
        <w:rPr>
          <w:rFonts w:ascii="Arial" w:eastAsia="Times New Roman" w:hAnsi="Arial" w:cs="Arial"/>
          <w:bCs/>
          <w:spacing w:val="10"/>
          <w:lang w:val="es-ES_tradnl" w:eastAsia="es-ES"/>
        </w:rPr>
        <w:t xml:space="preserve"> de personas, igual que en el mes previo</w:t>
      </w:r>
      <w:r w:rsidR="00263175">
        <w:rPr>
          <w:rFonts w:ascii="Arial" w:eastAsia="Times New Roman" w:hAnsi="Arial" w:cs="Arial"/>
          <w:bCs/>
          <w:spacing w:val="10"/>
          <w:lang w:val="es-ES_tradnl" w:eastAsia="es-ES"/>
        </w:rPr>
        <w:t>.</w:t>
      </w:r>
    </w:p>
    <w:p w14:paraId="1F0B255A" w14:textId="09A4AF90" w:rsidR="00B75ECB" w:rsidRDefault="00B75ECB" w:rsidP="00252EDE">
      <w:pPr>
        <w:spacing w:after="0" w:line="240" w:lineRule="auto"/>
        <w:ind w:right="49"/>
        <w:jc w:val="both"/>
        <w:rPr>
          <w:rFonts w:ascii="Arial" w:eastAsia="Times New Roman" w:hAnsi="Arial" w:cs="Arial"/>
          <w:bCs/>
          <w:spacing w:val="10"/>
          <w:lang w:val="es-ES_tradnl" w:eastAsia="es-ES"/>
        </w:rPr>
      </w:pPr>
    </w:p>
    <w:p w14:paraId="43B7FF6E" w14:textId="4EC995D7" w:rsidR="00B75ECB" w:rsidRPr="00F60DD2" w:rsidRDefault="00C16303" w:rsidP="00B75ECB">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En cuanto a la información referente al</w:t>
      </w:r>
      <w:r w:rsidR="00B75ECB">
        <w:rPr>
          <w:rFonts w:ascii="Arial" w:eastAsia="Times New Roman" w:hAnsi="Arial" w:cs="Arial"/>
          <w:bCs/>
          <w:spacing w:val="10"/>
          <w:lang w:val="es-ES_tradnl" w:eastAsia="es-ES"/>
        </w:rPr>
        <w:t xml:space="preserve"> agregado urbano de 32 ciudades</w:t>
      </w:r>
      <w:r>
        <w:rPr>
          <w:rFonts w:ascii="Arial" w:eastAsia="Times New Roman" w:hAnsi="Arial" w:cs="Arial"/>
          <w:bCs/>
          <w:spacing w:val="10"/>
          <w:lang w:val="es-ES_tradnl" w:eastAsia="es-ES"/>
        </w:rPr>
        <w:t xml:space="preserve"> la tasa de desocupación</w:t>
      </w:r>
      <w:r w:rsidR="00B75ECB">
        <w:rPr>
          <w:rFonts w:ascii="Arial" w:eastAsia="Times New Roman" w:hAnsi="Arial" w:cs="Arial"/>
          <w:bCs/>
          <w:spacing w:val="10"/>
          <w:lang w:val="es-ES_tradnl" w:eastAsia="es-ES"/>
        </w:rPr>
        <w:t xml:space="preserve"> fue de 6.7% </w:t>
      </w:r>
      <w:r w:rsidR="00B75ECB" w:rsidRPr="0001338B">
        <w:rPr>
          <w:rFonts w:ascii="Arial" w:eastAsia="Times New Roman" w:hAnsi="Arial" w:cs="Arial"/>
          <w:bCs/>
          <w:spacing w:val="10"/>
          <w:lang w:val="es-ES_tradnl" w:eastAsia="es-ES"/>
        </w:rPr>
        <w:t xml:space="preserve">durante julio del presente, tasa superior en </w:t>
      </w:r>
      <w:r w:rsidR="00B75ECB">
        <w:rPr>
          <w:rFonts w:ascii="Arial" w:eastAsia="Times New Roman" w:hAnsi="Arial" w:cs="Arial"/>
          <w:bCs/>
          <w:spacing w:val="10"/>
          <w:lang w:val="es-ES_tradnl" w:eastAsia="es-ES"/>
        </w:rPr>
        <w:t>2.4</w:t>
      </w:r>
      <w:r w:rsidR="00B75ECB" w:rsidRPr="0001338B">
        <w:rPr>
          <w:rFonts w:ascii="Arial" w:eastAsia="Times New Roman" w:hAnsi="Arial" w:cs="Arial"/>
          <w:bCs/>
          <w:spacing w:val="10"/>
          <w:lang w:val="es-ES_tradnl" w:eastAsia="es-ES"/>
        </w:rPr>
        <w:t xml:space="preserve"> puntos porcentuales a la</w:t>
      </w:r>
      <w:r w:rsidR="00B75ECB">
        <w:rPr>
          <w:rFonts w:ascii="Arial" w:eastAsia="Times New Roman" w:hAnsi="Arial" w:cs="Arial"/>
          <w:bCs/>
          <w:spacing w:val="10"/>
          <w:lang w:val="es-ES_tradnl" w:eastAsia="es-ES"/>
        </w:rPr>
        <w:t xml:space="preserve"> de</w:t>
      </w:r>
      <w:r w:rsidR="00B75ECB" w:rsidRPr="0001338B">
        <w:rPr>
          <w:rFonts w:ascii="Arial" w:eastAsia="Times New Roman" w:hAnsi="Arial" w:cs="Arial"/>
          <w:bCs/>
          <w:spacing w:val="10"/>
          <w:lang w:val="es-ES_tradnl" w:eastAsia="es-ES"/>
        </w:rPr>
        <w:t xml:space="preserve"> julio de 2019</w:t>
      </w:r>
      <w:r w:rsidR="00B75ECB">
        <w:rPr>
          <w:rFonts w:ascii="Arial" w:eastAsia="Times New Roman" w:hAnsi="Arial" w:cs="Arial"/>
          <w:bCs/>
          <w:spacing w:val="10"/>
          <w:lang w:val="es-ES_tradnl" w:eastAsia="es-ES"/>
        </w:rPr>
        <w:t xml:space="preserve">. </w:t>
      </w:r>
    </w:p>
    <w:p w14:paraId="0DEFCDD4" w14:textId="77777777" w:rsidR="00B75ECB" w:rsidRPr="00F60DD2" w:rsidRDefault="00B75ECB" w:rsidP="00252EDE">
      <w:pPr>
        <w:spacing w:after="0" w:line="240" w:lineRule="auto"/>
        <w:ind w:right="49"/>
        <w:jc w:val="both"/>
        <w:rPr>
          <w:rFonts w:ascii="Arial" w:eastAsia="Times New Roman" w:hAnsi="Arial" w:cs="Arial"/>
          <w:bCs/>
          <w:spacing w:val="10"/>
          <w:lang w:val="es-ES_tradnl" w:eastAsia="es-ES"/>
        </w:rPr>
      </w:pPr>
    </w:p>
    <w:p w14:paraId="1B83F5D6" w14:textId="48EF6FF9" w:rsidR="00B75ECB" w:rsidRDefault="00B75ECB" w:rsidP="00B75ECB">
      <w:pPr>
        <w:pStyle w:val="n0"/>
        <w:keepLines w:val="0"/>
        <w:widowControl w:val="0"/>
        <w:spacing w:before="0"/>
        <w:ind w:left="0" w:right="49" w:firstLine="0"/>
        <w:jc w:val="center"/>
        <w:rPr>
          <w:b/>
          <w:smallCaps/>
          <w:color w:val="auto"/>
          <w:sz w:val="22"/>
          <w:szCs w:val="22"/>
        </w:rPr>
      </w:pPr>
      <w:r>
        <w:rPr>
          <w:b/>
          <w:smallCaps/>
          <w:color w:val="auto"/>
          <w:sz w:val="22"/>
          <w:szCs w:val="22"/>
        </w:rPr>
        <w:t>Tasa De</w:t>
      </w:r>
      <w:r w:rsidRPr="00F54EC6">
        <w:rPr>
          <w:b/>
          <w:smallCaps/>
          <w:color w:val="auto"/>
          <w:sz w:val="22"/>
          <w:szCs w:val="22"/>
        </w:rPr>
        <w:t xml:space="preserve"> </w:t>
      </w:r>
      <w:r>
        <w:rPr>
          <w:b/>
          <w:smallCaps/>
          <w:color w:val="auto"/>
          <w:sz w:val="22"/>
          <w:szCs w:val="22"/>
        </w:rPr>
        <w:t>Des</w:t>
      </w:r>
      <w:r w:rsidRPr="00F54EC6">
        <w:rPr>
          <w:b/>
          <w:smallCaps/>
          <w:color w:val="auto"/>
          <w:sz w:val="22"/>
          <w:szCs w:val="22"/>
        </w:rPr>
        <w:t>ocupa</w:t>
      </w:r>
      <w:r>
        <w:rPr>
          <w:b/>
          <w:smallCaps/>
          <w:color w:val="auto"/>
          <w:sz w:val="22"/>
          <w:szCs w:val="22"/>
        </w:rPr>
        <w:t>ción</w:t>
      </w:r>
      <w:r w:rsidRPr="00F54EC6">
        <w:rPr>
          <w:b/>
          <w:smallCaps/>
          <w:color w:val="auto"/>
          <w:sz w:val="22"/>
          <w:szCs w:val="22"/>
        </w:rPr>
        <w:t xml:space="preserve"> </w:t>
      </w:r>
      <w:r>
        <w:rPr>
          <w:b/>
          <w:smallCaps/>
          <w:color w:val="auto"/>
          <w:sz w:val="22"/>
          <w:szCs w:val="22"/>
        </w:rPr>
        <w:t xml:space="preserve">Por Sexo </w:t>
      </w:r>
    </w:p>
    <w:p w14:paraId="307ADF65" w14:textId="77777777" w:rsidR="00B75ECB" w:rsidRPr="00F54EC6" w:rsidRDefault="00B75ECB" w:rsidP="00B75ECB">
      <w:pPr>
        <w:pStyle w:val="n0"/>
        <w:keepLines w:val="0"/>
        <w:widowControl w:val="0"/>
        <w:spacing w:before="0"/>
        <w:ind w:left="0" w:right="49" w:firstLine="0"/>
        <w:jc w:val="center"/>
        <w:rPr>
          <w:b/>
          <w:smallCaps/>
          <w:color w:val="auto"/>
          <w:sz w:val="22"/>
          <w:szCs w:val="22"/>
        </w:rPr>
      </w:pPr>
      <w:r w:rsidRPr="00F54EC6">
        <w:rPr>
          <w:b/>
          <w:smallCaps/>
          <w:color w:val="auto"/>
          <w:sz w:val="22"/>
          <w:szCs w:val="22"/>
        </w:rPr>
        <w:t xml:space="preserve">durante </w:t>
      </w:r>
      <w:r>
        <w:rPr>
          <w:b/>
          <w:smallCaps/>
          <w:color w:val="auto"/>
          <w:sz w:val="22"/>
          <w:szCs w:val="22"/>
        </w:rPr>
        <w:t>julio</w:t>
      </w:r>
      <w:r w:rsidRPr="00F54EC6">
        <w:rPr>
          <w:b/>
          <w:smallCaps/>
          <w:color w:val="auto"/>
          <w:sz w:val="22"/>
          <w:szCs w:val="22"/>
        </w:rPr>
        <w:t xml:space="preserve"> de 2020</w:t>
      </w:r>
    </w:p>
    <w:p w14:paraId="74D8F88F" w14:textId="77777777" w:rsidR="00B75ECB" w:rsidRPr="000C73EB" w:rsidRDefault="00B75ECB" w:rsidP="00B75ECB">
      <w:pPr>
        <w:spacing w:after="0" w:line="240" w:lineRule="auto"/>
        <w:ind w:right="51"/>
        <w:jc w:val="center"/>
        <w:rPr>
          <w:rFonts w:ascii="Arial" w:hAnsi="Arial" w:cs="Arial"/>
          <w:smallCaps/>
        </w:rPr>
      </w:pPr>
      <w:r w:rsidRPr="000C73EB">
        <w:rPr>
          <w:rFonts w:ascii="Arial" w:hAnsi="Arial" w:cs="Arial"/>
          <w:smallCaps/>
        </w:rPr>
        <w:t>(Porcentaje)</w:t>
      </w:r>
    </w:p>
    <w:p w14:paraId="42C4821B" w14:textId="6F1D978A" w:rsidR="00B75ECB" w:rsidRDefault="00B75ECB" w:rsidP="00B75ECB">
      <w:pPr>
        <w:spacing w:after="0" w:line="240" w:lineRule="auto"/>
        <w:ind w:right="51"/>
        <w:jc w:val="center"/>
        <w:rPr>
          <w:rFonts w:ascii="Arial" w:hAnsi="Arial" w:cs="Arial"/>
          <w:smallCaps/>
          <w:sz w:val="20"/>
        </w:rPr>
      </w:pPr>
      <w:r w:rsidRPr="00B75ECB">
        <w:rPr>
          <w:noProof/>
        </w:rPr>
        <w:drawing>
          <wp:inline distT="0" distB="0" distL="0" distR="0" wp14:anchorId="63C27CDD" wp14:editId="21F92C1A">
            <wp:extent cx="4210050" cy="24765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10050" cy="2476500"/>
                    </a:xfrm>
                    <a:prstGeom prst="rect">
                      <a:avLst/>
                    </a:prstGeom>
                    <a:noFill/>
                    <a:ln>
                      <a:noFill/>
                    </a:ln>
                  </pic:spPr>
                </pic:pic>
              </a:graphicData>
            </a:graphic>
          </wp:inline>
        </w:drawing>
      </w:r>
    </w:p>
    <w:p w14:paraId="706E3644" w14:textId="551D290E" w:rsidR="00B75ECB" w:rsidRDefault="00B75ECB" w:rsidP="00255227">
      <w:pPr>
        <w:tabs>
          <w:tab w:val="left" w:pos="851"/>
        </w:tabs>
        <w:spacing w:after="0" w:line="240" w:lineRule="auto"/>
        <w:ind w:left="993" w:right="333"/>
        <w:rPr>
          <w:rFonts w:ascii="Arial" w:hAnsi="Arial" w:cs="Arial"/>
          <w:noProof/>
          <w:sz w:val="14"/>
          <w:szCs w:val="14"/>
          <w:lang w:val="es-ES" w:eastAsia="es-ES"/>
        </w:rPr>
      </w:pPr>
      <w:r>
        <w:rPr>
          <w:rFonts w:ascii="Arial" w:hAnsi="Arial" w:cs="Arial"/>
          <w:noProof/>
          <w:sz w:val="14"/>
          <w:szCs w:val="14"/>
          <w:lang w:val="es-ES" w:eastAsia="es-ES"/>
        </w:rPr>
        <w:t>Fuente:</w:t>
      </w:r>
      <w:r w:rsidR="00C27F85">
        <w:rPr>
          <w:rFonts w:ascii="Arial" w:hAnsi="Arial" w:cs="Arial"/>
          <w:noProof/>
          <w:sz w:val="14"/>
          <w:szCs w:val="14"/>
          <w:lang w:val="es-ES" w:eastAsia="es-ES"/>
        </w:rPr>
        <w:t xml:space="preserve">          </w:t>
      </w:r>
      <w:r>
        <w:rPr>
          <w:rFonts w:ascii="Arial" w:hAnsi="Arial" w:cs="Arial"/>
          <w:noProof/>
          <w:sz w:val="14"/>
          <w:szCs w:val="14"/>
          <w:lang w:val="es-ES" w:eastAsia="es-ES"/>
        </w:rPr>
        <w:t>INEGI. Encuesta Nacional de Ocupación y Empleo (Nueva Edición), julio 2020.</w:t>
      </w:r>
    </w:p>
    <w:p w14:paraId="4F24D14D" w14:textId="7B877A69" w:rsidR="00B75ECB" w:rsidRDefault="00B75ECB" w:rsidP="00255227">
      <w:pPr>
        <w:tabs>
          <w:tab w:val="left" w:pos="851"/>
        </w:tabs>
        <w:spacing w:after="0" w:line="240" w:lineRule="auto"/>
        <w:ind w:left="993" w:right="333"/>
        <w:rPr>
          <w:rFonts w:ascii="Arial" w:hAnsi="Arial" w:cs="Arial"/>
          <w:noProof/>
          <w:sz w:val="14"/>
          <w:szCs w:val="14"/>
          <w:lang w:val="es-ES" w:eastAsia="es-ES"/>
        </w:rPr>
      </w:pPr>
      <w:r>
        <w:rPr>
          <w:rFonts w:ascii="Arial" w:hAnsi="Arial" w:cs="Arial"/>
          <w:noProof/>
          <w:sz w:val="14"/>
          <w:szCs w:val="14"/>
          <w:lang w:val="es-ES" w:eastAsia="es-ES"/>
        </w:rPr>
        <w:tab/>
      </w:r>
      <w:r w:rsidR="00C27F85">
        <w:rPr>
          <w:rFonts w:ascii="Arial" w:hAnsi="Arial" w:cs="Arial"/>
          <w:noProof/>
          <w:sz w:val="14"/>
          <w:szCs w:val="14"/>
          <w:lang w:val="es-ES" w:eastAsia="es-ES"/>
        </w:rPr>
        <w:t xml:space="preserve">           </w:t>
      </w:r>
      <w:r>
        <w:rPr>
          <w:rFonts w:ascii="Arial" w:hAnsi="Arial" w:cs="Arial"/>
          <w:noProof/>
          <w:sz w:val="14"/>
          <w:szCs w:val="14"/>
          <w:lang w:val="es-ES" w:eastAsia="es-ES"/>
        </w:rPr>
        <w:t>INEGI. Encuesta Nacional de Ocupación y Empleo, julio 2019.</w:t>
      </w:r>
    </w:p>
    <w:p w14:paraId="4E68286F" w14:textId="077CC994" w:rsidR="00EE7CE9" w:rsidRDefault="00EE7CE9" w:rsidP="00252EDE">
      <w:pPr>
        <w:spacing w:after="0" w:line="240" w:lineRule="auto"/>
        <w:ind w:right="49"/>
        <w:jc w:val="both"/>
        <w:rPr>
          <w:rFonts w:ascii="Arial" w:eastAsia="Times New Roman" w:hAnsi="Arial" w:cs="Arial"/>
          <w:bCs/>
          <w:spacing w:val="10"/>
          <w:lang w:val="es-ES_tradnl" w:eastAsia="es-ES"/>
        </w:rPr>
      </w:pPr>
    </w:p>
    <w:p w14:paraId="594DDF7F" w14:textId="77777777" w:rsidR="00B75ECB" w:rsidRDefault="00B75ECB" w:rsidP="00252EDE">
      <w:pPr>
        <w:spacing w:after="0" w:line="240" w:lineRule="auto"/>
        <w:ind w:right="49"/>
        <w:jc w:val="both"/>
        <w:rPr>
          <w:rFonts w:ascii="Arial" w:eastAsia="Times New Roman" w:hAnsi="Arial" w:cs="Arial"/>
          <w:bCs/>
          <w:spacing w:val="10"/>
          <w:lang w:val="es-ES_tradnl" w:eastAsia="es-ES"/>
        </w:rPr>
      </w:pPr>
    </w:p>
    <w:p w14:paraId="22BA0E58" w14:textId="652DB0AD" w:rsidR="00674B11" w:rsidRDefault="00252EDE">
      <w:pPr>
        <w:rPr>
          <w:rFonts w:ascii="Arial" w:eastAsia="Times New Roman" w:hAnsi="Arial" w:cs="Arial"/>
          <w:b/>
          <w:smallCaps/>
          <w:lang w:val="es-ES_tradnl" w:eastAsia="es-ES"/>
        </w:rPr>
      </w:pPr>
      <w:r w:rsidRPr="00F60DD2">
        <w:rPr>
          <w:rFonts w:ascii="Arial" w:eastAsia="Times New Roman" w:hAnsi="Arial" w:cs="Arial"/>
          <w:bCs/>
          <w:spacing w:val="10"/>
          <w:lang w:val="es-ES_tradnl" w:eastAsia="es-ES"/>
        </w:rPr>
        <w:t xml:space="preserve">Las personas </w:t>
      </w:r>
      <w:r w:rsidR="006C2E61">
        <w:rPr>
          <w:rFonts w:ascii="Arial" w:eastAsia="Times New Roman" w:hAnsi="Arial" w:cs="Arial"/>
          <w:bCs/>
          <w:spacing w:val="10"/>
          <w:lang w:val="es-ES_tradnl" w:eastAsia="es-ES"/>
        </w:rPr>
        <w:t xml:space="preserve">desocupadas </w:t>
      </w:r>
      <w:r w:rsidRPr="00F60DD2">
        <w:rPr>
          <w:rFonts w:ascii="Arial" w:eastAsia="Times New Roman" w:hAnsi="Arial" w:cs="Arial"/>
          <w:bCs/>
          <w:spacing w:val="10"/>
          <w:lang w:val="es-ES_tradnl" w:eastAsia="es-ES"/>
        </w:rPr>
        <w:t xml:space="preserve">de 25 a 44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w:t>
      </w:r>
      <w:r w:rsidR="006C2E61">
        <w:rPr>
          <w:rFonts w:ascii="Arial" w:eastAsia="Times New Roman" w:hAnsi="Arial" w:cs="Arial"/>
          <w:bCs/>
          <w:spacing w:val="10"/>
          <w:lang w:val="es-ES_tradnl" w:eastAsia="es-ES"/>
        </w:rPr>
        <w:t>representaron</w:t>
      </w:r>
      <w:r w:rsidR="006C2E61"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el </w:t>
      </w:r>
      <w:r w:rsidR="0037146B">
        <w:rPr>
          <w:rFonts w:ascii="Arial" w:eastAsia="Times New Roman" w:hAnsi="Arial" w:cs="Arial"/>
          <w:bCs/>
          <w:spacing w:val="10"/>
          <w:lang w:val="es-ES_tradnl" w:eastAsia="es-ES"/>
        </w:rPr>
        <w:t>50.7</w:t>
      </w:r>
      <w:r w:rsidRPr="00F60DD2">
        <w:rPr>
          <w:rFonts w:ascii="Arial" w:eastAsia="Times New Roman" w:hAnsi="Arial" w:cs="Arial"/>
          <w:bCs/>
          <w:spacing w:val="10"/>
          <w:lang w:val="es-ES_tradnl" w:eastAsia="es-ES"/>
        </w:rPr>
        <w:t xml:space="preserve">%, seguido del grupo de </w:t>
      </w:r>
      <w:r w:rsidR="0037146B">
        <w:rPr>
          <w:rFonts w:ascii="Arial" w:eastAsia="Times New Roman" w:hAnsi="Arial" w:cs="Arial"/>
          <w:bCs/>
          <w:spacing w:val="10"/>
          <w:lang w:val="es-ES_tradnl" w:eastAsia="es-ES"/>
        </w:rPr>
        <w:t>15 a 24</w:t>
      </w:r>
      <w:r w:rsidRPr="00F60DD2">
        <w:rPr>
          <w:rFonts w:ascii="Arial" w:eastAsia="Times New Roman" w:hAnsi="Arial" w:cs="Arial"/>
          <w:bCs/>
          <w:spacing w:val="10"/>
          <w:lang w:val="es-ES_tradnl" w:eastAsia="es-ES"/>
        </w:rPr>
        <w:t xml:space="preserve"> </w:t>
      </w:r>
      <w:r w:rsidR="00724EAC" w:rsidRPr="00F60DD2">
        <w:rPr>
          <w:rFonts w:ascii="Arial" w:eastAsia="Times New Roman" w:hAnsi="Arial" w:cs="Arial"/>
          <w:bCs/>
          <w:spacing w:val="10"/>
          <w:lang w:val="es-ES_tradnl" w:eastAsia="es-ES"/>
        </w:rPr>
        <w:t>años</w:t>
      </w:r>
      <w:r w:rsidRPr="00F60DD2">
        <w:rPr>
          <w:rFonts w:ascii="Arial" w:eastAsia="Times New Roman" w:hAnsi="Arial" w:cs="Arial"/>
          <w:bCs/>
          <w:spacing w:val="10"/>
          <w:lang w:val="es-ES_tradnl" w:eastAsia="es-ES"/>
        </w:rPr>
        <w:t xml:space="preserve"> con </w:t>
      </w:r>
      <w:r w:rsidR="0037146B">
        <w:rPr>
          <w:rFonts w:ascii="Arial" w:eastAsia="Times New Roman" w:hAnsi="Arial" w:cs="Arial"/>
          <w:bCs/>
          <w:spacing w:val="10"/>
          <w:lang w:val="es-ES_tradnl" w:eastAsia="es-ES"/>
        </w:rPr>
        <w:t xml:space="preserve">28 </w:t>
      </w:r>
      <w:r w:rsidR="004626B9">
        <w:rPr>
          <w:rFonts w:ascii="Arial" w:eastAsia="Times New Roman" w:hAnsi="Arial" w:cs="Arial"/>
          <w:bCs/>
          <w:spacing w:val="10"/>
          <w:lang w:val="es-ES_tradnl" w:eastAsia="es-ES"/>
        </w:rPr>
        <w:t>por ciento</w:t>
      </w:r>
      <w:r w:rsidR="004626B9"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Respecto </w:t>
      </w:r>
      <w:r w:rsidR="00030476">
        <w:rPr>
          <w:rFonts w:ascii="Arial" w:eastAsia="Times New Roman" w:hAnsi="Arial" w:cs="Arial"/>
          <w:bCs/>
          <w:spacing w:val="10"/>
          <w:lang w:val="es-ES_tradnl" w:eastAsia="es-ES"/>
        </w:rPr>
        <w:t>al</w:t>
      </w:r>
      <w:r w:rsidR="00030476" w:rsidRPr="00F60DD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mes anterior, </w:t>
      </w:r>
      <w:r w:rsidR="00F60DD2" w:rsidRPr="00F60DD2">
        <w:rPr>
          <w:rFonts w:ascii="Arial" w:eastAsia="Times New Roman" w:hAnsi="Arial" w:cs="Arial"/>
          <w:bCs/>
          <w:spacing w:val="10"/>
          <w:lang w:val="es-ES_tradnl" w:eastAsia="es-ES"/>
        </w:rPr>
        <w:t xml:space="preserve">el primer grupo </w:t>
      </w:r>
      <w:r w:rsidR="00106F4D">
        <w:rPr>
          <w:rFonts w:ascii="Arial" w:eastAsia="Times New Roman" w:hAnsi="Arial" w:cs="Arial"/>
          <w:bCs/>
          <w:spacing w:val="10"/>
          <w:lang w:val="es-ES_tradnl" w:eastAsia="es-ES"/>
        </w:rPr>
        <w:t xml:space="preserve">subió </w:t>
      </w:r>
      <w:r w:rsidR="00F44A4A">
        <w:rPr>
          <w:rFonts w:ascii="Arial" w:eastAsia="Times New Roman" w:hAnsi="Arial" w:cs="Arial"/>
          <w:bCs/>
          <w:spacing w:val="10"/>
          <w:lang w:val="es-ES_tradnl" w:eastAsia="es-ES"/>
        </w:rPr>
        <w:t>1.7</w:t>
      </w:r>
      <w:r w:rsidR="00DC4022">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puntos porcentuales</w:t>
      </w:r>
      <w:r w:rsidR="00F44A4A">
        <w:rPr>
          <w:rFonts w:ascii="Arial" w:eastAsia="Times New Roman" w:hAnsi="Arial" w:cs="Arial"/>
          <w:bCs/>
          <w:spacing w:val="10"/>
          <w:lang w:val="es-ES_tradnl" w:eastAsia="es-ES"/>
        </w:rPr>
        <w:t xml:space="preserve"> y </w:t>
      </w:r>
      <w:r w:rsidR="00F60DD2" w:rsidRPr="00F60DD2">
        <w:rPr>
          <w:rFonts w:ascii="Arial" w:eastAsia="Times New Roman" w:hAnsi="Arial" w:cs="Arial"/>
          <w:bCs/>
          <w:spacing w:val="10"/>
          <w:lang w:val="es-ES_tradnl" w:eastAsia="es-ES"/>
        </w:rPr>
        <w:t xml:space="preserve">el segundo grupo </w:t>
      </w:r>
      <w:r w:rsidR="00F44A4A">
        <w:rPr>
          <w:rFonts w:ascii="Arial" w:eastAsia="Times New Roman" w:hAnsi="Arial" w:cs="Arial"/>
          <w:bCs/>
          <w:spacing w:val="10"/>
          <w:lang w:val="es-ES_tradnl" w:eastAsia="es-ES"/>
        </w:rPr>
        <w:t>aumentó</w:t>
      </w:r>
      <w:r w:rsidR="00F60DD2" w:rsidRPr="00F60DD2">
        <w:rPr>
          <w:rFonts w:ascii="Arial" w:eastAsia="Times New Roman" w:hAnsi="Arial" w:cs="Arial"/>
          <w:bCs/>
          <w:spacing w:val="10"/>
          <w:lang w:val="es-ES_tradnl" w:eastAsia="es-ES"/>
        </w:rPr>
        <w:t xml:space="preserve"> </w:t>
      </w:r>
      <w:r w:rsidR="00F44A4A">
        <w:rPr>
          <w:rFonts w:ascii="Arial" w:eastAsia="Times New Roman" w:hAnsi="Arial" w:cs="Arial"/>
          <w:bCs/>
          <w:spacing w:val="10"/>
          <w:lang w:val="es-ES_tradnl" w:eastAsia="es-ES"/>
        </w:rPr>
        <w:t>en 2.5</w:t>
      </w:r>
      <w:r w:rsidR="00F60DD2" w:rsidRPr="00F60DD2">
        <w:rPr>
          <w:rFonts w:ascii="Arial" w:eastAsia="Times New Roman" w:hAnsi="Arial" w:cs="Arial"/>
          <w:bCs/>
          <w:spacing w:val="10"/>
          <w:lang w:val="es-ES_tradnl" w:eastAsia="es-ES"/>
        </w:rPr>
        <w:t xml:space="preserve"> puntos porcentuales.</w:t>
      </w:r>
    </w:p>
    <w:p w14:paraId="56C519AA" w14:textId="243F7E4E" w:rsidR="00A03870" w:rsidRDefault="00A03870">
      <w:pPr>
        <w:rPr>
          <w:rFonts w:ascii="Arial" w:eastAsia="Times New Roman" w:hAnsi="Arial" w:cs="Arial"/>
          <w:b/>
          <w:smallCaps/>
          <w:lang w:val="es-ES_tradnl" w:eastAsia="es-ES"/>
        </w:rPr>
      </w:pPr>
    </w:p>
    <w:p w14:paraId="32DD4EE7" w14:textId="6F28C237" w:rsidR="00D02448" w:rsidRDefault="00D02448">
      <w:pPr>
        <w:rPr>
          <w:rFonts w:ascii="Arial" w:eastAsia="Times New Roman" w:hAnsi="Arial" w:cs="Arial"/>
          <w:b/>
          <w:smallCaps/>
          <w:lang w:val="es-ES_tradnl" w:eastAsia="es-ES"/>
        </w:rPr>
      </w:pPr>
    </w:p>
    <w:p w14:paraId="09AFB111" w14:textId="3428A108" w:rsidR="00D02448" w:rsidRDefault="00D02448">
      <w:pPr>
        <w:rPr>
          <w:rFonts w:ascii="Arial" w:eastAsia="Times New Roman" w:hAnsi="Arial" w:cs="Arial"/>
          <w:b/>
          <w:smallCaps/>
          <w:lang w:val="es-ES_tradnl" w:eastAsia="es-ES"/>
        </w:rPr>
      </w:pPr>
    </w:p>
    <w:p w14:paraId="15B6912B" w14:textId="17EBC942" w:rsidR="00D02448" w:rsidRDefault="00D02448">
      <w:pPr>
        <w:rPr>
          <w:rFonts w:ascii="Arial" w:eastAsia="Times New Roman" w:hAnsi="Arial" w:cs="Arial"/>
          <w:b/>
          <w:smallCaps/>
          <w:lang w:val="es-ES_tradnl" w:eastAsia="es-ES"/>
        </w:rPr>
      </w:pPr>
    </w:p>
    <w:p w14:paraId="4B94AA04" w14:textId="214B2868" w:rsidR="00D02448" w:rsidRDefault="00D02448">
      <w:pPr>
        <w:rPr>
          <w:rFonts w:ascii="Arial" w:eastAsia="Times New Roman" w:hAnsi="Arial" w:cs="Arial"/>
          <w:b/>
          <w:smallCaps/>
          <w:lang w:val="es-ES_tradnl" w:eastAsia="es-ES"/>
        </w:rPr>
      </w:pPr>
    </w:p>
    <w:p w14:paraId="5B59E629" w14:textId="22DF9E92" w:rsidR="00D02448" w:rsidRDefault="00D02448">
      <w:pPr>
        <w:rPr>
          <w:rFonts w:ascii="Arial" w:eastAsia="Times New Roman" w:hAnsi="Arial" w:cs="Arial"/>
          <w:b/>
          <w:smallCaps/>
          <w:lang w:val="es-ES_tradnl" w:eastAsia="es-ES"/>
        </w:rPr>
      </w:pPr>
    </w:p>
    <w:p w14:paraId="77D2FB30" w14:textId="77777777" w:rsidR="00D02448" w:rsidRDefault="00D02448">
      <w:pPr>
        <w:rPr>
          <w:rFonts w:ascii="Arial" w:eastAsia="Times New Roman" w:hAnsi="Arial" w:cs="Arial"/>
          <w:b/>
          <w:smallCaps/>
          <w:lang w:val="es-ES_tradnl" w:eastAsia="es-ES"/>
        </w:rPr>
      </w:pPr>
    </w:p>
    <w:p w14:paraId="62766479" w14:textId="77777777" w:rsidR="0074035D"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t>Población desocupada según grupos de edad</w:t>
      </w:r>
    </w:p>
    <w:p w14:paraId="72F96E5D" w14:textId="77777777" w:rsidR="00252EDE" w:rsidRDefault="00252EDE" w:rsidP="00EE43E5">
      <w:pPr>
        <w:pStyle w:val="n0"/>
        <w:keepLines w:val="0"/>
        <w:widowControl w:val="0"/>
        <w:spacing w:before="0"/>
        <w:ind w:left="0" w:right="49" w:firstLine="0"/>
        <w:jc w:val="center"/>
        <w:rPr>
          <w:b/>
          <w:smallCaps/>
          <w:color w:val="auto"/>
          <w:sz w:val="22"/>
          <w:szCs w:val="22"/>
        </w:rPr>
      </w:pPr>
      <w:r w:rsidRPr="00707308">
        <w:rPr>
          <w:b/>
          <w:smallCaps/>
          <w:color w:val="auto"/>
          <w:sz w:val="22"/>
          <w:szCs w:val="22"/>
        </w:rPr>
        <w:t xml:space="preserve">durante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707308">
        <w:rPr>
          <w:b/>
          <w:smallCaps/>
          <w:color w:val="auto"/>
          <w:sz w:val="22"/>
          <w:szCs w:val="22"/>
        </w:rPr>
        <w:t xml:space="preserve"> de 2020</w:t>
      </w:r>
    </w:p>
    <w:p w14:paraId="660BE204" w14:textId="77777777" w:rsidR="00CC5E3A" w:rsidRDefault="007775FD" w:rsidP="00EE43E5">
      <w:pPr>
        <w:spacing w:after="0" w:line="240" w:lineRule="auto"/>
        <w:ind w:right="51"/>
        <w:jc w:val="center"/>
        <w:rPr>
          <w:rFonts w:ascii="Arial" w:hAnsi="Arial" w:cs="Arial"/>
          <w:smallCaps/>
        </w:rPr>
      </w:pPr>
      <w:r>
        <w:rPr>
          <w:rFonts w:ascii="Arial" w:hAnsi="Arial" w:cs="Arial"/>
          <w:smallCaps/>
        </w:rPr>
        <w:t>(</w:t>
      </w:r>
      <w:r w:rsidR="00252EDE" w:rsidRPr="00707308">
        <w:rPr>
          <w:rFonts w:ascii="Arial" w:hAnsi="Arial" w:cs="Arial"/>
          <w:smallCaps/>
        </w:rPr>
        <w:t>Porcentaje)</w:t>
      </w:r>
    </w:p>
    <w:p w14:paraId="722CBD0D" w14:textId="77777777" w:rsidR="0039067D" w:rsidRDefault="00DB4F74" w:rsidP="00CC5E3A">
      <w:pPr>
        <w:spacing w:after="0" w:line="240" w:lineRule="auto"/>
        <w:ind w:right="51"/>
        <w:jc w:val="center"/>
        <w:rPr>
          <w:rFonts w:ascii="Arial" w:hAnsi="Arial" w:cs="Arial"/>
          <w:smallCaps/>
        </w:rPr>
      </w:pPr>
      <w:r w:rsidRPr="00DB4F74">
        <w:rPr>
          <w:noProof/>
          <w:lang w:eastAsia="es-MX"/>
        </w:rPr>
        <w:drawing>
          <wp:inline distT="0" distB="0" distL="0" distR="0" wp14:anchorId="7DA18572" wp14:editId="388968B7">
            <wp:extent cx="5612130" cy="1749460"/>
            <wp:effectExtent l="0" t="0" r="7620" b="31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1749460"/>
                    </a:xfrm>
                    <a:prstGeom prst="rect">
                      <a:avLst/>
                    </a:prstGeom>
                    <a:noFill/>
                    <a:ln>
                      <a:noFill/>
                    </a:ln>
                  </pic:spPr>
                </pic:pic>
              </a:graphicData>
            </a:graphic>
          </wp:inline>
        </w:drawing>
      </w:r>
    </w:p>
    <w:p w14:paraId="395D9ABA"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5705A6EA"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0EE13494"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70AAD5DF" w14:textId="77777777" w:rsidR="00252EDE" w:rsidRDefault="00252EDE" w:rsidP="00252EDE">
      <w:pPr>
        <w:spacing w:after="0" w:line="240" w:lineRule="auto"/>
        <w:ind w:right="49"/>
        <w:rPr>
          <w:rFonts w:ascii="Arial" w:hAnsi="Arial" w:cs="Arial"/>
          <w:b/>
        </w:rPr>
      </w:pPr>
    </w:p>
    <w:p w14:paraId="53434DD1" w14:textId="77777777" w:rsidR="00C27F85" w:rsidRDefault="00C27F85" w:rsidP="00252EDE">
      <w:pPr>
        <w:spacing w:after="0" w:line="240" w:lineRule="auto"/>
        <w:ind w:right="49"/>
        <w:jc w:val="both"/>
        <w:rPr>
          <w:rFonts w:ascii="Arial" w:eastAsia="Times New Roman" w:hAnsi="Arial" w:cs="Arial"/>
          <w:bCs/>
          <w:spacing w:val="10"/>
          <w:lang w:val="es-ES_tradnl" w:eastAsia="es-ES"/>
        </w:rPr>
      </w:pPr>
    </w:p>
    <w:p w14:paraId="0C2B5AA9" w14:textId="77777777" w:rsidR="00C27F85" w:rsidRDefault="00C27F85" w:rsidP="00252EDE">
      <w:pPr>
        <w:spacing w:after="0" w:line="240" w:lineRule="auto"/>
        <w:ind w:right="49"/>
        <w:jc w:val="both"/>
        <w:rPr>
          <w:rFonts w:ascii="Arial" w:eastAsia="Times New Roman" w:hAnsi="Arial" w:cs="Arial"/>
          <w:bCs/>
          <w:spacing w:val="10"/>
          <w:lang w:val="es-ES_tradnl" w:eastAsia="es-ES"/>
        </w:rPr>
      </w:pPr>
    </w:p>
    <w:p w14:paraId="5540D372" w14:textId="77777777" w:rsidR="00C27F85" w:rsidRDefault="00C27F85" w:rsidP="00252EDE">
      <w:pPr>
        <w:spacing w:after="0" w:line="240" w:lineRule="auto"/>
        <w:ind w:right="49"/>
        <w:jc w:val="both"/>
        <w:rPr>
          <w:rFonts w:ascii="Arial" w:eastAsia="Times New Roman" w:hAnsi="Arial" w:cs="Arial"/>
          <w:bCs/>
          <w:spacing w:val="10"/>
          <w:lang w:val="es-ES_tradnl" w:eastAsia="es-ES"/>
        </w:rPr>
      </w:pPr>
    </w:p>
    <w:p w14:paraId="64DBD07C" w14:textId="39FF5B1B" w:rsidR="00252EDE" w:rsidRDefault="00252EDE" w:rsidP="00252EDE">
      <w:pPr>
        <w:spacing w:after="0" w:line="240" w:lineRule="auto"/>
        <w:ind w:right="49"/>
        <w:jc w:val="both"/>
        <w:rPr>
          <w:rFonts w:ascii="Arial" w:eastAsia="Times New Roman" w:hAnsi="Arial" w:cs="Arial"/>
          <w:bCs/>
          <w:spacing w:val="10"/>
          <w:lang w:val="es-ES_tradnl" w:eastAsia="es-ES"/>
        </w:rPr>
      </w:pPr>
      <w:r w:rsidRPr="00F60DD2">
        <w:rPr>
          <w:rFonts w:ascii="Arial" w:eastAsia="Times New Roman" w:hAnsi="Arial" w:cs="Arial"/>
          <w:bCs/>
          <w:spacing w:val="10"/>
          <w:lang w:val="es-ES_tradnl" w:eastAsia="es-ES"/>
        </w:rPr>
        <w:t xml:space="preserve">En </w:t>
      </w:r>
      <w:r w:rsidR="00491C7C">
        <w:rPr>
          <w:rFonts w:ascii="Arial" w:eastAsia="Times New Roman" w:hAnsi="Arial" w:cs="Arial"/>
          <w:bCs/>
          <w:spacing w:val="10"/>
          <w:lang w:val="es-ES_tradnl" w:eastAsia="es-ES"/>
        </w:rPr>
        <w:t>México</w:t>
      </w:r>
      <w:r w:rsidRPr="00F60DD2">
        <w:rPr>
          <w:rFonts w:ascii="Arial" w:eastAsia="Times New Roman" w:hAnsi="Arial" w:cs="Arial"/>
          <w:bCs/>
          <w:spacing w:val="10"/>
          <w:lang w:val="es-ES_tradnl" w:eastAsia="es-ES"/>
        </w:rPr>
        <w:t>, la duración de la desocupación es generalmente corta,</w:t>
      </w:r>
      <w:r w:rsidR="00491C7C">
        <w:rPr>
          <w:rFonts w:ascii="Arial" w:eastAsia="Times New Roman" w:hAnsi="Arial" w:cs="Arial"/>
          <w:bCs/>
          <w:spacing w:val="10"/>
          <w:lang w:val="es-ES_tradnl" w:eastAsia="es-ES"/>
        </w:rPr>
        <w:t xml:space="preserve"> a </w:t>
      </w:r>
      <w:r w:rsidR="00E828E9">
        <w:rPr>
          <w:rFonts w:ascii="Arial" w:eastAsia="Times New Roman" w:hAnsi="Arial" w:cs="Arial"/>
          <w:bCs/>
          <w:spacing w:val="10"/>
          <w:lang w:val="es-ES_tradnl" w:eastAsia="es-ES"/>
        </w:rPr>
        <w:t xml:space="preserve">diferencia </w:t>
      </w:r>
      <w:r w:rsidR="00E828E9" w:rsidRPr="00F60DD2">
        <w:rPr>
          <w:rFonts w:ascii="Arial" w:eastAsia="Times New Roman" w:hAnsi="Arial" w:cs="Arial"/>
          <w:bCs/>
          <w:spacing w:val="10"/>
          <w:lang w:val="es-ES_tradnl" w:eastAsia="es-ES"/>
        </w:rPr>
        <w:t>de</w:t>
      </w:r>
      <w:r w:rsidR="00491C7C">
        <w:rPr>
          <w:rFonts w:ascii="Arial" w:eastAsia="Times New Roman" w:hAnsi="Arial" w:cs="Arial"/>
          <w:bCs/>
          <w:spacing w:val="10"/>
          <w:lang w:val="es-ES_tradnl" w:eastAsia="es-ES"/>
        </w:rPr>
        <w:t xml:space="preserve"> otros países donde existe</w:t>
      </w:r>
      <w:r w:rsidRPr="00F60DD2">
        <w:rPr>
          <w:rFonts w:ascii="Arial" w:eastAsia="Times New Roman" w:hAnsi="Arial" w:cs="Arial"/>
          <w:bCs/>
          <w:spacing w:val="10"/>
          <w:lang w:val="es-ES_tradnl" w:eastAsia="es-ES"/>
        </w:rPr>
        <w:t xml:space="preserve"> un seguro de desempleo. En </w:t>
      </w:r>
      <w:r w:rsidR="00343375">
        <w:rPr>
          <w:rFonts w:ascii="Arial" w:eastAsia="Times New Roman" w:hAnsi="Arial" w:cs="Arial"/>
          <w:bCs/>
          <w:spacing w:val="10"/>
          <w:lang w:val="es-ES_tradnl" w:eastAsia="es-ES"/>
        </w:rPr>
        <w:t>ju</w:t>
      </w:r>
      <w:r w:rsidR="00F44A4A">
        <w:rPr>
          <w:rFonts w:ascii="Arial" w:eastAsia="Times New Roman" w:hAnsi="Arial" w:cs="Arial"/>
          <w:bCs/>
          <w:spacing w:val="10"/>
          <w:lang w:val="es-ES_tradnl" w:eastAsia="es-ES"/>
        </w:rPr>
        <w:t>l</w:t>
      </w:r>
      <w:r w:rsidR="00343375">
        <w:rPr>
          <w:rFonts w:ascii="Arial" w:eastAsia="Times New Roman" w:hAnsi="Arial" w:cs="Arial"/>
          <w:bCs/>
          <w:spacing w:val="10"/>
          <w:lang w:val="es-ES_tradnl" w:eastAsia="es-ES"/>
        </w:rPr>
        <w:t>io</w:t>
      </w:r>
      <w:r w:rsidR="006C025C">
        <w:rPr>
          <w:rFonts w:ascii="Arial" w:eastAsia="Times New Roman" w:hAnsi="Arial" w:cs="Arial"/>
          <w:bCs/>
          <w:spacing w:val="10"/>
          <w:lang w:val="es-ES_tradnl" w:eastAsia="es-ES"/>
        </w:rPr>
        <w:t xml:space="preserve"> </w:t>
      </w:r>
      <w:r w:rsidRPr="00F60DD2">
        <w:rPr>
          <w:rFonts w:ascii="Arial" w:eastAsia="Times New Roman" w:hAnsi="Arial" w:cs="Arial"/>
          <w:bCs/>
          <w:spacing w:val="10"/>
          <w:lang w:val="es-ES_tradnl" w:eastAsia="es-ES"/>
        </w:rPr>
        <w:t xml:space="preserve">de 2020, la </w:t>
      </w:r>
      <w:r w:rsidR="00F60DD2">
        <w:rPr>
          <w:rFonts w:ascii="Arial" w:eastAsia="Times New Roman" w:hAnsi="Arial" w:cs="Arial"/>
          <w:bCs/>
          <w:spacing w:val="10"/>
          <w:lang w:val="es-ES_tradnl" w:eastAsia="es-ES"/>
        </w:rPr>
        <w:t xml:space="preserve">proporción de los </w:t>
      </w:r>
      <w:r w:rsidRPr="00F60DD2">
        <w:rPr>
          <w:rFonts w:ascii="Arial" w:eastAsia="Times New Roman" w:hAnsi="Arial" w:cs="Arial"/>
          <w:bCs/>
          <w:spacing w:val="10"/>
          <w:lang w:val="es-ES_tradnl" w:eastAsia="es-ES"/>
        </w:rPr>
        <w:t>desocupa</w:t>
      </w:r>
      <w:r w:rsidR="00F60DD2">
        <w:rPr>
          <w:rFonts w:ascii="Arial" w:eastAsia="Times New Roman" w:hAnsi="Arial" w:cs="Arial"/>
          <w:bCs/>
          <w:spacing w:val="10"/>
          <w:lang w:val="es-ES_tradnl" w:eastAsia="es-ES"/>
        </w:rPr>
        <w:t>dos</w:t>
      </w:r>
      <w:r w:rsidRPr="00F60DD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se concentró</w:t>
      </w:r>
      <w:r w:rsidR="00B13F2F">
        <w:rPr>
          <w:rFonts w:ascii="Arial" w:eastAsia="Times New Roman" w:hAnsi="Arial" w:cs="Arial"/>
          <w:bCs/>
          <w:spacing w:val="10"/>
          <w:lang w:val="es-ES_tradnl" w:eastAsia="es-ES"/>
        </w:rPr>
        <w:t xml:space="preserve"> </w:t>
      </w:r>
      <w:r w:rsidR="00B13F2F" w:rsidRPr="00A83689">
        <w:rPr>
          <w:rFonts w:ascii="Arial" w:eastAsia="Times New Roman" w:hAnsi="Arial" w:cs="Arial"/>
          <w:bCs/>
          <w:spacing w:val="10"/>
          <w:lang w:val="es-ES_tradnl" w:eastAsia="es-ES"/>
        </w:rPr>
        <w:t>en</w:t>
      </w:r>
      <w:r w:rsidR="00F60DD2">
        <w:rPr>
          <w:rFonts w:ascii="Arial" w:eastAsia="Times New Roman" w:hAnsi="Arial" w:cs="Arial"/>
          <w:bCs/>
          <w:spacing w:val="10"/>
          <w:lang w:val="es-ES_tradnl" w:eastAsia="es-ES"/>
        </w:rPr>
        <w:t xml:space="preserve"> </w:t>
      </w:r>
      <w:r w:rsidR="00E20C94">
        <w:rPr>
          <w:rFonts w:ascii="Arial" w:eastAsia="Times New Roman" w:hAnsi="Arial" w:cs="Arial"/>
          <w:bCs/>
          <w:spacing w:val="10"/>
          <w:lang w:val="es-ES_tradnl" w:eastAsia="es-ES"/>
        </w:rPr>
        <w:t xml:space="preserve">las personas que tienen </w:t>
      </w:r>
      <w:r w:rsidR="00F60DD2">
        <w:rPr>
          <w:rFonts w:ascii="Arial" w:eastAsia="Times New Roman" w:hAnsi="Arial" w:cs="Arial"/>
          <w:bCs/>
          <w:spacing w:val="10"/>
          <w:lang w:val="es-ES_tradnl" w:eastAsia="es-ES"/>
        </w:rPr>
        <w:t xml:space="preserve">hasta un mes </w:t>
      </w:r>
      <w:r w:rsidR="00E20C94">
        <w:rPr>
          <w:rFonts w:ascii="Arial" w:eastAsia="Times New Roman" w:hAnsi="Arial" w:cs="Arial"/>
          <w:bCs/>
          <w:spacing w:val="10"/>
          <w:lang w:val="es-ES_tradnl" w:eastAsia="es-ES"/>
        </w:rPr>
        <w:t>buscando trabajo</w:t>
      </w:r>
      <w:r w:rsidR="00B13F2F">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con </w:t>
      </w:r>
      <w:r w:rsidR="00F44A4A">
        <w:rPr>
          <w:rFonts w:ascii="Arial" w:eastAsia="Times New Roman" w:hAnsi="Arial" w:cs="Arial"/>
          <w:bCs/>
          <w:spacing w:val="10"/>
          <w:lang w:val="es-ES_tradnl" w:eastAsia="es-ES"/>
        </w:rPr>
        <w:t>42.3</w:t>
      </w:r>
      <w:r w:rsidR="00F60DD2">
        <w:rPr>
          <w:rFonts w:ascii="Arial" w:eastAsia="Times New Roman" w:hAnsi="Arial" w:cs="Arial"/>
          <w:bCs/>
          <w:spacing w:val="10"/>
          <w:lang w:val="es-ES_tradnl" w:eastAsia="es-ES"/>
        </w:rPr>
        <w:t xml:space="preserve">%, cifra </w:t>
      </w:r>
      <w:r w:rsidR="00F44A4A">
        <w:rPr>
          <w:rFonts w:ascii="Arial" w:eastAsia="Times New Roman" w:hAnsi="Arial" w:cs="Arial"/>
          <w:bCs/>
          <w:spacing w:val="10"/>
          <w:lang w:val="es-ES_tradnl" w:eastAsia="es-ES"/>
        </w:rPr>
        <w:t>(-)5.4</w:t>
      </w:r>
      <w:r w:rsidR="00B11292">
        <w:rPr>
          <w:rFonts w:ascii="Arial" w:eastAsia="Times New Roman" w:hAnsi="Arial" w:cs="Arial"/>
          <w:bCs/>
          <w:spacing w:val="10"/>
          <w:lang w:val="es-ES_tradnl" w:eastAsia="es-ES"/>
        </w:rPr>
        <w:t xml:space="preserve"> </w:t>
      </w:r>
      <w:r w:rsidR="00F60DD2">
        <w:rPr>
          <w:rFonts w:ascii="Arial" w:eastAsia="Times New Roman" w:hAnsi="Arial" w:cs="Arial"/>
          <w:bCs/>
          <w:spacing w:val="10"/>
          <w:lang w:val="es-ES_tradnl" w:eastAsia="es-ES"/>
        </w:rPr>
        <w:t xml:space="preserve">puntos porcentuales </w:t>
      </w:r>
      <w:r w:rsidR="00F44A4A">
        <w:rPr>
          <w:rFonts w:ascii="Arial" w:eastAsia="Times New Roman" w:hAnsi="Arial" w:cs="Arial"/>
          <w:bCs/>
          <w:spacing w:val="10"/>
          <w:lang w:val="es-ES_tradnl" w:eastAsia="es-ES"/>
        </w:rPr>
        <w:t>inferior</w:t>
      </w:r>
      <w:r w:rsidR="00F60DD2">
        <w:rPr>
          <w:rFonts w:ascii="Arial" w:eastAsia="Times New Roman" w:hAnsi="Arial" w:cs="Arial"/>
          <w:bCs/>
          <w:spacing w:val="10"/>
          <w:lang w:val="es-ES_tradnl" w:eastAsia="es-ES"/>
        </w:rPr>
        <w:t xml:space="preserve"> </w:t>
      </w:r>
      <w:r w:rsidR="00B96E1D">
        <w:rPr>
          <w:rFonts w:ascii="Arial" w:eastAsia="Times New Roman" w:hAnsi="Arial" w:cs="Arial"/>
          <w:bCs/>
          <w:spacing w:val="10"/>
          <w:lang w:val="es-ES_tradnl" w:eastAsia="es-ES"/>
        </w:rPr>
        <w:t xml:space="preserve">a </w:t>
      </w:r>
      <w:r w:rsidR="00AD79BC">
        <w:rPr>
          <w:rFonts w:ascii="Arial" w:eastAsia="Times New Roman" w:hAnsi="Arial" w:cs="Arial"/>
          <w:bCs/>
          <w:spacing w:val="10"/>
          <w:lang w:val="es-ES_tradnl" w:eastAsia="es-ES"/>
        </w:rPr>
        <w:t>la de</w:t>
      </w:r>
      <w:r w:rsidR="006C025C">
        <w:rPr>
          <w:rFonts w:ascii="Arial" w:eastAsia="Times New Roman" w:hAnsi="Arial" w:cs="Arial"/>
          <w:bCs/>
          <w:spacing w:val="10"/>
          <w:lang w:val="es-ES_tradnl" w:eastAsia="es-ES"/>
        </w:rPr>
        <w:t>l mes p</w:t>
      </w:r>
      <w:bookmarkStart w:id="4" w:name="_Hlk49934913"/>
      <w:r w:rsidR="006C025C">
        <w:rPr>
          <w:rFonts w:ascii="Arial" w:eastAsia="Times New Roman" w:hAnsi="Arial" w:cs="Arial"/>
          <w:bCs/>
          <w:spacing w:val="10"/>
          <w:lang w:val="es-ES_tradnl" w:eastAsia="es-ES"/>
        </w:rPr>
        <w:t>revio</w:t>
      </w:r>
      <w:bookmarkEnd w:id="4"/>
      <w:r w:rsidR="006C025C">
        <w:rPr>
          <w:rFonts w:ascii="Arial" w:eastAsia="Times New Roman" w:hAnsi="Arial" w:cs="Arial"/>
          <w:bCs/>
          <w:spacing w:val="10"/>
          <w:lang w:val="es-ES_tradnl" w:eastAsia="es-ES"/>
        </w:rPr>
        <w:t>.</w:t>
      </w:r>
      <w:r w:rsidR="00F60DD2">
        <w:rPr>
          <w:rFonts w:ascii="Arial" w:eastAsia="Times New Roman" w:hAnsi="Arial" w:cs="Arial"/>
          <w:bCs/>
          <w:spacing w:val="10"/>
          <w:lang w:val="es-ES_tradnl" w:eastAsia="es-ES"/>
        </w:rPr>
        <w:t xml:space="preserve"> La proporción de los desocupados con una duración en </w:t>
      </w:r>
      <w:r w:rsidR="00E828E9">
        <w:rPr>
          <w:rFonts w:ascii="Arial" w:eastAsia="Times New Roman" w:hAnsi="Arial" w:cs="Arial"/>
          <w:bCs/>
          <w:spacing w:val="10"/>
          <w:lang w:val="es-ES_tradnl" w:eastAsia="es-ES"/>
        </w:rPr>
        <w:t>la búsqueda</w:t>
      </w:r>
      <w:r w:rsidR="00F60DD2">
        <w:rPr>
          <w:rFonts w:ascii="Arial" w:eastAsia="Times New Roman" w:hAnsi="Arial" w:cs="Arial"/>
          <w:bCs/>
          <w:spacing w:val="10"/>
          <w:lang w:val="es-ES_tradnl" w:eastAsia="es-ES"/>
        </w:rPr>
        <w:t xml:space="preserve"> de trabajo </w:t>
      </w:r>
      <w:bookmarkStart w:id="5" w:name="_Hlk49934937"/>
      <w:r w:rsidR="00F60DD2">
        <w:rPr>
          <w:rFonts w:ascii="Arial" w:eastAsia="Times New Roman" w:hAnsi="Arial" w:cs="Arial"/>
          <w:bCs/>
          <w:spacing w:val="10"/>
          <w:lang w:val="es-ES_tradnl" w:eastAsia="es-ES"/>
        </w:rPr>
        <w:t xml:space="preserve">de más </w:t>
      </w:r>
      <w:r w:rsidR="00F44A4A">
        <w:rPr>
          <w:rFonts w:ascii="Arial" w:eastAsia="Times New Roman" w:hAnsi="Arial" w:cs="Arial"/>
          <w:bCs/>
          <w:spacing w:val="10"/>
          <w:lang w:val="es-ES_tradnl" w:eastAsia="es-ES"/>
        </w:rPr>
        <w:t>de</w:t>
      </w:r>
      <w:r w:rsidR="00F60DD2">
        <w:rPr>
          <w:rFonts w:ascii="Arial" w:eastAsia="Times New Roman" w:hAnsi="Arial" w:cs="Arial"/>
          <w:bCs/>
          <w:spacing w:val="10"/>
          <w:lang w:val="es-ES_tradnl" w:eastAsia="es-ES"/>
        </w:rPr>
        <w:t xml:space="preserve"> tres meses </w:t>
      </w:r>
      <w:r w:rsidR="00E20C94">
        <w:rPr>
          <w:rFonts w:ascii="Arial" w:eastAsia="Times New Roman" w:hAnsi="Arial" w:cs="Arial"/>
          <w:bCs/>
          <w:spacing w:val="10"/>
          <w:lang w:val="es-ES_tradnl" w:eastAsia="es-ES"/>
        </w:rPr>
        <w:t>fue de</w:t>
      </w:r>
      <w:r w:rsidR="00F60DD2">
        <w:rPr>
          <w:rFonts w:ascii="Arial" w:eastAsia="Times New Roman" w:hAnsi="Arial" w:cs="Arial"/>
          <w:bCs/>
          <w:spacing w:val="10"/>
          <w:lang w:val="es-ES_tradnl" w:eastAsia="es-ES"/>
        </w:rPr>
        <w:t xml:space="preserve"> </w:t>
      </w:r>
      <w:r w:rsidR="00F44A4A">
        <w:rPr>
          <w:rFonts w:ascii="Arial" w:eastAsia="Times New Roman" w:hAnsi="Arial" w:cs="Arial"/>
          <w:bCs/>
          <w:spacing w:val="10"/>
          <w:lang w:val="es-ES_tradnl" w:eastAsia="es-ES"/>
        </w:rPr>
        <w:t>18.4</w:t>
      </w:r>
      <w:r w:rsidR="00F60DD2">
        <w:rPr>
          <w:rFonts w:ascii="Arial" w:eastAsia="Times New Roman" w:hAnsi="Arial" w:cs="Arial"/>
          <w:bCs/>
          <w:spacing w:val="10"/>
          <w:lang w:val="es-ES_tradnl" w:eastAsia="es-ES"/>
        </w:rPr>
        <w:t xml:space="preserve">%, </w:t>
      </w:r>
      <w:r w:rsidR="00F44A4A">
        <w:rPr>
          <w:rFonts w:ascii="Arial" w:eastAsia="Times New Roman" w:hAnsi="Arial" w:cs="Arial"/>
          <w:bCs/>
          <w:spacing w:val="10"/>
          <w:lang w:val="es-ES_tradnl" w:eastAsia="es-ES"/>
        </w:rPr>
        <w:t>6.3</w:t>
      </w:r>
      <w:r w:rsidR="00F60DD2">
        <w:rPr>
          <w:rFonts w:ascii="Arial" w:eastAsia="Times New Roman" w:hAnsi="Arial" w:cs="Arial"/>
          <w:bCs/>
          <w:spacing w:val="10"/>
          <w:lang w:val="es-ES_tradnl" w:eastAsia="es-ES"/>
        </w:rPr>
        <w:t xml:space="preserve"> puntos porcentuales </w:t>
      </w:r>
      <w:r w:rsidR="00F44A4A">
        <w:rPr>
          <w:rFonts w:ascii="Arial" w:eastAsia="Times New Roman" w:hAnsi="Arial" w:cs="Arial"/>
          <w:bCs/>
          <w:spacing w:val="10"/>
          <w:lang w:val="es-ES_tradnl" w:eastAsia="es-ES"/>
        </w:rPr>
        <w:t>mayor</w:t>
      </w:r>
      <w:r w:rsidR="006C025C">
        <w:rPr>
          <w:rFonts w:ascii="Arial" w:eastAsia="Times New Roman" w:hAnsi="Arial" w:cs="Arial"/>
          <w:bCs/>
          <w:spacing w:val="10"/>
          <w:lang w:val="es-ES_tradnl" w:eastAsia="es-ES"/>
        </w:rPr>
        <w:t xml:space="preserve"> que en </w:t>
      </w:r>
      <w:r w:rsidR="00F44A4A">
        <w:rPr>
          <w:rFonts w:ascii="Arial" w:eastAsia="Times New Roman" w:hAnsi="Arial" w:cs="Arial"/>
          <w:bCs/>
          <w:spacing w:val="10"/>
          <w:lang w:val="es-ES_tradnl" w:eastAsia="es-ES"/>
        </w:rPr>
        <w:t>junio</w:t>
      </w:r>
      <w:r w:rsidR="006C025C">
        <w:rPr>
          <w:rFonts w:ascii="Arial" w:eastAsia="Times New Roman" w:hAnsi="Arial" w:cs="Arial"/>
          <w:bCs/>
          <w:spacing w:val="10"/>
          <w:lang w:val="es-ES_tradnl" w:eastAsia="es-ES"/>
        </w:rPr>
        <w:t xml:space="preserve"> de </w:t>
      </w:r>
      <w:r w:rsidR="00F60DD2">
        <w:rPr>
          <w:rFonts w:ascii="Arial" w:eastAsia="Times New Roman" w:hAnsi="Arial" w:cs="Arial"/>
          <w:bCs/>
          <w:spacing w:val="10"/>
          <w:lang w:val="es-ES_tradnl" w:eastAsia="es-ES"/>
        </w:rPr>
        <w:t>2020.</w:t>
      </w:r>
      <w:bookmarkEnd w:id="5"/>
    </w:p>
    <w:p w14:paraId="5FDA0447" w14:textId="77777777" w:rsidR="00DC4022" w:rsidRPr="00F60DD2" w:rsidRDefault="00DC4022" w:rsidP="00252EDE">
      <w:pPr>
        <w:spacing w:after="0" w:line="240" w:lineRule="auto"/>
        <w:ind w:right="49"/>
        <w:jc w:val="both"/>
        <w:rPr>
          <w:rFonts w:ascii="Arial" w:eastAsia="Times New Roman" w:hAnsi="Arial" w:cs="Arial"/>
          <w:bCs/>
          <w:spacing w:val="10"/>
          <w:lang w:val="es-ES_tradnl" w:eastAsia="es-ES"/>
        </w:rPr>
      </w:pPr>
    </w:p>
    <w:p w14:paraId="49E312D3" w14:textId="77777777" w:rsidR="0074035D" w:rsidRDefault="00252EDE" w:rsidP="00CC5E3A">
      <w:pPr>
        <w:pStyle w:val="n0"/>
        <w:keepLines w:val="0"/>
        <w:widowControl w:val="0"/>
        <w:spacing w:before="0"/>
        <w:ind w:left="0" w:right="49" w:firstLine="0"/>
        <w:jc w:val="center"/>
        <w:rPr>
          <w:b/>
          <w:smallCaps/>
          <w:color w:val="auto"/>
          <w:sz w:val="22"/>
          <w:szCs w:val="22"/>
        </w:rPr>
      </w:pPr>
      <w:r w:rsidRPr="0046490F">
        <w:rPr>
          <w:b/>
          <w:smallCaps/>
          <w:color w:val="auto"/>
          <w:sz w:val="22"/>
          <w:szCs w:val="22"/>
        </w:rPr>
        <w:t xml:space="preserve">Población </w:t>
      </w:r>
      <w:r>
        <w:rPr>
          <w:b/>
          <w:smallCaps/>
          <w:color w:val="auto"/>
          <w:sz w:val="22"/>
          <w:szCs w:val="22"/>
        </w:rPr>
        <w:t>des</w:t>
      </w:r>
      <w:r w:rsidRPr="0046490F">
        <w:rPr>
          <w:b/>
          <w:smallCaps/>
          <w:color w:val="auto"/>
          <w:sz w:val="22"/>
          <w:szCs w:val="22"/>
        </w:rPr>
        <w:t xml:space="preserve">ocupada según </w:t>
      </w:r>
      <w:r>
        <w:rPr>
          <w:b/>
          <w:smallCaps/>
          <w:color w:val="auto"/>
          <w:sz w:val="22"/>
          <w:szCs w:val="22"/>
        </w:rPr>
        <w:t>duración en la desocupación</w:t>
      </w:r>
    </w:p>
    <w:p w14:paraId="27560C3C" w14:textId="77777777" w:rsidR="00252EDE" w:rsidRPr="0046490F" w:rsidRDefault="00252EDE" w:rsidP="00CC5E3A">
      <w:pPr>
        <w:pStyle w:val="n0"/>
        <w:keepLines w:val="0"/>
        <w:widowControl w:val="0"/>
        <w:spacing w:before="0"/>
        <w:ind w:left="0" w:right="49" w:firstLine="0"/>
        <w:jc w:val="center"/>
        <w:rPr>
          <w:b/>
          <w:smallCaps/>
          <w:color w:val="auto"/>
          <w:sz w:val="22"/>
          <w:szCs w:val="22"/>
        </w:rPr>
      </w:pPr>
      <w:r>
        <w:rPr>
          <w:b/>
          <w:smallCaps/>
          <w:color w:val="auto"/>
          <w:sz w:val="22"/>
          <w:szCs w:val="22"/>
        </w:rPr>
        <w:t xml:space="preserve">durante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46490F">
        <w:rPr>
          <w:b/>
          <w:smallCaps/>
          <w:color w:val="auto"/>
          <w:sz w:val="22"/>
          <w:szCs w:val="22"/>
        </w:rPr>
        <w:t xml:space="preserve"> de 2020</w:t>
      </w:r>
    </w:p>
    <w:p w14:paraId="2B201CA2" w14:textId="77777777" w:rsidR="00CC5E3A" w:rsidRDefault="00252EDE" w:rsidP="00CC5E3A">
      <w:pPr>
        <w:spacing w:after="0" w:line="240" w:lineRule="auto"/>
        <w:ind w:right="51"/>
        <w:jc w:val="center"/>
        <w:rPr>
          <w:rFonts w:ascii="Arial" w:hAnsi="Arial" w:cs="Arial"/>
          <w:smallCaps/>
          <w:sz w:val="20"/>
        </w:rPr>
      </w:pPr>
      <w:r w:rsidRPr="0002273A">
        <w:rPr>
          <w:rFonts w:ascii="Arial" w:hAnsi="Arial" w:cs="Arial"/>
          <w:smallCaps/>
          <w:sz w:val="20"/>
        </w:rPr>
        <w:t>(Porcentaje)</w:t>
      </w:r>
    </w:p>
    <w:p w14:paraId="6F68726B" w14:textId="77777777" w:rsidR="0039067D" w:rsidRDefault="00DB4F74" w:rsidP="00CC5E3A">
      <w:pPr>
        <w:spacing w:after="0" w:line="240" w:lineRule="auto"/>
        <w:ind w:right="51"/>
        <w:jc w:val="center"/>
        <w:rPr>
          <w:rFonts w:ascii="Arial" w:hAnsi="Arial" w:cs="Arial"/>
          <w:smallCaps/>
          <w:sz w:val="20"/>
        </w:rPr>
      </w:pPr>
      <w:r w:rsidRPr="00DB4F74">
        <w:rPr>
          <w:noProof/>
          <w:lang w:eastAsia="es-MX"/>
        </w:rPr>
        <w:drawing>
          <wp:inline distT="0" distB="0" distL="0" distR="0" wp14:anchorId="0A830987" wp14:editId="601139BC">
            <wp:extent cx="5612130" cy="1610889"/>
            <wp:effectExtent l="0" t="0" r="7620" b="889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1610889"/>
                    </a:xfrm>
                    <a:prstGeom prst="rect">
                      <a:avLst/>
                    </a:prstGeom>
                    <a:noFill/>
                    <a:ln>
                      <a:noFill/>
                    </a:ln>
                  </pic:spPr>
                </pic:pic>
              </a:graphicData>
            </a:graphic>
          </wp:inline>
        </w:drawing>
      </w:r>
    </w:p>
    <w:p w14:paraId="14FA678A" w14:textId="77777777" w:rsidR="00AE2C98"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6562C590" w14:textId="77777777" w:rsidR="00B7794A" w:rsidRDefault="00AE2C98"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19421A81"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17FF7DA3" w14:textId="77777777" w:rsidR="001F4770" w:rsidRPr="00C63172" w:rsidRDefault="001F4770" w:rsidP="00D23113">
      <w:pPr>
        <w:pStyle w:val="n0"/>
        <w:keepLines w:val="0"/>
        <w:widowControl w:val="0"/>
        <w:spacing w:before="0"/>
        <w:ind w:left="0" w:right="49" w:firstLine="0"/>
        <w:jc w:val="left"/>
        <w:rPr>
          <w:b/>
          <w:smallCaps/>
          <w:color w:val="auto"/>
          <w:sz w:val="22"/>
          <w:szCs w:val="22"/>
        </w:rPr>
      </w:pPr>
    </w:p>
    <w:p w14:paraId="470859CA" w14:textId="77777777" w:rsidR="00252EDE" w:rsidRPr="00C63172" w:rsidRDefault="00252EDE" w:rsidP="00D23113">
      <w:pPr>
        <w:pStyle w:val="n0"/>
        <w:keepLines w:val="0"/>
        <w:widowControl w:val="0"/>
        <w:spacing w:before="0"/>
        <w:ind w:left="0" w:right="49" w:firstLine="0"/>
        <w:jc w:val="left"/>
        <w:rPr>
          <w:b/>
          <w:smallCaps/>
          <w:color w:val="auto"/>
          <w:sz w:val="22"/>
          <w:szCs w:val="22"/>
        </w:rPr>
      </w:pPr>
      <w:r w:rsidRPr="00C63172">
        <w:rPr>
          <w:b/>
          <w:smallCaps/>
          <w:color w:val="auto"/>
          <w:sz w:val="22"/>
          <w:szCs w:val="22"/>
        </w:rPr>
        <w:t>tasas complementarias</w:t>
      </w:r>
    </w:p>
    <w:p w14:paraId="266980E3" w14:textId="77777777" w:rsidR="00252EDE" w:rsidRPr="006E2E20" w:rsidRDefault="00252EDE" w:rsidP="00252EDE">
      <w:pPr>
        <w:pStyle w:val="n0"/>
        <w:keepLines w:val="0"/>
        <w:widowControl w:val="0"/>
        <w:spacing w:before="0"/>
        <w:ind w:left="0" w:right="49" w:firstLine="0"/>
        <w:rPr>
          <w:b/>
          <w:smallCaps/>
          <w:color w:val="auto"/>
          <w:sz w:val="22"/>
          <w:szCs w:val="22"/>
        </w:rPr>
      </w:pPr>
    </w:p>
    <w:p w14:paraId="38824A86" w14:textId="1456DCAC" w:rsidR="00252EDE" w:rsidRDefault="00D23113" w:rsidP="00C63172">
      <w:pPr>
        <w:pStyle w:val="n0"/>
        <w:keepLines w:val="0"/>
        <w:spacing w:before="0"/>
        <w:ind w:left="0" w:right="51" w:firstLine="0"/>
        <w:contextualSpacing/>
        <w:rPr>
          <w:bCs/>
          <w:color w:val="auto"/>
          <w:spacing w:val="10"/>
          <w:sz w:val="22"/>
          <w:szCs w:val="22"/>
        </w:rPr>
      </w:pPr>
      <w:r>
        <w:rPr>
          <w:bCs/>
          <w:color w:val="auto"/>
          <w:spacing w:val="10"/>
          <w:sz w:val="22"/>
          <w:szCs w:val="22"/>
        </w:rPr>
        <w:t xml:space="preserve">En </w:t>
      </w:r>
      <w:r w:rsidR="007775FD">
        <w:rPr>
          <w:bCs/>
          <w:color w:val="auto"/>
          <w:spacing w:val="10"/>
          <w:sz w:val="22"/>
          <w:szCs w:val="22"/>
        </w:rPr>
        <w:t xml:space="preserve">adición </w:t>
      </w:r>
      <w:r w:rsidR="00252EDE" w:rsidRPr="00BD02DC">
        <w:rPr>
          <w:bCs/>
          <w:color w:val="auto"/>
          <w:spacing w:val="10"/>
          <w:sz w:val="22"/>
          <w:szCs w:val="22"/>
        </w:rPr>
        <w:t xml:space="preserve">a las tasas </w:t>
      </w:r>
      <w:r w:rsidR="007775FD">
        <w:rPr>
          <w:bCs/>
          <w:color w:val="auto"/>
          <w:spacing w:val="10"/>
          <w:sz w:val="22"/>
          <w:szCs w:val="22"/>
        </w:rPr>
        <w:t>anteriores</w:t>
      </w:r>
      <w:r w:rsidR="00252EDE" w:rsidRPr="00BD02DC">
        <w:rPr>
          <w:bCs/>
          <w:color w:val="auto"/>
          <w:spacing w:val="10"/>
          <w:sz w:val="22"/>
          <w:szCs w:val="22"/>
        </w:rPr>
        <w:t xml:space="preserve">, </w:t>
      </w:r>
      <w:r w:rsidR="00E828E9">
        <w:rPr>
          <w:bCs/>
          <w:color w:val="auto"/>
          <w:spacing w:val="10"/>
          <w:sz w:val="22"/>
          <w:szCs w:val="22"/>
        </w:rPr>
        <w:t xml:space="preserve">a </w:t>
      </w:r>
      <w:r w:rsidR="007775FD">
        <w:rPr>
          <w:bCs/>
          <w:color w:val="auto"/>
          <w:spacing w:val="10"/>
          <w:sz w:val="22"/>
          <w:szCs w:val="22"/>
        </w:rPr>
        <w:t>continuación,</w:t>
      </w:r>
      <w:r w:rsidR="00E828E9">
        <w:rPr>
          <w:bCs/>
          <w:color w:val="auto"/>
          <w:spacing w:val="10"/>
          <w:sz w:val="22"/>
          <w:szCs w:val="22"/>
        </w:rPr>
        <w:t xml:space="preserve"> se presenta un conjunto de tasas complementarias </w:t>
      </w:r>
      <w:r w:rsidR="00252EDE" w:rsidRPr="00BD02DC">
        <w:rPr>
          <w:bCs/>
          <w:color w:val="auto"/>
          <w:spacing w:val="10"/>
          <w:sz w:val="22"/>
          <w:szCs w:val="22"/>
        </w:rPr>
        <w:t>que permiten ampliar el análisis de la ocupación y el empleo</w:t>
      </w:r>
      <w:r w:rsidR="00F44A4A">
        <w:rPr>
          <w:bCs/>
          <w:color w:val="auto"/>
          <w:spacing w:val="10"/>
          <w:sz w:val="22"/>
          <w:szCs w:val="22"/>
        </w:rPr>
        <w:t xml:space="preserve"> durante julio de 2020</w:t>
      </w:r>
      <w:r w:rsidR="00252EDE" w:rsidRPr="00BD02DC">
        <w:rPr>
          <w:bCs/>
          <w:color w:val="auto"/>
          <w:spacing w:val="10"/>
          <w:sz w:val="22"/>
          <w:szCs w:val="22"/>
        </w:rPr>
        <w:t xml:space="preserve">. </w:t>
      </w:r>
      <w:r w:rsidR="007775FD">
        <w:rPr>
          <w:bCs/>
          <w:color w:val="auto"/>
          <w:spacing w:val="10"/>
          <w:sz w:val="22"/>
          <w:szCs w:val="22"/>
        </w:rPr>
        <w:t xml:space="preserve">Con </w:t>
      </w:r>
      <w:r w:rsidR="00252EDE">
        <w:rPr>
          <w:bCs/>
          <w:color w:val="auto"/>
          <w:spacing w:val="10"/>
          <w:sz w:val="22"/>
          <w:szCs w:val="22"/>
        </w:rPr>
        <w:t>relación a l</w:t>
      </w:r>
      <w:r w:rsidR="00252EDE" w:rsidRPr="00BD02DC">
        <w:rPr>
          <w:bCs/>
          <w:color w:val="auto"/>
          <w:spacing w:val="10"/>
          <w:sz w:val="22"/>
          <w:szCs w:val="22"/>
        </w:rPr>
        <w:t xml:space="preserve">a presión sobre el mercado laboral, </w:t>
      </w:r>
      <w:r>
        <w:rPr>
          <w:bCs/>
          <w:color w:val="auto"/>
          <w:spacing w:val="10"/>
          <w:sz w:val="22"/>
          <w:szCs w:val="22"/>
        </w:rPr>
        <w:t>tenemos</w:t>
      </w:r>
      <w:r w:rsidR="00252EDE" w:rsidRPr="00BD02DC">
        <w:rPr>
          <w:bCs/>
          <w:color w:val="auto"/>
          <w:spacing w:val="10"/>
          <w:sz w:val="22"/>
          <w:szCs w:val="22"/>
        </w:rPr>
        <w:t xml:space="preserve"> la tasa de ocupación parcial y desocupación y la tasa de presión general.</w:t>
      </w:r>
    </w:p>
    <w:p w14:paraId="1D64FAFC" w14:textId="77777777" w:rsidR="00DC4022" w:rsidRDefault="00252EDE" w:rsidP="00DC4022">
      <w:pPr>
        <w:pStyle w:val="n0"/>
        <w:keepLines w:val="0"/>
        <w:widowControl w:val="0"/>
        <w:spacing w:before="0"/>
        <w:ind w:left="0" w:right="49" w:firstLine="0"/>
        <w:contextualSpacing/>
        <w:rPr>
          <w:bCs/>
          <w:color w:val="auto"/>
          <w:spacing w:val="10"/>
          <w:sz w:val="22"/>
          <w:szCs w:val="22"/>
        </w:rPr>
      </w:pPr>
      <w:r w:rsidRPr="00BD02DC">
        <w:rPr>
          <w:bCs/>
          <w:color w:val="auto"/>
          <w:spacing w:val="10"/>
          <w:sz w:val="22"/>
          <w:szCs w:val="22"/>
        </w:rPr>
        <w:t xml:space="preserve">La Tasa de Ocupación Parcial y Desocupación (TOPD1) considera a la población desocupada y la ocupada que trabajó menos de 15 horas a la semana, respecto a </w:t>
      </w:r>
      <w:r w:rsidRPr="00D23113">
        <w:rPr>
          <w:bCs/>
          <w:color w:val="auto"/>
          <w:spacing w:val="10"/>
          <w:sz w:val="22"/>
          <w:szCs w:val="22"/>
        </w:rPr>
        <w:t xml:space="preserve">la población económicamente activa. </w:t>
      </w:r>
      <w:r w:rsidR="00E20C94">
        <w:rPr>
          <w:bCs/>
          <w:color w:val="auto"/>
          <w:spacing w:val="10"/>
          <w:sz w:val="22"/>
          <w:szCs w:val="22"/>
        </w:rPr>
        <w:t xml:space="preserve">Durante el mes de </w:t>
      </w:r>
      <w:r w:rsidR="00343375">
        <w:rPr>
          <w:bCs/>
          <w:color w:val="auto"/>
          <w:spacing w:val="10"/>
          <w:sz w:val="22"/>
          <w:szCs w:val="22"/>
        </w:rPr>
        <w:t>ju</w:t>
      </w:r>
      <w:r w:rsidR="00F44A4A">
        <w:rPr>
          <w:bCs/>
          <w:color w:val="auto"/>
          <w:spacing w:val="10"/>
          <w:sz w:val="22"/>
          <w:szCs w:val="22"/>
        </w:rPr>
        <w:t>l</w:t>
      </w:r>
      <w:r w:rsidR="00343375">
        <w:rPr>
          <w:bCs/>
          <w:color w:val="auto"/>
          <w:spacing w:val="10"/>
          <w:sz w:val="22"/>
          <w:szCs w:val="22"/>
        </w:rPr>
        <w:t>io</w:t>
      </w:r>
      <w:r w:rsidR="00E20C94">
        <w:rPr>
          <w:bCs/>
          <w:color w:val="auto"/>
          <w:spacing w:val="10"/>
          <w:sz w:val="22"/>
          <w:szCs w:val="22"/>
        </w:rPr>
        <w:t xml:space="preserve"> esta tasa fue de </w:t>
      </w:r>
      <w:r w:rsidR="00F44A4A">
        <w:rPr>
          <w:bCs/>
          <w:color w:val="auto"/>
          <w:spacing w:val="10"/>
          <w:sz w:val="22"/>
          <w:szCs w:val="22"/>
        </w:rPr>
        <w:t>12.3</w:t>
      </w:r>
      <w:r w:rsidRPr="00D23113">
        <w:rPr>
          <w:bCs/>
          <w:color w:val="auto"/>
          <w:spacing w:val="10"/>
          <w:sz w:val="22"/>
          <w:szCs w:val="22"/>
        </w:rPr>
        <w:t>%</w:t>
      </w:r>
      <w:r w:rsidR="00E20C94">
        <w:rPr>
          <w:bCs/>
          <w:color w:val="auto"/>
          <w:spacing w:val="10"/>
          <w:sz w:val="22"/>
          <w:szCs w:val="22"/>
        </w:rPr>
        <w:t>,</w:t>
      </w:r>
      <w:r w:rsidRPr="00D23113">
        <w:rPr>
          <w:bCs/>
          <w:color w:val="auto"/>
          <w:spacing w:val="10"/>
          <w:sz w:val="22"/>
          <w:szCs w:val="22"/>
        </w:rPr>
        <w:t xml:space="preserve"> </w:t>
      </w:r>
      <w:r w:rsidR="00E20C94">
        <w:rPr>
          <w:bCs/>
          <w:color w:val="auto"/>
          <w:spacing w:val="10"/>
          <w:sz w:val="22"/>
          <w:szCs w:val="22"/>
        </w:rPr>
        <w:t xml:space="preserve">siendo </w:t>
      </w:r>
      <w:r w:rsidR="0025075E">
        <w:rPr>
          <w:bCs/>
          <w:color w:val="auto"/>
          <w:spacing w:val="10"/>
          <w:sz w:val="22"/>
          <w:szCs w:val="22"/>
        </w:rPr>
        <w:t xml:space="preserve">en los hombres de </w:t>
      </w:r>
      <w:r w:rsidR="00F44A4A">
        <w:rPr>
          <w:bCs/>
          <w:color w:val="auto"/>
          <w:spacing w:val="10"/>
          <w:sz w:val="22"/>
          <w:szCs w:val="22"/>
        </w:rPr>
        <w:t>9.2</w:t>
      </w:r>
      <w:r w:rsidR="0025075E">
        <w:rPr>
          <w:bCs/>
          <w:color w:val="auto"/>
          <w:spacing w:val="10"/>
          <w:sz w:val="22"/>
          <w:szCs w:val="22"/>
        </w:rPr>
        <w:t xml:space="preserve">% y en las mujeres de </w:t>
      </w:r>
      <w:r w:rsidR="00DF0204">
        <w:rPr>
          <w:bCs/>
          <w:color w:val="auto"/>
          <w:spacing w:val="10"/>
          <w:sz w:val="22"/>
          <w:szCs w:val="22"/>
        </w:rPr>
        <w:t>1</w:t>
      </w:r>
      <w:r w:rsidR="00F44A4A">
        <w:rPr>
          <w:bCs/>
          <w:color w:val="auto"/>
          <w:spacing w:val="10"/>
          <w:sz w:val="22"/>
          <w:szCs w:val="22"/>
        </w:rPr>
        <w:t>7.6</w:t>
      </w:r>
      <w:r w:rsidR="0025075E">
        <w:rPr>
          <w:bCs/>
          <w:color w:val="auto"/>
          <w:spacing w:val="10"/>
          <w:sz w:val="22"/>
          <w:szCs w:val="22"/>
        </w:rPr>
        <w:t xml:space="preserve"> por ciento.</w:t>
      </w:r>
    </w:p>
    <w:p w14:paraId="45FD4DAB" w14:textId="77777777" w:rsidR="00DF0204" w:rsidRDefault="00DF0204" w:rsidP="00DC4022">
      <w:pPr>
        <w:pStyle w:val="n0"/>
        <w:keepLines w:val="0"/>
        <w:widowControl w:val="0"/>
        <w:spacing w:before="0"/>
        <w:ind w:left="0" w:right="49" w:firstLine="0"/>
        <w:contextualSpacing/>
        <w:rPr>
          <w:bCs/>
          <w:color w:val="auto"/>
          <w:spacing w:val="10"/>
          <w:sz w:val="22"/>
          <w:szCs w:val="22"/>
        </w:rPr>
      </w:pPr>
    </w:p>
    <w:p w14:paraId="219974D6" w14:textId="77777777" w:rsidR="00252EDE" w:rsidRDefault="00252EDE" w:rsidP="00DC4022">
      <w:pPr>
        <w:pStyle w:val="n0"/>
        <w:keepLines w:val="0"/>
        <w:widowControl w:val="0"/>
        <w:spacing w:before="0"/>
        <w:ind w:left="0" w:right="49" w:firstLine="0"/>
        <w:contextualSpacing/>
        <w:rPr>
          <w:bCs/>
          <w:color w:val="auto"/>
          <w:spacing w:val="10"/>
          <w:sz w:val="22"/>
          <w:szCs w:val="22"/>
        </w:rPr>
      </w:pPr>
      <w:r w:rsidRPr="00D23113">
        <w:rPr>
          <w:bCs/>
          <w:color w:val="auto"/>
          <w:spacing w:val="10"/>
          <w:sz w:val="22"/>
          <w:szCs w:val="22"/>
        </w:rPr>
        <w:t>La Tasa de Presión General (TP</w:t>
      </w:r>
      <w:r w:rsidR="00B11292">
        <w:rPr>
          <w:bCs/>
          <w:color w:val="auto"/>
          <w:spacing w:val="10"/>
          <w:sz w:val="22"/>
          <w:szCs w:val="22"/>
        </w:rPr>
        <w:t>R</w:t>
      </w:r>
      <w:r w:rsidRPr="00D23113">
        <w:rPr>
          <w:bCs/>
          <w:color w:val="auto"/>
          <w:spacing w:val="10"/>
          <w:sz w:val="22"/>
          <w:szCs w:val="22"/>
        </w:rPr>
        <w:t xml:space="preserve">G), comprende a </w:t>
      </w:r>
      <w:r w:rsidR="00173607">
        <w:rPr>
          <w:bCs/>
          <w:color w:val="auto"/>
          <w:spacing w:val="10"/>
          <w:sz w:val="22"/>
          <w:szCs w:val="22"/>
        </w:rPr>
        <w:t xml:space="preserve">quienes están en desocupación abierta </w:t>
      </w:r>
      <w:r w:rsidRPr="00D23113">
        <w:rPr>
          <w:bCs/>
          <w:color w:val="auto"/>
          <w:spacing w:val="10"/>
          <w:sz w:val="22"/>
          <w:szCs w:val="22"/>
        </w:rPr>
        <w:t>y a los ocupados que buscan empleo adicional o para cambiar el actual</w:t>
      </w:r>
      <w:r w:rsidR="00AF2073" w:rsidRPr="00A83689">
        <w:rPr>
          <w:bCs/>
          <w:color w:val="auto"/>
          <w:spacing w:val="10"/>
          <w:sz w:val="22"/>
          <w:szCs w:val="22"/>
        </w:rPr>
        <w:t>,</w:t>
      </w:r>
      <w:r w:rsidRPr="00D23113">
        <w:rPr>
          <w:bCs/>
          <w:color w:val="auto"/>
          <w:spacing w:val="10"/>
          <w:sz w:val="22"/>
          <w:szCs w:val="22"/>
        </w:rPr>
        <w:t xml:space="preserve"> como proporción de la población económicamente activa. </w:t>
      </w:r>
      <w:r w:rsidR="00DE46F9">
        <w:rPr>
          <w:bCs/>
          <w:color w:val="auto"/>
          <w:spacing w:val="10"/>
          <w:sz w:val="22"/>
          <w:szCs w:val="22"/>
        </w:rPr>
        <w:t>E</w:t>
      </w:r>
      <w:r w:rsidRPr="00D23113">
        <w:rPr>
          <w:bCs/>
          <w:color w:val="auto"/>
          <w:spacing w:val="10"/>
          <w:sz w:val="22"/>
          <w:szCs w:val="22"/>
        </w:rPr>
        <w:t xml:space="preserve">sta tasa </w:t>
      </w:r>
      <w:r w:rsidR="00E20C94">
        <w:rPr>
          <w:bCs/>
          <w:color w:val="auto"/>
          <w:spacing w:val="10"/>
          <w:sz w:val="22"/>
          <w:szCs w:val="22"/>
        </w:rPr>
        <w:t>fue de</w:t>
      </w:r>
      <w:r w:rsidRPr="00D23113">
        <w:rPr>
          <w:bCs/>
          <w:color w:val="auto"/>
          <w:spacing w:val="10"/>
          <w:sz w:val="22"/>
          <w:szCs w:val="22"/>
        </w:rPr>
        <w:t xml:space="preserve"> </w:t>
      </w:r>
      <w:r w:rsidR="0000410E">
        <w:rPr>
          <w:bCs/>
          <w:color w:val="auto"/>
          <w:spacing w:val="10"/>
          <w:sz w:val="22"/>
          <w:szCs w:val="22"/>
        </w:rPr>
        <w:t>8.</w:t>
      </w:r>
      <w:r w:rsidR="00F44A4A">
        <w:rPr>
          <w:bCs/>
          <w:color w:val="auto"/>
          <w:spacing w:val="10"/>
          <w:sz w:val="22"/>
          <w:szCs w:val="22"/>
        </w:rPr>
        <w:t>4</w:t>
      </w:r>
      <w:r w:rsidRPr="00D23113">
        <w:rPr>
          <w:bCs/>
          <w:color w:val="auto"/>
          <w:spacing w:val="10"/>
          <w:sz w:val="22"/>
          <w:szCs w:val="22"/>
        </w:rPr>
        <w:t xml:space="preserve">% de la PEA en </w:t>
      </w:r>
      <w:r w:rsidR="00343375">
        <w:rPr>
          <w:bCs/>
          <w:color w:val="auto"/>
          <w:spacing w:val="10"/>
          <w:sz w:val="22"/>
          <w:szCs w:val="22"/>
        </w:rPr>
        <w:t>junio</w:t>
      </w:r>
      <w:r w:rsidRPr="00D23113">
        <w:rPr>
          <w:bCs/>
          <w:color w:val="auto"/>
          <w:spacing w:val="10"/>
          <w:sz w:val="22"/>
          <w:szCs w:val="22"/>
        </w:rPr>
        <w:t xml:space="preserve"> del presente año</w:t>
      </w:r>
      <w:r w:rsidR="00E20C94">
        <w:rPr>
          <w:bCs/>
          <w:color w:val="auto"/>
          <w:spacing w:val="10"/>
          <w:sz w:val="22"/>
          <w:szCs w:val="22"/>
        </w:rPr>
        <w:t>, observándose una</w:t>
      </w:r>
      <w:r w:rsidR="0025075E">
        <w:rPr>
          <w:bCs/>
          <w:color w:val="auto"/>
          <w:spacing w:val="10"/>
          <w:sz w:val="22"/>
          <w:szCs w:val="22"/>
        </w:rPr>
        <w:t xml:space="preserve"> TP</w:t>
      </w:r>
      <w:r w:rsidR="00B62178">
        <w:rPr>
          <w:bCs/>
          <w:color w:val="auto"/>
          <w:spacing w:val="10"/>
          <w:sz w:val="22"/>
          <w:szCs w:val="22"/>
        </w:rPr>
        <w:t>R</w:t>
      </w:r>
      <w:r w:rsidR="0025075E">
        <w:rPr>
          <w:bCs/>
          <w:color w:val="auto"/>
          <w:spacing w:val="10"/>
          <w:sz w:val="22"/>
          <w:szCs w:val="22"/>
        </w:rPr>
        <w:t xml:space="preserve">G masculina de </w:t>
      </w:r>
      <w:r w:rsidR="00F44A4A">
        <w:rPr>
          <w:bCs/>
          <w:color w:val="auto"/>
          <w:spacing w:val="10"/>
          <w:sz w:val="22"/>
          <w:szCs w:val="22"/>
        </w:rPr>
        <w:t>8.3</w:t>
      </w:r>
      <w:r w:rsidR="0025075E">
        <w:rPr>
          <w:bCs/>
          <w:color w:val="auto"/>
          <w:spacing w:val="10"/>
          <w:sz w:val="22"/>
          <w:szCs w:val="22"/>
        </w:rPr>
        <w:t>%, mientras que la femenina</w:t>
      </w:r>
      <w:r w:rsidR="00E20C94">
        <w:rPr>
          <w:bCs/>
          <w:color w:val="auto"/>
          <w:spacing w:val="10"/>
          <w:sz w:val="22"/>
          <w:szCs w:val="22"/>
        </w:rPr>
        <w:t xml:space="preserve"> fue de</w:t>
      </w:r>
      <w:r w:rsidR="0025075E">
        <w:rPr>
          <w:bCs/>
          <w:color w:val="auto"/>
          <w:spacing w:val="10"/>
          <w:sz w:val="22"/>
          <w:szCs w:val="22"/>
        </w:rPr>
        <w:t xml:space="preserve"> </w:t>
      </w:r>
      <w:r w:rsidR="00F44A4A">
        <w:rPr>
          <w:bCs/>
          <w:color w:val="auto"/>
          <w:spacing w:val="10"/>
          <w:sz w:val="22"/>
          <w:szCs w:val="22"/>
        </w:rPr>
        <w:t>8.5</w:t>
      </w:r>
      <w:r w:rsidR="0025075E">
        <w:rPr>
          <w:bCs/>
          <w:color w:val="auto"/>
          <w:spacing w:val="10"/>
          <w:sz w:val="22"/>
          <w:szCs w:val="22"/>
        </w:rPr>
        <w:t xml:space="preserve"> por ciento.</w:t>
      </w:r>
    </w:p>
    <w:p w14:paraId="1723F5CF" w14:textId="77777777" w:rsidR="00252EDE" w:rsidRDefault="00252EDE" w:rsidP="00252EDE">
      <w:pPr>
        <w:pStyle w:val="n0"/>
        <w:keepLines w:val="0"/>
        <w:widowControl w:val="0"/>
        <w:spacing w:before="0"/>
        <w:ind w:left="0" w:right="49" w:firstLine="0"/>
        <w:contextualSpacing/>
        <w:rPr>
          <w:bCs/>
          <w:color w:val="auto"/>
          <w:spacing w:val="10"/>
          <w:sz w:val="22"/>
          <w:szCs w:val="22"/>
        </w:rPr>
      </w:pPr>
    </w:p>
    <w:p w14:paraId="5999C54A" w14:textId="77777777" w:rsidR="00D77606" w:rsidRDefault="00F44A4A" w:rsidP="00252EDE">
      <w:pPr>
        <w:pStyle w:val="n0"/>
        <w:keepLines w:val="0"/>
        <w:widowControl w:val="0"/>
        <w:spacing w:before="0"/>
        <w:ind w:left="0" w:right="49" w:firstLine="0"/>
        <w:contextualSpacing/>
        <w:rPr>
          <w:color w:val="auto"/>
          <w:sz w:val="22"/>
          <w:szCs w:val="22"/>
        </w:rPr>
      </w:pPr>
      <w:r>
        <w:rPr>
          <w:bCs/>
          <w:color w:val="auto"/>
          <w:spacing w:val="10"/>
          <w:sz w:val="22"/>
          <w:szCs w:val="22"/>
        </w:rPr>
        <w:t>El</w:t>
      </w:r>
      <w:r w:rsidR="00252EDE">
        <w:rPr>
          <w:bCs/>
          <w:color w:val="auto"/>
          <w:spacing w:val="10"/>
          <w:sz w:val="22"/>
          <w:szCs w:val="22"/>
        </w:rPr>
        <w:t xml:space="preserve"> conjunto de tasas que ofrecen una mirada sobre la ocupación informal y la ocupación en el sector informal en todas las actividades económicas</w:t>
      </w:r>
      <w:r>
        <w:rPr>
          <w:bCs/>
          <w:color w:val="auto"/>
          <w:spacing w:val="10"/>
          <w:sz w:val="22"/>
          <w:szCs w:val="22"/>
        </w:rPr>
        <w:t xml:space="preserve"> son: l</w:t>
      </w:r>
      <w:r w:rsidR="00252EDE">
        <w:rPr>
          <w:bCs/>
          <w:color w:val="auto"/>
          <w:spacing w:val="10"/>
          <w:sz w:val="22"/>
          <w:szCs w:val="22"/>
        </w:rPr>
        <w:t xml:space="preserve">a </w:t>
      </w:r>
      <w:r w:rsidR="00252EDE" w:rsidRPr="00CC15D8">
        <w:rPr>
          <w:color w:val="auto"/>
          <w:sz w:val="22"/>
          <w:szCs w:val="22"/>
        </w:rPr>
        <w:t>Tasa de Informalidad Laboral 1 (TIL1), que comprende a los ocupados que son laboralmente vulnerables por la naturaleza de la unidad económica para la que trabajan</w:t>
      </w:r>
      <w:r w:rsidR="00121E72">
        <w:rPr>
          <w:color w:val="auto"/>
          <w:sz w:val="22"/>
          <w:szCs w:val="22"/>
        </w:rPr>
        <w:t>,</w:t>
      </w:r>
      <w:r w:rsidR="00AF4D07">
        <w:rPr>
          <w:color w:val="auto"/>
          <w:sz w:val="22"/>
          <w:szCs w:val="22"/>
        </w:rPr>
        <w:t xml:space="preserve"> así</w:t>
      </w:r>
      <w:r w:rsidR="00252EDE" w:rsidRPr="00CC15D8">
        <w:rPr>
          <w:color w:val="auto"/>
          <w:sz w:val="22"/>
          <w:szCs w:val="22"/>
        </w:rPr>
        <w:t xml:space="preserve"> como aquellos cuyo vínculo o dependencia laboral no es reconocido por su fuente de trabajo. </w:t>
      </w:r>
      <w:r w:rsidR="00E20C94">
        <w:rPr>
          <w:color w:val="auto"/>
          <w:sz w:val="22"/>
          <w:szCs w:val="22"/>
        </w:rPr>
        <w:t xml:space="preserve">Durante </w:t>
      </w:r>
      <w:r w:rsidR="00343375">
        <w:rPr>
          <w:color w:val="auto"/>
          <w:sz w:val="22"/>
          <w:szCs w:val="22"/>
        </w:rPr>
        <w:t>ju</w:t>
      </w:r>
      <w:r>
        <w:rPr>
          <w:color w:val="auto"/>
          <w:sz w:val="22"/>
          <w:szCs w:val="22"/>
        </w:rPr>
        <w:t>l</w:t>
      </w:r>
      <w:r w:rsidR="00343375">
        <w:rPr>
          <w:color w:val="auto"/>
          <w:sz w:val="22"/>
          <w:szCs w:val="22"/>
        </w:rPr>
        <w:t>io</w:t>
      </w:r>
      <w:r w:rsidR="00E20C94">
        <w:rPr>
          <w:color w:val="auto"/>
          <w:sz w:val="22"/>
          <w:szCs w:val="22"/>
        </w:rPr>
        <w:t xml:space="preserve"> </w:t>
      </w:r>
      <w:r>
        <w:rPr>
          <w:color w:val="auto"/>
          <w:sz w:val="22"/>
          <w:szCs w:val="22"/>
        </w:rPr>
        <w:t xml:space="preserve">de 2020 </w:t>
      </w:r>
      <w:r w:rsidR="00E20C94">
        <w:rPr>
          <w:color w:val="auto"/>
          <w:sz w:val="22"/>
          <w:szCs w:val="22"/>
        </w:rPr>
        <w:t>la TIL1 fue de</w:t>
      </w:r>
      <w:r w:rsidR="00252EDE" w:rsidRPr="00CC15D8">
        <w:rPr>
          <w:color w:val="auto"/>
          <w:sz w:val="22"/>
          <w:szCs w:val="22"/>
        </w:rPr>
        <w:t xml:space="preserve"> </w:t>
      </w:r>
      <w:r>
        <w:rPr>
          <w:color w:val="auto"/>
          <w:sz w:val="22"/>
          <w:szCs w:val="22"/>
        </w:rPr>
        <w:t>54.9</w:t>
      </w:r>
      <w:r w:rsidR="00252EDE" w:rsidRPr="00CC15D8">
        <w:rPr>
          <w:color w:val="auto"/>
          <w:sz w:val="22"/>
          <w:szCs w:val="22"/>
        </w:rPr>
        <w:t xml:space="preserve">% de la población ocupada, </w:t>
      </w:r>
      <w:r w:rsidR="006C6854">
        <w:rPr>
          <w:color w:val="auto"/>
          <w:sz w:val="22"/>
          <w:szCs w:val="22"/>
        </w:rPr>
        <w:t>1.</w:t>
      </w:r>
      <w:r>
        <w:rPr>
          <w:color w:val="auto"/>
          <w:sz w:val="22"/>
          <w:szCs w:val="22"/>
        </w:rPr>
        <w:t>9</w:t>
      </w:r>
      <w:r w:rsidR="00252EDE" w:rsidRPr="00CC15D8">
        <w:rPr>
          <w:color w:val="auto"/>
          <w:sz w:val="22"/>
          <w:szCs w:val="22"/>
        </w:rPr>
        <w:t xml:space="preserve"> puntos porcentuales </w:t>
      </w:r>
      <w:r w:rsidR="006C6854">
        <w:rPr>
          <w:color w:val="auto"/>
          <w:sz w:val="22"/>
          <w:szCs w:val="22"/>
        </w:rPr>
        <w:t>mayor</w:t>
      </w:r>
      <w:r w:rsidR="00252EDE" w:rsidRPr="00CC15D8">
        <w:rPr>
          <w:color w:val="auto"/>
          <w:sz w:val="22"/>
          <w:szCs w:val="22"/>
        </w:rPr>
        <w:t xml:space="preserve"> a la del mes previo</w:t>
      </w:r>
      <w:r w:rsidR="00556C7A">
        <w:rPr>
          <w:color w:val="auto"/>
          <w:sz w:val="22"/>
          <w:szCs w:val="22"/>
        </w:rPr>
        <w:t>.</w:t>
      </w:r>
      <w:r w:rsidR="00D77606">
        <w:rPr>
          <w:color w:val="auto"/>
          <w:sz w:val="22"/>
          <w:szCs w:val="22"/>
        </w:rPr>
        <w:t xml:space="preserve"> </w:t>
      </w:r>
      <w:r w:rsidR="00E20C94">
        <w:rPr>
          <w:color w:val="auto"/>
          <w:sz w:val="22"/>
          <w:szCs w:val="22"/>
        </w:rPr>
        <w:t xml:space="preserve">Por sexo, </w:t>
      </w:r>
      <w:r w:rsidR="00E20C94">
        <w:rPr>
          <w:bCs/>
          <w:color w:val="auto"/>
          <w:spacing w:val="10"/>
          <w:sz w:val="22"/>
          <w:szCs w:val="22"/>
        </w:rPr>
        <w:t xml:space="preserve">la </w:t>
      </w:r>
      <w:r w:rsidR="00D77606" w:rsidRPr="00CC15D8">
        <w:rPr>
          <w:color w:val="auto"/>
          <w:sz w:val="22"/>
          <w:szCs w:val="22"/>
        </w:rPr>
        <w:t>TIL1</w:t>
      </w:r>
      <w:r w:rsidR="00D77606">
        <w:rPr>
          <w:color w:val="auto"/>
          <w:sz w:val="22"/>
          <w:szCs w:val="22"/>
        </w:rPr>
        <w:t xml:space="preserve"> en los hombres fue de </w:t>
      </w:r>
      <w:r>
        <w:rPr>
          <w:color w:val="auto"/>
          <w:sz w:val="22"/>
          <w:szCs w:val="22"/>
        </w:rPr>
        <w:t>55.8</w:t>
      </w:r>
      <w:r w:rsidR="00D77606">
        <w:rPr>
          <w:color w:val="auto"/>
          <w:sz w:val="22"/>
          <w:szCs w:val="22"/>
        </w:rPr>
        <w:t xml:space="preserve">% y en las mujeres de </w:t>
      </w:r>
      <w:r>
        <w:rPr>
          <w:color w:val="auto"/>
          <w:sz w:val="22"/>
          <w:szCs w:val="22"/>
        </w:rPr>
        <w:t>53.5</w:t>
      </w:r>
      <w:r w:rsidR="00D77606">
        <w:rPr>
          <w:color w:val="auto"/>
          <w:sz w:val="22"/>
          <w:szCs w:val="22"/>
        </w:rPr>
        <w:t>%</w:t>
      </w:r>
      <w:r w:rsidR="00E20C94">
        <w:rPr>
          <w:color w:val="auto"/>
          <w:sz w:val="22"/>
          <w:szCs w:val="22"/>
        </w:rPr>
        <w:t xml:space="preserve">; siendo </w:t>
      </w:r>
      <w:r w:rsidR="006C6854">
        <w:rPr>
          <w:color w:val="auto"/>
          <w:sz w:val="22"/>
          <w:szCs w:val="22"/>
        </w:rPr>
        <w:t>mayor</w:t>
      </w:r>
      <w:r w:rsidR="00E20C94">
        <w:rPr>
          <w:color w:val="auto"/>
          <w:sz w:val="22"/>
          <w:szCs w:val="22"/>
        </w:rPr>
        <w:t xml:space="preserve"> en </w:t>
      </w:r>
      <w:r>
        <w:rPr>
          <w:color w:val="auto"/>
          <w:sz w:val="22"/>
          <w:szCs w:val="22"/>
        </w:rPr>
        <w:t>2.</w:t>
      </w:r>
      <w:r w:rsidR="006D4507">
        <w:rPr>
          <w:color w:val="auto"/>
          <w:sz w:val="22"/>
          <w:szCs w:val="22"/>
        </w:rPr>
        <w:t>1</w:t>
      </w:r>
      <w:r>
        <w:rPr>
          <w:color w:val="auto"/>
          <w:sz w:val="22"/>
          <w:szCs w:val="22"/>
        </w:rPr>
        <w:t xml:space="preserve"> </w:t>
      </w:r>
      <w:r w:rsidR="00D77606">
        <w:rPr>
          <w:color w:val="auto"/>
          <w:sz w:val="22"/>
          <w:szCs w:val="22"/>
        </w:rPr>
        <w:t xml:space="preserve">y </w:t>
      </w:r>
      <w:r w:rsidR="006D4507">
        <w:rPr>
          <w:color w:val="auto"/>
          <w:sz w:val="22"/>
          <w:szCs w:val="22"/>
        </w:rPr>
        <w:t>1.</w:t>
      </w:r>
      <w:r>
        <w:rPr>
          <w:color w:val="auto"/>
          <w:sz w:val="22"/>
          <w:szCs w:val="22"/>
        </w:rPr>
        <w:t>5</w:t>
      </w:r>
      <w:r w:rsidR="00D77606">
        <w:rPr>
          <w:color w:val="auto"/>
          <w:sz w:val="22"/>
          <w:szCs w:val="22"/>
        </w:rPr>
        <w:t xml:space="preserve"> puntos porcentuales, respectivamente, comparada con </w:t>
      </w:r>
      <w:r w:rsidR="00B62178">
        <w:rPr>
          <w:color w:val="auto"/>
          <w:sz w:val="22"/>
          <w:szCs w:val="22"/>
        </w:rPr>
        <w:t>la d</w:t>
      </w:r>
      <w:r w:rsidR="00D77606">
        <w:rPr>
          <w:color w:val="auto"/>
          <w:sz w:val="22"/>
          <w:szCs w:val="22"/>
        </w:rPr>
        <w:t>el mes previo.</w:t>
      </w:r>
    </w:p>
    <w:p w14:paraId="7B327F78" w14:textId="77777777" w:rsidR="00DF0204" w:rsidRDefault="00DF0204" w:rsidP="00252EDE">
      <w:pPr>
        <w:pStyle w:val="n0"/>
        <w:keepLines w:val="0"/>
        <w:widowControl w:val="0"/>
        <w:spacing w:before="0"/>
        <w:ind w:left="0" w:right="49" w:firstLine="0"/>
        <w:contextualSpacing/>
        <w:rPr>
          <w:color w:val="auto"/>
          <w:sz w:val="22"/>
          <w:szCs w:val="22"/>
        </w:rPr>
      </w:pPr>
    </w:p>
    <w:p w14:paraId="5B512BC2" w14:textId="77777777" w:rsidR="00D77606" w:rsidRDefault="00252EDE" w:rsidP="00D77606">
      <w:pPr>
        <w:pStyle w:val="n0"/>
        <w:keepLines w:val="0"/>
        <w:widowControl w:val="0"/>
        <w:spacing w:before="0"/>
        <w:ind w:left="0" w:right="49" w:firstLine="0"/>
        <w:contextualSpacing/>
        <w:rPr>
          <w:color w:val="auto"/>
          <w:sz w:val="22"/>
          <w:szCs w:val="22"/>
        </w:rPr>
      </w:pPr>
      <w:r w:rsidRPr="00CC15D8">
        <w:rPr>
          <w:color w:val="auto"/>
          <w:sz w:val="22"/>
          <w:szCs w:val="22"/>
        </w:rPr>
        <w:t xml:space="preserve">La Tasa de Ocupación en el Sector Informal 1 (TOSI1), que considera a todas las personas que trabajan para unidades económicas no agropecuarias operadas sin registros contables y que funcionan a partir de los recursos del hogar o de la persona que encabeza la actividad sin que se constituya como empresa, de modo que la actividad en cuestión no tiene una situación identificable e independiente de ese hogar o de la persona que la dirige y que por lo mismo tiende a concretarse en una muy pequeña escala de operación. </w:t>
      </w:r>
      <w:r w:rsidR="00E20C94">
        <w:rPr>
          <w:color w:val="auto"/>
          <w:sz w:val="22"/>
          <w:szCs w:val="22"/>
        </w:rPr>
        <w:t xml:space="preserve">La TOSI1 durante </w:t>
      </w:r>
      <w:r w:rsidR="00343375">
        <w:rPr>
          <w:color w:val="auto"/>
          <w:sz w:val="22"/>
          <w:szCs w:val="22"/>
        </w:rPr>
        <w:t>ju</w:t>
      </w:r>
      <w:r w:rsidR="00C714C5">
        <w:rPr>
          <w:color w:val="auto"/>
          <w:sz w:val="22"/>
          <w:szCs w:val="22"/>
        </w:rPr>
        <w:t>l</w:t>
      </w:r>
      <w:r w:rsidR="00343375">
        <w:rPr>
          <w:color w:val="auto"/>
          <w:sz w:val="22"/>
          <w:szCs w:val="22"/>
        </w:rPr>
        <w:t>io</w:t>
      </w:r>
      <w:r w:rsidR="00E20C94">
        <w:rPr>
          <w:color w:val="auto"/>
          <w:sz w:val="22"/>
          <w:szCs w:val="22"/>
        </w:rPr>
        <w:t xml:space="preserve"> fue de</w:t>
      </w:r>
      <w:r w:rsidRPr="00CC15D8">
        <w:rPr>
          <w:color w:val="auto"/>
          <w:sz w:val="22"/>
          <w:szCs w:val="22"/>
        </w:rPr>
        <w:t xml:space="preserve"> </w:t>
      </w:r>
      <w:r w:rsidR="006C6854">
        <w:rPr>
          <w:color w:val="auto"/>
          <w:sz w:val="22"/>
          <w:szCs w:val="22"/>
        </w:rPr>
        <w:t>2</w:t>
      </w:r>
      <w:r w:rsidR="00C714C5">
        <w:rPr>
          <w:color w:val="auto"/>
          <w:sz w:val="22"/>
          <w:szCs w:val="22"/>
        </w:rPr>
        <w:t>7.7</w:t>
      </w:r>
      <w:r w:rsidRPr="00CC15D8">
        <w:rPr>
          <w:color w:val="auto"/>
          <w:sz w:val="22"/>
          <w:szCs w:val="22"/>
        </w:rPr>
        <w:t xml:space="preserve">% de la población ocupada, tasa </w:t>
      </w:r>
      <w:r w:rsidR="006C6854">
        <w:rPr>
          <w:color w:val="auto"/>
          <w:sz w:val="22"/>
          <w:szCs w:val="22"/>
        </w:rPr>
        <w:t>mayor</w:t>
      </w:r>
      <w:r w:rsidR="00556C7A">
        <w:rPr>
          <w:color w:val="auto"/>
          <w:sz w:val="22"/>
          <w:szCs w:val="22"/>
        </w:rPr>
        <w:t xml:space="preserve"> en </w:t>
      </w:r>
      <w:r w:rsidR="00C714C5">
        <w:rPr>
          <w:color w:val="auto"/>
          <w:sz w:val="22"/>
          <w:szCs w:val="22"/>
        </w:rPr>
        <w:t>3</w:t>
      </w:r>
      <w:r w:rsidR="00556C7A">
        <w:rPr>
          <w:color w:val="auto"/>
          <w:sz w:val="22"/>
          <w:szCs w:val="22"/>
        </w:rPr>
        <w:t xml:space="preserve"> </w:t>
      </w:r>
      <w:r w:rsidRPr="00CC15D8">
        <w:rPr>
          <w:color w:val="auto"/>
          <w:sz w:val="22"/>
          <w:szCs w:val="22"/>
        </w:rPr>
        <w:t>punto</w:t>
      </w:r>
      <w:r w:rsidR="00C714C5">
        <w:rPr>
          <w:color w:val="auto"/>
          <w:sz w:val="22"/>
          <w:szCs w:val="22"/>
        </w:rPr>
        <w:t>s</w:t>
      </w:r>
      <w:r w:rsidRPr="00CC15D8">
        <w:rPr>
          <w:color w:val="auto"/>
          <w:sz w:val="22"/>
          <w:szCs w:val="22"/>
        </w:rPr>
        <w:t xml:space="preserve"> porcentual</w:t>
      </w:r>
      <w:r w:rsidR="00C714C5">
        <w:rPr>
          <w:color w:val="auto"/>
          <w:sz w:val="22"/>
          <w:szCs w:val="22"/>
        </w:rPr>
        <w:t>es</w:t>
      </w:r>
      <w:r w:rsidR="00B11292">
        <w:rPr>
          <w:color w:val="auto"/>
          <w:sz w:val="22"/>
          <w:szCs w:val="22"/>
        </w:rPr>
        <w:t xml:space="preserve"> </w:t>
      </w:r>
      <w:r w:rsidRPr="00CC15D8">
        <w:rPr>
          <w:color w:val="auto"/>
          <w:sz w:val="22"/>
          <w:szCs w:val="22"/>
        </w:rPr>
        <w:t>respecto a</w:t>
      </w:r>
      <w:r w:rsidR="00F04CC3">
        <w:rPr>
          <w:color w:val="auto"/>
          <w:sz w:val="22"/>
          <w:szCs w:val="22"/>
        </w:rPr>
        <w:t xml:space="preserve"> </w:t>
      </w:r>
      <w:r w:rsidRPr="00CC15D8">
        <w:rPr>
          <w:color w:val="auto"/>
          <w:sz w:val="22"/>
          <w:szCs w:val="22"/>
        </w:rPr>
        <w:t>l</w:t>
      </w:r>
      <w:r w:rsidR="00F04CC3">
        <w:rPr>
          <w:color w:val="auto"/>
          <w:sz w:val="22"/>
          <w:szCs w:val="22"/>
        </w:rPr>
        <w:t>a</w:t>
      </w:r>
      <w:r w:rsidRPr="00CC15D8">
        <w:rPr>
          <w:color w:val="auto"/>
          <w:sz w:val="22"/>
          <w:szCs w:val="22"/>
        </w:rPr>
        <w:t xml:space="preserve"> </w:t>
      </w:r>
      <w:r w:rsidR="00F04CC3">
        <w:rPr>
          <w:color w:val="auto"/>
          <w:sz w:val="22"/>
          <w:szCs w:val="22"/>
        </w:rPr>
        <w:t xml:space="preserve">del </w:t>
      </w:r>
      <w:r w:rsidRPr="00CC15D8">
        <w:rPr>
          <w:color w:val="auto"/>
          <w:sz w:val="22"/>
          <w:szCs w:val="22"/>
        </w:rPr>
        <w:t>mes anterior.</w:t>
      </w:r>
      <w:r w:rsidR="00D77606">
        <w:rPr>
          <w:color w:val="auto"/>
          <w:sz w:val="22"/>
          <w:szCs w:val="22"/>
        </w:rPr>
        <w:t xml:space="preserve"> </w:t>
      </w:r>
      <w:r w:rsidR="00D77606">
        <w:rPr>
          <w:bCs/>
          <w:color w:val="auto"/>
          <w:spacing w:val="10"/>
          <w:sz w:val="22"/>
          <w:szCs w:val="22"/>
        </w:rPr>
        <w:t xml:space="preserve">La </w:t>
      </w:r>
      <w:r w:rsidR="00D77606">
        <w:rPr>
          <w:color w:val="auto"/>
          <w:sz w:val="22"/>
          <w:szCs w:val="22"/>
        </w:rPr>
        <w:t xml:space="preserve">TOSI1 masculina fue de </w:t>
      </w:r>
      <w:r w:rsidR="00C714C5">
        <w:rPr>
          <w:color w:val="auto"/>
          <w:sz w:val="22"/>
          <w:szCs w:val="22"/>
        </w:rPr>
        <w:t>26.9</w:t>
      </w:r>
      <w:r w:rsidR="00D77606">
        <w:rPr>
          <w:color w:val="auto"/>
          <w:sz w:val="22"/>
          <w:szCs w:val="22"/>
        </w:rPr>
        <w:t xml:space="preserve">% y </w:t>
      </w:r>
      <w:r w:rsidR="000A5ABC">
        <w:rPr>
          <w:color w:val="auto"/>
          <w:sz w:val="22"/>
          <w:szCs w:val="22"/>
        </w:rPr>
        <w:t xml:space="preserve">la femenina de </w:t>
      </w:r>
      <w:r w:rsidR="00C714C5">
        <w:rPr>
          <w:color w:val="auto"/>
          <w:sz w:val="22"/>
          <w:szCs w:val="22"/>
        </w:rPr>
        <w:t>29</w:t>
      </w:r>
      <w:r w:rsidR="00D77606">
        <w:rPr>
          <w:color w:val="auto"/>
          <w:sz w:val="22"/>
          <w:szCs w:val="22"/>
        </w:rPr>
        <w:t xml:space="preserve">% en </w:t>
      </w:r>
      <w:r w:rsidR="00343375">
        <w:rPr>
          <w:color w:val="auto"/>
          <w:sz w:val="22"/>
          <w:szCs w:val="22"/>
        </w:rPr>
        <w:t>ju</w:t>
      </w:r>
      <w:r w:rsidR="00C714C5">
        <w:rPr>
          <w:color w:val="auto"/>
          <w:sz w:val="22"/>
          <w:szCs w:val="22"/>
        </w:rPr>
        <w:t>l</w:t>
      </w:r>
      <w:r w:rsidR="00343375">
        <w:rPr>
          <w:color w:val="auto"/>
          <w:sz w:val="22"/>
          <w:szCs w:val="22"/>
        </w:rPr>
        <w:t>io</w:t>
      </w:r>
      <w:r w:rsidR="00D77606">
        <w:rPr>
          <w:color w:val="auto"/>
          <w:sz w:val="22"/>
          <w:szCs w:val="22"/>
        </w:rPr>
        <w:t xml:space="preserve"> de 2020</w:t>
      </w:r>
      <w:r w:rsidR="006C6854">
        <w:rPr>
          <w:color w:val="auto"/>
          <w:sz w:val="22"/>
          <w:szCs w:val="22"/>
        </w:rPr>
        <w:t>.</w:t>
      </w:r>
    </w:p>
    <w:p w14:paraId="54089368" w14:textId="77777777" w:rsidR="00556C7A" w:rsidRDefault="00556C7A" w:rsidP="00252EDE">
      <w:pPr>
        <w:pStyle w:val="n0"/>
        <w:keepLines w:val="0"/>
        <w:widowControl w:val="0"/>
        <w:spacing w:before="0"/>
        <w:ind w:left="0" w:right="49" w:firstLine="0"/>
        <w:contextualSpacing/>
        <w:rPr>
          <w:bCs/>
          <w:color w:val="auto"/>
          <w:spacing w:val="10"/>
          <w:sz w:val="22"/>
          <w:szCs w:val="22"/>
        </w:rPr>
      </w:pPr>
    </w:p>
    <w:p w14:paraId="680BE621" w14:textId="77777777" w:rsidR="000A5ABC" w:rsidRDefault="00252EDE" w:rsidP="000A5ABC">
      <w:pPr>
        <w:pStyle w:val="n0"/>
        <w:keepLines w:val="0"/>
        <w:widowControl w:val="0"/>
        <w:spacing w:before="0"/>
        <w:ind w:left="0" w:right="49" w:firstLine="0"/>
        <w:contextualSpacing/>
        <w:rPr>
          <w:color w:val="auto"/>
          <w:sz w:val="22"/>
          <w:szCs w:val="22"/>
        </w:rPr>
      </w:pPr>
      <w:r w:rsidRPr="00CC15D8">
        <w:rPr>
          <w:color w:val="auto"/>
          <w:sz w:val="22"/>
          <w:szCs w:val="22"/>
        </w:rPr>
        <w:t>Dejando fuera a las actividades agropecuarias</w:t>
      </w:r>
      <w:r w:rsidR="00556C7A">
        <w:rPr>
          <w:color w:val="auto"/>
          <w:sz w:val="22"/>
          <w:szCs w:val="22"/>
        </w:rPr>
        <w:t>,</w:t>
      </w:r>
      <w:r w:rsidRPr="00CC15D8">
        <w:rPr>
          <w:color w:val="auto"/>
          <w:sz w:val="22"/>
          <w:szCs w:val="22"/>
        </w:rPr>
        <w:t xml:space="preserve"> la Tasa de Informalidad Laboral 2 (TIL2), </w:t>
      </w:r>
      <w:r w:rsidR="00E27274">
        <w:rPr>
          <w:color w:val="auto"/>
          <w:sz w:val="22"/>
          <w:szCs w:val="22"/>
        </w:rPr>
        <w:t xml:space="preserve">en </w:t>
      </w:r>
      <w:r w:rsidR="00C714C5">
        <w:rPr>
          <w:color w:val="auto"/>
          <w:sz w:val="22"/>
          <w:szCs w:val="22"/>
        </w:rPr>
        <w:t>jul</w:t>
      </w:r>
      <w:r w:rsidR="00343375">
        <w:rPr>
          <w:color w:val="auto"/>
          <w:sz w:val="22"/>
          <w:szCs w:val="22"/>
        </w:rPr>
        <w:t>io</w:t>
      </w:r>
      <w:r w:rsidR="00E27274">
        <w:rPr>
          <w:color w:val="auto"/>
          <w:sz w:val="22"/>
          <w:szCs w:val="22"/>
        </w:rPr>
        <w:t xml:space="preserve"> fue de</w:t>
      </w:r>
      <w:r w:rsidRPr="00CC15D8">
        <w:rPr>
          <w:color w:val="auto"/>
          <w:sz w:val="22"/>
          <w:szCs w:val="22"/>
        </w:rPr>
        <w:t xml:space="preserve"> </w:t>
      </w:r>
      <w:r w:rsidR="00C714C5">
        <w:rPr>
          <w:color w:val="auto"/>
          <w:sz w:val="22"/>
          <w:szCs w:val="22"/>
        </w:rPr>
        <w:t>50.2</w:t>
      </w:r>
      <w:r w:rsidR="00140AB5" w:rsidRPr="00CC15D8">
        <w:rPr>
          <w:color w:val="auto"/>
          <w:sz w:val="22"/>
          <w:szCs w:val="22"/>
        </w:rPr>
        <w:t>%</w:t>
      </w:r>
      <w:r w:rsidRPr="00CC15D8">
        <w:rPr>
          <w:color w:val="auto"/>
          <w:sz w:val="22"/>
          <w:szCs w:val="22"/>
        </w:rPr>
        <w:t xml:space="preserve"> de la población ocupada no agropecuaria, </w:t>
      </w:r>
      <w:r w:rsidR="00C714C5">
        <w:rPr>
          <w:color w:val="auto"/>
          <w:sz w:val="22"/>
          <w:szCs w:val="22"/>
        </w:rPr>
        <w:t>1.8</w:t>
      </w:r>
      <w:r w:rsidRPr="00CC15D8">
        <w:rPr>
          <w:color w:val="auto"/>
          <w:sz w:val="22"/>
          <w:szCs w:val="22"/>
        </w:rPr>
        <w:t xml:space="preserve"> puntos porcentuales </w:t>
      </w:r>
      <w:r w:rsidR="006C6854">
        <w:rPr>
          <w:color w:val="auto"/>
          <w:sz w:val="22"/>
          <w:szCs w:val="22"/>
        </w:rPr>
        <w:t>mayor</w:t>
      </w:r>
      <w:r w:rsidRPr="00CC15D8">
        <w:rPr>
          <w:color w:val="auto"/>
          <w:sz w:val="22"/>
          <w:szCs w:val="22"/>
        </w:rPr>
        <w:t xml:space="preserve"> a la del mes previo.</w:t>
      </w:r>
      <w:r w:rsidR="000A5ABC">
        <w:rPr>
          <w:color w:val="auto"/>
          <w:sz w:val="22"/>
          <w:szCs w:val="22"/>
        </w:rPr>
        <w:t xml:space="preserve"> </w:t>
      </w:r>
      <w:r w:rsidR="00E27274">
        <w:rPr>
          <w:color w:val="auto"/>
          <w:sz w:val="22"/>
          <w:szCs w:val="22"/>
        </w:rPr>
        <w:t xml:space="preserve">Por sexo, </w:t>
      </w:r>
      <w:r w:rsidR="000A5ABC">
        <w:rPr>
          <w:color w:val="auto"/>
          <w:sz w:val="22"/>
          <w:szCs w:val="22"/>
        </w:rPr>
        <w:t>l</w:t>
      </w:r>
      <w:r w:rsidR="000A5ABC">
        <w:rPr>
          <w:bCs/>
          <w:color w:val="auto"/>
          <w:spacing w:val="10"/>
          <w:sz w:val="22"/>
          <w:szCs w:val="22"/>
        </w:rPr>
        <w:t xml:space="preserve">a </w:t>
      </w:r>
      <w:r w:rsidR="000A5ABC">
        <w:rPr>
          <w:color w:val="auto"/>
          <w:sz w:val="22"/>
          <w:szCs w:val="22"/>
        </w:rPr>
        <w:t xml:space="preserve">TIL2 masculina fue de </w:t>
      </w:r>
      <w:r w:rsidR="00C714C5">
        <w:rPr>
          <w:color w:val="auto"/>
          <w:sz w:val="22"/>
          <w:szCs w:val="22"/>
        </w:rPr>
        <w:t>49</w:t>
      </w:r>
      <w:r w:rsidR="000A5ABC">
        <w:rPr>
          <w:color w:val="auto"/>
          <w:sz w:val="22"/>
          <w:szCs w:val="22"/>
        </w:rPr>
        <w:t xml:space="preserve">% y la femenina de </w:t>
      </w:r>
      <w:r w:rsidR="00C714C5">
        <w:rPr>
          <w:color w:val="auto"/>
          <w:sz w:val="22"/>
          <w:szCs w:val="22"/>
        </w:rPr>
        <w:t>52.1</w:t>
      </w:r>
      <w:r w:rsidR="000A5ABC">
        <w:rPr>
          <w:color w:val="auto"/>
          <w:sz w:val="22"/>
          <w:szCs w:val="22"/>
        </w:rPr>
        <w:t xml:space="preserve">% en </w:t>
      </w:r>
      <w:r w:rsidR="00343375">
        <w:rPr>
          <w:color w:val="auto"/>
          <w:sz w:val="22"/>
          <w:szCs w:val="22"/>
        </w:rPr>
        <w:t>ju</w:t>
      </w:r>
      <w:r w:rsidR="00C714C5">
        <w:rPr>
          <w:color w:val="auto"/>
          <w:sz w:val="22"/>
          <w:szCs w:val="22"/>
        </w:rPr>
        <w:t>l</w:t>
      </w:r>
      <w:r w:rsidR="00343375">
        <w:rPr>
          <w:color w:val="auto"/>
          <w:sz w:val="22"/>
          <w:szCs w:val="22"/>
        </w:rPr>
        <w:t>io</w:t>
      </w:r>
      <w:r w:rsidR="000A5ABC">
        <w:rPr>
          <w:color w:val="auto"/>
          <w:sz w:val="22"/>
          <w:szCs w:val="22"/>
        </w:rPr>
        <w:t xml:space="preserve"> </w:t>
      </w:r>
      <w:r w:rsidR="00C714C5">
        <w:rPr>
          <w:color w:val="auto"/>
          <w:sz w:val="22"/>
          <w:szCs w:val="22"/>
        </w:rPr>
        <w:t>de 2020</w:t>
      </w:r>
      <w:r w:rsidR="006C6854">
        <w:rPr>
          <w:color w:val="auto"/>
          <w:sz w:val="22"/>
          <w:szCs w:val="22"/>
        </w:rPr>
        <w:t>.</w:t>
      </w:r>
    </w:p>
    <w:p w14:paraId="2B8868AA" w14:textId="77777777" w:rsidR="000A5ABC" w:rsidRDefault="000A5ABC" w:rsidP="00252EDE">
      <w:pPr>
        <w:pStyle w:val="n0"/>
        <w:keepLines w:val="0"/>
        <w:widowControl w:val="0"/>
        <w:spacing w:before="0"/>
        <w:ind w:left="0" w:right="49" w:firstLine="0"/>
        <w:contextualSpacing/>
        <w:rPr>
          <w:color w:val="auto"/>
          <w:sz w:val="22"/>
          <w:szCs w:val="22"/>
        </w:rPr>
      </w:pPr>
    </w:p>
    <w:p w14:paraId="2B241215" w14:textId="635C7F5C" w:rsidR="00252EDE" w:rsidRDefault="000A5ABC" w:rsidP="00252EDE">
      <w:pPr>
        <w:pStyle w:val="n0"/>
        <w:keepLines w:val="0"/>
        <w:widowControl w:val="0"/>
        <w:spacing w:before="0"/>
        <w:ind w:left="0" w:right="49" w:firstLine="0"/>
        <w:contextualSpacing/>
        <w:rPr>
          <w:color w:val="auto"/>
          <w:sz w:val="22"/>
          <w:szCs w:val="22"/>
        </w:rPr>
      </w:pPr>
      <w:r>
        <w:rPr>
          <w:color w:val="auto"/>
          <w:sz w:val="22"/>
          <w:szCs w:val="22"/>
        </w:rPr>
        <w:t>L</w:t>
      </w:r>
      <w:r w:rsidR="00252EDE" w:rsidRPr="00CC15D8">
        <w:rPr>
          <w:color w:val="auto"/>
          <w:sz w:val="22"/>
          <w:szCs w:val="22"/>
        </w:rPr>
        <w:t xml:space="preserve">a Tasa de Ocupación en el Sector Informal 2 (TOSI2), </w:t>
      </w:r>
      <w:r w:rsidR="00E27274">
        <w:rPr>
          <w:color w:val="auto"/>
          <w:sz w:val="22"/>
          <w:szCs w:val="22"/>
        </w:rPr>
        <w:t>fue de</w:t>
      </w:r>
      <w:r w:rsidR="00E27274" w:rsidRPr="00CC15D8">
        <w:rPr>
          <w:color w:val="auto"/>
          <w:sz w:val="22"/>
          <w:szCs w:val="22"/>
        </w:rPr>
        <w:t xml:space="preserve"> </w:t>
      </w:r>
      <w:r w:rsidR="00C714C5">
        <w:rPr>
          <w:color w:val="auto"/>
          <w:sz w:val="22"/>
          <w:szCs w:val="22"/>
        </w:rPr>
        <w:t>31.4</w:t>
      </w:r>
      <w:r w:rsidR="00252EDE" w:rsidRPr="00CC15D8">
        <w:rPr>
          <w:color w:val="auto"/>
          <w:sz w:val="22"/>
          <w:szCs w:val="22"/>
        </w:rPr>
        <w:t xml:space="preserve">% de la población ocupada no agropecuaria durante </w:t>
      </w:r>
      <w:r w:rsidR="00343375">
        <w:rPr>
          <w:color w:val="auto"/>
          <w:sz w:val="22"/>
          <w:szCs w:val="22"/>
        </w:rPr>
        <w:t>ju</w:t>
      </w:r>
      <w:r w:rsidR="00C714C5">
        <w:rPr>
          <w:color w:val="auto"/>
          <w:sz w:val="22"/>
          <w:szCs w:val="22"/>
        </w:rPr>
        <w:t>l</w:t>
      </w:r>
      <w:r w:rsidR="00343375">
        <w:rPr>
          <w:color w:val="auto"/>
          <w:sz w:val="22"/>
          <w:szCs w:val="22"/>
        </w:rPr>
        <w:t>io</w:t>
      </w:r>
      <w:r w:rsidR="00252EDE" w:rsidRPr="00CC15D8">
        <w:rPr>
          <w:color w:val="auto"/>
          <w:sz w:val="22"/>
          <w:szCs w:val="22"/>
        </w:rPr>
        <w:t xml:space="preserve">, tasa </w:t>
      </w:r>
      <w:r w:rsidR="00556C7A">
        <w:rPr>
          <w:color w:val="auto"/>
          <w:sz w:val="22"/>
          <w:szCs w:val="22"/>
        </w:rPr>
        <w:t>superior</w:t>
      </w:r>
      <w:r w:rsidR="00252EDE" w:rsidRPr="00CC15D8">
        <w:rPr>
          <w:color w:val="auto"/>
          <w:sz w:val="22"/>
          <w:szCs w:val="22"/>
        </w:rPr>
        <w:t xml:space="preserve"> en </w:t>
      </w:r>
      <w:r w:rsidR="00C714C5">
        <w:rPr>
          <w:color w:val="auto"/>
          <w:sz w:val="22"/>
          <w:szCs w:val="22"/>
        </w:rPr>
        <w:t>3.1</w:t>
      </w:r>
      <w:r w:rsidR="00252EDE" w:rsidRPr="00CC15D8">
        <w:rPr>
          <w:color w:val="auto"/>
          <w:sz w:val="22"/>
          <w:szCs w:val="22"/>
        </w:rPr>
        <w:t xml:space="preserve"> puntos porcentuales respecto </w:t>
      </w:r>
      <w:r w:rsidR="00556C7A">
        <w:rPr>
          <w:color w:val="auto"/>
          <w:sz w:val="22"/>
          <w:szCs w:val="22"/>
        </w:rPr>
        <w:t>a</w:t>
      </w:r>
      <w:r w:rsidR="00E27274">
        <w:rPr>
          <w:color w:val="auto"/>
          <w:sz w:val="22"/>
          <w:szCs w:val="22"/>
        </w:rPr>
        <w:t xml:space="preserve"> </w:t>
      </w:r>
      <w:r w:rsidR="00556C7A">
        <w:rPr>
          <w:color w:val="auto"/>
          <w:sz w:val="22"/>
          <w:szCs w:val="22"/>
        </w:rPr>
        <w:t>l</w:t>
      </w:r>
      <w:r w:rsidR="00E27274">
        <w:rPr>
          <w:color w:val="auto"/>
          <w:sz w:val="22"/>
          <w:szCs w:val="22"/>
        </w:rPr>
        <w:t xml:space="preserve">a observada en </w:t>
      </w:r>
      <w:r w:rsidR="00C714C5">
        <w:rPr>
          <w:color w:val="auto"/>
          <w:sz w:val="22"/>
          <w:szCs w:val="22"/>
        </w:rPr>
        <w:t>junio</w:t>
      </w:r>
      <w:r w:rsidR="00556C7A">
        <w:rPr>
          <w:color w:val="auto"/>
          <w:sz w:val="22"/>
          <w:szCs w:val="22"/>
        </w:rPr>
        <w:t xml:space="preserve"> de</w:t>
      </w:r>
      <w:r w:rsidR="00CA7B28" w:rsidRPr="00CC15D8">
        <w:rPr>
          <w:color w:val="auto"/>
          <w:sz w:val="22"/>
          <w:szCs w:val="22"/>
        </w:rPr>
        <w:t xml:space="preserve"> 2020</w:t>
      </w:r>
      <w:r w:rsidR="00252EDE" w:rsidRPr="00CC15D8">
        <w:rPr>
          <w:color w:val="auto"/>
          <w:sz w:val="22"/>
          <w:szCs w:val="22"/>
        </w:rPr>
        <w:t>.</w:t>
      </w:r>
      <w:r w:rsidR="008D7AE0">
        <w:rPr>
          <w:color w:val="auto"/>
          <w:sz w:val="22"/>
          <w:szCs w:val="22"/>
        </w:rPr>
        <w:t xml:space="preserve"> En el caso de los hombres, la TOSI2 fue de </w:t>
      </w:r>
      <w:r w:rsidR="00C714C5">
        <w:rPr>
          <w:color w:val="auto"/>
          <w:sz w:val="22"/>
          <w:szCs w:val="22"/>
        </w:rPr>
        <w:t>32.</w:t>
      </w:r>
      <w:r w:rsidR="00A33929">
        <w:rPr>
          <w:color w:val="auto"/>
          <w:sz w:val="22"/>
          <w:szCs w:val="22"/>
        </w:rPr>
        <w:t>3</w:t>
      </w:r>
      <w:r w:rsidR="008D7AE0">
        <w:rPr>
          <w:color w:val="auto"/>
          <w:sz w:val="22"/>
          <w:szCs w:val="22"/>
        </w:rPr>
        <w:t>%</w:t>
      </w:r>
      <w:r w:rsidR="00F04CC3">
        <w:rPr>
          <w:color w:val="auto"/>
          <w:sz w:val="22"/>
          <w:szCs w:val="22"/>
        </w:rPr>
        <w:t xml:space="preserve"> y</w:t>
      </w:r>
      <w:r w:rsidR="008D7AE0">
        <w:rPr>
          <w:color w:val="auto"/>
          <w:sz w:val="22"/>
          <w:szCs w:val="22"/>
        </w:rPr>
        <w:t xml:space="preserve"> la TOSI2 femenina</w:t>
      </w:r>
      <w:r w:rsidR="00E27274">
        <w:rPr>
          <w:color w:val="auto"/>
          <w:sz w:val="22"/>
          <w:szCs w:val="22"/>
        </w:rPr>
        <w:t xml:space="preserve"> de</w:t>
      </w:r>
      <w:r w:rsidR="008D7AE0">
        <w:rPr>
          <w:color w:val="auto"/>
          <w:sz w:val="22"/>
          <w:szCs w:val="22"/>
        </w:rPr>
        <w:t xml:space="preserve"> </w:t>
      </w:r>
      <w:r w:rsidR="00C714C5">
        <w:rPr>
          <w:color w:val="auto"/>
          <w:sz w:val="22"/>
          <w:szCs w:val="22"/>
        </w:rPr>
        <w:t>30.2</w:t>
      </w:r>
      <w:r w:rsidR="00101BB9">
        <w:rPr>
          <w:color w:val="auto"/>
          <w:sz w:val="22"/>
          <w:szCs w:val="22"/>
        </w:rPr>
        <w:t xml:space="preserve"> por ciento</w:t>
      </w:r>
      <w:r w:rsidR="008D7AE0">
        <w:rPr>
          <w:color w:val="auto"/>
          <w:sz w:val="22"/>
          <w:szCs w:val="22"/>
        </w:rPr>
        <w:t>.</w:t>
      </w:r>
    </w:p>
    <w:p w14:paraId="21D67EAE" w14:textId="77777777" w:rsidR="00E94EE0" w:rsidRDefault="00E94EE0">
      <w:pPr>
        <w:rPr>
          <w:rFonts w:ascii="Arial" w:eastAsia="Times New Roman" w:hAnsi="Arial" w:cs="Arial"/>
          <w:b/>
          <w:smallCaps/>
          <w:lang w:val="es-ES_tradnl" w:eastAsia="es-ES"/>
        </w:rPr>
      </w:pPr>
    </w:p>
    <w:p w14:paraId="3CC6A4E4" w14:textId="77777777" w:rsidR="0000569C" w:rsidRDefault="0000569C">
      <w:pPr>
        <w:rPr>
          <w:rFonts w:ascii="Arial" w:eastAsia="Times New Roman" w:hAnsi="Arial" w:cs="Arial"/>
          <w:b/>
          <w:smallCaps/>
          <w:lang w:val="es-ES_tradnl" w:eastAsia="es-ES"/>
        </w:rPr>
      </w:pPr>
      <w:r>
        <w:rPr>
          <w:b/>
          <w:smallCaps/>
        </w:rPr>
        <w:br w:type="page"/>
      </w:r>
    </w:p>
    <w:p w14:paraId="2BB083D7" w14:textId="77777777" w:rsidR="00252EDE" w:rsidRPr="00FF73EB" w:rsidRDefault="00252EDE" w:rsidP="00CC5E3A">
      <w:pPr>
        <w:pStyle w:val="n0"/>
        <w:keepLines w:val="0"/>
        <w:widowControl w:val="0"/>
        <w:spacing w:before="0"/>
        <w:ind w:left="0" w:right="49" w:firstLine="0"/>
        <w:jc w:val="center"/>
        <w:rPr>
          <w:b/>
          <w:smallCaps/>
          <w:color w:val="auto"/>
          <w:sz w:val="22"/>
          <w:szCs w:val="22"/>
        </w:rPr>
      </w:pPr>
      <w:r w:rsidRPr="00FF73EB">
        <w:rPr>
          <w:b/>
          <w:smallCaps/>
          <w:color w:val="auto"/>
          <w:sz w:val="22"/>
          <w:szCs w:val="22"/>
        </w:rPr>
        <w:t xml:space="preserve">tasas de ocupación y empleo durante </w:t>
      </w:r>
      <w:r w:rsidR="00343375">
        <w:rPr>
          <w:b/>
          <w:smallCaps/>
          <w:color w:val="auto"/>
          <w:sz w:val="22"/>
          <w:szCs w:val="22"/>
        </w:rPr>
        <w:t>ju</w:t>
      </w:r>
      <w:r w:rsidR="00140502">
        <w:rPr>
          <w:b/>
          <w:smallCaps/>
          <w:color w:val="auto"/>
          <w:sz w:val="22"/>
          <w:szCs w:val="22"/>
        </w:rPr>
        <w:t>l</w:t>
      </w:r>
      <w:r w:rsidR="00343375">
        <w:rPr>
          <w:b/>
          <w:smallCaps/>
          <w:color w:val="auto"/>
          <w:sz w:val="22"/>
          <w:szCs w:val="22"/>
        </w:rPr>
        <w:t>io</w:t>
      </w:r>
      <w:r w:rsidRPr="00FF73EB">
        <w:rPr>
          <w:b/>
          <w:smallCaps/>
          <w:color w:val="auto"/>
          <w:sz w:val="22"/>
          <w:szCs w:val="22"/>
        </w:rPr>
        <w:t xml:space="preserve"> de 2020</w:t>
      </w:r>
    </w:p>
    <w:p w14:paraId="2DBE8DBF" w14:textId="77777777" w:rsidR="008F6E9A" w:rsidRDefault="00252EDE" w:rsidP="00CC5E3A">
      <w:pPr>
        <w:spacing w:after="0" w:line="240" w:lineRule="auto"/>
        <w:ind w:right="51"/>
        <w:jc w:val="center"/>
        <w:rPr>
          <w:rFonts w:ascii="Arial" w:hAnsi="Arial" w:cs="Arial"/>
          <w:smallCaps/>
        </w:rPr>
      </w:pPr>
      <w:r w:rsidRPr="00FF73EB">
        <w:rPr>
          <w:rFonts w:ascii="Arial" w:hAnsi="Arial" w:cs="Arial"/>
          <w:smallCaps/>
        </w:rPr>
        <w:t>(Porcentaje)</w:t>
      </w:r>
    </w:p>
    <w:p w14:paraId="0250AC89" w14:textId="77777777" w:rsidR="00671F29" w:rsidRDefault="004455A8">
      <w:pPr>
        <w:spacing w:after="0" w:line="240" w:lineRule="auto"/>
        <w:ind w:right="51"/>
        <w:jc w:val="center"/>
        <w:rPr>
          <w:rFonts w:ascii="Arial" w:hAnsi="Arial" w:cs="Arial"/>
          <w:smallCaps/>
        </w:rPr>
      </w:pPr>
      <w:r w:rsidRPr="004455A8">
        <w:rPr>
          <w:noProof/>
          <w:lang w:eastAsia="es-MX"/>
        </w:rPr>
        <w:drawing>
          <wp:inline distT="0" distB="0" distL="0" distR="0" wp14:anchorId="0FE0DC42" wp14:editId="406E863A">
            <wp:extent cx="5612130" cy="2918654"/>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2918654"/>
                    </a:xfrm>
                    <a:prstGeom prst="rect">
                      <a:avLst/>
                    </a:prstGeom>
                    <a:noFill/>
                    <a:ln>
                      <a:noFill/>
                    </a:ln>
                  </pic:spPr>
                </pic:pic>
              </a:graphicData>
            </a:graphic>
          </wp:inline>
        </w:drawing>
      </w:r>
    </w:p>
    <w:p w14:paraId="6BF7B692" w14:textId="77777777" w:rsidR="00671F29" w:rsidRPr="00657781" w:rsidRDefault="00671F29" w:rsidP="00B7794A">
      <w:pPr>
        <w:tabs>
          <w:tab w:val="left" w:pos="851"/>
        </w:tabs>
        <w:spacing w:after="0" w:line="240" w:lineRule="auto"/>
        <w:ind w:left="284" w:right="333"/>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1923DEBA" w14:textId="77777777" w:rsidR="00AB492B" w:rsidRDefault="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10244E54" w14:textId="77777777" w:rsidR="00B7794A" w:rsidRDefault="00AB492B"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5BDDAE4D"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6274AC3E" w14:textId="77777777" w:rsidR="008C75BC" w:rsidRDefault="008C75BC" w:rsidP="00DF798C">
      <w:pPr>
        <w:spacing w:after="0" w:line="240" w:lineRule="auto"/>
        <w:ind w:right="49"/>
        <w:rPr>
          <w:rFonts w:ascii="Arial" w:hAnsi="Arial" w:cs="Arial"/>
        </w:rPr>
      </w:pPr>
    </w:p>
    <w:p w14:paraId="3100B26C" w14:textId="77777777" w:rsidR="00E56BAF" w:rsidRPr="00FF73EB" w:rsidRDefault="00E56BAF" w:rsidP="00E56BAF">
      <w:pPr>
        <w:pStyle w:val="n0"/>
        <w:keepLines w:val="0"/>
        <w:widowControl w:val="0"/>
        <w:spacing w:before="0"/>
        <w:ind w:left="0" w:right="49" w:firstLine="0"/>
        <w:jc w:val="center"/>
        <w:rPr>
          <w:b/>
          <w:smallCaps/>
          <w:color w:val="auto"/>
          <w:sz w:val="22"/>
          <w:szCs w:val="22"/>
        </w:rPr>
      </w:pPr>
      <w:r w:rsidRPr="00FF73EB">
        <w:rPr>
          <w:b/>
          <w:smallCaps/>
          <w:color w:val="auto"/>
          <w:sz w:val="22"/>
          <w:szCs w:val="22"/>
        </w:rPr>
        <w:t xml:space="preserve">tasas de ocupación y empleo </w:t>
      </w:r>
      <w:r>
        <w:rPr>
          <w:b/>
          <w:smallCaps/>
          <w:color w:val="auto"/>
          <w:sz w:val="22"/>
          <w:szCs w:val="22"/>
        </w:rPr>
        <w:t xml:space="preserve">por sexo </w:t>
      </w:r>
      <w:r w:rsidRPr="00FF73EB">
        <w:rPr>
          <w:b/>
          <w:smallCaps/>
          <w:color w:val="auto"/>
          <w:sz w:val="22"/>
          <w:szCs w:val="22"/>
        </w:rPr>
        <w:t xml:space="preserve">durante </w:t>
      </w:r>
      <w:r w:rsidR="00343375">
        <w:rPr>
          <w:b/>
          <w:smallCaps/>
          <w:color w:val="auto"/>
          <w:sz w:val="22"/>
          <w:szCs w:val="22"/>
        </w:rPr>
        <w:t>ju</w:t>
      </w:r>
      <w:r w:rsidR="00140502">
        <w:rPr>
          <w:b/>
          <w:smallCaps/>
          <w:color w:val="auto"/>
          <w:sz w:val="22"/>
          <w:szCs w:val="22"/>
        </w:rPr>
        <w:t>li</w:t>
      </w:r>
      <w:r w:rsidR="00343375">
        <w:rPr>
          <w:b/>
          <w:smallCaps/>
          <w:color w:val="auto"/>
          <w:sz w:val="22"/>
          <w:szCs w:val="22"/>
        </w:rPr>
        <w:t>o</w:t>
      </w:r>
      <w:r w:rsidRPr="00FF73EB">
        <w:rPr>
          <w:b/>
          <w:smallCaps/>
          <w:color w:val="auto"/>
          <w:sz w:val="22"/>
          <w:szCs w:val="22"/>
        </w:rPr>
        <w:t xml:space="preserve"> de 2020</w:t>
      </w:r>
    </w:p>
    <w:p w14:paraId="02C9A24B" w14:textId="77777777" w:rsidR="00E56BAF" w:rsidRDefault="00E56BAF" w:rsidP="00E56BAF">
      <w:pPr>
        <w:spacing w:after="0" w:line="240" w:lineRule="auto"/>
        <w:ind w:right="51"/>
        <w:jc w:val="center"/>
        <w:rPr>
          <w:rFonts w:ascii="Arial" w:hAnsi="Arial" w:cs="Arial"/>
          <w:smallCaps/>
        </w:rPr>
      </w:pPr>
      <w:r w:rsidRPr="00FF73EB">
        <w:rPr>
          <w:rFonts w:ascii="Arial" w:hAnsi="Arial" w:cs="Arial"/>
          <w:smallCaps/>
        </w:rPr>
        <w:t>(Porcentaje)</w:t>
      </w:r>
    </w:p>
    <w:p w14:paraId="0C63CE8C" w14:textId="77777777" w:rsidR="00A540EA" w:rsidRDefault="004455A8" w:rsidP="00657781">
      <w:pPr>
        <w:spacing w:after="0" w:line="240" w:lineRule="auto"/>
        <w:ind w:left="709" w:right="49" w:hanging="709"/>
        <w:jc w:val="center"/>
        <w:rPr>
          <w:rFonts w:ascii="Arial" w:hAnsi="Arial" w:cs="Arial"/>
        </w:rPr>
      </w:pPr>
      <w:r w:rsidRPr="004455A8">
        <w:rPr>
          <w:noProof/>
          <w:lang w:eastAsia="es-MX"/>
        </w:rPr>
        <w:drawing>
          <wp:inline distT="0" distB="0" distL="0" distR="0" wp14:anchorId="6B202606" wp14:editId="4B5FB4E8">
            <wp:extent cx="5612130" cy="2443524"/>
            <wp:effectExtent l="0" t="0" r="762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12130" cy="2443524"/>
                    </a:xfrm>
                    <a:prstGeom prst="rect">
                      <a:avLst/>
                    </a:prstGeom>
                    <a:noFill/>
                    <a:ln>
                      <a:noFill/>
                    </a:ln>
                  </pic:spPr>
                </pic:pic>
              </a:graphicData>
            </a:graphic>
          </wp:inline>
        </w:drawing>
      </w:r>
    </w:p>
    <w:p w14:paraId="6BF78649" w14:textId="77777777" w:rsidR="00A540EA" w:rsidRPr="00657781" w:rsidRDefault="00A540EA" w:rsidP="00B7794A">
      <w:pPr>
        <w:tabs>
          <w:tab w:val="left" w:pos="851"/>
        </w:tabs>
        <w:spacing w:after="0" w:line="240" w:lineRule="auto"/>
        <w:ind w:left="284" w:right="333"/>
        <w:rPr>
          <w:rFonts w:ascii="Arial" w:hAnsi="Arial" w:cs="Arial"/>
          <w:noProof/>
          <w:sz w:val="14"/>
          <w:szCs w:val="14"/>
          <w:lang w:val="es-ES" w:eastAsia="es-ES"/>
        </w:rPr>
      </w:pPr>
      <w:r w:rsidRPr="00657781">
        <w:rPr>
          <w:rFonts w:ascii="Arial" w:hAnsi="Arial" w:cs="Arial"/>
          <w:noProof/>
          <w:sz w:val="14"/>
          <w:szCs w:val="14"/>
          <w:lang w:val="es-ES" w:eastAsia="es-ES"/>
        </w:rPr>
        <w:t>* Se omite la comparación con el año previo por el cambio en los niveles del salario mínimo.</w:t>
      </w:r>
    </w:p>
    <w:p w14:paraId="11E77C8C" w14:textId="77777777" w:rsidR="00794B17" w:rsidRDefault="00B7794A" w:rsidP="00794B17">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Fuente:</w:t>
      </w:r>
      <w:r>
        <w:rPr>
          <w:rFonts w:ascii="Arial" w:hAnsi="Arial" w:cs="Arial"/>
          <w:noProof/>
          <w:sz w:val="14"/>
          <w:szCs w:val="14"/>
          <w:lang w:val="es-ES" w:eastAsia="es-ES"/>
        </w:rPr>
        <w:tab/>
      </w:r>
      <w:r w:rsidR="00794B17">
        <w:rPr>
          <w:rFonts w:ascii="Arial" w:hAnsi="Arial" w:cs="Arial"/>
          <w:noProof/>
          <w:sz w:val="14"/>
          <w:szCs w:val="14"/>
          <w:lang w:val="es-ES" w:eastAsia="es-ES"/>
        </w:rPr>
        <w:t>INEGI. Encuesta Nacional de Ocupación y Empleo (Nueva Edición), julio 2020.</w:t>
      </w:r>
    </w:p>
    <w:p w14:paraId="78A1CFE9" w14:textId="77777777" w:rsidR="00B7794A" w:rsidRDefault="00AB492B"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r>
      <w:r w:rsidR="00B7794A">
        <w:rPr>
          <w:rFonts w:ascii="Arial" w:hAnsi="Arial" w:cs="Arial"/>
          <w:noProof/>
          <w:sz w:val="14"/>
          <w:szCs w:val="14"/>
          <w:lang w:val="es-ES" w:eastAsia="es-ES"/>
        </w:rPr>
        <w:t>INEGI. Encuesta Telefónica de Ocupación y Empleo, para abril, mayo y junio 2020.</w:t>
      </w:r>
    </w:p>
    <w:p w14:paraId="72B221AA" w14:textId="77777777" w:rsidR="00B7794A" w:rsidRDefault="00B7794A" w:rsidP="00B7794A">
      <w:pPr>
        <w:tabs>
          <w:tab w:val="left" w:pos="851"/>
        </w:tabs>
        <w:spacing w:after="0" w:line="240" w:lineRule="auto"/>
        <w:ind w:left="284" w:right="333"/>
        <w:rPr>
          <w:rFonts w:ascii="Arial" w:hAnsi="Arial" w:cs="Arial"/>
          <w:noProof/>
          <w:sz w:val="14"/>
          <w:szCs w:val="14"/>
          <w:lang w:val="es-ES" w:eastAsia="es-ES"/>
        </w:rPr>
      </w:pPr>
      <w:r>
        <w:rPr>
          <w:rFonts w:ascii="Arial" w:hAnsi="Arial" w:cs="Arial"/>
          <w:noProof/>
          <w:sz w:val="14"/>
          <w:szCs w:val="14"/>
          <w:lang w:val="es-ES" w:eastAsia="es-ES"/>
        </w:rPr>
        <w:tab/>
        <w:t>INEGI. Encuesta Nacional de Ocupación y Empleo, julio 2019.</w:t>
      </w:r>
    </w:p>
    <w:p w14:paraId="36C2790F" w14:textId="77777777" w:rsidR="00C714C5" w:rsidRDefault="00C714C5">
      <w:pPr>
        <w:rPr>
          <w:rFonts w:ascii="Arial" w:eastAsia="Times New Roman" w:hAnsi="Arial" w:cs="Arial"/>
          <w:b/>
          <w:smallCaps/>
          <w:lang w:val="es-ES_tradnl" w:eastAsia="es-ES"/>
        </w:rPr>
      </w:pPr>
      <w:r>
        <w:rPr>
          <w:b/>
          <w:smallCaps/>
        </w:rPr>
        <w:br w:type="page"/>
      </w:r>
    </w:p>
    <w:p w14:paraId="5DAB097E" w14:textId="77777777" w:rsidR="00252EDE" w:rsidRPr="00C63172" w:rsidRDefault="00252EDE" w:rsidP="0074035D">
      <w:pPr>
        <w:pStyle w:val="n0"/>
        <w:keepLines w:val="0"/>
        <w:widowControl w:val="0"/>
        <w:spacing w:before="0"/>
        <w:ind w:left="0" w:right="49" w:firstLine="0"/>
        <w:jc w:val="left"/>
        <w:rPr>
          <w:b/>
          <w:smallCaps/>
          <w:color w:val="auto"/>
          <w:sz w:val="22"/>
          <w:szCs w:val="22"/>
        </w:rPr>
      </w:pPr>
      <w:r w:rsidRPr="00C63172">
        <w:rPr>
          <w:b/>
          <w:smallCaps/>
          <w:color w:val="auto"/>
          <w:sz w:val="22"/>
          <w:szCs w:val="22"/>
        </w:rPr>
        <w:t>Caracterí</w:t>
      </w:r>
      <w:r w:rsidR="00DF798C" w:rsidRPr="00C63172">
        <w:rPr>
          <w:b/>
          <w:smallCaps/>
          <w:color w:val="auto"/>
          <w:sz w:val="22"/>
          <w:szCs w:val="22"/>
        </w:rPr>
        <w:t>sticas metodológicas de la E</w:t>
      </w:r>
      <w:r w:rsidR="00821589">
        <w:rPr>
          <w:b/>
          <w:smallCaps/>
          <w:color w:val="auto"/>
          <w:sz w:val="22"/>
          <w:szCs w:val="22"/>
        </w:rPr>
        <w:t>N</w:t>
      </w:r>
      <w:r w:rsidR="00DF798C" w:rsidRPr="00C63172">
        <w:rPr>
          <w:b/>
          <w:smallCaps/>
          <w:color w:val="auto"/>
          <w:sz w:val="22"/>
          <w:szCs w:val="22"/>
        </w:rPr>
        <w:t>OE</w:t>
      </w:r>
      <w:r w:rsidR="00F66482">
        <w:rPr>
          <w:b/>
          <w:smallCaps/>
          <w:color w:val="auto"/>
          <w:sz w:val="22"/>
          <w:szCs w:val="22"/>
          <w:vertAlign w:val="superscript"/>
        </w:rPr>
        <w:t>N</w:t>
      </w:r>
      <w:r w:rsidR="00DF798C" w:rsidRPr="00C63172">
        <w:rPr>
          <w:b/>
          <w:smallCaps/>
          <w:color w:val="auto"/>
          <w:sz w:val="22"/>
          <w:szCs w:val="22"/>
        </w:rPr>
        <w:t>.</w:t>
      </w:r>
    </w:p>
    <w:p w14:paraId="059806D6" w14:textId="77777777" w:rsidR="00252EDE" w:rsidRPr="00DF798C" w:rsidRDefault="00252EDE" w:rsidP="00252EDE">
      <w:pPr>
        <w:spacing w:after="0" w:line="240" w:lineRule="auto"/>
        <w:ind w:right="49"/>
        <w:rPr>
          <w:rFonts w:ascii="Arial" w:hAnsi="Arial" w:cs="Arial"/>
        </w:rPr>
      </w:pPr>
    </w:p>
    <w:p w14:paraId="344AEDF9"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conceptual</w:t>
      </w:r>
    </w:p>
    <w:p w14:paraId="39984612" w14:textId="77777777" w:rsidR="00252EDE" w:rsidRPr="006E2E20" w:rsidRDefault="00252EDE" w:rsidP="00252EDE">
      <w:pPr>
        <w:spacing w:after="0" w:line="240" w:lineRule="auto"/>
        <w:ind w:right="49"/>
        <w:jc w:val="both"/>
        <w:rPr>
          <w:rFonts w:ascii="Arial" w:hAnsi="Arial" w:cs="Arial"/>
        </w:rPr>
      </w:pPr>
    </w:p>
    <w:p w14:paraId="21C4E780" w14:textId="77777777" w:rsidR="00252EDE" w:rsidRPr="003E6E0C" w:rsidRDefault="00252EDE" w:rsidP="00821589">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El diseño conceptual de la presente </w:t>
      </w:r>
      <w:r w:rsidR="00E27274">
        <w:rPr>
          <w:rFonts w:ascii="Arial" w:eastAsia="Times New Roman" w:hAnsi="Arial" w:cs="Arial"/>
          <w:bCs/>
          <w:spacing w:val="10"/>
          <w:lang w:val="es-ES_tradnl" w:eastAsia="es-ES"/>
        </w:rPr>
        <w:t xml:space="preserve">Encuesta </w:t>
      </w:r>
      <w:r w:rsidR="00821589">
        <w:rPr>
          <w:rFonts w:ascii="Arial" w:eastAsia="Times New Roman" w:hAnsi="Arial" w:cs="Arial"/>
          <w:bCs/>
          <w:spacing w:val="10"/>
          <w:lang w:val="es-ES_tradnl" w:eastAsia="es-ES"/>
        </w:rPr>
        <w:t xml:space="preserve">Nacional </w:t>
      </w:r>
      <w:r w:rsidR="00E27274">
        <w:rPr>
          <w:rFonts w:ascii="Arial" w:eastAsia="Times New Roman" w:hAnsi="Arial" w:cs="Arial"/>
          <w:bCs/>
          <w:spacing w:val="10"/>
          <w:lang w:val="es-ES_tradnl" w:eastAsia="es-ES"/>
        </w:rPr>
        <w:t>de Ocupación y Empleo</w:t>
      </w:r>
      <w:r w:rsidR="002B3CA4">
        <w:rPr>
          <w:rFonts w:ascii="Arial" w:eastAsia="Times New Roman" w:hAnsi="Arial" w:cs="Arial"/>
          <w:bCs/>
          <w:spacing w:val="10"/>
          <w:lang w:val="es-ES_tradnl" w:eastAsia="es-ES"/>
        </w:rPr>
        <w:t xml:space="preserve"> (Nueva Edición) </w:t>
      </w:r>
      <w:r w:rsidR="00E27274">
        <w:rPr>
          <w:rFonts w:ascii="Arial" w:eastAsia="Times New Roman" w:hAnsi="Arial" w:cs="Arial"/>
          <w:bCs/>
          <w:spacing w:val="10"/>
          <w:lang w:val="es-ES_tradnl" w:eastAsia="es-ES"/>
        </w:rPr>
        <w:t>(E</w:t>
      </w:r>
      <w:r w:rsidR="00821589">
        <w:rPr>
          <w:rFonts w:ascii="Arial" w:eastAsia="Times New Roman" w:hAnsi="Arial" w:cs="Arial"/>
          <w:bCs/>
          <w:spacing w:val="10"/>
          <w:lang w:val="es-ES_tradnl" w:eastAsia="es-ES"/>
        </w:rPr>
        <w:t>N</w:t>
      </w:r>
      <w:r w:rsidR="00E27274">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821589">
        <w:rPr>
          <w:rFonts w:ascii="Arial" w:eastAsia="Times New Roman" w:hAnsi="Arial" w:cs="Arial"/>
          <w:bCs/>
          <w:spacing w:val="10"/>
          <w:lang w:val="es-ES_tradnl" w:eastAsia="es-ES"/>
        </w:rPr>
        <w:t>mantiene el mismo</w:t>
      </w:r>
      <w:r w:rsidRPr="003E6E0C">
        <w:rPr>
          <w:rFonts w:ascii="Arial" w:eastAsia="Times New Roman" w:hAnsi="Arial" w:cs="Arial"/>
          <w:bCs/>
          <w:spacing w:val="10"/>
          <w:lang w:val="es-ES_tradnl" w:eastAsia="es-ES"/>
        </w:rPr>
        <w:t xml:space="preserve"> marco conceptual de la Encuesta Nacion</w:t>
      </w:r>
      <w:r w:rsidR="00821589">
        <w:rPr>
          <w:rFonts w:ascii="Arial" w:eastAsia="Times New Roman" w:hAnsi="Arial" w:cs="Arial"/>
          <w:bCs/>
          <w:spacing w:val="10"/>
          <w:lang w:val="es-ES_tradnl" w:eastAsia="es-ES"/>
        </w:rPr>
        <w:t>al de Ocupación y Empleo (ENOE), el cual es</w:t>
      </w:r>
      <w:r w:rsidRPr="003E6E0C">
        <w:rPr>
          <w:rFonts w:ascii="Arial" w:eastAsia="Times New Roman" w:hAnsi="Arial" w:cs="Arial"/>
          <w:bCs/>
          <w:spacing w:val="10"/>
          <w:lang w:val="es-ES_tradnl" w:eastAsia="es-ES"/>
        </w:rPr>
        <w:t xml:space="preserve"> acorde con las recomendaciones internacionales de la Organización Internacional del Trabajo (OIT) y los lineamientos de la Organización para la Cooperación y el Desarrollo Económicos (OCDE)</w:t>
      </w:r>
      <w:r w:rsidR="004E678C">
        <w:rPr>
          <w:rFonts w:ascii="Arial" w:eastAsia="Times New Roman" w:hAnsi="Arial" w:cs="Arial"/>
          <w:bCs/>
          <w:spacing w:val="10"/>
          <w:lang w:val="es-ES_tradnl" w:eastAsia="es-ES"/>
        </w:rPr>
        <w:t xml:space="preserve">, inscritas en </w:t>
      </w:r>
      <w:r w:rsidRPr="003E6E0C">
        <w:rPr>
          <w:rFonts w:ascii="Arial" w:eastAsia="Times New Roman" w:hAnsi="Arial" w:cs="Arial"/>
          <w:bCs/>
          <w:spacing w:val="10"/>
          <w:lang w:val="es-ES_tradnl" w:eastAsia="es-ES"/>
        </w:rPr>
        <w:t>las resoluciones en materia de estadísticas del trabajo de la 13</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15</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16</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y 18</w:t>
      </w:r>
      <w:r w:rsidR="00F02F3A">
        <w:rPr>
          <w:rFonts w:ascii="Arial" w:eastAsia="Times New Roman" w:hAnsi="Arial" w:cs="Arial"/>
          <w:bCs/>
          <w:spacing w:val="10"/>
          <w:lang w:val="es-ES_tradnl" w:eastAsia="es-ES"/>
        </w:rPr>
        <w:t>ª</w:t>
      </w:r>
      <w:r w:rsidRPr="003E6E0C">
        <w:rPr>
          <w:rFonts w:ascii="Arial" w:eastAsia="Times New Roman" w:hAnsi="Arial" w:cs="Arial"/>
          <w:bCs/>
          <w:spacing w:val="10"/>
          <w:lang w:val="es-ES_tradnl" w:eastAsia="es-ES"/>
        </w:rPr>
        <w:t xml:space="preserve"> Conferencia Internacional de Estadísticos del Trabajo (CIET).</w:t>
      </w:r>
      <w:r w:rsidR="00472882">
        <w:rPr>
          <w:rFonts w:ascii="Arial" w:eastAsia="Times New Roman" w:hAnsi="Arial" w:cs="Arial"/>
          <w:bCs/>
          <w:spacing w:val="10"/>
          <w:lang w:val="es-ES_tradnl" w:eastAsia="es-ES"/>
        </w:rPr>
        <w:t xml:space="preserve"> </w:t>
      </w:r>
    </w:p>
    <w:p w14:paraId="19F1CD81" w14:textId="77777777" w:rsidR="00252EDE" w:rsidRPr="006E2E20" w:rsidRDefault="00252EDE" w:rsidP="00252EDE">
      <w:pPr>
        <w:spacing w:after="0" w:line="240" w:lineRule="auto"/>
        <w:ind w:right="49"/>
        <w:jc w:val="both"/>
        <w:rPr>
          <w:rFonts w:ascii="Arial" w:hAnsi="Arial" w:cs="Arial"/>
        </w:rPr>
      </w:pPr>
    </w:p>
    <w:p w14:paraId="6C658396"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6" w:name="_Toc40113478"/>
      <w:r w:rsidRPr="003E6E0C">
        <w:rPr>
          <w:rFonts w:ascii="Arial" w:eastAsia="Times New Roman" w:hAnsi="Arial" w:cs="Arial"/>
          <w:b/>
          <w:bCs/>
          <w:spacing w:val="10"/>
          <w:lang w:val="es-ES_tradnl" w:eastAsia="es-ES"/>
        </w:rPr>
        <w:t>Objetivo general</w:t>
      </w:r>
      <w:bookmarkEnd w:id="6"/>
    </w:p>
    <w:p w14:paraId="0D75F467"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012DBDE8"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Obtener información estadística sobre las características ocupacionales de la población de 15 </w:t>
      </w:r>
      <w:r w:rsidR="00E27274">
        <w:rPr>
          <w:rFonts w:ascii="Arial" w:eastAsia="Times New Roman" w:hAnsi="Arial" w:cs="Arial"/>
          <w:bCs/>
          <w:spacing w:val="10"/>
          <w:lang w:val="es-ES_tradnl" w:eastAsia="es-ES"/>
        </w:rPr>
        <w:t xml:space="preserve">y más </w:t>
      </w:r>
      <w:r w:rsidRPr="003E6E0C">
        <w:rPr>
          <w:rFonts w:ascii="Arial" w:eastAsia="Times New Roman" w:hAnsi="Arial" w:cs="Arial"/>
          <w:bCs/>
          <w:spacing w:val="10"/>
          <w:lang w:val="es-ES_tradnl" w:eastAsia="es-ES"/>
        </w:rPr>
        <w:t>años a nivel nacional, así como de variables demográficas y económicas para el análisis de la fuerza de trabajo, la toma de decisiones, el diseño y seguimiento de las políticas laborales.</w:t>
      </w:r>
    </w:p>
    <w:p w14:paraId="52DB2062" w14:textId="77777777" w:rsidR="00252EDE" w:rsidRDefault="00252EDE" w:rsidP="00252EDE">
      <w:pPr>
        <w:spacing w:after="0" w:line="240" w:lineRule="auto"/>
        <w:ind w:right="49"/>
        <w:jc w:val="both"/>
        <w:rPr>
          <w:rFonts w:ascii="Arial" w:hAnsi="Arial" w:cs="Arial"/>
          <w:b/>
        </w:rPr>
      </w:pPr>
    </w:p>
    <w:p w14:paraId="3B7624CC"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bookmarkStart w:id="7" w:name="_Toc40113480"/>
      <w:r w:rsidRPr="003E6E0C">
        <w:rPr>
          <w:rFonts w:ascii="Arial" w:eastAsia="Times New Roman" w:hAnsi="Arial" w:cs="Arial"/>
          <w:b/>
          <w:bCs/>
          <w:spacing w:val="10"/>
          <w:lang w:val="es-ES_tradnl" w:eastAsia="es-ES"/>
        </w:rPr>
        <w:t>Instrumentos de captación</w:t>
      </w:r>
    </w:p>
    <w:p w14:paraId="3E6E7935"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2F2CAA97"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 xml:space="preserve">Se aplicaron los mismos cuestionarios </w:t>
      </w:r>
      <w:r w:rsidR="00E27274">
        <w:rPr>
          <w:rFonts w:ascii="Arial" w:eastAsia="Times New Roman" w:hAnsi="Arial" w:cs="Arial"/>
          <w:bCs/>
          <w:spacing w:val="10"/>
          <w:lang w:val="es-ES_tradnl" w:eastAsia="es-ES"/>
        </w:rPr>
        <w:t>S</w:t>
      </w:r>
      <w:r w:rsidR="00E27274" w:rsidRPr="003E6E0C">
        <w:rPr>
          <w:rFonts w:ascii="Arial" w:eastAsia="Times New Roman" w:hAnsi="Arial" w:cs="Arial"/>
          <w:bCs/>
          <w:spacing w:val="10"/>
          <w:lang w:val="es-ES_tradnl" w:eastAsia="es-ES"/>
        </w:rPr>
        <w:t xml:space="preserve">ociodemográfico </w:t>
      </w:r>
      <w:r w:rsidR="00E27274">
        <w:rPr>
          <w:rFonts w:ascii="Arial" w:eastAsia="Times New Roman" w:hAnsi="Arial" w:cs="Arial"/>
          <w:bCs/>
          <w:spacing w:val="10"/>
          <w:lang w:val="es-ES_tradnl" w:eastAsia="es-ES"/>
        </w:rPr>
        <w:t xml:space="preserve">(CS) </w:t>
      </w:r>
      <w:r w:rsidRPr="003E6E0C">
        <w:rPr>
          <w:rFonts w:ascii="Arial" w:eastAsia="Times New Roman" w:hAnsi="Arial" w:cs="Arial"/>
          <w:bCs/>
          <w:spacing w:val="10"/>
          <w:lang w:val="es-ES_tradnl" w:eastAsia="es-ES"/>
        </w:rPr>
        <w:t xml:space="preserve">y de </w:t>
      </w:r>
      <w:r w:rsidR="00E27274">
        <w:rPr>
          <w:rFonts w:ascii="Arial" w:eastAsia="Times New Roman" w:hAnsi="Arial" w:cs="Arial"/>
          <w:bCs/>
          <w:spacing w:val="10"/>
          <w:lang w:val="es-ES_tradnl" w:eastAsia="es-ES"/>
        </w:rPr>
        <w:t>O</w:t>
      </w:r>
      <w:r w:rsidR="00E27274" w:rsidRPr="003E6E0C">
        <w:rPr>
          <w:rFonts w:ascii="Arial" w:eastAsia="Times New Roman" w:hAnsi="Arial" w:cs="Arial"/>
          <w:bCs/>
          <w:spacing w:val="10"/>
          <w:lang w:val="es-ES_tradnl" w:eastAsia="es-ES"/>
        </w:rPr>
        <w:t xml:space="preserve">cupación </w:t>
      </w:r>
      <w:r w:rsidRPr="003E6E0C">
        <w:rPr>
          <w:rFonts w:ascii="Arial" w:eastAsia="Times New Roman" w:hAnsi="Arial" w:cs="Arial"/>
          <w:bCs/>
          <w:spacing w:val="10"/>
          <w:lang w:val="es-ES_tradnl" w:eastAsia="es-ES"/>
        </w:rPr>
        <w:t xml:space="preserve">y </w:t>
      </w:r>
      <w:r w:rsidR="00E27274">
        <w:rPr>
          <w:rFonts w:ascii="Arial" w:eastAsia="Times New Roman" w:hAnsi="Arial" w:cs="Arial"/>
          <w:bCs/>
          <w:spacing w:val="10"/>
          <w:lang w:val="es-ES_tradnl" w:eastAsia="es-ES"/>
        </w:rPr>
        <w:t>E</w:t>
      </w:r>
      <w:r w:rsidR="00E27274" w:rsidRPr="003E6E0C">
        <w:rPr>
          <w:rFonts w:ascii="Arial" w:eastAsia="Times New Roman" w:hAnsi="Arial" w:cs="Arial"/>
          <w:bCs/>
          <w:spacing w:val="10"/>
          <w:lang w:val="es-ES_tradnl" w:eastAsia="es-ES"/>
        </w:rPr>
        <w:t>mpleo</w:t>
      </w:r>
      <w:r w:rsidR="00E27274">
        <w:rPr>
          <w:rFonts w:ascii="Arial" w:eastAsia="Times New Roman" w:hAnsi="Arial" w:cs="Arial"/>
          <w:bCs/>
          <w:spacing w:val="10"/>
          <w:lang w:val="es-ES_tradnl" w:eastAsia="es-ES"/>
        </w:rPr>
        <w:t xml:space="preserve"> (COE)</w:t>
      </w:r>
      <w:r w:rsidR="00E27274"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básico de la Encuesta Nacional de Ocupación y Empleo (ENOE)</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w:t>
      </w:r>
      <w:r w:rsidR="00E27274">
        <w:rPr>
          <w:rFonts w:ascii="Arial" w:eastAsia="Times New Roman" w:hAnsi="Arial" w:cs="Arial"/>
          <w:bCs/>
          <w:spacing w:val="10"/>
          <w:lang w:val="es-ES_tradnl" w:eastAsia="es-ES"/>
        </w:rPr>
        <w:t>e</w:t>
      </w:r>
      <w:r w:rsidRPr="003E6E0C">
        <w:rPr>
          <w:rFonts w:ascii="Arial" w:eastAsia="Times New Roman" w:hAnsi="Arial" w:cs="Arial"/>
          <w:bCs/>
          <w:spacing w:val="10"/>
          <w:lang w:val="es-ES_tradnl" w:eastAsia="es-ES"/>
        </w:rPr>
        <w:t>s decir, no se realizaron modificaciones en los instrumentos de captación de la encuesta.</w:t>
      </w:r>
    </w:p>
    <w:p w14:paraId="5F992F81" w14:textId="77777777" w:rsidR="00252EDE" w:rsidRPr="006E2E20" w:rsidRDefault="00252EDE" w:rsidP="00252EDE">
      <w:pPr>
        <w:spacing w:after="0" w:line="240" w:lineRule="auto"/>
        <w:ind w:right="49"/>
        <w:jc w:val="both"/>
        <w:rPr>
          <w:rFonts w:ascii="Arial" w:hAnsi="Arial" w:cs="Arial"/>
        </w:rPr>
      </w:pPr>
    </w:p>
    <w:p w14:paraId="12C0611A"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Informante de la encuesta</w:t>
      </w:r>
    </w:p>
    <w:p w14:paraId="7959D1DF"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05D55765"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fue proporcionada por la jefa o jefe del hogar o una persona de 15 y más años residente habitual de la vivienda</w:t>
      </w:r>
      <w:r w:rsidR="00DC6656">
        <w:rPr>
          <w:rFonts w:ascii="Arial" w:eastAsia="Times New Roman" w:hAnsi="Arial" w:cs="Arial"/>
          <w:bCs/>
          <w:spacing w:val="10"/>
          <w:lang w:val="es-ES_tradnl" w:eastAsia="es-ES"/>
        </w:rPr>
        <w:t xml:space="preserve"> </w:t>
      </w:r>
      <w:r w:rsidR="004E678C">
        <w:rPr>
          <w:rFonts w:ascii="Arial" w:eastAsia="Times New Roman" w:hAnsi="Arial" w:cs="Arial"/>
          <w:bCs/>
          <w:spacing w:val="10"/>
          <w:lang w:val="es-ES_tradnl" w:eastAsia="es-ES"/>
        </w:rPr>
        <w:t xml:space="preserve">a través de entrevistas presenciales o </w:t>
      </w:r>
      <w:r w:rsidR="00E27274">
        <w:rPr>
          <w:rFonts w:ascii="Arial" w:eastAsia="Times New Roman" w:hAnsi="Arial" w:cs="Arial"/>
          <w:bCs/>
          <w:spacing w:val="10"/>
          <w:lang w:val="es-ES_tradnl" w:eastAsia="es-ES"/>
        </w:rPr>
        <w:t>telefónica</w:t>
      </w:r>
      <w:r w:rsidR="004E678C">
        <w:rPr>
          <w:rFonts w:ascii="Arial" w:eastAsia="Times New Roman" w:hAnsi="Arial" w:cs="Arial"/>
          <w:bCs/>
          <w:spacing w:val="10"/>
          <w:lang w:val="es-ES_tradnl" w:eastAsia="es-ES"/>
        </w:rPr>
        <w:t>s.</w:t>
      </w:r>
    </w:p>
    <w:p w14:paraId="64866913"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1379DE43" w14:textId="77777777" w:rsidR="00252EDE" w:rsidRPr="001530F2" w:rsidRDefault="00252EDE"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Población objetivo</w:t>
      </w:r>
    </w:p>
    <w:p w14:paraId="45507A72" w14:textId="77777777" w:rsidR="00343375" w:rsidRDefault="00343375" w:rsidP="00252EDE">
      <w:pPr>
        <w:spacing w:after="0" w:line="240" w:lineRule="auto"/>
        <w:ind w:right="49"/>
        <w:jc w:val="both"/>
        <w:rPr>
          <w:rFonts w:ascii="Arial" w:eastAsia="Times New Roman" w:hAnsi="Arial" w:cs="Arial"/>
          <w:bCs/>
          <w:spacing w:val="10"/>
          <w:lang w:val="es-ES_tradnl" w:eastAsia="es-ES"/>
        </w:rPr>
      </w:pPr>
    </w:p>
    <w:p w14:paraId="3B76338B"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población objetivo de la encuesta son todos los integrantes de la</w:t>
      </w:r>
      <w:r w:rsidR="00E94EE0">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w:t>
      </w:r>
      <w:r w:rsidR="00E94EE0">
        <w:rPr>
          <w:rFonts w:ascii="Arial" w:eastAsia="Times New Roman" w:hAnsi="Arial" w:cs="Arial"/>
          <w:bCs/>
          <w:spacing w:val="10"/>
          <w:lang w:val="es-ES_tradnl" w:eastAsia="es-ES"/>
        </w:rPr>
        <w:t xml:space="preserve">s y </w:t>
      </w:r>
      <w:r w:rsidR="00121E72">
        <w:rPr>
          <w:rFonts w:ascii="Arial" w:eastAsia="Times New Roman" w:hAnsi="Arial" w:cs="Arial"/>
          <w:bCs/>
          <w:spacing w:val="10"/>
          <w:lang w:val="es-ES_tradnl" w:eastAsia="es-ES"/>
        </w:rPr>
        <w:t>hogares</w:t>
      </w:r>
      <w:r w:rsidRPr="003E6E0C">
        <w:rPr>
          <w:rFonts w:ascii="Arial" w:eastAsia="Times New Roman" w:hAnsi="Arial" w:cs="Arial"/>
          <w:bCs/>
          <w:spacing w:val="10"/>
          <w:lang w:val="es-ES_tradnl" w:eastAsia="es-ES"/>
        </w:rPr>
        <w:t>, así como las personas de 12 y más años de edad.</w:t>
      </w:r>
    </w:p>
    <w:p w14:paraId="40A423F4" w14:textId="77777777" w:rsidR="00252EDE" w:rsidRPr="006E2E20" w:rsidRDefault="00252EDE" w:rsidP="00252EDE">
      <w:pPr>
        <w:spacing w:after="0" w:line="240" w:lineRule="auto"/>
        <w:ind w:right="49"/>
        <w:jc w:val="both"/>
        <w:rPr>
          <w:rFonts w:ascii="Arial" w:hAnsi="Arial" w:cs="Arial"/>
        </w:rPr>
      </w:pPr>
    </w:p>
    <w:p w14:paraId="740413EA" w14:textId="77777777" w:rsidR="00DF5D01" w:rsidRDefault="00252EDE" w:rsidP="00405792">
      <w:pPr>
        <w:pStyle w:val="Prrafodelista"/>
        <w:numPr>
          <w:ilvl w:val="0"/>
          <w:numId w:val="19"/>
        </w:numPr>
        <w:spacing w:after="0" w:line="240" w:lineRule="auto"/>
        <w:ind w:right="49"/>
        <w:rPr>
          <w:rFonts w:ascii="Arial" w:eastAsia="Times New Roman" w:hAnsi="Arial" w:cs="Arial"/>
          <w:b/>
          <w:bCs/>
          <w:spacing w:val="10"/>
          <w:lang w:val="es-ES_tradnl" w:eastAsia="es-ES"/>
        </w:rPr>
      </w:pPr>
      <w:r w:rsidRPr="00405792">
        <w:rPr>
          <w:rFonts w:ascii="Arial" w:eastAsia="Times New Roman" w:hAnsi="Arial" w:cs="Arial"/>
          <w:b/>
          <w:bCs/>
          <w:spacing w:val="10"/>
          <w:lang w:val="es-ES_tradnl" w:eastAsia="es-ES"/>
        </w:rPr>
        <w:t>Temática</w:t>
      </w:r>
      <w:bookmarkEnd w:id="7"/>
    </w:p>
    <w:p w14:paraId="5B7CF4C3" w14:textId="77777777" w:rsidR="00343375" w:rsidRPr="00343375" w:rsidRDefault="00343375" w:rsidP="00343375">
      <w:pPr>
        <w:spacing w:after="0" w:line="240" w:lineRule="auto"/>
        <w:ind w:right="49"/>
        <w:rPr>
          <w:rFonts w:ascii="Arial" w:eastAsia="Times New Roman" w:hAnsi="Arial" w:cs="Arial"/>
          <w:bCs/>
          <w:spacing w:val="10"/>
          <w:lang w:val="es-ES_tradnl" w:eastAsia="es-ES"/>
        </w:rPr>
      </w:pPr>
    </w:p>
    <w:tbl>
      <w:tblPr>
        <w:tblStyle w:val="Tablaconcuadrcula4-nfasis2"/>
        <w:tblW w:w="0" w:type="auto"/>
        <w:tblLook w:val="04A0" w:firstRow="1" w:lastRow="0" w:firstColumn="1" w:lastColumn="0" w:noHBand="0" w:noVBand="1"/>
      </w:tblPr>
      <w:tblGrid>
        <w:gridCol w:w="2751"/>
        <w:gridCol w:w="6077"/>
      </w:tblGrid>
      <w:tr w:rsidR="00252EDE" w:rsidRPr="003E6E0C" w14:paraId="349A4538" w14:textId="77777777" w:rsidTr="00811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63C6C750"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Tema</w:t>
            </w:r>
          </w:p>
        </w:tc>
        <w:tc>
          <w:tcPr>
            <w:tcW w:w="6077" w:type="dxa"/>
          </w:tcPr>
          <w:p w14:paraId="5BD9262C" w14:textId="77777777" w:rsidR="00252EDE" w:rsidRPr="00405792" w:rsidRDefault="00252EDE" w:rsidP="00811F67">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Variables</w:t>
            </w:r>
          </w:p>
        </w:tc>
      </w:tr>
      <w:tr w:rsidR="00252EDE" w:rsidRPr="003E6E0C" w14:paraId="4B6CE152"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D5E4A04"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Situación laboral</w:t>
            </w:r>
          </w:p>
        </w:tc>
        <w:tc>
          <w:tcPr>
            <w:tcW w:w="6077" w:type="dxa"/>
          </w:tcPr>
          <w:p w14:paraId="454A38AB"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actividad económica y de ocupación, ausencia laboral, tiempo de búsqueda de trabajo, disponibilidad para trabajar, deseos de trabajar, etc.</w:t>
            </w:r>
          </w:p>
        </w:tc>
      </w:tr>
      <w:tr w:rsidR="00252EDE" w:rsidRPr="003E6E0C" w14:paraId="0D33BEFA"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2B0CE187"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Contexto laboral</w:t>
            </w:r>
          </w:p>
        </w:tc>
        <w:tc>
          <w:tcPr>
            <w:tcW w:w="6077" w:type="dxa"/>
          </w:tcPr>
          <w:p w14:paraId="2834D09C"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Grupos de ocupación, posición en la ocupación, número de trabajadores, contratación, prestaciones.</w:t>
            </w:r>
          </w:p>
        </w:tc>
      </w:tr>
      <w:tr w:rsidR="00252EDE" w:rsidRPr="003E6E0C" w14:paraId="207748EF"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1532292E"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Características de la unidad económica</w:t>
            </w:r>
          </w:p>
        </w:tc>
        <w:tc>
          <w:tcPr>
            <w:tcW w:w="6077" w:type="dxa"/>
          </w:tcPr>
          <w:p w14:paraId="40629191"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Sector de actividad económica, tipo de unidad económica, lugar de trabajo, tipo de local, registros contables, cadenas de negocios, empleo en multinacionales.</w:t>
            </w:r>
          </w:p>
        </w:tc>
      </w:tr>
      <w:tr w:rsidR="00252EDE" w:rsidRPr="003E6E0C" w14:paraId="19FFA741"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1B35C9D3"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Jornada y regularidad laboral </w:t>
            </w:r>
          </w:p>
        </w:tc>
        <w:tc>
          <w:tcPr>
            <w:tcW w:w="6077" w:type="dxa"/>
          </w:tcPr>
          <w:p w14:paraId="798C64B0" w14:textId="77777777" w:rsidR="00252EDE" w:rsidRPr="00405792" w:rsidRDefault="00252EDE" w:rsidP="001664C9">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Tipo de jornada, días y horas trabajadas, nivel de actividad, motivos por los que no trabajo las horas habituales, meses trabajados.</w:t>
            </w:r>
          </w:p>
        </w:tc>
      </w:tr>
      <w:tr w:rsidR="00252EDE" w:rsidRPr="003E6E0C" w14:paraId="7D946777"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7FC03111"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Ingresos y atención médica</w:t>
            </w:r>
          </w:p>
        </w:tc>
        <w:tc>
          <w:tcPr>
            <w:tcW w:w="6077" w:type="dxa"/>
          </w:tcPr>
          <w:p w14:paraId="0B274BD2"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Forma de pago, periodo de pago, monto de ingresos, sueldos y salarios mensuales y acceso a seguridad social.</w:t>
            </w:r>
          </w:p>
        </w:tc>
      </w:tr>
      <w:tr w:rsidR="00252EDE" w:rsidRPr="003E6E0C" w14:paraId="5BF0683F"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41523891"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Trabajo secundario</w:t>
            </w:r>
          </w:p>
        </w:tc>
        <w:tc>
          <w:tcPr>
            <w:tcW w:w="6077" w:type="dxa"/>
          </w:tcPr>
          <w:p w14:paraId="0A50E1BB"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Posición en la ocupación, grupos de ocupación, sector de actividad económica.</w:t>
            </w:r>
          </w:p>
        </w:tc>
      </w:tr>
      <w:tr w:rsidR="00252EDE" w:rsidRPr="003E6E0C" w14:paraId="13955D55"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30DC2443"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Búsqueda de otro trabajo</w:t>
            </w:r>
          </w:p>
        </w:tc>
        <w:tc>
          <w:tcPr>
            <w:tcW w:w="6077" w:type="dxa"/>
          </w:tcPr>
          <w:p w14:paraId="0867DCFC" w14:textId="77777777" w:rsidR="00252EDE" w:rsidRPr="00405792" w:rsidRDefault="00252EDE" w:rsidP="001664C9">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Condición de búsqueda y motivo de búsqueda de otro trabajo.</w:t>
            </w:r>
          </w:p>
        </w:tc>
      </w:tr>
      <w:tr w:rsidR="00252EDE" w:rsidRPr="003E6E0C" w14:paraId="58BF0B4E" w14:textId="77777777" w:rsidTr="00811F67">
        <w:tc>
          <w:tcPr>
            <w:cnfStyle w:val="001000000000" w:firstRow="0" w:lastRow="0" w:firstColumn="1" w:lastColumn="0" w:oddVBand="0" w:evenVBand="0" w:oddHBand="0" w:evenHBand="0" w:firstRowFirstColumn="0" w:firstRowLastColumn="0" w:lastRowFirstColumn="0" w:lastRowLastColumn="0"/>
            <w:tcW w:w="2751" w:type="dxa"/>
          </w:tcPr>
          <w:p w14:paraId="642A38AE" w14:textId="77777777" w:rsidR="00252EDE" w:rsidRPr="00405792" w:rsidRDefault="00252EDE" w:rsidP="001664C9">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 xml:space="preserve">Antecedentes laborales </w:t>
            </w:r>
          </w:p>
        </w:tc>
        <w:tc>
          <w:tcPr>
            <w:tcW w:w="6077" w:type="dxa"/>
          </w:tcPr>
          <w:p w14:paraId="42CD4AE5" w14:textId="77777777" w:rsidR="00252EDE" w:rsidRPr="00405792" w:rsidRDefault="00252EDE" w:rsidP="005B76CF">
            <w:pPr>
              <w:ind w:right="49"/>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Motivo por el que perdió o abandonó el empleo o negocio, año de término.</w:t>
            </w:r>
          </w:p>
        </w:tc>
      </w:tr>
      <w:tr w:rsidR="00DF5D01" w:rsidRPr="003E6E0C" w14:paraId="25D38818"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Pr>
          <w:p w14:paraId="3421A08E" w14:textId="77777777" w:rsidR="00DF5D01" w:rsidRPr="00405792" w:rsidRDefault="00DF5D01" w:rsidP="00DF5D01">
            <w:pPr>
              <w:ind w:right="49"/>
              <w:jc w:val="both"/>
              <w:rPr>
                <w:rFonts w:ascii="Arial" w:eastAsia="Times New Roman" w:hAnsi="Arial" w:cs="Arial"/>
                <w:bCs w:val="0"/>
                <w:spacing w:val="10"/>
                <w:sz w:val="18"/>
                <w:szCs w:val="18"/>
                <w:lang w:val="es-ES_tradnl" w:eastAsia="es-ES"/>
              </w:rPr>
            </w:pPr>
            <w:r w:rsidRPr="00405792">
              <w:rPr>
                <w:rFonts w:ascii="Arial" w:eastAsia="Times New Roman" w:hAnsi="Arial" w:cs="Arial"/>
                <w:bCs w:val="0"/>
                <w:spacing w:val="10"/>
                <w:sz w:val="18"/>
                <w:szCs w:val="18"/>
                <w:lang w:val="es-ES_tradnl" w:eastAsia="es-ES"/>
              </w:rPr>
              <w:t>Otras actividades</w:t>
            </w:r>
          </w:p>
        </w:tc>
        <w:tc>
          <w:tcPr>
            <w:tcW w:w="6077" w:type="dxa"/>
          </w:tcPr>
          <w:p w14:paraId="09192CAC" w14:textId="77777777" w:rsidR="00DF5D01" w:rsidRPr="00405792" w:rsidRDefault="00DF5D01" w:rsidP="00DF5D01">
            <w:pPr>
              <w:ind w:right="49"/>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10"/>
                <w:sz w:val="18"/>
                <w:szCs w:val="18"/>
                <w:lang w:val="es-ES_tradnl" w:eastAsia="es-ES"/>
              </w:rPr>
            </w:pPr>
            <w:r w:rsidRPr="00405792">
              <w:rPr>
                <w:rFonts w:ascii="Arial" w:eastAsia="Times New Roman" w:hAnsi="Arial" w:cs="Arial"/>
                <w:bCs/>
                <w:spacing w:val="10"/>
                <w:sz w:val="18"/>
                <w:szCs w:val="18"/>
                <w:lang w:val="es-ES_tradnl" w:eastAsia="es-ES"/>
              </w:rPr>
              <w:t>Quehaceres domésticos, estudio, servicios comunitarios y horas dedicadas a dichas actividades</w:t>
            </w:r>
          </w:p>
        </w:tc>
      </w:tr>
    </w:tbl>
    <w:p w14:paraId="3F18D0BE" w14:textId="77777777" w:rsidR="00252EDE" w:rsidRPr="003E6E0C" w:rsidRDefault="00252EDE" w:rsidP="00252EDE">
      <w:pPr>
        <w:spacing w:after="0" w:line="240" w:lineRule="auto"/>
        <w:ind w:right="49"/>
        <w:jc w:val="both"/>
        <w:rPr>
          <w:rFonts w:ascii="Arial" w:eastAsia="Times New Roman" w:hAnsi="Arial" w:cs="Arial"/>
          <w:bCs/>
          <w:spacing w:val="10"/>
          <w:lang w:val="es-ES_tradnl" w:eastAsia="es-ES"/>
        </w:rPr>
      </w:pPr>
    </w:p>
    <w:p w14:paraId="360CE290" w14:textId="77777777" w:rsidR="00252EDE" w:rsidRPr="001530F2" w:rsidRDefault="00CE4998" w:rsidP="001530F2">
      <w:pPr>
        <w:pStyle w:val="Prrafodelista"/>
        <w:numPr>
          <w:ilvl w:val="0"/>
          <w:numId w:val="19"/>
        </w:numPr>
        <w:spacing w:after="0" w:line="240" w:lineRule="auto"/>
        <w:ind w:right="49"/>
        <w:rPr>
          <w:rFonts w:ascii="Arial" w:eastAsia="Times New Roman" w:hAnsi="Arial" w:cs="Arial"/>
          <w:b/>
          <w:bCs/>
          <w:spacing w:val="10"/>
          <w:lang w:val="es-ES_tradnl" w:eastAsia="es-ES"/>
        </w:rPr>
      </w:pPr>
      <w:r>
        <w:rPr>
          <w:rFonts w:ascii="Arial" w:eastAsia="Times New Roman" w:hAnsi="Arial" w:cs="Arial"/>
          <w:b/>
          <w:bCs/>
          <w:spacing w:val="10"/>
          <w:lang w:val="es-ES_tradnl" w:eastAsia="es-ES"/>
        </w:rPr>
        <w:t xml:space="preserve">Situaciones laborales </w:t>
      </w:r>
      <w:r w:rsidR="007369DE">
        <w:rPr>
          <w:rFonts w:ascii="Arial" w:eastAsia="Times New Roman" w:hAnsi="Arial" w:cs="Arial"/>
          <w:b/>
          <w:bCs/>
          <w:spacing w:val="10"/>
          <w:lang w:val="es-ES_tradnl" w:eastAsia="es-ES"/>
        </w:rPr>
        <w:t>relevantes en</w:t>
      </w:r>
      <w:r>
        <w:rPr>
          <w:rFonts w:ascii="Arial" w:eastAsia="Times New Roman" w:hAnsi="Arial" w:cs="Arial"/>
          <w:b/>
          <w:bCs/>
          <w:spacing w:val="10"/>
          <w:lang w:val="es-ES_tradnl" w:eastAsia="es-ES"/>
        </w:rPr>
        <w:t xml:space="preserve"> la pandemia</w:t>
      </w:r>
    </w:p>
    <w:p w14:paraId="275C8A7A" w14:textId="77777777" w:rsidR="00343375" w:rsidRDefault="00343375" w:rsidP="00DF5D01">
      <w:pPr>
        <w:spacing w:after="0" w:line="240" w:lineRule="auto"/>
        <w:ind w:right="49"/>
        <w:jc w:val="both"/>
        <w:rPr>
          <w:rFonts w:ascii="Arial" w:eastAsia="Times New Roman" w:hAnsi="Arial" w:cs="Arial"/>
          <w:bCs/>
          <w:spacing w:val="10"/>
          <w:lang w:val="es-ES_tradnl" w:eastAsia="es-ES"/>
        </w:rPr>
      </w:pPr>
      <w:bookmarkStart w:id="8" w:name="_Toc41756104"/>
    </w:p>
    <w:p w14:paraId="24392DD5" w14:textId="786F71F4" w:rsidR="00252EDE" w:rsidRPr="00DF5D01" w:rsidRDefault="007369DE" w:rsidP="00DF5D01">
      <w:pPr>
        <w:spacing w:after="0" w:line="240" w:lineRule="auto"/>
        <w:ind w:right="49"/>
        <w:jc w:val="both"/>
        <w:rPr>
          <w:rFonts w:ascii="Arial" w:eastAsia="Times New Roman" w:hAnsi="Arial" w:cs="Arial"/>
          <w:bCs/>
          <w:spacing w:val="10"/>
          <w:lang w:val="es-ES_tradnl" w:eastAsia="es-ES"/>
        </w:rPr>
      </w:pPr>
      <w:r w:rsidRPr="00DF5D01">
        <w:rPr>
          <w:rFonts w:ascii="Arial" w:eastAsia="Times New Roman" w:hAnsi="Arial" w:cs="Arial"/>
          <w:bCs/>
          <w:spacing w:val="10"/>
          <w:lang w:val="es-ES_tradnl" w:eastAsia="es-ES"/>
        </w:rPr>
        <w:t xml:space="preserve">Durante el periodo de la pandemia y las medidas de distanciamiento social, </w:t>
      </w:r>
      <w:r w:rsidR="004E678C">
        <w:rPr>
          <w:rFonts w:ascii="Arial" w:eastAsia="Times New Roman" w:hAnsi="Arial" w:cs="Arial"/>
          <w:bCs/>
          <w:spacing w:val="10"/>
          <w:lang w:val="es-ES_tradnl" w:eastAsia="es-ES"/>
        </w:rPr>
        <w:t xml:space="preserve">así como el </w:t>
      </w:r>
      <w:r w:rsidR="00B96E1D">
        <w:rPr>
          <w:rFonts w:ascii="Arial" w:eastAsia="Times New Roman" w:hAnsi="Arial" w:cs="Arial"/>
          <w:bCs/>
          <w:spacing w:val="10"/>
          <w:lang w:val="es-ES_tradnl" w:eastAsia="es-ES"/>
        </w:rPr>
        <w:t xml:space="preserve">reinicio </w:t>
      </w:r>
      <w:r w:rsidR="004E678C">
        <w:rPr>
          <w:rFonts w:ascii="Arial" w:eastAsia="Times New Roman" w:hAnsi="Arial" w:cs="Arial"/>
          <w:bCs/>
          <w:spacing w:val="10"/>
          <w:lang w:val="es-ES_tradnl" w:eastAsia="es-ES"/>
        </w:rPr>
        <w:t xml:space="preserve">gradual de las actividades no esenciales, </w:t>
      </w:r>
      <w:r w:rsidRPr="00DF5D01">
        <w:rPr>
          <w:rFonts w:ascii="Arial" w:eastAsia="Times New Roman" w:hAnsi="Arial" w:cs="Arial"/>
          <w:bCs/>
          <w:spacing w:val="10"/>
          <w:lang w:val="es-ES_tradnl" w:eastAsia="es-ES"/>
        </w:rPr>
        <w:t xml:space="preserve">tres segmentos de la fuerza de trabajo resultan relevantes para monitorear los impactos en el mercado laboral. </w:t>
      </w:r>
      <w:r w:rsidR="00E27274">
        <w:rPr>
          <w:rFonts w:ascii="Arial" w:eastAsia="Times New Roman" w:hAnsi="Arial" w:cs="Arial"/>
          <w:bCs/>
          <w:spacing w:val="10"/>
          <w:lang w:val="es-ES_tradnl" w:eastAsia="es-ES"/>
        </w:rPr>
        <w:t>1) l</w:t>
      </w:r>
      <w:r w:rsidR="00E27274" w:rsidRPr="00DF5D01">
        <w:rPr>
          <w:rFonts w:ascii="Arial" w:eastAsia="Times New Roman" w:hAnsi="Arial" w:cs="Arial"/>
          <w:bCs/>
          <w:spacing w:val="10"/>
          <w:lang w:val="es-ES_tradnl" w:eastAsia="es-ES"/>
        </w:rPr>
        <w:t xml:space="preserve">a </w:t>
      </w:r>
      <w:r w:rsidRPr="00DF5D01">
        <w:rPr>
          <w:rFonts w:ascii="Arial" w:eastAsia="Times New Roman" w:hAnsi="Arial" w:cs="Arial"/>
          <w:bCs/>
          <w:spacing w:val="10"/>
          <w:lang w:val="es-ES_tradnl" w:eastAsia="es-ES"/>
        </w:rPr>
        <w:t xml:space="preserve">subocupación, uno de los indicadores ampliamente utilizados y que permitirá conocer el número de personas que están en posibilidades de ofertar una </w:t>
      </w:r>
      <w:r w:rsidR="00E94EE0">
        <w:rPr>
          <w:rFonts w:ascii="Arial" w:eastAsia="Times New Roman" w:hAnsi="Arial" w:cs="Arial"/>
          <w:bCs/>
          <w:spacing w:val="10"/>
          <w:lang w:val="es-ES_tradnl" w:eastAsia="es-ES"/>
        </w:rPr>
        <w:t>mayor</w:t>
      </w:r>
      <w:r w:rsidR="00E94EE0" w:rsidRPr="00DF5D01">
        <w:rPr>
          <w:rFonts w:ascii="Arial" w:eastAsia="Times New Roman" w:hAnsi="Arial" w:cs="Arial"/>
          <w:bCs/>
          <w:spacing w:val="10"/>
          <w:lang w:val="es-ES_tradnl" w:eastAsia="es-ES"/>
        </w:rPr>
        <w:t xml:space="preserve"> </w:t>
      </w:r>
      <w:r w:rsidRPr="00DF5D01">
        <w:rPr>
          <w:rFonts w:ascii="Arial" w:eastAsia="Times New Roman" w:hAnsi="Arial" w:cs="Arial"/>
          <w:bCs/>
          <w:spacing w:val="10"/>
          <w:lang w:val="es-ES_tradnl" w:eastAsia="es-ES"/>
        </w:rPr>
        <w:t xml:space="preserve">cantidad de trabajo; </w:t>
      </w:r>
      <w:r w:rsidR="00E27274">
        <w:rPr>
          <w:rFonts w:ascii="Arial" w:eastAsia="Times New Roman" w:hAnsi="Arial" w:cs="Arial"/>
          <w:bCs/>
          <w:spacing w:val="10"/>
          <w:lang w:val="es-ES_tradnl" w:eastAsia="es-ES"/>
        </w:rPr>
        <w:t xml:space="preserve">2) </w:t>
      </w:r>
      <w:r w:rsidRPr="00DF5D01">
        <w:rPr>
          <w:rFonts w:ascii="Arial" w:eastAsia="Times New Roman" w:hAnsi="Arial" w:cs="Arial"/>
          <w:bCs/>
          <w:spacing w:val="10"/>
          <w:lang w:val="es-ES_tradnl" w:eastAsia="es-ES"/>
        </w:rPr>
        <w:t xml:space="preserve">los ausentes temporales de su empleo, especialmente aquellos </w:t>
      </w:r>
      <w:r w:rsidR="005C4141">
        <w:rPr>
          <w:rFonts w:ascii="Arial" w:eastAsia="Times New Roman" w:hAnsi="Arial" w:cs="Arial"/>
          <w:bCs/>
          <w:spacing w:val="10"/>
          <w:lang w:val="es-ES_tradnl" w:eastAsia="es-ES"/>
        </w:rPr>
        <w:t xml:space="preserve">que </w:t>
      </w:r>
      <w:r w:rsidRPr="00DF5D01">
        <w:rPr>
          <w:rFonts w:ascii="Arial" w:eastAsia="Times New Roman" w:hAnsi="Arial" w:cs="Arial"/>
          <w:bCs/>
          <w:spacing w:val="10"/>
          <w:lang w:val="es-ES_tradnl" w:eastAsia="es-ES"/>
        </w:rPr>
        <w:t xml:space="preserve">no lograron mantener su vínculo laboral durante la pandemia y las razones por las cuales dejaron el empleo o negocio; y finalmente </w:t>
      </w:r>
      <w:r w:rsidR="00E27274">
        <w:rPr>
          <w:rFonts w:ascii="Arial" w:eastAsia="Times New Roman" w:hAnsi="Arial" w:cs="Arial"/>
          <w:bCs/>
          <w:spacing w:val="10"/>
          <w:lang w:val="es-ES_tradnl" w:eastAsia="es-ES"/>
        </w:rPr>
        <w:t xml:space="preserve">3) </w:t>
      </w:r>
      <w:r w:rsidRPr="00DF5D01">
        <w:rPr>
          <w:rFonts w:ascii="Arial" w:eastAsia="Times New Roman" w:hAnsi="Arial" w:cs="Arial"/>
          <w:bCs/>
          <w:spacing w:val="10"/>
          <w:lang w:val="es-ES_tradnl" w:eastAsia="es-ES"/>
        </w:rPr>
        <w:t>los disponibles para trabajar, que tienen la necesidad o deseos de trabajar, pero que en la coyuntura actual, enfrentarán dificultades para incorporarse al mercado laboral.</w:t>
      </w:r>
      <w:bookmarkEnd w:id="8"/>
      <w:r w:rsidRPr="00DF5D01">
        <w:rPr>
          <w:rFonts w:ascii="Arial" w:eastAsia="Times New Roman" w:hAnsi="Arial" w:cs="Arial"/>
          <w:bCs/>
          <w:spacing w:val="10"/>
          <w:lang w:val="es-ES_tradnl" w:eastAsia="es-ES"/>
        </w:rPr>
        <w:t xml:space="preserve"> Entre los disponibles se pueden identificar diferentes grupos según el grado de vinculación con el mercado laboral; por un lado, se puede diferenciar entre quienes están ausentes temporalmente de su empleo, de aquellos que no lo están; así como, ubicar en el tiempo, aquellos que tienen experiencia laboral y que por algún motivo perdieron su empleo, renunciaron a un empleo, cerraron su negocio u otras razones, en un periodo reciente, situaciones que en periodos de parálisis de la actividad productiva, resultan en elementos clave para comprender el impacto de la pandemia en segmentos de la fuerza de trabajo, cuya fuente de trabajo es altamente vulnerable.</w:t>
      </w:r>
    </w:p>
    <w:p w14:paraId="40A0111B" w14:textId="77777777" w:rsidR="001530F2" w:rsidRDefault="001530F2" w:rsidP="00A14E08">
      <w:pPr>
        <w:pStyle w:val="Prrafodelista"/>
        <w:spacing w:after="0" w:line="240" w:lineRule="auto"/>
        <w:ind w:left="0" w:right="49"/>
        <w:rPr>
          <w:rFonts w:ascii="Arial" w:eastAsia="Times New Roman" w:hAnsi="Arial" w:cs="Arial"/>
          <w:b/>
          <w:bCs/>
          <w:spacing w:val="10"/>
          <w:lang w:val="es-ES_tradnl" w:eastAsia="es-ES"/>
        </w:rPr>
      </w:pPr>
    </w:p>
    <w:p w14:paraId="57BD12A6"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Estrategia operativa y resultados del levantamiento</w:t>
      </w:r>
    </w:p>
    <w:p w14:paraId="0B813BFB" w14:textId="77777777" w:rsidR="00252EDE" w:rsidRPr="00C07470" w:rsidRDefault="00252EDE" w:rsidP="00252EDE">
      <w:pPr>
        <w:spacing w:after="0" w:line="240" w:lineRule="auto"/>
        <w:ind w:right="49"/>
        <w:jc w:val="both"/>
        <w:rPr>
          <w:rFonts w:ascii="Arial" w:hAnsi="Arial" w:cs="Arial"/>
        </w:rPr>
      </w:pPr>
    </w:p>
    <w:p w14:paraId="77E6BF35"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w:t>
      </w:r>
      <w:r w:rsidR="008C75BC">
        <w:rPr>
          <w:rFonts w:ascii="Arial" w:eastAsia="Times New Roman" w:hAnsi="Arial" w:cs="Arial"/>
          <w:bCs/>
          <w:spacing w:val="10"/>
          <w:lang w:val="es-ES_tradnl" w:eastAsia="es-ES"/>
        </w:rPr>
        <w:t xml:space="preserve"> mayoría de las </w:t>
      </w:r>
      <w:r w:rsidRPr="003E6E0C">
        <w:rPr>
          <w:rFonts w:ascii="Arial" w:eastAsia="Times New Roman" w:hAnsi="Arial" w:cs="Arial"/>
          <w:bCs/>
          <w:spacing w:val="10"/>
          <w:lang w:val="es-ES_tradnl" w:eastAsia="es-ES"/>
        </w:rPr>
        <w:t xml:space="preserve">oficinas estadísticas de los países levantan sus encuestas de fuerza de trabajo mediante entrevistas cara a cara en </w:t>
      </w:r>
      <w:r w:rsidRPr="00A83689">
        <w:rPr>
          <w:rFonts w:ascii="Arial" w:eastAsia="Times New Roman" w:hAnsi="Arial" w:cs="Arial"/>
          <w:bCs/>
          <w:spacing w:val="10"/>
          <w:lang w:val="es-ES_tradnl" w:eastAsia="es-ES"/>
        </w:rPr>
        <w:t>la</w:t>
      </w:r>
      <w:r w:rsidR="006F305E" w:rsidRPr="00A83689">
        <w:rPr>
          <w:rFonts w:ascii="Arial" w:eastAsia="Times New Roman" w:hAnsi="Arial" w:cs="Arial"/>
          <w:bCs/>
          <w:spacing w:val="10"/>
          <w:lang w:val="es-ES_tradnl" w:eastAsia="es-ES"/>
        </w:rPr>
        <w:t>s</w:t>
      </w:r>
      <w:r w:rsidRPr="003E6E0C">
        <w:rPr>
          <w:rFonts w:ascii="Arial" w:eastAsia="Times New Roman" w:hAnsi="Arial" w:cs="Arial"/>
          <w:bCs/>
          <w:spacing w:val="10"/>
          <w:lang w:val="es-ES_tradnl" w:eastAsia="es-ES"/>
        </w:rPr>
        <w:t xml:space="preserve"> viviendas seleccionadas</w:t>
      </w:r>
      <w:r w:rsidR="00E27274">
        <w:rPr>
          <w:rFonts w:ascii="Arial" w:eastAsia="Times New Roman" w:hAnsi="Arial" w:cs="Arial"/>
          <w:bCs/>
          <w:spacing w:val="10"/>
          <w:lang w:val="es-ES_tradnl" w:eastAsia="es-ES"/>
        </w:rPr>
        <w:t>;</w:t>
      </w:r>
      <w:r w:rsidR="00E27274" w:rsidRPr="003E6E0C">
        <w:rPr>
          <w:rFonts w:ascii="Arial" w:eastAsia="Times New Roman" w:hAnsi="Arial" w:cs="Arial"/>
          <w:bCs/>
          <w:spacing w:val="10"/>
          <w:lang w:val="es-ES_tradnl" w:eastAsia="es-ES"/>
        </w:rPr>
        <w:t xml:space="preserve"> </w:t>
      </w:r>
      <w:r w:rsidR="00F47C10">
        <w:rPr>
          <w:rFonts w:ascii="Arial" w:eastAsia="Times New Roman" w:hAnsi="Arial" w:cs="Arial"/>
          <w:bCs/>
          <w:spacing w:val="10"/>
          <w:lang w:val="es-ES_tradnl" w:eastAsia="es-ES"/>
        </w:rPr>
        <w:t>sin embargo,</w:t>
      </w:r>
      <w:r w:rsidRPr="003E6E0C">
        <w:rPr>
          <w:rFonts w:ascii="Arial" w:eastAsia="Times New Roman" w:hAnsi="Arial" w:cs="Arial"/>
          <w:bCs/>
          <w:spacing w:val="10"/>
          <w:lang w:val="es-ES_tradnl" w:eastAsia="es-ES"/>
        </w:rPr>
        <w:t xml:space="preserve"> las medidas de aislamiento social adoptadas por los gobiernos para contener la pandemia del COVID-19</w:t>
      </w:r>
      <w:r w:rsidR="00E27274">
        <w:rPr>
          <w:rFonts w:ascii="Arial" w:eastAsia="Times New Roman" w:hAnsi="Arial" w:cs="Arial"/>
          <w:bCs/>
          <w:spacing w:val="10"/>
          <w:lang w:val="es-ES_tradnl" w:eastAsia="es-ES"/>
        </w:rPr>
        <w:t>,</w:t>
      </w:r>
      <w:r w:rsidRPr="003E6E0C">
        <w:rPr>
          <w:rFonts w:ascii="Arial" w:eastAsia="Times New Roman" w:hAnsi="Arial" w:cs="Arial"/>
          <w:bCs/>
          <w:spacing w:val="10"/>
          <w:lang w:val="es-ES_tradnl" w:eastAsia="es-ES"/>
        </w:rPr>
        <w:t xml:space="preserve"> afectaron en </w:t>
      </w:r>
      <w:r w:rsidR="008C75BC">
        <w:rPr>
          <w:rFonts w:ascii="Arial" w:eastAsia="Times New Roman" w:hAnsi="Arial" w:cs="Arial"/>
          <w:bCs/>
          <w:spacing w:val="10"/>
          <w:lang w:val="es-ES_tradnl" w:eastAsia="es-ES"/>
        </w:rPr>
        <w:t>mayor</w:t>
      </w:r>
      <w:r w:rsidRPr="003E6E0C">
        <w:rPr>
          <w:rFonts w:ascii="Arial" w:eastAsia="Times New Roman" w:hAnsi="Arial" w:cs="Arial"/>
          <w:bCs/>
          <w:spacing w:val="10"/>
          <w:lang w:val="es-ES_tradnl" w:eastAsia="es-ES"/>
        </w:rPr>
        <w:t xml:space="preserve"> o menor medida el levantamiento de </w:t>
      </w:r>
      <w:r w:rsidR="00F47C10">
        <w:rPr>
          <w:rFonts w:ascii="Arial" w:eastAsia="Times New Roman" w:hAnsi="Arial" w:cs="Arial"/>
          <w:bCs/>
          <w:spacing w:val="10"/>
          <w:lang w:val="es-ES_tradnl" w:eastAsia="es-ES"/>
        </w:rPr>
        <w:t>estas</w:t>
      </w:r>
      <w:r w:rsidR="00F47C10"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encuestas y la generación de información para conocer los efectos de la pandemia sobre el empleo.</w:t>
      </w:r>
    </w:p>
    <w:p w14:paraId="6A4248D7"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0BF1523A" w14:textId="77777777" w:rsidR="004E678C" w:rsidRDefault="00C562B0" w:rsidP="004B30CC">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 xml:space="preserve">México no es la excepción </w:t>
      </w:r>
      <w:r w:rsidR="00547B67" w:rsidRPr="0000569C">
        <w:rPr>
          <w:rFonts w:ascii="Arial" w:eastAsia="Times New Roman" w:hAnsi="Arial" w:cs="Arial"/>
          <w:bCs/>
          <w:spacing w:val="10"/>
          <w:lang w:val="es-ES_tradnl" w:eastAsia="es-ES"/>
        </w:rPr>
        <w:t>por lo que s</w:t>
      </w:r>
      <w:r w:rsidRPr="0000569C">
        <w:rPr>
          <w:rFonts w:ascii="Arial" w:eastAsia="Times New Roman" w:hAnsi="Arial" w:cs="Arial"/>
          <w:bCs/>
          <w:spacing w:val="10"/>
          <w:lang w:val="es-ES_tradnl" w:eastAsia="es-ES"/>
        </w:rPr>
        <w:t>e diseñ</w:t>
      </w:r>
      <w:r w:rsidR="003E086D" w:rsidRPr="0000569C">
        <w:rPr>
          <w:rFonts w:ascii="Arial" w:eastAsia="Times New Roman" w:hAnsi="Arial" w:cs="Arial"/>
          <w:bCs/>
          <w:spacing w:val="10"/>
          <w:lang w:val="es-ES_tradnl" w:eastAsia="es-ES"/>
        </w:rPr>
        <w:t xml:space="preserve">aron </w:t>
      </w:r>
      <w:r w:rsidRPr="0000569C">
        <w:rPr>
          <w:rFonts w:ascii="Arial" w:eastAsia="Times New Roman" w:hAnsi="Arial" w:cs="Arial"/>
          <w:bCs/>
          <w:spacing w:val="10"/>
          <w:lang w:val="es-ES_tradnl" w:eastAsia="es-ES"/>
        </w:rPr>
        <w:t>estrategia</w:t>
      </w:r>
      <w:r w:rsidR="003E086D" w:rsidRPr="0000569C">
        <w:rPr>
          <w:rFonts w:ascii="Arial" w:eastAsia="Times New Roman" w:hAnsi="Arial" w:cs="Arial"/>
          <w:bCs/>
          <w:spacing w:val="10"/>
          <w:lang w:val="es-ES_tradnl" w:eastAsia="es-ES"/>
        </w:rPr>
        <w:t>s</w:t>
      </w:r>
      <w:r w:rsidR="00547B67" w:rsidRPr="0000569C">
        <w:rPr>
          <w:rFonts w:ascii="Arial" w:eastAsia="Times New Roman" w:hAnsi="Arial" w:cs="Arial"/>
          <w:bCs/>
          <w:spacing w:val="10"/>
          <w:lang w:val="es-ES_tradnl" w:eastAsia="es-ES"/>
        </w:rPr>
        <w:t xml:space="preserve"> alternativa</w:t>
      </w:r>
      <w:r w:rsidR="003E086D" w:rsidRPr="0000569C">
        <w:rPr>
          <w:rFonts w:ascii="Arial" w:eastAsia="Times New Roman" w:hAnsi="Arial" w:cs="Arial"/>
          <w:bCs/>
          <w:spacing w:val="10"/>
          <w:lang w:val="es-ES_tradnl" w:eastAsia="es-ES"/>
        </w:rPr>
        <w:t>s</w:t>
      </w:r>
      <w:r w:rsidRPr="0000569C">
        <w:rPr>
          <w:rFonts w:ascii="Arial" w:eastAsia="Times New Roman" w:hAnsi="Arial" w:cs="Arial"/>
          <w:bCs/>
          <w:spacing w:val="10"/>
          <w:lang w:val="es-ES_tradnl" w:eastAsia="es-ES"/>
        </w:rPr>
        <w:t xml:space="preserve"> para </w:t>
      </w:r>
      <w:r w:rsidR="004E678C">
        <w:rPr>
          <w:rFonts w:ascii="Arial" w:eastAsia="Times New Roman" w:hAnsi="Arial" w:cs="Arial"/>
          <w:bCs/>
          <w:spacing w:val="10"/>
          <w:lang w:val="es-ES_tradnl" w:eastAsia="es-ES"/>
        </w:rPr>
        <w:t xml:space="preserve">mantener la generación </w:t>
      </w:r>
      <w:r w:rsidR="00547B67" w:rsidRPr="0000569C">
        <w:rPr>
          <w:rFonts w:ascii="Arial" w:eastAsia="Times New Roman" w:hAnsi="Arial" w:cs="Arial"/>
          <w:bCs/>
          <w:spacing w:val="10"/>
          <w:lang w:val="es-ES_tradnl" w:eastAsia="es-ES"/>
        </w:rPr>
        <w:t xml:space="preserve">de </w:t>
      </w:r>
      <w:r w:rsidR="004E678C">
        <w:rPr>
          <w:rFonts w:ascii="Arial" w:eastAsia="Times New Roman" w:hAnsi="Arial" w:cs="Arial"/>
          <w:bCs/>
          <w:spacing w:val="10"/>
          <w:lang w:val="es-ES_tradnl" w:eastAsia="es-ES"/>
        </w:rPr>
        <w:t xml:space="preserve">la </w:t>
      </w:r>
      <w:r w:rsidR="00F27B73" w:rsidRPr="0000569C">
        <w:rPr>
          <w:rFonts w:ascii="Arial" w:eastAsia="Times New Roman" w:hAnsi="Arial" w:cs="Arial"/>
          <w:bCs/>
          <w:spacing w:val="10"/>
          <w:lang w:val="es-ES_tradnl" w:eastAsia="es-ES"/>
        </w:rPr>
        <w:t>información estadística</w:t>
      </w:r>
      <w:r w:rsidR="004E678C">
        <w:rPr>
          <w:rFonts w:ascii="Arial" w:eastAsia="Times New Roman" w:hAnsi="Arial" w:cs="Arial"/>
          <w:bCs/>
          <w:spacing w:val="10"/>
          <w:lang w:val="es-ES_tradnl" w:eastAsia="es-ES"/>
        </w:rPr>
        <w:t xml:space="preserve"> y disponer de información sobre la coyuntura de la pandemia originada por el COVID-19</w:t>
      </w:r>
      <w:r w:rsidR="00547B67" w:rsidRPr="0000569C">
        <w:rPr>
          <w:rFonts w:ascii="Arial" w:eastAsia="Times New Roman" w:hAnsi="Arial" w:cs="Arial"/>
          <w:bCs/>
          <w:spacing w:val="10"/>
          <w:lang w:val="es-ES_tradnl" w:eastAsia="es-ES"/>
        </w:rPr>
        <w:t>.</w:t>
      </w:r>
    </w:p>
    <w:p w14:paraId="43EC20AF" w14:textId="77777777" w:rsidR="004E678C" w:rsidRDefault="004E678C" w:rsidP="004B30CC">
      <w:pPr>
        <w:spacing w:after="0" w:line="240" w:lineRule="auto"/>
        <w:ind w:right="49"/>
        <w:jc w:val="both"/>
        <w:rPr>
          <w:rFonts w:ascii="Arial" w:eastAsia="Times New Roman" w:hAnsi="Arial" w:cs="Arial"/>
          <w:bCs/>
          <w:spacing w:val="10"/>
          <w:lang w:val="es-ES_tradnl" w:eastAsia="es-ES"/>
        </w:rPr>
      </w:pPr>
    </w:p>
    <w:p w14:paraId="54AEBA75" w14:textId="04E767BF" w:rsidR="004B30CC" w:rsidRPr="004B30CC" w:rsidRDefault="00C562B0" w:rsidP="004B30CC">
      <w:pPr>
        <w:spacing w:after="0" w:line="240" w:lineRule="auto"/>
        <w:ind w:right="49"/>
        <w:jc w:val="both"/>
        <w:rPr>
          <w:rFonts w:ascii="Arial" w:eastAsia="Times New Roman" w:hAnsi="Arial" w:cs="Arial"/>
          <w:bCs/>
          <w:spacing w:val="10"/>
          <w:lang w:val="es-ES_tradnl" w:eastAsia="es-ES"/>
        </w:rPr>
      </w:pPr>
      <w:r w:rsidRPr="0000569C">
        <w:rPr>
          <w:rFonts w:ascii="Arial" w:eastAsia="Times New Roman" w:hAnsi="Arial" w:cs="Arial"/>
          <w:bCs/>
          <w:spacing w:val="10"/>
          <w:lang w:val="es-ES_tradnl" w:eastAsia="es-ES"/>
        </w:rPr>
        <w:t xml:space="preserve">En este contexto, </w:t>
      </w:r>
      <w:r w:rsidR="00A11D39">
        <w:rPr>
          <w:rFonts w:ascii="Arial" w:eastAsia="Times New Roman" w:hAnsi="Arial" w:cs="Arial"/>
          <w:bCs/>
          <w:spacing w:val="10"/>
          <w:lang w:val="es-ES_tradnl" w:eastAsia="es-ES"/>
        </w:rPr>
        <w:t>surgieron las</w:t>
      </w:r>
      <w:r w:rsidRPr="0000569C">
        <w:rPr>
          <w:rFonts w:ascii="Arial" w:eastAsia="Times New Roman" w:hAnsi="Arial" w:cs="Arial"/>
          <w:bCs/>
          <w:spacing w:val="10"/>
          <w:lang w:val="es-ES_tradnl" w:eastAsia="es-ES"/>
        </w:rPr>
        <w:t xml:space="preserve"> encuesta</w:t>
      </w:r>
      <w:r w:rsidR="00A11D39">
        <w:rPr>
          <w:rFonts w:ascii="Arial" w:eastAsia="Times New Roman" w:hAnsi="Arial" w:cs="Arial"/>
          <w:bCs/>
          <w:spacing w:val="10"/>
          <w:lang w:val="es-ES_tradnl" w:eastAsia="es-ES"/>
        </w:rPr>
        <w:t xml:space="preserve">s telefónicas y ahora las encuestas que combina entrevistas cara a cara y entrevistas telefónicas, dado el </w:t>
      </w:r>
      <w:r w:rsidR="00AA6DD7">
        <w:rPr>
          <w:rFonts w:ascii="Arial" w:eastAsia="Times New Roman" w:hAnsi="Arial" w:cs="Arial"/>
          <w:bCs/>
          <w:spacing w:val="10"/>
          <w:lang w:val="es-ES_tradnl" w:eastAsia="es-ES"/>
        </w:rPr>
        <w:t xml:space="preserve">reinicio </w:t>
      </w:r>
      <w:r w:rsidR="00A11D39">
        <w:rPr>
          <w:rFonts w:ascii="Arial" w:eastAsia="Times New Roman" w:hAnsi="Arial" w:cs="Arial"/>
          <w:bCs/>
          <w:spacing w:val="10"/>
          <w:lang w:val="es-ES_tradnl" w:eastAsia="es-ES"/>
        </w:rPr>
        <w:t>de los operativos de campo tradicionales que implican la vista del personal a las viviendas en muestra para recolectar la información.</w:t>
      </w:r>
    </w:p>
    <w:p w14:paraId="4E33EF06"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39658ED3" w14:textId="3C83BD57" w:rsidR="00C562B0" w:rsidRPr="003E6E0C" w:rsidRDefault="00A11D39" w:rsidP="00C562B0">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 xml:space="preserve">En la </w:t>
      </w:r>
      <w:r w:rsidR="00C562B0" w:rsidRPr="003E6E0C">
        <w:rPr>
          <w:rFonts w:ascii="Arial" w:eastAsia="Times New Roman" w:hAnsi="Arial" w:cs="Arial"/>
          <w:bCs/>
          <w:spacing w:val="10"/>
          <w:lang w:val="es-ES_tradnl" w:eastAsia="es-ES"/>
        </w:rPr>
        <w:t>ENOE</w:t>
      </w:r>
      <w:r w:rsidR="00F66482">
        <w:rPr>
          <w:rFonts w:ascii="Arial" w:eastAsia="Times New Roman" w:hAnsi="Arial" w:cs="Arial"/>
          <w:bCs/>
          <w:spacing w:val="10"/>
          <w:vertAlign w:val="superscript"/>
          <w:lang w:val="es-ES_tradnl" w:eastAsia="es-ES"/>
        </w:rPr>
        <w:t>N</w:t>
      </w:r>
      <w:r w:rsidR="00C562B0" w:rsidRPr="003E6E0C">
        <w:rPr>
          <w:rFonts w:ascii="Arial" w:eastAsia="Times New Roman" w:hAnsi="Arial" w:cs="Arial"/>
          <w:bCs/>
          <w:spacing w:val="10"/>
          <w:lang w:val="es-ES_tradnl" w:eastAsia="es-ES"/>
        </w:rPr>
        <w:t xml:space="preserve"> el periodo de referencia fue la semana anterior</w:t>
      </w:r>
      <w:r>
        <w:rPr>
          <w:rFonts w:ascii="Arial" w:eastAsia="Times New Roman" w:hAnsi="Arial" w:cs="Arial"/>
          <w:bCs/>
          <w:spacing w:val="10"/>
          <w:lang w:val="es-ES_tradnl" w:eastAsia="es-ES"/>
        </w:rPr>
        <w:t xml:space="preserve"> a la entrevista o a la fecha de </w:t>
      </w:r>
      <w:r w:rsidR="00C562B0" w:rsidRPr="003E6E0C">
        <w:rPr>
          <w:rFonts w:ascii="Arial" w:eastAsia="Times New Roman" w:hAnsi="Arial" w:cs="Arial"/>
          <w:bCs/>
          <w:spacing w:val="10"/>
          <w:lang w:val="es-ES_tradnl" w:eastAsia="es-ES"/>
        </w:rPr>
        <w:t xml:space="preserve">la llamada </w:t>
      </w:r>
      <w:r>
        <w:rPr>
          <w:rFonts w:ascii="Arial" w:eastAsia="Times New Roman" w:hAnsi="Arial" w:cs="Arial"/>
          <w:bCs/>
          <w:spacing w:val="10"/>
          <w:lang w:val="es-ES_tradnl" w:eastAsia="es-ES"/>
        </w:rPr>
        <w:t xml:space="preserve">telefónica </w:t>
      </w:r>
      <w:r w:rsidR="00C562B0" w:rsidRPr="003E6E0C">
        <w:rPr>
          <w:rFonts w:ascii="Arial" w:eastAsia="Times New Roman" w:hAnsi="Arial" w:cs="Arial"/>
          <w:bCs/>
          <w:spacing w:val="10"/>
          <w:lang w:val="es-ES_tradnl" w:eastAsia="es-ES"/>
        </w:rPr>
        <w:t>para captar la situación laboral de las personas y se cuidó que quien contestara la entrevista fuese residente de la vivienda, un informante adecuado de 15 y más años</w:t>
      </w:r>
      <w:r w:rsidR="00F47C10">
        <w:rPr>
          <w:rFonts w:ascii="Arial" w:eastAsia="Times New Roman" w:hAnsi="Arial" w:cs="Arial"/>
          <w:bCs/>
          <w:spacing w:val="10"/>
          <w:lang w:val="es-ES_tradnl" w:eastAsia="es-ES"/>
        </w:rPr>
        <w:t xml:space="preserve"> de edad</w:t>
      </w:r>
      <w:r w:rsidR="00C562B0" w:rsidRPr="003E6E0C">
        <w:rPr>
          <w:rFonts w:ascii="Arial" w:eastAsia="Times New Roman" w:hAnsi="Arial" w:cs="Arial"/>
          <w:bCs/>
          <w:spacing w:val="10"/>
          <w:lang w:val="es-ES_tradnl" w:eastAsia="es-ES"/>
        </w:rPr>
        <w:t>.</w:t>
      </w:r>
    </w:p>
    <w:p w14:paraId="0824FFBC"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0E7382ED"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El personal que levantó la encuesta fue el propio de la ENOE, aplic</w:t>
      </w:r>
      <w:r w:rsidR="002F0CEE">
        <w:rPr>
          <w:rFonts w:ascii="Arial" w:eastAsia="Times New Roman" w:hAnsi="Arial" w:cs="Arial"/>
          <w:bCs/>
          <w:spacing w:val="10"/>
          <w:lang w:val="es-ES_tradnl" w:eastAsia="es-ES"/>
        </w:rPr>
        <w:t>ando</w:t>
      </w:r>
      <w:r w:rsidRPr="003E6E0C">
        <w:rPr>
          <w:rFonts w:ascii="Arial" w:eastAsia="Times New Roman" w:hAnsi="Arial" w:cs="Arial"/>
          <w:bCs/>
          <w:spacing w:val="10"/>
          <w:lang w:val="es-ES_tradnl" w:eastAsia="es-ES"/>
        </w:rPr>
        <w:t xml:space="preserve"> los mismos instrumentos de captación, es decir, el Cuestionario Sociodemográfico (CS) y el Cuestionario de Ocupación y Empleo (COE), así como los mismos procedimientos de captura, codificación, validación y tratamiento de la información.</w:t>
      </w:r>
    </w:p>
    <w:p w14:paraId="00727759"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p>
    <w:p w14:paraId="42593C1E" w14:textId="77777777" w:rsidR="00C562B0" w:rsidRPr="003E6E0C" w:rsidRDefault="00C562B0" w:rsidP="00C562B0">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Como en un levantamiento regular, se supervis</w:t>
      </w:r>
      <w:r w:rsidR="00A11D39">
        <w:rPr>
          <w:rFonts w:ascii="Arial" w:eastAsia="Times New Roman" w:hAnsi="Arial" w:cs="Arial"/>
          <w:bCs/>
          <w:spacing w:val="10"/>
          <w:lang w:val="es-ES_tradnl" w:eastAsia="es-ES"/>
        </w:rPr>
        <w:t>aron tanto las entrevistas cara a cara como las entrevistas telefónicas</w:t>
      </w:r>
      <w:r w:rsidRPr="003E6E0C">
        <w:rPr>
          <w:rFonts w:ascii="Arial" w:eastAsia="Times New Roman" w:hAnsi="Arial" w:cs="Arial"/>
          <w:bCs/>
          <w:spacing w:val="10"/>
          <w:lang w:val="es-ES_tradnl" w:eastAsia="es-ES"/>
        </w:rPr>
        <w:t xml:space="preserve">. De tal suerte que las figuras operativas (encuestador, supervisor, crítico validador, responsable de área y jefe de departamento) que participaron en la encuesta siguieron realizando sus funciones para </w:t>
      </w:r>
      <w:r w:rsidR="00297082">
        <w:rPr>
          <w:rFonts w:ascii="Arial" w:eastAsia="Times New Roman" w:hAnsi="Arial" w:cs="Arial"/>
          <w:bCs/>
          <w:spacing w:val="10"/>
          <w:lang w:val="es-ES_tradnl" w:eastAsia="es-ES"/>
        </w:rPr>
        <w:t>cuidar</w:t>
      </w:r>
      <w:r w:rsidR="00297082" w:rsidRPr="003E6E0C">
        <w:rPr>
          <w:rFonts w:ascii="Arial" w:eastAsia="Times New Roman" w:hAnsi="Arial" w:cs="Arial"/>
          <w:bCs/>
          <w:spacing w:val="10"/>
          <w:lang w:val="es-ES_tradnl" w:eastAsia="es-ES"/>
        </w:rPr>
        <w:t xml:space="preserve"> </w:t>
      </w:r>
      <w:r w:rsidRPr="003E6E0C">
        <w:rPr>
          <w:rFonts w:ascii="Arial" w:eastAsia="Times New Roman" w:hAnsi="Arial" w:cs="Arial"/>
          <w:bCs/>
          <w:spacing w:val="10"/>
          <w:lang w:val="es-ES_tradnl" w:eastAsia="es-ES"/>
        </w:rPr>
        <w:t>la veracid</w:t>
      </w:r>
      <w:r w:rsidR="00416493">
        <w:rPr>
          <w:rFonts w:ascii="Arial" w:eastAsia="Times New Roman" w:hAnsi="Arial" w:cs="Arial"/>
          <w:bCs/>
          <w:spacing w:val="10"/>
          <w:lang w:val="es-ES_tradnl" w:eastAsia="es-ES"/>
        </w:rPr>
        <w:t>ad y calidad de la información.</w:t>
      </w:r>
    </w:p>
    <w:p w14:paraId="746419DF" w14:textId="77777777" w:rsidR="00C562B0" w:rsidRDefault="00C562B0" w:rsidP="00C562B0">
      <w:pPr>
        <w:spacing w:after="0" w:line="240" w:lineRule="auto"/>
        <w:ind w:right="49"/>
        <w:jc w:val="both"/>
        <w:rPr>
          <w:rFonts w:ascii="Arial" w:eastAsia="Times New Roman" w:hAnsi="Arial" w:cs="Arial"/>
          <w:bCs/>
          <w:spacing w:val="10"/>
          <w:lang w:val="es-ES_tradnl" w:eastAsia="es-ES"/>
        </w:rPr>
      </w:pPr>
    </w:p>
    <w:p w14:paraId="3F41768C" w14:textId="2D1B950D" w:rsidR="00811F67" w:rsidRPr="00D6148B" w:rsidRDefault="00811F67" w:rsidP="005701AB">
      <w:pPr>
        <w:spacing w:after="0" w:line="240" w:lineRule="auto"/>
        <w:ind w:right="49"/>
        <w:jc w:val="both"/>
        <w:rPr>
          <w:rFonts w:ascii="Arial" w:eastAsia="Times New Roman" w:hAnsi="Arial" w:cs="Arial"/>
          <w:bCs/>
          <w:spacing w:val="10"/>
          <w:lang w:val="es-ES_tradnl" w:eastAsia="es-ES"/>
        </w:rPr>
      </w:pPr>
      <w:r w:rsidRPr="00811F67">
        <w:rPr>
          <w:rFonts w:ascii="Arial" w:eastAsia="Times New Roman" w:hAnsi="Arial" w:cs="Arial"/>
          <w:bCs/>
          <w:spacing w:val="10"/>
          <w:lang w:val="es-ES_tradnl" w:eastAsia="es-ES"/>
        </w:rPr>
        <w:t>La muestra para el mes de julio fue de 41 595 viviendas</w:t>
      </w:r>
      <w:r>
        <w:rPr>
          <w:rFonts w:ascii="Arial" w:eastAsia="Times New Roman" w:hAnsi="Arial" w:cs="Arial"/>
          <w:bCs/>
          <w:spacing w:val="10"/>
          <w:lang w:val="es-ES_tradnl" w:eastAsia="es-ES"/>
        </w:rPr>
        <w:t>,</w:t>
      </w:r>
      <w:r w:rsidRPr="00811F67">
        <w:rPr>
          <w:rFonts w:ascii="Arial" w:eastAsia="Times New Roman" w:hAnsi="Arial" w:cs="Arial"/>
          <w:bCs/>
          <w:spacing w:val="10"/>
          <w:lang w:val="es-ES_tradnl" w:eastAsia="es-ES"/>
        </w:rPr>
        <w:t xml:space="preserve"> de las cuales se visitaron 18 463 viviendas y se logró la entrevista </w:t>
      </w:r>
      <w:r>
        <w:rPr>
          <w:rFonts w:ascii="Arial" w:eastAsia="Times New Roman" w:hAnsi="Arial" w:cs="Arial"/>
          <w:bCs/>
          <w:spacing w:val="10"/>
          <w:lang w:val="es-ES_tradnl" w:eastAsia="es-ES"/>
        </w:rPr>
        <w:t xml:space="preserve">cara a cara </w:t>
      </w:r>
      <w:r w:rsidRPr="00811F67">
        <w:rPr>
          <w:rFonts w:ascii="Arial" w:eastAsia="Times New Roman" w:hAnsi="Arial" w:cs="Arial"/>
          <w:bCs/>
          <w:spacing w:val="10"/>
          <w:lang w:val="es-ES_tradnl" w:eastAsia="es-ES"/>
        </w:rPr>
        <w:t>en el 91.8% (16 948</w:t>
      </w:r>
      <w:r>
        <w:rPr>
          <w:rFonts w:ascii="Arial" w:eastAsia="Times New Roman" w:hAnsi="Arial" w:cs="Arial"/>
          <w:bCs/>
          <w:spacing w:val="10"/>
          <w:lang w:val="es-ES_tradnl" w:eastAsia="es-ES"/>
        </w:rPr>
        <w:t>) y en</w:t>
      </w:r>
      <w:r w:rsidRPr="00811F67">
        <w:rPr>
          <w:rFonts w:ascii="Arial" w:eastAsia="Times New Roman" w:hAnsi="Arial" w:cs="Arial"/>
          <w:bCs/>
          <w:spacing w:val="10"/>
          <w:lang w:val="es-ES_tradnl" w:eastAsia="es-ES"/>
        </w:rPr>
        <w:t xml:space="preserve"> 8.2% (1 515) </w:t>
      </w:r>
      <w:r>
        <w:rPr>
          <w:rFonts w:ascii="Arial" w:eastAsia="Times New Roman" w:hAnsi="Arial" w:cs="Arial"/>
          <w:bCs/>
          <w:spacing w:val="10"/>
          <w:lang w:val="es-ES_tradnl" w:eastAsia="es-ES"/>
        </w:rPr>
        <w:t>fue</w:t>
      </w:r>
      <w:r w:rsidRPr="00811F67">
        <w:rPr>
          <w:rFonts w:ascii="Arial" w:eastAsia="Times New Roman" w:hAnsi="Arial" w:cs="Arial"/>
          <w:bCs/>
          <w:spacing w:val="10"/>
          <w:lang w:val="es-ES_tradnl" w:eastAsia="es-ES"/>
        </w:rPr>
        <w:t xml:space="preserve"> no entrevista</w:t>
      </w:r>
      <w:r>
        <w:rPr>
          <w:rFonts w:ascii="Arial" w:eastAsia="Times New Roman" w:hAnsi="Arial" w:cs="Arial"/>
          <w:bCs/>
          <w:spacing w:val="10"/>
          <w:lang w:val="es-ES_tradnl" w:eastAsia="es-ES"/>
        </w:rPr>
        <w:t xml:space="preserve">. Asimismo, en </w:t>
      </w:r>
      <w:r w:rsidR="002F72F7">
        <w:rPr>
          <w:rFonts w:ascii="Arial" w:eastAsia="Times New Roman" w:hAnsi="Arial" w:cs="Arial"/>
          <w:bCs/>
          <w:spacing w:val="10"/>
          <w:lang w:val="es-ES_tradnl" w:eastAsia="es-ES"/>
        </w:rPr>
        <w:t>12 684</w:t>
      </w:r>
      <w:r>
        <w:rPr>
          <w:rFonts w:ascii="Arial" w:eastAsia="Times New Roman" w:hAnsi="Arial" w:cs="Arial"/>
          <w:bCs/>
          <w:spacing w:val="10"/>
          <w:lang w:val="es-ES_tradnl" w:eastAsia="es-ES"/>
        </w:rPr>
        <w:t xml:space="preserve"> viviendas se tuvo contacto por teléfono con algún miembro de la vivienda y se logró la entrevista telefónica en 5</w:t>
      </w:r>
      <w:r w:rsidR="002F72F7">
        <w:rPr>
          <w:rFonts w:ascii="Arial" w:eastAsia="Times New Roman" w:hAnsi="Arial" w:cs="Arial"/>
          <w:bCs/>
          <w:spacing w:val="10"/>
          <w:lang w:val="es-ES_tradnl" w:eastAsia="es-ES"/>
        </w:rPr>
        <w:t>2.1</w:t>
      </w:r>
      <w:r>
        <w:rPr>
          <w:rFonts w:ascii="Arial" w:eastAsia="Times New Roman" w:hAnsi="Arial" w:cs="Arial"/>
          <w:bCs/>
          <w:spacing w:val="10"/>
          <w:lang w:val="es-ES_tradnl" w:eastAsia="es-ES"/>
        </w:rPr>
        <w:t>% (</w:t>
      </w:r>
      <w:r w:rsidR="00AA2AB4">
        <w:rPr>
          <w:rFonts w:ascii="Arial" w:eastAsia="Times New Roman" w:hAnsi="Arial" w:cs="Arial"/>
          <w:bCs/>
          <w:spacing w:val="10"/>
          <w:lang w:val="es-ES_tradnl" w:eastAsia="es-ES"/>
        </w:rPr>
        <w:t>6</w:t>
      </w:r>
      <w:r>
        <w:rPr>
          <w:rFonts w:ascii="Arial" w:eastAsia="Times New Roman" w:hAnsi="Arial" w:cs="Arial"/>
          <w:bCs/>
          <w:spacing w:val="10"/>
          <w:lang w:val="es-ES_tradnl" w:eastAsia="es-ES"/>
        </w:rPr>
        <w:t xml:space="preserve"> 607) y en 4</w:t>
      </w:r>
      <w:r w:rsidR="002F72F7">
        <w:rPr>
          <w:rFonts w:ascii="Arial" w:eastAsia="Times New Roman" w:hAnsi="Arial" w:cs="Arial"/>
          <w:bCs/>
          <w:spacing w:val="10"/>
          <w:lang w:val="es-ES_tradnl" w:eastAsia="es-ES"/>
        </w:rPr>
        <w:t>7.9</w:t>
      </w:r>
      <w:r>
        <w:rPr>
          <w:rFonts w:ascii="Arial" w:eastAsia="Times New Roman" w:hAnsi="Arial" w:cs="Arial"/>
          <w:bCs/>
          <w:spacing w:val="10"/>
          <w:lang w:val="es-ES_tradnl" w:eastAsia="es-ES"/>
        </w:rPr>
        <w:t xml:space="preserve">% (6 </w:t>
      </w:r>
      <w:r w:rsidR="002F72F7">
        <w:rPr>
          <w:rFonts w:ascii="Arial" w:eastAsia="Times New Roman" w:hAnsi="Arial" w:cs="Arial"/>
          <w:bCs/>
          <w:spacing w:val="10"/>
          <w:lang w:val="es-ES_tradnl" w:eastAsia="es-ES"/>
        </w:rPr>
        <w:t>077</w:t>
      </w:r>
      <w:r>
        <w:rPr>
          <w:rFonts w:ascii="Arial" w:eastAsia="Times New Roman" w:hAnsi="Arial" w:cs="Arial"/>
          <w:bCs/>
          <w:spacing w:val="10"/>
          <w:lang w:val="es-ES_tradnl" w:eastAsia="es-ES"/>
        </w:rPr>
        <w:t>) fue no entrevista.</w:t>
      </w:r>
    </w:p>
    <w:p w14:paraId="4D6DC07C" w14:textId="77777777" w:rsidR="009B7D08" w:rsidRDefault="009B7D08" w:rsidP="00D6148B">
      <w:pPr>
        <w:spacing w:after="0" w:line="240" w:lineRule="auto"/>
        <w:ind w:right="49"/>
        <w:jc w:val="both"/>
        <w:rPr>
          <w:rFonts w:ascii="Arial" w:eastAsia="Times New Roman" w:hAnsi="Arial" w:cs="Arial"/>
          <w:bCs/>
          <w:spacing w:val="10"/>
          <w:lang w:val="es-ES_tradnl" w:eastAsia="es-ES"/>
        </w:rPr>
      </w:pPr>
    </w:p>
    <w:tbl>
      <w:tblPr>
        <w:tblStyle w:val="Tablaconcuadrcula4-nfasis2"/>
        <w:tblW w:w="0" w:type="auto"/>
        <w:tblInd w:w="1129" w:type="dxa"/>
        <w:tblLook w:val="04A0" w:firstRow="1" w:lastRow="0" w:firstColumn="1" w:lastColumn="0" w:noHBand="0" w:noVBand="1"/>
      </w:tblPr>
      <w:tblGrid>
        <w:gridCol w:w="4395"/>
        <w:gridCol w:w="1275"/>
        <w:gridCol w:w="1418"/>
      </w:tblGrid>
      <w:tr w:rsidR="00D41527" w:rsidRPr="008C75BC" w14:paraId="354403BB" w14:textId="77777777" w:rsidTr="00811F67">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395" w:type="dxa"/>
          </w:tcPr>
          <w:p w14:paraId="067E36E8" w14:textId="77777777" w:rsidR="00D41527" w:rsidRPr="007C2018" w:rsidRDefault="00D41527" w:rsidP="0032196F">
            <w:pPr>
              <w:ind w:right="49"/>
              <w:rPr>
                <w:rFonts w:ascii="Arial" w:eastAsia="Times New Roman" w:hAnsi="Arial" w:cs="Arial"/>
                <w:spacing w:val="10"/>
                <w:sz w:val="23"/>
                <w:szCs w:val="23"/>
                <w:lang w:val="es-ES" w:eastAsia="es-ES"/>
              </w:rPr>
            </w:pPr>
            <w:r w:rsidRPr="007C2018">
              <w:rPr>
                <w:rFonts w:ascii="Arial" w:eastAsia="Times New Roman" w:hAnsi="Arial" w:cs="Arial"/>
                <w:sz w:val="23"/>
                <w:szCs w:val="23"/>
                <w:lang w:eastAsia="es-MX"/>
              </w:rPr>
              <w:t>Resultado y código de la entrevista</w:t>
            </w:r>
          </w:p>
        </w:tc>
        <w:tc>
          <w:tcPr>
            <w:tcW w:w="1275" w:type="dxa"/>
          </w:tcPr>
          <w:p w14:paraId="330D1E4D" w14:textId="77777777" w:rsidR="00D41527" w:rsidRPr="007C2018" w:rsidRDefault="00D41527" w:rsidP="0032196F">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3"/>
                <w:szCs w:val="23"/>
                <w:lang w:eastAsia="es-MX"/>
              </w:rPr>
            </w:pPr>
            <w:r w:rsidRPr="007C2018">
              <w:rPr>
                <w:rFonts w:ascii="Arial" w:eastAsia="Times New Roman" w:hAnsi="Arial" w:cs="Arial"/>
                <w:sz w:val="23"/>
                <w:szCs w:val="23"/>
                <w:lang w:eastAsia="es-MX"/>
              </w:rPr>
              <w:t xml:space="preserve">Total </w:t>
            </w:r>
          </w:p>
        </w:tc>
        <w:tc>
          <w:tcPr>
            <w:tcW w:w="1418" w:type="dxa"/>
          </w:tcPr>
          <w:p w14:paraId="19503668" w14:textId="77777777" w:rsidR="00D41527" w:rsidRPr="007C2018" w:rsidRDefault="00D41527" w:rsidP="0032196F">
            <w:pPr>
              <w:ind w:right="49"/>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3"/>
                <w:szCs w:val="23"/>
                <w:lang w:eastAsia="es-MX"/>
              </w:rPr>
            </w:pPr>
            <w:r w:rsidRPr="007C2018">
              <w:rPr>
                <w:rFonts w:ascii="Arial" w:eastAsia="Times New Roman" w:hAnsi="Arial" w:cs="Arial"/>
                <w:sz w:val="23"/>
                <w:szCs w:val="23"/>
                <w:lang w:eastAsia="es-MX"/>
              </w:rPr>
              <w:t>%</w:t>
            </w:r>
          </w:p>
        </w:tc>
      </w:tr>
      <w:tr w:rsidR="009B7D08" w:rsidRPr="008C75BC" w14:paraId="4EA40825"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3"/>
          </w:tcPr>
          <w:p w14:paraId="0D4FEF82" w14:textId="77777777" w:rsidR="009B7D08" w:rsidRPr="009B7D08" w:rsidRDefault="009B7D08" w:rsidP="0032196F">
            <w:pPr>
              <w:jc w:val="center"/>
              <w:rPr>
                <w:rFonts w:ascii="Arial" w:eastAsia="Times New Roman" w:hAnsi="Arial" w:cs="Arial"/>
                <w:lang w:eastAsia="es-MX"/>
              </w:rPr>
            </w:pPr>
            <w:r w:rsidRPr="009B7D08">
              <w:rPr>
                <w:rFonts w:ascii="Arial" w:eastAsia="Times New Roman" w:hAnsi="Arial" w:cs="Arial"/>
                <w:lang w:eastAsia="es-MX"/>
              </w:rPr>
              <w:t>Entrevista cara a cara</w:t>
            </w:r>
          </w:p>
        </w:tc>
      </w:tr>
      <w:tr w:rsidR="00811F67" w:rsidRPr="008C75BC" w14:paraId="7B717888"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05D95CF2" w14:textId="77777777" w:rsidR="00811F67" w:rsidRPr="00811F67" w:rsidRDefault="00811F67" w:rsidP="00811F67">
            <w:pPr>
              <w:ind w:right="49"/>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Viviendas visitadas</w:t>
            </w:r>
          </w:p>
        </w:tc>
        <w:tc>
          <w:tcPr>
            <w:tcW w:w="1275" w:type="dxa"/>
          </w:tcPr>
          <w:p w14:paraId="7ECF59CC"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MX"/>
              </w:rPr>
            </w:pPr>
            <w:r w:rsidRPr="009B7D08">
              <w:rPr>
                <w:rFonts w:ascii="Arial" w:eastAsia="Times New Roman" w:hAnsi="Arial" w:cs="Arial"/>
                <w:lang w:eastAsia="es-MX"/>
              </w:rPr>
              <w:t>18 463</w:t>
            </w:r>
          </w:p>
        </w:tc>
        <w:tc>
          <w:tcPr>
            <w:tcW w:w="1418" w:type="dxa"/>
          </w:tcPr>
          <w:p w14:paraId="73B4D58D"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s-MX"/>
              </w:rPr>
            </w:pPr>
            <w:r w:rsidRPr="009B7D08">
              <w:rPr>
                <w:rFonts w:ascii="Arial" w:eastAsia="Times New Roman" w:hAnsi="Arial" w:cs="Arial"/>
                <w:lang w:eastAsia="es-MX"/>
              </w:rPr>
              <w:t>100.0</w:t>
            </w:r>
          </w:p>
        </w:tc>
      </w:tr>
      <w:tr w:rsidR="00811F67" w:rsidRPr="008C75BC" w14:paraId="563D5212"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4B29F26A" w14:textId="77777777" w:rsidR="00811F67" w:rsidRPr="00811F67" w:rsidRDefault="00811F67" w:rsidP="00811F67">
            <w:pPr>
              <w:ind w:right="49"/>
              <w:jc w:val="both"/>
              <w:rPr>
                <w:rFonts w:ascii="Arial" w:eastAsia="Times New Roman" w:hAnsi="Arial" w:cs="Arial"/>
                <w:b w:val="0"/>
                <w:color w:val="000000" w:themeColor="text1"/>
                <w:spacing w:val="10"/>
                <w:lang w:eastAsia="es-MX"/>
              </w:rPr>
            </w:pPr>
            <w:r w:rsidRPr="00811F67">
              <w:rPr>
                <w:rFonts w:ascii="Arial" w:hAnsi="Arial" w:cs="Arial"/>
                <w:b w:val="0"/>
                <w:spacing w:val="10"/>
                <w:sz w:val="23"/>
                <w:szCs w:val="23"/>
              </w:rPr>
              <w:t>Entrevista lograda (00)</w:t>
            </w:r>
          </w:p>
        </w:tc>
        <w:tc>
          <w:tcPr>
            <w:tcW w:w="1275" w:type="dxa"/>
          </w:tcPr>
          <w:p w14:paraId="2345B3D6"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MX"/>
              </w:rPr>
            </w:pPr>
            <w:r w:rsidRPr="009B7D08">
              <w:rPr>
                <w:rFonts w:ascii="Arial" w:eastAsia="Times New Roman" w:hAnsi="Arial" w:cs="Arial"/>
                <w:color w:val="000000" w:themeColor="text1"/>
                <w:lang w:eastAsia="es-MX"/>
              </w:rPr>
              <w:t>16 948</w:t>
            </w:r>
          </w:p>
        </w:tc>
        <w:tc>
          <w:tcPr>
            <w:tcW w:w="1418" w:type="dxa"/>
          </w:tcPr>
          <w:p w14:paraId="4410DEBA"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MX"/>
              </w:rPr>
            </w:pPr>
            <w:r w:rsidRPr="009B7D08">
              <w:rPr>
                <w:rFonts w:ascii="Arial" w:eastAsia="Times New Roman" w:hAnsi="Arial" w:cs="Arial"/>
                <w:color w:val="000000" w:themeColor="text1"/>
                <w:lang w:eastAsia="es-MX"/>
              </w:rPr>
              <w:t>91.8</w:t>
            </w:r>
          </w:p>
        </w:tc>
      </w:tr>
      <w:tr w:rsidR="00811F67" w14:paraId="179CB2E4"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098267D7"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No entrevista</w:t>
            </w:r>
          </w:p>
        </w:tc>
        <w:tc>
          <w:tcPr>
            <w:tcW w:w="1275" w:type="dxa"/>
          </w:tcPr>
          <w:p w14:paraId="6AD65AC6"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1 515</w:t>
            </w:r>
          </w:p>
        </w:tc>
        <w:tc>
          <w:tcPr>
            <w:tcW w:w="1418" w:type="dxa"/>
          </w:tcPr>
          <w:p w14:paraId="3C655C8F"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8.2</w:t>
            </w:r>
          </w:p>
        </w:tc>
      </w:tr>
      <w:tr w:rsidR="00811F67" w14:paraId="72522420"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71879F9B"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 xml:space="preserve">    Nadie en momento de la visita (01)</w:t>
            </w:r>
          </w:p>
        </w:tc>
        <w:tc>
          <w:tcPr>
            <w:tcW w:w="1275" w:type="dxa"/>
          </w:tcPr>
          <w:p w14:paraId="7B02E1C9"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355</w:t>
            </w:r>
          </w:p>
        </w:tc>
        <w:tc>
          <w:tcPr>
            <w:tcW w:w="1418" w:type="dxa"/>
          </w:tcPr>
          <w:p w14:paraId="389CCC30"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1.9</w:t>
            </w:r>
          </w:p>
        </w:tc>
      </w:tr>
      <w:tr w:rsidR="00811F67" w14:paraId="21309B2B"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5440E5E5"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 xml:space="preserve">    Ausente temporalmente (02)</w:t>
            </w:r>
          </w:p>
        </w:tc>
        <w:tc>
          <w:tcPr>
            <w:tcW w:w="1275" w:type="dxa"/>
          </w:tcPr>
          <w:p w14:paraId="58C06F36"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410</w:t>
            </w:r>
          </w:p>
        </w:tc>
        <w:tc>
          <w:tcPr>
            <w:tcW w:w="1418" w:type="dxa"/>
          </w:tcPr>
          <w:p w14:paraId="69774F78"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2.2</w:t>
            </w:r>
          </w:p>
        </w:tc>
      </w:tr>
      <w:tr w:rsidR="00811F67" w14:paraId="664AAC91"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60BD7BAA"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 xml:space="preserve">    Negativas (03)</w:t>
            </w:r>
          </w:p>
        </w:tc>
        <w:tc>
          <w:tcPr>
            <w:tcW w:w="1275" w:type="dxa"/>
          </w:tcPr>
          <w:p w14:paraId="603E07B1"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716</w:t>
            </w:r>
          </w:p>
        </w:tc>
        <w:tc>
          <w:tcPr>
            <w:tcW w:w="1418" w:type="dxa"/>
          </w:tcPr>
          <w:p w14:paraId="46B9F076"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3.9</w:t>
            </w:r>
          </w:p>
        </w:tc>
      </w:tr>
      <w:tr w:rsidR="00811F67" w14:paraId="6AFDA3B0"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59CB1E60"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 xml:space="preserve">    Informante inadecuado (04)</w:t>
            </w:r>
          </w:p>
        </w:tc>
        <w:tc>
          <w:tcPr>
            <w:tcW w:w="1275" w:type="dxa"/>
          </w:tcPr>
          <w:p w14:paraId="605931B3"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31</w:t>
            </w:r>
          </w:p>
        </w:tc>
        <w:tc>
          <w:tcPr>
            <w:tcW w:w="1418" w:type="dxa"/>
          </w:tcPr>
          <w:p w14:paraId="58D47E49"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0.2</w:t>
            </w:r>
          </w:p>
        </w:tc>
      </w:tr>
      <w:tr w:rsidR="00811F67" w14:paraId="06053B03"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F7D89BB" w14:textId="77777777" w:rsidR="00811F67" w:rsidRPr="00811F67" w:rsidRDefault="00811F67" w:rsidP="00811F67">
            <w:pPr>
              <w:jc w:val="both"/>
              <w:rPr>
                <w:rFonts w:ascii="Arial" w:eastAsia="Times New Roman" w:hAnsi="Arial" w:cs="Arial"/>
                <w:b w:val="0"/>
                <w:bCs w:val="0"/>
                <w:color w:val="000000" w:themeColor="text1"/>
                <w:lang w:eastAsia="es-MX"/>
              </w:rPr>
            </w:pPr>
            <w:r w:rsidRPr="00811F67">
              <w:rPr>
                <w:rFonts w:ascii="Arial" w:hAnsi="Arial" w:cs="Arial"/>
                <w:b w:val="0"/>
                <w:spacing w:val="10"/>
                <w:sz w:val="23"/>
                <w:szCs w:val="23"/>
              </w:rPr>
              <w:t xml:space="preserve">    Entrevista suspendida (15)</w:t>
            </w:r>
          </w:p>
        </w:tc>
        <w:tc>
          <w:tcPr>
            <w:tcW w:w="1275" w:type="dxa"/>
          </w:tcPr>
          <w:p w14:paraId="2E1988E7"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3</w:t>
            </w:r>
          </w:p>
        </w:tc>
        <w:tc>
          <w:tcPr>
            <w:tcW w:w="1418" w:type="dxa"/>
          </w:tcPr>
          <w:p w14:paraId="24A5C1B6" w14:textId="77777777" w:rsidR="00811F67" w:rsidRPr="009B7D08" w:rsidRDefault="00811F67" w:rsidP="00811F6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009B7D08">
              <w:rPr>
                <w:rFonts w:ascii="Arial" w:eastAsia="Times New Roman" w:hAnsi="Arial" w:cs="Arial"/>
                <w:color w:val="000000" w:themeColor="text1"/>
                <w:lang w:eastAsia="es-MX"/>
              </w:rPr>
              <w:t>0.0</w:t>
            </w:r>
          </w:p>
        </w:tc>
      </w:tr>
      <w:tr w:rsidR="00811F67" w14:paraId="0AEBC647"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11B5980B" w14:textId="77777777" w:rsidR="00811F67" w:rsidRPr="009B7D08" w:rsidRDefault="00811F67" w:rsidP="00811F67">
            <w:pPr>
              <w:jc w:val="both"/>
              <w:rPr>
                <w:rFonts w:ascii="Arial" w:eastAsia="Times New Roman" w:hAnsi="Arial" w:cs="Arial"/>
                <w:b w:val="0"/>
                <w:bCs w:val="0"/>
                <w:color w:val="000000" w:themeColor="text1"/>
                <w:lang w:eastAsia="es-MX"/>
              </w:rPr>
            </w:pPr>
          </w:p>
        </w:tc>
        <w:tc>
          <w:tcPr>
            <w:tcW w:w="1275" w:type="dxa"/>
          </w:tcPr>
          <w:p w14:paraId="7E968914"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p>
        </w:tc>
        <w:tc>
          <w:tcPr>
            <w:tcW w:w="1418" w:type="dxa"/>
          </w:tcPr>
          <w:p w14:paraId="7015AF1C" w14:textId="77777777" w:rsidR="00811F67" w:rsidRPr="009B7D08" w:rsidRDefault="00811F67" w:rsidP="00811F6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p>
        </w:tc>
      </w:tr>
      <w:tr w:rsidR="00811F67" w14:paraId="479A3BCF"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3"/>
          </w:tcPr>
          <w:p w14:paraId="12224413" w14:textId="77777777" w:rsidR="00811F67" w:rsidRDefault="00811F67" w:rsidP="00811F67">
            <w:pPr>
              <w:jc w:val="center"/>
              <w:rPr>
                <w:rFonts w:ascii="Arial" w:eastAsia="Times New Roman" w:hAnsi="Arial" w:cs="Arial"/>
                <w:color w:val="000000" w:themeColor="text1"/>
                <w:lang w:eastAsia="es-MX"/>
              </w:rPr>
            </w:pPr>
            <w:r>
              <w:rPr>
                <w:rFonts w:ascii="Arial" w:eastAsia="Times New Roman" w:hAnsi="Arial" w:cs="Arial"/>
                <w:color w:val="000000" w:themeColor="text1"/>
                <w:lang w:eastAsia="es-MX"/>
              </w:rPr>
              <w:t>Entrevista telefónica</w:t>
            </w:r>
          </w:p>
        </w:tc>
      </w:tr>
      <w:tr w:rsidR="00811F67" w14:paraId="6576AA62"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02F542CE" w14:textId="77777777" w:rsidR="00811F67" w:rsidRDefault="00811F67" w:rsidP="00811F67">
            <w:pPr>
              <w:ind w:right="49"/>
              <w:jc w:val="both"/>
              <w:rPr>
                <w:rFonts w:ascii="Arial" w:eastAsia="Times New Roman" w:hAnsi="Arial" w:cs="Arial"/>
                <w:b w:val="0"/>
                <w:bCs w:val="0"/>
                <w:lang w:val="es-ES" w:eastAsia="es-ES"/>
              </w:rPr>
            </w:pPr>
            <w:r w:rsidRPr="7E7AA3A1">
              <w:rPr>
                <w:rFonts w:ascii="Arial" w:eastAsia="Times New Roman" w:hAnsi="Arial" w:cs="Arial"/>
                <w:b w:val="0"/>
                <w:bCs w:val="0"/>
                <w:color w:val="000000" w:themeColor="text1"/>
                <w:lang w:eastAsia="es-MX"/>
              </w:rPr>
              <w:t>Llamadas contestadas</w:t>
            </w:r>
          </w:p>
        </w:tc>
        <w:tc>
          <w:tcPr>
            <w:tcW w:w="1275" w:type="dxa"/>
          </w:tcPr>
          <w:p w14:paraId="16107AB5" w14:textId="10041212" w:rsidR="00811F67" w:rsidRPr="662455B7" w:rsidRDefault="00811F67" w:rsidP="00811F67">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76E99BBA">
              <w:rPr>
                <w:rFonts w:ascii="Arial" w:eastAsia="Times New Roman" w:hAnsi="Arial" w:cs="Arial"/>
                <w:color w:val="000000" w:themeColor="text1"/>
                <w:lang w:eastAsia="es-MX"/>
              </w:rPr>
              <w:t>1</w:t>
            </w:r>
            <w:r w:rsidR="002F72F7">
              <w:rPr>
                <w:rFonts w:ascii="Arial" w:eastAsia="Times New Roman" w:hAnsi="Arial" w:cs="Arial"/>
                <w:color w:val="000000" w:themeColor="text1"/>
                <w:lang w:eastAsia="es-MX"/>
              </w:rPr>
              <w:t>2 684</w:t>
            </w:r>
          </w:p>
        </w:tc>
        <w:tc>
          <w:tcPr>
            <w:tcW w:w="1418" w:type="dxa"/>
          </w:tcPr>
          <w:p w14:paraId="11402922" w14:textId="77777777" w:rsidR="00811F67" w:rsidRPr="662455B7" w:rsidRDefault="00811F67" w:rsidP="00811F67">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662455B7">
              <w:rPr>
                <w:rFonts w:ascii="Arial" w:eastAsia="Times New Roman" w:hAnsi="Arial" w:cs="Arial"/>
                <w:color w:val="000000" w:themeColor="text1"/>
                <w:lang w:eastAsia="es-MX"/>
              </w:rPr>
              <w:t>100.0</w:t>
            </w:r>
          </w:p>
        </w:tc>
      </w:tr>
      <w:tr w:rsidR="00811F67" w:rsidRPr="008C75BC" w14:paraId="61D79E0A" w14:textId="77777777" w:rsidTr="00811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147351D0" w14:textId="77777777" w:rsidR="00811F67" w:rsidRPr="008C75BC" w:rsidRDefault="00811F67" w:rsidP="00811F67">
            <w:pPr>
              <w:ind w:right="49"/>
              <w:jc w:val="both"/>
              <w:rPr>
                <w:rFonts w:ascii="Arial" w:eastAsia="Times New Roman" w:hAnsi="Arial" w:cs="Arial"/>
                <w:b w:val="0"/>
                <w:spacing w:val="10"/>
                <w:lang w:val="es-ES" w:eastAsia="es-ES"/>
              </w:rPr>
            </w:pPr>
            <w:r>
              <w:rPr>
                <w:rFonts w:ascii="Arial" w:eastAsia="Times New Roman" w:hAnsi="Arial" w:cs="Arial"/>
                <w:b w:val="0"/>
                <w:color w:val="000000" w:themeColor="text1"/>
                <w:lang w:eastAsia="es-MX"/>
              </w:rPr>
              <w:t xml:space="preserve"> </w:t>
            </w:r>
            <w:r>
              <w:rPr>
                <w:rFonts w:ascii="Arial" w:eastAsia="Times New Roman" w:hAnsi="Arial" w:cs="Arial"/>
                <w:color w:val="000000" w:themeColor="text1"/>
                <w:lang w:eastAsia="es-MX"/>
              </w:rPr>
              <w:t xml:space="preserve">    </w:t>
            </w:r>
            <w:r w:rsidRPr="7E7AA3A1">
              <w:rPr>
                <w:rFonts w:ascii="Arial" w:eastAsia="Times New Roman" w:hAnsi="Arial" w:cs="Arial"/>
                <w:b w:val="0"/>
                <w:color w:val="000000" w:themeColor="text1"/>
                <w:lang w:eastAsia="es-MX"/>
              </w:rPr>
              <w:t>Entrevista lograda (00)</w:t>
            </w:r>
          </w:p>
        </w:tc>
        <w:tc>
          <w:tcPr>
            <w:tcW w:w="1275" w:type="dxa"/>
          </w:tcPr>
          <w:p w14:paraId="271654BB" w14:textId="77777777" w:rsidR="00811F67" w:rsidRPr="76E99BBA" w:rsidRDefault="00811F67" w:rsidP="00811F67">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Pr>
                <w:rFonts w:ascii="Arial" w:eastAsia="Times New Roman" w:hAnsi="Arial" w:cs="Arial"/>
                <w:color w:val="000000" w:themeColor="text1"/>
                <w:lang w:eastAsia="es-MX"/>
              </w:rPr>
              <w:t>6 607</w:t>
            </w:r>
          </w:p>
        </w:tc>
        <w:tc>
          <w:tcPr>
            <w:tcW w:w="1418" w:type="dxa"/>
          </w:tcPr>
          <w:p w14:paraId="1EBD5E4E" w14:textId="3DAF9F52" w:rsidR="00811F67" w:rsidRPr="76E99BBA" w:rsidRDefault="00811F67" w:rsidP="00811F67">
            <w:pPr>
              <w:ind w:right="49"/>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MX"/>
              </w:rPr>
            </w:pPr>
            <w:r w:rsidRPr="76E99BBA">
              <w:rPr>
                <w:rFonts w:ascii="Arial" w:eastAsia="Times New Roman" w:hAnsi="Arial" w:cs="Arial"/>
                <w:color w:val="000000" w:themeColor="text1"/>
                <w:lang w:eastAsia="es-MX"/>
              </w:rPr>
              <w:t>5</w:t>
            </w:r>
            <w:r w:rsidR="002F72F7">
              <w:rPr>
                <w:rFonts w:ascii="Arial" w:eastAsia="Times New Roman" w:hAnsi="Arial" w:cs="Arial"/>
                <w:color w:val="000000" w:themeColor="text1"/>
                <w:lang w:eastAsia="es-MX"/>
              </w:rPr>
              <w:t>2</w:t>
            </w:r>
            <w:r w:rsidRPr="76E99BBA">
              <w:rPr>
                <w:rFonts w:ascii="Arial" w:eastAsia="Times New Roman" w:hAnsi="Arial" w:cs="Arial"/>
                <w:color w:val="000000" w:themeColor="text1"/>
                <w:lang w:eastAsia="es-MX"/>
              </w:rPr>
              <w:t>.</w:t>
            </w:r>
            <w:r w:rsidR="002F72F7">
              <w:rPr>
                <w:rFonts w:ascii="Arial" w:eastAsia="Times New Roman" w:hAnsi="Arial" w:cs="Arial"/>
                <w:color w:val="000000" w:themeColor="text1"/>
                <w:lang w:eastAsia="es-MX"/>
              </w:rPr>
              <w:t>1</w:t>
            </w:r>
          </w:p>
        </w:tc>
      </w:tr>
      <w:tr w:rsidR="00811F67" w14:paraId="5961A74A" w14:textId="77777777" w:rsidTr="00811F67">
        <w:tc>
          <w:tcPr>
            <w:cnfStyle w:val="001000000000" w:firstRow="0" w:lastRow="0" w:firstColumn="1" w:lastColumn="0" w:oddVBand="0" w:evenVBand="0" w:oddHBand="0" w:evenHBand="0" w:firstRowFirstColumn="0" w:firstRowLastColumn="0" w:lastRowFirstColumn="0" w:lastRowLastColumn="0"/>
            <w:tcW w:w="4395" w:type="dxa"/>
          </w:tcPr>
          <w:p w14:paraId="27D6DF51" w14:textId="77777777" w:rsidR="00811F67" w:rsidRPr="008C75BC" w:rsidRDefault="00811F67" w:rsidP="00811F67">
            <w:pPr>
              <w:ind w:right="49"/>
              <w:jc w:val="both"/>
              <w:rPr>
                <w:rFonts w:ascii="Arial" w:eastAsia="Times New Roman" w:hAnsi="Arial" w:cs="Arial"/>
                <w:b w:val="0"/>
                <w:spacing w:val="10"/>
                <w:lang w:val="es-ES" w:eastAsia="es-ES"/>
              </w:rPr>
            </w:pPr>
            <w:r>
              <w:rPr>
                <w:rFonts w:ascii="Arial" w:eastAsia="Times New Roman" w:hAnsi="Arial" w:cs="Arial"/>
                <w:b w:val="0"/>
                <w:color w:val="000000" w:themeColor="text1"/>
                <w:lang w:eastAsia="es-MX"/>
              </w:rPr>
              <w:t xml:space="preserve"> </w:t>
            </w:r>
            <w:r>
              <w:rPr>
                <w:rFonts w:ascii="Arial" w:eastAsia="Times New Roman" w:hAnsi="Arial" w:cs="Arial"/>
                <w:color w:val="000000" w:themeColor="text1"/>
                <w:lang w:eastAsia="es-MX"/>
              </w:rPr>
              <w:t xml:space="preserve">    </w:t>
            </w:r>
            <w:r w:rsidRPr="7E7AA3A1">
              <w:rPr>
                <w:rFonts w:ascii="Arial" w:eastAsia="Times New Roman" w:hAnsi="Arial" w:cs="Arial"/>
                <w:b w:val="0"/>
                <w:color w:val="000000" w:themeColor="text1"/>
                <w:lang w:eastAsia="es-MX"/>
              </w:rPr>
              <w:t>Negativa (01 a 05 y 15)</w:t>
            </w:r>
          </w:p>
        </w:tc>
        <w:tc>
          <w:tcPr>
            <w:tcW w:w="1275" w:type="dxa"/>
          </w:tcPr>
          <w:p w14:paraId="7941FFAA" w14:textId="157FE283" w:rsidR="00811F67" w:rsidRPr="76E99BBA" w:rsidRDefault="00811F67" w:rsidP="00811F67">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76E99BBA">
              <w:rPr>
                <w:rFonts w:ascii="Arial" w:eastAsia="Times New Roman" w:hAnsi="Arial" w:cs="Arial"/>
                <w:color w:val="000000" w:themeColor="text1"/>
                <w:lang w:eastAsia="es-MX"/>
              </w:rPr>
              <w:t xml:space="preserve">6 </w:t>
            </w:r>
            <w:r w:rsidR="002F72F7">
              <w:rPr>
                <w:rFonts w:ascii="Arial" w:eastAsia="Times New Roman" w:hAnsi="Arial" w:cs="Arial"/>
                <w:color w:val="000000" w:themeColor="text1"/>
                <w:lang w:eastAsia="es-MX"/>
              </w:rPr>
              <w:t>077</w:t>
            </w:r>
          </w:p>
        </w:tc>
        <w:tc>
          <w:tcPr>
            <w:tcW w:w="1418" w:type="dxa"/>
          </w:tcPr>
          <w:p w14:paraId="73FA0368" w14:textId="2A83BE4D" w:rsidR="00811F67" w:rsidRPr="76E99BBA" w:rsidRDefault="00811F67" w:rsidP="00811F67">
            <w:pPr>
              <w:ind w:right="49"/>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lang w:eastAsia="es-MX"/>
              </w:rPr>
            </w:pPr>
            <w:r w:rsidRPr="76E99BBA">
              <w:rPr>
                <w:rFonts w:ascii="Arial" w:eastAsia="Times New Roman" w:hAnsi="Arial" w:cs="Arial"/>
                <w:color w:val="000000" w:themeColor="text1"/>
                <w:lang w:eastAsia="es-MX"/>
              </w:rPr>
              <w:t>4</w:t>
            </w:r>
            <w:r w:rsidR="002F72F7">
              <w:rPr>
                <w:rFonts w:ascii="Arial" w:eastAsia="Times New Roman" w:hAnsi="Arial" w:cs="Arial"/>
                <w:color w:val="000000" w:themeColor="text1"/>
                <w:lang w:eastAsia="es-MX"/>
              </w:rPr>
              <w:t>7.9</w:t>
            </w:r>
          </w:p>
        </w:tc>
      </w:tr>
    </w:tbl>
    <w:p w14:paraId="125B9B20" w14:textId="77777777" w:rsidR="00D6148B" w:rsidRPr="00D6148B" w:rsidRDefault="00D6148B" w:rsidP="00D6148B">
      <w:pPr>
        <w:spacing w:after="0" w:line="240" w:lineRule="auto"/>
        <w:ind w:right="49"/>
        <w:jc w:val="both"/>
        <w:rPr>
          <w:rFonts w:ascii="Arial" w:eastAsia="Times New Roman" w:hAnsi="Arial" w:cs="Arial"/>
          <w:bCs/>
          <w:spacing w:val="10"/>
          <w:lang w:val="es-ES_tradnl" w:eastAsia="es-ES"/>
        </w:rPr>
      </w:pPr>
    </w:p>
    <w:p w14:paraId="5F5ADAE9" w14:textId="77777777" w:rsidR="005701AB" w:rsidRPr="003E6E0C" w:rsidRDefault="005701AB" w:rsidP="00C562B0">
      <w:pPr>
        <w:spacing w:after="0" w:line="240" w:lineRule="auto"/>
        <w:ind w:right="49"/>
        <w:jc w:val="both"/>
        <w:rPr>
          <w:rFonts w:ascii="Arial" w:eastAsia="Times New Roman" w:hAnsi="Arial" w:cs="Arial"/>
          <w:bCs/>
          <w:spacing w:val="10"/>
          <w:lang w:val="es-ES_tradnl" w:eastAsia="es-ES"/>
        </w:rPr>
      </w:pPr>
    </w:p>
    <w:p w14:paraId="3B8D1701" w14:textId="77777777" w:rsidR="00252EDE"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Diseño muestral</w:t>
      </w:r>
    </w:p>
    <w:p w14:paraId="2EB84C98" w14:textId="77777777" w:rsidR="00965E24" w:rsidRDefault="00965E24" w:rsidP="00965E24">
      <w:pPr>
        <w:spacing w:after="0" w:line="240" w:lineRule="auto"/>
        <w:ind w:right="49"/>
        <w:jc w:val="both"/>
        <w:rPr>
          <w:rFonts w:ascii="Arial" w:eastAsia="Times New Roman" w:hAnsi="Arial" w:cs="Arial"/>
          <w:bCs/>
          <w:spacing w:val="10"/>
          <w:lang w:val="es-ES_tradnl" w:eastAsia="es-ES"/>
        </w:rPr>
      </w:pPr>
    </w:p>
    <w:p w14:paraId="6F5F24C7" w14:textId="77777777" w:rsidR="00965E24" w:rsidRDefault="00965E24" w:rsidP="00657781">
      <w:pPr>
        <w:spacing w:after="0" w:line="240" w:lineRule="auto"/>
        <w:ind w:right="49"/>
        <w:jc w:val="both"/>
        <w:rPr>
          <w:rFonts w:ascii="Arial" w:eastAsia="Times New Roman" w:hAnsi="Arial" w:cs="Arial"/>
          <w:bCs/>
          <w:spacing w:val="10"/>
          <w:lang w:val="es-ES_tradnl" w:eastAsia="es-ES"/>
        </w:rPr>
      </w:pPr>
      <w:r w:rsidRPr="00657781">
        <w:rPr>
          <w:rFonts w:ascii="Arial" w:eastAsia="Times New Roman" w:hAnsi="Arial" w:cs="Arial"/>
          <w:bCs/>
          <w:spacing w:val="10"/>
          <w:lang w:val="es-ES_tradnl" w:eastAsia="es-ES"/>
        </w:rPr>
        <w:t>El diseño muestral de la E</w:t>
      </w:r>
      <w:r w:rsidR="0040790D">
        <w:rPr>
          <w:rFonts w:ascii="Arial" w:eastAsia="Times New Roman" w:hAnsi="Arial" w:cs="Arial"/>
          <w:bCs/>
          <w:spacing w:val="10"/>
          <w:lang w:val="es-ES_tradnl" w:eastAsia="es-ES"/>
        </w:rPr>
        <w:t>N</w:t>
      </w:r>
      <w:r w:rsidRPr="00657781">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Pr="00657781">
        <w:rPr>
          <w:rFonts w:ascii="Arial" w:eastAsia="Times New Roman" w:hAnsi="Arial" w:cs="Arial"/>
          <w:bCs/>
          <w:spacing w:val="10"/>
          <w:lang w:val="es-ES_tradnl" w:eastAsia="es-ES"/>
        </w:rPr>
        <w:t xml:space="preserve"> es probabilístico, ya que las viviendas heredan las probabilidades de inclusión del modelo probabilístico de la ENOE. A su vez, es </w:t>
      </w:r>
      <w:proofErr w:type="spellStart"/>
      <w:r w:rsidRPr="00657781">
        <w:rPr>
          <w:rFonts w:ascii="Arial" w:eastAsia="Times New Roman" w:hAnsi="Arial" w:cs="Arial"/>
          <w:bCs/>
          <w:spacing w:val="10"/>
          <w:lang w:val="es-ES_tradnl" w:eastAsia="es-ES"/>
        </w:rPr>
        <w:t>bietápica</w:t>
      </w:r>
      <w:proofErr w:type="spellEnd"/>
      <w:r>
        <w:rPr>
          <w:rFonts w:ascii="Arial" w:eastAsia="Times New Roman" w:hAnsi="Arial" w:cs="Arial"/>
          <w:bCs/>
          <w:spacing w:val="10"/>
          <w:lang w:val="es-ES_tradnl" w:eastAsia="es-ES"/>
        </w:rPr>
        <w:t xml:space="preserve"> y por conglomerados debido a que se obtiene </w:t>
      </w:r>
      <w:r w:rsidRPr="00657781">
        <w:rPr>
          <w:rFonts w:ascii="Arial" w:eastAsia="Times New Roman" w:hAnsi="Arial" w:cs="Arial"/>
          <w:bCs/>
          <w:spacing w:val="10"/>
          <w:lang w:val="es-ES_tradnl" w:eastAsia="es-ES"/>
        </w:rPr>
        <w:t>a partir de un marco de muestreo de conglomerados estratificados.</w:t>
      </w:r>
    </w:p>
    <w:p w14:paraId="3012E406" w14:textId="77777777" w:rsidR="00657781" w:rsidRDefault="00657781" w:rsidP="00657781">
      <w:pPr>
        <w:spacing w:after="0" w:line="240" w:lineRule="auto"/>
        <w:ind w:right="49"/>
        <w:jc w:val="both"/>
        <w:rPr>
          <w:rFonts w:ascii="Arial" w:eastAsia="Times New Roman" w:hAnsi="Arial" w:cs="Arial"/>
          <w:bCs/>
          <w:spacing w:val="10"/>
          <w:lang w:val="es-ES_tradnl" w:eastAsia="es-ES"/>
        </w:rPr>
      </w:pPr>
    </w:p>
    <w:p w14:paraId="5FC28C39" w14:textId="202FF273" w:rsidR="00252EDE" w:rsidRDefault="00546CE1" w:rsidP="00252EDE">
      <w:pPr>
        <w:spacing w:after="0" w:line="240" w:lineRule="auto"/>
        <w:ind w:right="49"/>
        <w:jc w:val="both"/>
        <w:rPr>
          <w:rFonts w:ascii="Arial" w:eastAsia="Times New Roman" w:hAnsi="Arial" w:cs="Arial"/>
          <w:bCs/>
          <w:spacing w:val="10"/>
          <w:lang w:val="es-ES_tradnl" w:eastAsia="es-ES"/>
        </w:rPr>
      </w:pPr>
      <w:r>
        <w:rPr>
          <w:rFonts w:ascii="Arial" w:eastAsia="Times New Roman" w:hAnsi="Arial" w:cs="Arial"/>
          <w:bCs/>
          <w:spacing w:val="10"/>
          <w:lang w:val="es-ES_tradnl" w:eastAsia="es-ES"/>
        </w:rPr>
        <w:t>Para el mes de julio, l</w:t>
      </w:r>
      <w:r w:rsidR="00252EDE" w:rsidRPr="003E6E0C">
        <w:rPr>
          <w:rFonts w:ascii="Arial" w:eastAsia="Times New Roman" w:hAnsi="Arial" w:cs="Arial"/>
          <w:bCs/>
          <w:spacing w:val="10"/>
          <w:lang w:val="es-ES_tradnl" w:eastAsia="es-ES"/>
        </w:rPr>
        <w:t xml:space="preserve">a </w:t>
      </w:r>
      <w:r w:rsidR="00D41527">
        <w:rPr>
          <w:rFonts w:ascii="Arial" w:eastAsia="Times New Roman" w:hAnsi="Arial" w:cs="Arial"/>
          <w:bCs/>
          <w:spacing w:val="10"/>
          <w:lang w:val="es-ES_tradnl" w:eastAsia="es-ES"/>
        </w:rPr>
        <w:t>ENOE</w:t>
      </w:r>
      <w:r w:rsidR="00F66482">
        <w:rPr>
          <w:rFonts w:ascii="Arial" w:eastAsia="Times New Roman" w:hAnsi="Arial" w:cs="Arial"/>
          <w:bCs/>
          <w:spacing w:val="10"/>
          <w:vertAlign w:val="superscript"/>
          <w:lang w:val="es-ES_tradnl" w:eastAsia="es-ES"/>
        </w:rPr>
        <w:t>N</w:t>
      </w:r>
      <w:r w:rsidR="00D41527" w:rsidRPr="003E6E0C">
        <w:rPr>
          <w:rFonts w:ascii="Arial" w:eastAsia="Times New Roman" w:hAnsi="Arial" w:cs="Arial"/>
          <w:bCs/>
          <w:spacing w:val="10"/>
          <w:lang w:val="es-ES_tradnl" w:eastAsia="es-ES"/>
        </w:rPr>
        <w:t xml:space="preserve"> </w:t>
      </w:r>
      <w:r w:rsidR="00252EDE" w:rsidRPr="003E6E0C">
        <w:rPr>
          <w:rFonts w:ascii="Arial" w:eastAsia="Times New Roman" w:hAnsi="Arial" w:cs="Arial"/>
          <w:bCs/>
          <w:spacing w:val="10"/>
          <w:lang w:val="es-ES_tradnl" w:eastAsia="es-ES"/>
        </w:rPr>
        <w:t>toma como referencia muestra de viviendas de la Encuesta Nacional de Ocupación y Empleo (ENOE) de</w:t>
      </w:r>
      <w:r w:rsidR="00DB4812">
        <w:rPr>
          <w:rFonts w:ascii="Arial" w:eastAsia="Times New Roman" w:hAnsi="Arial" w:cs="Arial"/>
          <w:bCs/>
          <w:spacing w:val="10"/>
          <w:lang w:val="es-ES_tradnl" w:eastAsia="es-ES"/>
        </w:rPr>
        <w:t xml:space="preserve">l mes de julio </w:t>
      </w:r>
      <w:r w:rsidR="00252EDE" w:rsidRPr="003E6E0C">
        <w:rPr>
          <w:rFonts w:ascii="Arial" w:eastAsia="Times New Roman" w:hAnsi="Arial" w:cs="Arial"/>
          <w:bCs/>
          <w:spacing w:val="10"/>
          <w:lang w:val="es-ES_tradnl" w:eastAsia="es-ES"/>
        </w:rPr>
        <w:t xml:space="preserve">2020, </w:t>
      </w:r>
      <w:r w:rsidR="00DB4812">
        <w:rPr>
          <w:rFonts w:ascii="Arial" w:eastAsia="Times New Roman" w:hAnsi="Arial" w:cs="Arial"/>
          <w:bCs/>
          <w:spacing w:val="10"/>
          <w:lang w:val="es-ES_tradnl" w:eastAsia="es-ES"/>
        </w:rPr>
        <w:t xml:space="preserve">así como las </w:t>
      </w:r>
      <w:r w:rsidR="00252EDE" w:rsidRPr="003E6E0C">
        <w:rPr>
          <w:rFonts w:ascii="Arial" w:eastAsia="Times New Roman" w:hAnsi="Arial" w:cs="Arial"/>
          <w:bCs/>
          <w:spacing w:val="10"/>
          <w:lang w:val="es-ES_tradnl" w:eastAsia="es-ES"/>
        </w:rPr>
        <w:t>viviendas de las cuales se dispone del número de contacto telefónico</w:t>
      </w:r>
      <w:r w:rsidR="00DB4812">
        <w:rPr>
          <w:rFonts w:ascii="Arial" w:eastAsia="Times New Roman" w:hAnsi="Arial" w:cs="Arial"/>
          <w:bCs/>
          <w:spacing w:val="10"/>
          <w:lang w:val="es-ES_tradnl" w:eastAsia="es-ES"/>
        </w:rPr>
        <w:t xml:space="preserve"> del primer trimestre de 2020.</w:t>
      </w:r>
    </w:p>
    <w:p w14:paraId="1DBC729D" w14:textId="77777777" w:rsidR="00343375" w:rsidRDefault="00343375" w:rsidP="00343375">
      <w:pPr>
        <w:spacing w:after="0" w:line="240" w:lineRule="auto"/>
        <w:ind w:right="49"/>
        <w:jc w:val="both"/>
        <w:rPr>
          <w:rFonts w:ascii="Arial" w:eastAsia="Times New Roman" w:hAnsi="Arial" w:cs="Arial"/>
          <w:bCs/>
          <w:spacing w:val="10"/>
          <w:lang w:val="es-ES_tradnl" w:eastAsia="es-ES"/>
        </w:rPr>
      </w:pPr>
    </w:p>
    <w:p w14:paraId="6185AB67" w14:textId="77777777" w:rsidR="00252EDE" w:rsidRDefault="00252EDE" w:rsidP="00343375">
      <w:pPr>
        <w:spacing w:after="0" w:line="240" w:lineRule="auto"/>
        <w:ind w:right="49"/>
        <w:jc w:val="both"/>
        <w:rPr>
          <w:rFonts w:ascii="Arial" w:eastAsia="Times New Roman" w:hAnsi="Arial" w:cs="Arial"/>
          <w:bCs/>
          <w:spacing w:val="10"/>
          <w:lang w:val="es-ES_tradnl" w:eastAsia="es-ES"/>
        </w:rPr>
      </w:pPr>
      <w:r w:rsidRPr="00DF2689">
        <w:rPr>
          <w:rFonts w:ascii="Arial" w:eastAsia="Times New Roman" w:hAnsi="Arial" w:cs="Arial"/>
          <w:bCs/>
          <w:spacing w:val="10"/>
          <w:lang w:val="es-ES_tradnl" w:eastAsia="es-ES"/>
        </w:rPr>
        <w:t xml:space="preserve">El tamaño de muestra fue de </w:t>
      </w:r>
      <w:r w:rsidR="00D41527">
        <w:rPr>
          <w:rFonts w:ascii="Arial" w:eastAsia="Times New Roman" w:hAnsi="Arial" w:cs="Arial"/>
          <w:bCs/>
          <w:spacing w:val="10"/>
          <w:lang w:val="es-ES_tradnl" w:eastAsia="es-ES"/>
        </w:rPr>
        <w:t>16,948</w:t>
      </w:r>
      <w:r w:rsidR="0084772A" w:rsidRPr="00DF2689">
        <w:rPr>
          <w:rFonts w:ascii="Arial" w:eastAsia="Times New Roman" w:hAnsi="Arial" w:cs="Arial"/>
          <w:bCs/>
          <w:spacing w:val="10"/>
          <w:lang w:val="es-ES_tradnl" w:eastAsia="es-ES"/>
        </w:rPr>
        <w:t xml:space="preserve"> </w:t>
      </w:r>
      <w:r w:rsidRPr="00DF2689">
        <w:rPr>
          <w:rFonts w:ascii="Arial" w:eastAsia="Times New Roman" w:hAnsi="Arial" w:cs="Arial"/>
          <w:bCs/>
          <w:spacing w:val="10"/>
          <w:lang w:val="es-ES_tradnl" w:eastAsia="es-ES"/>
        </w:rPr>
        <w:t>viviendas particulares</w:t>
      </w:r>
      <w:r w:rsidR="00F92E96">
        <w:rPr>
          <w:rFonts w:ascii="Arial" w:eastAsia="Times New Roman" w:hAnsi="Arial" w:cs="Arial"/>
          <w:bCs/>
          <w:spacing w:val="10"/>
          <w:lang w:val="es-ES_tradnl" w:eastAsia="es-ES"/>
        </w:rPr>
        <w:t xml:space="preserve"> con entrevistas </w:t>
      </w:r>
      <w:r w:rsidR="00D41527">
        <w:rPr>
          <w:rFonts w:ascii="Arial" w:eastAsia="Times New Roman" w:hAnsi="Arial" w:cs="Arial"/>
          <w:bCs/>
          <w:spacing w:val="10"/>
          <w:lang w:val="es-ES_tradnl" w:eastAsia="es-ES"/>
        </w:rPr>
        <w:t>cara a cara</w:t>
      </w:r>
      <w:r w:rsidR="00F92E96">
        <w:rPr>
          <w:rFonts w:ascii="Arial" w:eastAsia="Times New Roman" w:hAnsi="Arial" w:cs="Arial"/>
          <w:bCs/>
          <w:spacing w:val="10"/>
          <w:lang w:val="es-ES_tradnl" w:eastAsia="es-ES"/>
        </w:rPr>
        <w:t xml:space="preserve"> y </w:t>
      </w:r>
      <w:r w:rsidR="00D41527">
        <w:rPr>
          <w:rFonts w:ascii="Arial" w:eastAsia="Times New Roman" w:hAnsi="Arial" w:cs="Arial"/>
          <w:bCs/>
          <w:spacing w:val="10"/>
          <w:lang w:val="es-ES_tradnl" w:eastAsia="es-ES"/>
        </w:rPr>
        <w:t>6,607</w:t>
      </w:r>
      <w:r w:rsidR="0084772A" w:rsidRPr="00DF2689">
        <w:rPr>
          <w:rFonts w:ascii="Arial" w:eastAsia="Times New Roman" w:hAnsi="Arial" w:cs="Arial"/>
          <w:bCs/>
          <w:spacing w:val="10"/>
          <w:lang w:val="es-ES_tradnl" w:eastAsia="es-ES"/>
        </w:rPr>
        <w:t xml:space="preserve"> </w:t>
      </w:r>
      <w:r w:rsidR="00F92E96">
        <w:rPr>
          <w:rFonts w:ascii="Arial" w:eastAsia="Times New Roman" w:hAnsi="Arial" w:cs="Arial"/>
          <w:bCs/>
          <w:spacing w:val="10"/>
          <w:lang w:val="es-ES_tradnl" w:eastAsia="es-ES"/>
        </w:rPr>
        <w:t xml:space="preserve">viviendas particulares con entrevistas </w:t>
      </w:r>
      <w:r w:rsidR="00D41527">
        <w:rPr>
          <w:rFonts w:ascii="Arial" w:eastAsia="Times New Roman" w:hAnsi="Arial" w:cs="Arial"/>
          <w:bCs/>
          <w:spacing w:val="10"/>
          <w:lang w:val="es-ES_tradnl" w:eastAsia="es-ES"/>
        </w:rPr>
        <w:t>telefónicas</w:t>
      </w:r>
      <w:r w:rsidR="00F92E96">
        <w:rPr>
          <w:rFonts w:ascii="Arial" w:eastAsia="Times New Roman" w:hAnsi="Arial" w:cs="Arial"/>
          <w:bCs/>
          <w:spacing w:val="10"/>
          <w:lang w:val="es-ES_tradnl" w:eastAsia="es-ES"/>
        </w:rPr>
        <w:t xml:space="preserve"> </w:t>
      </w:r>
      <w:r w:rsidRPr="00DF2689">
        <w:rPr>
          <w:rFonts w:ascii="Arial" w:eastAsia="Times New Roman" w:hAnsi="Arial" w:cs="Arial"/>
          <w:bCs/>
          <w:spacing w:val="10"/>
          <w:lang w:val="es-ES_tradnl" w:eastAsia="es-ES"/>
        </w:rPr>
        <w:t>para ofrecer datos a nivel nacional.</w:t>
      </w:r>
      <w:r w:rsidR="0032783F">
        <w:rPr>
          <w:rFonts w:ascii="Arial" w:eastAsia="Times New Roman" w:hAnsi="Arial" w:cs="Arial"/>
          <w:bCs/>
          <w:spacing w:val="10"/>
          <w:lang w:val="es-ES_tradnl" w:eastAsia="es-ES"/>
        </w:rPr>
        <w:t xml:space="preserve"> La muestra final para el mes de </w:t>
      </w:r>
      <w:r w:rsidR="00D41527">
        <w:rPr>
          <w:rFonts w:ascii="Arial" w:eastAsia="Times New Roman" w:hAnsi="Arial" w:cs="Arial"/>
          <w:bCs/>
          <w:spacing w:val="10"/>
          <w:lang w:val="es-ES_tradnl" w:eastAsia="es-ES"/>
        </w:rPr>
        <w:t xml:space="preserve">julio </w:t>
      </w:r>
      <w:r w:rsidR="0032783F">
        <w:rPr>
          <w:rFonts w:ascii="Arial" w:eastAsia="Times New Roman" w:hAnsi="Arial" w:cs="Arial"/>
          <w:bCs/>
          <w:spacing w:val="10"/>
          <w:lang w:val="es-ES_tradnl" w:eastAsia="es-ES"/>
        </w:rPr>
        <w:t xml:space="preserve">resultó en </w:t>
      </w:r>
      <w:r w:rsidR="00D41527">
        <w:rPr>
          <w:rFonts w:ascii="Arial" w:eastAsia="Times New Roman" w:hAnsi="Arial" w:cs="Arial"/>
          <w:bCs/>
          <w:spacing w:val="10"/>
          <w:lang w:val="es-ES_tradnl" w:eastAsia="es-ES"/>
        </w:rPr>
        <w:t>23,555</w:t>
      </w:r>
      <w:r w:rsidR="0032783F">
        <w:rPr>
          <w:rFonts w:ascii="Arial" w:eastAsia="Times New Roman" w:hAnsi="Arial" w:cs="Arial"/>
          <w:bCs/>
          <w:spacing w:val="10"/>
          <w:lang w:val="es-ES_tradnl" w:eastAsia="es-ES"/>
        </w:rPr>
        <w:t xml:space="preserve"> viviendas con entrevista completa. </w:t>
      </w:r>
    </w:p>
    <w:p w14:paraId="600D7B5D" w14:textId="77777777" w:rsidR="00252EDE" w:rsidRDefault="00252EDE" w:rsidP="00343375">
      <w:pPr>
        <w:spacing w:after="0" w:line="240" w:lineRule="auto"/>
        <w:ind w:right="49"/>
        <w:jc w:val="both"/>
        <w:rPr>
          <w:rFonts w:ascii="Arial" w:eastAsia="Times New Roman" w:hAnsi="Arial" w:cs="Arial"/>
          <w:bCs/>
          <w:spacing w:val="10"/>
          <w:lang w:val="es-ES_tradnl" w:eastAsia="es-ES"/>
        </w:rPr>
      </w:pPr>
    </w:p>
    <w:p w14:paraId="00427CAD" w14:textId="77777777" w:rsidR="00743F28" w:rsidRDefault="00743F28" w:rsidP="00743F28">
      <w:pPr>
        <w:spacing w:after="0" w:line="240" w:lineRule="auto"/>
        <w:ind w:right="49"/>
        <w:jc w:val="both"/>
        <w:rPr>
          <w:rFonts w:ascii="Arial" w:eastAsia="Times New Roman" w:hAnsi="Arial" w:cs="Arial"/>
          <w:bCs/>
          <w:spacing w:val="10"/>
          <w:lang w:val="es-ES_tradnl" w:eastAsia="es-ES"/>
        </w:rPr>
      </w:pPr>
      <w:bookmarkStart w:id="9" w:name="_Hlk41563539"/>
    </w:p>
    <w:bookmarkEnd w:id="9"/>
    <w:p w14:paraId="11B59CD1" w14:textId="77777777" w:rsidR="00252EDE" w:rsidRPr="003E6E0C" w:rsidRDefault="00252EDE" w:rsidP="00252EDE">
      <w:pPr>
        <w:pStyle w:val="Prrafodelista"/>
        <w:numPr>
          <w:ilvl w:val="0"/>
          <w:numId w:val="9"/>
        </w:numPr>
        <w:spacing w:after="0" w:line="240" w:lineRule="auto"/>
        <w:ind w:left="0" w:right="49" w:firstLine="0"/>
        <w:rPr>
          <w:rFonts w:ascii="Arial" w:eastAsia="Times New Roman" w:hAnsi="Arial" w:cs="Arial"/>
          <w:b/>
          <w:bCs/>
          <w:spacing w:val="10"/>
          <w:lang w:val="es-ES_tradnl" w:eastAsia="es-ES"/>
        </w:rPr>
      </w:pPr>
      <w:r w:rsidRPr="003E6E0C">
        <w:rPr>
          <w:rFonts w:ascii="Arial" w:eastAsia="Times New Roman" w:hAnsi="Arial" w:cs="Arial"/>
          <w:b/>
          <w:bCs/>
          <w:spacing w:val="10"/>
          <w:lang w:val="es-ES_tradnl" w:eastAsia="es-ES"/>
        </w:rPr>
        <w:t>Consulta de la información</w:t>
      </w:r>
    </w:p>
    <w:p w14:paraId="7F4DB898" w14:textId="77777777" w:rsidR="00252EDE" w:rsidRDefault="00252EDE" w:rsidP="00252EDE">
      <w:pPr>
        <w:spacing w:after="0" w:line="240" w:lineRule="auto"/>
        <w:ind w:right="49"/>
        <w:rPr>
          <w:rFonts w:ascii="Arial" w:hAnsi="Arial" w:cs="Arial"/>
        </w:rPr>
      </w:pPr>
    </w:p>
    <w:p w14:paraId="63AF900A" w14:textId="77777777" w:rsidR="00252EDE" w:rsidRDefault="00252EDE" w:rsidP="00252EDE">
      <w:pPr>
        <w:spacing w:after="0" w:line="240" w:lineRule="auto"/>
        <w:ind w:right="49"/>
        <w:jc w:val="both"/>
        <w:rPr>
          <w:rFonts w:ascii="Arial" w:eastAsia="Times New Roman" w:hAnsi="Arial" w:cs="Arial"/>
          <w:bCs/>
          <w:spacing w:val="10"/>
          <w:lang w:val="es-ES_tradnl" w:eastAsia="es-ES"/>
        </w:rPr>
      </w:pPr>
      <w:r w:rsidRPr="003E6E0C">
        <w:rPr>
          <w:rFonts w:ascii="Arial" w:eastAsia="Times New Roman" w:hAnsi="Arial" w:cs="Arial"/>
          <w:bCs/>
          <w:spacing w:val="10"/>
          <w:lang w:val="es-ES_tradnl" w:eastAsia="es-ES"/>
        </w:rPr>
        <w:t>La información de la E</w:t>
      </w:r>
      <w:r w:rsidR="0040790D">
        <w:rPr>
          <w:rFonts w:ascii="Arial" w:eastAsia="Times New Roman" w:hAnsi="Arial" w:cs="Arial"/>
          <w:bCs/>
          <w:spacing w:val="10"/>
          <w:lang w:val="es-ES_tradnl" w:eastAsia="es-ES"/>
        </w:rPr>
        <w:t>N</w:t>
      </w:r>
      <w:r w:rsidRPr="003E6E0C">
        <w:rPr>
          <w:rFonts w:ascii="Arial" w:eastAsia="Times New Roman" w:hAnsi="Arial" w:cs="Arial"/>
          <w:bCs/>
          <w:spacing w:val="10"/>
          <w:lang w:val="es-ES_tradnl" w:eastAsia="es-ES"/>
        </w:rPr>
        <w:t>OE</w:t>
      </w:r>
      <w:r w:rsidR="00F66482">
        <w:rPr>
          <w:rFonts w:ascii="Arial" w:eastAsia="Times New Roman" w:hAnsi="Arial" w:cs="Arial"/>
          <w:bCs/>
          <w:spacing w:val="10"/>
          <w:vertAlign w:val="superscript"/>
          <w:lang w:val="es-ES_tradnl" w:eastAsia="es-ES"/>
        </w:rPr>
        <w:t>N</w:t>
      </w:r>
      <w:r w:rsidRPr="003E6E0C">
        <w:rPr>
          <w:rFonts w:ascii="Arial" w:eastAsia="Times New Roman" w:hAnsi="Arial" w:cs="Arial"/>
          <w:bCs/>
          <w:spacing w:val="10"/>
          <w:lang w:val="es-ES_tradnl" w:eastAsia="es-ES"/>
        </w:rPr>
        <w:t xml:space="preserve"> puede consultarse en la siguiente dirección de Internet: </w:t>
      </w:r>
      <w:hyperlink r:id="rId40" w:history="1">
        <w:r w:rsidR="00481417" w:rsidRPr="001A3C77">
          <w:rPr>
            <w:rStyle w:val="Hipervnculo"/>
            <w:rFonts w:ascii="Arial" w:eastAsia="Times New Roman" w:hAnsi="Arial" w:cs="Arial"/>
            <w:bCs/>
            <w:spacing w:val="10"/>
            <w:lang w:val="es-ES_tradnl" w:eastAsia="es-ES"/>
          </w:rPr>
          <w:t>https://www.inegi.org.mx/</w:t>
        </w:r>
      </w:hyperlink>
    </w:p>
    <w:p w14:paraId="6135C68B" w14:textId="77777777" w:rsidR="00481417" w:rsidRDefault="00481417" w:rsidP="00252EDE">
      <w:pPr>
        <w:spacing w:after="0" w:line="240" w:lineRule="auto"/>
        <w:ind w:right="49"/>
        <w:jc w:val="both"/>
        <w:rPr>
          <w:rFonts w:ascii="Arial" w:eastAsia="Times New Roman" w:hAnsi="Arial" w:cs="Arial"/>
          <w:bCs/>
          <w:spacing w:val="10"/>
          <w:lang w:val="es-ES_tradnl" w:eastAsia="es-ES"/>
        </w:rPr>
      </w:pPr>
    </w:p>
    <w:sectPr w:rsidR="00481417" w:rsidSect="00F14CF7">
      <w:headerReference w:type="default" r:id="rId41"/>
      <w:footerReference w:type="default" r:id="rId42"/>
      <w:pgSz w:w="12240" w:h="15840"/>
      <w:pgMar w:top="1417" w:right="1701" w:bottom="1417" w:left="1701" w:header="708" w:footer="4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B859B" w14:textId="77777777" w:rsidR="0047084F" w:rsidRDefault="0047084F" w:rsidP="00252EDE">
      <w:pPr>
        <w:spacing w:after="0" w:line="240" w:lineRule="auto"/>
      </w:pPr>
      <w:r>
        <w:separator/>
      </w:r>
    </w:p>
  </w:endnote>
  <w:endnote w:type="continuationSeparator" w:id="0">
    <w:p w14:paraId="28827F32" w14:textId="77777777" w:rsidR="0047084F" w:rsidRDefault="0047084F" w:rsidP="0025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hilena">
    <w:altName w:val="Chile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BFFFF" w14:textId="77777777" w:rsidR="007F3E63" w:rsidRDefault="007F3E63">
    <w:pPr>
      <w:pStyle w:val="Piedepgina"/>
      <w:jc w:val="right"/>
    </w:pPr>
  </w:p>
  <w:p w14:paraId="40E893A2" w14:textId="77777777" w:rsidR="007F3E63" w:rsidRPr="00121A1B" w:rsidRDefault="007F3E63" w:rsidP="007B4B63">
    <w:pPr>
      <w:pStyle w:val="Piedepgina"/>
      <w:jc w:val="center"/>
      <w:rPr>
        <w:rFonts w:ascii="Arial" w:hAnsi="Arial" w:cs="Arial"/>
        <w:b/>
        <w:bCs/>
        <w:color w:val="002060"/>
        <w:sz w:val="20"/>
        <w:szCs w:val="20"/>
      </w:rPr>
    </w:pPr>
    <w:r w:rsidRPr="00121A1B">
      <w:rPr>
        <w:rFonts w:ascii="Arial" w:hAnsi="Arial" w:cs="Arial"/>
        <w:b/>
        <w:bCs/>
        <w:color w:val="002060"/>
        <w:sz w:val="20"/>
        <w:szCs w:val="2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925825"/>
      <w:docPartObj>
        <w:docPartGallery w:val="Page Numbers (Bottom of Page)"/>
        <w:docPartUnique/>
      </w:docPartObj>
    </w:sdtPr>
    <w:sdtEndPr>
      <w:rPr>
        <w:rFonts w:ascii="Arial" w:hAnsi="Arial" w:cs="Arial"/>
        <w:b/>
        <w:bCs/>
        <w:color w:val="002060"/>
        <w:sz w:val="20"/>
        <w:szCs w:val="20"/>
      </w:rPr>
    </w:sdtEndPr>
    <w:sdtContent>
      <w:p w14:paraId="26637819" w14:textId="77777777" w:rsidR="007F3E63" w:rsidRPr="00F14CF7" w:rsidRDefault="007F3E63" w:rsidP="00F14CF7">
        <w:pPr>
          <w:pStyle w:val="Piedepgina"/>
          <w:jc w:val="center"/>
          <w:rPr>
            <w:rFonts w:ascii="Arial" w:hAnsi="Arial" w:cs="Arial"/>
            <w:b/>
            <w:bCs/>
            <w:color w:val="002060"/>
            <w:sz w:val="20"/>
            <w:szCs w:val="20"/>
          </w:rPr>
        </w:pPr>
        <w:r w:rsidRPr="00F14CF7">
          <w:rPr>
            <w:rFonts w:ascii="Arial" w:hAnsi="Arial" w:cs="Arial"/>
            <w:b/>
            <w:bCs/>
            <w:color w:val="002060"/>
            <w:sz w:val="20"/>
            <w:szCs w:val="20"/>
          </w:rPr>
          <w:t>COMUNICACIÓN SOCIAL</w:t>
        </w:r>
      </w:p>
    </w:sdtContent>
  </w:sdt>
  <w:p w14:paraId="51031413" w14:textId="77777777" w:rsidR="007F3E63" w:rsidRPr="007B4B63" w:rsidRDefault="007F3E63" w:rsidP="007B4B63">
    <w:pPr>
      <w:pStyle w:val="Piedepgina"/>
      <w:jc w:val="center"/>
      <w:rPr>
        <w:b/>
        <w:bCs/>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74893" w14:textId="77777777" w:rsidR="0047084F" w:rsidRDefault="0047084F" w:rsidP="00252EDE">
      <w:pPr>
        <w:spacing w:after="0" w:line="240" w:lineRule="auto"/>
      </w:pPr>
      <w:r>
        <w:separator/>
      </w:r>
    </w:p>
  </w:footnote>
  <w:footnote w:type="continuationSeparator" w:id="0">
    <w:p w14:paraId="2A444543" w14:textId="77777777" w:rsidR="0047084F" w:rsidRDefault="0047084F" w:rsidP="00252EDE">
      <w:pPr>
        <w:spacing w:after="0" w:line="240" w:lineRule="auto"/>
      </w:pPr>
      <w:r>
        <w:continuationSeparator/>
      </w:r>
    </w:p>
  </w:footnote>
  <w:footnote w:id="1">
    <w:p w14:paraId="4697C1BE" w14:textId="77777777" w:rsidR="006A6A18" w:rsidRPr="00F14CF7" w:rsidRDefault="006A6A18" w:rsidP="006A6A18">
      <w:pPr>
        <w:pStyle w:val="Textonotapie"/>
        <w:ind w:left="-426" w:hanging="141"/>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Porcentaje que representa la Población Económicamente Activa (PEA) respecto a la de 15 y más años de edad.</w:t>
      </w:r>
    </w:p>
  </w:footnote>
  <w:footnote w:id="2">
    <w:p w14:paraId="46F08046" w14:textId="77777777" w:rsidR="006A6A18" w:rsidRPr="00F14CF7" w:rsidRDefault="006A6A18" w:rsidP="006A6A18">
      <w:pPr>
        <w:pStyle w:val="Textonotapie"/>
        <w:ind w:left="-426" w:hanging="141"/>
        <w:rPr>
          <w:sz w:val="16"/>
          <w:szCs w:val="16"/>
          <w:lang w:val="es-MX"/>
        </w:rPr>
      </w:pPr>
      <w:r w:rsidRPr="00F14CF7">
        <w:rPr>
          <w:rStyle w:val="Refdenotaalpie"/>
          <w:sz w:val="16"/>
          <w:szCs w:val="16"/>
        </w:rPr>
        <w:footnoteRef/>
      </w:r>
      <w:r w:rsidRPr="00F14CF7">
        <w:rPr>
          <w:sz w:val="16"/>
          <w:szCs w:val="16"/>
        </w:rPr>
        <w:t xml:space="preserve"> </w:t>
      </w:r>
      <w:r w:rsidRPr="00F14CF7">
        <w:rPr>
          <w:color w:val="000000" w:themeColor="text1"/>
          <w:sz w:val="16"/>
          <w:szCs w:val="16"/>
          <w:lang w:val="es-ES"/>
        </w:rPr>
        <w:t xml:space="preserve">Porcentaje que representa la población </w:t>
      </w:r>
      <w:proofErr w:type="spellStart"/>
      <w:r w:rsidRPr="00F14CF7">
        <w:rPr>
          <w:color w:val="000000" w:themeColor="text1"/>
          <w:sz w:val="16"/>
          <w:szCs w:val="16"/>
          <w:lang w:val="es-ES"/>
        </w:rPr>
        <w:t>subocupada</w:t>
      </w:r>
      <w:proofErr w:type="spellEnd"/>
      <w:r w:rsidRPr="00F14CF7">
        <w:rPr>
          <w:color w:val="000000" w:themeColor="text1"/>
          <w:sz w:val="16"/>
          <w:szCs w:val="16"/>
          <w:lang w:val="es-ES"/>
        </w:rPr>
        <w:t xml:space="preserve"> respecto a la Población </w:t>
      </w:r>
      <w:r>
        <w:rPr>
          <w:color w:val="000000" w:themeColor="text1"/>
          <w:sz w:val="16"/>
          <w:szCs w:val="16"/>
          <w:lang w:val="es-ES"/>
        </w:rPr>
        <w:t>Ocupada</w:t>
      </w:r>
      <w:r w:rsidRPr="00F14CF7">
        <w:rPr>
          <w:color w:val="000000" w:themeColor="text1"/>
          <w:sz w:val="16"/>
          <w:szCs w:val="16"/>
          <w:lang w:val="es-ES"/>
        </w:rPr>
        <w:t xml:space="preserve"> (P</w:t>
      </w:r>
      <w:r>
        <w:rPr>
          <w:color w:val="000000" w:themeColor="text1"/>
          <w:sz w:val="16"/>
          <w:szCs w:val="16"/>
          <w:lang w:val="es-ES"/>
        </w:rPr>
        <w:t>O</w:t>
      </w:r>
      <w:r w:rsidRPr="00F14CF7">
        <w:rPr>
          <w:color w:val="000000" w:themeColor="text1"/>
          <w:sz w:val="16"/>
          <w:szCs w:val="16"/>
          <w:lang w:val="es-ES"/>
        </w:rPr>
        <w:t>).</w:t>
      </w:r>
    </w:p>
  </w:footnote>
  <w:footnote w:id="3">
    <w:p w14:paraId="0B4ED4E1" w14:textId="0717C422" w:rsidR="007F3E63" w:rsidRPr="00657781" w:rsidRDefault="007F3E63" w:rsidP="005A3886">
      <w:pPr>
        <w:pStyle w:val="Textonotapie"/>
        <w:ind w:left="142" w:hanging="142"/>
        <w:rPr>
          <w:sz w:val="18"/>
          <w:szCs w:val="18"/>
          <w:lang w:val="es-MX"/>
        </w:rPr>
      </w:pPr>
      <w:r w:rsidRPr="00657781">
        <w:rPr>
          <w:rStyle w:val="Refdenotaalpie"/>
          <w:sz w:val="18"/>
          <w:szCs w:val="18"/>
        </w:rPr>
        <w:footnoteRef/>
      </w:r>
      <w:r w:rsidRPr="00657781">
        <w:rPr>
          <w:sz w:val="18"/>
          <w:szCs w:val="18"/>
        </w:rPr>
        <w:t xml:space="preserve"> Los porcentajes pueden no sumar el 100% y las diferencias porcentuales pueden no ser exactas, debido al redondeo</w:t>
      </w:r>
      <w:r>
        <w:rPr>
          <w:sz w:val="18"/>
          <w:szCs w:val="18"/>
        </w:rPr>
        <w:t>.</w:t>
      </w:r>
      <w:r w:rsidRPr="00657781">
        <w:rPr>
          <w:sz w:val="18"/>
          <w:szCs w:val="18"/>
        </w:rPr>
        <w:t xml:space="preserve"> </w:t>
      </w:r>
    </w:p>
  </w:footnote>
  <w:footnote w:id="4">
    <w:p w14:paraId="6A498444" w14:textId="77777777" w:rsidR="007F3E63" w:rsidRPr="001A1D45" w:rsidRDefault="007F3E63" w:rsidP="003E203B">
      <w:pPr>
        <w:pStyle w:val="Textonotapie"/>
        <w:rPr>
          <w:lang w:val="es-MX"/>
        </w:rPr>
      </w:pPr>
      <w:r>
        <w:rPr>
          <w:rStyle w:val="Refdenotaalpie"/>
        </w:rPr>
        <w:footnoteRef/>
      </w:r>
      <w:r>
        <w:t xml:space="preserve"> </w:t>
      </w:r>
      <w:r w:rsidRPr="007746BC">
        <w:rPr>
          <w:sz w:val="18"/>
          <w:szCs w:val="18"/>
        </w:rPr>
        <w:t xml:space="preserve">Para la </w:t>
      </w:r>
      <w:r w:rsidRPr="0004722C">
        <w:rPr>
          <w:sz w:val="18"/>
          <w:szCs w:val="18"/>
        </w:rPr>
        <w:t>ENOE</w:t>
      </w:r>
      <w:r>
        <w:rPr>
          <w:sz w:val="18"/>
          <w:szCs w:val="18"/>
          <w:vertAlign w:val="superscript"/>
        </w:rPr>
        <w:t>N</w:t>
      </w:r>
      <w:r w:rsidRPr="007746BC">
        <w:rPr>
          <w:sz w:val="18"/>
          <w:szCs w:val="18"/>
        </w:rPr>
        <w:t>, en este rubro se clasifican a las personas ausentes temporales de una actividad u oficio y a las personas con necesidad o deseos de trabajar las cuales eran clasificadas en la ENOE en el rubro "Otros" de la Población No Económicamente Activa No Disponible. La razón de este cambio es debido a que por la pandemia y el cierre de las empresas y negocios en actividades no esenciales, técnicamente dicha población quedó fuera de la fuerza de trabajo al perder el vínculo con la unidad empleadora, muchos de los cuales retornarán a su trabajo una vez que se reactiven las actividades; por lo que conceptualmente es pertinente darles un tratamiento de "personas disponibles para trabajar sin posibilidades de búsqueda de trabajo", que dejarlos en una categoría residual entre las personas no disponibles para trabajar.</w:t>
      </w:r>
      <w:r>
        <w:rPr>
          <w:sz w:val="18"/>
          <w:szCs w:val="18"/>
        </w:rPr>
        <w:t xml:space="preserve"> Ver documento de Diseño Conceptual de la ENOE</w:t>
      </w:r>
      <w:r>
        <w:rPr>
          <w:sz w:val="18"/>
          <w:szCs w:val="18"/>
          <w:vertAlign w:val="superscript"/>
        </w:rPr>
        <w:t>N</w:t>
      </w:r>
      <w:r>
        <w:rPr>
          <w:sz w:val="18"/>
          <w:szCs w:val="18"/>
        </w:rPr>
        <w:t xml:space="preserve"> Sección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3AACE" w14:textId="71691613" w:rsidR="007F3E63" w:rsidRPr="00FE1C98" w:rsidRDefault="007F3E63" w:rsidP="007B4B63">
    <w:pPr>
      <w:pStyle w:val="Encabezado"/>
      <w:tabs>
        <w:tab w:val="clear" w:pos="4419"/>
        <w:tab w:val="clear" w:pos="8838"/>
      </w:tabs>
      <w:ind w:left="-567" w:right="-518"/>
      <w:jc w:val="right"/>
      <w:rPr>
        <w:rFonts w:ascii="Arial" w:hAnsi="Arial"/>
        <w:b/>
        <w:color w:val="002060"/>
        <w:sz w:val="26"/>
        <w:lang w:val="pt-BR"/>
      </w:rPr>
    </w:pPr>
    <w:r>
      <w:rPr>
        <w:noProof/>
        <w:lang w:eastAsia="es-MX"/>
      </w:rPr>
      <w:drawing>
        <wp:anchor distT="0" distB="0" distL="114300" distR="114300" simplePos="0" relativeHeight="251661312" behindDoc="0" locked="0" layoutInCell="1" allowOverlap="1" wp14:anchorId="5634F225" wp14:editId="483A4E4E">
          <wp:simplePos x="0" y="0"/>
          <wp:positionH relativeFrom="margin">
            <wp:posOffset>-276225</wp:posOffset>
          </wp:positionH>
          <wp:positionV relativeFrom="margin">
            <wp:posOffset>-855980</wp:posOffset>
          </wp:positionV>
          <wp:extent cx="687070" cy="7143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F47EF4">
      <w:rPr>
        <w:rFonts w:ascii="Arial" w:hAnsi="Arial" w:cs="Arial"/>
        <w:b/>
        <w:color w:val="002060"/>
        <w:sz w:val="24"/>
        <w:szCs w:val="24"/>
      </w:rPr>
      <w:t>C</w:t>
    </w:r>
    <w:r w:rsidRPr="00FE1C98">
      <w:rPr>
        <w:rFonts w:ascii="Arial" w:hAnsi="Arial"/>
        <w:b/>
        <w:color w:val="002060"/>
        <w:sz w:val="24"/>
      </w:rPr>
      <w:t xml:space="preserve">OMUNICADO DE PRENSA NÚM. </w:t>
    </w:r>
    <w:r w:rsidR="00C0542C">
      <w:rPr>
        <w:rFonts w:ascii="Arial" w:hAnsi="Arial"/>
        <w:b/>
        <w:color w:val="002060"/>
        <w:sz w:val="24"/>
      </w:rPr>
      <w:t>416</w:t>
    </w:r>
    <w:r>
      <w:rPr>
        <w:rFonts w:ascii="Arial" w:hAnsi="Arial"/>
        <w:b/>
        <w:color w:val="002060"/>
        <w:sz w:val="24"/>
      </w:rPr>
      <w:t>/20</w:t>
    </w:r>
  </w:p>
  <w:p w14:paraId="282C6D7D" w14:textId="74653DA7" w:rsidR="007F3E63" w:rsidRPr="00FE1C98" w:rsidRDefault="00C0542C" w:rsidP="007B4B63">
    <w:pPr>
      <w:pStyle w:val="Encabezado"/>
      <w:tabs>
        <w:tab w:val="clear" w:pos="4419"/>
        <w:tab w:val="clear" w:pos="8838"/>
      </w:tabs>
      <w:ind w:left="-567" w:right="-518"/>
      <w:jc w:val="right"/>
      <w:rPr>
        <w:rFonts w:ascii="Arial" w:hAnsi="Arial"/>
        <w:b/>
        <w:color w:val="002060"/>
        <w:sz w:val="26"/>
        <w:lang w:val="pt-BR"/>
      </w:rPr>
    </w:pPr>
    <w:r>
      <w:rPr>
        <w:rFonts w:ascii="Arial" w:hAnsi="Arial"/>
        <w:b/>
        <w:color w:val="002060"/>
        <w:sz w:val="26"/>
        <w:lang w:val="pt-BR"/>
      </w:rPr>
      <w:t>3</w:t>
    </w:r>
    <w:r w:rsidR="007F3E63">
      <w:rPr>
        <w:rFonts w:ascii="Arial" w:hAnsi="Arial"/>
        <w:b/>
        <w:color w:val="002060"/>
        <w:sz w:val="26"/>
        <w:lang w:val="pt-BR"/>
      </w:rPr>
      <w:t xml:space="preserve"> DE</w:t>
    </w:r>
    <w:r>
      <w:rPr>
        <w:rFonts w:ascii="Arial" w:hAnsi="Arial"/>
        <w:b/>
        <w:color w:val="002060"/>
        <w:sz w:val="26"/>
        <w:lang w:val="pt-BR"/>
      </w:rPr>
      <w:t xml:space="preserve"> SEPTIEMBRE </w:t>
    </w:r>
    <w:r w:rsidR="007F3E63">
      <w:rPr>
        <w:rFonts w:ascii="Arial" w:hAnsi="Arial"/>
        <w:b/>
        <w:color w:val="002060"/>
        <w:sz w:val="26"/>
        <w:lang w:val="pt-BR"/>
      </w:rPr>
      <w:t>DE 2020</w:t>
    </w:r>
  </w:p>
  <w:p w14:paraId="4B712748" w14:textId="6032642F" w:rsidR="007F3E63" w:rsidRPr="00FE1C98" w:rsidRDefault="007F3E63" w:rsidP="007B4B63">
    <w:pPr>
      <w:pStyle w:val="Encabezado"/>
      <w:tabs>
        <w:tab w:val="clear" w:pos="4419"/>
        <w:tab w:val="clear" w:pos="8838"/>
      </w:tabs>
      <w:ind w:left="-567" w:right="-518"/>
      <w:jc w:val="right"/>
      <w:rPr>
        <w:rFonts w:ascii="Arial" w:hAnsi="Arial"/>
        <w:b/>
        <w:color w:val="002060"/>
        <w:sz w:val="24"/>
      </w:rPr>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Pr>
        <w:rFonts w:ascii="Arial" w:hAnsi="Arial"/>
        <w:b/>
        <w:noProof/>
        <w:color w:val="002060"/>
        <w:sz w:val="24"/>
      </w:rPr>
      <w:t>2</w:t>
    </w:r>
    <w:r w:rsidRPr="00FE1C98">
      <w:rPr>
        <w:rFonts w:ascii="Arial" w:hAnsi="Arial"/>
        <w:b/>
        <w:color w:val="002060"/>
        <w:sz w:val="24"/>
      </w:rPr>
      <w:fldChar w:fldCharType="end"/>
    </w:r>
    <w:r w:rsidRPr="00FE1C98">
      <w:rPr>
        <w:rFonts w:ascii="Arial" w:hAnsi="Arial"/>
        <w:b/>
        <w:color w:val="002060"/>
        <w:sz w:val="24"/>
      </w:rPr>
      <w:t>/</w:t>
    </w:r>
    <w:r w:rsidR="00D02448">
      <w:rPr>
        <w:rFonts w:ascii="Arial" w:hAnsi="Arial"/>
        <w:b/>
        <w:color w:val="002060"/>
        <w:sz w:val="24"/>
      </w:rPr>
      <w:t>3</w:t>
    </w:r>
  </w:p>
  <w:p w14:paraId="4EFCCAF3" w14:textId="77777777" w:rsidR="007F3E63" w:rsidRDefault="007F3E63" w:rsidP="00395855">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BE21" w14:textId="77777777" w:rsidR="007F3E63" w:rsidRPr="00FE1C98" w:rsidRDefault="007F3E63" w:rsidP="00A77492">
    <w:pPr>
      <w:pStyle w:val="Encabezado"/>
      <w:tabs>
        <w:tab w:val="clear" w:pos="4419"/>
        <w:tab w:val="clear" w:pos="8838"/>
      </w:tabs>
      <w:ind w:left="-567" w:right="-518"/>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7FDAF081" wp14:editId="0D4993D4">
          <wp:simplePos x="0" y="0"/>
          <wp:positionH relativeFrom="margin">
            <wp:posOffset>2462530</wp:posOffset>
          </wp:positionH>
          <wp:positionV relativeFrom="topMargin">
            <wp:posOffset>213995</wp:posOffset>
          </wp:positionV>
          <wp:extent cx="687070" cy="714375"/>
          <wp:effectExtent l="0" t="0" r="0"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4E9">
      <w:rPr>
        <w:rFonts w:ascii="Arial" w:hAnsi="Arial" w:cs="Arial"/>
        <w:b/>
        <w:color w:val="002060"/>
        <w:sz w:val="24"/>
        <w:szCs w:val="24"/>
      </w:rPr>
      <w:t xml:space="preserve"> </w:t>
    </w:r>
  </w:p>
  <w:p w14:paraId="12CCE6CF" w14:textId="77777777" w:rsidR="007F3E63" w:rsidRDefault="007F3E63" w:rsidP="00395855">
    <w:pPr>
      <w:pStyle w:val="Encabezado"/>
      <w:jc w:val="center"/>
    </w:pPr>
  </w:p>
  <w:p w14:paraId="59BF5F7A" w14:textId="77777777" w:rsidR="007F3E63" w:rsidRDefault="007F3E63" w:rsidP="00395855">
    <w:pPr>
      <w:pStyle w:val="Encabezado"/>
      <w:jc w:val="center"/>
    </w:pPr>
  </w:p>
  <w:p w14:paraId="1DBEA1B7" w14:textId="77777777" w:rsidR="007F3E63" w:rsidRDefault="007F3E63" w:rsidP="00395855">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08C"/>
    <w:multiLevelType w:val="hybridMultilevel"/>
    <w:tmpl w:val="E078115C"/>
    <w:lvl w:ilvl="0" w:tplc="049E7E62">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C71ECF"/>
    <w:multiLevelType w:val="hybridMultilevel"/>
    <w:tmpl w:val="64769A12"/>
    <w:lvl w:ilvl="0" w:tplc="6FF6C354">
      <w:start w:val="1"/>
      <w:numFmt w:val="decimal"/>
      <w:lvlText w:val="%1."/>
      <w:lvlJc w:val="left"/>
      <w:pPr>
        <w:ind w:left="720" w:hanging="360"/>
      </w:pPr>
      <w:rPr>
        <w:rFonts w:ascii="Arial" w:hAnsi="Arial"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6923DF"/>
    <w:multiLevelType w:val="hybridMultilevel"/>
    <w:tmpl w:val="31749376"/>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775230C"/>
    <w:multiLevelType w:val="hybridMultilevel"/>
    <w:tmpl w:val="7BE0D2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4C3875"/>
    <w:multiLevelType w:val="hybridMultilevel"/>
    <w:tmpl w:val="094CE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507D9"/>
    <w:multiLevelType w:val="hybridMultilevel"/>
    <w:tmpl w:val="1D04870A"/>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6" w15:restartNumberingAfterBreak="0">
    <w:nsid w:val="22CF14EB"/>
    <w:multiLevelType w:val="hybridMultilevel"/>
    <w:tmpl w:val="60D410B2"/>
    <w:lvl w:ilvl="0" w:tplc="080A0001">
      <w:start w:val="1"/>
      <w:numFmt w:val="bullet"/>
      <w:lvlText w:val=""/>
      <w:lvlJc w:val="left"/>
      <w:pPr>
        <w:ind w:left="-557" w:hanging="360"/>
      </w:pPr>
      <w:rPr>
        <w:rFonts w:ascii="Symbol" w:hAnsi="Symbol" w:hint="default"/>
      </w:rPr>
    </w:lvl>
    <w:lvl w:ilvl="1" w:tplc="080A0003">
      <w:start w:val="1"/>
      <w:numFmt w:val="bullet"/>
      <w:lvlText w:val="o"/>
      <w:lvlJc w:val="left"/>
      <w:pPr>
        <w:ind w:left="163" w:hanging="360"/>
      </w:pPr>
      <w:rPr>
        <w:rFonts w:ascii="Courier New" w:hAnsi="Courier New" w:cs="Courier New" w:hint="default"/>
      </w:rPr>
    </w:lvl>
    <w:lvl w:ilvl="2" w:tplc="080A0005">
      <w:start w:val="1"/>
      <w:numFmt w:val="bullet"/>
      <w:lvlText w:val=""/>
      <w:lvlJc w:val="left"/>
      <w:pPr>
        <w:ind w:left="883" w:hanging="360"/>
      </w:pPr>
      <w:rPr>
        <w:rFonts w:ascii="Wingdings" w:hAnsi="Wingdings" w:hint="default"/>
      </w:rPr>
    </w:lvl>
    <w:lvl w:ilvl="3" w:tplc="080A0001" w:tentative="1">
      <w:start w:val="1"/>
      <w:numFmt w:val="bullet"/>
      <w:lvlText w:val=""/>
      <w:lvlJc w:val="left"/>
      <w:pPr>
        <w:ind w:left="1603" w:hanging="360"/>
      </w:pPr>
      <w:rPr>
        <w:rFonts w:ascii="Symbol" w:hAnsi="Symbol" w:hint="default"/>
      </w:rPr>
    </w:lvl>
    <w:lvl w:ilvl="4" w:tplc="080A0003" w:tentative="1">
      <w:start w:val="1"/>
      <w:numFmt w:val="bullet"/>
      <w:lvlText w:val="o"/>
      <w:lvlJc w:val="left"/>
      <w:pPr>
        <w:ind w:left="2323" w:hanging="360"/>
      </w:pPr>
      <w:rPr>
        <w:rFonts w:ascii="Courier New" w:hAnsi="Courier New" w:cs="Courier New" w:hint="default"/>
      </w:rPr>
    </w:lvl>
    <w:lvl w:ilvl="5" w:tplc="080A0005" w:tentative="1">
      <w:start w:val="1"/>
      <w:numFmt w:val="bullet"/>
      <w:lvlText w:val=""/>
      <w:lvlJc w:val="left"/>
      <w:pPr>
        <w:ind w:left="3043" w:hanging="360"/>
      </w:pPr>
      <w:rPr>
        <w:rFonts w:ascii="Wingdings" w:hAnsi="Wingdings" w:hint="default"/>
      </w:rPr>
    </w:lvl>
    <w:lvl w:ilvl="6" w:tplc="080A0001" w:tentative="1">
      <w:start w:val="1"/>
      <w:numFmt w:val="bullet"/>
      <w:lvlText w:val=""/>
      <w:lvlJc w:val="left"/>
      <w:pPr>
        <w:ind w:left="3763" w:hanging="360"/>
      </w:pPr>
      <w:rPr>
        <w:rFonts w:ascii="Symbol" w:hAnsi="Symbol" w:hint="default"/>
      </w:rPr>
    </w:lvl>
    <w:lvl w:ilvl="7" w:tplc="080A0003" w:tentative="1">
      <w:start w:val="1"/>
      <w:numFmt w:val="bullet"/>
      <w:lvlText w:val="o"/>
      <w:lvlJc w:val="left"/>
      <w:pPr>
        <w:ind w:left="4483" w:hanging="360"/>
      </w:pPr>
      <w:rPr>
        <w:rFonts w:ascii="Courier New" w:hAnsi="Courier New" w:cs="Courier New" w:hint="default"/>
      </w:rPr>
    </w:lvl>
    <w:lvl w:ilvl="8" w:tplc="080A0005" w:tentative="1">
      <w:start w:val="1"/>
      <w:numFmt w:val="bullet"/>
      <w:lvlText w:val=""/>
      <w:lvlJc w:val="left"/>
      <w:pPr>
        <w:ind w:left="5203" w:hanging="360"/>
      </w:pPr>
      <w:rPr>
        <w:rFonts w:ascii="Wingdings" w:hAnsi="Wingdings" w:hint="default"/>
      </w:rPr>
    </w:lvl>
  </w:abstractNum>
  <w:abstractNum w:abstractNumId="7" w15:restartNumberingAfterBreak="0">
    <w:nsid w:val="3A784291"/>
    <w:multiLevelType w:val="hybridMultilevel"/>
    <w:tmpl w:val="45C4E23C"/>
    <w:lvl w:ilvl="0" w:tplc="A51A7B1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5A2AE8"/>
    <w:multiLevelType w:val="hybridMultilevel"/>
    <w:tmpl w:val="19F8C5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9C3A06"/>
    <w:multiLevelType w:val="hybridMultilevel"/>
    <w:tmpl w:val="553AFDEC"/>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0" w15:restartNumberingAfterBreak="0">
    <w:nsid w:val="45063CC3"/>
    <w:multiLevelType w:val="hybridMultilevel"/>
    <w:tmpl w:val="86FC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5F383C"/>
    <w:multiLevelType w:val="hybridMultilevel"/>
    <w:tmpl w:val="325A27B4"/>
    <w:lvl w:ilvl="0" w:tplc="080A0001">
      <w:start w:val="1"/>
      <w:numFmt w:val="bullet"/>
      <w:lvlText w:val=""/>
      <w:lvlJc w:val="left"/>
      <w:pPr>
        <w:ind w:left="-851" w:hanging="360"/>
      </w:pPr>
      <w:rPr>
        <w:rFonts w:ascii="Symbol" w:hAnsi="Symbol" w:hint="default"/>
      </w:rPr>
    </w:lvl>
    <w:lvl w:ilvl="1" w:tplc="080A0003" w:tentative="1">
      <w:start w:val="1"/>
      <w:numFmt w:val="bullet"/>
      <w:lvlText w:val="o"/>
      <w:lvlJc w:val="left"/>
      <w:pPr>
        <w:ind w:left="-131" w:hanging="360"/>
      </w:pPr>
      <w:rPr>
        <w:rFonts w:ascii="Courier New" w:hAnsi="Courier New" w:cs="Courier New" w:hint="default"/>
      </w:rPr>
    </w:lvl>
    <w:lvl w:ilvl="2" w:tplc="080A0005" w:tentative="1">
      <w:start w:val="1"/>
      <w:numFmt w:val="bullet"/>
      <w:lvlText w:val=""/>
      <w:lvlJc w:val="left"/>
      <w:pPr>
        <w:ind w:left="589" w:hanging="360"/>
      </w:pPr>
      <w:rPr>
        <w:rFonts w:ascii="Wingdings" w:hAnsi="Wingdings" w:hint="default"/>
      </w:rPr>
    </w:lvl>
    <w:lvl w:ilvl="3" w:tplc="080A0001" w:tentative="1">
      <w:start w:val="1"/>
      <w:numFmt w:val="bullet"/>
      <w:lvlText w:val=""/>
      <w:lvlJc w:val="left"/>
      <w:pPr>
        <w:ind w:left="1309" w:hanging="360"/>
      </w:pPr>
      <w:rPr>
        <w:rFonts w:ascii="Symbol" w:hAnsi="Symbol" w:hint="default"/>
      </w:rPr>
    </w:lvl>
    <w:lvl w:ilvl="4" w:tplc="080A0003" w:tentative="1">
      <w:start w:val="1"/>
      <w:numFmt w:val="bullet"/>
      <w:lvlText w:val="o"/>
      <w:lvlJc w:val="left"/>
      <w:pPr>
        <w:ind w:left="2029" w:hanging="360"/>
      </w:pPr>
      <w:rPr>
        <w:rFonts w:ascii="Courier New" w:hAnsi="Courier New" w:cs="Courier New" w:hint="default"/>
      </w:rPr>
    </w:lvl>
    <w:lvl w:ilvl="5" w:tplc="080A0005" w:tentative="1">
      <w:start w:val="1"/>
      <w:numFmt w:val="bullet"/>
      <w:lvlText w:val=""/>
      <w:lvlJc w:val="left"/>
      <w:pPr>
        <w:ind w:left="2749" w:hanging="360"/>
      </w:pPr>
      <w:rPr>
        <w:rFonts w:ascii="Wingdings" w:hAnsi="Wingdings" w:hint="default"/>
      </w:rPr>
    </w:lvl>
    <w:lvl w:ilvl="6" w:tplc="080A0001" w:tentative="1">
      <w:start w:val="1"/>
      <w:numFmt w:val="bullet"/>
      <w:lvlText w:val=""/>
      <w:lvlJc w:val="left"/>
      <w:pPr>
        <w:ind w:left="3469" w:hanging="360"/>
      </w:pPr>
      <w:rPr>
        <w:rFonts w:ascii="Symbol" w:hAnsi="Symbol" w:hint="default"/>
      </w:rPr>
    </w:lvl>
    <w:lvl w:ilvl="7" w:tplc="080A0003" w:tentative="1">
      <w:start w:val="1"/>
      <w:numFmt w:val="bullet"/>
      <w:lvlText w:val="o"/>
      <w:lvlJc w:val="left"/>
      <w:pPr>
        <w:ind w:left="4189" w:hanging="360"/>
      </w:pPr>
      <w:rPr>
        <w:rFonts w:ascii="Courier New" w:hAnsi="Courier New" w:cs="Courier New" w:hint="default"/>
      </w:rPr>
    </w:lvl>
    <w:lvl w:ilvl="8" w:tplc="080A0005" w:tentative="1">
      <w:start w:val="1"/>
      <w:numFmt w:val="bullet"/>
      <w:lvlText w:val=""/>
      <w:lvlJc w:val="left"/>
      <w:pPr>
        <w:ind w:left="4909" w:hanging="360"/>
      </w:pPr>
      <w:rPr>
        <w:rFonts w:ascii="Wingdings" w:hAnsi="Wingdings" w:hint="default"/>
      </w:rPr>
    </w:lvl>
  </w:abstractNum>
  <w:abstractNum w:abstractNumId="12" w15:restartNumberingAfterBreak="0">
    <w:nsid w:val="4B2040E3"/>
    <w:multiLevelType w:val="hybridMultilevel"/>
    <w:tmpl w:val="27EAA95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D1E45BF"/>
    <w:multiLevelType w:val="hybridMultilevel"/>
    <w:tmpl w:val="07A20B10"/>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3479BF"/>
    <w:multiLevelType w:val="hybridMultilevel"/>
    <w:tmpl w:val="E438B7F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5" w15:restartNumberingAfterBreak="0">
    <w:nsid w:val="534E184C"/>
    <w:multiLevelType w:val="hybridMultilevel"/>
    <w:tmpl w:val="67E437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3E66D9"/>
    <w:multiLevelType w:val="hybridMultilevel"/>
    <w:tmpl w:val="AE8245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6F18FB"/>
    <w:multiLevelType w:val="hybridMultilevel"/>
    <w:tmpl w:val="072A4E64"/>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9E94D0B"/>
    <w:multiLevelType w:val="hybridMultilevel"/>
    <w:tmpl w:val="DE808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FAF4E0B"/>
    <w:multiLevelType w:val="hybridMultilevel"/>
    <w:tmpl w:val="5E8EE594"/>
    <w:lvl w:ilvl="0" w:tplc="BF6C3C34">
      <w:start w:val="1"/>
      <w:numFmt w:val="lowerLetter"/>
      <w:lvlText w:val="%1)"/>
      <w:lvlJc w:val="left"/>
      <w:pPr>
        <w:ind w:left="720" w:hanging="360"/>
      </w:pPr>
      <w:rPr>
        <w:rFonts w:ascii="Arial" w:eastAsia="Arial" w:hAnsi="Arial" w:cs="Arial" w:hint="default"/>
        <w:b/>
        <w:bCs/>
        <w:i w:val="0"/>
        <w:color w:val="231F20"/>
        <w:spacing w:val="-1"/>
        <w:w w:val="10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8F7C79"/>
    <w:multiLevelType w:val="hybridMultilevel"/>
    <w:tmpl w:val="70421AEA"/>
    <w:lvl w:ilvl="0" w:tplc="BF6C3C34">
      <w:start w:val="1"/>
      <w:numFmt w:val="lowerLetter"/>
      <w:lvlText w:val="%1)"/>
      <w:lvlJc w:val="left"/>
      <w:pPr>
        <w:ind w:left="108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AF3F82"/>
    <w:multiLevelType w:val="hybridMultilevel"/>
    <w:tmpl w:val="18F4A2D8"/>
    <w:lvl w:ilvl="0" w:tplc="BF6C3C34">
      <w:start w:val="1"/>
      <w:numFmt w:val="lowerLetter"/>
      <w:lvlText w:val="%1)"/>
      <w:lvlJc w:val="left"/>
      <w:pPr>
        <w:ind w:left="720" w:hanging="360"/>
      </w:pPr>
      <w:rPr>
        <w:rFonts w:ascii="Arial" w:eastAsia="Arial" w:hAnsi="Arial" w:cs="Arial" w:hint="default"/>
        <w:b/>
        <w:bCs/>
        <w:color w:val="231F20"/>
        <w:spacing w:val="-1"/>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4"/>
  </w:num>
  <w:num w:numId="5">
    <w:abstractNumId w:val="9"/>
  </w:num>
  <w:num w:numId="6">
    <w:abstractNumId w:val="4"/>
  </w:num>
  <w:num w:numId="7">
    <w:abstractNumId w:val="18"/>
  </w:num>
  <w:num w:numId="8">
    <w:abstractNumId w:val="13"/>
  </w:num>
  <w:num w:numId="9">
    <w:abstractNumId w:val="1"/>
  </w:num>
  <w:num w:numId="10">
    <w:abstractNumId w:val="12"/>
  </w:num>
  <w:num w:numId="11">
    <w:abstractNumId w:val="15"/>
  </w:num>
  <w:num w:numId="12">
    <w:abstractNumId w:val="7"/>
  </w:num>
  <w:num w:numId="13">
    <w:abstractNumId w:val="21"/>
  </w:num>
  <w:num w:numId="14">
    <w:abstractNumId w:val="17"/>
  </w:num>
  <w:num w:numId="15">
    <w:abstractNumId w:val="2"/>
  </w:num>
  <w:num w:numId="16">
    <w:abstractNumId w:val="20"/>
  </w:num>
  <w:num w:numId="17">
    <w:abstractNumId w:val="16"/>
  </w:num>
  <w:num w:numId="18">
    <w:abstractNumId w:val="10"/>
  </w:num>
  <w:num w:numId="19">
    <w:abstractNumId w:val="19"/>
  </w:num>
  <w:num w:numId="20">
    <w:abstractNumId w:val="0"/>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0" w:nlCheck="1" w:checkStyle="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EDE"/>
    <w:rsid w:val="00000449"/>
    <w:rsid w:val="0000410E"/>
    <w:rsid w:val="0000569C"/>
    <w:rsid w:val="00007612"/>
    <w:rsid w:val="00012BE5"/>
    <w:rsid w:val="0001338B"/>
    <w:rsid w:val="00013C97"/>
    <w:rsid w:val="0001502C"/>
    <w:rsid w:val="000170BD"/>
    <w:rsid w:val="00017CCF"/>
    <w:rsid w:val="00024DB5"/>
    <w:rsid w:val="000263CA"/>
    <w:rsid w:val="00026AC1"/>
    <w:rsid w:val="00027DCE"/>
    <w:rsid w:val="00027DDE"/>
    <w:rsid w:val="00030476"/>
    <w:rsid w:val="00031479"/>
    <w:rsid w:val="00032B43"/>
    <w:rsid w:val="000343B0"/>
    <w:rsid w:val="000360B9"/>
    <w:rsid w:val="00041B88"/>
    <w:rsid w:val="0004722C"/>
    <w:rsid w:val="00047F84"/>
    <w:rsid w:val="0005308A"/>
    <w:rsid w:val="000533DD"/>
    <w:rsid w:val="000534B3"/>
    <w:rsid w:val="00055ABA"/>
    <w:rsid w:val="00060471"/>
    <w:rsid w:val="0006385F"/>
    <w:rsid w:val="0006750C"/>
    <w:rsid w:val="00070A45"/>
    <w:rsid w:val="000759C3"/>
    <w:rsid w:val="000765AE"/>
    <w:rsid w:val="00082B39"/>
    <w:rsid w:val="00083C32"/>
    <w:rsid w:val="00083F37"/>
    <w:rsid w:val="00084323"/>
    <w:rsid w:val="000857E1"/>
    <w:rsid w:val="00087504"/>
    <w:rsid w:val="00090065"/>
    <w:rsid w:val="00096D8A"/>
    <w:rsid w:val="000A3A97"/>
    <w:rsid w:val="000A46F5"/>
    <w:rsid w:val="000A5237"/>
    <w:rsid w:val="000A5ABC"/>
    <w:rsid w:val="000B3812"/>
    <w:rsid w:val="000B4D68"/>
    <w:rsid w:val="000C192D"/>
    <w:rsid w:val="000C2469"/>
    <w:rsid w:val="000C3BB1"/>
    <w:rsid w:val="000C73EB"/>
    <w:rsid w:val="000C7858"/>
    <w:rsid w:val="000D0FB4"/>
    <w:rsid w:val="000D1613"/>
    <w:rsid w:val="000D6469"/>
    <w:rsid w:val="000D7D55"/>
    <w:rsid w:val="000E4005"/>
    <w:rsid w:val="000E6CEB"/>
    <w:rsid w:val="000E7460"/>
    <w:rsid w:val="000E7BE6"/>
    <w:rsid w:val="000F2CD4"/>
    <w:rsid w:val="000F4BDA"/>
    <w:rsid w:val="000F5DF5"/>
    <w:rsid w:val="000F70DC"/>
    <w:rsid w:val="000F7D3E"/>
    <w:rsid w:val="00100104"/>
    <w:rsid w:val="00101BB9"/>
    <w:rsid w:val="00103311"/>
    <w:rsid w:val="001047BD"/>
    <w:rsid w:val="00106F4D"/>
    <w:rsid w:val="00120D04"/>
    <w:rsid w:val="00121A1B"/>
    <w:rsid w:val="00121E72"/>
    <w:rsid w:val="0012446A"/>
    <w:rsid w:val="00124873"/>
    <w:rsid w:val="00124D74"/>
    <w:rsid w:val="00125159"/>
    <w:rsid w:val="00126A54"/>
    <w:rsid w:val="00130744"/>
    <w:rsid w:val="00133BD8"/>
    <w:rsid w:val="00135833"/>
    <w:rsid w:val="00137A43"/>
    <w:rsid w:val="00140502"/>
    <w:rsid w:val="001406FA"/>
    <w:rsid w:val="00140AB5"/>
    <w:rsid w:val="00144389"/>
    <w:rsid w:val="001458DD"/>
    <w:rsid w:val="001521FB"/>
    <w:rsid w:val="001530F2"/>
    <w:rsid w:val="001531CF"/>
    <w:rsid w:val="001535F5"/>
    <w:rsid w:val="00156D29"/>
    <w:rsid w:val="00157838"/>
    <w:rsid w:val="001661D1"/>
    <w:rsid w:val="001664C9"/>
    <w:rsid w:val="00167BAC"/>
    <w:rsid w:val="00170737"/>
    <w:rsid w:val="00173607"/>
    <w:rsid w:val="00176C8B"/>
    <w:rsid w:val="00181855"/>
    <w:rsid w:val="00182481"/>
    <w:rsid w:val="00182EFF"/>
    <w:rsid w:val="00186B65"/>
    <w:rsid w:val="00193E1C"/>
    <w:rsid w:val="001A1D45"/>
    <w:rsid w:val="001A5BAE"/>
    <w:rsid w:val="001A631B"/>
    <w:rsid w:val="001A7BF5"/>
    <w:rsid w:val="001B08D2"/>
    <w:rsid w:val="001B5186"/>
    <w:rsid w:val="001B5BD3"/>
    <w:rsid w:val="001B67A8"/>
    <w:rsid w:val="001B7198"/>
    <w:rsid w:val="001D0569"/>
    <w:rsid w:val="001D1F01"/>
    <w:rsid w:val="001D293E"/>
    <w:rsid w:val="001D4E1E"/>
    <w:rsid w:val="001D6039"/>
    <w:rsid w:val="001E2286"/>
    <w:rsid w:val="001E7124"/>
    <w:rsid w:val="001F13DE"/>
    <w:rsid w:val="001F1F8C"/>
    <w:rsid w:val="001F4770"/>
    <w:rsid w:val="001F51FA"/>
    <w:rsid w:val="001F6BCC"/>
    <w:rsid w:val="00200FD9"/>
    <w:rsid w:val="0020118F"/>
    <w:rsid w:val="002024E8"/>
    <w:rsid w:val="00204E2F"/>
    <w:rsid w:val="0020740F"/>
    <w:rsid w:val="002136CF"/>
    <w:rsid w:val="0021404B"/>
    <w:rsid w:val="002177E6"/>
    <w:rsid w:val="002204AF"/>
    <w:rsid w:val="00220E74"/>
    <w:rsid w:val="0022260B"/>
    <w:rsid w:val="0022319E"/>
    <w:rsid w:val="00224419"/>
    <w:rsid w:val="002247F1"/>
    <w:rsid w:val="00227C5F"/>
    <w:rsid w:val="00230374"/>
    <w:rsid w:val="0023358E"/>
    <w:rsid w:val="002344ED"/>
    <w:rsid w:val="00236E58"/>
    <w:rsid w:val="00244B3F"/>
    <w:rsid w:val="002471D2"/>
    <w:rsid w:val="0025075E"/>
    <w:rsid w:val="00251565"/>
    <w:rsid w:val="00252516"/>
    <w:rsid w:val="002525B7"/>
    <w:rsid w:val="00252EDE"/>
    <w:rsid w:val="002549AA"/>
    <w:rsid w:val="00255227"/>
    <w:rsid w:val="00261581"/>
    <w:rsid w:val="00263175"/>
    <w:rsid w:val="00264CBD"/>
    <w:rsid w:val="002702AD"/>
    <w:rsid w:val="0027170E"/>
    <w:rsid w:val="00274148"/>
    <w:rsid w:val="00275A4B"/>
    <w:rsid w:val="00276398"/>
    <w:rsid w:val="00276B5A"/>
    <w:rsid w:val="0028018C"/>
    <w:rsid w:val="00292E50"/>
    <w:rsid w:val="00293B5C"/>
    <w:rsid w:val="00294F78"/>
    <w:rsid w:val="00297082"/>
    <w:rsid w:val="00297F7C"/>
    <w:rsid w:val="002A1C27"/>
    <w:rsid w:val="002A45EE"/>
    <w:rsid w:val="002A64BB"/>
    <w:rsid w:val="002B093F"/>
    <w:rsid w:val="002B23D5"/>
    <w:rsid w:val="002B3391"/>
    <w:rsid w:val="002B33C9"/>
    <w:rsid w:val="002B3CA4"/>
    <w:rsid w:val="002B6B8E"/>
    <w:rsid w:val="002C0933"/>
    <w:rsid w:val="002C2924"/>
    <w:rsid w:val="002C529E"/>
    <w:rsid w:val="002D2334"/>
    <w:rsid w:val="002D749A"/>
    <w:rsid w:val="002E1C6E"/>
    <w:rsid w:val="002E2336"/>
    <w:rsid w:val="002E3151"/>
    <w:rsid w:val="002E4A8D"/>
    <w:rsid w:val="002F0CEE"/>
    <w:rsid w:val="002F10E9"/>
    <w:rsid w:val="002F15DA"/>
    <w:rsid w:val="002F17EA"/>
    <w:rsid w:val="002F2660"/>
    <w:rsid w:val="002F2C46"/>
    <w:rsid w:val="002F477C"/>
    <w:rsid w:val="002F4F1D"/>
    <w:rsid w:val="002F72F7"/>
    <w:rsid w:val="00300FEB"/>
    <w:rsid w:val="00304ABC"/>
    <w:rsid w:val="00314EB9"/>
    <w:rsid w:val="00316CD7"/>
    <w:rsid w:val="0032157A"/>
    <w:rsid w:val="0032196F"/>
    <w:rsid w:val="00322069"/>
    <w:rsid w:val="00327531"/>
    <w:rsid w:val="0032783F"/>
    <w:rsid w:val="003427BB"/>
    <w:rsid w:val="00342AF7"/>
    <w:rsid w:val="00343375"/>
    <w:rsid w:val="0034353E"/>
    <w:rsid w:val="003441B7"/>
    <w:rsid w:val="0035282A"/>
    <w:rsid w:val="003538B0"/>
    <w:rsid w:val="00355483"/>
    <w:rsid w:val="00357F40"/>
    <w:rsid w:val="00363FFC"/>
    <w:rsid w:val="00365405"/>
    <w:rsid w:val="00365C61"/>
    <w:rsid w:val="00366564"/>
    <w:rsid w:val="0037146B"/>
    <w:rsid w:val="003848B4"/>
    <w:rsid w:val="0038651E"/>
    <w:rsid w:val="00387213"/>
    <w:rsid w:val="00390582"/>
    <w:rsid w:val="0039067D"/>
    <w:rsid w:val="00392FCC"/>
    <w:rsid w:val="00393319"/>
    <w:rsid w:val="003936CE"/>
    <w:rsid w:val="00395855"/>
    <w:rsid w:val="003966E8"/>
    <w:rsid w:val="0039727C"/>
    <w:rsid w:val="003A1A4D"/>
    <w:rsid w:val="003A319F"/>
    <w:rsid w:val="003A4F94"/>
    <w:rsid w:val="003A4FC0"/>
    <w:rsid w:val="003A5389"/>
    <w:rsid w:val="003A5950"/>
    <w:rsid w:val="003A7249"/>
    <w:rsid w:val="003B0A8E"/>
    <w:rsid w:val="003B1E78"/>
    <w:rsid w:val="003B463E"/>
    <w:rsid w:val="003B5367"/>
    <w:rsid w:val="003B7D34"/>
    <w:rsid w:val="003C255E"/>
    <w:rsid w:val="003C400B"/>
    <w:rsid w:val="003C44CE"/>
    <w:rsid w:val="003C5D59"/>
    <w:rsid w:val="003D49E3"/>
    <w:rsid w:val="003E086D"/>
    <w:rsid w:val="003E1EAC"/>
    <w:rsid w:val="003E203B"/>
    <w:rsid w:val="003E434F"/>
    <w:rsid w:val="003E6D39"/>
    <w:rsid w:val="003F1245"/>
    <w:rsid w:val="003F25FD"/>
    <w:rsid w:val="003F4FB4"/>
    <w:rsid w:val="003F520F"/>
    <w:rsid w:val="003F691E"/>
    <w:rsid w:val="003F6E0D"/>
    <w:rsid w:val="003F7739"/>
    <w:rsid w:val="00405792"/>
    <w:rsid w:val="004076AC"/>
    <w:rsid w:val="0040790D"/>
    <w:rsid w:val="00410475"/>
    <w:rsid w:val="00416493"/>
    <w:rsid w:val="00424637"/>
    <w:rsid w:val="0042507D"/>
    <w:rsid w:val="004275AA"/>
    <w:rsid w:val="00427871"/>
    <w:rsid w:val="0043090B"/>
    <w:rsid w:val="00434D5B"/>
    <w:rsid w:val="0043570F"/>
    <w:rsid w:val="00435A6C"/>
    <w:rsid w:val="00436C36"/>
    <w:rsid w:val="00440634"/>
    <w:rsid w:val="00441008"/>
    <w:rsid w:val="0044186D"/>
    <w:rsid w:val="0044335D"/>
    <w:rsid w:val="00444BB3"/>
    <w:rsid w:val="004455A8"/>
    <w:rsid w:val="004540FE"/>
    <w:rsid w:val="00454108"/>
    <w:rsid w:val="00456512"/>
    <w:rsid w:val="004626B9"/>
    <w:rsid w:val="004670C5"/>
    <w:rsid w:val="0047084F"/>
    <w:rsid w:val="00472882"/>
    <w:rsid w:val="00474AEE"/>
    <w:rsid w:val="00480E8A"/>
    <w:rsid w:val="00481417"/>
    <w:rsid w:val="004829C1"/>
    <w:rsid w:val="00484460"/>
    <w:rsid w:val="004870E6"/>
    <w:rsid w:val="00487D0E"/>
    <w:rsid w:val="00491C7C"/>
    <w:rsid w:val="00492380"/>
    <w:rsid w:val="0049275E"/>
    <w:rsid w:val="0049368F"/>
    <w:rsid w:val="00496002"/>
    <w:rsid w:val="004A2EE1"/>
    <w:rsid w:val="004A4015"/>
    <w:rsid w:val="004A5932"/>
    <w:rsid w:val="004B0B64"/>
    <w:rsid w:val="004B0E5B"/>
    <w:rsid w:val="004B2675"/>
    <w:rsid w:val="004B30CC"/>
    <w:rsid w:val="004B3BE0"/>
    <w:rsid w:val="004B60E7"/>
    <w:rsid w:val="004C0543"/>
    <w:rsid w:val="004C1AB7"/>
    <w:rsid w:val="004C24E9"/>
    <w:rsid w:val="004C3778"/>
    <w:rsid w:val="004C5F77"/>
    <w:rsid w:val="004C6D3F"/>
    <w:rsid w:val="004D5BC6"/>
    <w:rsid w:val="004E1B1D"/>
    <w:rsid w:val="004E678C"/>
    <w:rsid w:val="004F51C8"/>
    <w:rsid w:val="00501938"/>
    <w:rsid w:val="00503BD1"/>
    <w:rsid w:val="00506F61"/>
    <w:rsid w:val="005126F9"/>
    <w:rsid w:val="00513265"/>
    <w:rsid w:val="00515CF9"/>
    <w:rsid w:val="00520245"/>
    <w:rsid w:val="0052446B"/>
    <w:rsid w:val="00527920"/>
    <w:rsid w:val="005317BF"/>
    <w:rsid w:val="0053239F"/>
    <w:rsid w:val="005347BD"/>
    <w:rsid w:val="00536048"/>
    <w:rsid w:val="0053681E"/>
    <w:rsid w:val="0054040B"/>
    <w:rsid w:val="00541FD6"/>
    <w:rsid w:val="00542A95"/>
    <w:rsid w:val="0054404B"/>
    <w:rsid w:val="005441FE"/>
    <w:rsid w:val="005448EC"/>
    <w:rsid w:val="00546CE1"/>
    <w:rsid w:val="00547B67"/>
    <w:rsid w:val="005521E1"/>
    <w:rsid w:val="0055613A"/>
    <w:rsid w:val="00556C7A"/>
    <w:rsid w:val="005605B2"/>
    <w:rsid w:val="00564D4B"/>
    <w:rsid w:val="005701AB"/>
    <w:rsid w:val="00571052"/>
    <w:rsid w:val="00574F1E"/>
    <w:rsid w:val="00576AD4"/>
    <w:rsid w:val="00582E02"/>
    <w:rsid w:val="00582FC6"/>
    <w:rsid w:val="00583C12"/>
    <w:rsid w:val="00585B30"/>
    <w:rsid w:val="005A0D6B"/>
    <w:rsid w:val="005A1EEB"/>
    <w:rsid w:val="005A3886"/>
    <w:rsid w:val="005A3CB1"/>
    <w:rsid w:val="005A47F8"/>
    <w:rsid w:val="005B0767"/>
    <w:rsid w:val="005B19A6"/>
    <w:rsid w:val="005B54EE"/>
    <w:rsid w:val="005B5D92"/>
    <w:rsid w:val="005B7553"/>
    <w:rsid w:val="005B76CF"/>
    <w:rsid w:val="005C2CF7"/>
    <w:rsid w:val="005C3B56"/>
    <w:rsid w:val="005C4141"/>
    <w:rsid w:val="005C6415"/>
    <w:rsid w:val="005D0702"/>
    <w:rsid w:val="005D35A0"/>
    <w:rsid w:val="005D4882"/>
    <w:rsid w:val="005E0992"/>
    <w:rsid w:val="005E26A8"/>
    <w:rsid w:val="005E583C"/>
    <w:rsid w:val="005E600D"/>
    <w:rsid w:val="005E6934"/>
    <w:rsid w:val="005F176A"/>
    <w:rsid w:val="005F235D"/>
    <w:rsid w:val="006007E9"/>
    <w:rsid w:val="00604CE1"/>
    <w:rsid w:val="0060714C"/>
    <w:rsid w:val="00613835"/>
    <w:rsid w:val="00616957"/>
    <w:rsid w:val="00621655"/>
    <w:rsid w:val="0062694B"/>
    <w:rsid w:val="00630A61"/>
    <w:rsid w:val="006319B0"/>
    <w:rsid w:val="00632826"/>
    <w:rsid w:val="00634A65"/>
    <w:rsid w:val="006359C4"/>
    <w:rsid w:val="00640491"/>
    <w:rsid w:val="006446E8"/>
    <w:rsid w:val="00647971"/>
    <w:rsid w:val="00650A14"/>
    <w:rsid w:val="006565E1"/>
    <w:rsid w:val="00657781"/>
    <w:rsid w:val="00660816"/>
    <w:rsid w:val="006644DF"/>
    <w:rsid w:val="0067095B"/>
    <w:rsid w:val="00671F29"/>
    <w:rsid w:val="0067216E"/>
    <w:rsid w:val="00674B11"/>
    <w:rsid w:val="00674D60"/>
    <w:rsid w:val="0067748F"/>
    <w:rsid w:val="0067793F"/>
    <w:rsid w:val="0068246F"/>
    <w:rsid w:val="00684D36"/>
    <w:rsid w:val="00685A0A"/>
    <w:rsid w:val="0069052D"/>
    <w:rsid w:val="006915B0"/>
    <w:rsid w:val="00692E40"/>
    <w:rsid w:val="006949A3"/>
    <w:rsid w:val="006951E8"/>
    <w:rsid w:val="00695481"/>
    <w:rsid w:val="006976A8"/>
    <w:rsid w:val="006A05CD"/>
    <w:rsid w:val="006A1EBD"/>
    <w:rsid w:val="006A616B"/>
    <w:rsid w:val="006A6A18"/>
    <w:rsid w:val="006A7673"/>
    <w:rsid w:val="006B0D6C"/>
    <w:rsid w:val="006B1E0A"/>
    <w:rsid w:val="006B26A3"/>
    <w:rsid w:val="006C025C"/>
    <w:rsid w:val="006C10C1"/>
    <w:rsid w:val="006C2E61"/>
    <w:rsid w:val="006C5FC3"/>
    <w:rsid w:val="006C6854"/>
    <w:rsid w:val="006C6BE0"/>
    <w:rsid w:val="006D0387"/>
    <w:rsid w:val="006D1279"/>
    <w:rsid w:val="006D2BFA"/>
    <w:rsid w:val="006D2CA9"/>
    <w:rsid w:val="006D3B57"/>
    <w:rsid w:val="006D4507"/>
    <w:rsid w:val="006D7284"/>
    <w:rsid w:val="006E2144"/>
    <w:rsid w:val="006E5F04"/>
    <w:rsid w:val="006F08EE"/>
    <w:rsid w:val="006F18D4"/>
    <w:rsid w:val="006F305E"/>
    <w:rsid w:val="006F61A2"/>
    <w:rsid w:val="007007C6"/>
    <w:rsid w:val="00702D1E"/>
    <w:rsid w:val="0070480C"/>
    <w:rsid w:val="007057CB"/>
    <w:rsid w:val="0070727E"/>
    <w:rsid w:val="00707308"/>
    <w:rsid w:val="007078A6"/>
    <w:rsid w:val="00715020"/>
    <w:rsid w:val="00716256"/>
    <w:rsid w:val="00716B9B"/>
    <w:rsid w:val="00717775"/>
    <w:rsid w:val="00721D75"/>
    <w:rsid w:val="00724EAC"/>
    <w:rsid w:val="00724F5F"/>
    <w:rsid w:val="007259AD"/>
    <w:rsid w:val="0072629A"/>
    <w:rsid w:val="00734FF7"/>
    <w:rsid w:val="007369DE"/>
    <w:rsid w:val="0074035D"/>
    <w:rsid w:val="0074075A"/>
    <w:rsid w:val="00740DA0"/>
    <w:rsid w:val="00743F28"/>
    <w:rsid w:val="00744F7E"/>
    <w:rsid w:val="0074617E"/>
    <w:rsid w:val="00750FE2"/>
    <w:rsid w:val="00752EF0"/>
    <w:rsid w:val="00753DAF"/>
    <w:rsid w:val="007543F9"/>
    <w:rsid w:val="00754B6D"/>
    <w:rsid w:val="007566C8"/>
    <w:rsid w:val="007604B5"/>
    <w:rsid w:val="00761A36"/>
    <w:rsid w:val="0076447E"/>
    <w:rsid w:val="007651E5"/>
    <w:rsid w:val="00767398"/>
    <w:rsid w:val="00774382"/>
    <w:rsid w:val="007746BC"/>
    <w:rsid w:val="00776076"/>
    <w:rsid w:val="007765F6"/>
    <w:rsid w:val="007766FA"/>
    <w:rsid w:val="007775FD"/>
    <w:rsid w:val="00777953"/>
    <w:rsid w:val="00777DC7"/>
    <w:rsid w:val="007802E5"/>
    <w:rsid w:val="007848D1"/>
    <w:rsid w:val="007878C5"/>
    <w:rsid w:val="00787F37"/>
    <w:rsid w:val="007911DC"/>
    <w:rsid w:val="00791767"/>
    <w:rsid w:val="00791CBB"/>
    <w:rsid w:val="00792692"/>
    <w:rsid w:val="00793AC8"/>
    <w:rsid w:val="00794B17"/>
    <w:rsid w:val="00794DF9"/>
    <w:rsid w:val="007A05E6"/>
    <w:rsid w:val="007A4119"/>
    <w:rsid w:val="007A6845"/>
    <w:rsid w:val="007A6B53"/>
    <w:rsid w:val="007B0233"/>
    <w:rsid w:val="007B0768"/>
    <w:rsid w:val="007B2315"/>
    <w:rsid w:val="007B4B63"/>
    <w:rsid w:val="007B77FE"/>
    <w:rsid w:val="007C2018"/>
    <w:rsid w:val="007C3C72"/>
    <w:rsid w:val="007C4946"/>
    <w:rsid w:val="007C5DA2"/>
    <w:rsid w:val="007D089E"/>
    <w:rsid w:val="007D51B5"/>
    <w:rsid w:val="007D6F9D"/>
    <w:rsid w:val="007D7650"/>
    <w:rsid w:val="007E1614"/>
    <w:rsid w:val="007E25D4"/>
    <w:rsid w:val="007E2EEE"/>
    <w:rsid w:val="007F075E"/>
    <w:rsid w:val="007F1D32"/>
    <w:rsid w:val="007F3E63"/>
    <w:rsid w:val="007F404B"/>
    <w:rsid w:val="007F509D"/>
    <w:rsid w:val="007F7665"/>
    <w:rsid w:val="007F7E68"/>
    <w:rsid w:val="008113FC"/>
    <w:rsid w:val="00811F67"/>
    <w:rsid w:val="00814463"/>
    <w:rsid w:val="008144D1"/>
    <w:rsid w:val="008159AF"/>
    <w:rsid w:val="00817C2E"/>
    <w:rsid w:val="00821589"/>
    <w:rsid w:val="008219D1"/>
    <w:rsid w:val="00821B83"/>
    <w:rsid w:val="00823878"/>
    <w:rsid w:val="00824878"/>
    <w:rsid w:val="00826382"/>
    <w:rsid w:val="00826F09"/>
    <w:rsid w:val="008322CE"/>
    <w:rsid w:val="008332D8"/>
    <w:rsid w:val="00835862"/>
    <w:rsid w:val="00835BF3"/>
    <w:rsid w:val="00836BA5"/>
    <w:rsid w:val="008400D8"/>
    <w:rsid w:val="00846FD6"/>
    <w:rsid w:val="0084772A"/>
    <w:rsid w:val="0085079C"/>
    <w:rsid w:val="00851476"/>
    <w:rsid w:val="00851681"/>
    <w:rsid w:val="008565FF"/>
    <w:rsid w:val="00860186"/>
    <w:rsid w:val="00860BE4"/>
    <w:rsid w:val="00864AE8"/>
    <w:rsid w:val="00864D56"/>
    <w:rsid w:val="00867BD2"/>
    <w:rsid w:val="00871B9C"/>
    <w:rsid w:val="008728FF"/>
    <w:rsid w:val="00874633"/>
    <w:rsid w:val="00874B42"/>
    <w:rsid w:val="00874BD1"/>
    <w:rsid w:val="00875822"/>
    <w:rsid w:val="008768A2"/>
    <w:rsid w:val="00880C57"/>
    <w:rsid w:val="00881D7E"/>
    <w:rsid w:val="00883364"/>
    <w:rsid w:val="008860B4"/>
    <w:rsid w:val="00886C8E"/>
    <w:rsid w:val="00890006"/>
    <w:rsid w:val="00893EF2"/>
    <w:rsid w:val="00894200"/>
    <w:rsid w:val="008971E4"/>
    <w:rsid w:val="008A0688"/>
    <w:rsid w:val="008A2179"/>
    <w:rsid w:val="008A4879"/>
    <w:rsid w:val="008A5D7D"/>
    <w:rsid w:val="008A6B5B"/>
    <w:rsid w:val="008B0808"/>
    <w:rsid w:val="008B082E"/>
    <w:rsid w:val="008B19D1"/>
    <w:rsid w:val="008B30DE"/>
    <w:rsid w:val="008B31A9"/>
    <w:rsid w:val="008B5A5D"/>
    <w:rsid w:val="008B6BCA"/>
    <w:rsid w:val="008C0CC0"/>
    <w:rsid w:val="008C3135"/>
    <w:rsid w:val="008C46B8"/>
    <w:rsid w:val="008C5241"/>
    <w:rsid w:val="008C75BC"/>
    <w:rsid w:val="008D1211"/>
    <w:rsid w:val="008D182B"/>
    <w:rsid w:val="008D2A45"/>
    <w:rsid w:val="008D51E3"/>
    <w:rsid w:val="008D6BFF"/>
    <w:rsid w:val="008D75F7"/>
    <w:rsid w:val="008D7AE0"/>
    <w:rsid w:val="008E5007"/>
    <w:rsid w:val="008E5983"/>
    <w:rsid w:val="008E64D7"/>
    <w:rsid w:val="008F129B"/>
    <w:rsid w:val="008F2739"/>
    <w:rsid w:val="008F6E9A"/>
    <w:rsid w:val="008F726E"/>
    <w:rsid w:val="008F7AEA"/>
    <w:rsid w:val="0090112B"/>
    <w:rsid w:val="0091415D"/>
    <w:rsid w:val="0091587A"/>
    <w:rsid w:val="00917686"/>
    <w:rsid w:val="0091797A"/>
    <w:rsid w:val="00917CB4"/>
    <w:rsid w:val="00924134"/>
    <w:rsid w:val="0092504F"/>
    <w:rsid w:val="009254EE"/>
    <w:rsid w:val="00926857"/>
    <w:rsid w:val="00927BD8"/>
    <w:rsid w:val="00930A05"/>
    <w:rsid w:val="009327AE"/>
    <w:rsid w:val="00934409"/>
    <w:rsid w:val="00951A27"/>
    <w:rsid w:val="00956C38"/>
    <w:rsid w:val="00960827"/>
    <w:rsid w:val="00960DC5"/>
    <w:rsid w:val="00961F6D"/>
    <w:rsid w:val="00965727"/>
    <w:rsid w:val="00965E24"/>
    <w:rsid w:val="00970064"/>
    <w:rsid w:val="00970998"/>
    <w:rsid w:val="00972F67"/>
    <w:rsid w:val="00976A35"/>
    <w:rsid w:val="009809DA"/>
    <w:rsid w:val="009809E8"/>
    <w:rsid w:val="00987B2F"/>
    <w:rsid w:val="009925A2"/>
    <w:rsid w:val="0099312F"/>
    <w:rsid w:val="00994BC4"/>
    <w:rsid w:val="00995BB5"/>
    <w:rsid w:val="00996137"/>
    <w:rsid w:val="009A1356"/>
    <w:rsid w:val="009A29AE"/>
    <w:rsid w:val="009A36B9"/>
    <w:rsid w:val="009A47F6"/>
    <w:rsid w:val="009A6D12"/>
    <w:rsid w:val="009A7A1E"/>
    <w:rsid w:val="009B509B"/>
    <w:rsid w:val="009B5BCF"/>
    <w:rsid w:val="009B71DC"/>
    <w:rsid w:val="009B7D08"/>
    <w:rsid w:val="009C0A3E"/>
    <w:rsid w:val="009C3FF7"/>
    <w:rsid w:val="009D1676"/>
    <w:rsid w:val="009E07AC"/>
    <w:rsid w:val="009E1BC7"/>
    <w:rsid w:val="009E4949"/>
    <w:rsid w:val="009E6AE9"/>
    <w:rsid w:val="009E6DCA"/>
    <w:rsid w:val="009E7104"/>
    <w:rsid w:val="009F07AD"/>
    <w:rsid w:val="009F656A"/>
    <w:rsid w:val="009F65A3"/>
    <w:rsid w:val="009F6EB1"/>
    <w:rsid w:val="00A03870"/>
    <w:rsid w:val="00A03FAA"/>
    <w:rsid w:val="00A074C0"/>
    <w:rsid w:val="00A11D39"/>
    <w:rsid w:val="00A1319D"/>
    <w:rsid w:val="00A14E08"/>
    <w:rsid w:val="00A21C5F"/>
    <w:rsid w:val="00A22AFB"/>
    <w:rsid w:val="00A25C39"/>
    <w:rsid w:val="00A27BB7"/>
    <w:rsid w:val="00A306D6"/>
    <w:rsid w:val="00A32280"/>
    <w:rsid w:val="00A33929"/>
    <w:rsid w:val="00A34C7E"/>
    <w:rsid w:val="00A36B50"/>
    <w:rsid w:val="00A37731"/>
    <w:rsid w:val="00A417A9"/>
    <w:rsid w:val="00A41953"/>
    <w:rsid w:val="00A44790"/>
    <w:rsid w:val="00A4701D"/>
    <w:rsid w:val="00A47571"/>
    <w:rsid w:val="00A540EA"/>
    <w:rsid w:val="00A54CD9"/>
    <w:rsid w:val="00A577D5"/>
    <w:rsid w:val="00A602CB"/>
    <w:rsid w:val="00A64425"/>
    <w:rsid w:val="00A658E0"/>
    <w:rsid w:val="00A706A2"/>
    <w:rsid w:val="00A72863"/>
    <w:rsid w:val="00A74C8B"/>
    <w:rsid w:val="00A77492"/>
    <w:rsid w:val="00A804A0"/>
    <w:rsid w:val="00A82502"/>
    <w:rsid w:val="00A83689"/>
    <w:rsid w:val="00A907BA"/>
    <w:rsid w:val="00A928BF"/>
    <w:rsid w:val="00A94999"/>
    <w:rsid w:val="00A94E71"/>
    <w:rsid w:val="00A94EE0"/>
    <w:rsid w:val="00A97FEB"/>
    <w:rsid w:val="00AA0480"/>
    <w:rsid w:val="00AA049D"/>
    <w:rsid w:val="00AA13F2"/>
    <w:rsid w:val="00AA2AB4"/>
    <w:rsid w:val="00AA57BA"/>
    <w:rsid w:val="00AA6DD7"/>
    <w:rsid w:val="00AA75B5"/>
    <w:rsid w:val="00AB1809"/>
    <w:rsid w:val="00AB4783"/>
    <w:rsid w:val="00AB492B"/>
    <w:rsid w:val="00AC0BDB"/>
    <w:rsid w:val="00AC21DC"/>
    <w:rsid w:val="00AC233F"/>
    <w:rsid w:val="00AC798B"/>
    <w:rsid w:val="00AD03AE"/>
    <w:rsid w:val="00AD0816"/>
    <w:rsid w:val="00AD1A93"/>
    <w:rsid w:val="00AD3F1A"/>
    <w:rsid w:val="00AD4258"/>
    <w:rsid w:val="00AD50B3"/>
    <w:rsid w:val="00AD61DE"/>
    <w:rsid w:val="00AD69A7"/>
    <w:rsid w:val="00AD6FC1"/>
    <w:rsid w:val="00AD7036"/>
    <w:rsid w:val="00AD79BC"/>
    <w:rsid w:val="00AE0B7F"/>
    <w:rsid w:val="00AE2C98"/>
    <w:rsid w:val="00AE52CF"/>
    <w:rsid w:val="00AE7781"/>
    <w:rsid w:val="00AF1130"/>
    <w:rsid w:val="00AF2073"/>
    <w:rsid w:val="00AF4D07"/>
    <w:rsid w:val="00AF53F6"/>
    <w:rsid w:val="00AF5778"/>
    <w:rsid w:val="00AF5EEC"/>
    <w:rsid w:val="00B03A28"/>
    <w:rsid w:val="00B07094"/>
    <w:rsid w:val="00B11292"/>
    <w:rsid w:val="00B12321"/>
    <w:rsid w:val="00B13F2F"/>
    <w:rsid w:val="00B14E93"/>
    <w:rsid w:val="00B15C6D"/>
    <w:rsid w:val="00B1622D"/>
    <w:rsid w:val="00B24791"/>
    <w:rsid w:val="00B26B90"/>
    <w:rsid w:val="00B26CAB"/>
    <w:rsid w:val="00B40DA8"/>
    <w:rsid w:val="00B42C8E"/>
    <w:rsid w:val="00B47C14"/>
    <w:rsid w:val="00B5198B"/>
    <w:rsid w:val="00B52C42"/>
    <w:rsid w:val="00B5424F"/>
    <w:rsid w:val="00B560ED"/>
    <w:rsid w:val="00B62178"/>
    <w:rsid w:val="00B64C2D"/>
    <w:rsid w:val="00B64D10"/>
    <w:rsid w:val="00B70A71"/>
    <w:rsid w:val="00B71173"/>
    <w:rsid w:val="00B718A8"/>
    <w:rsid w:val="00B72929"/>
    <w:rsid w:val="00B75416"/>
    <w:rsid w:val="00B75ECB"/>
    <w:rsid w:val="00B76B1A"/>
    <w:rsid w:val="00B7794A"/>
    <w:rsid w:val="00B77B6A"/>
    <w:rsid w:val="00B81725"/>
    <w:rsid w:val="00B9203C"/>
    <w:rsid w:val="00B9251B"/>
    <w:rsid w:val="00B92C41"/>
    <w:rsid w:val="00B958E6"/>
    <w:rsid w:val="00B96AE2"/>
    <w:rsid w:val="00B96E1D"/>
    <w:rsid w:val="00B974FD"/>
    <w:rsid w:val="00BA23FE"/>
    <w:rsid w:val="00BA7CFD"/>
    <w:rsid w:val="00BB0732"/>
    <w:rsid w:val="00BB0DFA"/>
    <w:rsid w:val="00BB0EC4"/>
    <w:rsid w:val="00BB10BB"/>
    <w:rsid w:val="00BC004D"/>
    <w:rsid w:val="00BC09A9"/>
    <w:rsid w:val="00BC0CF2"/>
    <w:rsid w:val="00BC1CA2"/>
    <w:rsid w:val="00BC2CAC"/>
    <w:rsid w:val="00BC5BBD"/>
    <w:rsid w:val="00BD4A1A"/>
    <w:rsid w:val="00BE6741"/>
    <w:rsid w:val="00BF0DC6"/>
    <w:rsid w:val="00BF407F"/>
    <w:rsid w:val="00BF71A5"/>
    <w:rsid w:val="00C00552"/>
    <w:rsid w:val="00C02F9A"/>
    <w:rsid w:val="00C0542C"/>
    <w:rsid w:val="00C05C29"/>
    <w:rsid w:val="00C05EB7"/>
    <w:rsid w:val="00C06D63"/>
    <w:rsid w:val="00C10A85"/>
    <w:rsid w:val="00C13047"/>
    <w:rsid w:val="00C134DB"/>
    <w:rsid w:val="00C142BC"/>
    <w:rsid w:val="00C16303"/>
    <w:rsid w:val="00C203C1"/>
    <w:rsid w:val="00C20E09"/>
    <w:rsid w:val="00C216BB"/>
    <w:rsid w:val="00C22166"/>
    <w:rsid w:val="00C23E03"/>
    <w:rsid w:val="00C27F85"/>
    <w:rsid w:val="00C27FE7"/>
    <w:rsid w:val="00C306BC"/>
    <w:rsid w:val="00C33C8D"/>
    <w:rsid w:val="00C40F6C"/>
    <w:rsid w:val="00C427D7"/>
    <w:rsid w:val="00C44CE2"/>
    <w:rsid w:val="00C451FD"/>
    <w:rsid w:val="00C51713"/>
    <w:rsid w:val="00C53AE4"/>
    <w:rsid w:val="00C55B83"/>
    <w:rsid w:val="00C562B0"/>
    <w:rsid w:val="00C60515"/>
    <w:rsid w:val="00C63172"/>
    <w:rsid w:val="00C64FA6"/>
    <w:rsid w:val="00C70D7D"/>
    <w:rsid w:val="00C714C5"/>
    <w:rsid w:val="00C71849"/>
    <w:rsid w:val="00C7265B"/>
    <w:rsid w:val="00C743E1"/>
    <w:rsid w:val="00C809CB"/>
    <w:rsid w:val="00C8279E"/>
    <w:rsid w:val="00C83B9E"/>
    <w:rsid w:val="00C8437C"/>
    <w:rsid w:val="00C90755"/>
    <w:rsid w:val="00C908DB"/>
    <w:rsid w:val="00C90A93"/>
    <w:rsid w:val="00C9144A"/>
    <w:rsid w:val="00C91AF0"/>
    <w:rsid w:val="00C95C62"/>
    <w:rsid w:val="00CA4ACC"/>
    <w:rsid w:val="00CA5D96"/>
    <w:rsid w:val="00CA655A"/>
    <w:rsid w:val="00CA720D"/>
    <w:rsid w:val="00CA7B28"/>
    <w:rsid w:val="00CB0067"/>
    <w:rsid w:val="00CB1225"/>
    <w:rsid w:val="00CC0D2F"/>
    <w:rsid w:val="00CC0DA5"/>
    <w:rsid w:val="00CC15D8"/>
    <w:rsid w:val="00CC5E3A"/>
    <w:rsid w:val="00CC61A8"/>
    <w:rsid w:val="00CD08BA"/>
    <w:rsid w:val="00CD40CF"/>
    <w:rsid w:val="00CD5805"/>
    <w:rsid w:val="00CD5EA1"/>
    <w:rsid w:val="00CE03F1"/>
    <w:rsid w:val="00CE4998"/>
    <w:rsid w:val="00CE54E6"/>
    <w:rsid w:val="00CE684F"/>
    <w:rsid w:val="00CF6529"/>
    <w:rsid w:val="00D02448"/>
    <w:rsid w:val="00D04290"/>
    <w:rsid w:val="00D07C65"/>
    <w:rsid w:val="00D10565"/>
    <w:rsid w:val="00D1260E"/>
    <w:rsid w:val="00D14A14"/>
    <w:rsid w:val="00D16484"/>
    <w:rsid w:val="00D16763"/>
    <w:rsid w:val="00D22FC4"/>
    <w:rsid w:val="00D23113"/>
    <w:rsid w:val="00D25B40"/>
    <w:rsid w:val="00D26976"/>
    <w:rsid w:val="00D323A0"/>
    <w:rsid w:val="00D3555F"/>
    <w:rsid w:val="00D360CA"/>
    <w:rsid w:val="00D36D44"/>
    <w:rsid w:val="00D41527"/>
    <w:rsid w:val="00D44113"/>
    <w:rsid w:val="00D4416A"/>
    <w:rsid w:val="00D44468"/>
    <w:rsid w:val="00D444EE"/>
    <w:rsid w:val="00D450A8"/>
    <w:rsid w:val="00D46266"/>
    <w:rsid w:val="00D517B7"/>
    <w:rsid w:val="00D52B17"/>
    <w:rsid w:val="00D552DC"/>
    <w:rsid w:val="00D56FC6"/>
    <w:rsid w:val="00D57FD7"/>
    <w:rsid w:val="00D60FB7"/>
    <w:rsid w:val="00D6148B"/>
    <w:rsid w:val="00D63DF2"/>
    <w:rsid w:val="00D64DB0"/>
    <w:rsid w:val="00D65D08"/>
    <w:rsid w:val="00D66A7E"/>
    <w:rsid w:val="00D66E60"/>
    <w:rsid w:val="00D677E9"/>
    <w:rsid w:val="00D75849"/>
    <w:rsid w:val="00D76A00"/>
    <w:rsid w:val="00D77606"/>
    <w:rsid w:val="00D82622"/>
    <w:rsid w:val="00D85271"/>
    <w:rsid w:val="00D90756"/>
    <w:rsid w:val="00D91805"/>
    <w:rsid w:val="00D92570"/>
    <w:rsid w:val="00D92903"/>
    <w:rsid w:val="00D92C9F"/>
    <w:rsid w:val="00D92DDC"/>
    <w:rsid w:val="00D930CC"/>
    <w:rsid w:val="00DA17F1"/>
    <w:rsid w:val="00DB1A03"/>
    <w:rsid w:val="00DB4812"/>
    <w:rsid w:val="00DB4F74"/>
    <w:rsid w:val="00DB5236"/>
    <w:rsid w:val="00DB5584"/>
    <w:rsid w:val="00DB7569"/>
    <w:rsid w:val="00DC0615"/>
    <w:rsid w:val="00DC22C5"/>
    <w:rsid w:val="00DC4022"/>
    <w:rsid w:val="00DC4CD6"/>
    <w:rsid w:val="00DC6656"/>
    <w:rsid w:val="00DD1CEE"/>
    <w:rsid w:val="00DD2104"/>
    <w:rsid w:val="00DD3175"/>
    <w:rsid w:val="00DD366B"/>
    <w:rsid w:val="00DD57D2"/>
    <w:rsid w:val="00DD6926"/>
    <w:rsid w:val="00DD770C"/>
    <w:rsid w:val="00DE1072"/>
    <w:rsid w:val="00DE1B11"/>
    <w:rsid w:val="00DE2C89"/>
    <w:rsid w:val="00DE46F9"/>
    <w:rsid w:val="00DF0204"/>
    <w:rsid w:val="00DF12BC"/>
    <w:rsid w:val="00DF2689"/>
    <w:rsid w:val="00DF5D01"/>
    <w:rsid w:val="00DF798C"/>
    <w:rsid w:val="00E00E6E"/>
    <w:rsid w:val="00E06120"/>
    <w:rsid w:val="00E0629D"/>
    <w:rsid w:val="00E06C9A"/>
    <w:rsid w:val="00E07312"/>
    <w:rsid w:val="00E16A1B"/>
    <w:rsid w:val="00E20C94"/>
    <w:rsid w:val="00E21543"/>
    <w:rsid w:val="00E252B0"/>
    <w:rsid w:val="00E27274"/>
    <w:rsid w:val="00E27CA9"/>
    <w:rsid w:val="00E318F4"/>
    <w:rsid w:val="00E347EC"/>
    <w:rsid w:val="00E35E93"/>
    <w:rsid w:val="00E36813"/>
    <w:rsid w:val="00E37C4F"/>
    <w:rsid w:val="00E41F0C"/>
    <w:rsid w:val="00E42482"/>
    <w:rsid w:val="00E50951"/>
    <w:rsid w:val="00E51800"/>
    <w:rsid w:val="00E525BF"/>
    <w:rsid w:val="00E53893"/>
    <w:rsid w:val="00E56BAF"/>
    <w:rsid w:val="00E6296F"/>
    <w:rsid w:val="00E64F4D"/>
    <w:rsid w:val="00E65A6A"/>
    <w:rsid w:val="00E66607"/>
    <w:rsid w:val="00E70AA1"/>
    <w:rsid w:val="00E74233"/>
    <w:rsid w:val="00E74B3A"/>
    <w:rsid w:val="00E828E9"/>
    <w:rsid w:val="00E84BE5"/>
    <w:rsid w:val="00E84E5C"/>
    <w:rsid w:val="00E87BF6"/>
    <w:rsid w:val="00E87D5A"/>
    <w:rsid w:val="00E900F2"/>
    <w:rsid w:val="00E94EE0"/>
    <w:rsid w:val="00E95EFC"/>
    <w:rsid w:val="00EA005E"/>
    <w:rsid w:val="00EA0748"/>
    <w:rsid w:val="00EA79C3"/>
    <w:rsid w:val="00EA7BF2"/>
    <w:rsid w:val="00EB3982"/>
    <w:rsid w:val="00EB439C"/>
    <w:rsid w:val="00EB572F"/>
    <w:rsid w:val="00EC1468"/>
    <w:rsid w:val="00EC5279"/>
    <w:rsid w:val="00EC5F13"/>
    <w:rsid w:val="00EC6D77"/>
    <w:rsid w:val="00ED217F"/>
    <w:rsid w:val="00ED27C0"/>
    <w:rsid w:val="00EE01C6"/>
    <w:rsid w:val="00EE3B92"/>
    <w:rsid w:val="00EE43E5"/>
    <w:rsid w:val="00EE46BD"/>
    <w:rsid w:val="00EE6AE6"/>
    <w:rsid w:val="00EE71CA"/>
    <w:rsid w:val="00EE7CE9"/>
    <w:rsid w:val="00EF0025"/>
    <w:rsid w:val="00EF0E8F"/>
    <w:rsid w:val="00EF0FE0"/>
    <w:rsid w:val="00EF4921"/>
    <w:rsid w:val="00EF53E9"/>
    <w:rsid w:val="00EF56D9"/>
    <w:rsid w:val="00EF6B65"/>
    <w:rsid w:val="00F02B8B"/>
    <w:rsid w:val="00F02F3A"/>
    <w:rsid w:val="00F03539"/>
    <w:rsid w:val="00F03BA9"/>
    <w:rsid w:val="00F04CC3"/>
    <w:rsid w:val="00F05625"/>
    <w:rsid w:val="00F0584C"/>
    <w:rsid w:val="00F06827"/>
    <w:rsid w:val="00F07417"/>
    <w:rsid w:val="00F1124E"/>
    <w:rsid w:val="00F1281F"/>
    <w:rsid w:val="00F1498A"/>
    <w:rsid w:val="00F14CF7"/>
    <w:rsid w:val="00F155BC"/>
    <w:rsid w:val="00F27519"/>
    <w:rsid w:val="00F27B73"/>
    <w:rsid w:val="00F31379"/>
    <w:rsid w:val="00F31D74"/>
    <w:rsid w:val="00F31FD3"/>
    <w:rsid w:val="00F31FF9"/>
    <w:rsid w:val="00F334A7"/>
    <w:rsid w:val="00F3358D"/>
    <w:rsid w:val="00F34D8B"/>
    <w:rsid w:val="00F37682"/>
    <w:rsid w:val="00F40F52"/>
    <w:rsid w:val="00F41008"/>
    <w:rsid w:val="00F4168A"/>
    <w:rsid w:val="00F42F67"/>
    <w:rsid w:val="00F4489A"/>
    <w:rsid w:val="00F44A4A"/>
    <w:rsid w:val="00F45312"/>
    <w:rsid w:val="00F45EE3"/>
    <w:rsid w:val="00F47C10"/>
    <w:rsid w:val="00F54EC6"/>
    <w:rsid w:val="00F5732F"/>
    <w:rsid w:val="00F60DD2"/>
    <w:rsid w:val="00F642FA"/>
    <w:rsid w:val="00F66482"/>
    <w:rsid w:val="00F67A3D"/>
    <w:rsid w:val="00F74947"/>
    <w:rsid w:val="00F77B1C"/>
    <w:rsid w:val="00F830C7"/>
    <w:rsid w:val="00F913DD"/>
    <w:rsid w:val="00F913E3"/>
    <w:rsid w:val="00F91650"/>
    <w:rsid w:val="00F92E96"/>
    <w:rsid w:val="00F95958"/>
    <w:rsid w:val="00F97FB7"/>
    <w:rsid w:val="00FA0C56"/>
    <w:rsid w:val="00FA7507"/>
    <w:rsid w:val="00FA7CA0"/>
    <w:rsid w:val="00FB1136"/>
    <w:rsid w:val="00FB4A13"/>
    <w:rsid w:val="00FB4B73"/>
    <w:rsid w:val="00FB536E"/>
    <w:rsid w:val="00FB7848"/>
    <w:rsid w:val="00FC07F1"/>
    <w:rsid w:val="00FC0AAB"/>
    <w:rsid w:val="00FC14B0"/>
    <w:rsid w:val="00FC18A6"/>
    <w:rsid w:val="00FC4BDF"/>
    <w:rsid w:val="00FC6A68"/>
    <w:rsid w:val="00FD2BE9"/>
    <w:rsid w:val="00FE0D36"/>
    <w:rsid w:val="00FE2982"/>
    <w:rsid w:val="00FE4E28"/>
    <w:rsid w:val="00FE5FE5"/>
    <w:rsid w:val="00FE71A6"/>
    <w:rsid w:val="00FE7A4F"/>
    <w:rsid w:val="00FF42DA"/>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68A7"/>
  <w15:chartTrackingRefBased/>
  <w15:docId w15:val="{002DC4CB-0C21-4E06-B5FF-3B8D02AA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EDE"/>
  </w:style>
  <w:style w:type="paragraph" w:styleId="Ttulo2">
    <w:name w:val="heading 2"/>
    <w:basedOn w:val="Normal"/>
    <w:next w:val="Normal"/>
    <w:link w:val="Ttulo2Car"/>
    <w:uiPriority w:val="9"/>
    <w:unhideWhenUsed/>
    <w:qFormat/>
    <w:rsid w:val="00252EDE"/>
    <w:pPr>
      <w:keepNext/>
      <w:keepLines/>
      <w:spacing w:after="0" w:line="240" w:lineRule="auto"/>
      <w:outlineLvl w:val="1"/>
    </w:pPr>
    <w:rPr>
      <w:rFonts w:ascii="Arial" w:eastAsiaTheme="majorEastAsia" w:hAnsi="Arial" w:cstheme="majorBidi"/>
      <w:b/>
      <w:color w:val="2F5496" w:themeColor="accent1" w:themeShade="BF"/>
      <w:sz w:val="24"/>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2EDE"/>
    <w:rPr>
      <w:rFonts w:ascii="Arial" w:eastAsiaTheme="majorEastAsia" w:hAnsi="Arial" w:cstheme="majorBidi"/>
      <w:b/>
      <w:color w:val="2F5496" w:themeColor="accent1" w:themeShade="BF"/>
      <w:sz w:val="24"/>
      <w:szCs w:val="26"/>
      <w:lang w:val="en-US"/>
    </w:rPr>
  </w:style>
  <w:style w:type="paragraph" w:customStyle="1" w:styleId="n0">
    <w:name w:val="n0"/>
    <w:basedOn w:val="Normal"/>
    <w:rsid w:val="00252EDE"/>
    <w:pPr>
      <w:keepLines/>
      <w:spacing w:before="240" w:after="0" w:line="240" w:lineRule="auto"/>
      <w:ind w:left="709" w:right="-351" w:hanging="709"/>
      <w:jc w:val="both"/>
    </w:pPr>
    <w:rPr>
      <w:rFonts w:ascii="Arial" w:eastAsia="Times New Roman" w:hAnsi="Arial" w:cs="Arial"/>
      <w:color w:val="800080"/>
      <w:sz w:val="24"/>
      <w:szCs w:val="24"/>
      <w:lang w:val="es-ES_tradnl" w:eastAsia="es-ES"/>
    </w:rPr>
  </w:style>
  <w:style w:type="paragraph" w:styleId="Subttulo">
    <w:name w:val="Subtitle"/>
    <w:basedOn w:val="Normal"/>
    <w:link w:val="SubttuloCar"/>
    <w:qFormat/>
    <w:rsid w:val="00252EDE"/>
    <w:pPr>
      <w:spacing w:after="0" w:line="240" w:lineRule="auto"/>
      <w:jc w:val="center"/>
    </w:pPr>
    <w:rPr>
      <w:rFonts w:ascii="Arial" w:eastAsia="Times New Roman" w:hAnsi="Arial" w:cs="Arial"/>
      <w:b/>
      <w:bCs/>
      <w:sz w:val="24"/>
      <w:szCs w:val="24"/>
      <w:lang w:val="es-ES_tradnl" w:eastAsia="es-ES"/>
    </w:rPr>
  </w:style>
  <w:style w:type="character" w:customStyle="1" w:styleId="SubttuloCar">
    <w:name w:val="Subtítulo Car"/>
    <w:basedOn w:val="Fuentedeprrafopredeter"/>
    <w:link w:val="Subttulo"/>
    <w:rsid w:val="00252EDE"/>
    <w:rPr>
      <w:rFonts w:ascii="Arial" w:eastAsia="Times New Roman" w:hAnsi="Arial" w:cs="Arial"/>
      <w:b/>
      <w:bCs/>
      <w:sz w:val="24"/>
      <w:szCs w:val="24"/>
      <w:lang w:val="es-ES_tradnl" w:eastAsia="es-ES"/>
    </w:rPr>
  </w:style>
  <w:style w:type="paragraph" w:styleId="Textonotapie">
    <w:name w:val="footnote text"/>
    <w:basedOn w:val="Normal"/>
    <w:link w:val="TextonotapieCar"/>
    <w:uiPriority w:val="99"/>
    <w:rsid w:val="00252EDE"/>
    <w:pPr>
      <w:spacing w:after="0" w:line="240" w:lineRule="auto"/>
      <w:jc w:val="both"/>
    </w:pPr>
    <w:rPr>
      <w:rFonts w:ascii="Arial" w:eastAsia="Times New Roman" w:hAnsi="Arial" w:cs="Arial"/>
      <w:sz w:val="20"/>
      <w:szCs w:val="20"/>
      <w:lang w:val="es-ES_tradnl" w:eastAsia="es-ES"/>
    </w:rPr>
  </w:style>
  <w:style w:type="character" w:customStyle="1" w:styleId="TextonotapieCar">
    <w:name w:val="Texto nota pie Car"/>
    <w:basedOn w:val="Fuentedeprrafopredeter"/>
    <w:link w:val="Textonotapie"/>
    <w:uiPriority w:val="99"/>
    <w:rsid w:val="00252EDE"/>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252EDE"/>
    <w:rPr>
      <w:vertAlign w:val="superscript"/>
    </w:rPr>
  </w:style>
  <w:style w:type="paragraph" w:styleId="Ttulo">
    <w:name w:val="Title"/>
    <w:basedOn w:val="Normal"/>
    <w:link w:val="TtuloCar"/>
    <w:qFormat/>
    <w:rsid w:val="00252EDE"/>
    <w:pPr>
      <w:spacing w:after="0" w:line="240" w:lineRule="auto"/>
      <w:jc w:val="center"/>
    </w:pPr>
    <w:rPr>
      <w:rFonts w:ascii="Arial" w:eastAsia="Times New Roman" w:hAnsi="Arial" w:cs="Times New Roman"/>
      <w:b/>
      <w:sz w:val="24"/>
      <w:szCs w:val="20"/>
      <w:lang w:val="es-ES" w:eastAsia="es-ES"/>
    </w:rPr>
  </w:style>
  <w:style w:type="character" w:customStyle="1" w:styleId="TtuloCar">
    <w:name w:val="Título Car"/>
    <w:basedOn w:val="Fuentedeprrafopredeter"/>
    <w:link w:val="Ttulo"/>
    <w:rsid w:val="00252EDE"/>
    <w:rPr>
      <w:rFonts w:ascii="Arial" w:eastAsia="Times New Roman" w:hAnsi="Arial" w:cs="Times New Roman"/>
      <w:b/>
      <w:sz w:val="24"/>
      <w:szCs w:val="20"/>
      <w:lang w:val="es-ES" w:eastAsia="es-ES"/>
    </w:rPr>
  </w:style>
  <w:style w:type="table" w:customStyle="1" w:styleId="Tabladelista4-nfasis21">
    <w:name w:val="Tabla de lista 4 - Énfasis 21"/>
    <w:basedOn w:val="Tablanormal"/>
    <w:uiPriority w:val="49"/>
    <w:rsid w:val="00252EDE"/>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Mapadeldocumento1">
    <w:name w:val="Mapa del documento1"/>
    <w:basedOn w:val="Normal"/>
    <w:rsid w:val="00252EDE"/>
    <w:pPr>
      <w:shd w:val="clear" w:color="auto" w:fill="000080"/>
      <w:spacing w:after="0" w:line="240" w:lineRule="auto"/>
      <w:jc w:val="both"/>
    </w:pPr>
    <w:rPr>
      <w:rFonts w:ascii="Tahoma" w:eastAsia="Times New Roman" w:hAnsi="Tahoma" w:cs="Tahoma"/>
      <w:sz w:val="24"/>
      <w:szCs w:val="24"/>
      <w:lang w:val="es-ES_tradnl" w:eastAsia="es-ES"/>
    </w:rPr>
  </w:style>
  <w:style w:type="paragraph" w:styleId="Prrafodelista">
    <w:name w:val="List Paragraph"/>
    <w:basedOn w:val="Normal"/>
    <w:uiPriority w:val="34"/>
    <w:qFormat/>
    <w:rsid w:val="00252EDE"/>
    <w:pPr>
      <w:ind w:left="720"/>
      <w:contextualSpacing/>
    </w:pPr>
  </w:style>
  <w:style w:type="paragraph" w:styleId="Textodeglobo">
    <w:name w:val="Balloon Text"/>
    <w:basedOn w:val="Normal"/>
    <w:link w:val="TextodegloboCar"/>
    <w:uiPriority w:val="99"/>
    <w:semiHidden/>
    <w:unhideWhenUsed/>
    <w:rsid w:val="00252E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EDE"/>
    <w:rPr>
      <w:rFonts w:ascii="Segoe UI" w:hAnsi="Segoe UI" w:cs="Segoe UI"/>
      <w:sz w:val="18"/>
      <w:szCs w:val="18"/>
    </w:rPr>
  </w:style>
  <w:style w:type="paragraph" w:styleId="NormalWeb">
    <w:name w:val="Normal (Web)"/>
    <w:basedOn w:val="Normal"/>
    <w:uiPriority w:val="99"/>
    <w:semiHidden/>
    <w:unhideWhenUsed/>
    <w:rsid w:val="00252EDE"/>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25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252E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4">
    <w:name w:val="Grid Table 5 Dark Accent 4"/>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2">
    <w:name w:val="Grid Table 5 Dark Accent 2"/>
    <w:basedOn w:val="Tablanormal"/>
    <w:uiPriority w:val="50"/>
    <w:rsid w:val="00252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xmsolistparagraph">
    <w:name w:val="x_msolistparagraph"/>
    <w:basedOn w:val="Normal"/>
    <w:rsid w:val="00252EDE"/>
    <w:pPr>
      <w:spacing w:after="0" w:line="240" w:lineRule="auto"/>
      <w:ind w:left="720"/>
    </w:pPr>
    <w:rPr>
      <w:rFonts w:ascii="Calibri" w:hAnsi="Calibri" w:cs="Calibri"/>
      <w:lang w:eastAsia="es-MX"/>
    </w:rPr>
  </w:style>
  <w:style w:type="table" w:styleId="Tablaconcuadrcula4-nfasis1">
    <w:name w:val="Grid Table 4 Accent 1"/>
    <w:basedOn w:val="Tablanormal"/>
    <w:uiPriority w:val="49"/>
    <w:rsid w:val="00252ED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01">
    <w:name w:val="n01"/>
    <w:basedOn w:val="Normal"/>
    <w:rsid w:val="00252EDE"/>
    <w:pPr>
      <w:keepLines/>
      <w:spacing w:before="240" w:after="0" w:line="240" w:lineRule="auto"/>
      <w:ind w:left="720" w:hanging="720"/>
      <w:jc w:val="both"/>
    </w:pPr>
    <w:rPr>
      <w:rFonts w:ascii="Univers (W1)" w:eastAsia="Times New Roman" w:hAnsi="Univers (W1)" w:cs="Arial"/>
      <w:color w:val="800080"/>
      <w:sz w:val="24"/>
      <w:szCs w:val="24"/>
      <w:lang w:val="es-ES_tradnl" w:eastAsia="es-ES"/>
    </w:rPr>
  </w:style>
  <w:style w:type="character" w:styleId="Hipervnculo">
    <w:name w:val="Hyperlink"/>
    <w:basedOn w:val="Fuentedeprrafopredeter"/>
    <w:rsid w:val="00252EDE"/>
    <w:rPr>
      <w:color w:val="0000FF"/>
      <w:u w:val="single"/>
    </w:rPr>
  </w:style>
  <w:style w:type="character" w:styleId="Textodelmarcadordeposicin">
    <w:name w:val="Placeholder Text"/>
    <w:basedOn w:val="Fuentedeprrafopredeter"/>
    <w:uiPriority w:val="99"/>
    <w:semiHidden/>
    <w:rsid w:val="00252EDE"/>
    <w:rPr>
      <w:color w:val="808080"/>
    </w:rPr>
  </w:style>
  <w:style w:type="paragraph" w:styleId="Encabezado">
    <w:name w:val="header"/>
    <w:basedOn w:val="Normal"/>
    <w:link w:val="EncabezadoCar"/>
    <w:uiPriority w:val="99"/>
    <w:unhideWhenUsed/>
    <w:rsid w:val="00743F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3F28"/>
  </w:style>
  <w:style w:type="paragraph" w:styleId="Piedepgina">
    <w:name w:val="footer"/>
    <w:basedOn w:val="Normal"/>
    <w:link w:val="PiedepginaCar"/>
    <w:uiPriority w:val="99"/>
    <w:unhideWhenUsed/>
    <w:rsid w:val="00743F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3F28"/>
  </w:style>
  <w:style w:type="character" w:customStyle="1" w:styleId="Mencinsinresolver1">
    <w:name w:val="Mención sin resolver1"/>
    <w:basedOn w:val="Fuentedeprrafopredeter"/>
    <w:uiPriority w:val="99"/>
    <w:semiHidden/>
    <w:unhideWhenUsed/>
    <w:rsid w:val="00743F28"/>
    <w:rPr>
      <w:color w:val="605E5C"/>
      <w:shd w:val="clear" w:color="auto" w:fill="E1DFDD"/>
    </w:rPr>
  </w:style>
  <w:style w:type="paragraph" w:styleId="Revisin">
    <w:name w:val="Revision"/>
    <w:hidden/>
    <w:uiPriority w:val="99"/>
    <w:semiHidden/>
    <w:rsid w:val="00A83689"/>
    <w:pPr>
      <w:spacing w:after="0" w:line="240" w:lineRule="auto"/>
    </w:pPr>
  </w:style>
  <w:style w:type="character" w:styleId="Refdecomentario">
    <w:name w:val="annotation reference"/>
    <w:basedOn w:val="Fuentedeprrafopredeter"/>
    <w:uiPriority w:val="99"/>
    <w:semiHidden/>
    <w:unhideWhenUsed/>
    <w:rsid w:val="002525B7"/>
    <w:rPr>
      <w:sz w:val="16"/>
      <w:szCs w:val="16"/>
    </w:rPr>
  </w:style>
  <w:style w:type="paragraph" w:styleId="Textocomentario">
    <w:name w:val="annotation text"/>
    <w:basedOn w:val="Normal"/>
    <w:link w:val="TextocomentarioCar"/>
    <w:uiPriority w:val="99"/>
    <w:semiHidden/>
    <w:unhideWhenUsed/>
    <w:rsid w:val="002525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25B7"/>
    <w:rPr>
      <w:sz w:val="20"/>
      <w:szCs w:val="20"/>
    </w:rPr>
  </w:style>
  <w:style w:type="paragraph" w:styleId="Asuntodelcomentario">
    <w:name w:val="annotation subject"/>
    <w:basedOn w:val="Textocomentario"/>
    <w:next w:val="Textocomentario"/>
    <w:link w:val="AsuntodelcomentarioCar"/>
    <w:uiPriority w:val="99"/>
    <w:semiHidden/>
    <w:unhideWhenUsed/>
    <w:rsid w:val="002525B7"/>
    <w:rPr>
      <w:b/>
      <w:bCs/>
    </w:rPr>
  </w:style>
  <w:style w:type="character" w:customStyle="1" w:styleId="AsuntodelcomentarioCar">
    <w:name w:val="Asunto del comentario Car"/>
    <w:basedOn w:val="TextocomentarioCar"/>
    <w:link w:val="Asuntodelcomentario"/>
    <w:uiPriority w:val="99"/>
    <w:semiHidden/>
    <w:rsid w:val="002525B7"/>
    <w:rPr>
      <w:b/>
      <w:bCs/>
      <w:sz w:val="20"/>
      <w:szCs w:val="20"/>
    </w:rPr>
  </w:style>
  <w:style w:type="paragraph" w:customStyle="1" w:styleId="Default">
    <w:name w:val="Default"/>
    <w:rsid w:val="00FE7A4F"/>
    <w:pPr>
      <w:autoSpaceDE w:val="0"/>
      <w:autoSpaceDN w:val="0"/>
      <w:adjustRightInd w:val="0"/>
      <w:spacing w:after="0" w:line="240" w:lineRule="auto"/>
    </w:pPr>
    <w:rPr>
      <w:rFonts w:ascii="Chilena" w:hAnsi="Chilena" w:cs="Chilena"/>
      <w:color w:val="000000"/>
      <w:sz w:val="24"/>
      <w:szCs w:val="24"/>
    </w:rPr>
  </w:style>
  <w:style w:type="character" w:customStyle="1" w:styleId="A2">
    <w:name w:val="A2"/>
    <w:uiPriority w:val="99"/>
    <w:rsid w:val="00FE7A4F"/>
    <w:rPr>
      <w:rFonts w:cs="Chilena"/>
      <w:b/>
      <w:bCs/>
      <w:color w:val="FFFFFF"/>
      <w:sz w:val="40"/>
      <w:szCs w:val="40"/>
    </w:rPr>
  </w:style>
  <w:style w:type="paragraph" w:styleId="Textoindependiente2">
    <w:name w:val="Body Text 2"/>
    <w:basedOn w:val="Normal"/>
    <w:link w:val="Textoindependiente2Car"/>
    <w:semiHidden/>
    <w:unhideWhenUsed/>
    <w:rsid w:val="00B75416"/>
    <w:pPr>
      <w:spacing w:before="240" w:after="0" w:line="240" w:lineRule="auto"/>
      <w:ind w:right="1951"/>
      <w:jc w:val="both"/>
    </w:pPr>
    <w:rPr>
      <w:rFonts w:ascii="Arial" w:eastAsia="Times New Roman" w:hAnsi="Arial" w:cs="Arial"/>
      <w:sz w:val="24"/>
      <w:szCs w:val="24"/>
      <w:lang w:val="es-ES_tradnl" w:eastAsia="es-ES"/>
    </w:rPr>
  </w:style>
  <w:style w:type="character" w:customStyle="1" w:styleId="Textoindependiente2Car">
    <w:name w:val="Texto independiente 2 Car"/>
    <w:basedOn w:val="Fuentedeprrafopredeter"/>
    <w:link w:val="Textoindependiente2"/>
    <w:semiHidden/>
    <w:rsid w:val="00B75416"/>
    <w:rPr>
      <w:rFonts w:ascii="Arial" w:eastAsia="Times New Roman" w:hAnsi="Arial" w:cs="Arial"/>
      <w:sz w:val="24"/>
      <w:szCs w:val="24"/>
      <w:lang w:val="es-ES_tradnl" w:eastAsia="es-ES"/>
    </w:rPr>
  </w:style>
  <w:style w:type="paragraph" w:customStyle="1" w:styleId="p0">
    <w:name w:val="p0"/>
    <w:basedOn w:val="Normal"/>
    <w:rsid w:val="00B75416"/>
    <w:pPr>
      <w:keepLines/>
      <w:widowControl w:val="0"/>
      <w:snapToGrid w:val="0"/>
      <w:spacing w:before="240" w:after="0" w:line="240" w:lineRule="auto"/>
      <w:jc w:val="both"/>
    </w:pPr>
    <w:rPr>
      <w:rFonts w:ascii="Helvetica" w:eastAsia="Times New Roman" w:hAnsi="Helvetica" w:cs="Arial"/>
      <w:color w:val="0000FF"/>
      <w:sz w:val="24"/>
      <w:szCs w:val="24"/>
      <w:lang w:val="es-ES_tradnl" w:eastAsia="es-ES"/>
    </w:rPr>
  </w:style>
  <w:style w:type="table" w:styleId="Tablaconcuadrcula4-nfasis2">
    <w:name w:val="Grid Table 4 Accent 2"/>
    <w:basedOn w:val="Tablanormal"/>
    <w:uiPriority w:val="49"/>
    <w:rsid w:val="00811F6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6084">
      <w:bodyDiv w:val="1"/>
      <w:marLeft w:val="0"/>
      <w:marRight w:val="0"/>
      <w:marTop w:val="0"/>
      <w:marBottom w:val="0"/>
      <w:divBdr>
        <w:top w:val="none" w:sz="0" w:space="0" w:color="auto"/>
        <w:left w:val="none" w:sz="0" w:space="0" w:color="auto"/>
        <w:bottom w:val="none" w:sz="0" w:space="0" w:color="auto"/>
        <w:right w:val="none" w:sz="0" w:space="0" w:color="auto"/>
      </w:divBdr>
    </w:div>
    <w:div w:id="64575043">
      <w:bodyDiv w:val="1"/>
      <w:marLeft w:val="0"/>
      <w:marRight w:val="0"/>
      <w:marTop w:val="0"/>
      <w:marBottom w:val="0"/>
      <w:divBdr>
        <w:top w:val="none" w:sz="0" w:space="0" w:color="auto"/>
        <w:left w:val="none" w:sz="0" w:space="0" w:color="auto"/>
        <w:bottom w:val="none" w:sz="0" w:space="0" w:color="auto"/>
        <w:right w:val="none" w:sz="0" w:space="0" w:color="auto"/>
      </w:divBdr>
    </w:div>
    <w:div w:id="65421716">
      <w:bodyDiv w:val="1"/>
      <w:marLeft w:val="0"/>
      <w:marRight w:val="0"/>
      <w:marTop w:val="0"/>
      <w:marBottom w:val="0"/>
      <w:divBdr>
        <w:top w:val="none" w:sz="0" w:space="0" w:color="auto"/>
        <w:left w:val="none" w:sz="0" w:space="0" w:color="auto"/>
        <w:bottom w:val="none" w:sz="0" w:space="0" w:color="auto"/>
        <w:right w:val="none" w:sz="0" w:space="0" w:color="auto"/>
      </w:divBdr>
    </w:div>
    <w:div w:id="65688568">
      <w:bodyDiv w:val="1"/>
      <w:marLeft w:val="0"/>
      <w:marRight w:val="0"/>
      <w:marTop w:val="0"/>
      <w:marBottom w:val="0"/>
      <w:divBdr>
        <w:top w:val="none" w:sz="0" w:space="0" w:color="auto"/>
        <w:left w:val="none" w:sz="0" w:space="0" w:color="auto"/>
        <w:bottom w:val="none" w:sz="0" w:space="0" w:color="auto"/>
        <w:right w:val="none" w:sz="0" w:space="0" w:color="auto"/>
      </w:divBdr>
    </w:div>
    <w:div w:id="65692073">
      <w:bodyDiv w:val="1"/>
      <w:marLeft w:val="0"/>
      <w:marRight w:val="0"/>
      <w:marTop w:val="0"/>
      <w:marBottom w:val="0"/>
      <w:divBdr>
        <w:top w:val="none" w:sz="0" w:space="0" w:color="auto"/>
        <w:left w:val="none" w:sz="0" w:space="0" w:color="auto"/>
        <w:bottom w:val="none" w:sz="0" w:space="0" w:color="auto"/>
        <w:right w:val="none" w:sz="0" w:space="0" w:color="auto"/>
      </w:divBdr>
    </w:div>
    <w:div w:id="73823318">
      <w:bodyDiv w:val="1"/>
      <w:marLeft w:val="0"/>
      <w:marRight w:val="0"/>
      <w:marTop w:val="0"/>
      <w:marBottom w:val="0"/>
      <w:divBdr>
        <w:top w:val="none" w:sz="0" w:space="0" w:color="auto"/>
        <w:left w:val="none" w:sz="0" w:space="0" w:color="auto"/>
        <w:bottom w:val="none" w:sz="0" w:space="0" w:color="auto"/>
        <w:right w:val="none" w:sz="0" w:space="0" w:color="auto"/>
      </w:divBdr>
    </w:div>
    <w:div w:id="101925133">
      <w:bodyDiv w:val="1"/>
      <w:marLeft w:val="0"/>
      <w:marRight w:val="0"/>
      <w:marTop w:val="0"/>
      <w:marBottom w:val="0"/>
      <w:divBdr>
        <w:top w:val="none" w:sz="0" w:space="0" w:color="auto"/>
        <w:left w:val="none" w:sz="0" w:space="0" w:color="auto"/>
        <w:bottom w:val="none" w:sz="0" w:space="0" w:color="auto"/>
        <w:right w:val="none" w:sz="0" w:space="0" w:color="auto"/>
      </w:divBdr>
    </w:div>
    <w:div w:id="134878289">
      <w:bodyDiv w:val="1"/>
      <w:marLeft w:val="0"/>
      <w:marRight w:val="0"/>
      <w:marTop w:val="0"/>
      <w:marBottom w:val="0"/>
      <w:divBdr>
        <w:top w:val="none" w:sz="0" w:space="0" w:color="auto"/>
        <w:left w:val="none" w:sz="0" w:space="0" w:color="auto"/>
        <w:bottom w:val="none" w:sz="0" w:space="0" w:color="auto"/>
        <w:right w:val="none" w:sz="0" w:space="0" w:color="auto"/>
      </w:divBdr>
    </w:div>
    <w:div w:id="138159015">
      <w:bodyDiv w:val="1"/>
      <w:marLeft w:val="0"/>
      <w:marRight w:val="0"/>
      <w:marTop w:val="0"/>
      <w:marBottom w:val="0"/>
      <w:divBdr>
        <w:top w:val="none" w:sz="0" w:space="0" w:color="auto"/>
        <w:left w:val="none" w:sz="0" w:space="0" w:color="auto"/>
        <w:bottom w:val="none" w:sz="0" w:space="0" w:color="auto"/>
        <w:right w:val="none" w:sz="0" w:space="0" w:color="auto"/>
      </w:divBdr>
    </w:div>
    <w:div w:id="141626399">
      <w:bodyDiv w:val="1"/>
      <w:marLeft w:val="0"/>
      <w:marRight w:val="0"/>
      <w:marTop w:val="0"/>
      <w:marBottom w:val="0"/>
      <w:divBdr>
        <w:top w:val="none" w:sz="0" w:space="0" w:color="auto"/>
        <w:left w:val="none" w:sz="0" w:space="0" w:color="auto"/>
        <w:bottom w:val="none" w:sz="0" w:space="0" w:color="auto"/>
        <w:right w:val="none" w:sz="0" w:space="0" w:color="auto"/>
      </w:divBdr>
    </w:div>
    <w:div w:id="153761878">
      <w:bodyDiv w:val="1"/>
      <w:marLeft w:val="0"/>
      <w:marRight w:val="0"/>
      <w:marTop w:val="0"/>
      <w:marBottom w:val="0"/>
      <w:divBdr>
        <w:top w:val="none" w:sz="0" w:space="0" w:color="auto"/>
        <w:left w:val="none" w:sz="0" w:space="0" w:color="auto"/>
        <w:bottom w:val="none" w:sz="0" w:space="0" w:color="auto"/>
        <w:right w:val="none" w:sz="0" w:space="0" w:color="auto"/>
      </w:divBdr>
    </w:div>
    <w:div w:id="162548260">
      <w:bodyDiv w:val="1"/>
      <w:marLeft w:val="0"/>
      <w:marRight w:val="0"/>
      <w:marTop w:val="0"/>
      <w:marBottom w:val="0"/>
      <w:divBdr>
        <w:top w:val="none" w:sz="0" w:space="0" w:color="auto"/>
        <w:left w:val="none" w:sz="0" w:space="0" w:color="auto"/>
        <w:bottom w:val="none" w:sz="0" w:space="0" w:color="auto"/>
        <w:right w:val="none" w:sz="0" w:space="0" w:color="auto"/>
      </w:divBdr>
    </w:div>
    <w:div w:id="173616451">
      <w:bodyDiv w:val="1"/>
      <w:marLeft w:val="0"/>
      <w:marRight w:val="0"/>
      <w:marTop w:val="0"/>
      <w:marBottom w:val="0"/>
      <w:divBdr>
        <w:top w:val="none" w:sz="0" w:space="0" w:color="auto"/>
        <w:left w:val="none" w:sz="0" w:space="0" w:color="auto"/>
        <w:bottom w:val="none" w:sz="0" w:space="0" w:color="auto"/>
        <w:right w:val="none" w:sz="0" w:space="0" w:color="auto"/>
      </w:divBdr>
    </w:div>
    <w:div w:id="215632035">
      <w:bodyDiv w:val="1"/>
      <w:marLeft w:val="0"/>
      <w:marRight w:val="0"/>
      <w:marTop w:val="0"/>
      <w:marBottom w:val="0"/>
      <w:divBdr>
        <w:top w:val="none" w:sz="0" w:space="0" w:color="auto"/>
        <w:left w:val="none" w:sz="0" w:space="0" w:color="auto"/>
        <w:bottom w:val="none" w:sz="0" w:space="0" w:color="auto"/>
        <w:right w:val="none" w:sz="0" w:space="0" w:color="auto"/>
      </w:divBdr>
    </w:div>
    <w:div w:id="220405689">
      <w:bodyDiv w:val="1"/>
      <w:marLeft w:val="0"/>
      <w:marRight w:val="0"/>
      <w:marTop w:val="0"/>
      <w:marBottom w:val="0"/>
      <w:divBdr>
        <w:top w:val="none" w:sz="0" w:space="0" w:color="auto"/>
        <w:left w:val="none" w:sz="0" w:space="0" w:color="auto"/>
        <w:bottom w:val="none" w:sz="0" w:space="0" w:color="auto"/>
        <w:right w:val="none" w:sz="0" w:space="0" w:color="auto"/>
      </w:divBdr>
    </w:div>
    <w:div w:id="229315933">
      <w:bodyDiv w:val="1"/>
      <w:marLeft w:val="0"/>
      <w:marRight w:val="0"/>
      <w:marTop w:val="0"/>
      <w:marBottom w:val="0"/>
      <w:divBdr>
        <w:top w:val="none" w:sz="0" w:space="0" w:color="auto"/>
        <w:left w:val="none" w:sz="0" w:space="0" w:color="auto"/>
        <w:bottom w:val="none" w:sz="0" w:space="0" w:color="auto"/>
        <w:right w:val="none" w:sz="0" w:space="0" w:color="auto"/>
      </w:divBdr>
    </w:div>
    <w:div w:id="232006153">
      <w:bodyDiv w:val="1"/>
      <w:marLeft w:val="0"/>
      <w:marRight w:val="0"/>
      <w:marTop w:val="0"/>
      <w:marBottom w:val="0"/>
      <w:divBdr>
        <w:top w:val="none" w:sz="0" w:space="0" w:color="auto"/>
        <w:left w:val="none" w:sz="0" w:space="0" w:color="auto"/>
        <w:bottom w:val="none" w:sz="0" w:space="0" w:color="auto"/>
        <w:right w:val="none" w:sz="0" w:space="0" w:color="auto"/>
      </w:divBdr>
    </w:div>
    <w:div w:id="233862155">
      <w:bodyDiv w:val="1"/>
      <w:marLeft w:val="0"/>
      <w:marRight w:val="0"/>
      <w:marTop w:val="0"/>
      <w:marBottom w:val="0"/>
      <w:divBdr>
        <w:top w:val="none" w:sz="0" w:space="0" w:color="auto"/>
        <w:left w:val="none" w:sz="0" w:space="0" w:color="auto"/>
        <w:bottom w:val="none" w:sz="0" w:space="0" w:color="auto"/>
        <w:right w:val="none" w:sz="0" w:space="0" w:color="auto"/>
      </w:divBdr>
    </w:div>
    <w:div w:id="247421394">
      <w:bodyDiv w:val="1"/>
      <w:marLeft w:val="0"/>
      <w:marRight w:val="0"/>
      <w:marTop w:val="0"/>
      <w:marBottom w:val="0"/>
      <w:divBdr>
        <w:top w:val="none" w:sz="0" w:space="0" w:color="auto"/>
        <w:left w:val="none" w:sz="0" w:space="0" w:color="auto"/>
        <w:bottom w:val="none" w:sz="0" w:space="0" w:color="auto"/>
        <w:right w:val="none" w:sz="0" w:space="0" w:color="auto"/>
      </w:divBdr>
    </w:div>
    <w:div w:id="271135127">
      <w:bodyDiv w:val="1"/>
      <w:marLeft w:val="0"/>
      <w:marRight w:val="0"/>
      <w:marTop w:val="0"/>
      <w:marBottom w:val="0"/>
      <w:divBdr>
        <w:top w:val="none" w:sz="0" w:space="0" w:color="auto"/>
        <w:left w:val="none" w:sz="0" w:space="0" w:color="auto"/>
        <w:bottom w:val="none" w:sz="0" w:space="0" w:color="auto"/>
        <w:right w:val="none" w:sz="0" w:space="0" w:color="auto"/>
      </w:divBdr>
    </w:div>
    <w:div w:id="287249515">
      <w:bodyDiv w:val="1"/>
      <w:marLeft w:val="0"/>
      <w:marRight w:val="0"/>
      <w:marTop w:val="0"/>
      <w:marBottom w:val="0"/>
      <w:divBdr>
        <w:top w:val="none" w:sz="0" w:space="0" w:color="auto"/>
        <w:left w:val="none" w:sz="0" w:space="0" w:color="auto"/>
        <w:bottom w:val="none" w:sz="0" w:space="0" w:color="auto"/>
        <w:right w:val="none" w:sz="0" w:space="0" w:color="auto"/>
      </w:divBdr>
    </w:div>
    <w:div w:id="296497855">
      <w:bodyDiv w:val="1"/>
      <w:marLeft w:val="0"/>
      <w:marRight w:val="0"/>
      <w:marTop w:val="0"/>
      <w:marBottom w:val="0"/>
      <w:divBdr>
        <w:top w:val="none" w:sz="0" w:space="0" w:color="auto"/>
        <w:left w:val="none" w:sz="0" w:space="0" w:color="auto"/>
        <w:bottom w:val="none" w:sz="0" w:space="0" w:color="auto"/>
        <w:right w:val="none" w:sz="0" w:space="0" w:color="auto"/>
      </w:divBdr>
    </w:div>
    <w:div w:id="298650827">
      <w:bodyDiv w:val="1"/>
      <w:marLeft w:val="0"/>
      <w:marRight w:val="0"/>
      <w:marTop w:val="0"/>
      <w:marBottom w:val="0"/>
      <w:divBdr>
        <w:top w:val="none" w:sz="0" w:space="0" w:color="auto"/>
        <w:left w:val="none" w:sz="0" w:space="0" w:color="auto"/>
        <w:bottom w:val="none" w:sz="0" w:space="0" w:color="auto"/>
        <w:right w:val="none" w:sz="0" w:space="0" w:color="auto"/>
      </w:divBdr>
    </w:div>
    <w:div w:id="301079980">
      <w:bodyDiv w:val="1"/>
      <w:marLeft w:val="0"/>
      <w:marRight w:val="0"/>
      <w:marTop w:val="0"/>
      <w:marBottom w:val="0"/>
      <w:divBdr>
        <w:top w:val="none" w:sz="0" w:space="0" w:color="auto"/>
        <w:left w:val="none" w:sz="0" w:space="0" w:color="auto"/>
        <w:bottom w:val="none" w:sz="0" w:space="0" w:color="auto"/>
        <w:right w:val="none" w:sz="0" w:space="0" w:color="auto"/>
      </w:divBdr>
    </w:div>
    <w:div w:id="304285371">
      <w:bodyDiv w:val="1"/>
      <w:marLeft w:val="0"/>
      <w:marRight w:val="0"/>
      <w:marTop w:val="0"/>
      <w:marBottom w:val="0"/>
      <w:divBdr>
        <w:top w:val="none" w:sz="0" w:space="0" w:color="auto"/>
        <w:left w:val="none" w:sz="0" w:space="0" w:color="auto"/>
        <w:bottom w:val="none" w:sz="0" w:space="0" w:color="auto"/>
        <w:right w:val="none" w:sz="0" w:space="0" w:color="auto"/>
      </w:divBdr>
    </w:div>
    <w:div w:id="330449965">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
    <w:div w:id="361825291">
      <w:bodyDiv w:val="1"/>
      <w:marLeft w:val="0"/>
      <w:marRight w:val="0"/>
      <w:marTop w:val="0"/>
      <w:marBottom w:val="0"/>
      <w:divBdr>
        <w:top w:val="none" w:sz="0" w:space="0" w:color="auto"/>
        <w:left w:val="none" w:sz="0" w:space="0" w:color="auto"/>
        <w:bottom w:val="none" w:sz="0" w:space="0" w:color="auto"/>
        <w:right w:val="none" w:sz="0" w:space="0" w:color="auto"/>
      </w:divBdr>
    </w:div>
    <w:div w:id="404643879">
      <w:bodyDiv w:val="1"/>
      <w:marLeft w:val="0"/>
      <w:marRight w:val="0"/>
      <w:marTop w:val="0"/>
      <w:marBottom w:val="0"/>
      <w:divBdr>
        <w:top w:val="none" w:sz="0" w:space="0" w:color="auto"/>
        <w:left w:val="none" w:sz="0" w:space="0" w:color="auto"/>
        <w:bottom w:val="none" w:sz="0" w:space="0" w:color="auto"/>
        <w:right w:val="none" w:sz="0" w:space="0" w:color="auto"/>
      </w:divBdr>
    </w:div>
    <w:div w:id="405421358">
      <w:bodyDiv w:val="1"/>
      <w:marLeft w:val="0"/>
      <w:marRight w:val="0"/>
      <w:marTop w:val="0"/>
      <w:marBottom w:val="0"/>
      <w:divBdr>
        <w:top w:val="none" w:sz="0" w:space="0" w:color="auto"/>
        <w:left w:val="none" w:sz="0" w:space="0" w:color="auto"/>
        <w:bottom w:val="none" w:sz="0" w:space="0" w:color="auto"/>
        <w:right w:val="none" w:sz="0" w:space="0" w:color="auto"/>
      </w:divBdr>
    </w:div>
    <w:div w:id="421530516">
      <w:bodyDiv w:val="1"/>
      <w:marLeft w:val="0"/>
      <w:marRight w:val="0"/>
      <w:marTop w:val="0"/>
      <w:marBottom w:val="0"/>
      <w:divBdr>
        <w:top w:val="none" w:sz="0" w:space="0" w:color="auto"/>
        <w:left w:val="none" w:sz="0" w:space="0" w:color="auto"/>
        <w:bottom w:val="none" w:sz="0" w:space="0" w:color="auto"/>
        <w:right w:val="none" w:sz="0" w:space="0" w:color="auto"/>
      </w:divBdr>
    </w:div>
    <w:div w:id="452134230">
      <w:bodyDiv w:val="1"/>
      <w:marLeft w:val="0"/>
      <w:marRight w:val="0"/>
      <w:marTop w:val="0"/>
      <w:marBottom w:val="0"/>
      <w:divBdr>
        <w:top w:val="none" w:sz="0" w:space="0" w:color="auto"/>
        <w:left w:val="none" w:sz="0" w:space="0" w:color="auto"/>
        <w:bottom w:val="none" w:sz="0" w:space="0" w:color="auto"/>
        <w:right w:val="none" w:sz="0" w:space="0" w:color="auto"/>
      </w:divBdr>
    </w:div>
    <w:div w:id="455832643">
      <w:bodyDiv w:val="1"/>
      <w:marLeft w:val="0"/>
      <w:marRight w:val="0"/>
      <w:marTop w:val="0"/>
      <w:marBottom w:val="0"/>
      <w:divBdr>
        <w:top w:val="none" w:sz="0" w:space="0" w:color="auto"/>
        <w:left w:val="none" w:sz="0" w:space="0" w:color="auto"/>
        <w:bottom w:val="none" w:sz="0" w:space="0" w:color="auto"/>
        <w:right w:val="none" w:sz="0" w:space="0" w:color="auto"/>
      </w:divBdr>
    </w:div>
    <w:div w:id="461770626">
      <w:bodyDiv w:val="1"/>
      <w:marLeft w:val="0"/>
      <w:marRight w:val="0"/>
      <w:marTop w:val="0"/>
      <w:marBottom w:val="0"/>
      <w:divBdr>
        <w:top w:val="none" w:sz="0" w:space="0" w:color="auto"/>
        <w:left w:val="none" w:sz="0" w:space="0" w:color="auto"/>
        <w:bottom w:val="none" w:sz="0" w:space="0" w:color="auto"/>
        <w:right w:val="none" w:sz="0" w:space="0" w:color="auto"/>
      </w:divBdr>
    </w:div>
    <w:div w:id="463428624">
      <w:bodyDiv w:val="1"/>
      <w:marLeft w:val="0"/>
      <w:marRight w:val="0"/>
      <w:marTop w:val="0"/>
      <w:marBottom w:val="0"/>
      <w:divBdr>
        <w:top w:val="none" w:sz="0" w:space="0" w:color="auto"/>
        <w:left w:val="none" w:sz="0" w:space="0" w:color="auto"/>
        <w:bottom w:val="none" w:sz="0" w:space="0" w:color="auto"/>
        <w:right w:val="none" w:sz="0" w:space="0" w:color="auto"/>
      </w:divBdr>
    </w:div>
    <w:div w:id="476534687">
      <w:bodyDiv w:val="1"/>
      <w:marLeft w:val="0"/>
      <w:marRight w:val="0"/>
      <w:marTop w:val="0"/>
      <w:marBottom w:val="0"/>
      <w:divBdr>
        <w:top w:val="none" w:sz="0" w:space="0" w:color="auto"/>
        <w:left w:val="none" w:sz="0" w:space="0" w:color="auto"/>
        <w:bottom w:val="none" w:sz="0" w:space="0" w:color="auto"/>
        <w:right w:val="none" w:sz="0" w:space="0" w:color="auto"/>
      </w:divBdr>
    </w:div>
    <w:div w:id="489447828">
      <w:bodyDiv w:val="1"/>
      <w:marLeft w:val="0"/>
      <w:marRight w:val="0"/>
      <w:marTop w:val="0"/>
      <w:marBottom w:val="0"/>
      <w:divBdr>
        <w:top w:val="none" w:sz="0" w:space="0" w:color="auto"/>
        <w:left w:val="none" w:sz="0" w:space="0" w:color="auto"/>
        <w:bottom w:val="none" w:sz="0" w:space="0" w:color="auto"/>
        <w:right w:val="none" w:sz="0" w:space="0" w:color="auto"/>
      </w:divBdr>
    </w:div>
    <w:div w:id="508641775">
      <w:bodyDiv w:val="1"/>
      <w:marLeft w:val="0"/>
      <w:marRight w:val="0"/>
      <w:marTop w:val="0"/>
      <w:marBottom w:val="0"/>
      <w:divBdr>
        <w:top w:val="none" w:sz="0" w:space="0" w:color="auto"/>
        <w:left w:val="none" w:sz="0" w:space="0" w:color="auto"/>
        <w:bottom w:val="none" w:sz="0" w:space="0" w:color="auto"/>
        <w:right w:val="none" w:sz="0" w:space="0" w:color="auto"/>
      </w:divBdr>
    </w:div>
    <w:div w:id="522136450">
      <w:bodyDiv w:val="1"/>
      <w:marLeft w:val="0"/>
      <w:marRight w:val="0"/>
      <w:marTop w:val="0"/>
      <w:marBottom w:val="0"/>
      <w:divBdr>
        <w:top w:val="none" w:sz="0" w:space="0" w:color="auto"/>
        <w:left w:val="none" w:sz="0" w:space="0" w:color="auto"/>
        <w:bottom w:val="none" w:sz="0" w:space="0" w:color="auto"/>
        <w:right w:val="none" w:sz="0" w:space="0" w:color="auto"/>
      </w:divBdr>
    </w:div>
    <w:div w:id="533344872">
      <w:bodyDiv w:val="1"/>
      <w:marLeft w:val="0"/>
      <w:marRight w:val="0"/>
      <w:marTop w:val="0"/>
      <w:marBottom w:val="0"/>
      <w:divBdr>
        <w:top w:val="none" w:sz="0" w:space="0" w:color="auto"/>
        <w:left w:val="none" w:sz="0" w:space="0" w:color="auto"/>
        <w:bottom w:val="none" w:sz="0" w:space="0" w:color="auto"/>
        <w:right w:val="none" w:sz="0" w:space="0" w:color="auto"/>
      </w:divBdr>
    </w:div>
    <w:div w:id="542015198">
      <w:bodyDiv w:val="1"/>
      <w:marLeft w:val="0"/>
      <w:marRight w:val="0"/>
      <w:marTop w:val="0"/>
      <w:marBottom w:val="0"/>
      <w:divBdr>
        <w:top w:val="none" w:sz="0" w:space="0" w:color="auto"/>
        <w:left w:val="none" w:sz="0" w:space="0" w:color="auto"/>
        <w:bottom w:val="none" w:sz="0" w:space="0" w:color="auto"/>
        <w:right w:val="none" w:sz="0" w:space="0" w:color="auto"/>
      </w:divBdr>
    </w:div>
    <w:div w:id="554856788">
      <w:bodyDiv w:val="1"/>
      <w:marLeft w:val="0"/>
      <w:marRight w:val="0"/>
      <w:marTop w:val="0"/>
      <w:marBottom w:val="0"/>
      <w:divBdr>
        <w:top w:val="none" w:sz="0" w:space="0" w:color="auto"/>
        <w:left w:val="none" w:sz="0" w:space="0" w:color="auto"/>
        <w:bottom w:val="none" w:sz="0" w:space="0" w:color="auto"/>
        <w:right w:val="none" w:sz="0" w:space="0" w:color="auto"/>
      </w:divBdr>
    </w:div>
    <w:div w:id="573853750">
      <w:bodyDiv w:val="1"/>
      <w:marLeft w:val="0"/>
      <w:marRight w:val="0"/>
      <w:marTop w:val="0"/>
      <w:marBottom w:val="0"/>
      <w:divBdr>
        <w:top w:val="none" w:sz="0" w:space="0" w:color="auto"/>
        <w:left w:val="none" w:sz="0" w:space="0" w:color="auto"/>
        <w:bottom w:val="none" w:sz="0" w:space="0" w:color="auto"/>
        <w:right w:val="none" w:sz="0" w:space="0" w:color="auto"/>
      </w:divBdr>
    </w:div>
    <w:div w:id="574706376">
      <w:bodyDiv w:val="1"/>
      <w:marLeft w:val="0"/>
      <w:marRight w:val="0"/>
      <w:marTop w:val="0"/>
      <w:marBottom w:val="0"/>
      <w:divBdr>
        <w:top w:val="none" w:sz="0" w:space="0" w:color="auto"/>
        <w:left w:val="none" w:sz="0" w:space="0" w:color="auto"/>
        <w:bottom w:val="none" w:sz="0" w:space="0" w:color="auto"/>
        <w:right w:val="none" w:sz="0" w:space="0" w:color="auto"/>
      </w:divBdr>
    </w:div>
    <w:div w:id="586234421">
      <w:bodyDiv w:val="1"/>
      <w:marLeft w:val="0"/>
      <w:marRight w:val="0"/>
      <w:marTop w:val="0"/>
      <w:marBottom w:val="0"/>
      <w:divBdr>
        <w:top w:val="none" w:sz="0" w:space="0" w:color="auto"/>
        <w:left w:val="none" w:sz="0" w:space="0" w:color="auto"/>
        <w:bottom w:val="none" w:sz="0" w:space="0" w:color="auto"/>
        <w:right w:val="none" w:sz="0" w:space="0" w:color="auto"/>
      </w:divBdr>
    </w:div>
    <w:div w:id="589311020">
      <w:bodyDiv w:val="1"/>
      <w:marLeft w:val="0"/>
      <w:marRight w:val="0"/>
      <w:marTop w:val="0"/>
      <w:marBottom w:val="0"/>
      <w:divBdr>
        <w:top w:val="none" w:sz="0" w:space="0" w:color="auto"/>
        <w:left w:val="none" w:sz="0" w:space="0" w:color="auto"/>
        <w:bottom w:val="none" w:sz="0" w:space="0" w:color="auto"/>
        <w:right w:val="none" w:sz="0" w:space="0" w:color="auto"/>
      </w:divBdr>
    </w:div>
    <w:div w:id="598030108">
      <w:bodyDiv w:val="1"/>
      <w:marLeft w:val="0"/>
      <w:marRight w:val="0"/>
      <w:marTop w:val="0"/>
      <w:marBottom w:val="0"/>
      <w:divBdr>
        <w:top w:val="none" w:sz="0" w:space="0" w:color="auto"/>
        <w:left w:val="none" w:sz="0" w:space="0" w:color="auto"/>
        <w:bottom w:val="none" w:sz="0" w:space="0" w:color="auto"/>
        <w:right w:val="none" w:sz="0" w:space="0" w:color="auto"/>
      </w:divBdr>
    </w:div>
    <w:div w:id="601030727">
      <w:bodyDiv w:val="1"/>
      <w:marLeft w:val="0"/>
      <w:marRight w:val="0"/>
      <w:marTop w:val="0"/>
      <w:marBottom w:val="0"/>
      <w:divBdr>
        <w:top w:val="none" w:sz="0" w:space="0" w:color="auto"/>
        <w:left w:val="none" w:sz="0" w:space="0" w:color="auto"/>
        <w:bottom w:val="none" w:sz="0" w:space="0" w:color="auto"/>
        <w:right w:val="none" w:sz="0" w:space="0" w:color="auto"/>
      </w:divBdr>
    </w:div>
    <w:div w:id="603923182">
      <w:bodyDiv w:val="1"/>
      <w:marLeft w:val="0"/>
      <w:marRight w:val="0"/>
      <w:marTop w:val="0"/>
      <w:marBottom w:val="0"/>
      <w:divBdr>
        <w:top w:val="none" w:sz="0" w:space="0" w:color="auto"/>
        <w:left w:val="none" w:sz="0" w:space="0" w:color="auto"/>
        <w:bottom w:val="none" w:sz="0" w:space="0" w:color="auto"/>
        <w:right w:val="none" w:sz="0" w:space="0" w:color="auto"/>
      </w:divBdr>
    </w:div>
    <w:div w:id="626395878">
      <w:bodyDiv w:val="1"/>
      <w:marLeft w:val="0"/>
      <w:marRight w:val="0"/>
      <w:marTop w:val="0"/>
      <w:marBottom w:val="0"/>
      <w:divBdr>
        <w:top w:val="none" w:sz="0" w:space="0" w:color="auto"/>
        <w:left w:val="none" w:sz="0" w:space="0" w:color="auto"/>
        <w:bottom w:val="none" w:sz="0" w:space="0" w:color="auto"/>
        <w:right w:val="none" w:sz="0" w:space="0" w:color="auto"/>
      </w:divBdr>
    </w:div>
    <w:div w:id="631405057">
      <w:bodyDiv w:val="1"/>
      <w:marLeft w:val="0"/>
      <w:marRight w:val="0"/>
      <w:marTop w:val="0"/>
      <w:marBottom w:val="0"/>
      <w:divBdr>
        <w:top w:val="none" w:sz="0" w:space="0" w:color="auto"/>
        <w:left w:val="none" w:sz="0" w:space="0" w:color="auto"/>
        <w:bottom w:val="none" w:sz="0" w:space="0" w:color="auto"/>
        <w:right w:val="none" w:sz="0" w:space="0" w:color="auto"/>
      </w:divBdr>
    </w:div>
    <w:div w:id="633371213">
      <w:bodyDiv w:val="1"/>
      <w:marLeft w:val="0"/>
      <w:marRight w:val="0"/>
      <w:marTop w:val="0"/>
      <w:marBottom w:val="0"/>
      <w:divBdr>
        <w:top w:val="none" w:sz="0" w:space="0" w:color="auto"/>
        <w:left w:val="none" w:sz="0" w:space="0" w:color="auto"/>
        <w:bottom w:val="none" w:sz="0" w:space="0" w:color="auto"/>
        <w:right w:val="none" w:sz="0" w:space="0" w:color="auto"/>
      </w:divBdr>
    </w:div>
    <w:div w:id="637996835">
      <w:bodyDiv w:val="1"/>
      <w:marLeft w:val="0"/>
      <w:marRight w:val="0"/>
      <w:marTop w:val="0"/>
      <w:marBottom w:val="0"/>
      <w:divBdr>
        <w:top w:val="none" w:sz="0" w:space="0" w:color="auto"/>
        <w:left w:val="none" w:sz="0" w:space="0" w:color="auto"/>
        <w:bottom w:val="none" w:sz="0" w:space="0" w:color="auto"/>
        <w:right w:val="none" w:sz="0" w:space="0" w:color="auto"/>
      </w:divBdr>
    </w:div>
    <w:div w:id="641809154">
      <w:bodyDiv w:val="1"/>
      <w:marLeft w:val="0"/>
      <w:marRight w:val="0"/>
      <w:marTop w:val="0"/>
      <w:marBottom w:val="0"/>
      <w:divBdr>
        <w:top w:val="none" w:sz="0" w:space="0" w:color="auto"/>
        <w:left w:val="none" w:sz="0" w:space="0" w:color="auto"/>
        <w:bottom w:val="none" w:sz="0" w:space="0" w:color="auto"/>
        <w:right w:val="none" w:sz="0" w:space="0" w:color="auto"/>
      </w:divBdr>
    </w:div>
    <w:div w:id="655766048">
      <w:bodyDiv w:val="1"/>
      <w:marLeft w:val="0"/>
      <w:marRight w:val="0"/>
      <w:marTop w:val="0"/>
      <w:marBottom w:val="0"/>
      <w:divBdr>
        <w:top w:val="none" w:sz="0" w:space="0" w:color="auto"/>
        <w:left w:val="none" w:sz="0" w:space="0" w:color="auto"/>
        <w:bottom w:val="none" w:sz="0" w:space="0" w:color="auto"/>
        <w:right w:val="none" w:sz="0" w:space="0" w:color="auto"/>
      </w:divBdr>
    </w:div>
    <w:div w:id="658845748">
      <w:bodyDiv w:val="1"/>
      <w:marLeft w:val="0"/>
      <w:marRight w:val="0"/>
      <w:marTop w:val="0"/>
      <w:marBottom w:val="0"/>
      <w:divBdr>
        <w:top w:val="none" w:sz="0" w:space="0" w:color="auto"/>
        <w:left w:val="none" w:sz="0" w:space="0" w:color="auto"/>
        <w:bottom w:val="none" w:sz="0" w:space="0" w:color="auto"/>
        <w:right w:val="none" w:sz="0" w:space="0" w:color="auto"/>
      </w:divBdr>
    </w:div>
    <w:div w:id="668094687">
      <w:bodyDiv w:val="1"/>
      <w:marLeft w:val="0"/>
      <w:marRight w:val="0"/>
      <w:marTop w:val="0"/>
      <w:marBottom w:val="0"/>
      <w:divBdr>
        <w:top w:val="none" w:sz="0" w:space="0" w:color="auto"/>
        <w:left w:val="none" w:sz="0" w:space="0" w:color="auto"/>
        <w:bottom w:val="none" w:sz="0" w:space="0" w:color="auto"/>
        <w:right w:val="none" w:sz="0" w:space="0" w:color="auto"/>
      </w:divBdr>
    </w:div>
    <w:div w:id="682165358">
      <w:bodyDiv w:val="1"/>
      <w:marLeft w:val="0"/>
      <w:marRight w:val="0"/>
      <w:marTop w:val="0"/>
      <w:marBottom w:val="0"/>
      <w:divBdr>
        <w:top w:val="none" w:sz="0" w:space="0" w:color="auto"/>
        <w:left w:val="none" w:sz="0" w:space="0" w:color="auto"/>
        <w:bottom w:val="none" w:sz="0" w:space="0" w:color="auto"/>
        <w:right w:val="none" w:sz="0" w:space="0" w:color="auto"/>
      </w:divBdr>
    </w:div>
    <w:div w:id="685599739">
      <w:bodyDiv w:val="1"/>
      <w:marLeft w:val="0"/>
      <w:marRight w:val="0"/>
      <w:marTop w:val="0"/>
      <w:marBottom w:val="0"/>
      <w:divBdr>
        <w:top w:val="none" w:sz="0" w:space="0" w:color="auto"/>
        <w:left w:val="none" w:sz="0" w:space="0" w:color="auto"/>
        <w:bottom w:val="none" w:sz="0" w:space="0" w:color="auto"/>
        <w:right w:val="none" w:sz="0" w:space="0" w:color="auto"/>
      </w:divBdr>
    </w:div>
    <w:div w:id="696545029">
      <w:bodyDiv w:val="1"/>
      <w:marLeft w:val="0"/>
      <w:marRight w:val="0"/>
      <w:marTop w:val="0"/>
      <w:marBottom w:val="0"/>
      <w:divBdr>
        <w:top w:val="none" w:sz="0" w:space="0" w:color="auto"/>
        <w:left w:val="none" w:sz="0" w:space="0" w:color="auto"/>
        <w:bottom w:val="none" w:sz="0" w:space="0" w:color="auto"/>
        <w:right w:val="none" w:sz="0" w:space="0" w:color="auto"/>
      </w:divBdr>
    </w:div>
    <w:div w:id="709065414">
      <w:bodyDiv w:val="1"/>
      <w:marLeft w:val="0"/>
      <w:marRight w:val="0"/>
      <w:marTop w:val="0"/>
      <w:marBottom w:val="0"/>
      <w:divBdr>
        <w:top w:val="none" w:sz="0" w:space="0" w:color="auto"/>
        <w:left w:val="none" w:sz="0" w:space="0" w:color="auto"/>
        <w:bottom w:val="none" w:sz="0" w:space="0" w:color="auto"/>
        <w:right w:val="none" w:sz="0" w:space="0" w:color="auto"/>
      </w:divBdr>
    </w:div>
    <w:div w:id="711609983">
      <w:bodyDiv w:val="1"/>
      <w:marLeft w:val="0"/>
      <w:marRight w:val="0"/>
      <w:marTop w:val="0"/>
      <w:marBottom w:val="0"/>
      <w:divBdr>
        <w:top w:val="none" w:sz="0" w:space="0" w:color="auto"/>
        <w:left w:val="none" w:sz="0" w:space="0" w:color="auto"/>
        <w:bottom w:val="none" w:sz="0" w:space="0" w:color="auto"/>
        <w:right w:val="none" w:sz="0" w:space="0" w:color="auto"/>
      </w:divBdr>
    </w:div>
    <w:div w:id="714281406">
      <w:bodyDiv w:val="1"/>
      <w:marLeft w:val="0"/>
      <w:marRight w:val="0"/>
      <w:marTop w:val="0"/>
      <w:marBottom w:val="0"/>
      <w:divBdr>
        <w:top w:val="none" w:sz="0" w:space="0" w:color="auto"/>
        <w:left w:val="none" w:sz="0" w:space="0" w:color="auto"/>
        <w:bottom w:val="none" w:sz="0" w:space="0" w:color="auto"/>
        <w:right w:val="none" w:sz="0" w:space="0" w:color="auto"/>
      </w:divBdr>
    </w:div>
    <w:div w:id="726954225">
      <w:bodyDiv w:val="1"/>
      <w:marLeft w:val="0"/>
      <w:marRight w:val="0"/>
      <w:marTop w:val="0"/>
      <w:marBottom w:val="0"/>
      <w:divBdr>
        <w:top w:val="none" w:sz="0" w:space="0" w:color="auto"/>
        <w:left w:val="none" w:sz="0" w:space="0" w:color="auto"/>
        <w:bottom w:val="none" w:sz="0" w:space="0" w:color="auto"/>
        <w:right w:val="none" w:sz="0" w:space="0" w:color="auto"/>
      </w:divBdr>
    </w:div>
    <w:div w:id="739518176">
      <w:bodyDiv w:val="1"/>
      <w:marLeft w:val="0"/>
      <w:marRight w:val="0"/>
      <w:marTop w:val="0"/>
      <w:marBottom w:val="0"/>
      <w:divBdr>
        <w:top w:val="none" w:sz="0" w:space="0" w:color="auto"/>
        <w:left w:val="none" w:sz="0" w:space="0" w:color="auto"/>
        <w:bottom w:val="none" w:sz="0" w:space="0" w:color="auto"/>
        <w:right w:val="none" w:sz="0" w:space="0" w:color="auto"/>
      </w:divBdr>
    </w:div>
    <w:div w:id="766922645">
      <w:bodyDiv w:val="1"/>
      <w:marLeft w:val="0"/>
      <w:marRight w:val="0"/>
      <w:marTop w:val="0"/>
      <w:marBottom w:val="0"/>
      <w:divBdr>
        <w:top w:val="none" w:sz="0" w:space="0" w:color="auto"/>
        <w:left w:val="none" w:sz="0" w:space="0" w:color="auto"/>
        <w:bottom w:val="none" w:sz="0" w:space="0" w:color="auto"/>
        <w:right w:val="none" w:sz="0" w:space="0" w:color="auto"/>
      </w:divBdr>
    </w:div>
    <w:div w:id="796723962">
      <w:bodyDiv w:val="1"/>
      <w:marLeft w:val="0"/>
      <w:marRight w:val="0"/>
      <w:marTop w:val="0"/>
      <w:marBottom w:val="0"/>
      <w:divBdr>
        <w:top w:val="none" w:sz="0" w:space="0" w:color="auto"/>
        <w:left w:val="none" w:sz="0" w:space="0" w:color="auto"/>
        <w:bottom w:val="none" w:sz="0" w:space="0" w:color="auto"/>
        <w:right w:val="none" w:sz="0" w:space="0" w:color="auto"/>
      </w:divBdr>
    </w:div>
    <w:div w:id="825318559">
      <w:bodyDiv w:val="1"/>
      <w:marLeft w:val="0"/>
      <w:marRight w:val="0"/>
      <w:marTop w:val="0"/>
      <w:marBottom w:val="0"/>
      <w:divBdr>
        <w:top w:val="none" w:sz="0" w:space="0" w:color="auto"/>
        <w:left w:val="none" w:sz="0" w:space="0" w:color="auto"/>
        <w:bottom w:val="none" w:sz="0" w:space="0" w:color="auto"/>
        <w:right w:val="none" w:sz="0" w:space="0" w:color="auto"/>
      </w:divBdr>
    </w:div>
    <w:div w:id="828057492">
      <w:bodyDiv w:val="1"/>
      <w:marLeft w:val="0"/>
      <w:marRight w:val="0"/>
      <w:marTop w:val="0"/>
      <w:marBottom w:val="0"/>
      <w:divBdr>
        <w:top w:val="none" w:sz="0" w:space="0" w:color="auto"/>
        <w:left w:val="none" w:sz="0" w:space="0" w:color="auto"/>
        <w:bottom w:val="none" w:sz="0" w:space="0" w:color="auto"/>
        <w:right w:val="none" w:sz="0" w:space="0" w:color="auto"/>
      </w:divBdr>
    </w:div>
    <w:div w:id="837622559">
      <w:bodyDiv w:val="1"/>
      <w:marLeft w:val="0"/>
      <w:marRight w:val="0"/>
      <w:marTop w:val="0"/>
      <w:marBottom w:val="0"/>
      <w:divBdr>
        <w:top w:val="none" w:sz="0" w:space="0" w:color="auto"/>
        <w:left w:val="none" w:sz="0" w:space="0" w:color="auto"/>
        <w:bottom w:val="none" w:sz="0" w:space="0" w:color="auto"/>
        <w:right w:val="none" w:sz="0" w:space="0" w:color="auto"/>
      </w:divBdr>
    </w:div>
    <w:div w:id="842664657">
      <w:bodyDiv w:val="1"/>
      <w:marLeft w:val="0"/>
      <w:marRight w:val="0"/>
      <w:marTop w:val="0"/>
      <w:marBottom w:val="0"/>
      <w:divBdr>
        <w:top w:val="none" w:sz="0" w:space="0" w:color="auto"/>
        <w:left w:val="none" w:sz="0" w:space="0" w:color="auto"/>
        <w:bottom w:val="none" w:sz="0" w:space="0" w:color="auto"/>
        <w:right w:val="none" w:sz="0" w:space="0" w:color="auto"/>
      </w:divBdr>
    </w:div>
    <w:div w:id="843396223">
      <w:bodyDiv w:val="1"/>
      <w:marLeft w:val="0"/>
      <w:marRight w:val="0"/>
      <w:marTop w:val="0"/>
      <w:marBottom w:val="0"/>
      <w:divBdr>
        <w:top w:val="none" w:sz="0" w:space="0" w:color="auto"/>
        <w:left w:val="none" w:sz="0" w:space="0" w:color="auto"/>
        <w:bottom w:val="none" w:sz="0" w:space="0" w:color="auto"/>
        <w:right w:val="none" w:sz="0" w:space="0" w:color="auto"/>
      </w:divBdr>
    </w:div>
    <w:div w:id="849221876">
      <w:bodyDiv w:val="1"/>
      <w:marLeft w:val="0"/>
      <w:marRight w:val="0"/>
      <w:marTop w:val="0"/>
      <w:marBottom w:val="0"/>
      <w:divBdr>
        <w:top w:val="none" w:sz="0" w:space="0" w:color="auto"/>
        <w:left w:val="none" w:sz="0" w:space="0" w:color="auto"/>
        <w:bottom w:val="none" w:sz="0" w:space="0" w:color="auto"/>
        <w:right w:val="none" w:sz="0" w:space="0" w:color="auto"/>
      </w:divBdr>
    </w:div>
    <w:div w:id="853151696">
      <w:bodyDiv w:val="1"/>
      <w:marLeft w:val="0"/>
      <w:marRight w:val="0"/>
      <w:marTop w:val="0"/>
      <w:marBottom w:val="0"/>
      <w:divBdr>
        <w:top w:val="none" w:sz="0" w:space="0" w:color="auto"/>
        <w:left w:val="none" w:sz="0" w:space="0" w:color="auto"/>
        <w:bottom w:val="none" w:sz="0" w:space="0" w:color="auto"/>
        <w:right w:val="none" w:sz="0" w:space="0" w:color="auto"/>
      </w:divBdr>
    </w:div>
    <w:div w:id="853226283">
      <w:bodyDiv w:val="1"/>
      <w:marLeft w:val="0"/>
      <w:marRight w:val="0"/>
      <w:marTop w:val="0"/>
      <w:marBottom w:val="0"/>
      <w:divBdr>
        <w:top w:val="none" w:sz="0" w:space="0" w:color="auto"/>
        <w:left w:val="none" w:sz="0" w:space="0" w:color="auto"/>
        <w:bottom w:val="none" w:sz="0" w:space="0" w:color="auto"/>
        <w:right w:val="none" w:sz="0" w:space="0" w:color="auto"/>
      </w:divBdr>
    </w:div>
    <w:div w:id="855997972">
      <w:bodyDiv w:val="1"/>
      <w:marLeft w:val="0"/>
      <w:marRight w:val="0"/>
      <w:marTop w:val="0"/>
      <w:marBottom w:val="0"/>
      <w:divBdr>
        <w:top w:val="none" w:sz="0" w:space="0" w:color="auto"/>
        <w:left w:val="none" w:sz="0" w:space="0" w:color="auto"/>
        <w:bottom w:val="none" w:sz="0" w:space="0" w:color="auto"/>
        <w:right w:val="none" w:sz="0" w:space="0" w:color="auto"/>
      </w:divBdr>
    </w:div>
    <w:div w:id="870335749">
      <w:bodyDiv w:val="1"/>
      <w:marLeft w:val="0"/>
      <w:marRight w:val="0"/>
      <w:marTop w:val="0"/>
      <w:marBottom w:val="0"/>
      <w:divBdr>
        <w:top w:val="none" w:sz="0" w:space="0" w:color="auto"/>
        <w:left w:val="none" w:sz="0" w:space="0" w:color="auto"/>
        <w:bottom w:val="none" w:sz="0" w:space="0" w:color="auto"/>
        <w:right w:val="none" w:sz="0" w:space="0" w:color="auto"/>
      </w:divBdr>
    </w:div>
    <w:div w:id="880629056">
      <w:bodyDiv w:val="1"/>
      <w:marLeft w:val="0"/>
      <w:marRight w:val="0"/>
      <w:marTop w:val="0"/>
      <w:marBottom w:val="0"/>
      <w:divBdr>
        <w:top w:val="none" w:sz="0" w:space="0" w:color="auto"/>
        <w:left w:val="none" w:sz="0" w:space="0" w:color="auto"/>
        <w:bottom w:val="none" w:sz="0" w:space="0" w:color="auto"/>
        <w:right w:val="none" w:sz="0" w:space="0" w:color="auto"/>
      </w:divBdr>
    </w:div>
    <w:div w:id="891888108">
      <w:bodyDiv w:val="1"/>
      <w:marLeft w:val="0"/>
      <w:marRight w:val="0"/>
      <w:marTop w:val="0"/>
      <w:marBottom w:val="0"/>
      <w:divBdr>
        <w:top w:val="none" w:sz="0" w:space="0" w:color="auto"/>
        <w:left w:val="none" w:sz="0" w:space="0" w:color="auto"/>
        <w:bottom w:val="none" w:sz="0" w:space="0" w:color="auto"/>
        <w:right w:val="none" w:sz="0" w:space="0" w:color="auto"/>
      </w:divBdr>
    </w:div>
    <w:div w:id="931476839">
      <w:bodyDiv w:val="1"/>
      <w:marLeft w:val="0"/>
      <w:marRight w:val="0"/>
      <w:marTop w:val="0"/>
      <w:marBottom w:val="0"/>
      <w:divBdr>
        <w:top w:val="none" w:sz="0" w:space="0" w:color="auto"/>
        <w:left w:val="none" w:sz="0" w:space="0" w:color="auto"/>
        <w:bottom w:val="none" w:sz="0" w:space="0" w:color="auto"/>
        <w:right w:val="none" w:sz="0" w:space="0" w:color="auto"/>
      </w:divBdr>
    </w:div>
    <w:div w:id="934022358">
      <w:bodyDiv w:val="1"/>
      <w:marLeft w:val="0"/>
      <w:marRight w:val="0"/>
      <w:marTop w:val="0"/>
      <w:marBottom w:val="0"/>
      <w:divBdr>
        <w:top w:val="none" w:sz="0" w:space="0" w:color="auto"/>
        <w:left w:val="none" w:sz="0" w:space="0" w:color="auto"/>
        <w:bottom w:val="none" w:sz="0" w:space="0" w:color="auto"/>
        <w:right w:val="none" w:sz="0" w:space="0" w:color="auto"/>
      </w:divBdr>
    </w:div>
    <w:div w:id="937982086">
      <w:bodyDiv w:val="1"/>
      <w:marLeft w:val="0"/>
      <w:marRight w:val="0"/>
      <w:marTop w:val="0"/>
      <w:marBottom w:val="0"/>
      <w:divBdr>
        <w:top w:val="none" w:sz="0" w:space="0" w:color="auto"/>
        <w:left w:val="none" w:sz="0" w:space="0" w:color="auto"/>
        <w:bottom w:val="none" w:sz="0" w:space="0" w:color="auto"/>
        <w:right w:val="none" w:sz="0" w:space="0" w:color="auto"/>
      </w:divBdr>
    </w:div>
    <w:div w:id="939948872">
      <w:bodyDiv w:val="1"/>
      <w:marLeft w:val="0"/>
      <w:marRight w:val="0"/>
      <w:marTop w:val="0"/>
      <w:marBottom w:val="0"/>
      <w:divBdr>
        <w:top w:val="none" w:sz="0" w:space="0" w:color="auto"/>
        <w:left w:val="none" w:sz="0" w:space="0" w:color="auto"/>
        <w:bottom w:val="none" w:sz="0" w:space="0" w:color="auto"/>
        <w:right w:val="none" w:sz="0" w:space="0" w:color="auto"/>
      </w:divBdr>
    </w:div>
    <w:div w:id="941885092">
      <w:bodyDiv w:val="1"/>
      <w:marLeft w:val="0"/>
      <w:marRight w:val="0"/>
      <w:marTop w:val="0"/>
      <w:marBottom w:val="0"/>
      <w:divBdr>
        <w:top w:val="none" w:sz="0" w:space="0" w:color="auto"/>
        <w:left w:val="none" w:sz="0" w:space="0" w:color="auto"/>
        <w:bottom w:val="none" w:sz="0" w:space="0" w:color="auto"/>
        <w:right w:val="none" w:sz="0" w:space="0" w:color="auto"/>
      </w:divBdr>
    </w:div>
    <w:div w:id="969363277">
      <w:bodyDiv w:val="1"/>
      <w:marLeft w:val="0"/>
      <w:marRight w:val="0"/>
      <w:marTop w:val="0"/>
      <w:marBottom w:val="0"/>
      <w:divBdr>
        <w:top w:val="none" w:sz="0" w:space="0" w:color="auto"/>
        <w:left w:val="none" w:sz="0" w:space="0" w:color="auto"/>
        <w:bottom w:val="none" w:sz="0" w:space="0" w:color="auto"/>
        <w:right w:val="none" w:sz="0" w:space="0" w:color="auto"/>
      </w:divBdr>
    </w:div>
    <w:div w:id="983392764">
      <w:bodyDiv w:val="1"/>
      <w:marLeft w:val="0"/>
      <w:marRight w:val="0"/>
      <w:marTop w:val="0"/>
      <w:marBottom w:val="0"/>
      <w:divBdr>
        <w:top w:val="none" w:sz="0" w:space="0" w:color="auto"/>
        <w:left w:val="none" w:sz="0" w:space="0" w:color="auto"/>
        <w:bottom w:val="none" w:sz="0" w:space="0" w:color="auto"/>
        <w:right w:val="none" w:sz="0" w:space="0" w:color="auto"/>
      </w:divBdr>
    </w:div>
    <w:div w:id="988708022">
      <w:bodyDiv w:val="1"/>
      <w:marLeft w:val="0"/>
      <w:marRight w:val="0"/>
      <w:marTop w:val="0"/>
      <w:marBottom w:val="0"/>
      <w:divBdr>
        <w:top w:val="none" w:sz="0" w:space="0" w:color="auto"/>
        <w:left w:val="none" w:sz="0" w:space="0" w:color="auto"/>
        <w:bottom w:val="none" w:sz="0" w:space="0" w:color="auto"/>
        <w:right w:val="none" w:sz="0" w:space="0" w:color="auto"/>
      </w:divBdr>
    </w:div>
    <w:div w:id="988947833">
      <w:bodyDiv w:val="1"/>
      <w:marLeft w:val="0"/>
      <w:marRight w:val="0"/>
      <w:marTop w:val="0"/>
      <w:marBottom w:val="0"/>
      <w:divBdr>
        <w:top w:val="none" w:sz="0" w:space="0" w:color="auto"/>
        <w:left w:val="none" w:sz="0" w:space="0" w:color="auto"/>
        <w:bottom w:val="none" w:sz="0" w:space="0" w:color="auto"/>
        <w:right w:val="none" w:sz="0" w:space="0" w:color="auto"/>
      </w:divBdr>
    </w:div>
    <w:div w:id="989600475">
      <w:bodyDiv w:val="1"/>
      <w:marLeft w:val="0"/>
      <w:marRight w:val="0"/>
      <w:marTop w:val="0"/>
      <w:marBottom w:val="0"/>
      <w:divBdr>
        <w:top w:val="none" w:sz="0" w:space="0" w:color="auto"/>
        <w:left w:val="none" w:sz="0" w:space="0" w:color="auto"/>
        <w:bottom w:val="none" w:sz="0" w:space="0" w:color="auto"/>
        <w:right w:val="none" w:sz="0" w:space="0" w:color="auto"/>
      </w:divBdr>
    </w:div>
    <w:div w:id="998847620">
      <w:bodyDiv w:val="1"/>
      <w:marLeft w:val="0"/>
      <w:marRight w:val="0"/>
      <w:marTop w:val="0"/>
      <w:marBottom w:val="0"/>
      <w:divBdr>
        <w:top w:val="none" w:sz="0" w:space="0" w:color="auto"/>
        <w:left w:val="none" w:sz="0" w:space="0" w:color="auto"/>
        <w:bottom w:val="none" w:sz="0" w:space="0" w:color="auto"/>
        <w:right w:val="none" w:sz="0" w:space="0" w:color="auto"/>
      </w:divBdr>
    </w:div>
    <w:div w:id="1009412764">
      <w:bodyDiv w:val="1"/>
      <w:marLeft w:val="0"/>
      <w:marRight w:val="0"/>
      <w:marTop w:val="0"/>
      <w:marBottom w:val="0"/>
      <w:divBdr>
        <w:top w:val="none" w:sz="0" w:space="0" w:color="auto"/>
        <w:left w:val="none" w:sz="0" w:space="0" w:color="auto"/>
        <w:bottom w:val="none" w:sz="0" w:space="0" w:color="auto"/>
        <w:right w:val="none" w:sz="0" w:space="0" w:color="auto"/>
      </w:divBdr>
    </w:div>
    <w:div w:id="1027490595">
      <w:bodyDiv w:val="1"/>
      <w:marLeft w:val="0"/>
      <w:marRight w:val="0"/>
      <w:marTop w:val="0"/>
      <w:marBottom w:val="0"/>
      <w:divBdr>
        <w:top w:val="none" w:sz="0" w:space="0" w:color="auto"/>
        <w:left w:val="none" w:sz="0" w:space="0" w:color="auto"/>
        <w:bottom w:val="none" w:sz="0" w:space="0" w:color="auto"/>
        <w:right w:val="none" w:sz="0" w:space="0" w:color="auto"/>
      </w:divBdr>
    </w:div>
    <w:div w:id="1045134697">
      <w:bodyDiv w:val="1"/>
      <w:marLeft w:val="0"/>
      <w:marRight w:val="0"/>
      <w:marTop w:val="0"/>
      <w:marBottom w:val="0"/>
      <w:divBdr>
        <w:top w:val="none" w:sz="0" w:space="0" w:color="auto"/>
        <w:left w:val="none" w:sz="0" w:space="0" w:color="auto"/>
        <w:bottom w:val="none" w:sz="0" w:space="0" w:color="auto"/>
        <w:right w:val="none" w:sz="0" w:space="0" w:color="auto"/>
      </w:divBdr>
    </w:div>
    <w:div w:id="1058287689">
      <w:bodyDiv w:val="1"/>
      <w:marLeft w:val="0"/>
      <w:marRight w:val="0"/>
      <w:marTop w:val="0"/>
      <w:marBottom w:val="0"/>
      <w:divBdr>
        <w:top w:val="none" w:sz="0" w:space="0" w:color="auto"/>
        <w:left w:val="none" w:sz="0" w:space="0" w:color="auto"/>
        <w:bottom w:val="none" w:sz="0" w:space="0" w:color="auto"/>
        <w:right w:val="none" w:sz="0" w:space="0" w:color="auto"/>
      </w:divBdr>
    </w:div>
    <w:div w:id="1058361929">
      <w:bodyDiv w:val="1"/>
      <w:marLeft w:val="0"/>
      <w:marRight w:val="0"/>
      <w:marTop w:val="0"/>
      <w:marBottom w:val="0"/>
      <w:divBdr>
        <w:top w:val="none" w:sz="0" w:space="0" w:color="auto"/>
        <w:left w:val="none" w:sz="0" w:space="0" w:color="auto"/>
        <w:bottom w:val="none" w:sz="0" w:space="0" w:color="auto"/>
        <w:right w:val="none" w:sz="0" w:space="0" w:color="auto"/>
      </w:divBdr>
    </w:div>
    <w:div w:id="1059784166">
      <w:bodyDiv w:val="1"/>
      <w:marLeft w:val="0"/>
      <w:marRight w:val="0"/>
      <w:marTop w:val="0"/>
      <w:marBottom w:val="0"/>
      <w:divBdr>
        <w:top w:val="none" w:sz="0" w:space="0" w:color="auto"/>
        <w:left w:val="none" w:sz="0" w:space="0" w:color="auto"/>
        <w:bottom w:val="none" w:sz="0" w:space="0" w:color="auto"/>
        <w:right w:val="none" w:sz="0" w:space="0" w:color="auto"/>
      </w:divBdr>
    </w:div>
    <w:div w:id="1061564608">
      <w:bodyDiv w:val="1"/>
      <w:marLeft w:val="0"/>
      <w:marRight w:val="0"/>
      <w:marTop w:val="0"/>
      <w:marBottom w:val="0"/>
      <w:divBdr>
        <w:top w:val="none" w:sz="0" w:space="0" w:color="auto"/>
        <w:left w:val="none" w:sz="0" w:space="0" w:color="auto"/>
        <w:bottom w:val="none" w:sz="0" w:space="0" w:color="auto"/>
        <w:right w:val="none" w:sz="0" w:space="0" w:color="auto"/>
      </w:divBdr>
    </w:div>
    <w:div w:id="1071269146">
      <w:bodyDiv w:val="1"/>
      <w:marLeft w:val="0"/>
      <w:marRight w:val="0"/>
      <w:marTop w:val="0"/>
      <w:marBottom w:val="0"/>
      <w:divBdr>
        <w:top w:val="none" w:sz="0" w:space="0" w:color="auto"/>
        <w:left w:val="none" w:sz="0" w:space="0" w:color="auto"/>
        <w:bottom w:val="none" w:sz="0" w:space="0" w:color="auto"/>
        <w:right w:val="none" w:sz="0" w:space="0" w:color="auto"/>
      </w:divBdr>
    </w:div>
    <w:div w:id="1081563922">
      <w:bodyDiv w:val="1"/>
      <w:marLeft w:val="0"/>
      <w:marRight w:val="0"/>
      <w:marTop w:val="0"/>
      <w:marBottom w:val="0"/>
      <w:divBdr>
        <w:top w:val="none" w:sz="0" w:space="0" w:color="auto"/>
        <w:left w:val="none" w:sz="0" w:space="0" w:color="auto"/>
        <w:bottom w:val="none" w:sz="0" w:space="0" w:color="auto"/>
        <w:right w:val="none" w:sz="0" w:space="0" w:color="auto"/>
      </w:divBdr>
    </w:div>
    <w:div w:id="1083725152">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
    <w:div w:id="1122723629">
      <w:bodyDiv w:val="1"/>
      <w:marLeft w:val="0"/>
      <w:marRight w:val="0"/>
      <w:marTop w:val="0"/>
      <w:marBottom w:val="0"/>
      <w:divBdr>
        <w:top w:val="none" w:sz="0" w:space="0" w:color="auto"/>
        <w:left w:val="none" w:sz="0" w:space="0" w:color="auto"/>
        <w:bottom w:val="none" w:sz="0" w:space="0" w:color="auto"/>
        <w:right w:val="none" w:sz="0" w:space="0" w:color="auto"/>
      </w:divBdr>
    </w:div>
    <w:div w:id="1141845259">
      <w:bodyDiv w:val="1"/>
      <w:marLeft w:val="0"/>
      <w:marRight w:val="0"/>
      <w:marTop w:val="0"/>
      <w:marBottom w:val="0"/>
      <w:divBdr>
        <w:top w:val="none" w:sz="0" w:space="0" w:color="auto"/>
        <w:left w:val="none" w:sz="0" w:space="0" w:color="auto"/>
        <w:bottom w:val="none" w:sz="0" w:space="0" w:color="auto"/>
        <w:right w:val="none" w:sz="0" w:space="0" w:color="auto"/>
      </w:divBdr>
    </w:div>
    <w:div w:id="1150291025">
      <w:bodyDiv w:val="1"/>
      <w:marLeft w:val="0"/>
      <w:marRight w:val="0"/>
      <w:marTop w:val="0"/>
      <w:marBottom w:val="0"/>
      <w:divBdr>
        <w:top w:val="none" w:sz="0" w:space="0" w:color="auto"/>
        <w:left w:val="none" w:sz="0" w:space="0" w:color="auto"/>
        <w:bottom w:val="none" w:sz="0" w:space="0" w:color="auto"/>
        <w:right w:val="none" w:sz="0" w:space="0" w:color="auto"/>
      </w:divBdr>
    </w:div>
    <w:div w:id="1155993243">
      <w:bodyDiv w:val="1"/>
      <w:marLeft w:val="0"/>
      <w:marRight w:val="0"/>
      <w:marTop w:val="0"/>
      <w:marBottom w:val="0"/>
      <w:divBdr>
        <w:top w:val="none" w:sz="0" w:space="0" w:color="auto"/>
        <w:left w:val="none" w:sz="0" w:space="0" w:color="auto"/>
        <w:bottom w:val="none" w:sz="0" w:space="0" w:color="auto"/>
        <w:right w:val="none" w:sz="0" w:space="0" w:color="auto"/>
      </w:divBdr>
    </w:div>
    <w:div w:id="1159150880">
      <w:bodyDiv w:val="1"/>
      <w:marLeft w:val="0"/>
      <w:marRight w:val="0"/>
      <w:marTop w:val="0"/>
      <w:marBottom w:val="0"/>
      <w:divBdr>
        <w:top w:val="none" w:sz="0" w:space="0" w:color="auto"/>
        <w:left w:val="none" w:sz="0" w:space="0" w:color="auto"/>
        <w:bottom w:val="none" w:sz="0" w:space="0" w:color="auto"/>
        <w:right w:val="none" w:sz="0" w:space="0" w:color="auto"/>
      </w:divBdr>
    </w:div>
    <w:div w:id="1160852960">
      <w:bodyDiv w:val="1"/>
      <w:marLeft w:val="0"/>
      <w:marRight w:val="0"/>
      <w:marTop w:val="0"/>
      <w:marBottom w:val="0"/>
      <w:divBdr>
        <w:top w:val="none" w:sz="0" w:space="0" w:color="auto"/>
        <w:left w:val="none" w:sz="0" w:space="0" w:color="auto"/>
        <w:bottom w:val="none" w:sz="0" w:space="0" w:color="auto"/>
        <w:right w:val="none" w:sz="0" w:space="0" w:color="auto"/>
      </w:divBdr>
    </w:div>
    <w:div w:id="1162159746">
      <w:bodyDiv w:val="1"/>
      <w:marLeft w:val="0"/>
      <w:marRight w:val="0"/>
      <w:marTop w:val="0"/>
      <w:marBottom w:val="0"/>
      <w:divBdr>
        <w:top w:val="none" w:sz="0" w:space="0" w:color="auto"/>
        <w:left w:val="none" w:sz="0" w:space="0" w:color="auto"/>
        <w:bottom w:val="none" w:sz="0" w:space="0" w:color="auto"/>
        <w:right w:val="none" w:sz="0" w:space="0" w:color="auto"/>
      </w:divBdr>
    </w:div>
    <w:div w:id="1177814008">
      <w:bodyDiv w:val="1"/>
      <w:marLeft w:val="0"/>
      <w:marRight w:val="0"/>
      <w:marTop w:val="0"/>
      <w:marBottom w:val="0"/>
      <w:divBdr>
        <w:top w:val="none" w:sz="0" w:space="0" w:color="auto"/>
        <w:left w:val="none" w:sz="0" w:space="0" w:color="auto"/>
        <w:bottom w:val="none" w:sz="0" w:space="0" w:color="auto"/>
        <w:right w:val="none" w:sz="0" w:space="0" w:color="auto"/>
      </w:divBdr>
    </w:div>
    <w:div w:id="1182623578">
      <w:bodyDiv w:val="1"/>
      <w:marLeft w:val="0"/>
      <w:marRight w:val="0"/>
      <w:marTop w:val="0"/>
      <w:marBottom w:val="0"/>
      <w:divBdr>
        <w:top w:val="none" w:sz="0" w:space="0" w:color="auto"/>
        <w:left w:val="none" w:sz="0" w:space="0" w:color="auto"/>
        <w:bottom w:val="none" w:sz="0" w:space="0" w:color="auto"/>
        <w:right w:val="none" w:sz="0" w:space="0" w:color="auto"/>
      </w:divBdr>
    </w:div>
    <w:div w:id="1208177969">
      <w:bodyDiv w:val="1"/>
      <w:marLeft w:val="0"/>
      <w:marRight w:val="0"/>
      <w:marTop w:val="0"/>
      <w:marBottom w:val="0"/>
      <w:divBdr>
        <w:top w:val="none" w:sz="0" w:space="0" w:color="auto"/>
        <w:left w:val="none" w:sz="0" w:space="0" w:color="auto"/>
        <w:bottom w:val="none" w:sz="0" w:space="0" w:color="auto"/>
        <w:right w:val="none" w:sz="0" w:space="0" w:color="auto"/>
      </w:divBdr>
    </w:div>
    <w:div w:id="1210266115">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711700">
      <w:bodyDiv w:val="1"/>
      <w:marLeft w:val="0"/>
      <w:marRight w:val="0"/>
      <w:marTop w:val="0"/>
      <w:marBottom w:val="0"/>
      <w:divBdr>
        <w:top w:val="none" w:sz="0" w:space="0" w:color="auto"/>
        <w:left w:val="none" w:sz="0" w:space="0" w:color="auto"/>
        <w:bottom w:val="none" w:sz="0" w:space="0" w:color="auto"/>
        <w:right w:val="none" w:sz="0" w:space="0" w:color="auto"/>
      </w:divBdr>
    </w:div>
    <w:div w:id="1223130623">
      <w:bodyDiv w:val="1"/>
      <w:marLeft w:val="0"/>
      <w:marRight w:val="0"/>
      <w:marTop w:val="0"/>
      <w:marBottom w:val="0"/>
      <w:divBdr>
        <w:top w:val="none" w:sz="0" w:space="0" w:color="auto"/>
        <w:left w:val="none" w:sz="0" w:space="0" w:color="auto"/>
        <w:bottom w:val="none" w:sz="0" w:space="0" w:color="auto"/>
        <w:right w:val="none" w:sz="0" w:space="0" w:color="auto"/>
      </w:divBdr>
    </w:div>
    <w:div w:id="1229538495">
      <w:bodyDiv w:val="1"/>
      <w:marLeft w:val="0"/>
      <w:marRight w:val="0"/>
      <w:marTop w:val="0"/>
      <w:marBottom w:val="0"/>
      <w:divBdr>
        <w:top w:val="none" w:sz="0" w:space="0" w:color="auto"/>
        <w:left w:val="none" w:sz="0" w:space="0" w:color="auto"/>
        <w:bottom w:val="none" w:sz="0" w:space="0" w:color="auto"/>
        <w:right w:val="none" w:sz="0" w:space="0" w:color="auto"/>
      </w:divBdr>
    </w:div>
    <w:div w:id="1265377949">
      <w:bodyDiv w:val="1"/>
      <w:marLeft w:val="0"/>
      <w:marRight w:val="0"/>
      <w:marTop w:val="0"/>
      <w:marBottom w:val="0"/>
      <w:divBdr>
        <w:top w:val="none" w:sz="0" w:space="0" w:color="auto"/>
        <w:left w:val="none" w:sz="0" w:space="0" w:color="auto"/>
        <w:bottom w:val="none" w:sz="0" w:space="0" w:color="auto"/>
        <w:right w:val="none" w:sz="0" w:space="0" w:color="auto"/>
      </w:divBdr>
    </w:div>
    <w:div w:id="1279411914">
      <w:bodyDiv w:val="1"/>
      <w:marLeft w:val="0"/>
      <w:marRight w:val="0"/>
      <w:marTop w:val="0"/>
      <w:marBottom w:val="0"/>
      <w:divBdr>
        <w:top w:val="none" w:sz="0" w:space="0" w:color="auto"/>
        <w:left w:val="none" w:sz="0" w:space="0" w:color="auto"/>
        <w:bottom w:val="none" w:sz="0" w:space="0" w:color="auto"/>
        <w:right w:val="none" w:sz="0" w:space="0" w:color="auto"/>
      </w:divBdr>
    </w:div>
    <w:div w:id="1284309558">
      <w:bodyDiv w:val="1"/>
      <w:marLeft w:val="0"/>
      <w:marRight w:val="0"/>
      <w:marTop w:val="0"/>
      <w:marBottom w:val="0"/>
      <w:divBdr>
        <w:top w:val="none" w:sz="0" w:space="0" w:color="auto"/>
        <w:left w:val="none" w:sz="0" w:space="0" w:color="auto"/>
        <w:bottom w:val="none" w:sz="0" w:space="0" w:color="auto"/>
        <w:right w:val="none" w:sz="0" w:space="0" w:color="auto"/>
      </w:divBdr>
    </w:div>
    <w:div w:id="1284311324">
      <w:bodyDiv w:val="1"/>
      <w:marLeft w:val="0"/>
      <w:marRight w:val="0"/>
      <w:marTop w:val="0"/>
      <w:marBottom w:val="0"/>
      <w:divBdr>
        <w:top w:val="none" w:sz="0" w:space="0" w:color="auto"/>
        <w:left w:val="none" w:sz="0" w:space="0" w:color="auto"/>
        <w:bottom w:val="none" w:sz="0" w:space="0" w:color="auto"/>
        <w:right w:val="none" w:sz="0" w:space="0" w:color="auto"/>
      </w:divBdr>
    </w:div>
    <w:div w:id="1303080647">
      <w:bodyDiv w:val="1"/>
      <w:marLeft w:val="0"/>
      <w:marRight w:val="0"/>
      <w:marTop w:val="0"/>
      <w:marBottom w:val="0"/>
      <w:divBdr>
        <w:top w:val="none" w:sz="0" w:space="0" w:color="auto"/>
        <w:left w:val="none" w:sz="0" w:space="0" w:color="auto"/>
        <w:bottom w:val="none" w:sz="0" w:space="0" w:color="auto"/>
        <w:right w:val="none" w:sz="0" w:space="0" w:color="auto"/>
      </w:divBdr>
    </w:div>
    <w:div w:id="1313633410">
      <w:bodyDiv w:val="1"/>
      <w:marLeft w:val="0"/>
      <w:marRight w:val="0"/>
      <w:marTop w:val="0"/>
      <w:marBottom w:val="0"/>
      <w:divBdr>
        <w:top w:val="none" w:sz="0" w:space="0" w:color="auto"/>
        <w:left w:val="none" w:sz="0" w:space="0" w:color="auto"/>
        <w:bottom w:val="none" w:sz="0" w:space="0" w:color="auto"/>
        <w:right w:val="none" w:sz="0" w:space="0" w:color="auto"/>
      </w:divBdr>
    </w:div>
    <w:div w:id="1322194807">
      <w:bodyDiv w:val="1"/>
      <w:marLeft w:val="0"/>
      <w:marRight w:val="0"/>
      <w:marTop w:val="0"/>
      <w:marBottom w:val="0"/>
      <w:divBdr>
        <w:top w:val="none" w:sz="0" w:space="0" w:color="auto"/>
        <w:left w:val="none" w:sz="0" w:space="0" w:color="auto"/>
        <w:bottom w:val="none" w:sz="0" w:space="0" w:color="auto"/>
        <w:right w:val="none" w:sz="0" w:space="0" w:color="auto"/>
      </w:divBdr>
    </w:div>
    <w:div w:id="1329164567">
      <w:bodyDiv w:val="1"/>
      <w:marLeft w:val="0"/>
      <w:marRight w:val="0"/>
      <w:marTop w:val="0"/>
      <w:marBottom w:val="0"/>
      <w:divBdr>
        <w:top w:val="none" w:sz="0" w:space="0" w:color="auto"/>
        <w:left w:val="none" w:sz="0" w:space="0" w:color="auto"/>
        <w:bottom w:val="none" w:sz="0" w:space="0" w:color="auto"/>
        <w:right w:val="none" w:sz="0" w:space="0" w:color="auto"/>
      </w:divBdr>
    </w:div>
    <w:div w:id="1330912171">
      <w:bodyDiv w:val="1"/>
      <w:marLeft w:val="0"/>
      <w:marRight w:val="0"/>
      <w:marTop w:val="0"/>
      <w:marBottom w:val="0"/>
      <w:divBdr>
        <w:top w:val="none" w:sz="0" w:space="0" w:color="auto"/>
        <w:left w:val="none" w:sz="0" w:space="0" w:color="auto"/>
        <w:bottom w:val="none" w:sz="0" w:space="0" w:color="auto"/>
        <w:right w:val="none" w:sz="0" w:space="0" w:color="auto"/>
      </w:divBdr>
    </w:div>
    <w:div w:id="1361197710">
      <w:bodyDiv w:val="1"/>
      <w:marLeft w:val="0"/>
      <w:marRight w:val="0"/>
      <w:marTop w:val="0"/>
      <w:marBottom w:val="0"/>
      <w:divBdr>
        <w:top w:val="none" w:sz="0" w:space="0" w:color="auto"/>
        <w:left w:val="none" w:sz="0" w:space="0" w:color="auto"/>
        <w:bottom w:val="none" w:sz="0" w:space="0" w:color="auto"/>
        <w:right w:val="none" w:sz="0" w:space="0" w:color="auto"/>
      </w:divBdr>
    </w:div>
    <w:div w:id="1381202415">
      <w:bodyDiv w:val="1"/>
      <w:marLeft w:val="0"/>
      <w:marRight w:val="0"/>
      <w:marTop w:val="0"/>
      <w:marBottom w:val="0"/>
      <w:divBdr>
        <w:top w:val="none" w:sz="0" w:space="0" w:color="auto"/>
        <w:left w:val="none" w:sz="0" w:space="0" w:color="auto"/>
        <w:bottom w:val="none" w:sz="0" w:space="0" w:color="auto"/>
        <w:right w:val="none" w:sz="0" w:space="0" w:color="auto"/>
      </w:divBdr>
    </w:div>
    <w:div w:id="1382293460">
      <w:bodyDiv w:val="1"/>
      <w:marLeft w:val="0"/>
      <w:marRight w:val="0"/>
      <w:marTop w:val="0"/>
      <w:marBottom w:val="0"/>
      <w:divBdr>
        <w:top w:val="none" w:sz="0" w:space="0" w:color="auto"/>
        <w:left w:val="none" w:sz="0" w:space="0" w:color="auto"/>
        <w:bottom w:val="none" w:sz="0" w:space="0" w:color="auto"/>
        <w:right w:val="none" w:sz="0" w:space="0" w:color="auto"/>
      </w:divBdr>
    </w:div>
    <w:div w:id="1386101233">
      <w:bodyDiv w:val="1"/>
      <w:marLeft w:val="0"/>
      <w:marRight w:val="0"/>
      <w:marTop w:val="0"/>
      <w:marBottom w:val="0"/>
      <w:divBdr>
        <w:top w:val="none" w:sz="0" w:space="0" w:color="auto"/>
        <w:left w:val="none" w:sz="0" w:space="0" w:color="auto"/>
        <w:bottom w:val="none" w:sz="0" w:space="0" w:color="auto"/>
        <w:right w:val="none" w:sz="0" w:space="0" w:color="auto"/>
      </w:divBdr>
    </w:div>
    <w:div w:id="1393888223">
      <w:bodyDiv w:val="1"/>
      <w:marLeft w:val="0"/>
      <w:marRight w:val="0"/>
      <w:marTop w:val="0"/>
      <w:marBottom w:val="0"/>
      <w:divBdr>
        <w:top w:val="none" w:sz="0" w:space="0" w:color="auto"/>
        <w:left w:val="none" w:sz="0" w:space="0" w:color="auto"/>
        <w:bottom w:val="none" w:sz="0" w:space="0" w:color="auto"/>
        <w:right w:val="none" w:sz="0" w:space="0" w:color="auto"/>
      </w:divBdr>
    </w:div>
    <w:div w:id="1398090252">
      <w:bodyDiv w:val="1"/>
      <w:marLeft w:val="0"/>
      <w:marRight w:val="0"/>
      <w:marTop w:val="0"/>
      <w:marBottom w:val="0"/>
      <w:divBdr>
        <w:top w:val="none" w:sz="0" w:space="0" w:color="auto"/>
        <w:left w:val="none" w:sz="0" w:space="0" w:color="auto"/>
        <w:bottom w:val="none" w:sz="0" w:space="0" w:color="auto"/>
        <w:right w:val="none" w:sz="0" w:space="0" w:color="auto"/>
      </w:divBdr>
    </w:div>
    <w:div w:id="1418597793">
      <w:bodyDiv w:val="1"/>
      <w:marLeft w:val="0"/>
      <w:marRight w:val="0"/>
      <w:marTop w:val="0"/>
      <w:marBottom w:val="0"/>
      <w:divBdr>
        <w:top w:val="none" w:sz="0" w:space="0" w:color="auto"/>
        <w:left w:val="none" w:sz="0" w:space="0" w:color="auto"/>
        <w:bottom w:val="none" w:sz="0" w:space="0" w:color="auto"/>
        <w:right w:val="none" w:sz="0" w:space="0" w:color="auto"/>
      </w:divBdr>
    </w:div>
    <w:div w:id="1487428526">
      <w:bodyDiv w:val="1"/>
      <w:marLeft w:val="0"/>
      <w:marRight w:val="0"/>
      <w:marTop w:val="0"/>
      <w:marBottom w:val="0"/>
      <w:divBdr>
        <w:top w:val="none" w:sz="0" w:space="0" w:color="auto"/>
        <w:left w:val="none" w:sz="0" w:space="0" w:color="auto"/>
        <w:bottom w:val="none" w:sz="0" w:space="0" w:color="auto"/>
        <w:right w:val="none" w:sz="0" w:space="0" w:color="auto"/>
      </w:divBdr>
    </w:div>
    <w:div w:id="1487936313">
      <w:bodyDiv w:val="1"/>
      <w:marLeft w:val="0"/>
      <w:marRight w:val="0"/>
      <w:marTop w:val="0"/>
      <w:marBottom w:val="0"/>
      <w:divBdr>
        <w:top w:val="none" w:sz="0" w:space="0" w:color="auto"/>
        <w:left w:val="none" w:sz="0" w:space="0" w:color="auto"/>
        <w:bottom w:val="none" w:sz="0" w:space="0" w:color="auto"/>
        <w:right w:val="none" w:sz="0" w:space="0" w:color="auto"/>
      </w:divBdr>
    </w:div>
    <w:div w:id="1489980395">
      <w:bodyDiv w:val="1"/>
      <w:marLeft w:val="0"/>
      <w:marRight w:val="0"/>
      <w:marTop w:val="0"/>
      <w:marBottom w:val="0"/>
      <w:divBdr>
        <w:top w:val="none" w:sz="0" w:space="0" w:color="auto"/>
        <w:left w:val="none" w:sz="0" w:space="0" w:color="auto"/>
        <w:bottom w:val="none" w:sz="0" w:space="0" w:color="auto"/>
        <w:right w:val="none" w:sz="0" w:space="0" w:color="auto"/>
      </w:divBdr>
    </w:div>
    <w:div w:id="1504542111">
      <w:bodyDiv w:val="1"/>
      <w:marLeft w:val="0"/>
      <w:marRight w:val="0"/>
      <w:marTop w:val="0"/>
      <w:marBottom w:val="0"/>
      <w:divBdr>
        <w:top w:val="none" w:sz="0" w:space="0" w:color="auto"/>
        <w:left w:val="none" w:sz="0" w:space="0" w:color="auto"/>
        <w:bottom w:val="none" w:sz="0" w:space="0" w:color="auto"/>
        <w:right w:val="none" w:sz="0" w:space="0" w:color="auto"/>
      </w:divBdr>
    </w:div>
    <w:div w:id="1504736221">
      <w:bodyDiv w:val="1"/>
      <w:marLeft w:val="0"/>
      <w:marRight w:val="0"/>
      <w:marTop w:val="0"/>
      <w:marBottom w:val="0"/>
      <w:divBdr>
        <w:top w:val="none" w:sz="0" w:space="0" w:color="auto"/>
        <w:left w:val="none" w:sz="0" w:space="0" w:color="auto"/>
        <w:bottom w:val="none" w:sz="0" w:space="0" w:color="auto"/>
        <w:right w:val="none" w:sz="0" w:space="0" w:color="auto"/>
      </w:divBdr>
    </w:div>
    <w:div w:id="1510370707">
      <w:bodyDiv w:val="1"/>
      <w:marLeft w:val="0"/>
      <w:marRight w:val="0"/>
      <w:marTop w:val="0"/>
      <w:marBottom w:val="0"/>
      <w:divBdr>
        <w:top w:val="none" w:sz="0" w:space="0" w:color="auto"/>
        <w:left w:val="none" w:sz="0" w:space="0" w:color="auto"/>
        <w:bottom w:val="none" w:sz="0" w:space="0" w:color="auto"/>
        <w:right w:val="none" w:sz="0" w:space="0" w:color="auto"/>
      </w:divBdr>
    </w:div>
    <w:div w:id="1514954521">
      <w:bodyDiv w:val="1"/>
      <w:marLeft w:val="0"/>
      <w:marRight w:val="0"/>
      <w:marTop w:val="0"/>
      <w:marBottom w:val="0"/>
      <w:divBdr>
        <w:top w:val="none" w:sz="0" w:space="0" w:color="auto"/>
        <w:left w:val="none" w:sz="0" w:space="0" w:color="auto"/>
        <w:bottom w:val="none" w:sz="0" w:space="0" w:color="auto"/>
        <w:right w:val="none" w:sz="0" w:space="0" w:color="auto"/>
      </w:divBdr>
    </w:div>
    <w:div w:id="1517108855">
      <w:bodyDiv w:val="1"/>
      <w:marLeft w:val="0"/>
      <w:marRight w:val="0"/>
      <w:marTop w:val="0"/>
      <w:marBottom w:val="0"/>
      <w:divBdr>
        <w:top w:val="none" w:sz="0" w:space="0" w:color="auto"/>
        <w:left w:val="none" w:sz="0" w:space="0" w:color="auto"/>
        <w:bottom w:val="none" w:sz="0" w:space="0" w:color="auto"/>
        <w:right w:val="none" w:sz="0" w:space="0" w:color="auto"/>
      </w:divBdr>
    </w:div>
    <w:div w:id="1550188957">
      <w:bodyDiv w:val="1"/>
      <w:marLeft w:val="0"/>
      <w:marRight w:val="0"/>
      <w:marTop w:val="0"/>
      <w:marBottom w:val="0"/>
      <w:divBdr>
        <w:top w:val="none" w:sz="0" w:space="0" w:color="auto"/>
        <w:left w:val="none" w:sz="0" w:space="0" w:color="auto"/>
        <w:bottom w:val="none" w:sz="0" w:space="0" w:color="auto"/>
        <w:right w:val="none" w:sz="0" w:space="0" w:color="auto"/>
      </w:divBdr>
    </w:div>
    <w:div w:id="1565676634">
      <w:bodyDiv w:val="1"/>
      <w:marLeft w:val="0"/>
      <w:marRight w:val="0"/>
      <w:marTop w:val="0"/>
      <w:marBottom w:val="0"/>
      <w:divBdr>
        <w:top w:val="none" w:sz="0" w:space="0" w:color="auto"/>
        <w:left w:val="none" w:sz="0" w:space="0" w:color="auto"/>
        <w:bottom w:val="none" w:sz="0" w:space="0" w:color="auto"/>
        <w:right w:val="none" w:sz="0" w:space="0" w:color="auto"/>
      </w:divBdr>
    </w:div>
    <w:div w:id="1573853443">
      <w:bodyDiv w:val="1"/>
      <w:marLeft w:val="0"/>
      <w:marRight w:val="0"/>
      <w:marTop w:val="0"/>
      <w:marBottom w:val="0"/>
      <w:divBdr>
        <w:top w:val="none" w:sz="0" w:space="0" w:color="auto"/>
        <w:left w:val="none" w:sz="0" w:space="0" w:color="auto"/>
        <w:bottom w:val="none" w:sz="0" w:space="0" w:color="auto"/>
        <w:right w:val="none" w:sz="0" w:space="0" w:color="auto"/>
      </w:divBdr>
    </w:div>
    <w:div w:id="1581987284">
      <w:bodyDiv w:val="1"/>
      <w:marLeft w:val="0"/>
      <w:marRight w:val="0"/>
      <w:marTop w:val="0"/>
      <w:marBottom w:val="0"/>
      <w:divBdr>
        <w:top w:val="none" w:sz="0" w:space="0" w:color="auto"/>
        <w:left w:val="none" w:sz="0" w:space="0" w:color="auto"/>
        <w:bottom w:val="none" w:sz="0" w:space="0" w:color="auto"/>
        <w:right w:val="none" w:sz="0" w:space="0" w:color="auto"/>
      </w:divBdr>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
    <w:div w:id="1594046846">
      <w:bodyDiv w:val="1"/>
      <w:marLeft w:val="0"/>
      <w:marRight w:val="0"/>
      <w:marTop w:val="0"/>
      <w:marBottom w:val="0"/>
      <w:divBdr>
        <w:top w:val="none" w:sz="0" w:space="0" w:color="auto"/>
        <w:left w:val="none" w:sz="0" w:space="0" w:color="auto"/>
        <w:bottom w:val="none" w:sz="0" w:space="0" w:color="auto"/>
        <w:right w:val="none" w:sz="0" w:space="0" w:color="auto"/>
      </w:divBdr>
    </w:div>
    <w:div w:id="1599673681">
      <w:bodyDiv w:val="1"/>
      <w:marLeft w:val="0"/>
      <w:marRight w:val="0"/>
      <w:marTop w:val="0"/>
      <w:marBottom w:val="0"/>
      <w:divBdr>
        <w:top w:val="none" w:sz="0" w:space="0" w:color="auto"/>
        <w:left w:val="none" w:sz="0" w:space="0" w:color="auto"/>
        <w:bottom w:val="none" w:sz="0" w:space="0" w:color="auto"/>
        <w:right w:val="none" w:sz="0" w:space="0" w:color="auto"/>
      </w:divBdr>
    </w:div>
    <w:div w:id="1630819288">
      <w:bodyDiv w:val="1"/>
      <w:marLeft w:val="0"/>
      <w:marRight w:val="0"/>
      <w:marTop w:val="0"/>
      <w:marBottom w:val="0"/>
      <w:divBdr>
        <w:top w:val="none" w:sz="0" w:space="0" w:color="auto"/>
        <w:left w:val="none" w:sz="0" w:space="0" w:color="auto"/>
        <w:bottom w:val="none" w:sz="0" w:space="0" w:color="auto"/>
        <w:right w:val="none" w:sz="0" w:space="0" w:color="auto"/>
      </w:divBdr>
    </w:div>
    <w:div w:id="1648823787">
      <w:bodyDiv w:val="1"/>
      <w:marLeft w:val="0"/>
      <w:marRight w:val="0"/>
      <w:marTop w:val="0"/>
      <w:marBottom w:val="0"/>
      <w:divBdr>
        <w:top w:val="none" w:sz="0" w:space="0" w:color="auto"/>
        <w:left w:val="none" w:sz="0" w:space="0" w:color="auto"/>
        <w:bottom w:val="none" w:sz="0" w:space="0" w:color="auto"/>
        <w:right w:val="none" w:sz="0" w:space="0" w:color="auto"/>
      </w:divBdr>
    </w:div>
    <w:div w:id="1652248071">
      <w:bodyDiv w:val="1"/>
      <w:marLeft w:val="0"/>
      <w:marRight w:val="0"/>
      <w:marTop w:val="0"/>
      <w:marBottom w:val="0"/>
      <w:divBdr>
        <w:top w:val="none" w:sz="0" w:space="0" w:color="auto"/>
        <w:left w:val="none" w:sz="0" w:space="0" w:color="auto"/>
        <w:bottom w:val="none" w:sz="0" w:space="0" w:color="auto"/>
        <w:right w:val="none" w:sz="0" w:space="0" w:color="auto"/>
      </w:divBdr>
    </w:div>
    <w:div w:id="1656059780">
      <w:bodyDiv w:val="1"/>
      <w:marLeft w:val="0"/>
      <w:marRight w:val="0"/>
      <w:marTop w:val="0"/>
      <w:marBottom w:val="0"/>
      <w:divBdr>
        <w:top w:val="none" w:sz="0" w:space="0" w:color="auto"/>
        <w:left w:val="none" w:sz="0" w:space="0" w:color="auto"/>
        <w:bottom w:val="none" w:sz="0" w:space="0" w:color="auto"/>
        <w:right w:val="none" w:sz="0" w:space="0" w:color="auto"/>
      </w:divBdr>
    </w:div>
    <w:div w:id="1677267194">
      <w:bodyDiv w:val="1"/>
      <w:marLeft w:val="0"/>
      <w:marRight w:val="0"/>
      <w:marTop w:val="0"/>
      <w:marBottom w:val="0"/>
      <w:divBdr>
        <w:top w:val="none" w:sz="0" w:space="0" w:color="auto"/>
        <w:left w:val="none" w:sz="0" w:space="0" w:color="auto"/>
        <w:bottom w:val="none" w:sz="0" w:space="0" w:color="auto"/>
        <w:right w:val="none" w:sz="0" w:space="0" w:color="auto"/>
      </w:divBdr>
    </w:div>
    <w:div w:id="1677995601">
      <w:bodyDiv w:val="1"/>
      <w:marLeft w:val="0"/>
      <w:marRight w:val="0"/>
      <w:marTop w:val="0"/>
      <w:marBottom w:val="0"/>
      <w:divBdr>
        <w:top w:val="none" w:sz="0" w:space="0" w:color="auto"/>
        <w:left w:val="none" w:sz="0" w:space="0" w:color="auto"/>
        <w:bottom w:val="none" w:sz="0" w:space="0" w:color="auto"/>
        <w:right w:val="none" w:sz="0" w:space="0" w:color="auto"/>
      </w:divBdr>
    </w:div>
    <w:div w:id="1684865998">
      <w:bodyDiv w:val="1"/>
      <w:marLeft w:val="0"/>
      <w:marRight w:val="0"/>
      <w:marTop w:val="0"/>
      <w:marBottom w:val="0"/>
      <w:divBdr>
        <w:top w:val="none" w:sz="0" w:space="0" w:color="auto"/>
        <w:left w:val="none" w:sz="0" w:space="0" w:color="auto"/>
        <w:bottom w:val="none" w:sz="0" w:space="0" w:color="auto"/>
        <w:right w:val="none" w:sz="0" w:space="0" w:color="auto"/>
      </w:divBdr>
    </w:div>
    <w:div w:id="1693457585">
      <w:bodyDiv w:val="1"/>
      <w:marLeft w:val="0"/>
      <w:marRight w:val="0"/>
      <w:marTop w:val="0"/>
      <w:marBottom w:val="0"/>
      <w:divBdr>
        <w:top w:val="none" w:sz="0" w:space="0" w:color="auto"/>
        <w:left w:val="none" w:sz="0" w:space="0" w:color="auto"/>
        <w:bottom w:val="none" w:sz="0" w:space="0" w:color="auto"/>
        <w:right w:val="none" w:sz="0" w:space="0" w:color="auto"/>
      </w:divBdr>
    </w:div>
    <w:div w:id="1701540810">
      <w:bodyDiv w:val="1"/>
      <w:marLeft w:val="0"/>
      <w:marRight w:val="0"/>
      <w:marTop w:val="0"/>
      <w:marBottom w:val="0"/>
      <w:divBdr>
        <w:top w:val="none" w:sz="0" w:space="0" w:color="auto"/>
        <w:left w:val="none" w:sz="0" w:space="0" w:color="auto"/>
        <w:bottom w:val="none" w:sz="0" w:space="0" w:color="auto"/>
        <w:right w:val="none" w:sz="0" w:space="0" w:color="auto"/>
      </w:divBdr>
    </w:div>
    <w:div w:id="1722099484">
      <w:bodyDiv w:val="1"/>
      <w:marLeft w:val="0"/>
      <w:marRight w:val="0"/>
      <w:marTop w:val="0"/>
      <w:marBottom w:val="0"/>
      <w:divBdr>
        <w:top w:val="none" w:sz="0" w:space="0" w:color="auto"/>
        <w:left w:val="none" w:sz="0" w:space="0" w:color="auto"/>
        <w:bottom w:val="none" w:sz="0" w:space="0" w:color="auto"/>
        <w:right w:val="none" w:sz="0" w:space="0" w:color="auto"/>
      </w:divBdr>
    </w:div>
    <w:div w:id="1733692208">
      <w:bodyDiv w:val="1"/>
      <w:marLeft w:val="0"/>
      <w:marRight w:val="0"/>
      <w:marTop w:val="0"/>
      <w:marBottom w:val="0"/>
      <w:divBdr>
        <w:top w:val="none" w:sz="0" w:space="0" w:color="auto"/>
        <w:left w:val="none" w:sz="0" w:space="0" w:color="auto"/>
        <w:bottom w:val="none" w:sz="0" w:space="0" w:color="auto"/>
        <w:right w:val="none" w:sz="0" w:space="0" w:color="auto"/>
      </w:divBdr>
    </w:div>
    <w:div w:id="1737126094">
      <w:bodyDiv w:val="1"/>
      <w:marLeft w:val="0"/>
      <w:marRight w:val="0"/>
      <w:marTop w:val="0"/>
      <w:marBottom w:val="0"/>
      <w:divBdr>
        <w:top w:val="none" w:sz="0" w:space="0" w:color="auto"/>
        <w:left w:val="none" w:sz="0" w:space="0" w:color="auto"/>
        <w:bottom w:val="none" w:sz="0" w:space="0" w:color="auto"/>
        <w:right w:val="none" w:sz="0" w:space="0" w:color="auto"/>
      </w:divBdr>
    </w:div>
    <w:div w:id="1752505685">
      <w:bodyDiv w:val="1"/>
      <w:marLeft w:val="0"/>
      <w:marRight w:val="0"/>
      <w:marTop w:val="0"/>
      <w:marBottom w:val="0"/>
      <w:divBdr>
        <w:top w:val="none" w:sz="0" w:space="0" w:color="auto"/>
        <w:left w:val="none" w:sz="0" w:space="0" w:color="auto"/>
        <w:bottom w:val="none" w:sz="0" w:space="0" w:color="auto"/>
        <w:right w:val="none" w:sz="0" w:space="0" w:color="auto"/>
      </w:divBdr>
    </w:div>
    <w:div w:id="1754355470">
      <w:bodyDiv w:val="1"/>
      <w:marLeft w:val="0"/>
      <w:marRight w:val="0"/>
      <w:marTop w:val="0"/>
      <w:marBottom w:val="0"/>
      <w:divBdr>
        <w:top w:val="none" w:sz="0" w:space="0" w:color="auto"/>
        <w:left w:val="none" w:sz="0" w:space="0" w:color="auto"/>
        <w:bottom w:val="none" w:sz="0" w:space="0" w:color="auto"/>
        <w:right w:val="none" w:sz="0" w:space="0" w:color="auto"/>
      </w:divBdr>
    </w:div>
    <w:div w:id="1774130847">
      <w:bodyDiv w:val="1"/>
      <w:marLeft w:val="0"/>
      <w:marRight w:val="0"/>
      <w:marTop w:val="0"/>
      <w:marBottom w:val="0"/>
      <w:divBdr>
        <w:top w:val="none" w:sz="0" w:space="0" w:color="auto"/>
        <w:left w:val="none" w:sz="0" w:space="0" w:color="auto"/>
        <w:bottom w:val="none" w:sz="0" w:space="0" w:color="auto"/>
        <w:right w:val="none" w:sz="0" w:space="0" w:color="auto"/>
      </w:divBdr>
    </w:div>
    <w:div w:id="1780644120">
      <w:bodyDiv w:val="1"/>
      <w:marLeft w:val="0"/>
      <w:marRight w:val="0"/>
      <w:marTop w:val="0"/>
      <w:marBottom w:val="0"/>
      <w:divBdr>
        <w:top w:val="none" w:sz="0" w:space="0" w:color="auto"/>
        <w:left w:val="none" w:sz="0" w:space="0" w:color="auto"/>
        <w:bottom w:val="none" w:sz="0" w:space="0" w:color="auto"/>
        <w:right w:val="none" w:sz="0" w:space="0" w:color="auto"/>
      </w:divBdr>
    </w:div>
    <w:div w:id="1815677234">
      <w:bodyDiv w:val="1"/>
      <w:marLeft w:val="0"/>
      <w:marRight w:val="0"/>
      <w:marTop w:val="0"/>
      <w:marBottom w:val="0"/>
      <w:divBdr>
        <w:top w:val="none" w:sz="0" w:space="0" w:color="auto"/>
        <w:left w:val="none" w:sz="0" w:space="0" w:color="auto"/>
        <w:bottom w:val="none" w:sz="0" w:space="0" w:color="auto"/>
        <w:right w:val="none" w:sz="0" w:space="0" w:color="auto"/>
      </w:divBdr>
    </w:div>
    <w:div w:id="1842545159">
      <w:bodyDiv w:val="1"/>
      <w:marLeft w:val="0"/>
      <w:marRight w:val="0"/>
      <w:marTop w:val="0"/>
      <w:marBottom w:val="0"/>
      <w:divBdr>
        <w:top w:val="none" w:sz="0" w:space="0" w:color="auto"/>
        <w:left w:val="none" w:sz="0" w:space="0" w:color="auto"/>
        <w:bottom w:val="none" w:sz="0" w:space="0" w:color="auto"/>
        <w:right w:val="none" w:sz="0" w:space="0" w:color="auto"/>
      </w:divBdr>
    </w:div>
    <w:div w:id="1870683761">
      <w:bodyDiv w:val="1"/>
      <w:marLeft w:val="0"/>
      <w:marRight w:val="0"/>
      <w:marTop w:val="0"/>
      <w:marBottom w:val="0"/>
      <w:divBdr>
        <w:top w:val="none" w:sz="0" w:space="0" w:color="auto"/>
        <w:left w:val="none" w:sz="0" w:space="0" w:color="auto"/>
        <w:bottom w:val="none" w:sz="0" w:space="0" w:color="auto"/>
        <w:right w:val="none" w:sz="0" w:space="0" w:color="auto"/>
      </w:divBdr>
    </w:div>
    <w:div w:id="1874614081">
      <w:bodyDiv w:val="1"/>
      <w:marLeft w:val="0"/>
      <w:marRight w:val="0"/>
      <w:marTop w:val="0"/>
      <w:marBottom w:val="0"/>
      <w:divBdr>
        <w:top w:val="none" w:sz="0" w:space="0" w:color="auto"/>
        <w:left w:val="none" w:sz="0" w:space="0" w:color="auto"/>
        <w:bottom w:val="none" w:sz="0" w:space="0" w:color="auto"/>
        <w:right w:val="none" w:sz="0" w:space="0" w:color="auto"/>
      </w:divBdr>
    </w:div>
    <w:div w:id="1915970943">
      <w:bodyDiv w:val="1"/>
      <w:marLeft w:val="0"/>
      <w:marRight w:val="0"/>
      <w:marTop w:val="0"/>
      <w:marBottom w:val="0"/>
      <w:divBdr>
        <w:top w:val="none" w:sz="0" w:space="0" w:color="auto"/>
        <w:left w:val="none" w:sz="0" w:space="0" w:color="auto"/>
        <w:bottom w:val="none" w:sz="0" w:space="0" w:color="auto"/>
        <w:right w:val="none" w:sz="0" w:space="0" w:color="auto"/>
      </w:divBdr>
    </w:div>
    <w:div w:id="1917662116">
      <w:bodyDiv w:val="1"/>
      <w:marLeft w:val="0"/>
      <w:marRight w:val="0"/>
      <w:marTop w:val="0"/>
      <w:marBottom w:val="0"/>
      <w:divBdr>
        <w:top w:val="none" w:sz="0" w:space="0" w:color="auto"/>
        <w:left w:val="none" w:sz="0" w:space="0" w:color="auto"/>
        <w:bottom w:val="none" w:sz="0" w:space="0" w:color="auto"/>
        <w:right w:val="none" w:sz="0" w:space="0" w:color="auto"/>
      </w:divBdr>
    </w:div>
    <w:div w:id="1921136349">
      <w:bodyDiv w:val="1"/>
      <w:marLeft w:val="0"/>
      <w:marRight w:val="0"/>
      <w:marTop w:val="0"/>
      <w:marBottom w:val="0"/>
      <w:divBdr>
        <w:top w:val="none" w:sz="0" w:space="0" w:color="auto"/>
        <w:left w:val="none" w:sz="0" w:space="0" w:color="auto"/>
        <w:bottom w:val="none" w:sz="0" w:space="0" w:color="auto"/>
        <w:right w:val="none" w:sz="0" w:space="0" w:color="auto"/>
      </w:divBdr>
    </w:div>
    <w:div w:id="1948154838">
      <w:bodyDiv w:val="1"/>
      <w:marLeft w:val="0"/>
      <w:marRight w:val="0"/>
      <w:marTop w:val="0"/>
      <w:marBottom w:val="0"/>
      <w:divBdr>
        <w:top w:val="none" w:sz="0" w:space="0" w:color="auto"/>
        <w:left w:val="none" w:sz="0" w:space="0" w:color="auto"/>
        <w:bottom w:val="none" w:sz="0" w:space="0" w:color="auto"/>
        <w:right w:val="none" w:sz="0" w:space="0" w:color="auto"/>
      </w:divBdr>
    </w:div>
    <w:div w:id="1951089860">
      <w:bodyDiv w:val="1"/>
      <w:marLeft w:val="0"/>
      <w:marRight w:val="0"/>
      <w:marTop w:val="0"/>
      <w:marBottom w:val="0"/>
      <w:divBdr>
        <w:top w:val="none" w:sz="0" w:space="0" w:color="auto"/>
        <w:left w:val="none" w:sz="0" w:space="0" w:color="auto"/>
        <w:bottom w:val="none" w:sz="0" w:space="0" w:color="auto"/>
        <w:right w:val="none" w:sz="0" w:space="0" w:color="auto"/>
      </w:divBdr>
    </w:div>
    <w:div w:id="1965963213">
      <w:bodyDiv w:val="1"/>
      <w:marLeft w:val="0"/>
      <w:marRight w:val="0"/>
      <w:marTop w:val="0"/>
      <w:marBottom w:val="0"/>
      <w:divBdr>
        <w:top w:val="none" w:sz="0" w:space="0" w:color="auto"/>
        <w:left w:val="none" w:sz="0" w:space="0" w:color="auto"/>
        <w:bottom w:val="none" w:sz="0" w:space="0" w:color="auto"/>
        <w:right w:val="none" w:sz="0" w:space="0" w:color="auto"/>
      </w:divBdr>
    </w:div>
    <w:div w:id="1981838250">
      <w:bodyDiv w:val="1"/>
      <w:marLeft w:val="0"/>
      <w:marRight w:val="0"/>
      <w:marTop w:val="0"/>
      <w:marBottom w:val="0"/>
      <w:divBdr>
        <w:top w:val="none" w:sz="0" w:space="0" w:color="auto"/>
        <w:left w:val="none" w:sz="0" w:space="0" w:color="auto"/>
        <w:bottom w:val="none" w:sz="0" w:space="0" w:color="auto"/>
        <w:right w:val="none" w:sz="0" w:space="0" w:color="auto"/>
      </w:divBdr>
    </w:div>
    <w:div w:id="1997222228">
      <w:bodyDiv w:val="1"/>
      <w:marLeft w:val="0"/>
      <w:marRight w:val="0"/>
      <w:marTop w:val="0"/>
      <w:marBottom w:val="0"/>
      <w:divBdr>
        <w:top w:val="none" w:sz="0" w:space="0" w:color="auto"/>
        <w:left w:val="none" w:sz="0" w:space="0" w:color="auto"/>
        <w:bottom w:val="none" w:sz="0" w:space="0" w:color="auto"/>
        <w:right w:val="none" w:sz="0" w:space="0" w:color="auto"/>
      </w:divBdr>
    </w:div>
    <w:div w:id="2009287773">
      <w:bodyDiv w:val="1"/>
      <w:marLeft w:val="0"/>
      <w:marRight w:val="0"/>
      <w:marTop w:val="0"/>
      <w:marBottom w:val="0"/>
      <w:divBdr>
        <w:top w:val="none" w:sz="0" w:space="0" w:color="auto"/>
        <w:left w:val="none" w:sz="0" w:space="0" w:color="auto"/>
        <w:bottom w:val="none" w:sz="0" w:space="0" w:color="auto"/>
        <w:right w:val="none" w:sz="0" w:space="0" w:color="auto"/>
      </w:divBdr>
    </w:div>
    <w:div w:id="2018842162">
      <w:bodyDiv w:val="1"/>
      <w:marLeft w:val="0"/>
      <w:marRight w:val="0"/>
      <w:marTop w:val="0"/>
      <w:marBottom w:val="0"/>
      <w:divBdr>
        <w:top w:val="none" w:sz="0" w:space="0" w:color="auto"/>
        <w:left w:val="none" w:sz="0" w:space="0" w:color="auto"/>
        <w:bottom w:val="none" w:sz="0" w:space="0" w:color="auto"/>
        <w:right w:val="none" w:sz="0" w:space="0" w:color="auto"/>
      </w:divBdr>
    </w:div>
    <w:div w:id="2054890057">
      <w:bodyDiv w:val="1"/>
      <w:marLeft w:val="0"/>
      <w:marRight w:val="0"/>
      <w:marTop w:val="0"/>
      <w:marBottom w:val="0"/>
      <w:divBdr>
        <w:top w:val="none" w:sz="0" w:space="0" w:color="auto"/>
        <w:left w:val="none" w:sz="0" w:space="0" w:color="auto"/>
        <w:bottom w:val="none" w:sz="0" w:space="0" w:color="auto"/>
        <w:right w:val="none" w:sz="0" w:space="0" w:color="auto"/>
      </w:divBdr>
    </w:div>
    <w:div w:id="2062442192">
      <w:bodyDiv w:val="1"/>
      <w:marLeft w:val="0"/>
      <w:marRight w:val="0"/>
      <w:marTop w:val="0"/>
      <w:marBottom w:val="0"/>
      <w:divBdr>
        <w:top w:val="none" w:sz="0" w:space="0" w:color="auto"/>
        <w:left w:val="none" w:sz="0" w:space="0" w:color="auto"/>
        <w:bottom w:val="none" w:sz="0" w:space="0" w:color="auto"/>
        <w:right w:val="none" w:sz="0" w:space="0" w:color="auto"/>
      </w:divBdr>
    </w:div>
    <w:div w:id="2068144642">
      <w:bodyDiv w:val="1"/>
      <w:marLeft w:val="0"/>
      <w:marRight w:val="0"/>
      <w:marTop w:val="0"/>
      <w:marBottom w:val="0"/>
      <w:divBdr>
        <w:top w:val="none" w:sz="0" w:space="0" w:color="auto"/>
        <w:left w:val="none" w:sz="0" w:space="0" w:color="auto"/>
        <w:bottom w:val="none" w:sz="0" w:space="0" w:color="auto"/>
        <w:right w:val="none" w:sz="0" w:space="0" w:color="auto"/>
      </w:divBdr>
    </w:div>
    <w:div w:id="2078084988">
      <w:bodyDiv w:val="1"/>
      <w:marLeft w:val="0"/>
      <w:marRight w:val="0"/>
      <w:marTop w:val="0"/>
      <w:marBottom w:val="0"/>
      <w:divBdr>
        <w:top w:val="none" w:sz="0" w:space="0" w:color="auto"/>
        <w:left w:val="none" w:sz="0" w:space="0" w:color="auto"/>
        <w:bottom w:val="none" w:sz="0" w:space="0" w:color="auto"/>
        <w:right w:val="none" w:sz="0" w:space="0" w:color="auto"/>
      </w:divBdr>
    </w:div>
    <w:div w:id="2079477872">
      <w:bodyDiv w:val="1"/>
      <w:marLeft w:val="0"/>
      <w:marRight w:val="0"/>
      <w:marTop w:val="0"/>
      <w:marBottom w:val="0"/>
      <w:divBdr>
        <w:top w:val="none" w:sz="0" w:space="0" w:color="auto"/>
        <w:left w:val="none" w:sz="0" w:space="0" w:color="auto"/>
        <w:bottom w:val="none" w:sz="0" w:space="0" w:color="auto"/>
        <w:right w:val="none" w:sz="0" w:space="0" w:color="auto"/>
      </w:divBdr>
    </w:div>
    <w:div w:id="2095010442">
      <w:bodyDiv w:val="1"/>
      <w:marLeft w:val="0"/>
      <w:marRight w:val="0"/>
      <w:marTop w:val="0"/>
      <w:marBottom w:val="0"/>
      <w:divBdr>
        <w:top w:val="none" w:sz="0" w:space="0" w:color="auto"/>
        <w:left w:val="none" w:sz="0" w:space="0" w:color="auto"/>
        <w:bottom w:val="none" w:sz="0" w:space="0" w:color="auto"/>
        <w:right w:val="none" w:sz="0" w:space="0" w:color="auto"/>
      </w:divBdr>
    </w:div>
    <w:div w:id="21271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emf"/><Relationship Id="rId39" Type="http://schemas.openxmlformats.org/officeDocument/2006/relationships/image" Target="media/image23.emf"/><Relationship Id="rId3" Type="http://schemas.openxmlformats.org/officeDocument/2006/relationships/customXml" Target="../customXml/item3.xml"/><Relationship Id="rId21" Type="http://schemas.openxmlformats.org/officeDocument/2006/relationships/hyperlink" Target="http://www.inegi.org.mx/" TargetMode="External"/><Relationship Id="rId34" Type="http://schemas.openxmlformats.org/officeDocument/2006/relationships/image" Target="media/image18.png"/><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emf"/><Relationship Id="rId33" Type="http://schemas.openxmlformats.org/officeDocument/2006/relationships/image" Target="media/image17.png"/><Relationship Id="rId38"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29" Type="http://schemas.openxmlformats.org/officeDocument/2006/relationships/image" Target="media/image13.e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image" Target="media/image16.emf"/><Relationship Id="rId37" Type="http://schemas.openxmlformats.org/officeDocument/2006/relationships/image" Target="media/image21.emf"/><Relationship Id="rId40" Type="http://schemas.openxmlformats.org/officeDocument/2006/relationships/hyperlink" Target="https://www.inegi.org.mx/" TargetMode="External"/><Relationship Id="rId5" Type="http://schemas.openxmlformats.org/officeDocument/2006/relationships/numbering" Target="numbering.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image" Target="media/image12.emf"/><Relationship Id="rId36" Type="http://schemas.openxmlformats.org/officeDocument/2006/relationships/image" Target="media/image20.emf"/><Relationship Id="rId10" Type="http://schemas.openxmlformats.org/officeDocument/2006/relationships/endnotes" Target="endnotes.xml"/><Relationship Id="rId19" Type="http://schemas.openxmlformats.org/officeDocument/2006/relationships/hyperlink" Target="https://www.youtube.com/user/INEGIInforma" TargetMode="External"/><Relationship Id="rId31" Type="http://schemas.openxmlformats.org/officeDocument/2006/relationships/image" Target="media/image15.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emf"/><Relationship Id="rId30" Type="http://schemas.openxmlformats.org/officeDocument/2006/relationships/image" Target="media/image14.png"/><Relationship Id="rId35" Type="http://schemas.openxmlformats.org/officeDocument/2006/relationships/image" Target="media/image19.emf"/><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CF906B9E2CD479979948FBA231C39" ma:contentTypeVersion="7" ma:contentTypeDescription="Create a new document." ma:contentTypeScope="" ma:versionID="ad62ef61b049b757d5d127db14ebce30">
  <xsd:schema xmlns:xsd="http://www.w3.org/2001/XMLSchema" xmlns:xs="http://www.w3.org/2001/XMLSchema" xmlns:p="http://schemas.microsoft.com/office/2006/metadata/properties" xmlns:ns3="0921883c-71ca-4649-a9e6-15958c063a2d" xmlns:ns4="e33e3730-0c95-4e62-81c3-f423b515f4cb" targetNamespace="http://schemas.microsoft.com/office/2006/metadata/properties" ma:root="true" ma:fieldsID="77ea4e018893c82f785cb01802a2d6bd" ns3:_="" ns4:_="">
    <xsd:import namespace="0921883c-71ca-4649-a9e6-15958c063a2d"/>
    <xsd:import namespace="e33e3730-0c95-4e62-81c3-f423b515f4c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1883c-71ca-4649-a9e6-15958c063a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3730-0c95-4e62-81c3-f423b515f4c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0299-C35C-4EF3-A315-2E9E9D1F8B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06BDD-4A95-440F-80A1-6FC28CA677F6}">
  <ds:schemaRefs>
    <ds:schemaRef ds:uri="http://schemas.microsoft.com/sharepoint/v3/contenttype/forms"/>
  </ds:schemaRefs>
</ds:datastoreItem>
</file>

<file path=customXml/itemProps3.xml><?xml version="1.0" encoding="utf-8"?>
<ds:datastoreItem xmlns:ds="http://schemas.openxmlformats.org/officeDocument/2006/customXml" ds:itemID="{A3B59769-2FCA-4376-AFB1-C0F68F0E5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1883c-71ca-4649-a9e6-15958c063a2d"/>
    <ds:schemaRef ds:uri="e33e3730-0c95-4e62-81c3-f423b515f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F43F7-D71C-4003-9F91-7449D4F5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5854</Words>
  <Characters>32200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HEREDIA HERNANDEZ OCTAVIO</dc:creator>
  <cp:keywords/>
  <dc:description/>
  <cp:lastModifiedBy>ALVAREZ SUBERZA JOAQUIN</cp:lastModifiedBy>
  <cp:revision>2</cp:revision>
  <cp:lastPrinted>2020-08-03T15:47:00Z</cp:lastPrinted>
  <dcterms:created xsi:type="dcterms:W3CDTF">2020-09-03T04:11:00Z</dcterms:created>
  <dcterms:modified xsi:type="dcterms:W3CDTF">2020-09-03T04:11:00Z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0x0101005FBCF906B9E2CD479979948FBA231C39</vt:lpwstr>
  </property>
</Properties>
</file>