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21A968" w14:textId="77777777" w:rsidR="006A0E4E" w:rsidRDefault="006A0E4E" w:rsidP="006A0E4E">
      <w:pPr>
        <w:tabs>
          <w:tab w:val="left" w:pos="8789"/>
        </w:tabs>
        <w:ind w:right="51"/>
        <w:jc w:val="center"/>
        <w:rPr>
          <w:b/>
          <w:sz w:val="28"/>
        </w:rPr>
      </w:pPr>
      <w:r>
        <w:rPr>
          <w:noProof/>
          <w:sz w:val="20"/>
          <w:lang w:val="es-MX" w:eastAsia="es-MX"/>
        </w:rPr>
        <mc:AlternateContent>
          <mc:Choice Requires="wps">
            <w:drawing>
              <wp:anchor distT="45720" distB="45720" distL="114300" distR="114300" simplePos="0" relativeHeight="251659264" behindDoc="0" locked="0" layoutInCell="1" allowOverlap="1" wp14:anchorId="30AEDBE0" wp14:editId="3F36006F">
                <wp:simplePos x="0" y="0"/>
                <wp:positionH relativeFrom="column">
                  <wp:posOffset>2724150</wp:posOffset>
                </wp:positionH>
                <wp:positionV relativeFrom="paragraph">
                  <wp:posOffset>0</wp:posOffset>
                </wp:positionV>
                <wp:extent cx="3418205" cy="266700"/>
                <wp:effectExtent l="0" t="0" r="0" b="0"/>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8205" cy="266700"/>
                        </a:xfrm>
                        <a:prstGeom prst="rect">
                          <a:avLst/>
                        </a:prstGeom>
                        <a:solidFill>
                          <a:srgbClr val="FFFFFF"/>
                        </a:solidFill>
                        <a:ln w="9525">
                          <a:noFill/>
                          <a:miter lim="800000"/>
                          <a:headEnd/>
                          <a:tailEnd/>
                        </a:ln>
                      </wps:spPr>
                      <wps:txbx>
                        <w:txbxContent>
                          <w:p w14:paraId="4F1C5C29" w14:textId="77777777" w:rsidR="006A0E4E" w:rsidRPr="00265B8C" w:rsidRDefault="006A0E4E" w:rsidP="006A0E4E">
                            <w:pPr>
                              <w:jc w:val="right"/>
                              <w:rPr>
                                <w:rFonts w:cs="Arial"/>
                                <w:szCs w:val="24"/>
                              </w:rPr>
                            </w:pPr>
                            <w:r w:rsidRPr="00265B8C">
                              <w:rPr>
                                <w:rFonts w:cs="Arial"/>
                                <w:b/>
                                <w:color w:val="FFFFFF" w:themeColor="background1"/>
                                <w:szCs w:val="24"/>
                                <w:shd w:val="clear" w:color="auto" w:fill="365F91" w:themeFill="accent1" w:themeFillShade="BF"/>
                                <w:lang w:val="pt-BR"/>
                              </w:rPr>
                              <w:t xml:space="preserve">Próxima </w:t>
                            </w:r>
                            <w:proofErr w:type="spellStart"/>
                            <w:r w:rsidRPr="00265B8C">
                              <w:rPr>
                                <w:rFonts w:cs="Arial"/>
                                <w:b/>
                                <w:color w:val="FFFFFF" w:themeColor="background1"/>
                                <w:szCs w:val="24"/>
                                <w:shd w:val="clear" w:color="auto" w:fill="365F91" w:themeFill="accent1" w:themeFillShade="BF"/>
                                <w:lang w:val="pt-BR"/>
                              </w:rPr>
                              <w:t>publicación</w:t>
                            </w:r>
                            <w:proofErr w:type="spellEnd"/>
                            <w:r>
                              <w:rPr>
                                <w:rFonts w:cs="Arial"/>
                                <w:b/>
                                <w:color w:val="FFFFFF" w:themeColor="background1"/>
                                <w:szCs w:val="24"/>
                                <w:shd w:val="clear" w:color="auto" w:fill="365F91" w:themeFill="accent1" w:themeFillShade="BF"/>
                                <w:lang w:val="pt-BR"/>
                              </w:rPr>
                              <w:t>:  13 de agosto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0AEDBE0" id="_x0000_t202" coordsize="21600,21600" o:spt="202" path="m,l,21600r21600,l21600,xe">
                <v:stroke joinstyle="miter"/>
                <v:path gradientshapeok="t" o:connecttype="rect"/>
              </v:shapetype>
              <v:shape id="Cuadro de texto 217" o:spid="_x0000_s1026" type="#_x0000_t202" style="position:absolute;left:0;text-align:left;margin-left:214.5pt;margin-top:0;width:269.15pt;height:21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" stroked="f">
                <v:textbox>
                  <w:txbxContent>
                    <w:p w14:paraId="4F1C5C29" w14:textId="77777777" w:rsidR="006A0E4E" w:rsidRPr="00265B8C" w:rsidRDefault="006A0E4E" w:rsidP="006A0E4E">
                      <w:pPr>
                        <w:jc w:val="right"/>
                        <w:rPr>
                          <w:rFonts w:cs="Arial"/>
                          <w:szCs w:val="24"/>
                        </w:rPr>
                      </w:pPr>
                      <w:r w:rsidRPr="00265B8C">
                        <w:rPr>
                          <w:rFonts w:cs="Arial"/>
                          <w:b/>
                          <w:color w:val="FFFFFF" w:themeColor="background1"/>
                          <w:szCs w:val="24"/>
                          <w:shd w:val="clear" w:color="auto" w:fill="365F91" w:themeFill="accent1" w:themeFillShade="BF"/>
                          <w:lang w:val="pt-BR"/>
                        </w:rPr>
                        <w:t xml:space="preserve">Próxima </w:t>
                      </w:r>
                      <w:proofErr w:type="spellStart"/>
                      <w:r w:rsidRPr="00265B8C">
                        <w:rPr>
                          <w:rFonts w:cs="Arial"/>
                          <w:b/>
                          <w:color w:val="FFFFFF" w:themeColor="background1"/>
                          <w:szCs w:val="24"/>
                          <w:shd w:val="clear" w:color="auto" w:fill="365F91" w:themeFill="accent1" w:themeFillShade="BF"/>
                          <w:lang w:val="pt-BR"/>
                        </w:rPr>
                        <w:t>publicación</w:t>
                      </w:r>
                      <w:proofErr w:type="spellEnd"/>
                      <w:r>
                        <w:rPr>
                          <w:rFonts w:cs="Arial"/>
                          <w:b/>
                          <w:color w:val="FFFFFF" w:themeColor="background1"/>
                          <w:szCs w:val="24"/>
                          <w:shd w:val="clear" w:color="auto" w:fill="365F91" w:themeFill="accent1" w:themeFillShade="BF"/>
                          <w:lang w:val="pt-BR"/>
                        </w:rPr>
                        <w:t>:  13 de agosto</w:t>
                      </w:r>
                    </w:p>
                  </w:txbxContent>
                </v:textbox>
                <w10:wrap type="square"/>
              </v:shape>
            </w:pict>
          </mc:Fallback>
        </mc:AlternateContent>
      </w:r>
    </w:p>
    <w:p w14:paraId="6D6CF476" w14:textId="77777777" w:rsidR="006A0E4E" w:rsidRDefault="006A0E4E" w:rsidP="006A0E4E">
      <w:pPr>
        <w:tabs>
          <w:tab w:val="left" w:pos="8789"/>
        </w:tabs>
        <w:ind w:right="51"/>
        <w:jc w:val="center"/>
        <w:rPr>
          <w:b/>
          <w:sz w:val="28"/>
        </w:rPr>
      </w:pPr>
    </w:p>
    <w:p w14:paraId="07EB5279" w14:textId="77777777" w:rsidR="006A0E4E" w:rsidRDefault="006A0E4E" w:rsidP="006A0E4E">
      <w:pPr>
        <w:pStyle w:val="Default"/>
        <w:tabs>
          <w:tab w:val="left" w:pos="2410"/>
          <w:tab w:val="left" w:pos="3402"/>
          <w:tab w:val="left" w:pos="3686"/>
        </w:tabs>
        <w:ind w:left="-851" w:right="-232"/>
        <w:jc w:val="center"/>
        <w:rPr>
          <w:rFonts w:eastAsia="Times New Roman"/>
          <w:b/>
          <w:bCs/>
          <w:sz w:val="28"/>
          <w:szCs w:val="28"/>
          <w:lang w:val="es-ES_tradnl"/>
        </w:rPr>
      </w:pPr>
      <w:r>
        <w:rPr>
          <w:rFonts w:eastAsia="Times New Roman"/>
          <w:b/>
          <w:bCs/>
          <w:sz w:val="28"/>
          <w:szCs w:val="28"/>
          <w:lang w:val="es-ES_tradnl"/>
        </w:rPr>
        <w:t xml:space="preserve">     </w:t>
      </w:r>
    </w:p>
    <w:p w14:paraId="69C7AC51" w14:textId="77777777" w:rsidR="006A0E4E" w:rsidRPr="001C7633" w:rsidRDefault="006A0E4E" w:rsidP="006A0E4E">
      <w:pPr>
        <w:pStyle w:val="Default"/>
        <w:tabs>
          <w:tab w:val="left" w:pos="2410"/>
          <w:tab w:val="left" w:pos="3402"/>
          <w:tab w:val="left" w:pos="3686"/>
        </w:tabs>
        <w:ind w:left="-851" w:right="-232"/>
        <w:jc w:val="center"/>
        <w:rPr>
          <w:rFonts w:eastAsia="Times New Roman"/>
          <w:b/>
          <w:bCs/>
          <w:sz w:val="28"/>
          <w:szCs w:val="28"/>
          <w:lang w:val="es-ES_tradnl"/>
        </w:rPr>
      </w:pPr>
      <w:r>
        <w:rPr>
          <w:rFonts w:eastAsia="Times New Roman"/>
          <w:b/>
          <w:bCs/>
          <w:sz w:val="28"/>
          <w:szCs w:val="28"/>
          <w:lang w:val="es-ES_tradnl"/>
        </w:rPr>
        <w:t xml:space="preserve">          </w:t>
      </w:r>
      <w:r w:rsidRPr="001C7633">
        <w:rPr>
          <w:rFonts w:eastAsia="Times New Roman"/>
          <w:b/>
          <w:bCs/>
          <w:sz w:val="28"/>
          <w:szCs w:val="28"/>
          <w:lang w:val="es-ES_tradnl"/>
        </w:rPr>
        <w:t>INDICADORES TRIMESTRALES DE LA ACTIVIDAD TURÍSTICA</w:t>
      </w:r>
      <w:r w:rsidRPr="001C7633">
        <w:rPr>
          <w:b/>
          <w:color w:val="auto"/>
          <w:sz w:val="28"/>
          <w:szCs w:val="28"/>
          <w:vertAlign w:val="superscript"/>
        </w:rPr>
        <w:footnoteReference w:id="1"/>
      </w:r>
      <w:r w:rsidRPr="001C7633">
        <w:rPr>
          <w:rFonts w:eastAsia="Times New Roman"/>
          <w:b/>
          <w:bCs/>
          <w:sz w:val="28"/>
          <w:szCs w:val="28"/>
          <w:lang w:val="es-ES_tradnl"/>
        </w:rPr>
        <w:t xml:space="preserve"> </w:t>
      </w:r>
    </w:p>
    <w:p w14:paraId="2C2AA0C1" w14:textId="77777777" w:rsidR="006A0E4E" w:rsidRPr="001C7633" w:rsidRDefault="006A0E4E" w:rsidP="006A0E4E">
      <w:pPr>
        <w:pStyle w:val="Default"/>
        <w:tabs>
          <w:tab w:val="left" w:pos="2410"/>
          <w:tab w:val="left" w:pos="3402"/>
          <w:tab w:val="left" w:pos="3686"/>
        </w:tabs>
        <w:ind w:left="-851" w:right="-232"/>
        <w:jc w:val="center"/>
        <w:rPr>
          <w:rFonts w:eastAsia="Times New Roman"/>
          <w:b/>
          <w:bCs/>
          <w:sz w:val="28"/>
          <w:szCs w:val="28"/>
          <w:lang w:val="es-ES_tradnl"/>
        </w:rPr>
      </w:pPr>
      <w:r w:rsidRPr="001C7633">
        <w:rPr>
          <w:rFonts w:eastAsia="Times New Roman"/>
          <w:b/>
          <w:bCs/>
          <w:sz w:val="28"/>
          <w:szCs w:val="28"/>
          <w:lang w:val="es-ES_tradnl"/>
        </w:rPr>
        <w:t>DURANTE EL CUARTO TRIMESTRE DE 2019</w:t>
      </w:r>
    </w:p>
    <w:p w14:paraId="7A65D338" w14:textId="77777777" w:rsidR="006A0E4E" w:rsidRPr="001C7633" w:rsidRDefault="006A0E4E" w:rsidP="006A0E4E">
      <w:pPr>
        <w:pStyle w:val="Default"/>
        <w:jc w:val="center"/>
        <w:rPr>
          <w:rFonts w:eastAsia="Times New Roman"/>
          <w:b/>
          <w:bCs/>
          <w:i/>
          <w:lang w:val="es-ES_tradnl"/>
        </w:rPr>
      </w:pPr>
      <w:r w:rsidRPr="001C7633">
        <w:rPr>
          <w:rFonts w:eastAsia="Times New Roman"/>
          <w:b/>
          <w:bCs/>
          <w:i/>
          <w:lang w:val="es-ES_tradnl"/>
        </w:rPr>
        <w:t>(Cifras desestacionalizadas)</w:t>
      </w:r>
    </w:p>
    <w:p w14:paraId="2F64F3A5" w14:textId="77777777" w:rsidR="006A0E4E" w:rsidRPr="001C7633" w:rsidRDefault="006A0E4E" w:rsidP="006A0E4E">
      <w:pPr>
        <w:pStyle w:val="bullet"/>
        <w:widowControl/>
        <w:numPr>
          <w:ilvl w:val="0"/>
          <w:numId w:val="0"/>
        </w:numPr>
        <w:tabs>
          <w:tab w:val="left" w:pos="8364"/>
        </w:tabs>
        <w:spacing w:before="360"/>
        <w:ind w:left="-142" w:right="-405"/>
        <w:rPr>
          <w:b w:val="0"/>
          <w:bCs/>
          <w:color w:val="auto"/>
          <w:sz w:val="24"/>
          <w:szCs w:val="24"/>
        </w:rPr>
      </w:pPr>
      <w:r w:rsidRPr="001C7633">
        <w:rPr>
          <w:b w:val="0"/>
          <w:bCs/>
          <w:snapToGrid/>
          <w:color w:val="auto"/>
          <w:sz w:val="24"/>
          <w:szCs w:val="24"/>
        </w:rPr>
        <w:t xml:space="preserve">El Instituto Nacional de Estadística y Geografía (INEGI) presenta los resultados de los Indicadores Trimestrales de la Actividad Turística (ITAT) para el periodo octubre-diciembre de 2019. </w:t>
      </w:r>
    </w:p>
    <w:p w14:paraId="4EE3D4C9" w14:textId="77777777" w:rsidR="006A0E4E" w:rsidRPr="001C7633" w:rsidRDefault="006A0E4E" w:rsidP="006A0E4E">
      <w:pPr>
        <w:pStyle w:val="bullet"/>
        <w:widowControl/>
        <w:numPr>
          <w:ilvl w:val="0"/>
          <w:numId w:val="0"/>
        </w:numPr>
        <w:tabs>
          <w:tab w:val="left" w:pos="8364"/>
        </w:tabs>
        <w:spacing w:before="360"/>
        <w:ind w:left="-142" w:right="-405"/>
        <w:rPr>
          <w:b w:val="0"/>
          <w:bCs/>
          <w:snapToGrid/>
          <w:color w:val="auto"/>
          <w:sz w:val="24"/>
          <w:szCs w:val="24"/>
        </w:rPr>
      </w:pPr>
      <w:r w:rsidRPr="001C7633">
        <w:rPr>
          <w:b w:val="0"/>
          <w:bCs/>
          <w:snapToGrid/>
          <w:color w:val="auto"/>
          <w:sz w:val="24"/>
          <w:szCs w:val="24"/>
        </w:rPr>
        <w:t>En el cuarto trimestre del año pasado, el Indicador Trimestral del PIB Turístico registró una disminución de (-)0.6% y el del Consumo Turístico Interior descendió (-)0.3% en términos reales frente al trimestre inmediato anterior con cifras desestacionalizadas</w:t>
      </w:r>
      <w:r w:rsidRPr="001C7633">
        <w:rPr>
          <w:b w:val="0"/>
          <w:bCs/>
          <w:color w:val="auto"/>
          <w:sz w:val="24"/>
          <w:szCs w:val="24"/>
          <w:vertAlign w:val="superscript"/>
        </w:rPr>
        <w:footnoteReference w:id="2"/>
      </w:r>
      <w:r w:rsidRPr="001C7633">
        <w:rPr>
          <w:b w:val="0"/>
          <w:bCs/>
          <w:snapToGrid/>
          <w:color w:val="auto"/>
          <w:sz w:val="24"/>
          <w:szCs w:val="24"/>
        </w:rPr>
        <w:t>.</w:t>
      </w:r>
    </w:p>
    <w:p w14:paraId="156706AD" w14:textId="77777777" w:rsidR="006A0E4E" w:rsidRPr="00D94FAC" w:rsidRDefault="006A0E4E" w:rsidP="006A0E4E">
      <w:pPr>
        <w:pStyle w:val="Default"/>
        <w:spacing w:before="600"/>
        <w:jc w:val="center"/>
        <w:rPr>
          <w:rFonts w:eastAsia="Times New Roman"/>
          <w:b/>
          <w:smallCaps/>
          <w:snapToGrid w:val="0"/>
          <w:color w:val="auto"/>
          <w:sz w:val="22"/>
          <w:szCs w:val="22"/>
          <w:lang w:val="es-ES_tradnl"/>
        </w:rPr>
      </w:pPr>
      <w:r w:rsidRPr="002D5B11">
        <w:rPr>
          <w:rFonts w:eastAsia="Times New Roman"/>
          <w:b/>
          <w:smallCaps/>
          <w:snapToGrid w:val="0"/>
          <w:color w:val="auto"/>
          <w:sz w:val="22"/>
          <w:szCs w:val="22"/>
          <w:lang w:val="es-ES_tradnl"/>
        </w:rPr>
        <w:t xml:space="preserve">Indicador Trimestral del PIB Turístico </w:t>
      </w:r>
      <w:r>
        <w:rPr>
          <w:b/>
          <w:smallCaps/>
          <w:color w:val="auto"/>
          <w:sz w:val="22"/>
          <w:szCs w:val="22"/>
        </w:rPr>
        <w:t>y</w:t>
      </w:r>
      <w:r w:rsidRPr="002D5B11">
        <w:rPr>
          <w:b/>
          <w:smallCaps/>
          <w:color w:val="auto"/>
          <w:sz w:val="22"/>
          <w:szCs w:val="22"/>
        </w:rPr>
        <w:t xml:space="preserve"> </w:t>
      </w:r>
      <w:r>
        <w:rPr>
          <w:b/>
          <w:smallCaps/>
          <w:color w:val="auto"/>
          <w:sz w:val="22"/>
          <w:szCs w:val="22"/>
        </w:rPr>
        <w:t xml:space="preserve">del </w:t>
      </w:r>
      <w:r w:rsidRPr="002D5B11">
        <w:rPr>
          <w:b/>
          <w:smallCaps/>
          <w:color w:val="auto"/>
          <w:sz w:val="22"/>
          <w:szCs w:val="22"/>
        </w:rPr>
        <w:t xml:space="preserve">Consumo </w:t>
      </w:r>
      <w:r w:rsidRPr="00D94FAC">
        <w:rPr>
          <w:b/>
          <w:smallCaps/>
          <w:color w:val="auto"/>
          <w:sz w:val="22"/>
          <w:szCs w:val="22"/>
        </w:rPr>
        <w:t xml:space="preserve">Turístico </w:t>
      </w:r>
    </w:p>
    <w:p w14:paraId="2C77E4A7" w14:textId="77777777" w:rsidR="006A0E4E" w:rsidRPr="00D94FAC" w:rsidRDefault="006A0E4E" w:rsidP="006A0E4E">
      <w:pPr>
        <w:pStyle w:val="p0"/>
        <w:spacing w:before="0"/>
        <w:jc w:val="center"/>
        <w:rPr>
          <w:b/>
          <w:iCs/>
          <w:smallCaps/>
          <w:color w:val="auto"/>
          <w:sz w:val="22"/>
          <w:szCs w:val="22"/>
          <w:lang w:val="es-MX" w:eastAsia="es-MX"/>
        </w:rPr>
      </w:pPr>
      <w:r w:rsidRPr="00D94FAC">
        <w:rPr>
          <w:b/>
          <w:smallCaps/>
          <w:snapToGrid/>
          <w:color w:val="auto"/>
          <w:sz w:val="22"/>
          <w:szCs w:val="22"/>
        </w:rPr>
        <w:t>Interior</w:t>
      </w:r>
      <w:r w:rsidRPr="00D94FAC">
        <w:rPr>
          <w:rFonts w:cs="Arial"/>
          <w:b/>
          <w:smallCaps/>
          <w:color w:val="auto"/>
          <w:sz w:val="22"/>
          <w:szCs w:val="22"/>
        </w:rPr>
        <w:t xml:space="preserve"> durante el cuarto trimestre de 2019</w:t>
      </w:r>
      <w:r w:rsidRPr="00D94FAC">
        <w:rPr>
          <w:b/>
          <w:iCs/>
          <w:smallCaps/>
          <w:color w:val="auto"/>
          <w:sz w:val="22"/>
          <w:szCs w:val="22"/>
          <w:lang w:val="es-MX" w:eastAsia="es-MX"/>
        </w:rPr>
        <w:t xml:space="preserve"> </w:t>
      </w:r>
    </w:p>
    <w:p w14:paraId="0E8BB14A" w14:textId="77777777" w:rsidR="006A0E4E" w:rsidRDefault="006A0E4E" w:rsidP="006A0E4E">
      <w:pPr>
        <w:pStyle w:val="p0"/>
        <w:spacing w:before="0"/>
        <w:jc w:val="center"/>
        <w:rPr>
          <w:rFonts w:cs="Arial"/>
          <w:b/>
          <w:smallCaps/>
          <w:color w:val="auto"/>
          <w:sz w:val="22"/>
          <w:szCs w:val="22"/>
        </w:rPr>
      </w:pPr>
      <w:r>
        <w:rPr>
          <w:rFonts w:cs="Arial"/>
          <w:b/>
          <w:smallCaps/>
          <w:color w:val="auto"/>
          <w:sz w:val="22"/>
          <w:szCs w:val="22"/>
        </w:rPr>
        <w:t>Cifras desestacionalizadas por componentes</w:t>
      </w:r>
    </w:p>
    <w:tbl>
      <w:tblPr>
        <w:tblW w:w="0" w:type="auto"/>
        <w:jc w:val="center"/>
        <w:tblLayout w:type="fixed"/>
        <w:tblCellMar>
          <w:left w:w="107" w:type="dxa"/>
          <w:right w:w="107" w:type="dxa"/>
        </w:tblCellMar>
        <w:tblLook w:val="04A0" w:firstRow="1" w:lastRow="0" w:firstColumn="1" w:lastColumn="0" w:noHBand="0" w:noVBand="1"/>
      </w:tblPr>
      <w:tblGrid>
        <w:gridCol w:w="3104"/>
        <w:gridCol w:w="1559"/>
        <w:gridCol w:w="1701"/>
      </w:tblGrid>
      <w:tr w:rsidR="006A0E4E" w14:paraId="1A3ECDF7" w14:textId="77777777" w:rsidTr="007F105E">
        <w:trPr>
          <w:cantSplit/>
          <w:trHeight w:val="20"/>
          <w:jc w:val="center"/>
        </w:trPr>
        <w:tc>
          <w:tcPr>
            <w:tcW w:w="3104" w:type="dxa"/>
            <w:tcBorders>
              <w:top w:val="double" w:sz="4" w:space="0" w:color="auto"/>
              <w:left w:val="double" w:sz="4" w:space="0" w:color="auto"/>
              <w:bottom w:val="single" w:sz="8" w:space="0" w:color="404040"/>
              <w:right w:val="single" w:sz="8" w:space="0" w:color="404040"/>
            </w:tcBorders>
            <w:shd w:val="clear" w:color="auto" w:fill="C2D69B" w:themeFill="accent3" w:themeFillTint="99"/>
            <w:vAlign w:val="center"/>
            <w:hideMark/>
          </w:tcPr>
          <w:p w14:paraId="201D1676" w14:textId="77777777" w:rsidR="006A0E4E" w:rsidRDefault="006A0E4E" w:rsidP="007F105E">
            <w:pPr>
              <w:pStyle w:val="p0"/>
              <w:tabs>
                <w:tab w:val="left" w:pos="546"/>
              </w:tabs>
              <w:spacing w:before="120" w:after="120"/>
              <w:ind w:right="284"/>
              <w:jc w:val="center"/>
              <w:rPr>
                <w:rFonts w:cs="Arial"/>
                <w:color w:val="auto"/>
                <w:sz w:val="18"/>
                <w:lang w:val="es-ES"/>
              </w:rPr>
            </w:pPr>
            <w:r>
              <w:rPr>
                <w:rFonts w:cs="Arial"/>
                <w:color w:val="auto"/>
                <w:sz w:val="18"/>
                <w:lang w:val="es-ES"/>
              </w:rPr>
              <w:t>Concepto</w:t>
            </w:r>
          </w:p>
        </w:tc>
        <w:tc>
          <w:tcPr>
            <w:tcW w:w="1559" w:type="dxa"/>
            <w:tcBorders>
              <w:top w:val="double" w:sz="4" w:space="0" w:color="auto"/>
              <w:left w:val="single" w:sz="8" w:space="0" w:color="404040"/>
              <w:bottom w:val="single" w:sz="8" w:space="0" w:color="404040"/>
              <w:right w:val="single" w:sz="8" w:space="0" w:color="404040"/>
            </w:tcBorders>
            <w:shd w:val="clear" w:color="auto" w:fill="C2D69B" w:themeFill="accent3" w:themeFillTint="99"/>
            <w:hideMark/>
          </w:tcPr>
          <w:p w14:paraId="16F377A6" w14:textId="77777777" w:rsidR="006A0E4E" w:rsidRDefault="006A0E4E" w:rsidP="007F105E">
            <w:pPr>
              <w:pStyle w:val="p0"/>
              <w:keepNext/>
              <w:spacing w:before="60"/>
              <w:jc w:val="center"/>
              <w:rPr>
                <w:rFonts w:cs="Arial"/>
                <w:color w:val="auto"/>
                <w:sz w:val="18"/>
                <w:lang w:val="es-ES"/>
              </w:rPr>
            </w:pPr>
            <w:r>
              <w:rPr>
                <w:rFonts w:cs="Arial"/>
                <w:color w:val="auto"/>
                <w:sz w:val="18"/>
                <w:lang w:val="es-ES"/>
              </w:rPr>
              <w:t>Variación % respecto al trimestre previo</w:t>
            </w:r>
          </w:p>
        </w:tc>
        <w:tc>
          <w:tcPr>
            <w:tcW w:w="1701" w:type="dxa"/>
            <w:tcBorders>
              <w:top w:val="double" w:sz="4" w:space="0" w:color="auto"/>
              <w:left w:val="single" w:sz="8" w:space="0" w:color="404040"/>
              <w:bottom w:val="single" w:sz="8" w:space="0" w:color="404040"/>
              <w:right w:val="double" w:sz="4" w:space="0" w:color="auto"/>
            </w:tcBorders>
            <w:shd w:val="clear" w:color="auto" w:fill="C2D69B" w:themeFill="accent3" w:themeFillTint="99"/>
            <w:vAlign w:val="center"/>
            <w:hideMark/>
          </w:tcPr>
          <w:p w14:paraId="1541D96C" w14:textId="77777777" w:rsidR="006A0E4E" w:rsidRDefault="006A0E4E" w:rsidP="007F105E">
            <w:pPr>
              <w:pStyle w:val="p0"/>
              <w:keepNext/>
              <w:spacing w:before="60"/>
              <w:jc w:val="center"/>
              <w:rPr>
                <w:rFonts w:cs="Arial"/>
                <w:color w:val="auto"/>
                <w:sz w:val="18"/>
                <w:lang w:val="es-ES"/>
              </w:rPr>
            </w:pPr>
            <w:r>
              <w:rPr>
                <w:rFonts w:cs="Arial"/>
                <w:color w:val="auto"/>
                <w:sz w:val="18"/>
                <w:lang w:val="es-ES"/>
              </w:rPr>
              <w:t>Variación % respecto a igual trimestre de 2018</w:t>
            </w:r>
          </w:p>
        </w:tc>
      </w:tr>
      <w:tr w:rsidR="006A0E4E" w14:paraId="5BD2209E" w14:textId="77777777" w:rsidTr="007F105E">
        <w:trPr>
          <w:cantSplit/>
          <w:trHeight w:val="20"/>
          <w:jc w:val="center"/>
        </w:trPr>
        <w:tc>
          <w:tcPr>
            <w:tcW w:w="3104" w:type="dxa"/>
            <w:tcBorders>
              <w:top w:val="single" w:sz="8" w:space="0" w:color="404040"/>
              <w:left w:val="double" w:sz="4" w:space="0" w:color="auto"/>
              <w:bottom w:val="nil"/>
              <w:right w:val="single" w:sz="8" w:space="0" w:color="404040"/>
            </w:tcBorders>
            <w:hideMark/>
          </w:tcPr>
          <w:p w14:paraId="76704C60" w14:textId="77777777" w:rsidR="006A0E4E" w:rsidRPr="002F10D1" w:rsidRDefault="006A0E4E" w:rsidP="007F105E">
            <w:pPr>
              <w:pStyle w:val="p0"/>
              <w:spacing w:before="120" w:after="60"/>
              <w:ind w:firstLine="159"/>
              <w:rPr>
                <w:rFonts w:cs="Arial"/>
                <w:b/>
                <w:color w:val="auto"/>
                <w:sz w:val="18"/>
                <w:lang w:val="es-ES"/>
              </w:rPr>
            </w:pPr>
            <w:r>
              <w:rPr>
                <w:rFonts w:cs="Arial"/>
                <w:sz w:val="18"/>
              </w:rPr>
              <w:br w:type="page"/>
            </w:r>
            <w:r w:rsidRPr="002F10D1">
              <w:rPr>
                <w:rFonts w:cs="Arial"/>
                <w:b/>
                <w:color w:val="auto"/>
                <w:sz w:val="18"/>
                <w:lang w:val="es-ES"/>
              </w:rPr>
              <w:t xml:space="preserve">PIB </w:t>
            </w:r>
            <w:r>
              <w:rPr>
                <w:rFonts w:cs="Arial"/>
                <w:b/>
                <w:color w:val="auto"/>
                <w:sz w:val="18"/>
                <w:lang w:val="es-ES"/>
              </w:rPr>
              <w:t>T</w:t>
            </w:r>
            <w:r w:rsidRPr="002F10D1">
              <w:rPr>
                <w:rFonts w:cs="Arial"/>
                <w:b/>
                <w:color w:val="auto"/>
                <w:sz w:val="18"/>
                <w:lang w:val="es-ES"/>
              </w:rPr>
              <w:t xml:space="preserve">urístico </w:t>
            </w:r>
          </w:p>
        </w:tc>
        <w:tc>
          <w:tcPr>
            <w:tcW w:w="1559" w:type="dxa"/>
            <w:tcBorders>
              <w:top w:val="single" w:sz="8" w:space="0" w:color="404040"/>
              <w:left w:val="single" w:sz="8" w:space="0" w:color="404040"/>
              <w:bottom w:val="nil"/>
              <w:right w:val="single" w:sz="8" w:space="0" w:color="404040"/>
            </w:tcBorders>
            <w:vAlign w:val="center"/>
          </w:tcPr>
          <w:p w14:paraId="4D2F024C" w14:textId="77777777" w:rsidR="006A0E4E" w:rsidRPr="00874263" w:rsidRDefault="006A0E4E" w:rsidP="007F105E">
            <w:pPr>
              <w:tabs>
                <w:tab w:val="left" w:pos="307"/>
              </w:tabs>
              <w:spacing w:before="120" w:after="20"/>
              <w:ind w:right="567"/>
              <w:jc w:val="right"/>
              <w:rPr>
                <w:rFonts w:cs="Arial"/>
                <w:b/>
                <w:sz w:val="18"/>
                <w:lang w:val="es-ES" w:eastAsia="en-US"/>
              </w:rPr>
            </w:pPr>
            <w:r>
              <w:rPr>
                <w:rFonts w:cs="Arial"/>
                <w:b/>
                <w:sz w:val="18"/>
                <w:lang w:val="es-ES" w:eastAsia="en-US"/>
              </w:rPr>
              <w:t>(-)</w:t>
            </w:r>
            <w:r w:rsidRPr="00874263">
              <w:rPr>
                <w:rFonts w:cs="Arial"/>
                <w:b/>
                <w:sz w:val="18"/>
                <w:lang w:val="es-ES" w:eastAsia="en-US"/>
              </w:rPr>
              <w:t xml:space="preserve">   0.</w:t>
            </w:r>
            <w:r>
              <w:rPr>
                <w:rFonts w:cs="Arial"/>
                <w:b/>
                <w:sz w:val="18"/>
                <w:lang w:val="es-ES" w:eastAsia="en-US"/>
              </w:rPr>
              <w:t>6</w:t>
            </w:r>
          </w:p>
        </w:tc>
        <w:tc>
          <w:tcPr>
            <w:tcW w:w="1701" w:type="dxa"/>
            <w:tcBorders>
              <w:top w:val="single" w:sz="8" w:space="0" w:color="404040"/>
              <w:left w:val="single" w:sz="8" w:space="0" w:color="404040"/>
              <w:bottom w:val="nil"/>
              <w:right w:val="double" w:sz="4" w:space="0" w:color="auto"/>
            </w:tcBorders>
            <w:vAlign w:val="center"/>
          </w:tcPr>
          <w:p w14:paraId="1F780E87" w14:textId="77777777" w:rsidR="006A0E4E" w:rsidRPr="00874263" w:rsidRDefault="006A0E4E" w:rsidP="007F105E">
            <w:pPr>
              <w:tabs>
                <w:tab w:val="left" w:pos="307"/>
                <w:tab w:val="decimal" w:pos="881"/>
              </w:tabs>
              <w:spacing w:before="120" w:after="20"/>
              <w:ind w:right="567"/>
              <w:jc w:val="right"/>
              <w:rPr>
                <w:rFonts w:cs="Arial"/>
                <w:b/>
                <w:sz w:val="18"/>
                <w:lang w:val="es-ES" w:eastAsia="en-US"/>
              </w:rPr>
            </w:pPr>
            <w:r w:rsidRPr="00874263">
              <w:rPr>
                <w:rFonts w:cs="Arial"/>
                <w:b/>
                <w:sz w:val="18"/>
                <w:lang w:val="es-ES" w:eastAsia="en-US"/>
              </w:rPr>
              <w:t xml:space="preserve">   0.</w:t>
            </w:r>
            <w:r>
              <w:rPr>
                <w:rFonts w:cs="Arial"/>
                <w:b/>
                <w:sz w:val="18"/>
                <w:lang w:val="es-ES" w:eastAsia="en-US"/>
              </w:rPr>
              <w:t>7</w:t>
            </w:r>
          </w:p>
        </w:tc>
      </w:tr>
      <w:tr w:rsidR="006A0E4E" w14:paraId="1756FDBB" w14:textId="77777777" w:rsidTr="007F105E">
        <w:trPr>
          <w:cantSplit/>
          <w:trHeight w:val="20"/>
          <w:jc w:val="center"/>
        </w:trPr>
        <w:tc>
          <w:tcPr>
            <w:tcW w:w="3104" w:type="dxa"/>
            <w:tcBorders>
              <w:top w:val="nil"/>
              <w:left w:val="double" w:sz="4" w:space="0" w:color="auto"/>
              <w:bottom w:val="nil"/>
              <w:right w:val="single" w:sz="8" w:space="0" w:color="404040"/>
            </w:tcBorders>
            <w:hideMark/>
          </w:tcPr>
          <w:p w14:paraId="273A237E" w14:textId="77777777" w:rsidR="006A0E4E" w:rsidRDefault="006A0E4E" w:rsidP="007F105E">
            <w:pPr>
              <w:pStyle w:val="p0"/>
              <w:spacing w:before="0"/>
              <w:ind w:firstLine="454"/>
              <w:rPr>
                <w:rFonts w:cs="Arial"/>
                <w:color w:val="auto"/>
                <w:sz w:val="18"/>
                <w:lang w:val="es-ES"/>
              </w:rPr>
            </w:pPr>
            <w:r>
              <w:rPr>
                <w:rFonts w:cs="Arial"/>
                <w:color w:val="auto"/>
                <w:sz w:val="18"/>
                <w:lang w:val="es-ES"/>
              </w:rPr>
              <w:t>Bienes</w:t>
            </w:r>
          </w:p>
        </w:tc>
        <w:tc>
          <w:tcPr>
            <w:tcW w:w="1559" w:type="dxa"/>
            <w:tcBorders>
              <w:top w:val="nil"/>
              <w:left w:val="single" w:sz="8" w:space="0" w:color="404040"/>
              <w:bottom w:val="nil"/>
              <w:right w:val="single" w:sz="8" w:space="0" w:color="404040"/>
            </w:tcBorders>
            <w:hideMark/>
          </w:tcPr>
          <w:p w14:paraId="7C70674C" w14:textId="77777777" w:rsidR="006A0E4E" w:rsidRPr="00874263" w:rsidRDefault="006A0E4E" w:rsidP="007F105E">
            <w:pPr>
              <w:tabs>
                <w:tab w:val="left" w:pos="307"/>
              </w:tabs>
              <w:ind w:right="567"/>
              <w:jc w:val="right"/>
              <w:rPr>
                <w:rFonts w:cs="Arial"/>
                <w:sz w:val="18"/>
                <w:lang w:val="es-ES" w:eastAsia="en-US"/>
              </w:rPr>
            </w:pPr>
            <w:r>
              <w:rPr>
                <w:rFonts w:cs="Arial"/>
                <w:sz w:val="18"/>
                <w:lang w:val="es-ES" w:eastAsia="en-US"/>
              </w:rPr>
              <w:t>(-)   0</w:t>
            </w:r>
            <w:r w:rsidRPr="00874263">
              <w:rPr>
                <w:rFonts w:cs="Arial"/>
                <w:sz w:val="18"/>
                <w:lang w:val="es-ES" w:eastAsia="en-US"/>
              </w:rPr>
              <w:t>.</w:t>
            </w:r>
            <w:r>
              <w:rPr>
                <w:rFonts w:cs="Arial"/>
                <w:sz w:val="18"/>
                <w:lang w:val="es-ES" w:eastAsia="en-US"/>
              </w:rPr>
              <w:t>7</w:t>
            </w:r>
          </w:p>
        </w:tc>
        <w:tc>
          <w:tcPr>
            <w:tcW w:w="1701" w:type="dxa"/>
            <w:tcBorders>
              <w:top w:val="nil"/>
              <w:left w:val="single" w:sz="8" w:space="0" w:color="404040"/>
              <w:bottom w:val="nil"/>
              <w:right w:val="double" w:sz="4" w:space="0" w:color="auto"/>
            </w:tcBorders>
            <w:hideMark/>
          </w:tcPr>
          <w:p w14:paraId="7F37B63B" w14:textId="77777777" w:rsidR="006A0E4E" w:rsidRPr="00874263" w:rsidRDefault="006A0E4E" w:rsidP="007F105E">
            <w:pPr>
              <w:tabs>
                <w:tab w:val="left" w:pos="307"/>
                <w:tab w:val="decimal" w:pos="881"/>
              </w:tabs>
              <w:ind w:right="567"/>
              <w:jc w:val="right"/>
              <w:rPr>
                <w:rFonts w:cs="Arial"/>
                <w:sz w:val="18"/>
                <w:lang w:val="es-ES" w:eastAsia="en-US"/>
              </w:rPr>
            </w:pPr>
            <w:r w:rsidRPr="00874263">
              <w:rPr>
                <w:rFonts w:cs="Arial"/>
                <w:sz w:val="18"/>
                <w:lang w:val="es-ES" w:eastAsia="en-US"/>
              </w:rPr>
              <w:t xml:space="preserve">   0.</w:t>
            </w:r>
            <w:r>
              <w:rPr>
                <w:rFonts w:cs="Arial"/>
                <w:sz w:val="18"/>
                <w:lang w:val="es-ES" w:eastAsia="en-US"/>
              </w:rPr>
              <w:t>9</w:t>
            </w:r>
          </w:p>
        </w:tc>
      </w:tr>
      <w:tr w:rsidR="006A0E4E" w14:paraId="48345991" w14:textId="77777777" w:rsidTr="007F105E">
        <w:trPr>
          <w:cantSplit/>
          <w:trHeight w:val="20"/>
          <w:jc w:val="center"/>
        </w:trPr>
        <w:tc>
          <w:tcPr>
            <w:tcW w:w="3104" w:type="dxa"/>
            <w:tcBorders>
              <w:top w:val="nil"/>
              <w:left w:val="double" w:sz="4" w:space="0" w:color="auto"/>
              <w:bottom w:val="nil"/>
              <w:right w:val="single" w:sz="8" w:space="0" w:color="404040"/>
            </w:tcBorders>
            <w:hideMark/>
          </w:tcPr>
          <w:p w14:paraId="7F50B1FE" w14:textId="77777777" w:rsidR="006A0E4E" w:rsidRDefault="006A0E4E" w:rsidP="007F105E">
            <w:pPr>
              <w:pStyle w:val="p0"/>
              <w:spacing w:before="0"/>
              <w:ind w:firstLine="454"/>
              <w:rPr>
                <w:rFonts w:cs="Arial"/>
                <w:color w:val="auto"/>
                <w:sz w:val="18"/>
                <w:lang w:val="es-ES"/>
              </w:rPr>
            </w:pPr>
            <w:r>
              <w:rPr>
                <w:rFonts w:cs="Arial"/>
                <w:color w:val="auto"/>
                <w:sz w:val="18"/>
                <w:lang w:val="es-ES"/>
              </w:rPr>
              <w:t>Servicios</w:t>
            </w:r>
          </w:p>
        </w:tc>
        <w:tc>
          <w:tcPr>
            <w:tcW w:w="1559" w:type="dxa"/>
            <w:tcBorders>
              <w:top w:val="nil"/>
              <w:left w:val="single" w:sz="8" w:space="0" w:color="404040"/>
              <w:bottom w:val="nil"/>
              <w:right w:val="single" w:sz="8" w:space="0" w:color="404040"/>
            </w:tcBorders>
            <w:hideMark/>
          </w:tcPr>
          <w:p w14:paraId="55C94CEA" w14:textId="77777777" w:rsidR="006A0E4E" w:rsidRPr="00874263" w:rsidRDefault="006A0E4E" w:rsidP="007F105E">
            <w:pPr>
              <w:tabs>
                <w:tab w:val="left" w:pos="307"/>
              </w:tabs>
              <w:ind w:right="567"/>
              <w:jc w:val="right"/>
              <w:rPr>
                <w:rFonts w:cs="Arial"/>
                <w:sz w:val="18"/>
                <w:lang w:val="es-ES" w:eastAsia="en-US"/>
              </w:rPr>
            </w:pPr>
            <w:r w:rsidRPr="00874263">
              <w:rPr>
                <w:rFonts w:cs="Arial"/>
                <w:sz w:val="18"/>
                <w:lang w:val="es-ES" w:eastAsia="en-US"/>
              </w:rPr>
              <w:t>(-)   0.</w:t>
            </w:r>
            <w:r>
              <w:rPr>
                <w:rFonts w:cs="Arial"/>
                <w:sz w:val="18"/>
                <w:lang w:val="es-ES" w:eastAsia="en-US"/>
              </w:rPr>
              <w:t>6</w:t>
            </w:r>
          </w:p>
        </w:tc>
        <w:tc>
          <w:tcPr>
            <w:tcW w:w="1701" w:type="dxa"/>
            <w:tcBorders>
              <w:top w:val="nil"/>
              <w:left w:val="single" w:sz="8" w:space="0" w:color="404040"/>
              <w:bottom w:val="nil"/>
              <w:right w:val="double" w:sz="4" w:space="0" w:color="auto"/>
            </w:tcBorders>
            <w:hideMark/>
          </w:tcPr>
          <w:p w14:paraId="26989FBA" w14:textId="77777777" w:rsidR="006A0E4E" w:rsidRPr="00874263" w:rsidRDefault="006A0E4E" w:rsidP="007F105E">
            <w:pPr>
              <w:tabs>
                <w:tab w:val="left" w:pos="307"/>
                <w:tab w:val="decimal" w:pos="881"/>
              </w:tabs>
              <w:ind w:right="567"/>
              <w:jc w:val="right"/>
              <w:rPr>
                <w:rFonts w:cs="Arial"/>
                <w:sz w:val="18"/>
                <w:lang w:val="es-ES" w:eastAsia="en-US"/>
              </w:rPr>
            </w:pPr>
            <w:r w:rsidRPr="00874263">
              <w:rPr>
                <w:rFonts w:cs="Arial"/>
                <w:sz w:val="18"/>
                <w:lang w:val="es-ES" w:eastAsia="en-US"/>
              </w:rPr>
              <w:t xml:space="preserve">   0.</w:t>
            </w:r>
            <w:r>
              <w:rPr>
                <w:rFonts w:cs="Arial"/>
                <w:sz w:val="18"/>
                <w:lang w:val="es-ES" w:eastAsia="en-US"/>
              </w:rPr>
              <w:t>6</w:t>
            </w:r>
          </w:p>
        </w:tc>
      </w:tr>
      <w:tr w:rsidR="006A0E4E" w14:paraId="40B4ECD6" w14:textId="77777777" w:rsidTr="007F105E">
        <w:trPr>
          <w:cantSplit/>
          <w:trHeight w:val="20"/>
          <w:jc w:val="center"/>
        </w:trPr>
        <w:tc>
          <w:tcPr>
            <w:tcW w:w="3104" w:type="dxa"/>
            <w:tcBorders>
              <w:top w:val="nil"/>
              <w:left w:val="double" w:sz="4" w:space="0" w:color="auto"/>
              <w:bottom w:val="nil"/>
              <w:right w:val="single" w:sz="8" w:space="0" w:color="404040"/>
            </w:tcBorders>
            <w:hideMark/>
          </w:tcPr>
          <w:p w14:paraId="1B5CF5F5" w14:textId="77777777" w:rsidR="006A0E4E" w:rsidRPr="002F10D1" w:rsidRDefault="006A0E4E" w:rsidP="007F105E">
            <w:pPr>
              <w:pStyle w:val="p0"/>
              <w:spacing w:before="120" w:after="60"/>
              <w:ind w:firstLine="159"/>
              <w:rPr>
                <w:rFonts w:cs="Arial"/>
                <w:b/>
                <w:color w:val="auto"/>
                <w:sz w:val="18"/>
                <w:lang w:val="es-ES"/>
              </w:rPr>
            </w:pPr>
            <w:r w:rsidRPr="002F10D1">
              <w:rPr>
                <w:rFonts w:cs="Arial"/>
                <w:b/>
                <w:color w:val="auto"/>
                <w:sz w:val="18"/>
                <w:lang w:val="es-ES"/>
              </w:rPr>
              <w:t xml:space="preserve">Consumo </w:t>
            </w:r>
            <w:r>
              <w:rPr>
                <w:rFonts w:cs="Arial"/>
                <w:b/>
                <w:color w:val="auto"/>
                <w:sz w:val="18"/>
                <w:lang w:val="es-ES"/>
              </w:rPr>
              <w:t>T</w:t>
            </w:r>
            <w:r w:rsidRPr="002F10D1">
              <w:rPr>
                <w:rFonts w:cs="Arial"/>
                <w:b/>
                <w:color w:val="auto"/>
                <w:sz w:val="18"/>
                <w:lang w:val="es-ES"/>
              </w:rPr>
              <w:t>urístico Interior</w:t>
            </w:r>
          </w:p>
        </w:tc>
        <w:tc>
          <w:tcPr>
            <w:tcW w:w="1559" w:type="dxa"/>
            <w:tcBorders>
              <w:top w:val="nil"/>
              <w:left w:val="single" w:sz="8" w:space="0" w:color="404040"/>
              <w:bottom w:val="nil"/>
              <w:right w:val="single" w:sz="8" w:space="0" w:color="404040"/>
            </w:tcBorders>
          </w:tcPr>
          <w:p w14:paraId="58546928" w14:textId="77777777" w:rsidR="006A0E4E" w:rsidRPr="00874263" w:rsidRDefault="006A0E4E" w:rsidP="007F105E">
            <w:pPr>
              <w:tabs>
                <w:tab w:val="left" w:pos="307"/>
              </w:tabs>
              <w:spacing w:before="120" w:after="20"/>
              <w:ind w:right="567"/>
              <w:jc w:val="right"/>
              <w:rPr>
                <w:rFonts w:cs="Arial"/>
                <w:b/>
                <w:sz w:val="18"/>
                <w:lang w:val="es-ES" w:eastAsia="en-US"/>
              </w:rPr>
            </w:pPr>
            <w:r>
              <w:rPr>
                <w:rFonts w:cs="Arial"/>
                <w:b/>
                <w:sz w:val="18"/>
                <w:lang w:val="es-ES" w:eastAsia="en-US"/>
              </w:rPr>
              <w:t xml:space="preserve">(-)   </w:t>
            </w:r>
            <w:r w:rsidRPr="00874263">
              <w:rPr>
                <w:rFonts w:cs="Arial"/>
                <w:b/>
                <w:sz w:val="18"/>
                <w:lang w:val="es-ES" w:eastAsia="en-US"/>
              </w:rPr>
              <w:t>0.</w:t>
            </w:r>
            <w:r>
              <w:rPr>
                <w:rFonts w:cs="Arial"/>
                <w:b/>
                <w:sz w:val="18"/>
                <w:lang w:val="es-ES" w:eastAsia="en-US"/>
              </w:rPr>
              <w:t>3</w:t>
            </w:r>
          </w:p>
        </w:tc>
        <w:tc>
          <w:tcPr>
            <w:tcW w:w="1701" w:type="dxa"/>
            <w:tcBorders>
              <w:top w:val="nil"/>
              <w:left w:val="single" w:sz="8" w:space="0" w:color="404040"/>
              <w:bottom w:val="nil"/>
              <w:right w:val="double" w:sz="4" w:space="0" w:color="auto"/>
            </w:tcBorders>
          </w:tcPr>
          <w:p w14:paraId="3953035E" w14:textId="77777777" w:rsidR="006A0E4E" w:rsidRPr="00874263" w:rsidRDefault="006A0E4E" w:rsidP="007F105E">
            <w:pPr>
              <w:tabs>
                <w:tab w:val="left" w:pos="307"/>
                <w:tab w:val="decimal" w:pos="881"/>
              </w:tabs>
              <w:spacing w:before="120" w:after="20"/>
              <w:ind w:right="567"/>
              <w:jc w:val="right"/>
              <w:rPr>
                <w:rFonts w:cs="Arial"/>
                <w:b/>
                <w:sz w:val="18"/>
                <w:lang w:val="es-ES" w:eastAsia="en-US"/>
              </w:rPr>
            </w:pPr>
            <w:r w:rsidRPr="00874263">
              <w:rPr>
                <w:rFonts w:cs="Arial"/>
                <w:b/>
                <w:sz w:val="18"/>
                <w:lang w:val="es-ES" w:eastAsia="en-US"/>
              </w:rPr>
              <w:t xml:space="preserve">   0.</w:t>
            </w:r>
            <w:r>
              <w:rPr>
                <w:rFonts w:cs="Arial"/>
                <w:b/>
                <w:sz w:val="18"/>
                <w:lang w:val="es-ES" w:eastAsia="en-US"/>
              </w:rPr>
              <w:t>0</w:t>
            </w:r>
          </w:p>
        </w:tc>
      </w:tr>
      <w:tr w:rsidR="006A0E4E" w14:paraId="56C93278" w14:textId="77777777" w:rsidTr="007F105E">
        <w:trPr>
          <w:cantSplit/>
          <w:trHeight w:val="20"/>
          <w:jc w:val="center"/>
        </w:trPr>
        <w:tc>
          <w:tcPr>
            <w:tcW w:w="3104" w:type="dxa"/>
            <w:tcBorders>
              <w:top w:val="nil"/>
              <w:left w:val="double" w:sz="4" w:space="0" w:color="auto"/>
              <w:right w:val="single" w:sz="8" w:space="0" w:color="404040"/>
            </w:tcBorders>
          </w:tcPr>
          <w:p w14:paraId="77EEB6B7" w14:textId="77777777" w:rsidR="006A0E4E" w:rsidRPr="00053A68" w:rsidRDefault="006A0E4E" w:rsidP="007F105E">
            <w:pPr>
              <w:pStyle w:val="p0"/>
              <w:spacing w:before="0"/>
              <w:ind w:firstLine="454"/>
              <w:rPr>
                <w:rFonts w:cs="Arial"/>
                <w:color w:val="auto"/>
                <w:sz w:val="18"/>
                <w:lang w:val="es-ES"/>
              </w:rPr>
            </w:pPr>
            <w:r w:rsidRPr="002D5B11">
              <w:rPr>
                <w:rFonts w:cs="Arial"/>
                <w:color w:val="auto"/>
                <w:sz w:val="18"/>
                <w:lang w:val="es-ES"/>
              </w:rPr>
              <w:t>Interno</w:t>
            </w:r>
          </w:p>
        </w:tc>
        <w:tc>
          <w:tcPr>
            <w:tcW w:w="1559" w:type="dxa"/>
            <w:tcBorders>
              <w:top w:val="nil"/>
              <w:left w:val="single" w:sz="8" w:space="0" w:color="404040"/>
              <w:right w:val="single" w:sz="8" w:space="0" w:color="404040"/>
            </w:tcBorders>
          </w:tcPr>
          <w:p w14:paraId="1BE476AE" w14:textId="77777777" w:rsidR="006A0E4E" w:rsidRPr="00874263" w:rsidRDefault="006A0E4E" w:rsidP="007F105E">
            <w:pPr>
              <w:tabs>
                <w:tab w:val="left" w:pos="307"/>
                <w:tab w:val="decimal" w:pos="881"/>
              </w:tabs>
              <w:ind w:right="567"/>
              <w:jc w:val="right"/>
              <w:rPr>
                <w:rFonts w:cs="Arial"/>
                <w:sz w:val="18"/>
                <w:lang w:val="es-ES"/>
              </w:rPr>
            </w:pPr>
            <w:r w:rsidRPr="00874263">
              <w:rPr>
                <w:rFonts w:cs="Arial"/>
                <w:sz w:val="18"/>
                <w:lang w:val="es-ES"/>
              </w:rPr>
              <w:t xml:space="preserve">   0.</w:t>
            </w:r>
            <w:r>
              <w:rPr>
                <w:rFonts w:cs="Arial"/>
                <w:sz w:val="18"/>
                <w:lang w:val="es-ES"/>
              </w:rPr>
              <w:t>8</w:t>
            </w:r>
          </w:p>
        </w:tc>
        <w:tc>
          <w:tcPr>
            <w:tcW w:w="1701" w:type="dxa"/>
            <w:tcBorders>
              <w:top w:val="nil"/>
              <w:left w:val="single" w:sz="8" w:space="0" w:color="404040"/>
              <w:right w:val="double" w:sz="4" w:space="0" w:color="auto"/>
            </w:tcBorders>
          </w:tcPr>
          <w:p w14:paraId="26A9AFC7" w14:textId="77777777" w:rsidR="006A0E4E" w:rsidRPr="00874263" w:rsidRDefault="006A0E4E" w:rsidP="007F105E">
            <w:pPr>
              <w:tabs>
                <w:tab w:val="left" w:pos="307"/>
                <w:tab w:val="decimal" w:pos="881"/>
              </w:tabs>
              <w:ind w:right="567"/>
              <w:jc w:val="right"/>
              <w:rPr>
                <w:rFonts w:cs="Arial"/>
                <w:sz w:val="18"/>
                <w:lang w:val="es-ES"/>
              </w:rPr>
            </w:pPr>
            <w:r w:rsidRPr="00874263">
              <w:rPr>
                <w:rFonts w:cs="Arial"/>
                <w:sz w:val="18"/>
                <w:lang w:val="es-ES"/>
              </w:rPr>
              <w:t xml:space="preserve">   1.</w:t>
            </w:r>
            <w:r>
              <w:rPr>
                <w:rFonts w:cs="Arial"/>
                <w:sz w:val="18"/>
                <w:lang w:val="es-ES"/>
              </w:rPr>
              <w:t>0</w:t>
            </w:r>
          </w:p>
        </w:tc>
      </w:tr>
      <w:tr w:rsidR="006A0E4E" w14:paraId="38195A19" w14:textId="77777777" w:rsidTr="007F105E">
        <w:trPr>
          <w:cantSplit/>
          <w:trHeight w:val="20"/>
          <w:jc w:val="center"/>
        </w:trPr>
        <w:tc>
          <w:tcPr>
            <w:tcW w:w="3104" w:type="dxa"/>
            <w:tcBorders>
              <w:top w:val="nil"/>
              <w:left w:val="double" w:sz="4" w:space="0" w:color="auto"/>
              <w:bottom w:val="double" w:sz="4" w:space="0" w:color="auto"/>
              <w:right w:val="single" w:sz="8" w:space="0" w:color="404040"/>
            </w:tcBorders>
          </w:tcPr>
          <w:p w14:paraId="7FA202E0" w14:textId="77777777" w:rsidR="006A0E4E" w:rsidRDefault="006A0E4E" w:rsidP="007F105E">
            <w:pPr>
              <w:pStyle w:val="p0"/>
              <w:spacing w:before="0" w:after="60"/>
              <w:ind w:firstLine="454"/>
              <w:rPr>
                <w:rFonts w:cs="Arial"/>
                <w:color w:val="auto"/>
                <w:sz w:val="18"/>
                <w:lang w:val="es-ES"/>
              </w:rPr>
            </w:pPr>
            <w:r>
              <w:rPr>
                <w:rFonts w:cs="Arial"/>
                <w:color w:val="auto"/>
                <w:sz w:val="18"/>
                <w:lang w:val="es-ES"/>
              </w:rPr>
              <w:t>Receptivo</w:t>
            </w:r>
          </w:p>
        </w:tc>
        <w:tc>
          <w:tcPr>
            <w:tcW w:w="1559" w:type="dxa"/>
            <w:tcBorders>
              <w:top w:val="nil"/>
              <w:left w:val="single" w:sz="8" w:space="0" w:color="404040"/>
              <w:bottom w:val="double" w:sz="4" w:space="0" w:color="auto"/>
              <w:right w:val="single" w:sz="8" w:space="0" w:color="404040"/>
            </w:tcBorders>
          </w:tcPr>
          <w:p w14:paraId="0555510D" w14:textId="77777777" w:rsidR="006A0E4E" w:rsidRPr="00874263" w:rsidRDefault="006A0E4E" w:rsidP="007F105E">
            <w:pPr>
              <w:tabs>
                <w:tab w:val="left" w:pos="307"/>
                <w:tab w:val="decimal" w:pos="881"/>
              </w:tabs>
              <w:spacing w:after="60"/>
              <w:ind w:right="567"/>
              <w:jc w:val="right"/>
              <w:rPr>
                <w:rFonts w:cs="Arial"/>
                <w:sz w:val="18"/>
                <w:lang w:val="es-ES"/>
              </w:rPr>
            </w:pPr>
            <w:r>
              <w:rPr>
                <w:rFonts w:cs="Arial"/>
                <w:sz w:val="18"/>
                <w:lang w:val="es-ES"/>
              </w:rPr>
              <w:t>(-)</w:t>
            </w:r>
            <w:r w:rsidRPr="00874263">
              <w:rPr>
                <w:rFonts w:cs="Arial"/>
                <w:sz w:val="18"/>
                <w:lang w:val="es-ES"/>
              </w:rPr>
              <w:t xml:space="preserve">   </w:t>
            </w:r>
            <w:r>
              <w:rPr>
                <w:rFonts w:cs="Arial"/>
                <w:sz w:val="18"/>
                <w:lang w:val="es-ES"/>
              </w:rPr>
              <w:t>7</w:t>
            </w:r>
            <w:r w:rsidRPr="00874263">
              <w:rPr>
                <w:rFonts w:cs="Arial"/>
                <w:sz w:val="18"/>
                <w:lang w:val="es-ES"/>
              </w:rPr>
              <w:t>.</w:t>
            </w:r>
            <w:r>
              <w:rPr>
                <w:rFonts w:cs="Arial"/>
                <w:sz w:val="18"/>
                <w:lang w:val="es-ES"/>
              </w:rPr>
              <w:t>6</w:t>
            </w:r>
          </w:p>
        </w:tc>
        <w:tc>
          <w:tcPr>
            <w:tcW w:w="1701" w:type="dxa"/>
            <w:tcBorders>
              <w:top w:val="nil"/>
              <w:left w:val="single" w:sz="8" w:space="0" w:color="404040"/>
              <w:bottom w:val="double" w:sz="4" w:space="0" w:color="auto"/>
              <w:right w:val="double" w:sz="4" w:space="0" w:color="auto"/>
            </w:tcBorders>
          </w:tcPr>
          <w:p w14:paraId="351314FF" w14:textId="77777777" w:rsidR="006A0E4E" w:rsidRPr="00874263" w:rsidRDefault="006A0E4E" w:rsidP="007F105E">
            <w:pPr>
              <w:tabs>
                <w:tab w:val="left" w:pos="307"/>
                <w:tab w:val="decimal" w:pos="881"/>
              </w:tabs>
              <w:spacing w:after="60"/>
              <w:ind w:right="567"/>
              <w:jc w:val="right"/>
              <w:rPr>
                <w:rFonts w:cs="Arial"/>
                <w:sz w:val="18"/>
                <w:lang w:val="es-ES"/>
              </w:rPr>
            </w:pPr>
            <w:r>
              <w:rPr>
                <w:rFonts w:cs="Arial"/>
                <w:sz w:val="18"/>
                <w:lang w:val="es-ES"/>
              </w:rPr>
              <w:t>(-)   4</w:t>
            </w:r>
            <w:r w:rsidRPr="00874263">
              <w:rPr>
                <w:rFonts w:cs="Arial"/>
                <w:sz w:val="18"/>
                <w:lang w:val="es-ES"/>
              </w:rPr>
              <w:t>.7</w:t>
            </w:r>
          </w:p>
        </w:tc>
      </w:tr>
    </w:tbl>
    <w:p w14:paraId="3FA2344B" w14:textId="77777777" w:rsidR="006A0E4E" w:rsidRDefault="006A0E4E" w:rsidP="006A0E4E">
      <w:pPr>
        <w:pStyle w:val="Textoindependiente"/>
        <w:ind w:left="720" w:right="1185" w:firstLine="720"/>
        <w:contextualSpacing/>
        <w:rPr>
          <w:snapToGrid/>
          <w:color w:val="auto"/>
          <w:sz w:val="16"/>
          <w:szCs w:val="22"/>
        </w:rPr>
      </w:pPr>
      <w:r>
        <w:rPr>
          <w:sz w:val="16"/>
          <w:szCs w:val="16"/>
        </w:rPr>
        <w:t>Nota:    L</w:t>
      </w:r>
      <w:r w:rsidRPr="00CD2934">
        <w:rPr>
          <w:color w:val="auto"/>
          <w:sz w:val="16"/>
        </w:rPr>
        <w:t>a</w:t>
      </w:r>
      <w:r>
        <w:rPr>
          <w:color w:val="auto"/>
          <w:sz w:val="16"/>
        </w:rPr>
        <w:t>s</w:t>
      </w:r>
      <w:r w:rsidRPr="00CD2934">
        <w:rPr>
          <w:color w:val="auto"/>
          <w:sz w:val="16"/>
        </w:rPr>
        <w:t xml:space="preserve"> serie</w:t>
      </w:r>
      <w:r>
        <w:rPr>
          <w:color w:val="auto"/>
          <w:sz w:val="16"/>
        </w:rPr>
        <w:t>s</w:t>
      </w:r>
      <w:r w:rsidRPr="00CD2934">
        <w:rPr>
          <w:color w:val="auto"/>
          <w:sz w:val="16"/>
        </w:rPr>
        <w:t xml:space="preserve"> desestacionalizada</w:t>
      </w:r>
      <w:r>
        <w:rPr>
          <w:color w:val="auto"/>
          <w:sz w:val="16"/>
        </w:rPr>
        <w:t>s</w:t>
      </w:r>
      <w:r w:rsidRPr="00CD2934">
        <w:rPr>
          <w:color w:val="auto"/>
          <w:sz w:val="16"/>
        </w:rPr>
        <w:t xml:space="preserve"> del </w:t>
      </w:r>
      <w:r w:rsidRPr="00CD2934">
        <w:rPr>
          <w:snapToGrid/>
          <w:color w:val="auto"/>
          <w:sz w:val="16"/>
          <w:szCs w:val="22"/>
        </w:rPr>
        <w:t>Indicador Trimestral del PIB Turístico</w:t>
      </w:r>
      <w:r w:rsidRPr="00E81E9F">
        <w:rPr>
          <w:color w:val="auto"/>
          <w:sz w:val="16"/>
        </w:rPr>
        <w:t xml:space="preserve"> </w:t>
      </w:r>
      <w:r>
        <w:rPr>
          <w:color w:val="auto"/>
          <w:sz w:val="16"/>
        </w:rPr>
        <w:t>y del</w:t>
      </w:r>
    </w:p>
    <w:p w14:paraId="4CBCF876" w14:textId="77777777" w:rsidR="006A0E4E" w:rsidRDefault="006A0E4E" w:rsidP="006A0E4E">
      <w:pPr>
        <w:pStyle w:val="Textoindependiente"/>
        <w:ind w:left="1440" w:right="1185"/>
        <w:contextualSpacing/>
        <w:rPr>
          <w:color w:val="auto"/>
          <w:sz w:val="16"/>
        </w:rPr>
      </w:pPr>
      <w:r>
        <w:rPr>
          <w:color w:val="auto"/>
          <w:sz w:val="16"/>
        </w:rPr>
        <w:t xml:space="preserve">            Consumo Turístico Interior </w:t>
      </w:r>
      <w:r w:rsidRPr="00CD2934">
        <w:rPr>
          <w:color w:val="auto"/>
          <w:sz w:val="16"/>
        </w:rPr>
        <w:t>se calcula</w:t>
      </w:r>
      <w:r>
        <w:rPr>
          <w:color w:val="auto"/>
          <w:sz w:val="16"/>
        </w:rPr>
        <w:t xml:space="preserve">n </w:t>
      </w:r>
      <w:r w:rsidRPr="00CD2934">
        <w:rPr>
          <w:color w:val="auto"/>
          <w:sz w:val="16"/>
        </w:rPr>
        <w:t>de manera</w:t>
      </w:r>
      <w:r>
        <w:rPr>
          <w:color w:val="auto"/>
          <w:sz w:val="16"/>
        </w:rPr>
        <w:t xml:space="preserve"> </w:t>
      </w:r>
      <w:r w:rsidRPr="00CD2934">
        <w:rPr>
          <w:color w:val="auto"/>
          <w:sz w:val="16"/>
        </w:rPr>
        <w:t>independiente a la</w:t>
      </w:r>
      <w:r>
        <w:rPr>
          <w:color w:val="auto"/>
          <w:sz w:val="16"/>
        </w:rPr>
        <w:t>s</w:t>
      </w:r>
      <w:r w:rsidRPr="00CD2934">
        <w:rPr>
          <w:color w:val="auto"/>
          <w:sz w:val="16"/>
        </w:rPr>
        <w:t xml:space="preserve"> de sus</w:t>
      </w:r>
      <w:r>
        <w:rPr>
          <w:color w:val="auto"/>
          <w:sz w:val="16"/>
        </w:rPr>
        <w:t xml:space="preserve"> </w:t>
      </w:r>
    </w:p>
    <w:p w14:paraId="0894B132" w14:textId="77777777" w:rsidR="006A0E4E" w:rsidRDefault="006A0E4E" w:rsidP="006A0E4E">
      <w:pPr>
        <w:pStyle w:val="Textoindependiente"/>
        <w:ind w:left="1418" w:right="1185" w:firstLine="22"/>
        <w:contextualSpacing/>
        <w:rPr>
          <w:sz w:val="16"/>
          <w:szCs w:val="16"/>
        </w:rPr>
      </w:pPr>
      <w:r>
        <w:rPr>
          <w:color w:val="auto"/>
          <w:sz w:val="16"/>
        </w:rPr>
        <w:t xml:space="preserve">            componentes.</w:t>
      </w:r>
    </w:p>
    <w:p w14:paraId="4B5E74F9" w14:textId="77777777" w:rsidR="006A0E4E" w:rsidRDefault="006A0E4E" w:rsidP="006A0E4E">
      <w:pPr>
        <w:pStyle w:val="Textoindependiente"/>
        <w:widowControl w:val="0"/>
        <w:ind w:left="1276" w:right="1185"/>
        <w:contextualSpacing/>
        <w:rPr>
          <w:sz w:val="16"/>
          <w:szCs w:val="16"/>
        </w:rPr>
      </w:pPr>
      <w:r>
        <w:rPr>
          <w:sz w:val="16"/>
          <w:szCs w:val="16"/>
        </w:rPr>
        <w:t xml:space="preserve">   Fuente: INEGI.</w:t>
      </w:r>
    </w:p>
    <w:p w14:paraId="01BA5BF0" w14:textId="77777777" w:rsidR="006A0E4E" w:rsidRPr="00FC34C3" w:rsidRDefault="006A0E4E" w:rsidP="006A0E4E">
      <w:pPr>
        <w:pStyle w:val="Textoindependiente"/>
        <w:widowControl w:val="0"/>
        <w:ind w:left="1276" w:right="1185"/>
        <w:contextualSpacing/>
        <w:rPr>
          <w:sz w:val="16"/>
          <w:szCs w:val="16"/>
        </w:rPr>
      </w:pPr>
    </w:p>
    <w:p w14:paraId="6565B3BE" w14:textId="77777777" w:rsidR="006A0E4E" w:rsidRPr="00FC34C3" w:rsidRDefault="006A0E4E" w:rsidP="006A0E4E">
      <w:pPr>
        <w:pStyle w:val="Textoindependiente"/>
        <w:widowControl w:val="0"/>
        <w:ind w:left="1276" w:right="1185"/>
        <w:contextualSpacing/>
        <w:rPr>
          <w:sz w:val="16"/>
          <w:szCs w:val="16"/>
        </w:rPr>
      </w:pPr>
    </w:p>
    <w:p w14:paraId="09AD6AA7" w14:textId="77777777" w:rsidR="006A0E4E" w:rsidRPr="00701527" w:rsidRDefault="006A0E4E" w:rsidP="006A0E4E">
      <w:pPr>
        <w:pStyle w:val="bullet"/>
        <w:widowControl/>
        <w:numPr>
          <w:ilvl w:val="0"/>
          <w:numId w:val="0"/>
        </w:numPr>
        <w:tabs>
          <w:tab w:val="left" w:pos="8364"/>
        </w:tabs>
        <w:spacing w:before="180"/>
        <w:ind w:left="-142" w:right="-405" w:firstLine="142"/>
        <w:rPr>
          <w:b w:val="0"/>
          <w:snapToGrid/>
          <w:color w:val="auto"/>
          <w:sz w:val="24"/>
          <w:szCs w:val="24"/>
        </w:rPr>
      </w:pPr>
    </w:p>
    <w:p w14:paraId="5CE13EFD" w14:textId="77777777" w:rsidR="006A0E4E" w:rsidRDefault="006A0E4E" w:rsidP="006A0E4E">
      <w:pPr>
        <w:pStyle w:val="Default"/>
        <w:spacing w:before="240"/>
        <w:jc w:val="center"/>
        <w:rPr>
          <w:rFonts w:eastAsia="Times New Roman"/>
          <w:b/>
          <w:smallCaps/>
          <w:snapToGrid w:val="0"/>
          <w:color w:val="auto"/>
          <w:sz w:val="8"/>
          <w:szCs w:val="8"/>
          <w:lang w:val="es-ES_tradnl"/>
        </w:rPr>
      </w:pPr>
    </w:p>
    <w:p w14:paraId="483A6433" w14:textId="77777777" w:rsidR="006A0E4E" w:rsidRDefault="006A0E4E" w:rsidP="006A0E4E">
      <w:pPr>
        <w:pStyle w:val="Default"/>
        <w:spacing w:before="240"/>
        <w:jc w:val="center"/>
        <w:rPr>
          <w:rFonts w:eastAsia="Times New Roman"/>
          <w:b/>
          <w:smallCaps/>
          <w:snapToGrid w:val="0"/>
          <w:color w:val="auto"/>
          <w:sz w:val="8"/>
          <w:szCs w:val="8"/>
          <w:lang w:val="es-ES_tradnl"/>
        </w:rPr>
      </w:pPr>
    </w:p>
    <w:p w14:paraId="0322CEC6" w14:textId="77777777" w:rsidR="006A0E4E" w:rsidRDefault="006A0E4E" w:rsidP="006A0E4E">
      <w:pPr>
        <w:pStyle w:val="Default"/>
        <w:spacing w:before="240"/>
        <w:jc w:val="center"/>
        <w:rPr>
          <w:rFonts w:eastAsia="Times New Roman"/>
          <w:b/>
          <w:smallCaps/>
          <w:snapToGrid w:val="0"/>
          <w:color w:val="auto"/>
          <w:sz w:val="8"/>
          <w:szCs w:val="8"/>
          <w:lang w:val="es-ES_tradnl"/>
        </w:rPr>
      </w:pPr>
    </w:p>
    <w:p w14:paraId="69633807" w14:textId="77777777" w:rsidR="006A0E4E" w:rsidRDefault="006A0E4E" w:rsidP="006A0E4E">
      <w:pPr>
        <w:pStyle w:val="Default"/>
        <w:spacing w:before="240"/>
        <w:jc w:val="center"/>
        <w:rPr>
          <w:rFonts w:eastAsia="Times New Roman"/>
          <w:b/>
          <w:smallCaps/>
          <w:snapToGrid w:val="0"/>
          <w:color w:val="auto"/>
          <w:sz w:val="8"/>
          <w:szCs w:val="8"/>
          <w:lang w:val="es-ES_tradnl"/>
        </w:rPr>
      </w:pPr>
    </w:p>
    <w:p w14:paraId="1E6943EE" w14:textId="77777777" w:rsidR="006A0E4E" w:rsidRDefault="006A0E4E" w:rsidP="006A0E4E">
      <w:pPr>
        <w:pStyle w:val="Default"/>
        <w:spacing w:before="240"/>
        <w:jc w:val="center"/>
        <w:rPr>
          <w:rFonts w:eastAsia="Times New Roman"/>
          <w:b/>
          <w:smallCaps/>
          <w:snapToGrid w:val="0"/>
          <w:color w:val="auto"/>
          <w:sz w:val="8"/>
          <w:szCs w:val="8"/>
          <w:lang w:val="es-ES_tradnl"/>
        </w:rPr>
      </w:pPr>
    </w:p>
    <w:p w14:paraId="475FD4B5" w14:textId="77777777" w:rsidR="006A0E4E" w:rsidRDefault="006A0E4E" w:rsidP="006A0E4E">
      <w:pPr>
        <w:pStyle w:val="Default"/>
        <w:spacing w:before="240"/>
        <w:jc w:val="center"/>
        <w:rPr>
          <w:rFonts w:eastAsia="Times New Roman"/>
          <w:b/>
          <w:smallCaps/>
          <w:snapToGrid w:val="0"/>
          <w:color w:val="auto"/>
          <w:sz w:val="8"/>
          <w:szCs w:val="8"/>
          <w:lang w:val="es-ES_tradnl"/>
        </w:rPr>
      </w:pPr>
    </w:p>
    <w:p w14:paraId="426FF606" w14:textId="77777777" w:rsidR="006A0E4E" w:rsidRDefault="006A0E4E" w:rsidP="006A0E4E">
      <w:pPr>
        <w:pStyle w:val="Default"/>
        <w:spacing w:before="240"/>
        <w:jc w:val="center"/>
        <w:rPr>
          <w:rFonts w:eastAsia="Times New Roman"/>
          <w:b/>
          <w:smallCaps/>
          <w:snapToGrid w:val="0"/>
          <w:color w:val="auto"/>
          <w:sz w:val="8"/>
          <w:szCs w:val="8"/>
          <w:lang w:val="es-ES_tradnl"/>
        </w:rPr>
      </w:pPr>
    </w:p>
    <w:p w14:paraId="5C3E2EF3" w14:textId="77777777" w:rsidR="006A0E4E" w:rsidRPr="00421805" w:rsidRDefault="006A0E4E" w:rsidP="006A0E4E">
      <w:pPr>
        <w:pStyle w:val="bullet"/>
        <w:widowControl/>
        <w:numPr>
          <w:ilvl w:val="0"/>
          <w:numId w:val="0"/>
        </w:numPr>
        <w:tabs>
          <w:tab w:val="left" w:pos="8364"/>
        </w:tabs>
        <w:ind w:left="-284" w:right="-405"/>
        <w:rPr>
          <w:b w:val="0"/>
          <w:bCs/>
          <w:snapToGrid/>
          <w:color w:val="auto"/>
          <w:sz w:val="24"/>
          <w:szCs w:val="24"/>
        </w:rPr>
      </w:pPr>
      <w:r w:rsidRPr="00421805">
        <w:rPr>
          <w:b w:val="0"/>
          <w:bCs/>
          <w:snapToGrid/>
          <w:color w:val="auto"/>
          <w:sz w:val="24"/>
          <w:szCs w:val="24"/>
        </w:rPr>
        <w:t>En su comparación anual</w:t>
      </w:r>
      <w:r w:rsidRPr="00421805">
        <w:rPr>
          <w:b w:val="0"/>
          <w:bCs/>
          <w:color w:val="auto"/>
          <w:sz w:val="24"/>
          <w:szCs w:val="24"/>
          <w:vertAlign w:val="superscript"/>
        </w:rPr>
        <w:footnoteReference w:id="3"/>
      </w:r>
      <w:r w:rsidRPr="00421805">
        <w:rPr>
          <w:b w:val="0"/>
          <w:bCs/>
          <w:snapToGrid/>
          <w:color w:val="auto"/>
          <w:sz w:val="24"/>
          <w:szCs w:val="24"/>
        </w:rPr>
        <w:t>, el Indicador Trimestral del PIB Turístico reportó un crecimiento de 0.7%, mientras que el del Consumo Turístico Interior no mostró variación durante el cuarto trimestre de 2019.</w:t>
      </w:r>
    </w:p>
    <w:p w14:paraId="589C1A42" w14:textId="77777777" w:rsidR="006A0E4E" w:rsidRPr="00421805" w:rsidRDefault="006A0E4E" w:rsidP="006A0E4E">
      <w:pPr>
        <w:pStyle w:val="p0"/>
        <w:ind w:left="-142" w:right="-405"/>
        <w:rPr>
          <w:bCs/>
          <w:szCs w:val="24"/>
        </w:rPr>
      </w:pPr>
    </w:p>
    <w:p w14:paraId="77A84B16" w14:textId="77777777" w:rsidR="006A0E4E" w:rsidRDefault="006A0E4E" w:rsidP="006A0E4E">
      <w:pPr>
        <w:pStyle w:val="p01"/>
        <w:keepLines w:val="0"/>
        <w:tabs>
          <w:tab w:val="left" w:pos="3261"/>
        </w:tabs>
        <w:spacing w:before="0"/>
        <w:ind w:left="1418"/>
        <w:outlineLvl w:val="0"/>
        <w:rPr>
          <w:rFonts w:ascii="Arial" w:hAnsi="Arial" w:cs="Arial"/>
          <w:color w:val="000000"/>
          <w:szCs w:val="24"/>
        </w:rPr>
      </w:pPr>
      <w:r w:rsidRPr="0073632D">
        <w:rPr>
          <w:rFonts w:ascii="Arial" w:hAnsi="Arial" w:cs="Arial"/>
          <w:color w:val="000000"/>
          <w:szCs w:val="24"/>
        </w:rPr>
        <w:tab/>
      </w:r>
    </w:p>
    <w:p w14:paraId="0E558787" w14:textId="77777777" w:rsidR="006A0E4E" w:rsidRDefault="006A0E4E" w:rsidP="006A0E4E">
      <w:pPr>
        <w:pStyle w:val="p01"/>
        <w:keepLines w:val="0"/>
        <w:tabs>
          <w:tab w:val="left" w:pos="3261"/>
        </w:tabs>
        <w:spacing w:before="0"/>
        <w:ind w:left="1418"/>
        <w:outlineLvl w:val="0"/>
        <w:rPr>
          <w:rFonts w:ascii="Arial" w:hAnsi="Arial" w:cs="Arial"/>
          <w:color w:val="000000"/>
          <w:szCs w:val="24"/>
        </w:rPr>
      </w:pPr>
    </w:p>
    <w:p w14:paraId="023CF554" w14:textId="77777777" w:rsidR="006A0E4E" w:rsidRDefault="006A0E4E" w:rsidP="006A0E4E">
      <w:pPr>
        <w:pStyle w:val="p01"/>
        <w:keepLines w:val="0"/>
        <w:tabs>
          <w:tab w:val="left" w:pos="3261"/>
        </w:tabs>
        <w:spacing w:before="0"/>
        <w:ind w:left="1418"/>
        <w:outlineLvl w:val="0"/>
        <w:rPr>
          <w:rFonts w:ascii="Arial" w:hAnsi="Arial" w:cs="Arial"/>
          <w:b/>
          <w:color w:val="000000"/>
          <w:szCs w:val="24"/>
        </w:rPr>
      </w:pPr>
      <w:r>
        <w:rPr>
          <w:rFonts w:ascii="Arial" w:hAnsi="Arial" w:cs="Arial"/>
          <w:b/>
          <w:color w:val="000000"/>
          <w:szCs w:val="24"/>
        </w:rPr>
        <w:tab/>
        <w:t xml:space="preserve">  </w:t>
      </w:r>
    </w:p>
    <w:p w14:paraId="779C3C3A" w14:textId="77777777" w:rsidR="006A0E4E" w:rsidRDefault="006A0E4E" w:rsidP="006A0E4E">
      <w:pPr>
        <w:pStyle w:val="p01"/>
        <w:keepLines w:val="0"/>
        <w:tabs>
          <w:tab w:val="left" w:pos="3261"/>
        </w:tabs>
        <w:spacing w:before="0"/>
        <w:ind w:left="1418"/>
        <w:outlineLvl w:val="0"/>
        <w:rPr>
          <w:b/>
          <w:sz w:val="28"/>
        </w:rPr>
      </w:pPr>
      <w:r>
        <w:rPr>
          <w:rFonts w:ascii="Arial" w:hAnsi="Arial" w:cs="Arial"/>
          <w:b/>
          <w:color w:val="000000"/>
          <w:szCs w:val="24"/>
        </w:rPr>
        <w:tab/>
        <w:t xml:space="preserve"> </w:t>
      </w:r>
      <w:r w:rsidRPr="003B1ACA">
        <w:rPr>
          <w:rFonts w:ascii="Arial" w:hAnsi="Arial" w:cs="Arial"/>
          <w:b/>
          <w:color w:val="000000"/>
          <w:szCs w:val="24"/>
        </w:rPr>
        <w:t>Se anexa Nota Técnica</w:t>
      </w:r>
    </w:p>
    <w:p w14:paraId="3FBF7D6D" w14:textId="77777777" w:rsidR="006A0E4E" w:rsidRDefault="006A0E4E" w:rsidP="006A0E4E"/>
    <w:p w14:paraId="303B8ED9" w14:textId="77777777" w:rsidR="006A0E4E" w:rsidRDefault="006A0E4E" w:rsidP="006A0E4E">
      <w:pPr>
        <w:pStyle w:val="bullet"/>
        <w:numPr>
          <w:ilvl w:val="0"/>
          <w:numId w:val="0"/>
        </w:numPr>
        <w:tabs>
          <w:tab w:val="left" w:pos="8789"/>
        </w:tabs>
        <w:spacing w:before="0"/>
        <w:ind w:left="2880" w:right="51" w:hanging="360"/>
        <w:jc w:val="center"/>
        <w:rPr>
          <w:rFonts w:cs="Arial"/>
          <w:szCs w:val="24"/>
        </w:rPr>
      </w:pPr>
    </w:p>
    <w:p w14:paraId="77E3E2E9" w14:textId="77777777" w:rsidR="006A0E4E" w:rsidRDefault="006A0E4E" w:rsidP="006A0E4E">
      <w:pPr>
        <w:pStyle w:val="bullet"/>
        <w:numPr>
          <w:ilvl w:val="0"/>
          <w:numId w:val="0"/>
        </w:numPr>
        <w:tabs>
          <w:tab w:val="left" w:pos="8789"/>
        </w:tabs>
        <w:spacing w:before="0"/>
        <w:ind w:left="2880" w:right="51" w:hanging="360"/>
        <w:jc w:val="center"/>
        <w:rPr>
          <w:rFonts w:cs="Arial"/>
          <w:szCs w:val="24"/>
        </w:rPr>
      </w:pPr>
    </w:p>
    <w:p w14:paraId="7C84FACE" w14:textId="77777777" w:rsidR="006A0E4E" w:rsidRDefault="006A0E4E" w:rsidP="006A0E4E">
      <w:pPr>
        <w:pStyle w:val="bullet"/>
        <w:numPr>
          <w:ilvl w:val="0"/>
          <w:numId w:val="0"/>
        </w:numPr>
        <w:tabs>
          <w:tab w:val="left" w:pos="8789"/>
        </w:tabs>
        <w:spacing w:before="0"/>
        <w:ind w:left="2880" w:right="51" w:hanging="360"/>
        <w:jc w:val="center"/>
        <w:rPr>
          <w:rFonts w:cs="Arial"/>
          <w:szCs w:val="24"/>
        </w:rPr>
      </w:pPr>
    </w:p>
    <w:p w14:paraId="14969BE9" w14:textId="77777777" w:rsidR="006A0E4E" w:rsidRDefault="006A0E4E" w:rsidP="006A0E4E">
      <w:pPr>
        <w:pStyle w:val="bullet"/>
        <w:numPr>
          <w:ilvl w:val="0"/>
          <w:numId w:val="0"/>
        </w:numPr>
        <w:tabs>
          <w:tab w:val="left" w:pos="8789"/>
        </w:tabs>
        <w:spacing w:before="0"/>
        <w:ind w:left="2880" w:right="51" w:hanging="360"/>
        <w:jc w:val="center"/>
        <w:rPr>
          <w:rFonts w:cs="Arial"/>
          <w:szCs w:val="24"/>
        </w:rPr>
      </w:pPr>
    </w:p>
    <w:p w14:paraId="70E802D9" w14:textId="77777777" w:rsidR="006A0E4E" w:rsidRDefault="006A0E4E" w:rsidP="006A0E4E">
      <w:pPr>
        <w:pStyle w:val="bullet"/>
        <w:numPr>
          <w:ilvl w:val="0"/>
          <w:numId w:val="0"/>
        </w:numPr>
        <w:tabs>
          <w:tab w:val="left" w:pos="8789"/>
        </w:tabs>
        <w:spacing w:before="0"/>
        <w:ind w:left="2880" w:right="51" w:hanging="360"/>
        <w:jc w:val="center"/>
        <w:rPr>
          <w:rFonts w:cs="Arial"/>
          <w:szCs w:val="24"/>
        </w:rPr>
      </w:pPr>
    </w:p>
    <w:p w14:paraId="0FC22A6F" w14:textId="77777777" w:rsidR="006A0E4E" w:rsidRDefault="006A0E4E" w:rsidP="006A0E4E">
      <w:pPr>
        <w:pStyle w:val="bullet"/>
        <w:numPr>
          <w:ilvl w:val="0"/>
          <w:numId w:val="0"/>
        </w:numPr>
        <w:tabs>
          <w:tab w:val="left" w:pos="8789"/>
        </w:tabs>
        <w:spacing w:before="0"/>
        <w:ind w:left="2880" w:right="51" w:hanging="360"/>
        <w:jc w:val="center"/>
        <w:rPr>
          <w:rFonts w:cs="Arial"/>
          <w:szCs w:val="24"/>
        </w:rPr>
      </w:pPr>
    </w:p>
    <w:p w14:paraId="26E29182" w14:textId="77777777" w:rsidR="006A0E4E" w:rsidRDefault="006A0E4E" w:rsidP="006A0E4E">
      <w:pPr>
        <w:pStyle w:val="bullet"/>
        <w:numPr>
          <w:ilvl w:val="0"/>
          <w:numId w:val="0"/>
        </w:numPr>
        <w:tabs>
          <w:tab w:val="left" w:pos="8789"/>
        </w:tabs>
        <w:spacing w:before="0"/>
        <w:ind w:left="2880" w:right="51" w:hanging="360"/>
        <w:jc w:val="center"/>
        <w:rPr>
          <w:rFonts w:cs="Arial"/>
          <w:szCs w:val="24"/>
        </w:rPr>
      </w:pPr>
    </w:p>
    <w:p w14:paraId="5CF4F002" w14:textId="77777777" w:rsidR="006A0E4E" w:rsidRDefault="006A0E4E" w:rsidP="006A0E4E">
      <w:pPr>
        <w:pStyle w:val="bullet"/>
        <w:numPr>
          <w:ilvl w:val="0"/>
          <w:numId w:val="0"/>
        </w:numPr>
        <w:tabs>
          <w:tab w:val="left" w:pos="8789"/>
        </w:tabs>
        <w:spacing w:before="0"/>
        <w:ind w:left="2880" w:right="51" w:hanging="360"/>
        <w:jc w:val="center"/>
        <w:rPr>
          <w:rFonts w:cs="Arial"/>
          <w:szCs w:val="24"/>
        </w:rPr>
      </w:pPr>
    </w:p>
    <w:p w14:paraId="3BA85704" w14:textId="77777777" w:rsidR="006A0E4E" w:rsidRDefault="006A0E4E" w:rsidP="006A0E4E">
      <w:pPr>
        <w:pStyle w:val="bullet"/>
        <w:numPr>
          <w:ilvl w:val="0"/>
          <w:numId w:val="0"/>
        </w:numPr>
        <w:tabs>
          <w:tab w:val="left" w:pos="8789"/>
        </w:tabs>
        <w:spacing w:before="0"/>
        <w:ind w:left="2880" w:right="51" w:hanging="360"/>
        <w:jc w:val="center"/>
        <w:rPr>
          <w:rFonts w:cs="Arial"/>
          <w:szCs w:val="24"/>
        </w:rPr>
      </w:pPr>
    </w:p>
    <w:p w14:paraId="441F0992" w14:textId="77777777" w:rsidR="006A0E4E" w:rsidRDefault="006A0E4E" w:rsidP="006A0E4E">
      <w:pPr>
        <w:pStyle w:val="bullet"/>
        <w:numPr>
          <w:ilvl w:val="0"/>
          <w:numId w:val="0"/>
        </w:numPr>
        <w:tabs>
          <w:tab w:val="left" w:pos="8789"/>
        </w:tabs>
        <w:spacing w:before="0"/>
        <w:ind w:left="2880" w:right="51" w:hanging="360"/>
        <w:jc w:val="center"/>
        <w:rPr>
          <w:rFonts w:cs="Arial"/>
          <w:szCs w:val="24"/>
        </w:rPr>
      </w:pPr>
    </w:p>
    <w:p w14:paraId="75BF0D10" w14:textId="77777777" w:rsidR="006A0E4E" w:rsidRDefault="006A0E4E" w:rsidP="006A0E4E">
      <w:pPr>
        <w:pStyle w:val="bullet"/>
        <w:numPr>
          <w:ilvl w:val="0"/>
          <w:numId w:val="0"/>
        </w:numPr>
        <w:tabs>
          <w:tab w:val="left" w:pos="8789"/>
        </w:tabs>
        <w:spacing w:before="0"/>
        <w:ind w:left="2880" w:right="51" w:hanging="360"/>
        <w:jc w:val="center"/>
        <w:rPr>
          <w:rFonts w:cs="Arial"/>
          <w:szCs w:val="24"/>
        </w:rPr>
      </w:pPr>
    </w:p>
    <w:p w14:paraId="3D6515A6" w14:textId="77777777" w:rsidR="006A0E4E" w:rsidRDefault="006A0E4E" w:rsidP="006A0E4E">
      <w:pPr>
        <w:pStyle w:val="bullet"/>
        <w:numPr>
          <w:ilvl w:val="0"/>
          <w:numId w:val="0"/>
        </w:numPr>
        <w:tabs>
          <w:tab w:val="left" w:pos="8789"/>
        </w:tabs>
        <w:spacing w:before="0"/>
        <w:ind w:left="2880" w:right="51" w:hanging="360"/>
        <w:jc w:val="center"/>
        <w:rPr>
          <w:rFonts w:cs="Arial"/>
          <w:szCs w:val="24"/>
        </w:rPr>
      </w:pPr>
    </w:p>
    <w:p w14:paraId="69FC5E70" w14:textId="77777777" w:rsidR="006A0E4E" w:rsidRDefault="006A0E4E" w:rsidP="006A0E4E">
      <w:pPr>
        <w:pStyle w:val="bullet"/>
        <w:numPr>
          <w:ilvl w:val="0"/>
          <w:numId w:val="0"/>
        </w:numPr>
        <w:tabs>
          <w:tab w:val="left" w:pos="8789"/>
        </w:tabs>
        <w:spacing w:before="0"/>
        <w:ind w:left="2880" w:right="51" w:hanging="360"/>
        <w:jc w:val="center"/>
        <w:rPr>
          <w:rFonts w:cs="Arial"/>
          <w:szCs w:val="24"/>
        </w:rPr>
      </w:pPr>
    </w:p>
    <w:p w14:paraId="11BFE66D" w14:textId="77777777" w:rsidR="006A0E4E" w:rsidRDefault="006A0E4E" w:rsidP="006A0E4E">
      <w:pPr>
        <w:pStyle w:val="bullet"/>
        <w:numPr>
          <w:ilvl w:val="0"/>
          <w:numId w:val="0"/>
        </w:numPr>
        <w:tabs>
          <w:tab w:val="left" w:pos="8789"/>
        </w:tabs>
        <w:spacing w:before="0"/>
        <w:ind w:left="2880" w:right="51" w:hanging="360"/>
        <w:jc w:val="center"/>
        <w:rPr>
          <w:rFonts w:cs="Arial"/>
          <w:szCs w:val="24"/>
        </w:rPr>
      </w:pPr>
    </w:p>
    <w:p w14:paraId="09F7A11E" w14:textId="77777777" w:rsidR="006A0E4E" w:rsidRDefault="006A0E4E" w:rsidP="006A0E4E">
      <w:pPr>
        <w:pStyle w:val="bullet"/>
        <w:numPr>
          <w:ilvl w:val="0"/>
          <w:numId w:val="0"/>
        </w:numPr>
        <w:tabs>
          <w:tab w:val="left" w:pos="8789"/>
        </w:tabs>
        <w:spacing w:before="0"/>
        <w:ind w:left="2880" w:right="51" w:hanging="360"/>
        <w:jc w:val="center"/>
        <w:rPr>
          <w:rFonts w:cs="Arial"/>
          <w:szCs w:val="24"/>
        </w:rPr>
      </w:pPr>
    </w:p>
    <w:p w14:paraId="7BECB43E" w14:textId="77777777" w:rsidR="006A0E4E" w:rsidRDefault="006A0E4E" w:rsidP="006A0E4E">
      <w:pPr>
        <w:pStyle w:val="bullet"/>
        <w:numPr>
          <w:ilvl w:val="0"/>
          <w:numId w:val="0"/>
        </w:numPr>
        <w:tabs>
          <w:tab w:val="left" w:pos="8789"/>
        </w:tabs>
        <w:spacing w:before="0"/>
        <w:ind w:left="2880" w:right="51" w:hanging="360"/>
        <w:jc w:val="center"/>
        <w:rPr>
          <w:rFonts w:cs="Arial"/>
          <w:szCs w:val="24"/>
        </w:rPr>
      </w:pPr>
    </w:p>
    <w:p w14:paraId="42CB9F24" w14:textId="77777777" w:rsidR="006A0E4E" w:rsidRDefault="006A0E4E" w:rsidP="006A0E4E">
      <w:pPr>
        <w:pStyle w:val="bullet"/>
        <w:numPr>
          <w:ilvl w:val="0"/>
          <w:numId w:val="0"/>
        </w:numPr>
        <w:tabs>
          <w:tab w:val="left" w:pos="8789"/>
        </w:tabs>
        <w:spacing w:before="0"/>
        <w:ind w:left="2880" w:right="51" w:hanging="360"/>
        <w:jc w:val="center"/>
        <w:rPr>
          <w:rFonts w:cs="Arial"/>
          <w:szCs w:val="24"/>
        </w:rPr>
      </w:pPr>
    </w:p>
    <w:p w14:paraId="18A50238" w14:textId="77777777" w:rsidR="006A0E4E" w:rsidRDefault="006A0E4E" w:rsidP="006A0E4E">
      <w:pPr>
        <w:pStyle w:val="bullet"/>
        <w:numPr>
          <w:ilvl w:val="0"/>
          <w:numId w:val="0"/>
        </w:numPr>
        <w:tabs>
          <w:tab w:val="left" w:pos="8789"/>
        </w:tabs>
        <w:spacing w:before="0"/>
        <w:ind w:left="2880" w:right="51" w:hanging="360"/>
        <w:jc w:val="center"/>
        <w:rPr>
          <w:rFonts w:cs="Arial"/>
          <w:szCs w:val="24"/>
        </w:rPr>
      </w:pPr>
    </w:p>
    <w:p w14:paraId="0D52E587" w14:textId="77777777" w:rsidR="006A0E4E" w:rsidRDefault="006A0E4E" w:rsidP="006A0E4E">
      <w:pPr>
        <w:pStyle w:val="bullet"/>
        <w:numPr>
          <w:ilvl w:val="0"/>
          <w:numId w:val="0"/>
        </w:numPr>
        <w:tabs>
          <w:tab w:val="left" w:pos="8789"/>
        </w:tabs>
        <w:spacing w:before="0"/>
        <w:ind w:left="2880" w:right="51" w:hanging="360"/>
        <w:jc w:val="center"/>
        <w:rPr>
          <w:rFonts w:cs="Arial"/>
          <w:szCs w:val="24"/>
        </w:rPr>
      </w:pPr>
    </w:p>
    <w:p w14:paraId="403C34F3" w14:textId="77777777" w:rsidR="006A0E4E" w:rsidRPr="00231538" w:rsidRDefault="006A0E4E" w:rsidP="006A0E4E">
      <w:pPr>
        <w:pStyle w:val="NormalWeb"/>
        <w:spacing w:before="0" w:beforeAutospacing="0" w:after="0" w:afterAutospacing="0"/>
        <w:ind w:left="-426" w:right="-518"/>
        <w:contextualSpacing/>
        <w:jc w:val="center"/>
        <w:rPr>
          <w:sz w:val="22"/>
          <w:szCs w:val="22"/>
        </w:rPr>
      </w:pPr>
      <w:r w:rsidRPr="00231538">
        <w:rPr>
          <w:sz w:val="22"/>
          <w:szCs w:val="22"/>
        </w:rPr>
        <w:t xml:space="preserve">Para consultas de medios y periodistas, contactar a: </w:t>
      </w:r>
      <w:hyperlink r:id="rId8" w:history="1">
        <w:r w:rsidRPr="00231538">
          <w:rPr>
            <w:rStyle w:val="Hipervnculo"/>
            <w:sz w:val="22"/>
            <w:szCs w:val="22"/>
          </w:rPr>
          <w:t>comunicacionsocial@inegi.org.mx</w:t>
        </w:r>
      </w:hyperlink>
      <w:r w:rsidRPr="00231538">
        <w:rPr>
          <w:sz w:val="22"/>
          <w:szCs w:val="22"/>
        </w:rPr>
        <w:t xml:space="preserve"> </w:t>
      </w:r>
    </w:p>
    <w:p w14:paraId="60C81E00" w14:textId="77777777" w:rsidR="006A0E4E" w:rsidRPr="00231538" w:rsidRDefault="006A0E4E" w:rsidP="006A0E4E">
      <w:pPr>
        <w:pStyle w:val="NormalWeb"/>
        <w:spacing w:before="0" w:beforeAutospacing="0" w:after="0" w:afterAutospacing="0"/>
        <w:ind w:left="-426" w:right="-518"/>
        <w:contextualSpacing/>
        <w:jc w:val="center"/>
        <w:rPr>
          <w:sz w:val="22"/>
          <w:szCs w:val="22"/>
        </w:rPr>
      </w:pPr>
      <w:r w:rsidRPr="00231538">
        <w:rPr>
          <w:sz w:val="22"/>
          <w:szCs w:val="22"/>
        </w:rPr>
        <w:t xml:space="preserve">o llamar al teléfono (55) 52-78-10-00, </w:t>
      </w:r>
      <w:proofErr w:type="spellStart"/>
      <w:r w:rsidRPr="00231538">
        <w:rPr>
          <w:sz w:val="22"/>
          <w:szCs w:val="22"/>
        </w:rPr>
        <w:t>exts</w:t>
      </w:r>
      <w:proofErr w:type="spellEnd"/>
      <w:r w:rsidRPr="00231538">
        <w:rPr>
          <w:sz w:val="22"/>
          <w:szCs w:val="22"/>
        </w:rPr>
        <w:t>. 1134, 1260 y 1241.</w:t>
      </w:r>
    </w:p>
    <w:p w14:paraId="7833CA07" w14:textId="77777777" w:rsidR="006A0E4E" w:rsidRPr="00231538" w:rsidRDefault="006A0E4E" w:rsidP="006A0E4E">
      <w:pPr>
        <w:ind w:left="-426" w:right="-518"/>
        <w:contextualSpacing/>
        <w:jc w:val="center"/>
        <w:rPr>
          <w:rFonts w:cs="Arial"/>
          <w:sz w:val="22"/>
          <w:szCs w:val="22"/>
        </w:rPr>
      </w:pPr>
    </w:p>
    <w:p w14:paraId="75DA5B30" w14:textId="77777777" w:rsidR="006A0E4E" w:rsidRPr="00231538" w:rsidRDefault="006A0E4E" w:rsidP="006A0E4E">
      <w:pPr>
        <w:ind w:left="-426" w:right="-518"/>
        <w:contextualSpacing/>
        <w:jc w:val="center"/>
        <w:rPr>
          <w:rFonts w:cs="Arial"/>
          <w:sz w:val="22"/>
          <w:szCs w:val="22"/>
        </w:rPr>
      </w:pPr>
      <w:r w:rsidRPr="00231538">
        <w:rPr>
          <w:rFonts w:cs="Arial"/>
          <w:sz w:val="22"/>
          <w:szCs w:val="22"/>
        </w:rPr>
        <w:t>Dirección de Atención a Medios / Dirección General Adjunta de Comunicación</w:t>
      </w:r>
    </w:p>
    <w:p w14:paraId="54E928F6" w14:textId="77777777" w:rsidR="006A0E4E" w:rsidRPr="00A35A8D" w:rsidRDefault="006A0E4E" w:rsidP="006A0E4E">
      <w:pPr>
        <w:ind w:left="-426" w:right="-518"/>
        <w:contextualSpacing/>
        <w:jc w:val="center"/>
        <w:rPr>
          <w:sz w:val="22"/>
          <w:szCs w:val="22"/>
        </w:rPr>
      </w:pPr>
    </w:p>
    <w:p w14:paraId="0FD54E32" w14:textId="77777777" w:rsidR="006A0E4E" w:rsidRPr="008F0992" w:rsidRDefault="006A0E4E" w:rsidP="006A0E4E">
      <w:pPr>
        <w:ind w:left="-425" w:right="-516"/>
        <w:contextualSpacing/>
        <w:jc w:val="center"/>
        <w:rPr>
          <w:noProof/>
          <w:lang w:eastAsia="es-MX"/>
        </w:rPr>
      </w:pPr>
      <w:r w:rsidRPr="00FF1218">
        <w:rPr>
          <w:noProof/>
          <w:lang w:val="es-MX" w:eastAsia="es-MX"/>
        </w:rPr>
        <w:drawing>
          <wp:inline distT="0" distB="0" distL="0" distR="0" wp14:anchorId="15BB76EC" wp14:editId="53CDF1FB">
            <wp:extent cx="274320" cy="365760"/>
            <wp:effectExtent l="0" t="0" r="0" b="0"/>
            <wp:docPr id="2" name="Imagen 2" descr="C:\Users\saladeprensa\Desktop\NVOS LOGOS\F.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1EC91782" wp14:editId="23978A3B">
            <wp:extent cx="365760" cy="365760"/>
            <wp:effectExtent l="0" t="0" r="0" b="0"/>
            <wp:docPr id="4" name="Imagen 4" descr="C:\Users\saladeprensa\Desktop\NVOS LOGOS\I.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079EAF29" wp14:editId="6DB2746F">
            <wp:extent cx="365760" cy="365760"/>
            <wp:effectExtent l="0" t="0" r="0" b="0"/>
            <wp:docPr id="30" name="Imagen 30" descr="C:\Users\saladeprensa\Desktop\NVOS LOGOS\T.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7229BD88" wp14:editId="46590A4F">
            <wp:extent cx="365760" cy="365760"/>
            <wp:effectExtent l="0" t="0" r="0" b="0"/>
            <wp:docPr id="15" name="Imagen 15" descr="C:\Users\saladeprensa\Desktop\NVOS LOGOS\Y.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sz w:val="14"/>
          <w:szCs w:val="18"/>
          <w:lang w:val="es-MX" w:eastAsia="es-MX"/>
        </w:rPr>
        <w:drawing>
          <wp:inline distT="0" distB="0" distL="0" distR="0" wp14:anchorId="60ED54EF" wp14:editId="0BE045AB">
            <wp:extent cx="2286000" cy="274320"/>
            <wp:effectExtent l="0" t="0" r="0" b="0"/>
            <wp:docPr id="6" name="Imagen 6">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p w14:paraId="05258C11" w14:textId="77777777" w:rsidR="006A0E4E" w:rsidRDefault="006A0E4E" w:rsidP="006A0E4E">
      <w:pPr>
        <w:pStyle w:val="NormalWeb"/>
        <w:spacing w:before="0" w:beforeAutospacing="0" w:after="0" w:afterAutospacing="0"/>
        <w:ind w:left="-426" w:right="-518"/>
        <w:contextualSpacing/>
        <w:jc w:val="center"/>
        <w:rPr>
          <w:sz w:val="18"/>
          <w:szCs w:val="18"/>
        </w:rPr>
      </w:pPr>
    </w:p>
    <w:p w14:paraId="0C7B08A0" w14:textId="77777777" w:rsidR="006A0E4E" w:rsidRDefault="006A0E4E" w:rsidP="006A0E4E">
      <w:pPr>
        <w:pStyle w:val="bullet"/>
        <w:numPr>
          <w:ilvl w:val="0"/>
          <w:numId w:val="0"/>
        </w:numPr>
        <w:tabs>
          <w:tab w:val="left" w:pos="8789"/>
        </w:tabs>
        <w:spacing w:before="0"/>
        <w:ind w:left="2880" w:right="51" w:hanging="360"/>
        <w:jc w:val="center"/>
        <w:rPr>
          <w:rFonts w:cs="Arial"/>
          <w:szCs w:val="24"/>
        </w:rPr>
      </w:pPr>
    </w:p>
    <w:p w14:paraId="67068830" w14:textId="77777777" w:rsidR="006A0E4E" w:rsidRDefault="006A0E4E" w:rsidP="006A0E4E">
      <w:pPr>
        <w:pStyle w:val="bullet"/>
        <w:numPr>
          <w:ilvl w:val="0"/>
          <w:numId w:val="0"/>
        </w:numPr>
        <w:tabs>
          <w:tab w:val="left" w:pos="8789"/>
        </w:tabs>
        <w:spacing w:before="0"/>
        <w:ind w:left="2880" w:right="51" w:hanging="360"/>
        <w:jc w:val="center"/>
        <w:rPr>
          <w:rFonts w:cs="Arial"/>
          <w:szCs w:val="24"/>
        </w:rPr>
      </w:pPr>
    </w:p>
    <w:p w14:paraId="00A37DC5" w14:textId="77777777" w:rsidR="006A0E4E" w:rsidRDefault="006A0E4E" w:rsidP="006A0E4E">
      <w:pPr>
        <w:pStyle w:val="bullet"/>
        <w:numPr>
          <w:ilvl w:val="0"/>
          <w:numId w:val="0"/>
        </w:numPr>
        <w:tabs>
          <w:tab w:val="left" w:pos="8789"/>
        </w:tabs>
        <w:spacing w:before="0"/>
        <w:ind w:left="2880" w:right="51" w:hanging="360"/>
        <w:jc w:val="center"/>
        <w:rPr>
          <w:rFonts w:cs="Arial"/>
          <w:szCs w:val="24"/>
        </w:rPr>
      </w:pPr>
    </w:p>
    <w:p w14:paraId="1B1CAA5D" w14:textId="77777777" w:rsidR="006A0E4E" w:rsidRPr="00157C43" w:rsidRDefault="006A0E4E" w:rsidP="006A0E4E">
      <w:pPr>
        <w:pStyle w:val="bullet"/>
        <w:numPr>
          <w:ilvl w:val="0"/>
          <w:numId w:val="0"/>
        </w:numPr>
        <w:tabs>
          <w:tab w:val="left" w:pos="8789"/>
        </w:tabs>
        <w:spacing w:before="0"/>
        <w:ind w:left="2880" w:right="51" w:hanging="360"/>
        <w:jc w:val="center"/>
        <w:rPr>
          <w:rFonts w:cs="Arial"/>
          <w:szCs w:val="24"/>
        </w:rPr>
        <w:sectPr w:rsidR="006A0E4E" w:rsidRPr="00157C43" w:rsidSect="004C150C">
          <w:headerReference w:type="default" r:id="rId19"/>
          <w:footerReference w:type="default" r:id="rId20"/>
          <w:pgSz w:w="12240" w:h="15840" w:code="1"/>
          <w:pgMar w:top="1" w:right="1701" w:bottom="0" w:left="1588" w:header="510" w:footer="510" w:gutter="0"/>
          <w:cols w:space="720"/>
          <w:docGrid w:linePitch="272"/>
        </w:sectPr>
      </w:pPr>
    </w:p>
    <w:p w14:paraId="35C06351" w14:textId="68AAFB75" w:rsidR="006A0E4E" w:rsidRDefault="006A0E4E" w:rsidP="006A0E4E">
      <w:pPr>
        <w:widowControl/>
        <w:tabs>
          <w:tab w:val="left" w:pos="8399"/>
        </w:tabs>
        <w:autoSpaceDE w:val="0"/>
        <w:autoSpaceDN w:val="0"/>
        <w:adjustRightInd w:val="0"/>
        <w:spacing w:before="480"/>
        <w:ind w:firstLine="720"/>
        <w:contextualSpacing/>
        <w:rPr>
          <w:b/>
          <w:sz w:val="28"/>
          <w:szCs w:val="28"/>
        </w:rPr>
      </w:pPr>
      <w:r>
        <w:rPr>
          <w:b/>
          <w:sz w:val="28"/>
          <w:szCs w:val="28"/>
        </w:rPr>
        <w:lastRenderedPageBreak/>
        <w:t xml:space="preserve">                                   </w:t>
      </w:r>
      <w:r w:rsidRPr="005F6393">
        <w:rPr>
          <w:b/>
          <w:sz w:val="28"/>
          <w:szCs w:val="28"/>
        </w:rPr>
        <w:t>NOTA TÉCNICA</w:t>
      </w:r>
    </w:p>
    <w:p w14:paraId="027DA19B" w14:textId="77777777" w:rsidR="006A0E4E" w:rsidRPr="006A0E4E" w:rsidRDefault="006A0E4E" w:rsidP="006A0E4E">
      <w:pPr>
        <w:widowControl/>
        <w:tabs>
          <w:tab w:val="left" w:pos="8399"/>
        </w:tabs>
        <w:autoSpaceDE w:val="0"/>
        <w:autoSpaceDN w:val="0"/>
        <w:adjustRightInd w:val="0"/>
        <w:spacing w:before="480"/>
        <w:ind w:firstLine="720"/>
        <w:contextualSpacing/>
        <w:rPr>
          <w:b/>
          <w:sz w:val="20"/>
        </w:rPr>
      </w:pPr>
    </w:p>
    <w:p w14:paraId="4E9F9A2F" w14:textId="77777777" w:rsidR="008452B0" w:rsidRPr="006A0E4E" w:rsidRDefault="00F203A4" w:rsidP="00EE7736">
      <w:pPr>
        <w:pStyle w:val="Default"/>
        <w:tabs>
          <w:tab w:val="left" w:pos="2410"/>
          <w:tab w:val="left" w:pos="3402"/>
          <w:tab w:val="left" w:pos="3686"/>
        </w:tabs>
        <w:ind w:left="-851" w:right="-232"/>
        <w:jc w:val="center"/>
        <w:rPr>
          <w:rFonts w:eastAsia="Times New Roman"/>
          <w:b/>
          <w:bCs/>
          <w:sz w:val="28"/>
          <w:szCs w:val="28"/>
          <w:lang w:val="es-ES_tradnl"/>
        </w:rPr>
      </w:pPr>
      <w:r w:rsidRPr="006A0E4E">
        <w:rPr>
          <w:rFonts w:eastAsia="Times New Roman"/>
          <w:b/>
          <w:bCs/>
          <w:sz w:val="28"/>
          <w:szCs w:val="28"/>
          <w:lang w:val="es-ES_tradnl"/>
        </w:rPr>
        <w:t>INDICADORES TRIMESTRALES DE LA ACTIVIDAD</w:t>
      </w:r>
      <w:r w:rsidR="008452B0" w:rsidRPr="006A0E4E">
        <w:rPr>
          <w:rFonts w:eastAsia="Times New Roman"/>
          <w:b/>
          <w:bCs/>
          <w:sz w:val="28"/>
          <w:szCs w:val="28"/>
          <w:lang w:val="es-ES_tradnl"/>
        </w:rPr>
        <w:t xml:space="preserve"> </w:t>
      </w:r>
      <w:r w:rsidRPr="006A0E4E">
        <w:rPr>
          <w:rFonts w:eastAsia="Times New Roman"/>
          <w:b/>
          <w:bCs/>
          <w:sz w:val="28"/>
          <w:szCs w:val="28"/>
          <w:lang w:val="es-ES_tradnl"/>
        </w:rPr>
        <w:t>TURÍSTICA</w:t>
      </w:r>
      <w:r w:rsidR="00C55A68" w:rsidRPr="006A0E4E">
        <w:rPr>
          <w:b/>
          <w:color w:val="auto"/>
          <w:sz w:val="28"/>
          <w:szCs w:val="28"/>
          <w:vertAlign w:val="superscript"/>
        </w:rPr>
        <w:footnoteReference w:id="4"/>
      </w:r>
      <w:r w:rsidRPr="006A0E4E">
        <w:rPr>
          <w:rFonts w:eastAsia="Times New Roman"/>
          <w:b/>
          <w:bCs/>
          <w:sz w:val="28"/>
          <w:szCs w:val="28"/>
          <w:lang w:val="es-ES_tradnl"/>
        </w:rPr>
        <w:t xml:space="preserve"> </w:t>
      </w:r>
    </w:p>
    <w:p w14:paraId="5BEAED9D" w14:textId="73D640FA" w:rsidR="00F203A4" w:rsidRPr="006A0E4E" w:rsidRDefault="008452B0" w:rsidP="008452B0">
      <w:pPr>
        <w:pStyle w:val="Default"/>
        <w:tabs>
          <w:tab w:val="left" w:pos="2410"/>
          <w:tab w:val="left" w:pos="3402"/>
          <w:tab w:val="left" w:pos="3686"/>
        </w:tabs>
        <w:ind w:left="-851" w:right="-232"/>
        <w:jc w:val="center"/>
        <w:rPr>
          <w:rFonts w:eastAsia="Times New Roman"/>
          <w:b/>
          <w:bCs/>
          <w:sz w:val="28"/>
          <w:szCs w:val="28"/>
          <w:lang w:val="es-ES_tradnl"/>
        </w:rPr>
      </w:pPr>
      <w:r w:rsidRPr="006A0E4E">
        <w:rPr>
          <w:rFonts w:eastAsia="Times New Roman"/>
          <w:b/>
          <w:bCs/>
          <w:sz w:val="28"/>
          <w:szCs w:val="28"/>
          <w:lang w:val="es-ES_tradnl"/>
        </w:rPr>
        <w:t xml:space="preserve">DURANTE EL </w:t>
      </w:r>
      <w:r w:rsidR="0098561E" w:rsidRPr="006A0E4E">
        <w:rPr>
          <w:rFonts w:eastAsia="Times New Roman"/>
          <w:b/>
          <w:bCs/>
          <w:sz w:val="28"/>
          <w:szCs w:val="28"/>
          <w:lang w:val="es-ES_tradnl"/>
        </w:rPr>
        <w:t>CUA</w:t>
      </w:r>
      <w:r w:rsidR="00602B31" w:rsidRPr="006A0E4E">
        <w:rPr>
          <w:rFonts w:eastAsia="Times New Roman"/>
          <w:b/>
          <w:bCs/>
          <w:sz w:val="28"/>
          <w:szCs w:val="28"/>
          <w:lang w:val="es-ES_tradnl"/>
        </w:rPr>
        <w:t>R</w:t>
      </w:r>
      <w:r w:rsidR="0098561E" w:rsidRPr="006A0E4E">
        <w:rPr>
          <w:rFonts w:eastAsia="Times New Roman"/>
          <w:b/>
          <w:bCs/>
          <w:sz w:val="28"/>
          <w:szCs w:val="28"/>
          <w:lang w:val="es-ES_tradnl"/>
        </w:rPr>
        <w:t>TO</w:t>
      </w:r>
      <w:r w:rsidR="00D46BA8" w:rsidRPr="006A0E4E">
        <w:rPr>
          <w:rFonts w:eastAsia="Times New Roman"/>
          <w:b/>
          <w:bCs/>
          <w:sz w:val="28"/>
          <w:szCs w:val="28"/>
          <w:lang w:val="es-ES_tradnl"/>
        </w:rPr>
        <w:t xml:space="preserve"> </w:t>
      </w:r>
      <w:r w:rsidR="00CC0001" w:rsidRPr="006A0E4E">
        <w:rPr>
          <w:rFonts w:eastAsia="Times New Roman"/>
          <w:b/>
          <w:bCs/>
          <w:sz w:val="28"/>
          <w:szCs w:val="28"/>
          <w:lang w:val="es-ES_tradnl"/>
        </w:rPr>
        <w:t>TRIMESTRE DE</w:t>
      </w:r>
      <w:r w:rsidR="00F203A4" w:rsidRPr="006A0E4E">
        <w:rPr>
          <w:rFonts w:eastAsia="Times New Roman"/>
          <w:b/>
          <w:bCs/>
          <w:sz w:val="28"/>
          <w:szCs w:val="28"/>
          <w:lang w:val="es-ES_tradnl"/>
        </w:rPr>
        <w:t xml:space="preserve"> 201</w:t>
      </w:r>
      <w:r w:rsidR="005A6BB7" w:rsidRPr="006A0E4E">
        <w:rPr>
          <w:rFonts w:eastAsia="Times New Roman"/>
          <w:b/>
          <w:bCs/>
          <w:sz w:val="28"/>
          <w:szCs w:val="28"/>
          <w:lang w:val="es-ES_tradnl"/>
        </w:rPr>
        <w:t>9</w:t>
      </w:r>
    </w:p>
    <w:p w14:paraId="5EAA997E" w14:textId="77777777" w:rsidR="00274992" w:rsidRPr="00E81E9F" w:rsidRDefault="00274992" w:rsidP="00F53C03">
      <w:pPr>
        <w:pStyle w:val="Default"/>
        <w:jc w:val="center"/>
        <w:rPr>
          <w:rFonts w:eastAsia="Times New Roman"/>
          <w:b/>
          <w:bCs/>
          <w:i/>
          <w:sz w:val="28"/>
          <w:szCs w:val="28"/>
          <w:lang w:val="es-ES_tradnl"/>
        </w:rPr>
      </w:pPr>
      <w:r w:rsidRPr="00E81E9F">
        <w:rPr>
          <w:rFonts w:eastAsia="Times New Roman"/>
          <w:b/>
          <w:bCs/>
          <w:i/>
          <w:szCs w:val="28"/>
          <w:lang w:val="es-ES_tradnl"/>
        </w:rPr>
        <w:t>(</w:t>
      </w:r>
      <w:r w:rsidR="007449C3">
        <w:rPr>
          <w:rFonts w:eastAsia="Times New Roman"/>
          <w:b/>
          <w:bCs/>
          <w:i/>
          <w:szCs w:val="28"/>
          <w:lang w:val="es-ES_tradnl"/>
        </w:rPr>
        <w:t>Cifras</w:t>
      </w:r>
      <w:r w:rsidRPr="00E81E9F">
        <w:rPr>
          <w:rFonts w:eastAsia="Times New Roman"/>
          <w:b/>
          <w:bCs/>
          <w:i/>
          <w:szCs w:val="28"/>
          <w:lang w:val="es-ES_tradnl"/>
        </w:rPr>
        <w:t xml:space="preserve"> desestacionalizadas)</w:t>
      </w:r>
    </w:p>
    <w:p w14:paraId="14462FC0" w14:textId="77777777" w:rsidR="006311CE" w:rsidRDefault="006311CE" w:rsidP="00894F3D">
      <w:pPr>
        <w:pStyle w:val="Textoindependiente"/>
        <w:tabs>
          <w:tab w:val="center" w:pos="3348"/>
        </w:tabs>
        <w:spacing w:before="300"/>
        <w:rPr>
          <w:rFonts w:cs="Arial"/>
          <w:b/>
          <w:iCs/>
          <w:smallCaps/>
          <w:snapToGrid/>
          <w:color w:val="auto"/>
          <w:szCs w:val="24"/>
          <w:lang w:val="es-MX" w:eastAsia="es-MX"/>
        </w:rPr>
      </w:pPr>
    </w:p>
    <w:p w14:paraId="41B7A019" w14:textId="07DF1570" w:rsidR="00B25993" w:rsidRPr="00280516" w:rsidRDefault="00E103DA" w:rsidP="00BC36C2">
      <w:pPr>
        <w:pStyle w:val="Textoindependiente"/>
        <w:tabs>
          <w:tab w:val="center" w:pos="3348"/>
        </w:tabs>
        <w:rPr>
          <w:rFonts w:cs="Arial"/>
          <w:b/>
          <w:iCs/>
          <w:smallCaps/>
          <w:snapToGrid/>
          <w:color w:val="auto"/>
          <w:szCs w:val="24"/>
          <w:lang w:val="es-MX" w:eastAsia="es-MX"/>
        </w:rPr>
      </w:pPr>
      <w:r>
        <w:rPr>
          <w:rFonts w:cs="Arial"/>
          <w:b/>
          <w:iCs/>
          <w:smallCaps/>
          <w:snapToGrid/>
          <w:color w:val="auto"/>
          <w:szCs w:val="24"/>
          <w:lang w:val="es-MX" w:eastAsia="es-MX"/>
        </w:rPr>
        <w:t xml:space="preserve">Indicador Trimestral del </w:t>
      </w:r>
      <w:r w:rsidR="00501611" w:rsidRPr="00280516">
        <w:rPr>
          <w:rFonts w:cs="Arial"/>
          <w:b/>
          <w:iCs/>
          <w:smallCaps/>
          <w:snapToGrid/>
          <w:color w:val="auto"/>
          <w:szCs w:val="24"/>
          <w:lang w:val="es-MX" w:eastAsia="es-MX"/>
        </w:rPr>
        <w:t>Producto Interno</w:t>
      </w:r>
      <w:r w:rsidR="00B25993" w:rsidRPr="00280516">
        <w:rPr>
          <w:rFonts w:cs="Arial"/>
          <w:b/>
          <w:iCs/>
          <w:smallCaps/>
          <w:snapToGrid/>
          <w:color w:val="auto"/>
          <w:szCs w:val="24"/>
          <w:lang w:val="es-MX" w:eastAsia="es-MX"/>
        </w:rPr>
        <w:t xml:space="preserve"> </w:t>
      </w:r>
      <w:r w:rsidR="00ED7F21">
        <w:rPr>
          <w:rFonts w:cs="Arial"/>
          <w:b/>
          <w:iCs/>
          <w:smallCaps/>
          <w:snapToGrid/>
          <w:color w:val="auto"/>
          <w:szCs w:val="24"/>
          <w:lang w:val="es-MX" w:eastAsia="es-MX"/>
        </w:rPr>
        <w:t>b</w:t>
      </w:r>
      <w:r w:rsidR="00B25993" w:rsidRPr="00280516">
        <w:rPr>
          <w:rFonts w:cs="Arial"/>
          <w:b/>
          <w:iCs/>
          <w:smallCaps/>
          <w:snapToGrid/>
          <w:color w:val="auto"/>
          <w:szCs w:val="24"/>
          <w:lang w:val="es-MX" w:eastAsia="es-MX"/>
        </w:rPr>
        <w:t>ruto Turístico (</w:t>
      </w:r>
      <w:r>
        <w:rPr>
          <w:rFonts w:cs="Arial"/>
          <w:b/>
          <w:iCs/>
          <w:smallCaps/>
          <w:snapToGrid/>
          <w:color w:val="auto"/>
          <w:szCs w:val="24"/>
          <w:lang w:val="es-MX" w:eastAsia="es-MX"/>
        </w:rPr>
        <w:t>IT</w:t>
      </w:r>
      <w:r w:rsidR="00501611" w:rsidRPr="00280516">
        <w:rPr>
          <w:rFonts w:cs="Arial"/>
          <w:b/>
          <w:iCs/>
          <w:smallCaps/>
          <w:snapToGrid/>
          <w:color w:val="auto"/>
          <w:szCs w:val="24"/>
          <w:lang w:val="es-MX" w:eastAsia="es-MX"/>
        </w:rPr>
        <w:t>PIB</w:t>
      </w:r>
      <w:r w:rsidR="00B25993" w:rsidRPr="00280516">
        <w:rPr>
          <w:rFonts w:cs="Arial"/>
          <w:b/>
          <w:iCs/>
          <w:smallCaps/>
          <w:snapToGrid/>
          <w:color w:val="auto"/>
          <w:szCs w:val="24"/>
          <w:lang w:val="es-MX" w:eastAsia="es-MX"/>
        </w:rPr>
        <w:t>T)</w:t>
      </w:r>
    </w:p>
    <w:p w14:paraId="3C85C702" w14:textId="22E90F29" w:rsidR="006F48F0" w:rsidRDefault="00BE0544" w:rsidP="00445596">
      <w:pPr>
        <w:pStyle w:val="Default"/>
        <w:spacing w:before="120"/>
        <w:jc w:val="both"/>
        <w:rPr>
          <w:color w:val="auto"/>
        </w:rPr>
      </w:pPr>
      <w:r>
        <w:rPr>
          <w:color w:val="auto"/>
        </w:rPr>
        <w:t>E</w:t>
      </w:r>
      <w:r w:rsidR="00DC6CFE">
        <w:rPr>
          <w:color w:val="auto"/>
        </w:rPr>
        <w:t>l</w:t>
      </w:r>
      <w:r w:rsidR="00280516" w:rsidRPr="00DA09CB">
        <w:rPr>
          <w:color w:val="auto"/>
        </w:rPr>
        <w:t xml:space="preserve"> ITPIBT</w:t>
      </w:r>
      <w:r w:rsidR="00847CE2">
        <w:rPr>
          <w:color w:val="auto"/>
        </w:rPr>
        <w:t xml:space="preserve"> </w:t>
      </w:r>
      <w:r w:rsidR="00665BB6">
        <w:rPr>
          <w:color w:val="auto"/>
        </w:rPr>
        <w:t>presentó</w:t>
      </w:r>
      <w:r w:rsidR="00D87EA6">
        <w:rPr>
          <w:color w:val="auto"/>
        </w:rPr>
        <w:t xml:space="preserve"> </w:t>
      </w:r>
      <w:r w:rsidR="00BE7195">
        <w:rPr>
          <w:color w:val="auto"/>
        </w:rPr>
        <w:t>un</w:t>
      </w:r>
      <w:r w:rsidR="00994340">
        <w:rPr>
          <w:color w:val="auto"/>
        </w:rPr>
        <w:t>a</w:t>
      </w:r>
      <w:r w:rsidR="00124D63">
        <w:rPr>
          <w:color w:val="auto"/>
        </w:rPr>
        <w:t xml:space="preserve"> </w:t>
      </w:r>
      <w:r w:rsidR="00994340">
        <w:rPr>
          <w:color w:val="auto"/>
        </w:rPr>
        <w:t>disminución</w:t>
      </w:r>
      <w:r w:rsidR="006E01F9">
        <w:rPr>
          <w:color w:val="auto"/>
        </w:rPr>
        <w:t xml:space="preserve"> </w:t>
      </w:r>
      <w:r w:rsidR="0033214F">
        <w:rPr>
          <w:color w:val="auto"/>
        </w:rPr>
        <w:t xml:space="preserve">real </w:t>
      </w:r>
      <w:r w:rsidR="006E01F9">
        <w:rPr>
          <w:color w:val="auto"/>
        </w:rPr>
        <w:t xml:space="preserve">de </w:t>
      </w:r>
      <w:r w:rsidR="00994340">
        <w:rPr>
          <w:color w:val="auto"/>
        </w:rPr>
        <w:t>(-)</w:t>
      </w:r>
      <w:r w:rsidR="001D0F96">
        <w:rPr>
          <w:color w:val="auto"/>
        </w:rPr>
        <w:t>0.</w:t>
      </w:r>
      <w:r w:rsidR="00994340">
        <w:rPr>
          <w:color w:val="auto"/>
        </w:rPr>
        <w:t>6</w:t>
      </w:r>
      <w:r w:rsidR="006E01F9">
        <w:rPr>
          <w:color w:val="auto"/>
        </w:rPr>
        <w:t>%</w:t>
      </w:r>
      <w:r w:rsidR="0070717E">
        <w:rPr>
          <w:color w:val="auto"/>
        </w:rPr>
        <w:t xml:space="preserve"> </w:t>
      </w:r>
      <w:r w:rsidR="005422C0">
        <w:rPr>
          <w:color w:val="auto"/>
        </w:rPr>
        <w:t xml:space="preserve">en el </w:t>
      </w:r>
      <w:r w:rsidR="00602B31">
        <w:rPr>
          <w:color w:val="auto"/>
        </w:rPr>
        <w:t>c</w:t>
      </w:r>
      <w:r w:rsidR="0098561E">
        <w:rPr>
          <w:color w:val="auto"/>
        </w:rPr>
        <w:t>ua</w:t>
      </w:r>
      <w:r w:rsidR="00602B31">
        <w:rPr>
          <w:color w:val="auto"/>
        </w:rPr>
        <w:t>r</w:t>
      </w:r>
      <w:r w:rsidR="0098561E">
        <w:rPr>
          <w:color w:val="auto"/>
        </w:rPr>
        <w:t>to</w:t>
      </w:r>
      <w:r w:rsidR="005422C0">
        <w:rPr>
          <w:color w:val="auto"/>
        </w:rPr>
        <w:t xml:space="preserve"> trimestre de 201</w:t>
      </w:r>
      <w:r w:rsidR="005A6BB7">
        <w:rPr>
          <w:color w:val="auto"/>
        </w:rPr>
        <w:t>9</w:t>
      </w:r>
      <w:r w:rsidR="005422C0">
        <w:rPr>
          <w:color w:val="auto"/>
        </w:rPr>
        <w:t xml:space="preserve"> frente al trimestre previo. </w:t>
      </w:r>
      <w:r w:rsidR="006F48F0">
        <w:rPr>
          <w:color w:val="auto"/>
          <w:szCs w:val="22"/>
        </w:rPr>
        <w:t>A su interior</w:t>
      </w:r>
      <w:r w:rsidR="002F10D1">
        <w:rPr>
          <w:color w:val="auto"/>
          <w:szCs w:val="22"/>
        </w:rPr>
        <w:t>,</w:t>
      </w:r>
      <w:r w:rsidR="00F527F2">
        <w:rPr>
          <w:color w:val="auto"/>
          <w:szCs w:val="22"/>
        </w:rPr>
        <w:t xml:space="preserve"> </w:t>
      </w:r>
      <w:r w:rsidR="00D87EA6">
        <w:rPr>
          <w:color w:val="auto"/>
        </w:rPr>
        <w:t xml:space="preserve">el de los </w:t>
      </w:r>
      <w:r w:rsidR="001D0F96">
        <w:rPr>
          <w:color w:val="auto"/>
        </w:rPr>
        <w:t xml:space="preserve">Bienes </w:t>
      </w:r>
      <w:r w:rsidR="005637F0">
        <w:rPr>
          <w:color w:val="auto"/>
        </w:rPr>
        <w:t>fue m</w:t>
      </w:r>
      <w:r w:rsidR="00994340">
        <w:rPr>
          <w:color w:val="auto"/>
        </w:rPr>
        <w:t>eno</w:t>
      </w:r>
      <w:r w:rsidR="005637F0">
        <w:rPr>
          <w:color w:val="auto"/>
        </w:rPr>
        <w:t>r en</w:t>
      </w:r>
      <w:r w:rsidR="00124D63">
        <w:rPr>
          <w:color w:val="auto"/>
        </w:rPr>
        <w:t xml:space="preserve"> </w:t>
      </w:r>
      <w:r w:rsidR="00994340">
        <w:rPr>
          <w:color w:val="auto"/>
        </w:rPr>
        <w:t>(-)0</w:t>
      </w:r>
      <w:r w:rsidR="001D0F96">
        <w:rPr>
          <w:color w:val="auto"/>
        </w:rPr>
        <w:t>.</w:t>
      </w:r>
      <w:r w:rsidR="00994340">
        <w:rPr>
          <w:color w:val="auto"/>
        </w:rPr>
        <w:t>7</w:t>
      </w:r>
      <w:r w:rsidR="00124D63">
        <w:rPr>
          <w:color w:val="auto"/>
        </w:rPr>
        <w:t>%</w:t>
      </w:r>
      <w:r w:rsidR="00994340">
        <w:rPr>
          <w:color w:val="auto"/>
        </w:rPr>
        <w:t xml:space="preserve"> y</w:t>
      </w:r>
      <w:r w:rsidR="001D0F96">
        <w:rPr>
          <w:color w:val="auto"/>
        </w:rPr>
        <w:t xml:space="preserve"> e</w:t>
      </w:r>
      <w:r w:rsidR="0093792D">
        <w:rPr>
          <w:color w:val="auto"/>
        </w:rPr>
        <w:t>l</w:t>
      </w:r>
      <w:r w:rsidR="00D87EA6">
        <w:rPr>
          <w:color w:val="auto"/>
        </w:rPr>
        <w:t xml:space="preserve"> de los </w:t>
      </w:r>
      <w:r w:rsidR="001D0F96">
        <w:rPr>
          <w:color w:val="auto"/>
        </w:rPr>
        <w:t xml:space="preserve">Servicios Turísticos </w:t>
      </w:r>
      <w:r w:rsidR="005637F0">
        <w:rPr>
          <w:color w:val="auto"/>
        </w:rPr>
        <w:t>descendió</w:t>
      </w:r>
      <w:r w:rsidR="001D0F96">
        <w:rPr>
          <w:color w:val="auto"/>
        </w:rPr>
        <w:t xml:space="preserve"> (-)0.</w:t>
      </w:r>
      <w:r w:rsidR="00994340">
        <w:rPr>
          <w:color w:val="auto"/>
        </w:rPr>
        <w:t>6</w:t>
      </w:r>
      <w:r w:rsidR="0033214F">
        <w:rPr>
          <w:color w:val="auto"/>
        </w:rPr>
        <w:t xml:space="preserve"> por ciento</w:t>
      </w:r>
      <w:r w:rsidR="006F48F0" w:rsidRPr="00E92EC9">
        <w:rPr>
          <w:color w:val="auto"/>
          <w:szCs w:val="22"/>
        </w:rPr>
        <w:t>.</w:t>
      </w:r>
      <w:r w:rsidR="006F48F0" w:rsidRPr="00274992">
        <w:rPr>
          <w:color w:val="auto"/>
          <w:szCs w:val="22"/>
        </w:rPr>
        <w:t xml:space="preserve"> </w:t>
      </w:r>
    </w:p>
    <w:p w14:paraId="73306F17" w14:textId="77777777" w:rsidR="00B663DF" w:rsidRDefault="00B663DF" w:rsidP="00F23FBF">
      <w:pPr>
        <w:spacing w:before="120"/>
        <w:contextualSpacing/>
        <w:jc w:val="center"/>
        <w:rPr>
          <w:rFonts w:cs="Arial"/>
          <w:sz w:val="18"/>
          <w:szCs w:val="18"/>
        </w:rPr>
      </w:pPr>
    </w:p>
    <w:p w14:paraId="2422BD9E" w14:textId="77777777" w:rsidR="00280516" w:rsidRPr="003D2E2E" w:rsidRDefault="00280516" w:rsidP="00F23FBF">
      <w:pPr>
        <w:spacing w:before="120"/>
        <w:contextualSpacing/>
        <w:jc w:val="center"/>
        <w:rPr>
          <w:rFonts w:cs="Arial"/>
          <w:sz w:val="18"/>
          <w:szCs w:val="18"/>
        </w:rPr>
      </w:pPr>
      <w:r w:rsidRPr="003D2E2E">
        <w:rPr>
          <w:rFonts w:cs="Arial"/>
          <w:sz w:val="18"/>
          <w:szCs w:val="18"/>
        </w:rPr>
        <w:t xml:space="preserve">Gráfica </w:t>
      </w:r>
      <w:r w:rsidR="00B4562D" w:rsidRPr="003D2E2E">
        <w:rPr>
          <w:rFonts w:cs="Arial"/>
          <w:sz w:val="18"/>
          <w:szCs w:val="18"/>
        </w:rPr>
        <w:t>1</w:t>
      </w:r>
    </w:p>
    <w:p w14:paraId="63D11E67" w14:textId="77777777" w:rsidR="00280516" w:rsidRPr="005B4B9E" w:rsidRDefault="00280516" w:rsidP="00280516">
      <w:pPr>
        <w:contextualSpacing/>
        <w:jc w:val="center"/>
        <w:rPr>
          <w:rFonts w:cs="Arial"/>
          <w:b/>
          <w:smallCaps/>
          <w:sz w:val="22"/>
          <w:szCs w:val="22"/>
        </w:rPr>
      </w:pPr>
      <w:r w:rsidRPr="005B4B9E">
        <w:rPr>
          <w:rFonts w:cs="Arial"/>
          <w:b/>
          <w:iCs/>
          <w:smallCaps/>
          <w:snapToGrid/>
          <w:sz w:val="22"/>
          <w:szCs w:val="22"/>
          <w:lang w:val="es-MX" w:eastAsia="es-MX"/>
        </w:rPr>
        <w:t>Indicador Trimestral del PIB Turístico</w:t>
      </w:r>
    </w:p>
    <w:p w14:paraId="6888449C" w14:textId="602392B5" w:rsidR="00280516" w:rsidRPr="00004A7D" w:rsidRDefault="00280516" w:rsidP="00280516">
      <w:pPr>
        <w:contextualSpacing/>
        <w:jc w:val="center"/>
        <w:rPr>
          <w:rFonts w:cs="Arial"/>
          <w:b/>
          <w:smallCaps/>
          <w:szCs w:val="24"/>
        </w:rPr>
      </w:pPr>
      <w:r w:rsidRPr="005B4B9E">
        <w:rPr>
          <w:rFonts w:cs="Arial"/>
          <w:b/>
          <w:smallCaps/>
          <w:sz w:val="22"/>
          <w:szCs w:val="22"/>
        </w:rPr>
        <w:t xml:space="preserve">al </w:t>
      </w:r>
      <w:r w:rsidR="00602B31">
        <w:rPr>
          <w:rFonts w:cs="Arial"/>
          <w:b/>
          <w:smallCaps/>
          <w:sz w:val="22"/>
          <w:szCs w:val="22"/>
        </w:rPr>
        <w:t>c</w:t>
      </w:r>
      <w:r w:rsidR="0098561E">
        <w:rPr>
          <w:rFonts w:cs="Arial"/>
          <w:b/>
          <w:smallCaps/>
          <w:sz w:val="22"/>
          <w:szCs w:val="22"/>
        </w:rPr>
        <w:t>ua</w:t>
      </w:r>
      <w:r w:rsidR="00602B31">
        <w:rPr>
          <w:rFonts w:cs="Arial"/>
          <w:b/>
          <w:smallCaps/>
          <w:sz w:val="22"/>
          <w:szCs w:val="22"/>
        </w:rPr>
        <w:t>r</w:t>
      </w:r>
      <w:r w:rsidR="0098561E">
        <w:rPr>
          <w:rFonts w:cs="Arial"/>
          <w:b/>
          <w:smallCaps/>
          <w:sz w:val="22"/>
          <w:szCs w:val="22"/>
        </w:rPr>
        <w:t>to</w:t>
      </w:r>
      <w:r w:rsidR="00297DA6">
        <w:rPr>
          <w:rFonts w:cs="Arial"/>
          <w:b/>
          <w:smallCaps/>
          <w:sz w:val="22"/>
          <w:szCs w:val="22"/>
        </w:rPr>
        <w:t xml:space="preserve"> </w:t>
      </w:r>
      <w:r w:rsidR="00CC0001" w:rsidRPr="005B4B9E">
        <w:rPr>
          <w:rFonts w:cs="Arial"/>
          <w:b/>
          <w:smallCaps/>
          <w:sz w:val="22"/>
          <w:szCs w:val="22"/>
        </w:rPr>
        <w:t>trimestre de</w:t>
      </w:r>
      <w:r w:rsidRPr="005B4B9E">
        <w:rPr>
          <w:rFonts w:cs="Arial"/>
          <w:b/>
          <w:smallCaps/>
          <w:sz w:val="22"/>
          <w:szCs w:val="22"/>
        </w:rPr>
        <w:t xml:space="preserve"> 201</w:t>
      </w:r>
      <w:r w:rsidR="005A6BB7">
        <w:rPr>
          <w:rFonts w:cs="Arial"/>
          <w:b/>
          <w:smallCaps/>
          <w:sz w:val="22"/>
          <w:szCs w:val="22"/>
        </w:rPr>
        <w:t>9</w:t>
      </w:r>
    </w:p>
    <w:p w14:paraId="4EBD03CA" w14:textId="77777777" w:rsidR="00280516" w:rsidRPr="003D2E2E" w:rsidRDefault="00280516" w:rsidP="00280516">
      <w:pPr>
        <w:contextualSpacing/>
        <w:jc w:val="center"/>
        <w:rPr>
          <w:rFonts w:cs="Arial"/>
          <w:sz w:val="18"/>
          <w:szCs w:val="18"/>
        </w:rPr>
      </w:pPr>
      <w:r w:rsidRPr="003D2E2E">
        <w:rPr>
          <w:rFonts w:cs="Arial"/>
          <w:sz w:val="18"/>
          <w:szCs w:val="18"/>
        </w:rPr>
        <w:t xml:space="preserve">(Índice </w:t>
      </w:r>
      <w:r w:rsidR="008F692E">
        <w:rPr>
          <w:rFonts w:cs="Arial"/>
          <w:sz w:val="18"/>
          <w:szCs w:val="18"/>
        </w:rPr>
        <w:t xml:space="preserve">base </w:t>
      </w:r>
      <w:r w:rsidR="00B604CA">
        <w:rPr>
          <w:rFonts w:cs="Arial"/>
          <w:sz w:val="18"/>
          <w:szCs w:val="18"/>
        </w:rPr>
        <w:t>20</w:t>
      </w:r>
      <w:r w:rsidR="002A618E">
        <w:rPr>
          <w:rFonts w:cs="Arial"/>
          <w:sz w:val="18"/>
          <w:szCs w:val="18"/>
        </w:rPr>
        <w:t>13</w:t>
      </w:r>
      <w:r w:rsidRPr="003D2E2E">
        <w:rPr>
          <w:rFonts w:cs="Arial"/>
          <w:sz w:val="18"/>
          <w:szCs w:val="18"/>
        </w:rPr>
        <w:t>=100)</w:t>
      </w:r>
    </w:p>
    <w:p w14:paraId="44474488" w14:textId="63CFDAEE" w:rsidR="00BA6B74" w:rsidRPr="00004A7D" w:rsidRDefault="00F93C25" w:rsidP="00BA6B74">
      <w:pPr>
        <w:contextualSpacing/>
        <w:jc w:val="center"/>
        <w:rPr>
          <w:rFonts w:cs="Arial"/>
          <w:szCs w:val="24"/>
        </w:rPr>
      </w:pPr>
      <w:r>
        <w:rPr>
          <w:noProof/>
          <w:snapToGrid/>
          <w:lang w:val="es-MX" w:eastAsia="es-MX"/>
        </w:rPr>
        <w:drawing>
          <wp:inline distT="0" distB="0" distL="0" distR="0" wp14:anchorId="380EB866" wp14:editId="7D39478F">
            <wp:extent cx="4320000" cy="2520000"/>
            <wp:effectExtent l="0" t="0" r="23495" b="33020"/>
            <wp:docPr id="1" name="Gráfico 1">
              <a:extLst xmlns:a="http://schemas.openxmlformats.org/drawingml/2006/main">
                <a:ext uri="{FF2B5EF4-FFF2-40B4-BE49-F238E27FC236}">
                  <a16:creationId xmlns:a16="http://schemas.microsoft.com/office/drawing/2014/main" id="{8713C2BE-69C5-4DB6-973B-1B476B757DD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7D1D01AD" w14:textId="77777777" w:rsidR="000E2C66" w:rsidRPr="003D2E2E" w:rsidRDefault="000E2C66" w:rsidP="00593A80">
      <w:pPr>
        <w:ind w:left="1134"/>
        <w:contextualSpacing/>
        <w:rPr>
          <w:rFonts w:cs="Arial"/>
          <w:sz w:val="16"/>
          <w:szCs w:val="16"/>
        </w:rPr>
      </w:pPr>
      <w:r w:rsidRPr="003D2E2E">
        <w:rPr>
          <w:rFonts w:cs="Arial"/>
          <w:sz w:val="16"/>
          <w:szCs w:val="16"/>
        </w:rPr>
        <w:t>Fuente: INEGI</w:t>
      </w:r>
      <w:r w:rsidR="007806B1">
        <w:rPr>
          <w:rFonts w:cs="Arial"/>
          <w:sz w:val="16"/>
          <w:szCs w:val="16"/>
        </w:rPr>
        <w:t>.</w:t>
      </w:r>
    </w:p>
    <w:p w14:paraId="5CD635BE" w14:textId="77777777" w:rsidR="00B663DF" w:rsidRDefault="00B663DF">
      <w:pPr>
        <w:widowControl/>
        <w:rPr>
          <w:rFonts w:cs="Arial"/>
          <w:sz w:val="18"/>
          <w:szCs w:val="18"/>
        </w:rPr>
      </w:pPr>
    </w:p>
    <w:p w14:paraId="0B8ABBDA" w14:textId="77777777" w:rsidR="004C39F9" w:rsidRDefault="004C39F9" w:rsidP="00506982">
      <w:pPr>
        <w:spacing w:before="240"/>
        <w:ind w:left="284" w:hanging="45"/>
        <w:contextualSpacing/>
        <w:jc w:val="center"/>
        <w:rPr>
          <w:rFonts w:cs="Arial"/>
          <w:sz w:val="18"/>
          <w:szCs w:val="18"/>
        </w:rPr>
      </w:pPr>
    </w:p>
    <w:p w14:paraId="3A3232E5" w14:textId="77777777" w:rsidR="004C39F9" w:rsidRDefault="004C39F9" w:rsidP="00506982">
      <w:pPr>
        <w:spacing w:before="240"/>
        <w:ind w:left="284" w:hanging="45"/>
        <w:contextualSpacing/>
        <w:jc w:val="center"/>
        <w:rPr>
          <w:rFonts w:cs="Arial"/>
          <w:sz w:val="18"/>
          <w:szCs w:val="18"/>
        </w:rPr>
      </w:pPr>
    </w:p>
    <w:p w14:paraId="090B6F69" w14:textId="77777777" w:rsidR="004C39F9" w:rsidRDefault="004C39F9" w:rsidP="00506982">
      <w:pPr>
        <w:spacing w:before="240"/>
        <w:ind w:left="284" w:hanging="45"/>
        <w:contextualSpacing/>
        <w:jc w:val="center"/>
        <w:rPr>
          <w:rFonts w:cs="Arial"/>
          <w:sz w:val="18"/>
          <w:szCs w:val="18"/>
        </w:rPr>
      </w:pPr>
    </w:p>
    <w:p w14:paraId="09C0555A" w14:textId="77777777" w:rsidR="004C39F9" w:rsidRDefault="004C39F9" w:rsidP="00506982">
      <w:pPr>
        <w:spacing w:before="240"/>
        <w:ind w:left="284" w:hanging="45"/>
        <w:contextualSpacing/>
        <w:jc w:val="center"/>
        <w:rPr>
          <w:rFonts w:cs="Arial"/>
          <w:sz w:val="18"/>
          <w:szCs w:val="18"/>
        </w:rPr>
      </w:pPr>
    </w:p>
    <w:p w14:paraId="663BB085" w14:textId="77777777" w:rsidR="004C39F9" w:rsidRDefault="004C39F9" w:rsidP="00506982">
      <w:pPr>
        <w:spacing w:before="240"/>
        <w:ind w:left="284" w:hanging="45"/>
        <w:contextualSpacing/>
        <w:jc w:val="center"/>
        <w:rPr>
          <w:rFonts w:cs="Arial"/>
          <w:sz w:val="18"/>
          <w:szCs w:val="18"/>
        </w:rPr>
      </w:pPr>
    </w:p>
    <w:p w14:paraId="7C3048E7" w14:textId="77777777" w:rsidR="004C39F9" w:rsidRDefault="004C39F9" w:rsidP="00506982">
      <w:pPr>
        <w:spacing w:before="240"/>
        <w:ind w:left="284" w:hanging="45"/>
        <w:contextualSpacing/>
        <w:jc w:val="center"/>
        <w:rPr>
          <w:rFonts w:cs="Arial"/>
          <w:sz w:val="18"/>
          <w:szCs w:val="18"/>
        </w:rPr>
      </w:pPr>
    </w:p>
    <w:p w14:paraId="6BD6E586" w14:textId="77777777" w:rsidR="004C39F9" w:rsidRDefault="004C39F9" w:rsidP="00506982">
      <w:pPr>
        <w:spacing w:before="240"/>
        <w:ind w:left="284" w:hanging="45"/>
        <w:contextualSpacing/>
        <w:jc w:val="center"/>
        <w:rPr>
          <w:rFonts w:cs="Arial"/>
          <w:sz w:val="18"/>
          <w:szCs w:val="18"/>
        </w:rPr>
      </w:pPr>
    </w:p>
    <w:p w14:paraId="0AA87B70" w14:textId="77777777" w:rsidR="004C39F9" w:rsidRDefault="004C39F9" w:rsidP="00506982">
      <w:pPr>
        <w:spacing w:before="240"/>
        <w:ind w:left="284" w:hanging="45"/>
        <w:contextualSpacing/>
        <w:jc w:val="center"/>
        <w:rPr>
          <w:rFonts w:cs="Arial"/>
          <w:sz w:val="18"/>
          <w:szCs w:val="18"/>
        </w:rPr>
      </w:pPr>
    </w:p>
    <w:p w14:paraId="5D6DC33A" w14:textId="77777777" w:rsidR="004C39F9" w:rsidRDefault="004C39F9" w:rsidP="00506982">
      <w:pPr>
        <w:spacing w:before="240"/>
        <w:ind w:left="284" w:hanging="45"/>
        <w:contextualSpacing/>
        <w:jc w:val="center"/>
        <w:rPr>
          <w:rFonts w:cs="Arial"/>
          <w:sz w:val="18"/>
          <w:szCs w:val="18"/>
        </w:rPr>
      </w:pPr>
    </w:p>
    <w:p w14:paraId="085B9A06" w14:textId="77777777" w:rsidR="004C39F9" w:rsidRDefault="004C39F9" w:rsidP="00506982">
      <w:pPr>
        <w:spacing w:before="240"/>
        <w:ind w:left="284" w:hanging="45"/>
        <w:contextualSpacing/>
        <w:jc w:val="center"/>
        <w:rPr>
          <w:rFonts w:cs="Arial"/>
          <w:sz w:val="18"/>
          <w:szCs w:val="18"/>
        </w:rPr>
      </w:pPr>
    </w:p>
    <w:p w14:paraId="0A5EFE39" w14:textId="77777777" w:rsidR="004C39F9" w:rsidRDefault="004C39F9" w:rsidP="00506982">
      <w:pPr>
        <w:spacing w:before="240"/>
        <w:ind w:left="284" w:hanging="45"/>
        <w:contextualSpacing/>
        <w:jc w:val="center"/>
        <w:rPr>
          <w:rFonts w:cs="Arial"/>
          <w:sz w:val="18"/>
          <w:szCs w:val="18"/>
        </w:rPr>
      </w:pPr>
    </w:p>
    <w:p w14:paraId="6381F512" w14:textId="77777777" w:rsidR="004C39F9" w:rsidRDefault="004C39F9" w:rsidP="00506982">
      <w:pPr>
        <w:spacing w:before="240"/>
        <w:ind w:left="284" w:hanging="45"/>
        <w:contextualSpacing/>
        <w:jc w:val="center"/>
        <w:rPr>
          <w:rFonts w:cs="Arial"/>
          <w:sz w:val="18"/>
          <w:szCs w:val="18"/>
        </w:rPr>
      </w:pPr>
    </w:p>
    <w:p w14:paraId="1C7393EA" w14:textId="77777777" w:rsidR="004C39F9" w:rsidRDefault="004C39F9" w:rsidP="00506982">
      <w:pPr>
        <w:spacing w:before="240"/>
        <w:ind w:left="284" w:hanging="45"/>
        <w:contextualSpacing/>
        <w:jc w:val="center"/>
        <w:rPr>
          <w:rFonts w:cs="Arial"/>
          <w:sz w:val="18"/>
          <w:szCs w:val="18"/>
        </w:rPr>
      </w:pPr>
    </w:p>
    <w:p w14:paraId="28D05892" w14:textId="77777777" w:rsidR="00BC36C2" w:rsidRDefault="00BC36C2" w:rsidP="00506982">
      <w:pPr>
        <w:spacing w:before="240"/>
        <w:ind w:left="284" w:hanging="45"/>
        <w:contextualSpacing/>
        <w:jc w:val="center"/>
        <w:rPr>
          <w:rFonts w:cs="Arial"/>
          <w:sz w:val="18"/>
          <w:szCs w:val="18"/>
        </w:rPr>
      </w:pPr>
    </w:p>
    <w:p w14:paraId="22235CDA" w14:textId="77777777" w:rsidR="00BC36C2" w:rsidRDefault="00BC36C2" w:rsidP="00506982">
      <w:pPr>
        <w:spacing w:before="240"/>
        <w:ind w:left="284" w:hanging="45"/>
        <w:contextualSpacing/>
        <w:jc w:val="center"/>
        <w:rPr>
          <w:rFonts w:cs="Arial"/>
          <w:sz w:val="18"/>
          <w:szCs w:val="18"/>
        </w:rPr>
      </w:pPr>
    </w:p>
    <w:p w14:paraId="20D8A972" w14:textId="5BE2AD68" w:rsidR="00506982" w:rsidRDefault="00506982" w:rsidP="00506982">
      <w:pPr>
        <w:spacing w:before="240"/>
        <w:ind w:left="284" w:hanging="45"/>
        <w:contextualSpacing/>
        <w:jc w:val="center"/>
        <w:rPr>
          <w:rFonts w:cs="Arial"/>
          <w:sz w:val="18"/>
          <w:szCs w:val="18"/>
        </w:rPr>
      </w:pPr>
      <w:r w:rsidRPr="003D2E2E">
        <w:rPr>
          <w:rFonts w:cs="Arial"/>
          <w:sz w:val="18"/>
          <w:szCs w:val="18"/>
        </w:rPr>
        <w:t xml:space="preserve">Gráfica </w:t>
      </w:r>
      <w:r>
        <w:rPr>
          <w:rFonts w:cs="Arial"/>
          <w:sz w:val="18"/>
          <w:szCs w:val="18"/>
        </w:rPr>
        <w:t>2</w:t>
      </w:r>
    </w:p>
    <w:p w14:paraId="32E931B6" w14:textId="77777777" w:rsidR="00506982" w:rsidRPr="005B4B9E" w:rsidRDefault="00506982" w:rsidP="00506982">
      <w:pPr>
        <w:contextualSpacing/>
        <w:jc w:val="center"/>
        <w:rPr>
          <w:rFonts w:cs="Arial"/>
          <w:b/>
          <w:smallCaps/>
          <w:sz w:val="22"/>
          <w:szCs w:val="22"/>
        </w:rPr>
      </w:pPr>
      <w:r w:rsidRPr="005B4B9E">
        <w:rPr>
          <w:rFonts w:cs="Arial"/>
          <w:b/>
          <w:iCs/>
          <w:smallCaps/>
          <w:snapToGrid/>
          <w:sz w:val="22"/>
          <w:szCs w:val="22"/>
          <w:lang w:val="es-MX" w:eastAsia="es-MX"/>
        </w:rPr>
        <w:t>Indicador Trimestral del PIB Turístico</w:t>
      </w:r>
      <w:r>
        <w:rPr>
          <w:rFonts w:cs="Arial"/>
          <w:b/>
          <w:smallCaps/>
          <w:sz w:val="22"/>
          <w:szCs w:val="22"/>
        </w:rPr>
        <w:t xml:space="preserve"> de </w:t>
      </w:r>
      <w:r w:rsidR="00946758">
        <w:rPr>
          <w:rFonts w:cs="Arial"/>
          <w:b/>
          <w:smallCaps/>
          <w:sz w:val="22"/>
          <w:szCs w:val="22"/>
        </w:rPr>
        <w:t>Biene</w:t>
      </w:r>
      <w:r>
        <w:rPr>
          <w:rFonts w:cs="Arial"/>
          <w:b/>
          <w:smallCaps/>
          <w:sz w:val="22"/>
          <w:szCs w:val="22"/>
        </w:rPr>
        <w:t>s</w:t>
      </w:r>
    </w:p>
    <w:p w14:paraId="3724EEE8" w14:textId="572588E1" w:rsidR="00506982" w:rsidRPr="00004A7D" w:rsidRDefault="00506982" w:rsidP="00506982">
      <w:pPr>
        <w:contextualSpacing/>
        <w:jc w:val="center"/>
        <w:rPr>
          <w:rFonts w:cs="Arial"/>
          <w:b/>
          <w:smallCaps/>
          <w:szCs w:val="24"/>
        </w:rPr>
      </w:pPr>
      <w:r w:rsidRPr="005B4B9E">
        <w:rPr>
          <w:rFonts w:cs="Arial"/>
          <w:b/>
          <w:smallCaps/>
          <w:sz w:val="22"/>
          <w:szCs w:val="22"/>
        </w:rPr>
        <w:t xml:space="preserve">al </w:t>
      </w:r>
      <w:r w:rsidR="00602B31">
        <w:rPr>
          <w:rFonts w:cs="Arial"/>
          <w:b/>
          <w:smallCaps/>
          <w:sz w:val="22"/>
          <w:szCs w:val="22"/>
        </w:rPr>
        <w:t>c</w:t>
      </w:r>
      <w:r w:rsidR="0098561E">
        <w:rPr>
          <w:rFonts w:cs="Arial"/>
          <w:b/>
          <w:smallCaps/>
          <w:sz w:val="22"/>
          <w:szCs w:val="22"/>
        </w:rPr>
        <w:t>ua</w:t>
      </w:r>
      <w:r w:rsidR="00602B31">
        <w:rPr>
          <w:rFonts w:cs="Arial"/>
          <w:b/>
          <w:smallCaps/>
          <w:sz w:val="22"/>
          <w:szCs w:val="22"/>
        </w:rPr>
        <w:t>r</w:t>
      </w:r>
      <w:r w:rsidR="0098561E">
        <w:rPr>
          <w:rFonts w:cs="Arial"/>
          <w:b/>
          <w:smallCaps/>
          <w:sz w:val="22"/>
          <w:szCs w:val="22"/>
        </w:rPr>
        <w:t>to</w:t>
      </w:r>
      <w:r>
        <w:rPr>
          <w:rFonts w:cs="Arial"/>
          <w:b/>
          <w:smallCaps/>
          <w:sz w:val="22"/>
          <w:szCs w:val="22"/>
        </w:rPr>
        <w:t xml:space="preserve"> </w:t>
      </w:r>
      <w:r w:rsidRPr="005B4B9E">
        <w:rPr>
          <w:rFonts w:cs="Arial"/>
          <w:b/>
          <w:smallCaps/>
          <w:sz w:val="22"/>
          <w:szCs w:val="22"/>
        </w:rPr>
        <w:t>trimestre de 201</w:t>
      </w:r>
      <w:r>
        <w:rPr>
          <w:rFonts w:cs="Arial"/>
          <w:b/>
          <w:smallCaps/>
          <w:sz w:val="22"/>
          <w:szCs w:val="22"/>
        </w:rPr>
        <w:t>9</w:t>
      </w:r>
    </w:p>
    <w:p w14:paraId="1EEE0151" w14:textId="77777777" w:rsidR="00506982" w:rsidRDefault="00506982" w:rsidP="00506982">
      <w:pPr>
        <w:spacing w:before="240"/>
        <w:ind w:left="284" w:hanging="45"/>
        <w:contextualSpacing/>
        <w:jc w:val="center"/>
        <w:rPr>
          <w:rFonts w:cs="Arial"/>
          <w:sz w:val="18"/>
          <w:szCs w:val="18"/>
        </w:rPr>
      </w:pPr>
      <w:r w:rsidRPr="003D2E2E">
        <w:rPr>
          <w:rFonts w:cs="Arial"/>
          <w:sz w:val="18"/>
          <w:szCs w:val="18"/>
        </w:rPr>
        <w:t>(Índice</w:t>
      </w:r>
      <w:r>
        <w:rPr>
          <w:rFonts w:cs="Arial"/>
          <w:sz w:val="18"/>
          <w:szCs w:val="18"/>
        </w:rPr>
        <w:t xml:space="preserve"> base 2013</w:t>
      </w:r>
      <w:r w:rsidRPr="003D2E2E">
        <w:rPr>
          <w:rFonts w:cs="Arial"/>
          <w:sz w:val="18"/>
          <w:szCs w:val="18"/>
        </w:rPr>
        <w:t>=100)</w:t>
      </w:r>
    </w:p>
    <w:p w14:paraId="2BB53B65" w14:textId="725D5D65" w:rsidR="00506982" w:rsidRDefault="00F93C25" w:rsidP="00506982">
      <w:pPr>
        <w:spacing w:before="240"/>
        <w:ind w:left="284" w:hanging="45"/>
        <w:contextualSpacing/>
        <w:jc w:val="center"/>
        <w:rPr>
          <w:rFonts w:cs="Arial"/>
          <w:sz w:val="18"/>
          <w:szCs w:val="18"/>
        </w:rPr>
      </w:pPr>
      <w:r>
        <w:rPr>
          <w:noProof/>
          <w:snapToGrid/>
          <w:lang w:val="es-MX" w:eastAsia="es-MX"/>
        </w:rPr>
        <w:drawing>
          <wp:inline distT="0" distB="0" distL="0" distR="0" wp14:anchorId="02D4F304" wp14:editId="0F5B328F">
            <wp:extent cx="4320000" cy="2520000"/>
            <wp:effectExtent l="0" t="0" r="23495" b="33020"/>
            <wp:docPr id="3" name="Gráfico 3">
              <a:extLst xmlns:a="http://schemas.openxmlformats.org/drawingml/2006/main">
                <a:ext uri="{FF2B5EF4-FFF2-40B4-BE49-F238E27FC236}">
                  <a16:creationId xmlns:a16="http://schemas.microsoft.com/office/drawing/2014/main" id="{23757C34-201D-4561-B0AF-66A63E4CBEB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62B469A8" w14:textId="77777777" w:rsidR="00506982" w:rsidRPr="003D2E2E" w:rsidRDefault="00506982" w:rsidP="00506982">
      <w:pPr>
        <w:spacing w:before="240"/>
        <w:ind w:left="1004"/>
        <w:contextualSpacing/>
        <w:jc w:val="both"/>
        <w:rPr>
          <w:rFonts w:cs="Arial"/>
          <w:sz w:val="18"/>
          <w:szCs w:val="18"/>
        </w:rPr>
      </w:pPr>
      <w:r>
        <w:rPr>
          <w:rFonts w:cs="Arial"/>
          <w:sz w:val="16"/>
          <w:szCs w:val="16"/>
        </w:rPr>
        <w:t xml:space="preserve">    </w:t>
      </w:r>
      <w:r w:rsidRPr="003D2E2E">
        <w:rPr>
          <w:rFonts w:cs="Arial"/>
          <w:sz w:val="16"/>
          <w:szCs w:val="16"/>
        </w:rPr>
        <w:t>Fuente: INEGI</w:t>
      </w:r>
      <w:r>
        <w:rPr>
          <w:rFonts w:cs="Arial"/>
          <w:sz w:val="16"/>
          <w:szCs w:val="16"/>
        </w:rPr>
        <w:t>.</w:t>
      </w:r>
    </w:p>
    <w:p w14:paraId="3E463550" w14:textId="77777777" w:rsidR="00EE7736" w:rsidRDefault="00EE7736">
      <w:pPr>
        <w:widowControl/>
        <w:rPr>
          <w:rFonts w:cs="Arial"/>
          <w:sz w:val="18"/>
          <w:szCs w:val="18"/>
        </w:rPr>
      </w:pPr>
    </w:p>
    <w:p w14:paraId="26780B64" w14:textId="77777777" w:rsidR="00A2256A" w:rsidRDefault="00A2256A">
      <w:pPr>
        <w:widowControl/>
        <w:rPr>
          <w:rFonts w:cs="Arial"/>
          <w:sz w:val="18"/>
          <w:szCs w:val="18"/>
        </w:rPr>
      </w:pPr>
    </w:p>
    <w:p w14:paraId="6659C02F" w14:textId="77777777" w:rsidR="00506982" w:rsidRPr="003D2E2E" w:rsidRDefault="00506982" w:rsidP="00506982">
      <w:pPr>
        <w:spacing w:before="360"/>
        <w:contextualSpacing/>
        <w:jc w:val="center"/>
        <w:rPr>
          <w:rFonts w:cs="Arial"/>
          <w:sz w:val="18"/>
          <w:szCs w:val="18"/>
        </w:rPr>
      </w:pPr>
      <w:r>
        <w:rPr>
          <w:rFonts w:cs="Arial"/>
          <w:sz w:val="18"/>
          <w:szCs w:val="18"/>
        </w:rPr>
        <w:t>Gráfica 3</w:t>
      </w:r>
    </w:p>
    <w:p w14:paraId="1C2EC882" w14:textId="77777777" w:rsidR="00506982" w:rsidRPr="005B4B9E" w:rsidRDefault="00506982" w:rsidP="00506982">
      <w:pPr>
        <w:contextualSpacing/>
        <w:jc w:val="center"/>
        <w:rPr>
          <w:rFonts w:cs="Arial"/>
          <w:b/>
          <w:smallCaps/>
          <w:sz w:val="22"/>
          <w:szCs w:val="22"/>
        </w:rPr>
      </w:pPr>
      <w:r w:rsidRPr="005B4B9E">
        <w:rPr>
          <w:rFonts w:cs="Arial"/>
          <w:b/>
          <w:iCs/>
          <w:smallCaps/>
          <w:snapToGrid/>
          <w:sz w:val="22"/>
          <w:szCs w:val="22"/>
          <w:lang w:val="es-MX" w:eastAsia="es-MX"/>
        </w:rPr>
        <w:t>Indicador Trimestral del PIB Turístico</w:t>
      </w:r>
      <w:r w:rsidRPr="005B4B9E">
        <w:rPr>
          <w:rFonts w:cs="Arial"/>
          <w:b/>
          <w:smallCaps/>
          <w:sz w:val="22"/>
          <w:szCs w:val="22"/>
        </w:rPr>
        <w:t xml:space="preserve"> de </w:t>
      </w:r>
      <w:r w:rsidR="00946758">
        <w:rPr>
          <w:rFonts w:cs="Arial"/>
          <w:b/>
          <w:smallCaps/>
          <w:sz w:val="22"/>
          <w:szCs w:val="22"/>
        </w:rPr>
        <w:t>Servicio</w:t>
      </w:r>
      <w:r w:rsidRPr="005B4B9E">
        <w:rPr>
          <w:rFonts w:cs="Arial"/>
          <w:b/>
          <w:smallCaps/>
          <w:sz w:val="22"/>
          <w:szCs w:val="22"/>
        </w:rPr>
        <w:t>s</w:t>
      </w:r>
    </w:p>
    <w:p w14:paraId="49CED940" w14:textId="5B8DFB31" w:rsidR="00506982" w:rsidRPr="00004A7D" w:rsidRDefault="00506982" w:rsidP="00506982">
      <w:pPr>
        <w:contextualSpacing/>
        <w:jc w:val="center"/>
        <w:rPr>
          <w:rFonts w:cs="Arial"/>
          <w:b/>
          <w:smallCaps/>
          <w:szCs w:val="24"/>
        </w:rPr>
      </w:pPr>
      <w:r w:rsidRPr="005B4B9E">
        <w:rPr>
          <w:rFonts w:cs="Arial"/>
          <w:b/>
          <w:smallCaps/>
          <w:sz w:val="22"/>
          <w:szCs w:val="22"/>
        </w:rPr>
        <w:t>al</w:t>
      </w:r>
      <w:r>
        <w:rPr>
          <w:rFonts w:cs="Arial"/>
          <w:b/>
          <w:smallCaps/>
          <w:sz w:val="22"/>
          <w:szCs w:val="22"/>
        </w:rPr>
        <w:t xml:space="preserve"> </w:t>
      </w:r>
      <w:r w:rsidR="00602B31">
        <w:rPr>
          <w:rFonts w:cs="Arial"/>
          <w:b/>
          <w:smallCaps/>
          <w:sz w:val="22"/>
          <w:szCs w:val="22"/>
        </w:rPr>
        <w:t>c</w:t>
      </w:r>
      <w:r w:rsidR="0098561E">
        <w:rPr>
          <w:rFonts w:cs="Arial"/>
          <w:b/>
          <w:smallCaps/>
          <w:sz w:val="22"/>
          <w:szCs w:val="22"/>
        </w:rPr>
        <w:t>ua</w:t>
      </w:r>
      <w:r w:rsidR="00602B31">
        <w:rPr>
          <w:rFonts w:cs="Arial"/>
          <w:b/>
          <w:smallCaps/>
          <w:sz w:val="22"/>
          <w:szCs w:val="22"/>
        </w:rPr>
        <w:t>r</w:t>
      </w:r>
      <w:r w:rsidR="0098561E">
        <w:rPr>
          <w:rFonts w:cs="Arial"/>
          <w:b/>
          <w:smallCaps/>
          <w:sz w:val="22"/>
          <w:szCs w:val="22"/>
        </w:rPr>
        <w:t>to</w:t>
      </w:r>
      <w:r>
        <w:rPr>
          <w:rFonts w:cs="Arial"/>
          <w:b/>
          <w:smallCaps/>
          <w:sz w:val="22"/>
          <w:szCs w:val="22"/>
        </w:rPr>
        <w:t xml:space="preserve"> </w:t>
      </w:r>
      <w:r w:rsidRPr="005B4B9E">
        <w:rPr>
          <w:rFonts w:cs="Arial"/>
          <w:b/>
          <w:smallCaps/>
          <w:sz w:val="22"/>
          <w:szCs w:val="22"/>
        </w:rPr>
        <w:t>trimestre de 201</w:t>
      </w:r>
      <w:r>
        <w:rPr>
          <w:rFonts w:cs="Arial"/>
          <w:b/>
          <w:smallCaps/>
          <w:sz w:val="22"/>
          <w:szCs w:val="22"/>
        </w:rPr>
        <w:t>9</w:t>
      </w:r>
    </w:p>
    <w:p w14:paraId="1F7144AB" w14:textId="77777777" w:rsidR="00506982" w:rsidRPr="003D2E2E" w:rsidRDefault="00506982" w:rsidP="00506982">
      <w:pPr>
        <w:contextualSpacing/>
        <w:jc w:val="center"/>
        <w:rPr>
          <w:rFonts w:cs="Arial"/>
          <w:sz w:val="18"/>
          <w:szCs w:val="18"/>
        </w:rPr>
      </w:pPr>
      <w:r w:rsidRPr="003D2E2E">
        <w:rPr>
          <w:rFonts w:cs="Arial"/>
          <w:sz w:val="18"/>
          <w:szCs w:val="18"/>
        </w:rPr>
        <w:t xml:space="preserve">(Índice </w:t>
      </w:r>
      <w:r>
        <w:rPr>
          <w:rFonts w:cs="Arial"/>
          <w:sz w:val="18"/>
          <w:szCs w:val="18"/>
        </w:rPr>
        <w:t>base 2013</w:t>
      </w:r>
      <w:r w:rsidRPr="003D2E2E">
        <w:rPr>
          <w:rFonts w:cs="Arial"/>
          <w:sz w:val="18"/>
          <w:szCs w:val="18"/>
        </w:rPr>
        <w:t>=100)</w:t>
      </w:r>
    </w:p>
    <w:p w14:paraId="5764147C" w14:textId="1F5F63A9" w:rsidR="00506982" w:rsidRPr="002959AC" w:rsidRDefault="00F93C25" w:rsidP="00506982">
      <w:pPr>
        <w:contextualSpacing/>
        <w:jc w:val="center"/>
        <w:rPr>
          <w:rFonts w:cs="Arial"/>
          <w:sz w:val="20"/>
          <w14:shadow w14:blurRad="50800" w14:dist="50800" w14:dir="3600000" w14:sx="0" w14:sy="0" w14:kx="0" w14:ky="0" w14:algn="ctr">
            <w14:srgbClr w14:val="000000">
              <w14:alpha w14:val="56870"/>
            </w14:srgbClr>
          </w14:shadow>
        </w:rPr>
      </w:pPr>
      <w:r>
        <w:rPr>
          <w:noProof/>
          <w:snapToGrid/>
          <w:lang w:val="es-MX" w:eastAsia="es-MX"/>
        </w:rPr>
        <w:drawing>
          <wp:inline distT="0" distB="0" distL="0" distR="0" wp14:anchorId="297F1061" wp14:editId="03B788FA">
            <wp:extent cx="4320000" cy="2520000"/>
            <wp:effectExtent l="0" t="0" r="23495" b="33020"/>
            <wp:docPr id="5" name="Gráfico 5">
              <a:extLst xmlns:a="http://schemas.openxmlformats.org/drawingml/2006/main">
                <a:ext uri="{FF2B5EF4-FFF2-40B4-BE49-F238E27FC236}">
                  <a16:creationId xmlns:a16="http://schemas.microsoft.com/office/drawing/2014/main" id="{74D24EFF-33CE-4B54-8A3B-FE93021A543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3572B403" w14:textId="77777777" w:rsidR="00506982" w:rsidRDefault="00506982" w:rsidP="00506982">
      <w:pPr>
        <w:spacing w:before="480"/>
        <w:ind w:left="1134"/>
        <w:contextualSpacing/>
        <w:rPr>
          <w:rFonts w:cs="Arial"/>
          <w:sz w:val="18"/>
          <w:szCs w:val="18"/>
        </w:rPr>
      </w:pPr>
      <w:r w:rsidRPr="003D2E2E">
        <w:rPr>
          <w:rFonts w:cs="Arial"/>
          <w:sz w:val="16"/>
          <w:szCs w:val="16"/>
        </w:rPr>
        <w:t>Fuente: INEGI</w:t>
      </w:r>
      <w:r>
        <w:rPr>
          <w:rFonts w:cs="Arial"/>
          <w:sz w:val="16"/>
          <w:szCs w:val="16"/>
        </w:rPr>
        <w:t>.</w:t>
      </w:r>
    </w:p>
    <w:p w14:paraId="0C709E33" w14:textId="77777777" w:rsidR="00506982" w:rsidRDefault="00506982" w:rsidP="00506982">
      <w:pPr>
        <w:widowControl/>
        <w:rPr>
          <w:rFonts w:cs="Arial"/>
          <w:sz w:val="18"/>
          <w:szCs w:val="18"/>
        </w:rPr>
      </w:pPr>
    </w:p>
    <w:p w14:paraId="69C5C67E" w14:textId="77777777" w:rsidR="004C39F9" w:rsidRDefault="004C39F9" w:rsidP="001D0F96">
      <w:pPr>
        <w:pStyle w:val="Textoindependiente"/>
        <w:tabs>
          <w:tab w:val="center" w:pos="3348"/>
        </w:tabs>
        <w:spacing w:before="480"/>
        <w:jc w:val="both"/>
        <w:rPr>
          <w:snapToGrid/>
          <w:color w:val="auto"/>
          <w:szCs w:val="22"/>
        </w:rPr>
      </w:pPr>
    </w:p>
    <w:p w14:paraId="788713CD" w14:textId="77777777" w:rsidR="004C39F9" w:rsidRDefault="004C39F9" w:rsidP="001D0F96">
      <w:pPr>
        <w:pStyle w:val="Textoindependiente"/>
        <w:tabs>
          <w:tab w:val="center" w:pos="3348"/>
        </w:tabs>
        <w:spacing w:before="480"/>
        <w:jc w:val="both"/>
        <w:rPr>
          <w:snapToGrid/>
          <w:color w:val="auto"/>
          <w:szCs w:val="22"/>
        </w:rPr>
      </w:pPr>
    </w:p>
    <w:p w14:paraId="5771CC77" w14:textId="710FA6B7" w:rsidR="001D0F96" w:rsidRDefault="001D0F96" w:rsidP="001D0F96">
      <w:pPr>
        <w:pStyle w:val="Textoindependiente"/>
        <w:tabs>
          <w:tab w:val="center" w:pos="3348"/>
        </w:tabs>
        <w:spacing w:before="480"/>
        <w:jc w:val="both"/>
        <w:rPr>
          <w:snapToGrid/>
          <w:color w:val="auto"/>
          <w:szCs w:val="22"/>
        </w:rPr>
      </w:pPr>
      <w:r>
        <w:rPr>
          <w:snapToGrid/>
          <w:color w:val="auto"/>
          <w:szCs w:val="22"/>
        </w:rPr>
        <w:t xml:space="preserve">En su comparación anual, </w:t>
      </w:r>
      <w:r w:rsidRPr="00E92EC9">
        <w:rPr>
          <w:snapToGrid/>
          <w:color w:val="auto"/>
          <w:szCs w:val="22"/>
        </w:rPr>
        <w:t>el</w:t>
      </w:r>
      <w:r>
        <w:rPr>
          <w:snapToGrid/>
          <w:color w:val="auto"/>
          <w:szCs w:val="22"/>
        </w:rPr>
        <w:t xml:space="preserve"> </w:t>
      </w:r>
      <w:r w:rsidR="00B301A1">
        <w:rPr>
          <w:snapToGrid/>
          <w:color w:val="auto"/>
          <w:szCs w:val="22"/>
        </w:rPr>
        <w:t>ITPIBT</w:t>
      </w:r>
      <w:r w:rsidRPr="00E92EC9">
        <w:rPr>
          <w:snapToGrid/>
          <w:color w:val="auto"/>
          <w:szCs w:val="22"/>
        </w:rPr>
        <w:t xml:space="preserve"> </w:t>
      </w:r>
      <w:r w:rsidR="00B301A1">
        <w:rPr>
          <w:snapToGrid/>
          <w:color w:val="auto"/>
          <w:szCs w:val="22"/>
        </w:rPr>
        <w:t>avanzó 0.</w:t>
      </w:r>
      <w:r w:rsidR="00994340">
        <w:rPr>
          <w:snapToGrid/>
          <w:color w:val="auto"/>
          <w:szCs w:val="22"/>
        </w:rPr>
        <w:t>7</w:t>
      </w:r>
      <w:r w:rsidR="00B301A1">
        <w:rPr>
          <w:snapToGrid/>
          <w:color w:val="auto"/>
          <w:szCs w:val="22"/>
        </w:rPr>
        <w:t>% en términos reales con cifras desestacionalizadas en el trimestre o</w:t>
      </w:r>
      <w:r w:rsidR="0098561E">
        <w:rPr>
          <w:snapToGrid/>
          <w:color w:val="auto"/>
          <w:szCs w:val="22"/>
        </w:rPr>
        <w:t>ctubre</w:t>
      </w:r>
      <w:r w:rsidR="00B301A1">
        <w:rPr>
          <w:snapToGrid/>
          <w:color w:val="auto"/>
          <w:szCs w:val="22"/>
        </w:rPr>
        <w:t>-</w:t>
      </w:r>
      <w:r w:rsidR="0098561E">
        <w:rPr>
          <w:snapToGrid/>
          <w:color w:val="auto"/>
          <w:szCs w:val="22"/>
        </w:rPr>
        <w:t>diciem</w:t>
      </w:r>
      <w:r w:rsidR="00B301A1">
        <w:rPr>
          <w:snapToGrid/>
          <w:color w:val="auto"/>
          <w:szCs w:val="22"/>
        </w:rPr>
        <w:t>bre de 2019. P</w:t>
      </w:r>
      <w:r w:rsidR="002637EF">
        <w:rPr>
          <w:snapToGrid/>
          <w:color w:val="auto"/>
          <w:szCs w:val="22"/>
        </w:rPr>
        <w:t>or componentes</w:t>
      </w:r>
      <w:r w:rsidR="006D7CE5">
        <w:rPr>
          <w:snapToGrid/>
          <w:color w:val="auto"/>
          <w:szCs w:val="22"/>
        </w:rPr>
        <w:t>,</w:t>
      </w:r>
      <w:r w:rsidR="002637EF">
        <w:rPr>
          <w:snapToGrid/>
          <w:color w:val="auto"/>
          <w:szCs w:val="22"/>
        </w:rPr>
        <w:t xml:space="preserve"> </w:t>
      </w:r>
      <w:r w:rsidR="00994340">
        <w:rPr>
          <w:snapToGrid/>
          <w:color w:val="auto"/>
          <w:szCs w:val="22"/>
        </w:rPr>
        <w:t xml:space="preserve">el de los Bienes aumentó 0.9% y </w:t>
      </w:r>
      <w:r w:rsidR="00B301A1">
        <w:rPr>
          <w:snapToGrid/>
          <w:color w:val="auto"/>
          <w:szCs w:val="22"/>
        </w:rPr>
        <w:t xml:space="preserve">el de </w:t>
      </w:r>
      <w:r w:rsidR="002637EF">
        <w:rPr>
          <w:snapToGrid/>
          <w:color w:val="auto"/>
          <w:szCs w:val="22"/>
        </w:rPr>
        <w:t xml:space="preserve">los </w:t>
      </w:r>
      <w:r w:rsidR="00B301A1">
        <w:rPr>
          <w:snapToGrid/>
          <w:color w:val="auto"/>
          <w:szCs w:val="22"/>
        </w:rPr>
        <w:t>S</w:t>
      </w:r>
      <w:r w:rsidR="002637EF">
        <w:rPr>
          <w:snapToGrid/>
          <w:color w:val="auto"/>
          <w:szCs w:val="22"/>
        </w:rPr>
        <w:t xml:space="preserve">ervicios </w:t>
      </w:r>
      <w:r w:rsidR="00994340">
        <w:rPr>
          <w:snapToGrid/>
          <w:color w:val="auto"/>
          <w:szCs w:val="22"/>
        </w:rPr>
        <w:t>ascendi</w:t>
      </w:r>
      <w:r w:rsidR="00B301A1">
        <w:rPr>
          <w:snapToGrid/>
          <w:color w:val="auto"/>
          <w:szCs w:val="22"/>
        </w:rPr>
        <w:t>ó</w:t>
      </w:r>
      <w:r w:rsidR="002637EF">
        <w:rPr>
          <w:snapToGrid/>
          <w:color w:val="auto"/>
          <w:szCs w:val="22"/>
        </w:rPr>
        <w:t xml:space="preserve"> 0.</w:t>
      </w:r>
      <w:r w:rsidR="00994340">
        <w:rPr>
          <w:snapToGrid/>
          <w:color w:val="auto"/>
          <w:szCs w:val="22"/>
        </w:rPr>
        <w:t>6</w:t>
      </w:r>
      <w:r w:rsidR="00757688">
        <w:rPr>
          <w:snapToGrid/>
          <w:color w:val="auto"/>
          <w:szCs w:val="22"/>
        </w:rPr>
        <w:t xml:space="preserve"> por ciento</w:t>
      </w:r>
      <w:r w:rsidR="00B301A1">
        <w:rPr>
          <w:snapToGrid/>
          <w:color w:val="auto"/>
          <w:szCs w:val="22"/>
        </w:rPr>
        <w:t>.</w:t>
      </w:r>
      <w:r w:rsidRPr="00EC1D9C">
        <w:rPr>
          <w:snapToGrid/>
          <w:color w:val="auto"/>
          <w:szCs w:val="22"/>
        </w:rPr>
        <w:t xml:space="preserve"> </w:t>
      </w:r>
    </w:p>
    <w:p w14:paraId="43BDC513" w14:textId="77777777" w:rsidR="002C1ADA" w:rsidRDefault="002C1ADA" w:rsidP="00894F3D">
      <w:pPr>
        <w:pStyle w:val="Textoindependiente"/>
        <w:tabs>
          <w:tab w:val="center" w:pos="3348"/>
        </w:tabs>
        <w:spacing w:before="480"/>
        <w:rPr>
          <w:rFonts w:cs="Arial"/>
          <w:b/>
          <w:smallCaps/>
          <w:szCs w:val="24"/>
        </w:rPr>
      </w:pPr>
      <w:r>
        <w:rPr>
          <w:rFonts w:cs="Arial"/>
          <w:b/>
          <w:smallCaps/>
          <w:szCs w:val="24"/>
        </w:rPr>
        <w:t>Indicador Trimestral del Consumo Turístico Interior</w:t>
      </w:r>
      <w:r w:rsidRPr="00004A7D">
        <w:rPr>
          <w:rFonts w:cs="Arial"/>
          <w:b/>
          <w:smallCaps/>
          <w:szCs w:val="24"/>
        </w:rPr>
        <w:t xml:space="preserve"> (</w:t>
      </w:r>
      <w:r>
        <w:rPr>
          <w:rFonts w:cs="Arial"/>
          <w:b/>
          <w:smallCaps/>
          <w:szCs w:val="24"/>
        </w:rPr>
        <w:t>ITCTI</w:t>
      </w:r>
      <w:r w:rsidRPr="00004A7D">
        <w:rPr>
          <w:rFonts w:cs="Arial"/>
          <w:b/>
          <w:smallCaps/>
          <w:szCs w:val="24"/>
        </w:rPr>
        <w:t>)</w:t>
      </w:r>
    </w:p>
    <w:p w14:paraId="4F596FD4" w14:textId="77777777" w:rsidR="004C39F9" w:rsidRDefault="00DD139F" w:rsidP="004C39F9">
      <w:pPr>
        <w:pStyle w:val="Textoindependiente"/>
        <w:tabs>
          <w:tab w:val="center" w:pos="3348"/>
        </w:tabs>
        <w:spacing w:before="480"/>
        <w:jc w:val="both"/>
        <w:rPr>
          <w:snapToGrid/>
          <w:color w:val="auto"/>
          <w:szCs w:val="22"/>
        </w:rPr>
      </w:pPr>
      <w:r>
        <w:rPr>
          <w:snapToGrid/>
          <w:color w:val="auto"/>
          <w:szCs w:val="22"/>
        </w:rPr>
        <w:t>E</w:t>
      </w:r>
      <w:r w:rsidRPr="00E92EC9">
        <w:rPr>
          <w:snapToGrid/>
          <w:color w:val="auto"/>
          <w:szCs w:val="22"/>
        </w:rPr>
        <w:t xml:space="preserve">l Indicador Trimestral del Consumo Turístico Interior </w:t>
      </w:r>
      <w:r w:rsidR="00994340">
        <w:rPr>
          <w:snapToGrid/>
          <w:color w:val="auto"/>
          <w:szCs w:val="22"/>
        </w:rPr>
        <w:t>cay</w:t>
      </w:r>
      <w:r w:rsidR="00EC052B">
        <w:rPr>
          <w:snapToGrid/>
          <w:color w:val="auto"/>
          <w:szCs w:val="22"/>
        </w:rPr>
        <w:t>ó</w:t>
      </w:r>
      <w:r w:rsidR="00757688">
        <w:rPr>
          <w:snapToGrid/>
          <w:color w:val="auto"/>
          <w:szCs w:val="22"/>
        </w:rPr>
        <w:t xml:space="preserve"> </w:t>
      </w:r>
      <w:r w:rsidR="00994340">
        <w:rPr>
          <w:snapToGrid/>
          <w:color w:val="auto"/>
          <w:szCs w:val="22"/>
        </w:rPr>
        <w:t>(-)</w:t>
      </w:r>
      <w:r w:rsidR="00097B7F">
        <w:rPr>
          <w:snapToGrid/>
          <w:color w:val="auto"/>
          <w:szCs w:val="22"/>
        </w:rPr>
        <w:t>0.</w:t>
      </w:r>
      <w:r w:rsidR="00994340">
        <w:rPr>
          <w:snapToGrid/>
          <w:color w:val="auto"/>
          <w:szCs w:val="22"/>
        </w:rPr>
        <w:t>3</w:t>
      </w:r>
      <w:r w:rsidR="00EC052B">
        <w:rPr>
          <w:snapToGrid/>
          <w:color w:val="auto"/>
          <w:szCs w:val="22"/>
        </w:rPr>
        <w:t>%</w:t>
      </w:r>
      <w:r w:rsidR="002A618E">
        <w:rPr>
          <w:snapToGrid/>
          <w:color w:val="auto"/>
          <w:szCs w:val="22"/>
        </w:rPr>
        <w:t xml:space="preserve"> </w:t>
      </w:r>
      <w:r w:rsidR="00757688">
        <w:rPr>
          <w:snapToGrid/>
          <w:color w:val="auto"/>
          <w:szCs w:val="22"/>
        </w:rPr>
        <w:t xml:space="preserve">en términos </w:t>
      </w:r>
      <w:r w:rsidR="00D94FAC">
        <w:rPr>
          <w:snapToGrid/>
          <w:color w:val="auto"/>
          <w:szCs w:val="22"/>
        </w:rPr>
        <w:t xml:space="preserve">reales </w:t>
      </w:r>
      <w:r w:rsidR="00271A87">
        <w:rPr>
          <w:snapToGrid/>
          <w:color w:val="auto"/>
          <w:szCs w:val="22"/>
        </w:rPr>
        <w:t xml:space="preserve">durante </w:t>
      </w:r>
      <w:r w:rsidR="00F43F9E">
        <w:rPr>
          <w:snapToGrid/>
          <w:color w:val="auto"/>
          <w:szCs w:val="22"/>
        </w:rPr>
        <w:t xml:space="preserve">el </w:t>
      </w:r>
      <w:r w:rsidR="00602B31">
        <w:rPr>
          <w:snapToGrid/>
          <w:color w:val="auto"/>
          <w:szCs w:val="22"/>
        </w:rPr>
        <w:t>c</w:t>
      </w:r>
      <w:r w:rsidR="0098561E">
        <w:rPr>
          <w:snapToGrid/>
          <w:color w:val="auto"/>
          <w:szCs w:val="22"/>
        </w:rPr>
        <w:t>ua</w:t>
      </w:r>
      <w:r w:rsidR="00602B31">
        <w:rPr>
          <w:snapToGrid/>
          <w:color w:val="auto"/>
          <w:szCs w:val="22"/>
        </w:rPr>
        <w:t>r</w:t>
      </w:r>
      <w:r w:rsidR="0098561E">
        <w:rPr>
          <w:snapToGrid/>
          <w:color w:val="auto"/>
          <w:szCs w:val="22"/>
        </w:rPr>
        <w:t>to</w:t>
      </w:r>
      <w:r w:rsidR="00F43F9E">
        <w:rPr>
          <w:snapToGrid/>
          <w:color w:val="auto"/>
          <w:szCs w:val="22"/>
        </w:rPr>
        <w:t xml:space="preserve"> trimestre de</w:t>
      </w:r>
      <w:r w:rsidR="0093792D">
        <w:rPr>
          <w:snapToGrid/>
          <w:color w:val="auto"/>
          <w:szCs w:val="22"/>
        </w:rPr>
        <w:t>l</w:t>
      </w:r>
      <w:r w:rsidR="00801F25">
        <w:rPr>
          <w:snapToGrid/>
          <w:color w:val="auto"/>
          <w:szCs w:val="22"/>
        </w:rPr>
        <w:t xml:space="preserve"> año</w:t>
      </w:r>
      <w:r w:rsidR="003017A8">
        <w:rPr>
          <w:snapToGrid/>
          <w:color w:val="auto"/>
          <w:szCs w:val="22"/>
        </w:rPr>
        <w:t xml:space="preserve"> pasado</w:t>
      </w:r>
      <w:r w:rsidR="00F43F9E">
        <w:rPr>
          <w:snapToGrid/>
          <w:color w:val="auto"/>
          <w:szCs w:val="22"/>
        </w:rPr>
        <w:t xml:space="preserve"> </w:t>
      </w:r>
      <w:r w:rsidR="00E81E9F">
        <w:rPr>
          <w:snapToGrid/>
          <w:color w:val="auto"/>
          <w:szCs w:val="22"/>
        </w:rPr>
        <w:t xml:space="preserve">respecto al trimestre </w:t>
      </w:r>
      <w:r w:rsidR="00F65E92">
        <w:rPr>
          <w:snapToGrid/>
          <w:color w:val="auto"/>
          <w:szCs w:val="22"/>
        </w:rPr>
        <w:t>inmediato anterior</w:t>
      </w:r>
      <w:r>
        <w:rPr>
          <w:snapToGrid/>
          <w:color w:val="auto"/>
          <w:szCs w:val="22"/>
        </w:rPr>
        <w:t xml:space="preserve">. </w:t>
      </w:r>
      <w:r w:rsidR="007449C3">
        <w:rPr>
          <w:snapToGrid/>
          <w:color w:val="auto"/>
          <w:szCs w:val="22"/>
        </w:rPr>
        <w:t>De manera desagregada</w:t>
      </w:r>
      <w:r w:rsidR="008B5024">
        <w:rPr>
          <w:snapToGrid/>
          <w:color w:val="auto"/>
          <w:szCs w:val="22"/>
        </w:rPr>
        <w:t xml:space="preserve">, el </w:t>
      </w:r>
      <w:r w:rsidR="00F13D46">
        <w:rPr>
          <w:snapToGrid/>
          <w:color w:val="auto"/>
          <w:szCs w:val="22"/>
        </w:rPr>
        <w:t xml:space="preserve">del </w:t>
      </w:r>
      <w:r w:rsidR="00097B7F">
        <w:rPr>
          <w:snapToGrid/>
          <w:color w:val="auto"/>
          <w:szCs w:val="22"/>
        </w:rPr>
        <w:t>Turismo R</w:t>
      </w:r>
      <w:r w:rsidR="00097B7F" w:rsidRPr="00E92EC9">
        <w:rPr>
          <w:snapToGrid/>
          <w:color w:val="auto"/>
          <w:szCs w:val="22"/>
        </w:rPr>
        <w:t>eceptivo</w:t>
      </w:r>
      <w:r w:rsidR="00097B7F">
        <w:rPr>
          <w:snapToGrid/>
          <w:color w:val="auto"/>
          <w:szCs w:val="22"/>
        </w:rPr>
        <w:t xml:space="preserve"> </w:t>
      </w:r>
      <w:r w:rsidR="00994340">
        <w:rPr>
          <w:snapToGrid/>
          <w:color w:val="auto"/>
          <w:szCs w:val="22"/>
        </w:rPr>
        <w:t>retrocedió (-)7.6</w:t>
      </w:r>
      <w:r w:rsidR="0093792D">
        <w:rPr>
          <w:snapToGrid/>
          <w:color w:val="auto"/>
          <w:szCs w:val="22"/>
        </w:rPr>
        <w:t>%</w:t>
      </w:r>
      <w:r w:rsidR="008440AA">
        <w:rPr>
          <w:snapToGrid/>
          <w:color w:val="auto"/>
          <w:szCs w:val="22"/>
        </w:rPr>
        <w:t>,</w:t>
      </w:r>
      <w:r w:rsidR="006E01F9">
        <w:rPr>
          <w:snapToGrid/>
          <w:color w:val="auto"/>
          <w:szCs w:val="22"/>
        </w:rPr>
        <w:t xml:space="preserve"> </w:t>
      </w:r>
      <w:r w:rsidR="001E4A31">
        <w:rPr>
          <w:snapToGrid/>
          <w:color w:val="auto"/>
          <w:szCs w:val="22"/>
        </w:rPr>
        <w:t xml:space="preserve">en tanto </w:t>
      </w:r>
      <w:r w:rsidR="006E01F9">
        <w:rPr>
          <w:snapToGrid/>
          <w:color w:val="auto"/>
          <w:szCs w:val="22"/>
        </w:rPr>
        <w:t xml:space="preserve">que </w:t>
      </w:r>
      <w:r w:rsidR="0093792D">
        <w:rPr>
          <w:snapToGrid/>
          <w:color w:val="auto"/>
          <w:szCs w:val="22"/>
        </w:rPr>
        <w:t xml:space="preserve">el </w:t>
      </w:r>
      <w:r w:rsidR="00E41B19">
        <w:rPr>
          <w:snapToGrid/>
          <w:color w:val="auto"/>
          <w:szCs w:val="22"/>
        </w:rPr>
        <w:t xml:space="preserve">del </w:t>
      </w:r>
      <w:r w:rsidR="00097B7F">
        <w:rPr>
          <w:snapToGrid/>
          <w:color w:val="auto"/>
          <w:szCs w:val="22"/>
        </w:rPr>
        <w:t>Turismo I</w:t>
      </w:r>
      <w:r w:rsidR="00097B7F" w:rsidRPr="00E92EC9">
        <w:rPr>
          <w:snapToGrid/>
          <w:color w:val="auto"/>
          <w:szCs w:val="22"/>
        </w:rPr>
        <w:t>nterno</w:t>
      </w:r>
      <w:r w:rsidR="00097B7F">
        <w:rPr>
          <w:snapToGrid/>
          <w:color w:val="auto"/>
          <w:szCs w:val="22"/>
        </w:rPr>
        <w:t xml:space="preserve"> </w:t>
      </w:r>
      <w:r w:rsidR="00994340">
        <w:rPr>
          <w:snapToGrid/>
          <w:color w:val="auto"/>
          <w:szCs w:val="22"/>
        </w:rPr>
        <w:t xml:space="preserve">creció </w:t>
      </w:r>
      <w:r w:rsidR="00097B7F">
        <w:rPr>
          <w:snapToGrid/>
          <w:color w:val="auto"/>
          <w:szCs w:val="22"/>
        </w:rPr>
        <w:t>0.</w:t>
      </w:r>
      <w:r w:rsidR="00994340">
        <w:rPr>
          <w:snapToGrid/>
          <w:color w:val="auto"/>
          <w:szCs w:val="22"/>
        </w:rPr>
        <w:t>8</w:t>
      </w:r>
      <w:r w:rsidR="00757688">
        <w:rPr>
          <w:snapToGrid/>
          <w:color w:val="auto"/>
          <w:szCs w:val="22"/>
        </w:rPr>
        <w:t xml:space="preserve"> por ciento</w:t>
      </w:r>
      <w:r w:rsidR="00831C5E">
        <w:rPr>
          <w:snapToGrid/>
          <w:color w:val="auto"/>
          <w:szCs w:val="22"/>
        </w:rPr>
        <w:t>.</w:t>
      </w:r>
    </w:p>
    <w:p w14:paraId="6D794427" w14:textId="1892B5E9" w:rsidR="000D65E2" w:rsidRPr="003D2E2E" w:rsidRDefault="000D65E2" w:rsidP="004C39F9">
      <w:pPr>
        <w:pStyle w:val="Textoindependiente"/>
        <w:tabs>
          <w:tab w:val="center" w:pos="3348"/>
        </w:tabs>
        <w:spacing w:before="480"/>
        <w:jc w:val="center"/>
        <w:rPr>
          <w:sz w:val="18"/>
          <w:szCs w:val="18"/>
        </w:rPr>
      </w:pPr>
      <w:r w:rsidRPr="003D2E2E">
        <w:rPr>
          <w:sz w:val="18"/>
          <w:szCs w:val="18"/>
        </w:rPr>
        <w:t xml:space="preserve">Gráfica </w:t>
      </w:r>
      <w:r w:rsidR="009910DB" w:rsidRPr="003D2E2E">
        <w:rPr>
          <w:sz w:val="18"/>
          <w:szCs w:val="18"/>
        </w:rPr>
        <w:t>4</w:t>
      </w:r>
    </w:p>
    <w:p w14:paraId="603870A5" w14:textId="77777777" w:rsidR="000D65E2" w:rsidRPr="005B4B9E" w:rsidRDefault="000D65E2" w:rsidP="000D65E2">
      <w:pPr>
        <w:contextualSpacing/>
        <w:jc w:val="center"/>
        <w:rPr>
          <w:rFonts w:cs="Arial"/>
          <w:b/>
          <w:smallCaps/>
          <w:sz w:val="22"/>
          <w:szCs w:val="22"/>
        </w:rPr>
      </w:pPr>
      <w:r w:rsidRPr="005B4B9E">
        <w:rPr>
          <w:rFonts w:cs="Arial"/>
          <w:b/>
          <w:smallCaps/>
          <w:sz w:val="22"/>
          <w:szCs w:val="22"/>
        </w:rPr>
        <w:t>Indicador Trimestral del Consumo Turístico Interior</w:t>
      </w:r>
      <w:r w:rsidRPr="005B4B9E" w:rsidDel="00CC2A9A">
        <w:rPr>
          <w:rFonts w:cs="Arial"/>
          <w:b/>
          <w:smallCaps/>
          <w:sz w:val="22"/>
          <w:szCs w:val="22"/>
        </w:rPr>
        <w:t xml:space="preserve"> </w:t>
      </w:r>
    </w:p>
    <w:p w14:paraId="70465A1B" w14:textId="14ADAAE2" w:rsidR="000D65E2" w:rsidRDefault="000D65E2" w:rsidP="000D65E2">
      <w:pPr>
        <w:contextualSpacing/>
        <w:jc w:val="center"/>
        <w:rPr>
          <w:rFonts w:cs="Arial"/>
          <w:b/>
          <w:smallCaps/>
          <w:szCs w:val="24"/>
        </w:rPr>
      </w:pPr>
      <w:r w:rsidRPr="005B4B9E">
        <w:rPr>
          <w:rFonts w:cs="Arial"/>
          <w:b/>
          <w:smallCaps/>
          <w:sz w:val="22"/>
          <w:szCs w:val="22"/>
        </w:rPr>
        <w:t xml:space="preserve">al </w:t>
      </w:r>
      <w:r w:rsidR="00602B31">
        <w:rPr>
          <w:rFonts w:cs="Arial"/>
          <w:b/>
          <w:smallCaps/>
          <w:sz w:val="22"/>
          <w:szCs w:val="22"/>
        </w:rPr>
        <w:t>c</w:t>
      </w:r>
      <w:r w:rsidR="0098561E">
        <w:rPr>
          <w:rFonts w:cs="Arial"/>
          <w:b/>
          <w:smallCaps/>
          <w:sz w:val="22"/>
          <w:szCs w:val="22"/>
        </w:rPr>
        <w:t>ua</w:t>
      </w:r>
      <w:r w:rsidR="00602B31">
        <w:rPr>
          <w:rFonts w:cs="Arial"/>
          <w:b/>
          <w:smallCaps/>
          <w:sz w:val="22"/>
          <w:szCs w:val="22"/>
        </w:rPr>
        <w:t>r</w:t>
      </w:r>
      <w:r w:rsidR="0098561E">
        <w:rPr>
          <w:rFonts w:cs="Arial"/>
          <w:b/>
          <w:smallCaps/>
          <w:sz w:val="22"/>
          <w:szCs w:val="22"/>
        </w:rPr>
        <w:t>to</w:t>
      </w:r>
      <w:r w:rsidR="00FD40DA">
        <w:rPr>
          <w:rFonts w:cs="Arial"/>
          <w:b/>
          <w:smallCaps/>
          <w:sz w:val="22"/>
          <w:szCs w:val="22"/>
        </w:rPr>
        <w:t xml:space="preserve"> </w:t>
      </w:r>
      <w:r w:rsidR="004B3E14">
        <w:rPr>
          <w:rFonts w:cs="Arial"/>
          <w:b/>
          <w:smallCaps/>
          <w:sz w:val="22"/>
          <w:szCs w:val="22"/>
        </w:rPr>
        <w:t>trimestre de</w:t>
      </w:r>
      <w:r w:rsidR="005B4B9E" w:rsidRPr="005B4B9E">
        <w:rPr>
          <w:rFonts w:cs="Arial"/>
          <w:b/>
          <w:smallCaps/>
          <w:sz w:val="22"/>
          <w:szCs w:val="22"/>
        </w:rPr>
        <w:t xml:space="preserve"> 201</w:t>
      </w:r>
      <w:r w:rsidR="005A6BB7">
        <w:rPr>
          <w:rFonts w:cs="Arial"/>
          <w:b/>
          <w:smallCaps/>
          <w:sz w:val="22"/>
          <w:szCs w:val="22"/>
        </w:rPr>
        <w:t>9</w:t>
      </w:r>
    </w:p>
    <w:p w14:paraId="55FBBACA" w14:textId="77777777" w:rsidR="000D65E2" w:rsidRPr="000A5EC0" w:rsidRDefault="000D65E2" w:rsidP="000D65E2">
      <w:pPr>
        <w:contextualSpacing/>
        <w:jc w:val="center"/>
        <w:rPr>
          <w:rFonts w:cs="Arial"/>
          <w:b/>
          <w:smallCaps/>
          <w:sz w:val="18"/>
          <w:szCs w:val="18"/>
        </w:rPr>
      </w:pPr>
      <w:r w:rsidRPr="000A5EC0">
        <w:rPr>
          <w:rFonts w:cs="Arial"/>
          <w:sz w:val="18"/>
          <w:szCs w:val="18"/>
        </w:rPr>
        <w:t xml:space="preserve">(Índice </w:t>
      </w:r>
      <w:r w:rsidR="008F692E">
        <w:rPr>
          <w:rFonts w:cs="Arial"/>
          <w:sz w:val="18"/>
          <w:szCs w:val="18"/>
        </w:rPr>
        <w:t xml:space="preserve">base </w:t>
      </w:r>
      <w:r w:rsidR="00B604CA">
        <w:rPr>
          <w:rFonts w:cs="Arial"/>
          <w:sz w:val="18"/>
          <w:szCs w:val="18"/>
        </w:rPr>
        <w:t>20</w:t>
      </w:r>
      <w:r w:rsidR="00FC221A">
        <w:rPr>
          <w:rFonts w:cs="Arial"/>
          <w:sz w:val="18"/>
          <w:szCs w:val="18"/>
        </w:rPr>
        <w:t>13</w:t>
      </w:r>
      <w:r w:rsidRPr="000A5EC0">
        <w:rPr>
          <w:rFonts w:cs="Arial"/>
          <w:sz w:val="18"/>
          <w:szCs w:val="18"/>
        </w:rPr>
        <w:t>=100)</w:t>
      </w:r>
    </w:p>
    <w:p w14:paraId="3539B053" w14:textId="2A1F191B" w:rsidR="000D65E2" w:rsidRDefault="00F93C25" w:rsidP="00E06933">
      <w:pPr>
        <w:tabs>
          <w:tab w:val="left" w:pos="6145"/>
        </w:tabs>
        <w:jc w:val="center"/>
      </w:pPr>
      <w:r>
        <w:rPr>
          <w:noProof/>
          <w:snapToGrid/>
          <w:lang w:val="es-MX" w:eastAsia="es-MX"/>
        </w:rPr>
        <w:drawing>
          <wp:inline distT="0" distB="0" distL="0" distR="0" wp14:anchorId="0612E539" wp14:editId="2BB26A12">
            <wp:extent cx="4320000" cy="2520000"/>
            <wp:effectExtent l="0" t="0" r="23495" b="33020"/>
            <wp:docPr id="9" name="Gráfico 9">
              <a:extLst xmlns:a="http://schemas.openxmlformats.org/drawingml/2006/main">
                <a:ext uri="{FF2B5EF4-FFF2-40B4-BE49-F238E27FC236}">
                  <a16:creationId xmlns:a16="http://schemas.microsoft.com/office/drawing/2014/main" id="{0C4879BF-9113-47B3-B391-23C7327F6E0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012E2AEF" w14:textId="77777777" w:rsidR="00E06933" w:rsidRPr="003D2E2E" w:rsidRDefault="00DB7239" w:rsidP="00E06933">
      <w:pPr>
        <w:ind w:left="993"/>
        <w:contextualSpacing/>
        <w:rPr>
          <w:rFonts w:cs="Arial"/>
          <w:sz w:val="16"/>
          <w:szCs w:val="16"/>
        </w:rPr>
      </w:pPr>
      <w:r>
        <w:rPr>
          <w:rFonts w:cs="Arial"/>
          <w:sz w:val="16"/>
          <w:szCs w:val="16"/>
        </w:rPr>
        <w:t xml:space="preserve">    </w:t>
      </w:r>
      <w:r w:rsidR="00E06933" w:rsidRPr="003D2E2E">
        <w:rPr>
          <w:rFonts w:cs="Arial"/>
          <w:sz w:val="16"/>
          <w:szCs w:val="16"/>
        </w:rPr>
        <w:t>Fuente: INEGI</w:t>
      </w:r>
      <w:r w:rsidR="007806B1">
        <w:rPr>
          <w:rFonts w:cs="Arial"/>
          <w:sz w:val="16"/>
          <w:szCs w:val="16"/>
        </w:rPr>
        <w:t>.</w:t>
      </w:r>
    </w:p>
    <w:p w14:paraId="6331D0F0" w14:textId="77777777" w:rsidR="005A4D85" w:rsidRDefault="005A4D85" w:rsidP="005A4D85">
      <w:pPr>
        <w:pStyle w:val="Default"/>
        <w:spacing w:before="360"/>
        <w:jc w:val="center"/>
        <w:rPr>
          <w:sz w:val="18"/>
          <w:szCs w:val="18"/>
        </w:rPr>
      </w:pPr>
    </w:p>
    <w:p w14:paraId="40B15CD5" w14:textId="77777777" w:rsidR="004C39F9" w:rsidRDefault="004C39F9" w:rsidP="005A4D85">
      <w:pPr>
        <w:pStyle w:val="Default"/>
        <w:spacing w:before="360"/>
        <w:jc w:val="center"/>
        <w:rPr>
          <w:sz w:val="18"/>
          <w:szCs w:val="18"/>
        </w:rPr>
      </w:pPr>
    </w:p>
    <w:p w14:paraId="7F0C0B4A" w14:textId="77777777" w:rsidR="004C39F9" w:rsidRDefault="004C39F9" w:rsidP="005A4D85">
      <w:pPr>
        <w:pStyle w:val="Default"/>
        <w:spacing w:before="360"/>
        <w:jc w:val="center"/>
        <w:rPr>
          <w:sz w:val="18"/>
          <w:szCs w:val="18"/>
        </w:rPr>
      </w:pPr>
    </w:p>
    <w:p w14:paraId="5F0AA488" w14:textId="77777777" w:rsidR="004C39F9" w:rsidRDefault="004C39F9" w:rsidP="005A4D85">
      <w:pPr>
        <w:pStyle w:val="Default"/>
        <w:spacing w:before="360"/>
        <w:jc w:val="center"/>
        <w:rPr>
          <w:sz w:val="18"/>
          <w:szCs w:val="18"/>
        </w:rPr>
      </w:pPr>
    </w:p>
    <w:p w14:paraId="3E13F622" w14:textId="77777777" w:rsidR="004C39F9" w:rsidRDefault="004C39F9" w:rsidP="005A4D85">
      <w:pPr>
        <w:pStyle w:val="Default"/>
        <w:spacing w:before="360"/>
        <w:jc w:val="center"/>
        <w:rPr>
          <w:sz w:val="18"/>
          <w:szCs w:val="18"/>
        </w:rPr>
      </w:pPr>
    </w:p>
    <w:p w14:paraId="1E25A11B" w14:textId="77777777" w:rsidR="004C39F9" w:rsidRDefault="004C39F9" w:rsidP="005A4D85">
      <w:pPr>
        <w:pStyle w:val="Default"/>
        <w:spacing w:before="360"/>
        <w:jc w:val="center"/>
        <w:rPr>
          <w:sz w:val="18"/>
          <w:szCs w:val="18"/>
        </w:rPr>
      </w:pPr>
    </w:p>
    <w:p w14:paraId="09297749" w14:textId="1ED64BC6" w:rsidR="005A4D85" w:rsidRPr="003D2E2E" w:rsidRDefault="005A4D85" w:rsidP="004C39F9">
      <w:pPr>
        <w:pStyle w:val="Default"/>
        <w:spacing w:before="120"/>
        <w:jc w:val="center"/>
        <w:rPr>
          <w:sz w:val="18"/>
          <w:szCs w:val="18"/>
        </w:rPr>
      </w:pPr>
      <w:r>
        <w:rPr>
          <w:sz w:val="18"/>
          <w:szCs w:val="18"/>
        </w:rPr>
        <w:t>Gráfica 5</w:t>
      </w:r>
    </w:p>
    <w:p w14:paraId="16D1E046" w14:textId="77777777" w:rsidR="00AE4E65" w:rsidRPr="005B4B9E" w:rsidRDefault="00AE4E65" w:rsidP="00AE4E65">
      <w:pPr>
        <w:contextualSpacing/>
        <w:jc w:val="center"/>
        <w:rPr>
          <w:rFonts w:cs="Arial"/>
          <w:b/>
          <w:smallCaps/>
          <w:sz w:val="22"/>
          <w:szCs w:val="22"/>
        </w:rPr>
      </w:pPr>
      <w:r w:rsidRPr="005B4B9E">
        <w:rPr>
          <w:rFonts w:cs="Arial"/>
          <w:b/>
          <w:smallCaps/>
          <w:sz w:val="22"/>
          <w:szCs w:val="22"/>
        </w:rPr>
        <w:t>Indicador Trimestral del Consumo Turístico Interior</w:t>
      </w:r>
      <w:r>
        <w:rPr>
          <w:rFonts w:cs="Arial"/>
          <w:b/>
          <w:smallCaps/>
          <w:sz w:val="22"/>
          <w:szCs w:val="22"/>
        </w:rPr>
        <w:t xml:space="preserve"> </w:t>
      </w:r>
      <w:r w:rsidR="00D506E0">
        <w:rPr>
          <w:rFonts w:cs="Arial"/>
          <w:b/>
          <w:smallCaps/>
          <w:sz w:val="22"/>
          <w:szCs w:val="22"/>
        </w:rPr>
        <w:t>Receptiv</w:t>
      </w:r>
      <w:r>
        <w:rPr>
          <w:rFonts w:cs="Arial"/>
          <w:b/>
          <w:smallCaps/>
          <w:sz w:val="22"/>
          <w:szCs w:val="22"/>
        </w:rPr>
        <w:t>o</w:t>
      </w:r>
      <w:r w:rsidRPr="005B4B9E" w:rsidDel="00CC2A9A">
        <w:rPr>
          <w:rFonts w:cs="Arial"/>
          <w:b/>
          <w:smallCaps/>
          <w:sz w:val="22"/>
          <w:szCs w:val="22"/>
        </w:rPr>
        <w:t xml:space="preserve"> </w:t>
      </w:r>
    </w:p>
    <w:p w14:paraId="0C958C1D" w14:textId="29FBA28A" w:rsidR="005A4D85" w:rsidRDefault="005A4D85" w:rsidP="005A4D85">
      <w:pPr>
        <w:contextualSpacing/>
        <w:jc w:val="center"/>
        <w:rPr>
          <w:rFonts w:cs="Arial"/>
          <w:b/>
          <w:smallCaps/>
          <w:szCs w:val="24"/>
        </w:rPr>
      </w:pPr>
      <w:r w:rsidRPr="005B4B9E">
        <w:rPr>
          <w:rFonts w:cs="Arial"/>
          <w:b/>
          <w:smallCaps/>
          <w:sz w:val="22"/>
          <w:szCs w:val="22"/>
        </w:rPr>
        <w:t>al</w:t>
      </w:r>
      <w:r>
        <w:rPr>
          <w:rFonts w:cs="Arial"/>
          <w:b/>
          <w:smallCaps/>
          <w:sz w:val="22"/>
          <w:szCs w:val="22"/>
        </w:rPr>
        <w:t xml:space="preserve"> </w:t>
      </w:r>
      <w:r w:rsidR="00602B31">
        <w:rPr>
          <w:rFonts w:cs="Arial"/>
          <w:b/>
          <w:smallCaps/>
          <w:sz w:val="22"/>
          <w:szCs w:val="22"/>
        </w:rPr>
        <w:t>c</w:t>
      </w:r>
      <w:r w:rsidR="0098561E">
        <w:rPr>
          <w:rFonts w:cs="Arial"/>
          <w:b/>
          <w:smallCaps/>
          <w:sz w:val="22"/>
          <w:szCs w:val="22"/>
        </w:rPr>
        <w:t>ua</w:t>
      </w:r>
      <w:r w:rsidR="00602B31">
        <w:rPr>
          <w:rFonts w:cs="Arial"/>
          <w:b/>
          <w:smallCaps/>
          <w:sz w:val="22"/>
          <w:szCs w:val="22"/>
        </w:rPr>
        <w:t>r</w:t>
      </w:r>
      <w:r w:rsidR="0098561E">
        <w:rPr>
          <w:rFonts w:cs="Arial"/>
          <w:b/>
          <w:smallCaps/>
          <w:sz w:val="22"/>
          <w:szCs w:val="22"/>
        </w:rPr>
        <w:t>to</w:t>
      </w:r>
      <w:r>
        <w:rPr>
          <w:rFonts w:cs="Arial"/>
          <w:b/>
          <w:smallCaps/>
          <w:sz w:val="22"/>
          <w:szCs w:val="22"/>
        </w:rPr>
        <w:t xml:space="preserve"> trimestre de</w:t>
      </w:r>
      <w:r w:rsidRPr="005B4B9E">
        <w:rPr>
          <w:rFonts w:cs="Arial"/>
          <w:b/>
          <w:smallCaps/>
          <w:sz w:val="22"/>
          <w:szCs w:val="22"/>
        </w:rPr>
        <w:t xml:space="preserve"> 201</w:t>
      </w:r>
      <w:r w:rsidR="005A6BB7">
        <w:rPr>
          <w:rFonts w:cs="Arial"/>
          <w:b/>
          <w:smallCaps/>
          <w:sz w:val="22"/>
          <w:szCs w:val="22"/>
        </w:rPr>
        <w:t>9</w:t>
      </w:r>
    </w:p>
    <w:p w14:paraId="602CEE3A" w14:textId="77777777" w:rsidR="005A4D85" w:rsidRPr="000A5EC0" w:rsidRDefault="005A4D85" w:rsidP="005A4D85">
      <w:pPr>
        <w:contextualSpacing/>
        <w:jc w:val="center"/>
        <w:rPr>
          <w:rFonts w:cs="Arial"/>
          <w:b/>
          <w:smallCaps/>
          <w:sz w:val="18"/>
          <w:szCs w:val="18"/>
        </w:rPr>
      </w:pPr>
      <w:r w:rsidRPr="000A5EC0">
        <w:rPr>
          <w:rFonts w:cs="Arial"/>
          <w:sz w:val="18"/>
          <w:szCs w:val="18"/>
        </w:rPr>
        <w:t xml:space="preserve">(Índice </w:t>
      </w:r>
      <w:r>
        <w:rPr>
          <w:rFonts w:cs="Arial"/>
          <w:sz w:val="18"/>
          <w:szCs w:val="18"/>
        </w:rPr>
        <w:t>base 2013</w:t>
      </w:r>
      <w:r w:rsidRPr="000A5EC0">
        <w:rPr>
          <w:rFonts w:cs="Arial"/>
          <w:sz w:val="18"/>
          <w:szCs w:val="18"/>
        </w:rPr>
        <w:t>=100)</w:t>
      </w:r>
    </w:p>
    <w:p w14:paraId="36BC2207" w14:textId="41A19A4D" w:rsidR="005A4D85" w:rsidRDefault="00F93C25" w:rsidP="005A4D85">
      <w:pPr>
        <w:tabs>
          <w:tab w:val="left" w:pos="6145"/>
        </w:tabs>
        <w:jc w:val="center"/>
        <w:rPr>
          <w:sz w:val="16"/>
          <w:szCs w:val="16"/>
        </w:rPr>
      </w:pPr>
      <w:r>
        <w:rPr>
          <w:noProof/>
          <w:snapToGrid/>
          <w:lang w:val="es-MX" w:eastAsia="es-MX"/>
        </w:rPr>
        <w:drawing>
          <wp:inline distT="0" distB="0" distL="0" distR="0" wp14:anchorId="6FA94A45" wp14:editId="7B5EC2C0">
            <wp:extent cx="4320000" cy="2520000"/>
            <wp:effectExtent l="0" t="0" r="23495" b="13970"/>
            <wp:docPr id="10" name="Gráfico 10">
              <a:extLst xmlns:a="http://schemas.openxmlformats.org/drawingml/2006/main">
                <a:ext uri="{FF2B5EF4-FFF2-40B4-BE49-F238E27FC236}">
                  <a16:creationId xmlns:a16="http://schemas.microsoft.com/office/drawing/2014/main" id="{40D735A9-B87F-45D1-B4C9-FCC3EDA8153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6A724327" w14:textId="77777777" w:rsidR="005A4D85" w:rsidRDefault="005A4D85" w:rsidP="005A4D85">
      <w:pPr>
        <w:tabs>
          <w:tab w:val="left" w:pos="6145"/>
        </w:tabs>
        <w:ind w:left="993"/>
        <w:rPr>
          <w:sz w:val="18"/>
          <w:szCs w:val="18"/>
        </w:rPr>
      </w:pPr>
      <w:r>
        <w:rPr>
          <w:sz w:val="16"/>
          <w:szCs w:val="16"/>
        </w:rPr>
        <w:t xml:space="preserve">    </w:t>
      </w:r>
      <w:r w:rsidRPr="003D2E2E">
        <w:rPr>
          <w:sz w:val="16"/>
          <w:szCs w:val="16"/>
        </w:rPr>
        <w:t>Fuente: INEGI</w:t>
      </w:r>
      <w:r>
        <w:rPr>
          <w:sz w:val="16"/>
          <w:szCs w:val="16"/>
        </w:rPr>
        <w:t>.</w:t>
      </w:r>
    </w:p>
    <w:p w14:paraId="27956F62" w14:textId="77777777" w:rsidR="004C39F9" w:rsidRDefault="004C39F9" w:rsidP="004C39F9">
      <w:pPr>
        <w:widowControl/>
        <w:rPr>
          <w:sz w:val="18"/>
          <w:szCs w:val="18"/>
        </w:rPr>
      </w:pPr>
    </w:p>
    <w:p w14:paraId="4131DE71" w14:textId="77777777" w:rsidR="004C39F9" w:rsidRDefault="004C39F9" w:rsidP="004C39F9">
      <w:pPr>
        <w:widowControl/>
        <w:rPr>
          <w:sz w:val="18"/>
          <w:szCs w:val="18"/>
        </w:rPr>
      </w:pPr>
    </w:p>
    <w:p w14:paraId="020BE608" w14:textId="77777777" w:rsidR="004C39F9" w:rsidRDefault="004C39F9" w:rsidP="004C39F9">
      <w:pPr>
        <w:widowControl/>
        <w:rPr>
          <w:sz w:val="18"/>
          <w:szCs w:val="18"/>
        </w:rPr>
      </w:pPr>
    </w:p>
    <w:p w14:paraId="4F82A504" w14:textId="312F6394" w:rsidR="00593BE6" w:rsidRPr="003D2E2E" w:rsidRDefault="00593BE6" w:rsidP="004C39F9">
      <w:pPr>
        <w:widowControl/>
        <w:jc w:val="center"/>
        <w:rPr>
          <w:sz w:val="18"/>
          <w:szCs w:val="18"/>
        </w:rPr>
      </w:pPr>
      <w:r>
        <w:rPr>
          <w:sz w:val="18"/>
          <w:szCs w:val="18"/>
        </w:rPr>
        <w:t xml:space="preserve">Gráfica </w:t>
      </w:r>
      <w:r w:rsidR="005A4D85">
        <w:rPr>
          <w:sz w:val="18"/>
          <w:szCs w:val="18"/>
        </w:rPr>
        <w:t>6</w:t>
      </w:r>
    </w:p>
    <w:p w14:paraId="62016D5B" w14:textId="77777777" w:rsidR="004167CF" w:rsidRPr="005B4B9E" w:rsidRDefault="00AE4E65" w:rsidP="004167CF">
      <w:pPr>
        <w:contextualSpacing/>
        <w:jc w:val="center"/>
        <w:rPr>
          <w:rFonts w:cs="Arial"/>
          <w:b/>
          <w:smallCaps/>
          <w:sz w:val="22"/>
          <w:szCs w:val="22"/>
        </w:rPr>
      </w:pPr>
      <w:r w:rsidRPr="005B4B9E">
        <w:rPr>
          <w:rFonts w:cs="Arial"/>
          <w:b/>
          <w:smallCaps/>
          <w:sz w:val="22"/>
          <w:szCs w:val="22"/>
        </w:rPr>
        <w:t>Indicador Trimestral del Consumo Turístico Interior</w:t>
      </w:r>
      <w:r w:rsidRPr="005B4B9E" w:rsidDel="00CC2A9A">
        <w:rPr>
          <w:rFonts w:cs="Arial"/>
          <w:b/>
          <w:smallCaps/>
          <w:sz w:val="22"/>
          <w:szCs w:val="22"/>
        </w:rPr>
        <w:t xml:space="preserve"> </w:t>
      </w:r>
      <w:r w:rsidR="00D506E0">
        <w:rPr>
          <w:rFonts w:cs="Arial"/>
          <w:b/>
          <w:smallCaps/>
          <w:sz w:val="22"/>
          <w:szCs w:val="22"/>
        </w:rPr>
        <w:t>Intern</w:t>
      </w:r>
      <w:r>
        <w:rPr>
          <w:rFonts w:cs="Arial"/>
          <w:b/>
          <w:smallCaps/>
          <w:sz w:val="22"/>
          <w:szCs w:val="22"/>
        </w:rPr>
        <w:t>o</w:t>
      </w:r>
      <w:r w:rsidRPr="005B4B9E">
        <w:rPr>
          <w:rFonts w:cs="Arial"/>
          <w:b/>
          <w:smallCaps/>
          <w:sz w:val="22"/>
          <w:szCs w:val="22"/>
        </w:rPr>
        <w:t xml:space="preserve"> </w:t>
      </w:r>
    </w:p>
    <w:p w14:paraId="6BCD3344" w14:textId="4AC7FC97" w:rsidR="00013DDD" w:rsidRDefault="00013DDD" w:rsidP="00013DDD">
      <w:pPr>
        <w:contextualSpacing/>
        <w:jc w:val="center"/>
        <w:rPr>
          <w:rFonts w:cs="Arial"/>
          <w:b/>
          <w:smallCaps/>
          <w:szCs w:val="24"/>
        </w:rPr>
      </w:pPr>
      <w:r w:rsidRPr="005B4B9E">
        <w:rPr>
          <w:rFonts w:cs="Arial"/>
          <w:b/>
          <w:smallCaps/>
          <w:sz w:val="22"/>
          <w:szCs w:val="22"/>
        </w:rPr>
        <w:t xml:space="preserve">al </w:t>
      </w:r>
      <w:r w:rsidR="00602B31">
        <w:rPr>
          <w:rFonts w:cs="Arial"/>
          <w:b/>
          <w:smallCaps/>
          <w:sz w:val="22"/>
          <w:szCs w:val="22"/>
        </w:rPr>
        <w:t>c</w:t>
      </w:r>
      <w:r w:rsidR="0098561E">
        <w:rPr>
          <w:rFonts w:cs="Arial"/>
          <w:b/>
          <w:smallCaps/>
          <w:sz w:val="22"/>
          <w:szCs w:val="22"/>
        </w:rPr>
        <w:t>ua</w:t>
      </w:r>
      <w:r w:rsidR="00602B31">
        <w:rPr>
          <w:rFonts w:cs="Arial"/>
          <w:b/>
          <w:smallCaps/>
          <w:sz w:val="22"/>
          <w:szCs w:val="22"/>
        </w:rPr>
        <w:t>r</w:t>
      </w:r>
      <w:r w:rsidR="0098561E">
        <w:rPr>
          <w:rFonts w:cs="Arial"/>
          <w:b/>
          <w:smallCaps/>
          <w:sz w:val="22"/>
          <w:szCs w:val="22"/>
        </w:rPr>
        <w:t>to</w:t>
      </w:r>
      <w:r>
        <w:rPr>
          <w:rFonts w:cs="Arial"/>
          <w:b/>
          <w:smallCaps/>
          <w:sz w:val="22"/>
          <w:szCs w:val="22"/>
        </w:rPr>
        <w:t xml:space="preserve"> trimestre de</w:t>
      </w:r>
      <w:r w:rsidRPr="005B4B9E">
        <w:rPr>
          <w:rFonts w:cs="Arial"/>
          <w:b/>
          <w:smallCaps/>
          <w:sz w:val="22"/>
          <w:szCs w:val="22"/>
        </w:rPr>
        <w:t xml:space="preserve"> 201</w:t>
      </w:r>
      <w:r w:rsidR="005A6BB7">
        <w:rPr>
          <w:rFonts w:cs="Arial"/>
          <w:b/>
          <w:smallCaps/>
          <w:sz w:val="22"/>
          <w:szCs w:val="22"/>
        </w:rPr>
        <w:t>9</w:t>
      </w:r>
    </w:p>
    <w:p w14:paraId="3A34B788" w14:textId="77777777" w:rsidR="00013DDD" w:rsidRPr="000A5EC0" w:rsidRDefault="00013DDD" w:rsidP="00013DDD">
      <w:pPr>
        <w:contextualSpacing/>
        <w:jc w:val="center"/>
        <w:rPr>
          <w:rFonts w:cs="Arial"/>
          <w:b/>
          <w:smallCaps/>
          <w:sz w:val="18"/>
          <w:szCs w:val="18"/>
        </w:rPr>
      </w:pPr>
      <w:r w:rsidRPr="000A5EC0">
        <w:rPr>
          <w:rFonts w:cs="Arial"/>
          <w:sz w:val="18"/>
          <w:szCs w:val="18"/>
        </w:rPr>
        <w:t xml:space="preserve">(Índice </w:t>
      </w:r>
      <w:r>
        <w:rPr>
          <w:rFonts w:cs="Arial"/>
          <w:sz w:val="18"/>
          <w:szCs w:val="18"/>
        </w:rPr>
        <w:t>base 2013</w:t>
      </w:r>
      <w:r w:rsidRPr="000A5EC0">
        <w:rPr>
          <w:rFonts w:cs="Arial"/>
          <w:sz w:val="18"/>
          <w:szCs w:val="18"/>
        </w:rPr>
        <w:t>=100)</w:t>
      </w:r>
    </w:p>
    <w:p w14:paraId="1371B1C1" w14:textId="6D93150C" w:rsidR="00013DDD" w:rsidRDefault="00F93C25" w:rsidP="00013DDD">
      <w:pPr>
        <w:tabs>
          <w:tab w:val="left" w:pos="6145"/>
        </w:tabs>
        <w:jc w:val="center"/>
      </w:pPr>
      <w:r>
        <w:rPr>
          <w:noProof/>
          <w:snapToGrid/>
          <w:lang w:val="es-MX" w:eastAsia="es-MX"/>
        </w:rPr>
        <w:drawing>
          <wp:inline distT="0" distB="0" distL="0" distR="0" wp14:anchorId="3E9B4E04" wp14:editId="7A1B7D0B">
            <wp:extent cx="4320000" cy="2520000"/>
            <wp:effectExtent l="0" t="0" r="23495" b="33020"/>
            <wp:docPr id="12" name="Gráfico 12">
              <a:extLst xmlns:a="http://schemas.openxmlformats.org/drawingml/2006/main">
                <a:ext uri="{FF2B5EF4-FFF2-40B4-BE49-F238E27FC236}">
                  <a16:creationId xmlns:a16="http://schemas.microsoft.com/office/drawing/2014/main" id="{AF363F25-1E04-48D5-81D8-F28B7D88FD1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0BBCE852" w14:textId="77777777" w:rsidR="00593BE6" w:rsidRDefault="00013DDD" w:rsidP="00013DDD">
      <w:pPr>
        <w:pStyle w:val="Default"/>
        <w:ind w:left="993"/>
        <w:rPr>
          <w:sz w:val="18"/>
          <w:szCs w:val="18"/>
        </w:rPr>
      </w:pPr>
      <w:r>
        <w:rPr>
          <w:sz w:val="16"/>
          <w:szCs w:val="16"/>
        </w:rPr>
        <w:t xml:space="preserve">   </w:t>
      </w:r>
      <w:r w:rsidRPr="003D2E2E">
        <w:rPr>
          <w:sz w:val="16"/>
          <w:szCs w:val="16"/>
        </w:rPr>
        <w:t>Fuente: INEGI</w:t>
      </w:r>
      <w:r>
        <w:rPr>
          <w:sz w:val="16"/>
          <w:szCs w:val="16"/>
        </w:rPr>
        <w:t>.</w:t>
      </w:r>
    </w:p>
    <w:p w14:paraId="7EA5376F" w14:textId="77777777" w:rsidR="004C39F9" w:rsidRDefault="004C39F9" w:rsidP="00E7457F">
      <w:pPr>
        <w:pStyle w:val="Textoindependiente"/>
        <w:tabs>
          <w:tab w:val="center" w:pos="3348"/>
        </w:tabs>
        <w:spacing w:before="480"/>
        <w:jc w:val="both"/>
        <w:rPr>
          <w:snapToGrid/>
          <w:color w:val="auto"/>
          <w:szCs w:val="22"/>
        </w:rPr>
      </w:pPr>
    </w:p>
    <w:p w14:paraId="4DCE0F95" w14:textId="77777777" w:rsidR="004C39F9" w:rsidRDefault="004C39F9" w:rsidP="00E7457F">
      <w:pPr>
        <w:pStyle w:val="Textoindependiente"/>
        <w:tabs>
          <w:tab w:val="center" w:pos="3348"/>
        </w:tabs>
        <w:spacing w:before="480"/>
        <w:jc w:val="both"/>
        <w:rPr>
          <w:snapToGrid/>
          <w:color w:val="auto"/>
          <w:szCs w:val="22"/>
        </w:rPr>
      </w:pPr>
    </w:p>
    <w:p w14:paraId="18983ADD" w14:textId="77777777" w:rsidR="004C39F9" w:rsidRDefault="004C39F9" w:rsidP="00E7457F">
      <w:pPr>
        <w:pStyle w:val="Textoindependiente"/>
        <w:tabs>
          <w:tab w:val="center" w:pos="3348"/>
        </w:tabs>
        <w:spacing w:before="480"/>
        <w:jc w:val="both"/>
        <w:rPr>
          <w:snapToGrid/>
          <w:color w:val="auto"/>
          <w:szCs w:val="22"/>
        </w:rPr>
      </w:pPr>
    </w:p>
    <w:p w14:paraId="022AF6FF" w14:textId="7538A17D" w:rsidR="00A74306" w:rsidRPr="00E7457F" w:rsidRDefault="00A852EC" w:rsidP="00E7457F">
      <w:pPr>
        <w:pStyle w:val="Textoindependiente"/>
        <w:tabs>
          <w:tab w:val="center" w:pos="3348"/>
        </w:tabs>
        <w:spacing w:before="480"/>
        <w:jc w:val="both"/>
        <w:rPr>
          <w:rFonts w:cs="Arial"/>
          <w:color w:val="auto"/>
          <w:szCs w:val="22"/>
        </w:rPr>
      </w:pPr>
      <w:r w:rsidRPr="00E7457F">
        <w:rPr>
          <w:snapToGrid/>
          <w:color w:val="auto"/>
          <w:szCs w:val="22"/>
        </w:rPr>
        <w:t>En su comparación a</w:t>
      </w:r>
      <w:r w:rsidR="00526FDF" w:rsidRPr="00E7457F">
        <w:rPr>
          <w:snapToGrid/>
          <w:color w:val="auto"/>
          <w:szCs w:val="22"/>
        </w:rPr>
        <w:t>nual</w:t>
      </w:r>
      <w:r w:rsidRPr="00E7457F">
        <w:rPr>
          <w:snapToGrid/>
          <w:color w:val="auto"/>
          <w:szCs w:val="22"/>
        </w:rPr>
        <w:t xml:space="preserve"> </w:t>
      </w:r>
      <w:r w:rsidR="00DD4A68" w:rsidRPr="00E7457F">
        <w:rPr>
          <w:snapToGrid/>
          <w:color w:val="auto"/>
          <w:szCs w:val="22"/>
        </w:rPr>
        <w:t xml:space="preserve">y </w:t>
      </w:r>
      <w:r w:rsidRPr="00E7457F">
        <w:rPr>
          <w:snapToGrid/>
          <w:color w:val="auto"/>
          <w:szCs w:val="22"/>
        </w:rPr>
        <w:t>con datos</w:t>
      </w:r>
      <w:r w:rsidR="00DD139F" w:rsidRPr="00E7457F">
        <w:rPr>
          <w:snapToGrid/>
          <w:color w:val="auto"/>
          <w:szCs w:val="22"/>
        </w:rPr>
        <w:t xml:space="preserve"> desestacionalizados, el Indicador Trimestral del Consumo Turístico Interior </w:t>
      </w:r>
      <w:r w:rsidR="00994340" w:rsidRPr="00E7457F">
        <w:rPr>
          <w:snapToGrid/>
          <w:color w:val="auto"/>
          <w:szCs w:val="22"/>
        </w:rPr>
        <w:t xml:space="preserve">no </w:t>
      </w:r>
      <w:r w:rsidR="00DD139F" w:rsidRPr="00E7457F">
        <w:rPr>
          <w:snapToGrid/>
          <w:color w:val="auto"/>
          <w:szCs w:val="22"/>
        </w:rPr>
        <w:t xml:space="preserve">registró </w:t>
      </w:r>
      <w:r w:rsidR="00994340" w:rsidRPr="00E7457F">
        <w:rPr>
          <w:snapToGrid/>
          <w:color w:val="auto"/>
          <w:szCs w:val="22"/>
        </w:rPr>
        <w:t>variación</w:t>
      </w:r>
      <w:r w:rsidR="00AC3637" w:rsidRPr="00E7457F">
        <w:rPr>
          <w:snapToGrid/>
          <w:color w:val="auto"/>
          <w:szCs w:val="22"/>
        </w:rPr>
        <w:t xml:space="preserve"> </w:t>
      </w:r>
      <w:r w:rsidR="00DC7EBD" w:rsidRPr="00E7457F">
        <w:rPr>
          <w:snapToGrid/>
          <w:color w:val="auto"/>
          <w:szCs w:val="22"/>
        </w:rPr>
        <w:t xml:space="preserve">en términos reales </w:t>
      </w:r>
      <w:r w:rsidR="00AC3637" w:rsidRPr="00E7457F">
        <w:rPr>
          <w:snapToGrid/>
          <w:color w:val="auto"/>
          <w:szCs w:val="22"/>
        </w:rPr>
        <w:t>d</w:t>
      </w:r>
      <w:r w:rsidR="00573E5B" w:rsidRPr="00E7457F">
        <w:rPr>
          <w:snapToGrid/>
          <w:color w:val="auto"/>
          <w:szCs w:val="22"/>
        </w:rPr>
        <w:t xml:space="preserve">urante el trimestre </w:t>
      </w:r>
      <w:r w:rsidR="00F644BA" w:rsidRPr="00E7457F">
        <w:rPr>
          <w:snapToGrid/>
          <w:color w:val="auto"/>
          <w:szCs w:val="22"/>
        </w:rPr>
        <w:t>o</w:t>
      </w:r>
      <w:r w:rsidR="0098561E" w:rsidRPr="00E7457F">
        <w:rPr>
          <w:snapToGrid/>
          <w:color w:val="auto"/>
          <w:szCs w:val="22"/>
        </w:rPr>
        <w:t>ctubre</w:t>
      </w:r>
      <w:r w:rsidR="001828D6" w:rsidRPr="00E7457F">
        <w:rPr>
          <w:snapToGrid/>
          <w:color w:val="auto"/>
          <w:szCs w:val="22"/>
        </w:rPr>
        <w:t>-</w:t>
      </w:r>
      <w:r w:rsidR="0098561E" w:rsidRPr="00E7457F">
        <w:rPr>
          <w:snapToGrid/>
          <w:color w:val="auto"/>
          <w:szCs w:val="22"/>
        </w:rPr>
        <w:t>dic</w:t>
      </w:r>
      <w:r w:rsidR="001828D6" w:rsidRPr="00E7457F">
        <w:rPr>
          <w:snapToGrid/>
          <w:color w:val="auto"/>
          <w:szCs w:val="22"/>
        </w:rPr>
        <w:t>iembre</w:t>
      </w:r>
      <w:r w:rsidR="00573E5B" w:rsidRPr="00E7457F">
        <w:rPr>
          <w:snapToGrid/>
          <w:color w:val="auto"/>
          <w:szCs w:val="22"/>
        </w:rPr>
        <w:t xml:space="preserve"> de 201</w:t>
      </w:r>
      <w:r w:rsidR="005A6BB7" w:rsidRPr="00E7457F">
        <w:rPr>
          <w:snapToGrid/>
          <w:color w:val="auto"/>
          <w:szCs w:val="22"/>
        </w:rPr>
        <w:t>9</w:t>
      </w:r>
      <w:r w:rsidR="008B5024" w:rsidRPr="00E7457F">
        <w:rPr>
          <w:snapToGrid/>
          <w:color w:val="auto"/>
          <w:szCs w:val="22"/>
        </w:rPr>
        <w:t xml:space="preserve">. Por componentes, </w:t>
      </w:r>
      <w:r w:rsidR="006B675B" w:rsidRPr="00E7457F">
        <w:rPr>
          <w:snapToGrid/>
          <w:color w:val="auto"/>
          <w:szCs w:val="22"/>
        </w:rPr>
        <w:t xml:space="preserve">el </w:t>
      </w:r>
      <w:r w:rsidR="00C138FA" w:rsidRPr="00E7457F">
        <w:rPr>
          <w:snapToGrid/>
          <w:color w:val="auto"/>
          <w:szCs w:val="22"/>
        </w:rPr>
        <w:t xml:space="preserve">Consumo Turístico </w:t>
      </w:r>
      <w:r w:rsidR="006351A1" w:rsidRPr="00E7457F">
        <w:rPr>
          <w:snapToGrid/>
          <w:color w:val="auto"/>
          <w:szCs w:val="22"/>
        </w:rPr>
        <w:t xml:space="preserve">Interno </w:t>
      </w:r>
      <w:r w:rsidR="00994340" w:rsidRPr="00E7457F">
        <w:rPr>
          <w:snapToGrid/>
          <w:color w:val="auto"/>
          <w:szCs w:val="22"/>
        </w:rPr>
        <w:t xml:space="preserve">se incrementó </w:t>
      </w:r>
      <w:r w:rsidR="006351A1" w:rsidRPr="00E7457F">
        <w:rPr>
          <w:snapToGrid/>
          <w:color w:val="auto"/>
          <w:szCs w:val="22"/>
        </w:rPr>
        <w:t>1%,</w:t>
      </w:r>
      <w:r w:rsidR="000D7CA3" w:rsidRPr="00E7457F">
        <w:rPr>
          <w:snapToGrid/>
          <w:color w:val="auto"/>
          <w:szCs w:val="22"/>
        </w:rPr>
        <w:t xml:space="preserve"> </w:t>
      </w:r>
      <w:r w:rsidR="00097B7F" w:rsidRPr="00E7457F">
        <w:rPr>
          <w:snapToGrid/>
          <w:color w:val="auto"/>
          <w:szCs w:val="22"/>
        </w:rPr>
        <w:t>mientras que</w:t>
      </w:r>
      <w:r w:rsidR="000D7CA3" w:rsidRPr="00E7457F">
        <w:rPr>
          <w:snapToGrid/>
          <w:color w:val="auto"/>
          <w:szCs w:val="22"/>
        </w:rPr>
        <w:t xml:space="preserve"> </w:t>
      </w:r>
      <w:r w:rsidR="00F73E2B" w:rsidRPr="00E7457F">
        <w:rPr>
          <w:snapToGrid/>
          <w:color w:val="auto"/>
          <w:szCs w:val="22"/>
        </w:rPr>
        <w:t>el</w:t>
      </w:r>
      <w:r w:rsidR="006B675B" w:rsidRPr="00E7457F">
        <w:rPr>
          <w:snapToGrid/>
          <w:color w:val="auto"/>
          <w:szCs w:val="22"/>
        </w:rPr>
        <w:t xml:space="preserve"> del </w:t>
      </w:r>
      <w:r w:rsidR="00DC7EBD" w:rsidRPr="00E7457F">
        <w:rPr>
          <w:snapToGrid/>
          <w:color w:val="auto"/>
          <w:szCs w:val="22"/>
        </w:rPr>
        <w:t>Turístico</w:t>
      </w:r>
      <w:r w:rsidR="006351A1" w:rsidRPr="00E7457F">
        <w:rPr>
          <w:snapToGrid/>
          <w:color w:val="auto"/>
          <w:szCs w:val="22"/>
        </w:rPr>
        <w:t xml:space="preserve"> Receptivo </w:t>
      </w:r>
      <w:r w:rsidR="00994340" w:rsidRPr="00E7457F">
        <w:rPr>
          <w:snapToGrid/>
          <w:color w:val="auto"/>
          <w:szCs w:val="22"/>
        </w:rPr>
        <w:t>disminuy</w:t>
      </w:r>
      <w:r w:rsidR="006351A1" w:rsidRPr="00E7457F">
        <w:rPr>
          <w:snapToGrid/>
          <w:color w:val="auto"/>
          <w:szCs w:val="22"/>
        </w:rPr>
        <w:t xml:space="preserve">ó </w:t>
      </w:r>
      <w:r w:rsidR="00994340" w:rsidRPr="00E7457F">
        <w:rPr>
          <w:snapToGrid/>
          <w:color w:val="auto"/>
          <w:szCs w:val="22"/>
        </w:rPr>
        <w:t>(-)4</w:t>
      </w:r>
      <w:r w:rsidR="006351A1" w:rsidRPr="00E7457F">
        <w:rPr>
          <w:snapToGrid/>
          <w:color w:val="auto"/>
          <w:szCs w:val="22"/>
        </w:rPr>
        <w:t xml:space="preserve">.7 </w:t>
      </w:r>
      <w:r w:rsidR="00DD139F" w:rsidRPr="00E7457F">
        <w:rPr>
          <w:snapToGrid/>
          <w:color w:val="auto"/>
          <w:szCs w:val="22"/>
        </w:rPr>
        <w:t>por ciento.</w:t>
      </w:r>
    </w:p>
    <w:p w14:paraId="45524304" w14:textId="77777777" w:rsidR="00093578" w:rsidRDefault="00093578" w:rsidP="00093578">
      <w:pPr>
        <w:pStyle w:val="n01"/>
        <w:keepNext/>
        <w:spacing w:after="360"/>
        <w:ind w:left="0" w:firstLine="0"/>
        <w:contextualSpacing/>
        <w:outlineLvl w:val="0"/>
        <w:rPr>
          <w:rFonts w:ascii="Arial" w:hAnsi="Arial" w:cs="Arial"/>
          <w:b/>
          <w:smallCaps/>
          <w:color w:val="auto"/>
          <w:szCs w:val="24"/>
          <w:lang w:val="es-MX"/>
        </w:rPr>
      </w:pPr>
    </w:p>
    <w:p w14:paraId="7FE1DB00" w14:textId="77777777" w:rsidR="00445596" w:rsidRDefault="00445596" w:rsidP="00A2256A">
      <w:pPr>
        <w:pStyle w:val="n01"/>
        <w:keepNext/>
        <w:spacing w:before="840" w:after="120"/>
        <w:ind w:left="0" w:firstLine="0"/>
        <w:contextualSpacing/>
        <w:outlineLvl w:val="0"/>
        <w:rPr>
          <w:rFonts w:ascii="Arial" w:hAnsi="Arial" w:cs="Arial"/>
          <w:b/>
          <w:smallCaps/>
          <w:color w:val="auto"/>
          <w:szCs w:val="24"/>
          <w:lang w:val="es-MX"/>
        </w:rPr>
      </w:pPr>
      <w:r>
        <w:rPr>
          <w:rFonts w:ascii="Arial" w:hAnsi="Arial" w:cs="Arial"/>
          <w:b/>
          <w:smallCaps/>
          <w:color w:val="auto"/>
          <w:szCs w:val="24"/>
          <w:lang w:val="es-MX"/>
        </w:rPr>
        <w:t>Cifras originales</w:t>
      </w:r>
    </w:p>
    <w:p w14:paraId="169B8B16" w14:textId="77777777" w:rsidR="00F04141" w:rsidRPr="002D5B11" w:rsidRDefault="00F04141" w:rsidP="00093578">
      <w:pPr>
        <w:pStyle w:val="Default"/>
        <w:spacing w:before="120"/>
        <w:jc w:val="center"/>
        <w:rPr>
          <w:rFonts w:eastAsia="Times New Roman"/>
          <w:b/>
          <w:smallCaps/>
          <w:snapToGrid w:val="0"/>
          <w:color w:val="auto"/>
          <w:sz w:val="22"/>
          <w:szCs w:val="22"/>
          <w:lang w:val="es-ES_tradnl"/>
        </w:rPr>
      </w:pPr>
      <w:r w:rsidRPr="002D5B11">
        <w:rPr>
          <w:rFonts w:eastAsia="Times New Roman"/>
          <w:b/>
          <w:smallCaps/>
          <w:snapToGrid w:val="0"/>
          <w:color w:val="auto"/>
          <w:sz w:val="22"/>
          <w:szCs w:val="22"/>
          <w:lang w:val="es-ES_tradnl"/>
        </w:rPr>
        <w:t xml:space="preserve">Indicador Trimestral del PIB Turístico </w:t>
      </w:r>
    </w:p>
    <w:p w14:paraId="683376AC" w14:textId="77777777" w:rsidR="00BE0544" w:rsidRDefault="00F04141" w:rsidP="00F04141">
      <w:pPr>
        <w:pStyle w:val="p0"/>
        <w:spacing w:before="0"/>
        <w:jc w:val="center"/>
        <w:rPr>
          <w:rFonts w:cs="Arial"/>
          <w:b/>
          <w:smallCaps/>
          <w:color w:val="auto"/>
          <w:sz w:val="22"/>
          <w:szCs w:val="22"/>
        </w:rPr>
      </w:pPr>
      <w:r w:rsidRPr="002D5B11">
        <w:rPr>
          <w:b/>
          <w:smallCaps/>
          <w:snapToGrid/>
          <w:color w:val="auto"/>
          <w:sz w:val="22"/>
          <w:szCs w:val="22"/>
        </w:rPr>
        <w:t xml:space="preserve">y </w:t>
      </w:r>
      <w:r w:rsidR="00594DAE">
        <w:rPr>
          <w:b/>
          <w:smallCaps/>
          <w:snapToGrid/>
          <w:color w:val="auto"/>
          <w:sz w:val="22"/>
          <w:szCs w:val="22"/>
        </w:rPr>
        <w:t xml:space="preserve">del </w:t>
      </w:r>
      <w:r w:rsidRPr="002D5B11">
        <w:rPr>
          <w:b/>
          <w:smallCaps/>
          <w:snapToGrid/>
          <w:color w:val="auto"/>
          <w:sz w:val="22"/>
          <w:szCs w:val="22"/>
        </w:rPr>
        <w:t xml:space="preserve">Consumo Turístico Interior </w:t>
      </w:r>
      <w:r w:rsidR="00BE0544">
        <w:rPr>
          <w:rFonts w:cs="Arial"/>
          <w:b/>
          <w:smallCaps/>
          <w:color w:val="auto"/>
          <w:sz w:val="22"/>
          <w:szCs w:val="22"/>
        </w:rPr>
        <w:t>por componente</w:t>
      </w:r>
      <w:r w:rsidR="007449C3">
        <w:rPr>
          <w:rFonts w:cs="Arial"/>
          <w:b/>
          <w:smallCaps/>
          <w:color w:val="auto"/>
          <w:sz w:val="22"/>
          <w:szCs w:val="22"/>
        </w:rPr>
        <w:t>s</w:t>
      </w:r>
      <w:r w:rsidR="00BE0544">
        <w:rPr>
          <w:rFonts w:cs="Arial"/>
          <w:b/>
          <w:smallCaps/>
          <w:color w:val="auto"/>
          <w:sz w:val="22"/>
          <w:szCs w:val="22"/>
        </w:rPr>
        <w:t xml:space="preserve"> </w:t>
      </w:r>
    </w:p>
    <w:p w14:paraId="195CA0B8" w14:textId="2AC8876E" w:rsidR="00F04141" w:rsidRPr="00D94FAC" w:rsidRDefault="00C16FE3" w:rsidP="00F04141">
      <w:pPr>
        <w:pStyle w:val="p0"/>
        <w:spacing w:before="0"/>
        <w:jc w:val="center"/>
        <w:rPr>
          <w:b/>
          <w:iCs/>
          <w:smallCaps/>
          <w:color w:val="auto"/>
          <w:sz w:val="22"/>
          <w:szCs w:val="22"/>
          <w:lang w:val="es-MX" w:eastAsia="es-MX"/>
        </w:rPr>
      </w:pPr>
      <w:r>
        <w:rPr>
          <w:rFonts w:cs="Arial"/>
          <w:b/>
          <w:smallCaps/>
          <w:color w:val="auto"/>
          <w:sz w:val="22"/>
          <w:szCs w:val="22"/>
        </w:rPr>
        <w:t>durante el</w:t>
      </w:r>
      <w:r w:rsidR="00F04141" w:rsidRPr="002D5B11">
        <w:rPr>
          <w:rFonts w:cs="Arial"/>
          <w:b/>
          <w:smallCaps/>
          <w:color w:val="auto"/>
          <w:sz w:val="22"/>
          <w:szCs w:val="22"/>
        </w:rPr>
        <w:t xml:space="preserve"> </w:t>
      </w:r>
      <w:r w:rsidR="00264161">
        <w:rPr>
          <w:rFonts w:cs="Arial"/>
          <w:b/>
          <w:smallCaps/>
          <w:color w:val="auto"/>
          <w:sz w:val="22"/>
          <w:szCs w:val="22"/>
        </w:rPr>
        <w:t>c</w:t>
      </w:r>
      <w:r w:rsidR="0098561E">
        <w:rPr>
          <w:rFonts w:cs="Arial"/>
          <w:b/>
          <w:smallCaps/>
          <w:color w:val="auto"/>
          <w:sz w:val="22"/>
          <w:szCs w:val="22"/>
        </w:rPr>
        <w:t>uarto</w:t>
      </w:r>
      <w:r w:rsidR="00F04141" w:rsidRPr="002D5B11">
        <w:rPr>
          <w:rFonts w:cs="Arial"/>
          <w:b/>
          <w:smallCaps/>
          <w:color w:val="auto"/>
          <w:sz w:val="22"/>
          <w:szCs w:val="22"/>
        </w:rPr>
        <w:t xml:space="preserve"> trimestre de </w:t>
      </w:r>
      <w:r w:rsidR="00F04141" w:rsidRPr="00D94FAC">
        <w:rPr>
          <w:rFonts w:cs="Arial"/>
          <w:b/>
          <w:smallCaps/>
          <w:color w:val="auto"/>
          <w:sz w:val="22"/>
          <w:szCs w:val="22"/>
        </w:rPr>
        <w:t>201</w:t>
      </w:r>
      <w:r w:rsidR="005A6BB7" w:rsidRPr="00D94FAC">
        <w:rPr>
          <w:rFonts w:cs="Arial"/>
          <w:b/>
          <w:smallCaps/>
          <w:color w:val="auto"/>
          <w:sz w:val="22"/>
          <w:szCs w:val="22"/>
        </w:rPr>
        <w:t>9</w:t>
      </w:r>
      <w:r w:rsidR="00F04141" w:rsidRPr="00D94FAC">
        <w:rPr>
          <w:b/>
          <w:iCs/>
          <w:smallCaps/>
          <w:color w:val="auto"/>
          <w:sz w:val="22"/>
          <w:szCs w:val="22"/>
          <w:lang w:val="es-MX" w:eastAsia="es-MX"/>
        </w:rPr>
        <w:t xml:space="preserve"> </w:t>
      </w:r>
    </w:p>
    <w:p w14:paraId="118E6C77" w14:textId="77777777" w:rsidR="00B4338D" w:rsidRPr="00B4338D" w:rsidRDefault="00B4338D" w:rsidP="00F04141">
      <w:pPr>
        <w:pStyle w:val="p0"/>
        <w:spacing w:before="0"/>
        <w:jc w:val="center"/>
        <w:rPr>
          <w:rFonts w:ascii="Univers (W1)" w:hAnsi="Univers (W1)"/>
          <w:snapToGrid/>
          <w:color w:val="auto"/>
          <w:sz w:val="16"/>
          <w:szCs w:val="16"/>
        </w:rPr>
      </w:pPr>
      <w:r w:rsidRPr="00B4338D">
        <w:rPr>
          <w:rFonts w:ascii="Univers (W1)" w:hAnsi="Univers (W1)"/>
          <w:snapToGrid/>
          <w:color w:val="auto"/>
          <w:sz w:val="16"/>
          <w:szCs w:val="16"/>
        </w:rPr>
        <w:t xml:space="preserve">(Variación porcentual real respecto a igual período de un año antes) </w:t>
      </w:r>
    </w:p>
    <w:tbl>
      <w:tblPr>
        <w:tblW w:w="0" w:type="auto"/>
        <w:jc w:val="center"/>
        <w:tblLayout w:type="fixed"/>
        <w:tblCellMar>
          <w:left w:w="107" w:type="dxa"/>
          <w:right w:w="107" w:type="dxa"/>
        </w:tblCellMar>
        <w:tblLook w:val="04A0" w:firstRow="1" w:lastRow="0" w:firstColumn="1" w:lastColumn="0" w:noHBand="0" w:noVBand="1"/>
      </w:tblPr>
      <w:tblGrid>
        <w:gridCol w:w="3671"/>
        <w:gridCol w:w="1716"/>
      </w:tblGrid>
      <w:tr w:rsidR="00E43EEF" w14:paraId="29ECFBD5" w14:textId="77777777" w:rsidTr="002C760D">
        <w:trPr>
          <w:cantSplit/>
          <w:trHeight w:val="21"/>
          <w:jc w:val="center"/>
        </w:trPr>
        <w:tc>
          <w:tcPr>
            <w:tcW w:w="3671" w:type="dxa"/>
            <w:tcBorders>
              <w:top w:val="double" w:sz="4" w:space="0" w:color="auto"/>
              <w:left w:val="double" w:sz="4" w:space="0" w:color="auto"/>
              <w:bottom w:val="double" w:sz="4" w:space="0" w:color="404040"/>
              <w:right w:val="single" w:sz="4" w:space="0" w:color="auto"/>
            </w:tcBorders>
            <w:shd w:val="clear" w:color="auto" w:fill="C2D69B" w:themeFill="accent3" w:themeFillTint="99"/>
            <w:vAlign w:val="center"/>
            <w:hideMark/>
          </w:tcPr>
          <w:p w14:paraId="1FE3DEDC" w14:textId="77777777" w:rsidR="00E43EEF" w:rsidRDefault="00E43EEF" w:rsidP="000347D1">
            <w:pPr>
              <w:pStyle w:val="p0"/>
              <w:spacing w:before="120" w:after="120"/>
              <w:jc w:val="center"/>
              <w:rPr>
                <w:rFonts w:cs="Arial"/>
                <w:color w:val="auto"/>
                <w:sz w:val="18"/>
                <w:lang w:val="es-ES"/>
              </w:rPr>
            </w:pPr>
            <w:r>
              <w:rPr>
                <w:rFonts w:cs="Arial"/>
                <w:color w:val="auto"/>
                <w:sz w:val="18"/>
                <w:lang w:val="es-ES"/>
              </w:rPr>
              <w:t>Concepto</w:t>
            </w:r>
          </w:p>
        </w:tc>
        <w:tc>
          <w:tcPr>
            <w:tcW w:w="1716" w:type="dxa"/>
            <w:tcBorders>
              <w:top w:val="double" w:sz="4" w:space="0" w:color="auto"/>
              <w:left w:val="single" w:sz="4" w:space="0" w:color="auto"/>
              <w:bottom w:val="double" w:sz="4" w:space="0" w:color="404040"/>
              <w:right w:val="double" w:sz="4" w:space="0" w:color="auto"/>
            </w:tcBorders>
            <w:shd w:val="clear" w:color="auto" w:fill="C2D69B" w:themeFill="accent3" w:themeFillTint="99"/>
            <w:hideMark/>
          </w:tcPr>
          <w:p w14:paraId="03E9584C" w14:textId="7816A35B" w:rsidR="00E43EEF" w:rsidRDefault="009E56C5" w:rsidP="005A6BB7">
            <w:pPr>
              <w:pStyle w:val="p0"/>
              <w:keepNext/>
              <w:spacing w:before="120" w:after="120"/>
              <w:jc w:val="center"/>
              <w:rPr>
                <w:rFonts w:cs="Arial"/>
                <w:color w:val="auto"/>
                <w:sz w:val="18"/>
                <w:lang w:val="es-ES"/>
              </w:rPr>
            </w:pPr>
            <w:proofErr w:type="spellStart"/>
            <w:r>
              <w:rPr>
                <w:rFonts w:cs="Arial"/>
                <w:color w:val="auto"/>
                <w:sz w:val="18"/>
                <w:lang w:val="es-ES"/>
              </w:rPr>
              <w:t>I</w:t>
            </w:r>
            <w:r w:rsidR="0098561E">
              <w:rPr>
                <w:rFonts w:cs="Arial"/>
                <w:color w:val="auto"/>
                <w:sz w:val="18"/>
                <w:lang w:val="es-ES"/>
              </w:rPr>
              <w:t>V</w:t>
            </w:r>
            <w:r w:rsidR="00EA02E6" w:rsidRPr="00EA02E6">
              <w:rPr>
                <w:rFonts w:cs="Arial"/>
                <w:color w:val="auto"/>
                <w:sz w:val="18"/>
                <w:vertAlign w:val="superscript"/>
                <w:lang w:val="es-ES"/>
              </w:rPr>
              <w:t>p</w:t>
            </w:r>
            <w:proofErr w:type="spellEnd"/>
            <w:r w:rsidR="00EA02E6" w:rsidRPr="00EA02E6">
              <w:rPr>
                <w:rFonts w:cs="Arial"/>
                <w:color w:val="auto"/>
                <w:sz w:val="18"/>
                <w:vertAlign w:val="superscript"/>
                <w:lang w:val="es-ES"/>
              </w:rPr>
              <w:t>/</w:t>
            </w:r>
            <w:r w:rsidR="00E43EEF">
              <w:rPr>
                <w:rFonts w:cs="Arial"/>
                <w:color w:val="auto"/>
                <w:sz w:val="18"/>
                <w:lang w:val="es-ES"/>
              </w:rPr>
              <w:t xml:space="preserve"> Trimestre</w:t>
            </w:r>
          </w:p>
        </w:tc>
      </w:tr>
      <w:tr w:rsidR="00E43EEF" w14:paraId="031D32EC" w14:textId="77777777" w:rsidTr="002C760D">
        <w:trPr>
          <w:cantSplit/>
          <w:trHeight w:val="21"/>
          <w:jc w:val="center"/>
        </w:trPr>
        <w:tc>
          <w:tcPr>
            <w:tcW w:w="3671" w:type="dxa"/>
            <w:tcBorders>
              <w:top w:val="double" w:sz="4" w:space="0" w:color="404040"/>
              <w:left w:val="double" w:sz="4" w:space="0" w:color="auto"/>
              <w:bottom w:val="nil"/>
              <w:right w:val="single" w:sz="4" w:space="0" w:color="auto"/>
            </w:tcBorders>
            <w:hideMark/>
          </w:tcPr>
          <w:p w14:paraId="0385D1E8" w14:textId="77777777" w:rsidR="00E43EEF" w:rsidRPr="006F48F0" w:rsidRDefault="00E43EEF" w:rsidP="000347D1">
            <w:pPr>
              <w:pStyle w:val="p0"/>
              <w:spacing w:before="120"/>
              <w:ind w:firstLine="159"/>
              <w:rPr>
                <w:rFonts w:cs="Arial"/>
                <w:b/>
                <w:color w:val="auto"/>
                <w:sz w:val="18"/>
                <w:lang w:val="es-ES"/>
              </w:rPr>
            </w:pPr>
            <w:r w:rsidRPr="006F48F0">
              <w:rPr>
                <w:rFonts w:cs="Arial"/>
                <w:b/>
                <w:color w:val="auto"/>
                <w:sz w:val="18"/>
                <w:lang w:val="es-ES"/>
              </w:rPr>
              <w:t xml:space="preserve">PIB </w:t>
            </w:r>
            <w:r>
              <w:rPr>
                <w:rFonts w:cs="Arial"/>
                <w:b/>
                <w:color w:val="auto"/>
                <w:sz w:val="18"/>
                <w:lang w:val="es-ES"/>
              </w:rPr>
              <w:t>T</w:t>
            </w:r>
            <w:r w:rsidRPr="006F48F0">
              <w:rPr>
                <w:rFonts w:cs="Arial"/>
                <w:b/>
                <w:color w:val="auto"/>
                <w:sz w:val="18"/>
                <w:lang w:val="es-ES"/>
              </w:rPr>
              <w:t xml:space="preserve">urístico </w:t>
            </w:r>
          </w:p>
        </w:tc>
        <w:tc>
          <w:tcPr>
            <w:tcW w:w="1716" w:type="dxa"/>
            <w:tcBorders>
              <w:top w:val="double" w:sz="4" w:space="0" w:color="404040"/>
              <w:left w:val="single" w:sz="4" w:space="0" w:color="auto"/>
              <w:bottom w:val="nil"/>
              <w:right w:val="double" w:sz="4" w:space="0" w:color="auto"/>
            </w:tcBorders>
            <w:vAlign w:val="center"/>
          </w:tcPr>
          <w:p w14:paraId="3FD2553F" w14:textId="4A5887B0" w:rsidR="00E43EEF" w:rsidRPr="00F93C25" w:rsidRDefault="006E2C9F" w:rsidP="00264161">
            <w:pPr>
              <w:tabs>
                <w:tab w:val="left" w:pos="307"/>
              </w:tabs>
              <w:spacing w:before="120"/>
              <w:ind w:right="624"/>
              <w:jc w:val="right"/>
              <w:rPr>
                <w:rFonts w:cs="Arial"/>
                <w:b/>
                <w:sz w:val="18"/>
                <w:lang w:val="es-ES" w:eastAsia="en-US"/>
              </w:rPr>
            </w:pPr>
            <w:r w:rsidRPr="00F93C25">
              <w:rPr>
                <w:rFonts w:cs="Arial"/>
                <w:b/>
                <w:sz w:val="18"/>
                <w:lang w:val="es-ES" w:eastAsia="en-US"/>
              </w:rPr>
              <w:t xml:space="preserve">  0</w:t>
            </w:r>
            <w:r w:rsidR="00CF10E6" w:rsidRPr="00F93C25">
              <w:rPr>
                <w:rFonts w:cs="Arial"/>
                <w:b/>
                <w:sz w:val="18"/>
                <w:lang w:val="es-ES" w:eastAsia="en-US"/>
              </w:rPr>
              <w:t>.</w:t>
            </w:r>
            <w:r w:rsidR="00874263">
              <w:rPr>
                <w:rFonts w:cs="Arial"/>
                <w:b/>
                <w:sz w:val="18"/>
                <w:lang w:val="es-ES" w:eastAsia="en-US"/>
              </w:rPr>
              <w:t>4</w:t>
            </w:r>
          </w:p>
        </w:tc>
      </w:tr>
      <w:tr w:rsidR="00E43EEF" w14:paraId="2ED490B4" w14:textId="77777777" w:rsidTr="002C760D">
        <w:trPr>
          <w:cantSplit/>
          <w:trHeight w:val="21"/>
          <w:jc w:val="center"/>
        </w:trPr>
        <w:tc>
          <w:tcPr>
            <w:tcW w:w="3671" w:type="dxa"/>
            <w:tcBorders>
              <w:top w:val="nil"/>
              <w:left w:val="double" w:sz="4" w:space="0" w:color="auto"/>
              <w:bottom w:val="nil"/>
              <w:right w:val="single" w:sz="4" w:space="0" w:color="auto"/>
            </w:tcBorders>
            <w:hideMark/>
          </w:tcPr>
          <w:p w14:paraId="123743D4" w14:textId="77777777" w:rsidR="00E43EEF" w:rsidRDefault="00E43EEF" w:rsidP="000347D1">
            <w:pPr>
              <w:pStyle w:val="p0"/>
              <w:spacing w:before="0"/>
              <w:ind w:firstLine="454"/>
              <w:rPr>
                <w:rFonts w:cs="Arial"/>
                <w:color w:val="auto"/>
                <w:sz w:val="18"/>
                <w:lang w:val="es-ES"/>
              </w:rPr>
            </w:pPr>
            <w:r>
              <w:rPr>
                <w:rFonts w:cs="Arial"/>
                <w:color w:val="auto"/>
                <w:sz w:val="18"/>
                <w:lang w:val="es-ES"/>
              </w:rPr>
              <w:t>Bienes</w:t>
            </w:r>
          </w:p>
        </w:tc>
        <w:tc>
          <w:tcPr>
            <w:tcW w:w="1716" w:type="dxa"/>
            <w:tcBorders>
              <w:top w:val="nil"/>
              <w:left w:val="single" w:sz="4" w:space="0" w:color="auto"/>
              <w:bottom w:val="nil"/>
              <w:right w:val="double" w:sz="4" w:space="0" w:color="auto"/>
            </w:tcBorders>
            <w:hideMark/>
          </w:tcPr>
          <w:p w14:paraId="6D31E96B" w14:textId="3DA60822" w:rsidR="00E43EEF" w:rsidRPr="00F93C25" w:rsidRDefault="008C2FCD" w:rsidP="00264161">
            <w:pPr>
              <w:tabs>
                <w:tab w:val="left" w:pos="307"/>
              </w:tabs>
              <w:ind w:right="624"/>
              <w:jc w:val="right"/>
              <w:rPr>
                <w:rFonts w:cs="Arial"/>
                <w:sz w:val="18"/>
                <w:lang w:val="es-ES" w:eastAsia="en-US"/>
              </w:rPr>
            </w:pPr>
            <w:r w:rsidRPr="00F93C25">
              <w:rPr>
                <w:rFonts w:cs="Arial"/>
                <w:sz w:val="18"/>
                <w:lang w:val="es-ES" w:eastAsia="en-US"/>
              </w:rPr>
              <w:t xml:space="preserve">  </w:t>
            </w:r>
            <w:r w:rsidR="00CF10E6" w:rsidRPr="00F93C25">
              <w:rPr>
                <w:rFonts w:cs="Arial"/>
                <w:sz w:val="18"/>
                <w:lang w:val="es-ES" w:eastAsia="en-US"/>
              </w:rPr>
              <w:t>0.</w:t>
            </w:r>
            <w:r w:rsidR="00874263">
              <w:rPr>
                <w:rFonts w:cs="Arial"/>
                <w:sz w:val="18"/>
                <w:lang w:val="es-ES" w:eastAsia="en-US"/>
              </w:rPr>
              <w:t>6</w:t>
            </w:r>
          </w:p>
        </w:tc>
      </w:tr>
      <w:tr w:rsidR="00E43EEF" w14:paraId="27681461" w14:textId="77777777" w:rsidTr="002C760D">
        <w:trPr>
          <w:cantSplit/>
          <w:trHeight w:val="21"/>
          <w:jc w:val="center"/>
        </w:trPr>
        <w:tc>
          <w:tcPr>
            <w:tcW w:w="3671" w:type="dxa"/>
            <w:tcBorders>
              <w:top w:val="nil"/>
              <w:left w:val="double" w:sz="4" w:space="0" w:color="auto"/>
              <w:bottom w:val="nil"/>
              <w:right w:val="single" w:sz="4" w:space="0" w:color="auto"/>
            </w:tcBorders>
            <w:hideMark/>
          </w:tcPr>
          <w:p w14:paraId="2BC01359" w14:textId="77777777" w:rsidR="00E43EEF" w:rsidRDefault="00E43EEF" w:rsidP="000347D1">
            <w:pPr>
              <w:pStyle w:val="p0"/>
              <w:spacing w:before="0"/>
              <w:ind w:firstLine="454"/>
              <w:rPr>
                <w:rFonts w:cs="Arial"/>
                <w:color w:val="auto"/>
                <w:sz w:val="18"/>
                <w:lang w:val="es-ES"/>
              </w:rPr>
            </w:pPr>
            <w:r>
              <w:rPr>
                <w:rFonts w:cs="Arial"/>
                <w:color w:val="auto"/>
                <w:sz w:val="18"/>
                <w:lang w:val="es-ES"/>
              </w:rPr>
              <w:t>Servicios</w:t>
            </w:r>
          </w:p>
        </w:tc>
        <w:tc>
          <w:tcPr>
            <w:tcW w:w="1716" w:type="dxa"/>
            <w:tcBorders>
              <w:top w:val="nil"/>
              <w:left w:val="single" w:sz="4" w:space="0" w:color="auto"/>
              <w:bottom w:val="nil"/>
              <w:right w:val="double" w:sz="4" w:space="0" w:color="auto"/>
            </w:tcBorders>
            <w:hideMark/>
          </w:tcPr>
          <w:p w14:paraId="02B2FB87" w14:textId="0A6DE225" w:rsidR="00E43EEF" w:rsidRPr="00F93C25" w:rsidRDefault="006E2C9F" w:rsidP="00264161">
            <w:pPr>
              <w:tabs>
                <w:tab w:val="left" w:pos="307"/>
              </w:tabs>
              <w:ind w:right="624"/>
              <w:jc w:val="right"/>
              <w:rPr>
                <w:rFonts w:cs="Arial"/>
                <w:sz w:val="18"/>
                <w:lang w:val="es-ES" w:eastAsia="en-US"/>
              </w:rPr>
            </w:pPr>
            <w:r w:rsidRPr="00F93C25">
              <w:rPr>
                <w:rFonts w:cs="Arial"/>
                <w:sz w:val="18"/>
                <w:lang w:val="es-ES" w:eastAsia="en-US"/>
              </w:rPr>
              <w:t xml:space="preserve">  0</w:t>
            </w:r>
            <w:r w:rsidR="00CF10E6" w:rsidRPr="00F93C25">
              <w:rPr>
                <w:rFonts w:cs="Arial"/>
                <w:sz w:val="18"/>
                <w:lang w:val="es-ES" w:eastAsia="en-US"/>
              </w:rPr>
              <w:t>.</w:t>
            </w:r>
            <w:r w:rsidR="00874263">
              <w:rPr>
                <w:rFonts w:cs="Arial"/>
                <w:sz w:val="18"/>
                <w:lang w:val="es-ES" w:eastAsia="en-US"/>
              </w:rPr>
              <w:t>4</w:t>
            </w:r>
          </w:p>
        </w:tc>
      </w:tr>
      <w:tr w:rsidR="00E43EEF" w14:paraId="73F8F6C1" w14:textId="77777777" w:rsidTr="002C760D">
        <w:trPr>
          <w:cantSplit/>
          <w:trHeight w:val="21"/>
          <w:jc w:val="center"/>
        </w:trPr>
        <w:tc>
          <w:tcPr>
            <w:tcW w:w="3671" w:type="dxa"/>
            <w:tcBorders>
              <w:top w:val="nil"/>
              <w:left w:val="double" w:sz="4" w:space="0" w:color="auto"/>
              <w:bottom w:val="nil"/>
              <w:right w:val="single" w:sz="4" w:space="0" w:color="auto"/>
            </w:tcBorders>
            <w:hideMark/>
          </w:tcPr>
          <w:p w14:paraId="5EE298C4" w14:textId="77777777" w:rsidR="00E43EEF" w:rsidRPr="006F48F0" w:rsidRDefault="00E43EEF" w:rsidP="000347D1">
            <w:pPr>
              <w:pStyle w:val="p0"/>
              <w:spacing w:before="120"/>
              <w:ind w:firstLine="159"/>
              <w:rPr>
                <w:rFonts w:cs="Arial"/>
                <w:b/>
                <w:color w:val="auto"/>
                <w:sz w:val="18"/>
                <w:lang w:val="es-ES"/>
              </w:rPr>
            </w:pPr>
            <w:r w:rsidRPr="006F48F0">
              <w:rPr>
                <w:rFonts w:cs="Arial"/>
                <w:b/>
                <w:color w:val="auto"/>
                <w:sz w:val="18"/>
                <w:lang w:val="es-ES"/>
              </w:rPr>
              <w:t xml:space="preserve">Consumo </w:t>
            </w:r>
            <w:r>
              <w:rPr>
                <w:rFonts w:cs="Arial"/>
                <w:b/>
                <w:color w:val="auto"/>
                <w:sz w:val="18"/>
                <w:lang w:val="es-ES"/>
              </w:rPr>
              <w:t>T</w:t>
            </w:r>
            <w:r w:rsidRPr="006F48F0">
              <w:rPr>
                <w:rFonts w:cs="Arial"/>
                <w:b/>
                <w:color w:val="auto"/>
                <w:sz w:val="18"/>
                <w:lang w:val="es-ES"/>
              </w:rPr>
              <w:t>urístico Interior</w:t>
            </w:r>
          </w:p>
        </w:tc>
        <w:tc>
          <w:tcPr>
            <w:tcW w:w="1716" w:type="dxa"/>
            <w:tcBorders>
              <w:top w:val="nil"/>
              <w:left w:val="single" w:sz="4" w:space="0" w:color="auto"/>
              <w:bottom w:val="nil"/>
              <w:right w:val="double" w:sz="4" w:space="0" w:color="auto"/>
            </w:tcBorders>
          </w:tcPr>
          <w:p w14:paraId="360B8BA5" w14:textId="7DC63AF0" w:rsidR="00E43EEF" w:rsidRPr="00F93C25" w:rsidRDefault="00264161" w:rsidP="00264161">
            <w:pPr>
              <w:tabs>
                <w:tab w:val="left" w:pos="307"/>
              </w:tabs>
              <w:spacing w:before="120" w:after="20"/>
              <w:ind w:right="624"/>
              <w:jc w:val="right"/>
              <w:rPr>
                <w:rFonts w:cs="Arial"/>
                <w:b/>
                <w:sz w:val="18"/>
                <w:lang w:val="es-ES" w:eastAsia="en-US"/>
              </w:rPr>
            </w:pPr>
            <w:r w:rsidRPr="00F93C25">
              <w:rPr>
                <w:rFonts w:cs="Arial"/>
                <w:b/>
                <w:sz w:val="18"/>
                <w:lang w:val="es-ES" w:eastAsia="en-US"/>
              </w:rPr>
              <w:t>(-</w:t>
            </w:r>
            <w:proofErr w:type="gramStart"/>
            <w:r w:rsidRPr="00F93C25">
              <w:rPr>
                <w:rFonts w:cs="Arial"/>
                <w:b/>
                <w:sz w:val="18"/>
                <w:lang w:val="es-ES" w:eastAsia="en-US"/>
              </w:rPr>
              <w:t>)</w:t>
            </w:r>
            <w:r w:rsidR="006E2C9F" w:rsidRPr="00F93C25">
              <w:rPr>
                <w:rFonts w:cs="Arial"/>
                <w:b/>
                <w:sz w:val="18"/>
                <w:lang w:val="es-ES" w:eastAsia="en-US"/>
              </w:rPr>
              <w:t xml:space="preserve">  </w:t>
            </w:r>
            <w:r w:rsidR="008C2FCD" w:rsidRPr="00F93C25">
              <w:rPr>
                <w:rFonts w:cs="Arial"/>
                <w:b/>
                <w:sz w:val="18"/>
                <w:lang w:val="es-ES" w:eastAsia="en-US"/>
              </w:rPr>
              <w:t>0</w:t>
            </w:r>
            <w:r w:rsidRPr="00F93C25">
              <w:rPr>
                <w:rFonts w:cs="Arial"/>
                <w:b/>
                <w:sz w:val="18"/>
                <w:lang w:val="es-ES" w:eastAsia="en-US"/>
              </w:rPr>
              <w:t>.</w:t>
            </w:r>
            <w:r w:rsidR="00F93C25">
              <w:rPr>
                <w:rFonts w:cs="Arial"/>
                <w:b/>
                <w:sz w:val="18"/>
                <w:lang w:val="es-ES" w:eastAsia="en-US"/>
              </w:rPr>
              <w:t>1</w:t>
            </w:r>
            <w:proofErr w:type="gramEnd"/>
            <w:r w:rsidR="00E43EEF" w:rsidRPr="00F93C25">
              <w:rPr>
                <w:rFonts w:cs="Arial"/>
                <w:b/>
                <w:sz w:val="18"/>
                <w:lang w:val="es-ES" w:eastAsia="en-US"/>
              </w:rPr>
              <w:t xml:space="preserve"> </w:t>
            </w:r>
          </w:p>
        </w:tc>
      </w:tr>
      <w:tr w:rsidR="00E43EEF" w14:paraId="3A11ADAC" w14:textId="77777777" w:rsidTr="002C760D">
        <w:trPr>
          <w:cantSplit/>
          <w:trHeight w:val="21"/>
          <w:jc w:val="center"/>
        </w:trPr>
        <w:tc>
          <w:tcPr>
            <w:tcW w:w="3671" w:type="dxa"/>
            <w:tcBorders>
              <w:top w:val="nil"/>
              <w:left w:val="double" w:sz="4" w:space="0" w:color="auto"/>
              <w:right w:val="single" w:sz="4" w:space="0" w:color="auto"/>
            </w:tcBorders>
          </w:tcPr>
          <w:p w14:paraId="311F44B2" w14:textId="77777777" w:rsidR="00E43EEF" w:rsidRPr="00053A68" w:rsidRDefault="00E43EEF" w:rsidP="000347D1">
            <w:pPr>
              <w:pStyle w:val="p0"/>
              <w:spacing w:before="0"/>
              <w:ind w:firstLine="454"/>
              <w:rPr>
                <w:rFonts w:cs="Arial"/>
                <w:color w:val="auto"/>
                <w:sz w:val="18"/>
                <w:lang w:val="es-ES"/>
              </w:rPr>
            </w:pPr>
            <w:r w:rsidRPr="002D5B11">
              <w:rPr>
                <w:rFonts w:cs="Arial"/>
                <w:color w:val="auto"/>
                <w:sz w:val="18"/>
                <w:lang w:val="es-ES"/>
              </w:rPr>
              <w:t>Interno</w:t>
            </w:r>
          </w:p>
        </w:tc>
        <w:tc>
          <w:tcPr>
            <w:tcW w:w="1716" w:type="dxa"/>
            <w:tcBorders>
              <w:top w:val="nil"/>
              <w:left w:val="single" w:sz="4" w:space="0" w:color="auto"/>
              <w:right w:val="double" w:sz="4" w:space="0" w:color="auto"/>
            </w:tcBorders>
          </w:tcPr>
          <w:p w14:paraId="179B40CD" w14:textId="2F111228" w:rsidR="00E43EEF" w:rsidRPr="00F93C25" w:rsidRDefault="006E2C9F" w:rsidP="00264161">
            <w:pPr>
              <w:tabs>
                <w:tab w:val="left" w:pos="307"/>
                <w:tab w:val="decimal" w:pos="881"/>
              </w:tabs>
              <w:ind w:right="624"/>
              <w:jc w:val="right"/>
              <w:rPr>
                <w:rFonts w:cs="Arial"/>
                <w:sz w:val="18"/>
                <w:lang w:val="es-ES"/>
              </w:rPr>
            </w:pPr>
            <w:r w:rsidRPr="00F93C25">
              <w:rPr>
                <w:rFonts w:cs="Arial"/>
                <w:sz w:val="18"/>
                <w:lang w:val="es-ES"/>
              </w:rPr>
              <w:t xml:space="preserve">  </w:t>
            </w:r>
            <w:r w:rsidR="00264161" w:rsidRPr="00F93C25">
              <w:rPr>
                <w:rFonts w:cs="Arial"/>
                <w:sz w:val="18"/>
                <w:lang w:val="es-ES"/>
              </w:rPr>
              <w:t>1</w:t>
            </w:r>
            <w:r w:rsidR="00CF10E6" w:rsidRPr="00F93C25">
              <w:rPr>
                <w:rFonts w:cs="Arial"/>
                <w:sz w:val="18"/>
                <w:lang w:val="es-ES"/>
              </w:rPr>
              <w:t>.</w:t>
            </w:r>
            <w:r w:rsidR="00F93C25">
              <w:rPr>
                <w:rFonts w:cs="Arial"/>
                <w:sz w:val="18"/>
                <w:lang w:val="es-ES"/>
              </w:rPr>
              <w:t>0</w:t>
            </w:r>
          </w:p>
        </w:tc>
      </w:tr>
      <w:tr w:rsidR="00E43EEF" w14:paraId="2FFFA403" w14:textId="77777777" w:rsidTr="002C760D">
        <w:trPr>
          <w:cantSplit/>
          <w:trHeight w:val="21"/>
          <w:jc w:val="center"/>
        </w:trPr>
        <w:tc>
          <w:tcPr>
            <w:tcW w:w="3671" w:type="dxa"/>
            <w:tcBorders>
              <w:top w:val="nil"/>
              <w:left w:val="double" w:sz="4" w:space="0" w:color="auto"/>
              <w:bottom w:val="double" w:sz="4" w:space="0" w:color="auto"/>
              <w:right w:val="single" w:sz="4" w:space="0" w:color="auto"/>
            </w:tcBorders>
          </w:tcPr>
          <w:p w14:paraId="534077F9" w14:textId="77777777" w:rsidR="00E43EEF" w:rsidRDefault="00E43EEF" w:rsidP="000347D1">
            <w:pPr>
              <w:pStyle w:val="p0"/>
              <w:spacing w:before="0" w:after="120"/>
              <w:ind w:firstLine="454"/>
              <w:rPr>
                <w:rFonts w:cs="Arial"/>
                <w:color w:val="auto"/>
                <w:sz w:val="18"/>
                <w:lang w:val="es-ES"/>
              </w:rPr>
            </w:pPr>
            <w:r>
              <w:rPr>
                <w:rFonts w:cs="Arial"/>
                <w:color w:val="auto"/>
                <w:sz w:val="18"/>
                <w:lang w:val="es-ES"/>
              </w:rPr>
              <w:t>Receptivo</w:t>
            </w:r>
          </w:p>
        </w:tc>
        <w:tc>
          <w:tcPr>
            <w:tcW w:w="1716" w:type="dxa"/>
            <w:tcBorders>
              <w:top w:val="nil"/>
              <w:left w:val="single" w:sz="4" w:space="0" w:color="auto"/>
              <w:bottom w:val="double" w:sz="4" w:space="0" w:color="auto"/>
              <w:right w:val="double" w:sz="4" w:space="0" w:color="auto"/>
            </w:tcBorders>
          </w:tcPr>
          <w:p w14:paraId="6B477926" w14:textId="62AD623D" w:rsidR="00E43EEF" w:rsidRPr="00F93C25" w:rsidRDefault="00F93C25" w:rsidP="00264161">
            <w:pPr>
              <w:tabs>
                <w:tab w:val="left" w:pos="307"/>
                <w:tab w:val="decimal" w:pos="881"/>
              </w:tabs>
              <w:spacing w:after="120"/>
              <w:ind w:right="624"/>
              <w:jc w:val="right"/>
              <w:rPr>
                <w:rFonts w:cs="Arial"/>
                <w:sz w:val="18"/>
                <w:lang w:val="es-ES"/>
              </w:rPr>
            </w:pPr>
            <w:r>
              <w:rPr>
                <w:rFonts w:cs="Arial"/>
                <w:sz w:val="18"/>
                <w:lang w:val="es-ES"/>
              </w:rPr>
              <w:t>(-</w:t>
            </w:r>
            <w:proofErr w:type="gramStart"/>
            <w:r>
              <w:rPr>
                <w:rFonts w:cs="Arial"/>
                <w:sz w:val="18"/>
                <w:lang w:val="es-ES"/>
              </w:rPr>
              <w:t>)  5</w:t>
            </w:r>
            <w:proofErr w:type="gramEnd"/>
            <w:r w:rsidR="004050E6" w:rsidRPr="00F93C25">
              <w:rPr>
                <w:rFonts w:cs="Arial"/>
                <w:sz w:val="18"/>
                <w:lang w:val="es-ES"/>
              </w:rPr>
              <w:t>.</w:t>
            </w:r>
            <w:r>
              <w:rPr>
                <w:rFonts w:cs="Arial"/>
                <w:sz w:val="18"/>
                <w:lang w:val="es-ES"/>
              </w:rPr>
              <w:t>1</w:t>
            </w:r>
          </w:p>
        </w:tc>
      </w:tr>
    </w:tbl>
    <w:p w14:paraId="7D43CEA5" w14:textId="77777777" w:rsidR="00EA02E6" w:rsidRDefault="00593BE6" w:rsidP="00642525">
      <w:pPr>
        <w:pStyle w:val="n01"/>
        <w:keepNext/>
        <w:spacing w:before="0"/>
        <w:ind w:firstLine="0"/>
        <w:contextualSpacing/>
        <w:outlineLvl w:val="0"/>
        <w:rPr>
          <w:rFonts w:ascii="Arial" w:hAnsi="Arial" w:cs="Arial"/>
          <w:color w:val="auto"/>
          <w:sz w:val="16"/>
          <w:szCs w:val="16"/>
        </w:rPr>
      </w:pPr>
      <w:r>
        <w:rPr>
          <w:rFonts w:ascii="Arial" w:hAnsi="Arial" w:cs="Arial"/>
          <w:color w:val="auto"/>
          <w:sz w:val="16"/>
          <w:szCs w:val="16"/>
        </w:rPr>
        <w:t xml:space="preserve">   </w:t>
      </w:r>
      <w:r w:rsidR="00C31BDC">
        <w:rPr>
          <w:rFonts w:ascii="Arial" w:hAnsi="Arial" w:cs="Arial"/>
          <w:color w:val="auto"/>
          <w:sz w:val="16"/>
          <w:szCs w:val="16"/>
        </w:rPr>
        <w:tab/>
      </w:r>
      <w:r w:rsidR="00EA02E6">
        <w:rPr>
          <w:rFonts w:ascii="Arial" w:hAnsi="Arial" w:cs="Arial"/>
          <w:color w:val="auto"/>
          <w:sz w:val="16"/>
          <w:szCs w:val="16"/>
        </w:rPr>
        <w:t xml:space="preserve">        p/ Cifras preliminares.</w:t>
      </w:r>
    </w:p>
    <w:p w14:paraId="2D5B7BB1" w14:textId="77777777" w:rsidR="00445596" w:rsidRDefault="00EA02E6" w:rsidP="00EA02E6">
      <w:pPr>
        <w:pStyle w:val="n01"/>
        <w:keepNext/>
        <w:spacing w:before="60"/>
        <w:ind w:firstLine="720"/>
        <w:contextualSpacing/>
        <w:outlineLvl w:val="0"/>
        <w:rPr>
          <w:rFonts w:ascii="Arial" w:hAnsi="Arial" w:cs="Arial"/>
          <w:b/>
          <w:smallCaps/>
          <w:color w:val="auto"/>
          <w:szCs w:val="24"/>
          <w:lang w:val="es-MX"/>
        </w:rPr>
      </w:pPr>
      <w:r>
        <w:rPr>
          <w:rFonts w:ascii="Arial" w:hAnsi="Arial" w:cs="Arial"/>
          <w:color w:val="auto"/>
          <w:sz w:val="16"/>
          <w:szCs w:val="16"/>
        </w:rPr>
        <w:t xml:space="preserve">        </w:t>
      </w:r>
      <w:r w:rsidR="00F04141" w:rsidRPr="00560786">
        <w:rPr>
          <w:rFonts w:ascii="Arial" w:hAnsi="Arial" w:cs="Arial"/>
          <w:color w:val="auto"/>
          <w:sz w:val="16"/>
          <w:szCs w:val="16"/>
        </w:rPr>
        <w:t>Fuente: INEGI</w:t>
      </w:r>
      <w:r w:rsidR="00F04141">
        <w:rPr>
          <w:sz w:val="16"/>
          <w:szCs w:val="16"/>
        </w:rPr>
        <w:t>.</w:t>
      </w:r>
    </w:p>
    <w:p w14:paraId="29A4F092" w14:textId="77777777" w:rsidR="00444DE7" w:rsidRDefault="00444DE7">
      <w:pPr>
        <w:widowControl/>
        <w:rPr>
          <w:b/>
          <w:i/>
        </w:rPr>
      </w:pPr>
      <w:r>
        <w:rPr>
          <w:b/>
          <w:i/>
        </w:rPr>
        <w:br w:type="page"/>
      </w:r>
    </w:p>
    <w:p w14:paraId="0346D494" w14:textId="3F5A264B" w:rsidR="009F1FF6" w:rsidRPr="009F1FF6" w:rsidRDefault="009F1FF6" w:rsidP="009F1FF6">
      <w:pPr>
        <w:pStyle w:val="p0"/>
        <w:rPr>
          <w:color w:val="auto"/>
        </w:rPr>
      </w:pPr>
    </w:p>
    <w:p w14:paraId="4F55E88A" w14:textId="77777777" w:rsidR="00DA152C" w:rsidRPr="00573E5B" w:rsidRDefault="004D4743" w:rsidP="00C34F80">
      <w:pPr>
        <w:pStyle w:val="p0"/>
        <w:spacing w:before="360"/>
        <w:rPr>
          <w:b/>
          <w:i/>
          <w:color w:val="auto"/>
        </w:rPr>
      </w:pPr>
      <w:r w:rsidRPr="00573E5B">
        <w:rPr>
          <w:b/>
          <w:i/>
          <w:color w:val="auto"/>
        </w:rPr>
        <w:t>N</w:t>
      </w:r>
      <w:r w:rsidR="00DA152C" w:rsidRPr="00573E5B">
        <w:rPr>
          <w:b/>
          <w:i/>
          <w:color w:val="auto"/>
        </w:rPr>
        <w:t>ota metodológica</w:t>
      </w:r>
    </w:p>
    <w:p w14:paraId="2DC6C782" w14:textId="77777777" w:rsidR="00BB05C3" w:rsidRPr="00BB05C3" w:rsidRDefault="00BB05C3" w:rsidP="00C34F80">
      <w:pPr>
        <w:pStyle w:val="Default"/>
        <w:spacing w:before="240"/>
        <w:jc w:val="both"/>
        <w:rPr>
          <w:rFonts w:eastAsia="Times New Roman" w:cs="Times New Roman"/>
          <w:snapToGrid w:val="0"/>
          <w:color w:val="auto"/>
          <w:szCs w:val="20"/>
          <w:lang w:val="es-ES_tradnl"/>
        </w:rPr>
      </w:pPr>
      <w:r w:rsidRPr="00CF29C1">
        <w:rPr>
          <w:rFonts w:eastAsia="Times New Roman" w:cs="Times New Roman"/>
          <w:snapToGrid w:val="0"/>
          <w:color w:val="auto"/>
          <w:szCs w:val="20"/>
          <w:lang w:val="es-ES_tradnl"/>
        </w:rPr>
        <w:t>Para la estimación del ITAT se aprovecha, fundamentalmente, la información anual de la Cuenta Satélite del Turismo de México (CSTM), desagregándose a partir del uso de índices relativos simples que captan la estructura de los datos trimestrales seleccionados del Sistema de Cuentas Nacionales de México (SCNM), particularmente de la Oferta y Demanda Global de Bienes y Servicios.</w:t>
      </w:r>
    </w:p>
    <w:p w14:paraId="3DE09ABF" w14:textId="77777777" w:rsidR="00607F08" w:rsidRPr="006200AD" w:rsidRDefault="00607F08" w:rsidP="00C34F80">
      <w:pPr>
        <w:pStyle w:val="p0"/>
        <w:keepLines w:val="0"/>
        <w:autoSpaceDE w:val="0"/>
        <w:autoSpaceDN w:val="0"/>
        <w:adjustRightInd w:val="0"/>
        <w:rPr>
          <w:color w:val="auto"/>
        </w:rPr>
      </w:pPr>
      <w:r>
        <w:rPr>
          <w:color w:val="auto"/>
        </w:rPr>
        <w:t xml:space="preserve">El presente </w:t>
      </w:r>
      <w:r w:rsidR="002E0BA8">
        <w:rPr>
          <w:color w:val="auto"/>
        </w:rPr>
        <w:t>documento</w:t>
      </w:r>
      <w:r>
        <w:rPr>
          <w:color w:val="auto"/>
        </w:rPr>
        <w:t xml:space="preserve"> destaca las variaciones porcentuales de las series desestacionalizadas o ajustadas estacionalmente, </w:t>
      </w:r>
      <w:r w:rsidRPr="002166AB">
        <w:rPr>
          <w:color w:val="auto"/>
        </w:rPr>
        <w:t>tanto respecto al trimestre anterior como respecto al mismo trimestre del año anterior</w:t>
      </w:r>
      <w:r>
        <w:rPr>
          <w:color w:val="auto"/>
        </w:rPr>
        <w:t xml:space="preserve">, ya que </w:t>
      </w:r>
      <w:r w:rsidRPr="006200AD">
        <w:rPr>
          <w:color w:val="auto"/>
        </w:rPr>
        <w:t xml:space="preserve">la gran mayoría de las series económicas se ven afectadas por factores estacionales. Éstos son efectos periódicos que se repiten cada año y cuyas causas pueden considerarse ajenas a la naturaleza económica de las series, como son las festividades, </w:t>
      </w:r>
      <w:r w:rsidRPr="000434B9">
        <w:rPr>
          <w:rFonts w:cs="Arial"/>
          <w:color w:val="auto"/>
          <w:szCs w:val="24"/>
        </w:rPr>
        <w:t>el hecho de que algunos meses tienen más días que otros,</w:t>
      </w:r>
      <w:r w:rsidRPr="006200AD">
        <w:rPr>
          <w:color w:val="auto"/>
        </w:rPr>
        <w:t xml:space="preserve"> los periodos de vacaciones escolares, el efecto del clima en las diferentes estaciones del año, y otras fluctuaciones estacionales como, por ejemplo, la elevada producción de juguetes en los meses previos a la Navidad provocada por la expectativa de mayores ventas en diciembre.</w:t>
      </w:r>
    </w:p>
    <w:p w14:paraId="6C9D6707" w14:textId="77777777" w:rsidR="00607F08" w:rsidRPr="006200AD" w:rsidRDefault="00607F08" w:rsidP="00C34F80">
      <w:pPr>
        <w:pStyle w:val="p0"/>
        <w:rPr>
          <w:color w:val="auto"/>
        </w:rPr>
      </w:pPr>
      <w:r w:rsidRPr="006200AD">
        <w:rPr>
          <w:color w:val="auto"/>
        </w:rPr>
        <w:t xml:space="preserve">En este sentido, la desestacionalización o ajuste estacional de series económicas consiste en remover estas influencias </w:t>
      </w:r>
      <w:proofErr w:type="spellStart"/>
      <w:r w:rsidRPr="006200AD">
        <w:rPr>
          <w:color w:val="auto"/>
        </w:rPr>
        <w:t>intra-anuales</w:t>
      </w:r>
      <w:proofErr w:type="spellEnd"/>
      <w:r w:rsidRPr="006200AD">
        <w:rPr>
          <w:color w:val="auto"/>
        </w:rPr>
        <w:t xml:space="preserve"> periódicas, debido a que su presencia dificulta diagnosticar o describir el comportamiento de una serie al no poder comparar adecuadamente un determinado trimestre con el inmediato anterior.  Analizar la serie </w:t>
      </w:r>
      <w:r>
        <w:rPr>
          <w:color w:val="auto"/>
        </w:rPr>
        <w:t>ajustada</w:t>
      </w:r>
      <w:r w:rsidRPr="006200AD">
        <w:rPr>
          <w:color w:val="auto"/>
        </w:rPr>
        <w:t xml:space="preserve"> ayuda a realizar un mejor diagnóstico y pronóstico de la evolución de </w:t>
      </w:r>
      <w:proofErr w:type="gramStart"/>
      <w:r w:rsidRPr="006200AD">
        <w:rPr>
          <w:color w:val="auto"/>
        </w:rPr>
        <w:t>la misma</w:t>
      </w:r>
      <w:proofErr w:type="gramEnd"/>
      <w:r w:rsidRPr="006200AD">
        <w:rPr>
          <w:color w:val="auto"/>
        </w:rPr>
        <w:t xml:space="preserve">, ya que facilita la identificación de la posible dirección de los movimientos que pudiera tener la variable en cuestión, en el corto plazo. Las cifras desestacionalizadas también incluyen el ajuste por los efectos </w:t>
      </w:r>
      <w:r>
        <w:rPr>
          <w:color w:val="auto"/>
        </w:rPr>
        <w:t xml:space="preserve">de </w:t>
      </w:r>
      <w:r w:rsidRPr="006200AD">
        <w:rPr>
          <w:color w:val="auto"/>
        </w:rPr>
        <w:t>calendario (frecuencia de los días de la semana</w:t>
      </w:r>
      <w:r>
        <w:rPr>
          <w:color w:val="auto"/>
        </w:rPr>
        <w:t xml:space="preserve"> y, en su caso, la Semana S</w:t>
      </w:r>
      <w:r w:rsidRPr="006200AD">
        <w:rPr>
          <w:color w:val="auto"/>
        </w:rPr>
        <w:t>anta</w:t>
      </w:r>
      <w:r>
        <w:rPr>
          <w:color w:val="auto"/>
        </w:rPr>
        <w:t xml:space="preserve"> y año bisiesto</w:t>
      </w:r>
      <w:r w:rsidRPr="006200AD">
        <w:rPr>
          <w:color w:val="auto"/>
        </w:rPr>
        <w:t>). Cabe señalar que la serie desestacionalizada de</w:t>
      </w:r>
      <w:r w:rsidR="00C34F80">
        <w:rPr>
          <w:color w:val="auto"/>
        </w:rPr>
        <w:t xml:space="preserve"> </w:t>
      </w:r>
      <w:r w:rsidRPr="006200AD">
        <w:rPr>
          <w:color w:val="auto"/>
        </w:rPr>
        <w:t>l</w:t>
      </w:r>
      <w:r w:rsidR="00C34F80">
        <w:rPr>
          <w:color w:val="auto"/>
        </w:rPr>
        <w:t>os</w:t>
      </w:r>
      <w:r w:rsidRPr="006200AD">
        <w:rPr>
          <w:color w:val="auto"/>
        </w:rPr>
        <w:t xml:space="preserve"> </w:t>
      </w:r>
      <w:r w:rsidR="00C34F80">
        <w:rPr>
          <w:snapToGrid/>
          <w:color w:val="auto"/>
          <w:szCs w:val="22"/>
        </w:rPr>
        <w:t>i</w:t>
      </w:r>
      <w:r w:rsidRPr="00E92EC9">
        <w:rPr>
          <w:snapToGrid/>
          <w:color w:val="auto"/>
          <w:szCs w:val="22"/>
        </w:rPr>
        <w:t>ndicador</w:t>
      </w:r>
      <w:r w:rsidR="00C34F80">
        <w:rPr>
          <w:snapToGrid/>
          <w:color w:val="auto"/>
          <w:szCs w:val="22"/>
        </w:rPr>
        <w:t>es</w:t>
      </w:r>
      <w:r w:rsidRPr="00E92EC9">
        <w:rPr>
          <w:snapToGrid/>
          <w:color w:val="auto"/>
          <w:szCs w:val="22"/>
        </w:rPr>
        <w:t xml:space="preserve"> </w:t>
      </w:r>
      <w:r w:rsidR="00C34F80">
        <w:rPr>
          <w:snapToGrid/>
          <w:color w:val="auto"/>
          <w:szCs w:val="22"/>
        </w:rPr>
        <w:t>t</w:t>
      </w:r>
      <w:r w:rsidRPr="00E92EC9">
        <w:rPr>
          <w:snapToGrid/>
          <w:color w:val="auto"/>
          <w:szCs w:val="22"/>
        </w:rPr>
        <w:t>rimestral de</w:t>
      </w:r>
      <w:r w:rsidR="00C34F80">
        <w:rPr>
          <w:snapToGrid/>
          <w:color w:val="auto"/>
          <w:szCs w:val="22"/>
        </w:rPr>
        <w:t xml:space="preserve"> </w:t>
      </w:r>
      <w:r w:rsidRPr="00E92EC9">
        <w:rPr>
          <w:snapToGrid/>
          <w:color w:val="auto"/>
          <w:szCs w:val="22"/>
        </w:rPr>
        <w:t>l</w:t>
      </w:r>
      <w:r w:rsidR="00C34F80">
        <w:rPr>
          <w:snapToGrid/>
          <w:color w:val="auto"/>
          <w:szCs w:val="22"/>
        </w:rPr>
        <w:t>a</w:t>
      </w:r>
      <w:r w:rsidRPr="00E92EC9">
        <w:rPr>
          <w:snapToGrid/>
          <w:color w:val="auto"/>
          <w:szCs w:val="22"/>
        </w:rPr>
        <w:t xml:space="preserve"> </w:t>
      </w:r>
      <w:r w:rsidR="00C34F80">
        <w:rPr>
          <w:snapToGrid/>
          <w:color w:val="auto"/>
          <w:szCs w:val="22"/>
        </w:rPr>
        <w:t>actividad turística</w:t>
      </w:r>
      <w:r w:rsidRPr="006200AD">
        <w:rPr>
          <w:color w:val="auto"/>
        </w:rPr>
        <w:t xml:space="preserve"> se calcula de manera independiente a la de sus componentes.</w:t>
      </w:r>
    </w:p>
    <w:p w14:paraId="5127D832" w14:textId="77777777" w:rsidR="0095595D" w:rsidRPr="0095595D" w:rsidRDefault="0095595D" w:rsidP="0095595D">
      <w:pPr>
        <w:pStyle w:val="Default"/>
        <w:spacing w:before="240"/>
        <w:jc w:val="both"/>
        <w:rPr>
          <w:color w:val="auto"/>
        </w:rPr>
      </w:pPr>
      <w:r w:rsidRPr="0095595D">
        <w:rPr>
          <w:color w:val="auto"/>
        </w:rPr>
        <w:t>Las series originales se ajustan estacionalmente mediante el paquete estadístico X</w:t>
      </w:r>
      <w:r w:rsidRPr="0095595D">
        <w:rPr>
          <w:color w:val="auto"/>
        </w:rPr>
        <w:noBreakHyphen/>
        <w:t>13ARIMA-SEATS. Para conocer la metodología se sugiere consultar la siguiente liga:</w:t>
      </w:r>
    </w:p>
    <w:p w14:paraId="009DC60B" w14:textId="6417B9C4" w:rsidR="0095595D" w:rsidRDefault="00F67051" w:rsidP="0095595D">
      <w:pPr>
        <w:pStyle w:val="parrafo1"/>
        <w:widowControl w:val="0"/>
        <w:spacing w:before="240"/>
        <w:ind w:left="0" w:right="584"/>
        <w:rPr>
          <w:rStyle w:val="Hipervnculo"/>
          <w:lang w:eastAsia="en-US"/>
        </w:rPr>
      </w:pPr>
      <w:hyperlink r:id="rId27" w:history="1">
        <w:r w:rsidR="007C73AE" w:rsidRPr="00C31D8B">
          <w:rPr>
            <w:rStyle w:val="Hipervnculo"/>
            <w:lang w:eastAsia="en-US"/>
          </w:rPr>
          <w:t>https://www.inegi.org.mx/app/biblioteca/ficha.html?upc=702825099060</w:t>
        </w:r>
      </w:hyperlink>
      <w:r w:rsidR="007C73AE">
        <w:rPr>
          <w:lang w:eastAsia="en-US"/>
        </w:rPr>
        <w:t xml:space="preserve"> </w:t>
      </w:r>
    </w:p>
    <w:p w14:paraId="3FC3393C" w14:textId="77777777" w:rsidR="00607F08" w:rsidRDefault="00607F08" w:rsidP="00607F08">
      <w:pPr>
        <w:pStyle w:val="Default"/>
        <w:spacing w:before="240"/>
        <w:jc w:val="both"/>
        <w:rPr>
          <w:color w:val="auto"/>
        </w:rPr>
      </w:pPr>
      <w:r w:rsidRPr="007D012D">
        <w:rPr>
          <w:color w:val="auto"/>
        </w:rPr>
        <w:t xml:space="preserve">Asimismo, las especificaciones de los modelos utilizados para realizar el ajuste estacional están disponibles en el Banco de Información Económica, seleccionando el icono de información </w:t>
      </w:r>
      <w:r>
        <w:rPr>
          <w:noProof/>
          <w:sz w:val="18"/>
          <w:szCs w:val="18"/>
          <w:lang w:val="es-MX" w:eastAsia="es-MX"/>
        </w:rPr>
        <w:drawing>
          <wp:inline distT="0" distB="0" distL="0" distR="0" wp14:anchorId="5380AC3F" wp14:editId="0A5CC169">
            <wp:extent cx="152400" cy="152400"/>
            <wp:effectExtent l="0" t="0" r="0" b="0"/>
            <wp:docPr id="8" name="Imagen 8" descr="http://www.inegi.org.mx/sistemas/bie/img/MetadatoC.GIF">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BtnMetaDID2951" descr="http://www.inegi.org.mx/sistemas/bie/img/MetadatoC.GIF">
                      <a:hlinkClick r:id="rId28"/>
                    </pic:cNvPr>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B724F3">
        <w:rPr>
          <w:color w:val="auto"/>
        </w:rPr>
        <w:t xml:space="preserve"> </w:t>
      </w:r>
      <w:r w:rsidRPr="007D012D">
        <w:rPr>
          <w:color w:val="auto"/>
        </w:rPr>
        <w:t xml:space="preserve">correspondiente a las “series desestacionalizadas y </w:t>
      </w:r>
      <w:r>
        <w:rPr>
          <w:color w:val="auto"/>
        </w:rPr>
        <w:t xml:space="preserve">de </w:t>
      </w:r>
      <w:r w:rsidRPr="007D012D">
        <w:rPr>
          <w:color w:val="auto"/>
        </w:rPr>
        <w:t>tendencia-ciclo” de</w:t>
      </w:r>
      <w:r w:rsidR="005637F0">
        <w:rPr>
          <w:color w:val="auto"/>
        </w:rPr>
        <w:t xml:space="preserve"> </w:t>
      </w:r>
      <w:r w:rsidRPr="007D012D">
        <w:rPr>
          <w:color w:val="auto"/>
        </w:rPr>
        <w:t>l</w:t>
      </w:r>
      <w:r w:rsidR="005637F0">
        <w:rPr>
          <w:color w:val="auto"/>
        </w:rPr>
        <w:t xml:space="preserve">a </w:t>
      </w:r>
      <w:r w:rsidR="005637F0">
        <w:rPr>
          <w:color w:val="auto"/>
          <w:szCs w:val="22"/>
        </w:rPr>
        <w:t>Actividad Turística</w:t>
      </w:r>
      <w:r w:rsidRPr="007D012D">
        <w:rPr>
          <w:color w:val="auto"/>
        </w:rPr>
        <w:t>.</w:t>
      </w:r>
    </w:p>
    <w:p w14:paraId="7FC77AEE" w14:textId="77777777" w:rsidR="00C05399" w:rsidRDefault="00C05399" w:rsidP="00BB05C3">
      <w:pPr>
        <w:pStyle w:val="Default"/>
        <w:spacing w:before="240"/>
        <w:jc w:val="both"/>
        <w:rPr>
          <w:color w:val="auto"/>
        </w:rPr>
      </w:pPr>
    </w:p>
    <w:p w14:paraId="3F1AB858" w14:textId="77777777" w:rsidR="006311CE" w:rsidRDefault="006311CE" w:rsidP="00BB05C3">
      <w:pPr>
        <w:pStyle w:val="Default"/>
        <w:spacing w:before="240"/>
        <w:jc w:val="both"/>
        <w:rPr>
          <w:color w:val="auto"/>
        </w:rPr>
      </w:pPr>
    </w:p>
    <w:p w14:paraId="3F779734" w14:textId="5FB85ED3" w:rsidR="00BB05C3" w:rsidRPr="00CF29C1" w:rsidRDefault="00BB05C3" w:rsidP="00BB05C3">
      <w:pPr>
        <w:pStyle w:val="Default"/>
        <w:spacing w:before="240"/>
        <w:jc w:val="both"/>
        <w:rPr>
          <w:lang w:val="es-MX"/>
        </w:rPr>
      </w:pPr>
      <w:r w:rsidRPr="00CF29C1">
        <w:rPr>
          <w:color w:val="auto"/>
        </w:rPr>
        <w:t>La CSTM proporciona datos para la serie de estas variables a precios básicos. Una vez logrado el proceso para la elaboración de la cuenta de producción, se determina el PIB turístico trimestral; y se transforman los valores en índices.</w:t>
      </w:r>
      <w:r w:rsidRPr="00CF29C1">
        <w:t xml:space="preserve"> El ejercicio para determinar la variación trimestral anualizada de dichos índices es el que permite la derivación del ITAT</w:t>
      </w:r>
      <w:r w:rsidRPr="00CF29C1">
        <w:rPr>
          <w:rStyle w:val="Refdecomentario"/>
        </w:rPr>
        <w:t>.</w:t>
      </w:r>
    </w:p>
    <w:p w14:paraId="69F0741D" w14:textId="77777777" w:rsidR="00BB05C3" w:rsidRPr="00CF29C1" w:rsidRDefault="00BB05C3" w:rsidP="00BB05C3">
      <w:pPr>
        <w:pStyle w:val="Default"/>
        <w:spacing w:before="240"/>
        <w:jc w:val="both"/>
        <w:rPr>
          <w:color w:val="auto"/>
          <w:lang w:val="es-MX"/>
        </w:rPr>
      </w:pPr>
      <w:r w:rsidRPr="00CF29C1">
        <w:rPr>
          <w:color w:val="auto"/>
        </w:rPr>
        <w:t>Los resultados trimestrales del PIB turístico se comparan con la información anual de la CSTM, para posteriormente ajustar los datos de alta frecuencia (trimestrales) a los de baja frecuencia (valor anual) utilizando la técnica Denton</w:t>
      </w:r>
      <w:r w:rsidR="00CF29C1" w:rsidRPr="00CF29C1">
        <w:rPr>
          <w:color w:val="auto"/>
          <w:vertAlign w:val="superscript"/>
        </w:rPr>
        <w:footnoteReference w:id="5"/>
      </w:r>
      <w:r w:rsidRPr="00CF29C1">
        <w:rPr>
          <w:color w:val="auto"/>
        </w:rPr>
        <w:t>.</w:t>
      </w:r>
    </w:p>
    <w:p w14:paraId="48A36EA7" w14:textId="77777777" w:rsidR="00BB05C3" w:rsidRPr="00CF29C1" w:rsidRDefault="00BB05C3" w:rsidP="00BB05C3">
      <w:pPr>
        <w:pStyle w:val="Default"/>
        <w:spacing w:before="240"/>
        <w:jc w:val="both"/>
        <w:rPr>
          <w:color w:val="auto"/>
          <w:lang w:val="es-MX"/>
        </w:rPr>
      </w:pPr>
      <w:r w:rsidRPr="00CF29C1">
        <w:rPr>
          <w:color w:val="auto"/>
        </w:rPr>
        <w:t>Los datos se presentan en cuadros de Índices del Consumo Turístico Interior (CTI), cuyo concepto se define como los gastos que realizan los turistas en sus viajes en el territorio del país; mostrando la apertura del Consumo Turístico Interno (</w:t>
      </w:r>
      <w:proofErr w:type="spellStart"/>
      <w:r w:rsidRPr="00CF29C1">
        <w:rPr>
          <w:color w:val="auto"/>
        </w:rPr>
        <w:t>CTIn</w:t>
      </w:r>
      <w:proofErr w:type="spellEnd"/>
      <w:r w:rsidRPr="00CF29C1">
        <w:rPr>
          <w:color w:val="auto"/>
        </w:rPr>
        <w:t>) y el Consumo Turístico Receptivo (CTR).</w:t>
      </w:r>
    </w:p>
    <w:p w14:paraId="40D8C8A5" w14:textId="77777777" w:rsidR="00BB05C3" w:rsidRPr="00CF29C1" w:rsidRDefault="00BB05C3" w:rsidP="00BB05C3">
      <w:pPr>
        <w:pStyle w:val="Default"/>
        <w:spacing w:before="240"/>
        <w:jc w:val="both"/>
        <w:rPr>
          <w:color w:val="auto"/>
          <w:u w:val="single"/>
          <w:lang w:val="es-MX"/>
        </w:rPr>
      </w:pPr>
      <w:r w:rsidRPr="00CF29C1">
        <w:rPr>
          <w:color w:val="auto"/>
        </w:rPr>
        <w:t xml:space="preserve">Los datos que se </w:t>
      </w:r>
      <w:r w:rsidR="001075CC">
        <w:rPr>
          <w:color w:val="auto"/>
        </w:rPr>
        <w:t>reportan e</w:t>
      </w:r>
      <w:r w:rsidRPr="00CF29C1">
        <w:rPr>
          <w:color w:val="auto"/>
        </w:rPr>
        <w:t>n este documento amplían la información que actualmente difunde el INEGI, la cual continuará generándose como parte de los resultados del SCNM, y se da a conocer en la fecha establecida en el Calendario de difusión de información estadística y geográfica y de Interés Nacional.</w:t>
      </w:r>
    </w:p>
    <w:p w14:paraId="579642D3" w14:textId="77777777" w:rsidR="00AB3894" w:rsidRPr="00A75667" w:rsidRDefault="00BB05C3" w:rsidP="00A75667">
      <w:pPr>
        <w:pStyle w:val="Default"/>
        <w:spacing w:before="240"/>
        <w:jc w:val="both"/>
        <w:rPr>
          <w:color w:val="auto"/>
        </w:rPr>
      </w:pPr>
      <w:r w:rsidRPr="00A75667">
        <w:rPr>
          <w:color w:val="auto"/>
        </w:rPr>
        <w:t xml:space="preserve">Las cifras aquí presentadas podrán ser consultadas en la página web del INEGI en: </w:t>
      </w:r>
    </w:p>
    <w:p w14:paraId="3A8E6D2C" w14:textId="28096B22" w:rsidR="00BB05C3" w:rsidRPr="00A75667" w:rsidRDefault="00F67051" w:rsidP="00A75667">
      <w:pPr>
        <w:pStyle w:val="parrafo1"/>
        <w:widowControl w:val="0"/>
        <w:spacing w:before="240"/>
        <w:ind w:left="0" w:right="584"/>
        <w:rPr>
          <w:u w:val="single"/>
          <w:lang w:val="es-ES"/>
        </w:rPr>
      </w:pPr>
      <w:hyperlink r:id="rId30" w:history="1">
        <w:r w:rsidR="00426D47" w:rsidRPr="00C31D8B">
          <w:rPr>
            <w:rStyle w:val="Hipervnculo"/>
            <w:lang w:eastAsia="en-US"/>
          </w:rPr>
          <w:t>https://www.inegi.org.mx/sistemas/bie/default.aspx</w:t>
        </w:r>
      </w:hyperlink>
    </w:p>
    <w:p w14:paraId="04FF06A2" w14:textId="77777777" w:rsidR="00BB05C3" w:rsidRPr="00BB05C3" w:rsidRDefault="00BB05C3" w:rsidP="00BB05C3">
      <w:pPr>
        <w:spacing w:after="120"/>
        <w:rPr>
          <w:sz w:val="18"/>
          <w:szCs w:val="18"/>
          <w:highlight w:val="yellow"/>
        </w:rPr>
      </w:pPr>
    </w:p>
    <w:p w14:paraId="46AE1991" w14:textId="77777777" w:rsidR="008C32D6" w:rsidRPr="00E12064" w:rsidRDefault="008C32D6" w:rsidP="0085250F">
      <w:pPr>
        <w:widowControl/>
        <w:autoSpaceDE w:val="0"/>
        <w:autoSpaceDN w:val="0"/>
        <w:adjustRightInd w:val="0"/>
        <w:jc w:val="both"/>
      </w:pPr>
    </w:p>
    <w:sectPr w:rsidR="008C32D6" w:rsidRPr="00E12064" w:rsidSect="009A746C">
      <w:headerReference w:type="default" r:id="rId31"/>
      <w:footerReference w:type="default" r:id="rId32"/>
      <w:endnotePr>
        <w:numFmt w:val="decimal"/>
      </w:endnotePr>
      <w:pgSz w:w="12242" w:h="15842" w:code="1"/>
      <w:pgMar w:top="1021" w:right="1701" w:bottom="1134" w:left="1701" w:header="425"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D38283" w14:textId="77777777" w:rsidR="00890C5B" w:rsidRDefault="00890C5B">
      <w:r>
        <w:separator/>
      </w:r>
    </w:p>
  </w:endnote>
  <w:endnote w:type="continuationSeparator" w:id="0">
    <w:p w14:paraId="639510E3" w14:textId="77777777" w:rsidR="00890C5B" w:rsidRDefault="00890C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Univers (W1)">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AE43A2" w14:textId="77777777" w:rsidR="006A0E4E" w:rsidRDefault="006A0E4E" w:rsidP="004C150C">
    <w:pPr>
      <w:pStyle w:val="Piedepgina"/>
      <w:contextualSpacing/>
      <w:jc w:val="center"/>
      <w:rPr>
        <w:rFonts w:cs="Arial"/>
        <w:b/>
        <w:color w:val="002060"/>
        <w:sz w:val="18"/>
        <w:szCs w:val="18"/>
      </w:rPr>
    </w:pPr>
  </w:p>
  <w:p w14:paraId="45658973" w14:textId="77777777" w:rsidR="006A0E4E" w:rsidRDefault="006A0E4E" w:rsidP="004C150C">
    <w:pPr>
      <w:pStyle w:val="Piedepgina"/>
      <w:contextualSpacing/>
      <w:jc w:val="center"/>
      <w:rPr>
        <w:rFonts w:cs="Arial"/>
        <w:b/>
        <w:color w:val="002060"/>
        <w:sz w:val="18"/>
        <w:szCs w:val="18"/>
      </w:rPr>
    </w:pPr>
  </w:p>
  <w:p w14:paraId="6356D452" w14:textId="77777777" w:rsidR="006A0E4E" w:rsidRPr="00BB4018" w:rsidRDefault="006A0E4E" w:rsidP="004C150C">
    <w:pPr>
      <w:pStyle w:val="Piedepgina"/>
      <w:contextualSpacing/>
      <w:jc w:val="center"/>
      <w:rPr>
        <w:rFonts w:cs="Arial"/>
        <w:color w:val="002060"/>
        <w:sz w:val="18"/>
        <w:szCs w:val="18"/>
      </w:rPr>
    </w:pPr>
    <w:r w:rsidRPr="00BB4018">
      <w:rPr>
        <w:rFonts w:cs="Arial"/>
        <w:b/>
        <w:color w:val="002060"/>
        <w:sz w:val="18"/>
        <w:szCs w:val="18"/>
      </w:rPr>
      <w:t>COMUNICACIÓN SOCIAL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6CA251" w14:textId="77777777" w:rsidR="00E07136" w:rsidRPr="00B06AE9" w:rsidRDefault="00E07136" w:rsidP="00B06AE9">
    <w:pPr>
      <w:pStyle w:val="Piedepgina"/>
      <w:jc w:val="center"/>
    </w:pPr>
    <w:r>
      <w:rPr>
        <w:b/>
        <w:lang w:val="es-MX"/>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FD8673" w14:textId="77777777" w:rsidR="00890C5B" w:rsidRDefault="00890C5B">
      <w:r>
        <w:separator/>
      </w:r>
    </w:p>
  </w:footnote>
  <w:footnote w:type="continuationSeparator" w:id="0">
    <w:p w14:paraId="2DAB2767" w14:textId="77777777" w:rsidR="00890C5B" w:rsidRDefault="00890C5B">
      <w:r>
        <w:continuationSeparator/>
      </w:r>
    </w:p>
  </w:footnote>
  <w:footnote w:id="1">
    <w:p w14:paraId="35DD79BA" w14:textId="77777777" w:rsidR="006A0E4E" w:rsidRPr="00C07AE5" w:rsidRDefault="006A0E4E" w:rsidP="006A0E4E">
      <w:pPr>
        <w:pStyle w:val="Textonotapie"/>
        <w:ind w:left="142" w:right="-405" w:hanging="142"/>
        <w:jc w:val="both"/>
        <w:rPr>
          <w:rFonts w:ascii="Arial" w:hAnsi="Arial" w:cs="Arial"/>
          <w:sz w:val="16"/>
          <w:szCs w:val="16"/>
        </w:rPr>
      </w:pPr>
      <w:r w:rsidRPr="006E799E">
        <w:rPr>
          <w:rStyle w:val="Refdenotaalpie"/>
          <w:rFonts w:ascii="Arial" w:hAnsi="Arial"/>
          <w:b w:val="0"/>
        </w:rPr>
        <w:footnoteRef/>
      </w:r>
      <w:r w:rsidRPr="006E799E">
        <w:rPr>
          <w:rStyle w:val="Refdenotaalpie"/>
          <w:b w:val="0"/>
          <w:sz w:val="18"/>
        </w:rPr>
        <w:t xml:space="preserve"> </w:t>
      </w:r>
      <w:r>
        <w:rPr>
          <w:sz w:val="18"/>
        </w:rPr>
        <w:tab/>
      </w:r>
      <w:r>
        <w:rPr>
          <w:rFonts w:ascii="Arial" w:hAnsi="Arial" w:cs="Arial"/>
          <w:sz w:val="16"/>
          <w:szCs w:val="16"/>
        </w:rPr>
        <w:t xml:space="preserve">Año base 2013. </w:t>
      </w:r>
    </w:p>
  </w:footnote>
  <w:footnote w:id="2">
    <w:p w14:paraId="0C93AECA" w14:textId="77777777" w:rsidR="006A0E4E" w:rsidRPr="00C07AE5" w:rsidRDefault="006A0E4E" w:rsidP="006A0E4E">
      <w:pPr>
        <w:pStyle w:val="Textonotapie"/>
        <w:ind w:left="142" w:right="-405" w:hanging="142"/>
        <w:jc w:val="both"/>
        <w:rPr>
          <w:rFonts w:ascii="Arial" w:hAnsi="Arial" w:cs="Arial"/>
          <w:sz w:val="16"/>
          <w:szCs w:val="16"/>
        </w:rPr>
      </w:pPr>
      <w:r w:rsidRPr="006E799E">
        <w:rPr>
          <w:rStyle w:val="Refdenotaalpie"/>
          <w:rFonts w:ascii="Arial" w:hAnsi="Arial"/>
          <w:b w:val="0"/>
        </w:rPr>
        <w:footnoteRef/>
      </w:r>
      <w:r w:rsidRPr="006E799E">
        <w:rPr>
          <w:rStyle w:val="Refdenotaalpie"/>
          <w:b w:val="0"/>
          <w:sz w:val="18"/>
        </w:rPr>
        <w:t xml:space="preserve"> </w:t>
      </w:r>
      <w:r>
        <w:rPr>
          <w:sz w:val="18"/>
        </w:rPr>
        <w:tab/>
      </w:r>
      <w:r>
        <w:rPr>
          <w:rFonts w:ascii="Arial" w:hAnsi="Arial" w:cs="Arial"/>
          <w:sz w:val="16"/>
          <w:szCs w:val="16"/>
        </w:rPr>
        <w:t>L</w:t>
      </w:r>
      <w:r w:rsidRPr="002B7F1F">
        <w:rPr>
          <w:rFonts w:ascii="Arial" w:hAnsi="Arial" w:cs="Arial"/>
          <w:sz w:val="16"/>
          <w:szCs w:val="16"/>
        </w:rPr>
        <w:t>a gran mayoría de las series económicas se ven afectadas por factores estacionales</w:t>
      </w:r>
      <w:r>
        <w:rPr>
          <w:rFonts w:ascii="Arial" w:hAnsi="Arial" w:cs="Arial"/>
          <w:sz w:val="16"/>
          <w:szCs w:val="16"/>
        </w:rPr>
        <w:t xml:space="preserve"> y de calendario. El ajuste de las cifras por dichos factores permite obtener las cifras desestacionalizadas, cuyo análisis </w:t>
      </w:r>
      <w:r w:rsidRPr="00C07AE5">
        <w:rPr>
          <w:rFonts w:ascii="Arial" w:hAnsi="Arial" w:cs="Arial"/>
          <w:sz w:val="16"/>
          <w:szCs w:val="16"/>
        </w:rPr>
        <w:t>ayuda a realizar un mejor diagnóstico de la evolución de la</w:t>
      </w:r>
      <w:r>
        <w:rPr>
          <w:rFonts w:ascii="Arial" w:hAnsi="Arial" w:cs="Arial"/>
          <w:sz w:val="16"/>
          <w:szCs w:val="16"/>
        </w:rPr>
        <w:t>s</w:t>
      </w:r>
      <w:r w:rsidRPr="00C07AE5">
        <w:rPr>
          <w:rFonts w:ascii="Arial" w:hAnsi="Arial" w:cs="Arial"/>
          <w:sz w:val="16"/>
          <w:szCs w:val="16"/>
        </w:rPr>
        <w:t xml:space="preserve"> </w:t>
      </w:r>
      <w:r>
        <w:rPr>
          <w:rFonts w:ascii="Arial" w:hAnsi="Arial" w:cs="Arial"/>
          <w:sz w:val="16"/>
          <w:szCs w:val="16"/>
        </w:rPr>
        <w:t xml:space="preserve">variables. </w:t>
      </w:r>
    </w:p>
  </w:footnote>
  <w:footnote w:id="3">
    <w:p w14:paraId="18A5232C" w14:textId="77777777" w:rsidR="006A0E4E" w:rsidRPr="003843CA" w:rsidRDefault="006A0E4E" w:rsidP="006A0E4E">
      <w:pPr>
        <w:pStyle w:val="Textonotapie"/>
        <w:ind w:left="142" w:hanging="142"/>
        <w:jc w:val="both"/>
        <w:rPr>
          <w:rStyle w:val="Refdenotaalpie"/>
          <w:rFonts w:ascii="Arial" w:hAnsi="Arial"/>
          <w:b w:val="0"/>
          <w:sz w:val="16"/>
          <w:szCs w:val="16"/>
          <w:vertAlign w:val="baseline"/>
        </w:rPr>
      </w:pPr>
      <w:r w:rsidRPr="006E799E">
        <w:rPr>
          <w:rStyle w:val="Refdenotaalpie"/>
          <w:rFonts w:ascii="Arial" w:hAnsi="Arial"/>
          <w:b w:val="0"/>
        </w:rPr>
        <w:footnoteRef/>
      </w:r>
      <w:r>
        <w:rPr>
          <w:rFonts w:ascii="Arial" w:hAnsi="Arial" w:cs="Arial"/>
        </w:rPr>
        <w:tab/>
      </w:r>
      <w:r>
        <w:rPr>
          <w:rStyle w:val="Refdenotaalpie"/>
          <w:rFonts w:ascii="Arial" w:hAnsi="Arial"/>
          <w:b w:val="0"/>
          <w:smallCaps w:val="0"/>
          <w:sz w:val="16"/>
          <w:szCs w:val="16"/>
          <w:vertAlign w:val="baseline"/>
        </w:rPr>
        <w:t>V</w:t>
      </w:r>
      <w:r w:rsidRPr="0001181C">
        <w:rPr>
          <w:rStyle w:val="Refdenotaalpie"/>
          <w:rFonts w:ascii="Arial" w:hAnsi="Arial"/>
          <w:b w:val="0"/>
          <w:smallCaps w:val="0"/>
          <w:sz w:val="16"/>
          <w:szCs w:val="16"/>
          <w:vertAlign w:val="baseline"/>
        </w:rPr>
        <w:t>ariación anual de las cifras desestacionalizadas</w:t>
      </w:r>
      <w:r w:rsidRPr="00F15845">
        <w:rPr>
          <w:rStyle w:val="Refdenotaalpie"/>
          <w:rFonts w:ascii="Arial" w:hAnsi="Arial"/>
          <w:b w:val="0"/>
          <w:sz w:val="16"/>
          <w:vertAlign w:val="baseline"/>
        </w:rPr>
        <w:t>.</w:t>
      </w:r>
      <w:r w:rsidRPr="00F15845">
        <w:rPr>
          <w:rStyle w:val="Refdenotaalpie"/>
          <w:rFonts w:ascii="Arial" w:hAnsi="Arial"/>
          <w:b w:val="0"/>
          <w:sz w:val="16"/>
          <w:szCs w:val="16"/>
          <w:vertAlign w:val="baseline"/>
        </w:rPr>
        <w:t xml:space="preserve"> </w:t>
      </w:r>
    </w:p>
  </w:footnote>
  <w:footnote w:id="4">
    <w:p w14:paraId="1A672098" w14:textId="77777777" w:rsidR="00C55A68" w:rsidRPr="00C07AE5" w:rsidRDefault="00C55A68" w:rsidP="00C55A68">
      <w:pPr>
        <w:pStyle w:val="Textonotapie"/>
        <w:ind w:left="142" w:hanging="142"/>
        <w:jc w:val="both"/>
        <w:rPr>
          <w:rFonts w:ascii="Arial" w:hAnsi="Arial" w:cs="Arial"/>
          <w:sz w:val="16"/>
          <w:szCs w:val="16"/>
        </w:rPr>
      </w:pPr>
      <w:r w:rsidRPr="006E799E">
        <w:rPr>
          <w:rStyle w:val="Refdenotaalpie"/>
          <w:rFonts w:ascii="Arial" w:hAnsi="Arial"/>
          <w:b w:val="0"/>
        </w:rPr>
        <w:footnoteRef/>
      </w:r>
      <w:r w:rsidRPr="006E799E">
        <w:rPr>
          <w:rStyle w:val="Refdenotaalpie"/>
          <w:b w:val="0"/>
          <w:sz w:val="18"/>
        </w:rPr>
        <w:t xml:space="preserve"> </w:t>
      </w:r>
      <w:r>
        <w:rPr>
          <w:sz w:val="18"/>
        </w:rPr>
        <w:tab/>
      </w:r>
      <w:r>
        <w:rPr>
          <w:rFonts w:ascii="Arial" w:hAnsi="Arial" w:cs="Arial"/>
          <w:sz w:val="16"/>
          <w:szCs w:val="16"/>
        </w:rPr>
        <w:t xml:space="preserve">Año base 2013. </w:t>
      </w:r>
    </w:p>
  </w:footnote>
  <w:footnote w:id="5">
    <w:p w14:paraId="04890053" w14:textId="77777777" w:rsidR="00CF29C1" w:rsidRPr="00CF29C1" w:rsidRDefault="00CF29C1" w:rsidP="00CF29C1">
      <w:pPr>
        <w:pStyle w:val="Textonotapie"/>
        <w:ind w:left="142" w:hanging="142"/>
        <w:jc w:val="both"/>
        <w:rPr>
          <w:rStyle w:val="Refdenotaalpie"/>
          <w:rFonts w:ascii="Arial" w:hAnsi="Arial"/>
          <w:b w:val="0"/>
          <w:smallCaps w:val="0"/>
          <w:sz w:val="16"/>
          <w:szCs w:val="16"/>
          <w:vertAlign w:val="baseline"/>
        </w:rPr>
      </w:pPr>
      <w:r w:rsidRPr="006E799E">
        <w:rPr>
          <w:rStyle w:val="Refdenotaalpie"/>
          <w:rFonts w:ascii="Arial" w:hAnsi="Arial"/>
          <w:b w:val="0"/>
        </w:rPr>
        <w:footnoteRef/>
      </w:r>
      <w:r>
        <w:rPr>
          <w:rFonts w:ascii="Arial" w:hAnsi="Arial" w:cs="Arial"/>
        </w:rPr>
        <w:tab/>
      </w:r>
      <w:r w:rsidRPr="00CF29C1">
        <w:rPr>
          <w:rStyle w:val="Refdenotaalpie"/>
          <w:rFonts w:ascii="Arial" w:hAnsi="Arial"/>
          <w:b w:val="0"/>
          <w:smallCaps w:val="0"/>
          <w:sz w:val="16"/>
          <w:szCs w:val="16"/>
          <w:vertAlign w:val="baseline"/>
        </w:rPr>
        <w:t xml:space="preserve">Procedimiento de Benchmarking utilizado para ajustar datos trimestrales a los anuales.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4313C6" w14:textId="379D8B92" w:rsidR="006A0E4E" w:rsidRPr="00265B8C" w:rsidRDefault="006A0E4E" w:rsidP="001B1505">
    <w:pPr>
      <w:pStyle w:val="Encabezado"/>
      <w:framePr w:w="5268" w:hSpace="141" w:wrap="auto" w:vAnchor="text" w:hAnchor="page" w:x="5838" w:y="34"/>
      <w:ind w:left="567" w:hanging="11"/>
      <w:jc w:val="right"/>
      <w:rPr>
        <w:rFonts w:cs="Arial"/>
        <w:b/>
        <w:color w:val="002060"/>
        <w:szCs w:val="24"/>
      </w:rPr>
    </w:pPr>
    <w:r w:rsidRPr="00265B8C">
      <w:rPr>
        <w:rFonts w:cs="Arial"/>
        <w:b/>
        <w:color w:val="002060"/>
        <w:szCs w:val="24"/>
      </w:rPr>
      <w:t xml:space="preserve">COMUNICADO DE PRENSA NÚM. </w:t>
    </w:r>
    <w:r w:rsidR="00F67051">
      <w:rPr>
        <w:rFonts w:cs="Arial"/>
        <w:b/>
        <w:color w:val="002060"/>
        <w:szCs w:val="24"/>
      </w:rPr>
      <w:t>217</w:t>
    </w:r>
    <w:r w:rsidRPr="00265B8C">
      <w:rPr>
        <w:rFonts w:cs="Arial"/>
        <w:b/>
        <w:color w:val="002060"/>
        <w:szCs w:val="24"/>
      </w:rPr>
      <w:t>/</w:t>
    </w:r>
    <w:r>
      <w:rPr>
        <w:rFonts w:cs="Arial"/>
        <w:b/>
        <w:color w:val="002060"/>
        <w:szCs w:val="24"/>
      </w:rPr>
      <w:t>20</w:t>
    </w:r>
  </w:p>
  <w:p w14:paraId="325A3CAA" w14:textId="77777777" w:rsidR="006A0E4E" w:rsidRPr="00265B8C" w:rsidRDefault="006A0E4E" w:rsidP="001B1505">
    <w:pPr>
      <w:pStyle w:val="Encabezado"/>
      <w:framePr w:w="5268" w:hSpace="141" w:wrap="auto" w:vAnchor="text" w:hAnchor="page" w:x="5838" w:y="34"/>
      <w:ind w:left="567" w:hanging="11"/>
      <w:jc w:val="right"/>
      <w:rPr>
        <w:rFonts w:cs="Arial"/>
        <w:b/>
        <w:color w:val="002060"/>
        <w:szCs w:val="24"/>
        <w:lang w:val="pt-BR"/>
      </w:rPr>
    </w:pPr>
    <w:r>
      <w:rPr>
        <w:rFonts w:cs="Arial"/>
        <w:b/>
        <w:color w:val="002060"/>
        <w:szCs w:val="24"/>
        <w:lang w:val="pt-BR"/>
      </w:rPr>
      <w:t xml:space="preserve">15 DE MAYO </w:t>
    </w:r>
    <w:r w:rsidRPr="00265B8C">
      <w:rPr>
        <w:rFonts w:cs="Arial"/>
        <w:b/>
        <w:color w:val="002060"/>
        <w:szCs w:val="24"/>
        <w:lang w:val="pt-BR"/>
      </w:rPr>
      <w:t>DE 20</w:t>
    </w:r>
    <w:r>
      <w:rPr>
        <w:rFonts w:cs="Arial"/>
        <w:b/>
        <w:color w:val="002060"/>
        <w:szCs w:val="24"/>
        <w:lang w:val="pt-BR"/>
      </w:rPr>
      <w:t>20</w:t>
    </w:r>
  </w:p>
  <w:p w14:paraId="4AD62644" w14:textId="77777777" w:rsidR="006A0E4E" w:rsidRPr="00265B8C" w:rsidRDefault="006A0E4E" w:rsidP="001B1505">
    <w:pPr>
      <w:pStyle w:val="Encabezado"/>
      <w:framePr w:w="5268" w:hSpace="141" w:wrap="auto" w:vAnchor="text" w:hAnchor="page" w:x="5838" w:y="34"/>
      <w:ind w:left="567" w:hanging="11"/>
      <w:jc w:val="right"/>
      <w:rPr>
        <w:rFonts w:cs="Arial"/>
        <w:b/>
        <w:color w:val="002060"/>
        <w:szCs w:val="24"/>
        <w:lang w:val="pt-BR"/>
      </w:rPr>
    </w:pPr>
    <w:r w:rsidRPr="00265B8C">
      <w:rPr>
        <w:rFonts w:cs="Arial"/>
        <w:b/>
        <w:color w:val="002060"/>
        <w:szCs w:val="24"/>
        <w:lang w:val="pt-BR"/>
      </w:rPr>
      <w:t xml:space="preserve">PÁGINA </w:t>
    </w:r>
    <w:r w:rsidRPr="00265B8C">
      <w:rPr>
        <w:rFonts w:cs="Arial"/>
        <w:b/>
        <w:color w:val="002060"/>
        <w:szCs w:val="24"/>
      </w:rPr>
      <w:fldChar w:fldCharType="begin"/>
    </w:r>
    <w:r w:rsidRPr="00265B8C">
      <w:rPr>
        <w:rFonts w:cs="Arial"/>
        <w:b/>
        <w:color w:val="002060"/>
        <w:szCs w:val="24"/>
        <w:lang w:val="pt-BR"/>
      </w:rPr>
      <w:instrText xml:space="preserve">\PAGE </w:instrText>
    </w:r>
    <w:r w:rsidRPr="00265B8C">
      <w:rPr>
        <w:rFonts w:cs="Arial"/>
        <w:color w:val="002060"/>
        <w:szCs w:val="24"/>
      </w:rPr>
      <w:fldChar w:fldCharType="separate"/>
    </w:r>
    <w:r>
      <w:rPr>
        <w:rFonts w:cs="Arial"/>
        <w:b/>
        <w:noProof/>
        <w:color w:val="002060"/>
        <w:szCs w:val="24"/>
        <w:lang w:val="pt-BR"/>
      </w:rPr>
      <w:t>2</w:t>
    </w:r>
    <w:r w:rsidRPr="00265B8C">
      <w:rPr>
        <w:rFonts w:cs="Arial"/>
        <w:color w:val="002060"/>
        <w:szCs w:val="24"/>
      </w:rPr>
      <w:fldChar w:fldCharType="end"/>
    </w:r>
    <w:r w:rsidRPr="00265B8C">
      <w:rPr>
        <w:rFonts w:cs="Arial"/>
        <w:b/>
        <w:color w:val="002060"/>
        <w:szCs w:val="24"/>
        <w:lang w:val="pt-BR"/>
      </w:rPr>
      <w:t>/</w:t>
    </w:r>
    <w:r>
      <w:rPr>
        <w:rFonts w:cs="Arial"/>
        <w:b/>
        <w:color w:val="002060"/>
        <w:szCs w:val="24"/>
        <w:lang w:val="pt-BR"/>
      </w:rPr>
      <w:t>2</w:t>
    </w:r>
  </w:p>
  <w:p w14:paraId="1486D6BF" w14:textId="77777777" w:rsidR="006A0E4E" w:rsidRDefault="006A0E4E" w:rsidP="004C150C">
    <w:pPr>
      <w:pStyle w:val="Encabezado"/>
      <w:ind w:left="-993"/>
    </w:pPr>
    <w:r>
      <w:rPr>
        <w:noProof/>
      </w:rPr>
      <w:drawing>
        <wp:inline distT="0" distB="0" distL="0" distR="0" wp14:anchorId="77341A1C" wp14:editId="24DA9FA8">
          <wp:extent cx="927615" cy="963545"/>
          <wp:effectExtent l="0" t="0" r="6350" b="825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4847" cy="991832"/>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203309" w14:textId="72E064C8" w:rsidR="00ED7F21" w:rsidRDefault="00EE7736" w:rsidP="006A0E4E">
    <w:pPr>
      <w:pStyle w:val="Encabezado"/>
      <w:jc w:val="center"/>
    </w:pPr>
    <w:r>
      <w:rPr>
        <w:noProof/>
        <w:snapToGrid/>
        <w:lang w:val="es-MX" w:eastAsia="es-MX"/>
      </w:rPr>
      <w:drawing>
        <wp:inline distT="0" distB="0" distL="0" distR="0" wp14:anchorId="011E8C48" wp14:editId="0BF847CD">
          <wp:extent cx="928370" cy="964800"/>
          <wp:effectExtent l="0" t="0" r="5080" b="6985"/>
          <wp:docPr id="11" name="Imagen 11" descr="cid:image002.png@01D4B335.490B1A50"/>
          <wp:cNvGraphicFramePr/>
          <a:graphic xmlns:a="http://schemas.openxmlformats.org/drawingml/2006/main">
            <a:graphicData uri="http://schemas.openxmlformats.org/drawingml/2006/picture">
              <pic:pic xmlns:pic="http://schemas.openxmlformats.org/drawingml/2006/picture">
                <pic:nvPicPr>
                  <pic:cNvPr id="9" name="Imagen 9" descr="cid:image002.png@01D4B335.490B1A50"/>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28370" cy="9648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DF6154"/>
    <w:multiLevelType w:val="hybridMultilevel"/>
    <w:tmpl w:val="F8C2B67C"/>
    <w:lvl w:ilvl="0" w:tplc="0C0A000F">
      <w:start w:val="1"/>
      <w:numFmt w:val="decimal"/>
      <w:lvlText w:val="%1."/>
      <w:lvlJc w:val="left"/>
      <w:pPr>
        <w:tabs>
          <w:tab w:val="num" w:pos="1723"/>
        </w:tabs>
        <w:ind w:left="1723" w:hanging="360"/>
      </w:pPr>
      <w:rPr>
        <w:rFonts w:hint="default"/>
      </w:rPr>
    </w:lvl>
    <w:lvl w:ilvl="1" w:tplc="EE9A14EA" w:tentative="1">
      <w:start w:val="1"/>
      <w:numFmt w:val="bullet"/>
      <w:lvlText w:val="o"/>
      <w:lvlJc w:val="left"/>
      <w:pPr>
        <w:tabs>
          <w:tab w:val="num" w:pos="2443"/>
        </w:tabs>
        <w:ind w:left="2443" w:hanging="360"/>
      </w:pPr>
      <w:rPr>
        <w:rFonts w:ascii="Courier New" w:hAnsi="Courier New" w:hint="default"/>
      </w:rPr>
    </w:lvl>
    <w:lvl w:ilvl="2" w:tplc="9E268D0A" w:tentative="1">
      <w:start w:val="1"/>
      <w:numFmt w:val="bullet"/>
      <w:lvlText w:val=""/>
      <w:lvlJc w:val="left"/>
      <w:pPr>
        <w:tabs>
          <w:tab w:val="num" w:pos="3163"/>
        </w:tabs>
        <w:ind w:left="3163" w:hanging="360"/>
      </w:pPr>
      <w:rPr>
        <w:rFonts w:ascii="Wingdings" w:hAnsi="Wingdings" w:hint="default"/>
      </w:rPr>
    </w:lvl>
    <w:lvl w:ilvl="3" w:tplc="370071DA" w:tentative="1">
      <w:start w:val="1"/>
      <w:numFmt w:val="bullet"/>
      <w:lvlText w:val=""/>
      <w:lvlJc w:val="left"/>
      <w:pPr>
        <w:tabs>
          <w:tab w:val="num" w:pos="3883"/>
        </w:tabs>
        <w:ind w:left="3883" w:hanging="360"/>
      </w:pPr>
      <w:rPr>
        <w:rFonts w:ascii="Symbol" w:hAnsi="Symbol" w:hint="default"/>
      </w:rPr>
    </w:lvl>
    <w:lvl w:ilvl="4" w:tplc="10CA57F8" w:tentative="1">
      <w:start w:val="1"/>
      <w:numFmt w:val="bullet"/>
      <w:lvlText w:val="o"/>
      <w:lvlJc w:val="left"/>
      <w:pPr>
        <w:tabs>
          <w:tab w:val="num" w:pos="4603"/>
        </w:tabs>
        <w:ind w:left="4603" w:hanging="360"/>
      </w:pPr>
      <w:rPr>
        <w:rFonts w:ascii="Courier New" w:hAnsi="Courier New" w:hint="default"/>
      </w:rPr>
    </w:lvl>
    <w:lvl w:ilvl="5" w:tplc="265CFD90" w:tentative="1">
      <w:start w:val="1"/>
      <w:numFmt w:val="bullet"/>
      <w:lvlText w:val=""/>
      <w:lvlJc w:val="left"/>
      <w:pPr>
        <w:tabs>
          <w:tab w:val="num" w:pos="5323"/>
        </w:tabs>
        <w:ind w:left="5323" w:hanging="360"/>
      </w:pPr>
      <w:rPr>
        <w:rFonts w:ascii="Wingdings" w:hAnsi="Wingdings" w:hint="default"/>
      </w:rPr>
    </w:lvl>
    <w:lvl w:ilvl="6" w:tplc="329CE5B0" w:tentative="1">
      <w:start w:val="1"/>
      <w:numFmt w:val="bullet"/>
      <w:lvlText w:val=""/>
      <w:lvlJc w:val="left"/>
      <w:pPr>
        <w:tabs>
          <w:tab w:val="num" w:pos="6043"/>
        </w:tabs>
        <w:ind w:left="6043" w:hanging="360"/>
      </w:pPr>
      <w:rPr>
        <w:rFonts w:ascii="Symbol" w:hAnsi="Symbol" w:hint="default"/>
      </w:rPr>
    </w:lvl>
    <w:lvl w:ilvl="7" w:tplc="55307596" w:tentative="1">
      <w:start w:val="1"/>
      <w:numFmt w:val="bullet"/>
      <w:lvlText w:val="o"/>
      <w:lvlJc w:val="left"/>
      <w:pPr>
        <w:tabs>
          <w:tab w:val="num" w:pos="6763"/>
        </w:tabs>
        <w:ind w:left="6763" w:hanging="360"/>
      </w:pPr>
      <w:rPr>
        <w:rFonts w:ascii="Courier New" w:hAnsi="Courier New" w:hint="default"/>
      </w:rPr>
    </w:lvl>
    <w:lvl w:ilvl="8" w:tplc="90BC1C8A" w:tentative="1">
      <w:start w:val="1"/>
      <w:numFmt w:val="bullet"/>
      <w:lvlText w:val=""/>
      <w:lvlJc w:val="left"/>
      <w:pPr>
        <w:tabs>
          <w:tab w:val="num" w:pos="7483"/>
        </w:tabs>
        <w:ind w:left="7483" w:hanging="360"/>
      </w:pPr>
      <w:rPr>
        <w:rFonts w:ascii="Wingdings" w:hAnsi="Wingdings" w:hint="default"/>
      </w:rPr>
    </w:lvl>
  </w:abstractNum>
  <w:abstractNum w:abstractNumId="2" w15:restartNumberingAfterBreak="0">
    <w:nsid w:val="032E1C26"/>
    <w:multiLevelType w:val="hybridMultilevel"/>
    <w:tmpl w:val="135E433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8153D73"/>
    <w:multiLevelType w:val="singleLevel"/>
    <w:tmpl w:val="AB6E1324"/>
    <w:lvl w:ilvl="0">
      <w:numFmt w:val="bullet"/>
      <w:lvlText w:val="-"/>
      <w:lvlJc w:val="left"/>
      <w:pPr>
        <w:tabs>
          <w:tab w:val="num" w:pos="473"/>
        </w:tabs>
        <w:ind w:left="454" w:hanging="341"/>
      </w:pPr>
      <w:rPr>
        <w:rFonts w:ascii="Times New Roman" w:hAnsi="Times New Roman" w:hint="default"/>
      </w:rPr>
    </w:lvl>
  </w:abstractNum>
  <w:abstractNum w:abstractNumId="4" w15:restartNumberingAfterBreak="0">
    <w:nsid w:val="0CEB3457"/>
    <w:multiLevelType w:val="singleLevel"/>
    <w:tmpl w:val="A0EE693E"/>
    <w:lvl w:ilvl="0">
      <w:start w:val="1"/>
      <w:numFmt w:val="bullet"/>
      <w:lvlText w:val=""/>
      <w:lvlJc w:val="left"/>
      <w:pPr>
        <w:tabs>
          <w:tab w:val="num" w:pos="425"/>
        </w:tabs>
        <w:ind w:left="425" w:hanging="425"/>
      </w:pPr>
      <w:rPr>
        <w:rFonts w:ascii="Symbol" w:hAnsi="Symbol" w:hint="default"/>
        <w:sz w:val="30"/>
      </w:rPr>
    </w:lvl>
  </w:abstractNum>
  <w:abstractNum w:abstractNumId="5" w15:restartNumberingAfterBreak="0">
    <w:nsid w:val="0EA577AA"/>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EE51F9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0FEE5E2F"/>
    <w:multiLevelType w:val="singleLevel"/>
    <w:tmpl w:val="AB6E1324"/>
    <w:lvl w:ilvl="0">
      <w:numFmt w:val="bullet"/>
      <w:lvlText w:val="-"/>
      <w:lvlJc w:val="left"/>
      <w:pPr>
        <w:tabs>
          <w:tab w:val="num" w:pos="473"/>
        </w:tabs>
        <w:ind w:left="454" w:hanging="341"/>
      </w:pPr>
      <w:rPr>
        <w:rFonts w:ascii="Times New Roman" w:hAnsi="Times New Roman" w:hint="default"/>
      </w:rPr>
    </w:lvl>
  </w:abstractNum>
  <w:abstractNum w:abstractNumId="8" w15:restartNumberingAfterBreak="0">
    <w:nsid w:val="14DD1099"/>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7DA2C5D"/>
    <w:multiLevelType w:val="singleLevel"/>
    <w:tmpl w:val="AB6E1324"/>
    <w:lvl w:ilvl="0">
      <w:numFmt w:val="bullet"/>
      <w:lvlText w:val="-"/>
      <w:lvlJc w:val="left"/>
      <w:pPr>
        <w:tabs>
          <w:tab w:val="num" w:pos="473"/>
        </w:tabs>
        <w:ind w:left="454" w:hanging="341"/>
      </w:pPr>
      <w:rPr>
        <w:rFonts w:ascii="Times New Roman" w:hAnsi="Times New Roman" w:hint="default"/>
      </w:rPr>
    </w:lvl>
  </w:abstractNum>
  <w:abstractNum w:abstractNumId="10" w15:restartNumberingAfterBreak="0">
    <w:nsid w:val="19C67FDE"/>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AAF561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1EAF5E06"/>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6743E34"/>
    <w:multiLevelType w:val="singleLevel"/>
    <w:tmpl w:val="AB6E1324"/>
    <w:lvl w:ilvl="0">
      <w:numFmt w:val="bullet"/>
      <w:lvlText w:val="-"/>
      <w:lvlJc w:val="left"/>
      <w:pPr>
        <w:tabs>
          <w:tab w:val="num" w:pos="473"/>
        </w:tabs>
        <w:ind w:left="454" w:hanging="341"/>
      </w:pPr>
      <w:rPr>
        <w:rFonts w:ascii="Times New Roman" w:hAnsi="Times New Roman" w:hint="default"/>
      </w:rPr>
    </w:lvl>
  </w:abstractNum>
  <w:abstractNum w:abstractNumId="14" w15:restartNumberingAfterBreak="0">
    <w:nsid w:val="382931C1"/>
    <w:multiLevelType w:val="hybridMultilevel"/>
    <w:tmpl w:val="D04C7B3A"/>
    <w:lvl w:ilvl="0" w:tplc="9F307A02">
      <w:start w:val="1"/>
      <w:numFmt w:val="bullet"/>
      <w:lvlText w:val=""/>
      <w:lvlJc w:val="left"/>
      <w:pPr>
        <w:tabs>
          <w:tab w:val="num" w:pos="1723"/>
        </w:tabs>
        <w:ind w:left="1723" w:hanging="360"/>
      </w:pPr>
      <w:rPr>
        <w:rFonts w:ascii="Symbol" w:hAnsi="Symbol" w:hint="default"/>
      </w:rPr>
    </w:lvl>
    <w:lvl w:ilvl="1" w:tplc="3EC69A4A" w:tentative="1">
      <w:start w:val="1"/>
      <w:numFmt w:val="bullet"/>
      <w:lvlText w:val="o"/>
      <w:lvlJc w:val="left"/>
      <w:pPr>
        <w:tabs>
          <w:tab w:val="num" w:pos="2443"/>
        </w:tabs>
        <w:ind w:left="2443" w:hanging="360"/>
      </w:pPr>
      <w:rPr>
        <w:rFonts w:ascii="Courier New" w:hAnsi="Courier New" w:hint="default"/>
      </w:rPr>
    </w:lvl>
    <w:lvl w:ilvl="2" w:tplc="96084CCA" w:tentative="1">
      <w:start w:val="1"/>
      <w:numFmt w:val="bullet"/>
      <w:lvlText w:val=""/>
      <w:lvlJc w:val="left"/>
      <w:pPr>
        <w:tabs>
          <w:tab w:val="num" w:pos="3163"/>
        </w:tabs>
        <w:ind w:left="3163" w:hanging="360"/>
      </w:pPr>
      <w:rPr>
        <w:rFonts w:ascii="Wingdings" w:hAnsi="Wingdings" w:hint="default"/>
      </w:rPr>
    </w:lvl>
    <w:lvl w:ilvl="3" w:tplc="5D2CBF9A" w:tentative="1">
      <w:start w:val="1"/>
      <w:numFmt w:val="bullet"/>
      <w:lvlText w:val=""/>
      <w:lvlJc w:val="left"/>
      <w:pPr>
        <w:tabs>
          <w:tab w:val="num" w:pos="3883"/>
        </w:tabs>
        <w:ind w:left="3883" w:hanging="360"/>
      </w:pPr>
      <w:rPr>
        <w:rFonts w:ascii="Symbol" w:hAnsi="Symbol" w:hint="default"/>
      </w:rPr>
    </w:lvl>
    <w:lvl w:ilvl="4" w:tplc="08F64AC0" w:tentative="1">
      <w:start w:val="1"/>
      <w:numFmt w:val="bullet"/>
      <w:lvlText w:val="o"/>
      <w:lvlJc w:val="left"/>
      <w:pPr>
        <w:tabs>
          <w:tab w:val="num" w:pos="4603"/>
        </w:tabs>
        <w:ind w:left="4603" w:hanging="360"/>
      </w:pPr>
      <w:rPr>
        <w:rFonts w:ascii="Courier New" w:hAnsi="Courier New" w:hint="default"/>
      </w:rPr>
    </w:lvl>
    <w:lvl w:ilvl="5" w:tplc="0D607026" w:tentative="1">
      <w:start w:val="1"/>
      <w:numFmt w:val="bullet"/>
      <w:lvlText w:val=""/>
      <w:lvlJc w:val="left"/>
      <w:pPr>
        <w:tabs>
          <w:tab w:val="num" w:pos="5323"/>
        </w:tabs>
        <w:ind w:left="5323" w:hanging="360"/>
      </w:pPr>
      <w:rPr>
        <w:rFonts w:ascii="Wingdings" w:hAnsi="Wingdings" w:hint="default"/>
      </w:rPr>
    </w:lvl>
    <w:lvl w:ilvl="6" w:tplc="C45EBF0E" w:tentative="1">
      <w:start w:val="1"/>
      <w:numFmt w:val="bullet"/>
      <w:lvlText w:val=""/>
      <w:lvlJc w:val="left"/>
      <w:pPr>
        <w:tabs>
          <w:tab w:val="num" w:pos="6043"/>
        </w:tabs>
        <w:ind w:left="6043" w:hanging="360"/>
      </w:pPr>
      <w:rPr>
        <w:rFonts w:ascii="Symbol" w:hAnsi="Symbol" w:hint="default"/>
      </w:rPr>
    </w:lvl>
    <w:lvl w:ilvl="7" w:tplc="0D24A3FE" w:tentative="1">
      <w:start w:val="1"/>
      <w:numFmt w:val="bullet"/>
      <w:lvlText w:val="o"/>
      <w:lvlJc w:val="left"/>
      <w:pPr>
        <w:tabs>
          <w:tab w:val="num" w:pos="6763"/>
        </w:tabs>
        <w:ind w:left="6763" w:hanging="360"/>
      </w:pPr>
      <w:rPr>
        <w:rFonts w:ascii="Courier New" w:hAnsi="Courier New" w:hint="default"/>
      </w:rPr>
    </w:lvl>
    <w:lvl w:ilvl="8" w:tplc="D5F828E4" w:tentative="1">
      <w:start w:val="1"/>
      <w:numFmt w:val="bullet"/>
      <w:lvlText w:val=""/>
      <w:lvlJc w:val="left"/>
      <w:pPr>
        <w:tabs>
          <w:tab w:val="num" w:pos="7483"/>
        </w:tabs>
        <w:ind w:left="7483" w:hanging="360"/>
      </w:pPr>
      <w:rPr>
        <w:rFonts w:ascii="Wingdings" w:hAnsi="Wingdings" w:hint="default"/>
      </w:rPr>
    </w:lvl>
  </w:abstractNum>
  <w:abstractNum w:abstractNumId="15" w15:restartNumberingAfterBreak="0">
    <w:nsid w:val="4FF23182"/>
    <w:multiLevelType w:val="singleLevel"/>
    <w:tmpl w:val="AB6E1324"/>
    <w:lvl w:ilvl="0">
      <w:numFmt w:val="bullet"/>
      <w:lvlText w:val="-"/>
      <w:lvlJc w:val="left"/>
      <w:pPr>
        <w:tabs>
          <w:tab w:val="num" w:pos="473"/>
        </w:tabs>
        <w:ind w:left="454" w:hanging="341"/>
      </w:pPr>
      <w:rPr>
        <w:rFonts w:ascii="Times New Roman" w:hAnsi="Times New Roman" w:hint="default"/>
      </w:rPr>
    </w:lvl>
  </w:abstractNum>
  <w:abstractNum w:abstractNumId="16" w15:restartNumberingAfterBreak="0">
    <w:nsid w:val="51FB40AD"/>
    <w:multiLevelType w:val="singleLevel"/>
    <w:tmpl w:val="840EB14A"/>
    <w:lvl w:ilvl="0">
      <w:start w:val="1"/>
      <w:numFmt w:val="bullet"/>
      <w:pStyle w:val="bullet"/>
      <w:lvlText w:val=""/>
      <w:lvlJc w:val="left"/>
      <w:pPr>
        <w:tabs>
          <w:tab w:val="num" w:pos="2880"/>
        </w:tabs>
        <w:ind w:left="2880" w:hanging="360"/>
      </w:pPr>
      <w:rPr>
        <w:rFonts w:ascii="Symbol" w:hAnsi="Symbol" w:hint="default"/>
        <w:lang w:val="es-ES"/>
      </w:rPr>
    </w:lvl>
  </w:abstractNum>
  <w:abstractNum w:abstractNumId="17" w15:restartNumberingAfterBreak="0">
    <w:nsid w:val="580C7DE1"/>
    <w:multiLevelType w:val="hybridMultilevel"/>
    <w:tmpl w:val="F878B8EC"/>
    <w:lvl w:ilvl="0" w:tplc="080A0001">
      <w:start w:val="1"/>
      <w:numFmt w:val="bullet"/>
      <w:lvlText w:val=""/>
      <w:lvlJc w:val="left"/>
      <w:pPr>
        <w:ind w:left="720" w:hanging="360"/>
      </w:pPr>
      <w:rPr>
        <w:rFonts w:ascii="Symbol" w:hAnsi="Symbol" w:hint="default"/>
      </w:rPr>
    </w:lvl>
    <w:lvl w:ilvl="1" w:tplc="080A0003">
      <w:start w:val="1"/>
      <w:numFmt w:val="decimal"/>
      <w:lvlText w:val="%2."/>
      <w:lvlJc w:val="left"/>
      <w:pPr>
        <w:tabs>
          <w:tab w:val="num" w:pos="1440"/>
        </w:tabs>
        <w:ind w:left="1440" w:hanging="360"/>
      </w:pPr>
    </w:lvl>
    <w:lvl w:ilvl="2" w:tplc="080A0005">
      <w:start w:val="1"/>
      <w:numFmt w:val="decimal"/>
      <w:lvlText w:val="%3."/>
      <w:lvlJc w:val="left"/>
      <w:pPr>
        <w:tabs>
          <w:tab w:val="num" w:pos="2160"/>
        </w:tabs>
        <w:ind w:left="2160" w:hanging="360"/>
      </w:pPr>
    </w:lvl>
    <w:lvl w:ilvl="3" w:tplc="080A0001">
      <w:start w:val="1"/>
      <w:numFmt w:val="decimal"/>
      <w:lvlText w:val="%4."/>
      <w:lvlJc w:val="left"/>
      <w:pPr>
        <w:tabs>
          <w:tab w:val="num" w:pos="2880"/>
        </w:tabs>
        <w:ind w:left="2880" w:hanging="360"/>
      </w:pPr>
    </w:lvl>
    <w:lvl w:ilvl="4" w:tplc="080A0003">
      <w:start w:val="1"/>
      <w:numFmt w:val="decimal"/>
      <w:lvlText w:val="%5."/>
      <w:lvlJc w:val="left"/>
      <w:pPr>
        <w:tabs>
          <w:tab w:val="num" w:pos="3600"/>
        </w:tabs>
        <w:ind w:left="3600" w:hanging="360"/>
      </w:pPr>
    </w:lvl>
    <w:lvl w:ilvl="5" w:tplc="080A0005">
      <w:start w:val="1"/>
      <w:numFmt w:val="decimal"/>
      <w:lvlText w:val="%6."/>
      <w:lvlJc w:val="left"/>
      <w:pPr>
        <w:tabs>
          <w:tab w:val="num" w:pos="4320"/>
        </w:tabs>
        <w:ind w:left="4320" w:hanging="360"/>
      </w:pPr>
    </w:lvl>
    <w:lvl w:ilvl="6" w:tplc="080A0001">
      <w:start w:val="1"/>
      <w:numFmt w:val="decimal"/>
      <w:lvlText w:val="%7."/>
      <w:lvlJc w:val="left"/>
      <w:pPr>
        <w:tabs>
          <w:tab w:val="num" w:pos="5040"/>
        </w:tabs>
        <w:ind w:left="5040" w:hanging="360"/>
      </w:pPr>
    </w:lvl>
    <w:lvl w:ilvl="7" w:tplc="080A0003">
      <w:start w:val="1"/>
      <w:numFmt w:val="decimal"/>
      <w:lvlText w:val="%8."/>
      <w:lvlJc w:val="left"/>
      <w:pPr>
        <w:tabs>
          <w:tab w:val="num" w:pos="5760"/>
        </w:tabs>
        <w:ind w:left="5760" w:hanging="360"/>
      </w:pPr>
    </w:lvl>
    <w:lvl w:ilvl="8" w:tplc="080A0005">
      <w:start w:val="1"/>
      <w:numFmt w:val="decimal"/>
      <w:lvlText w:val="%9."/>
      <w:lvlJc w:val="left"/>
      <w:pPr>
        <w:tabs>
          <w:tab w:val="num" w:pos="6480"/>
        </w:tabs>
        <w:ind w:left="6480" w:hanging="360"/>
      </w:pPr>
    </w:lvl>
  </w:abstractNum>
  <w:abstractNum w:abstractNumId="18" w15:restartNumberingAfterBreak="0">
    <w:nsid w:val="6DAE7813"/>
    <w:multiLevelType w:val="hybridMultilevel"/>
    <w:tmpl w:val="9CC4BB0A"/>
    <w:lvl w:ilvl="0" w:tplc="080A0001">
      <w:start w:val="1"/>
      <w:numFmt w:val="bullet"/>
      <w:lvlText w:val=""/>
      <w:lvlJc w:val="left"/>
      <w:pPr>
        <w:ind w:left="2443" w:hanging="360"/>
      </w:pPr>
      <w:rPr>
        <w:rFonts w:ascii="Symbol" w:hAnsi="Symbol" w:hint="default"/>
      </w:rPr>
    </w:lvl>
    <w:lvl w:ilvl="1" w:tplc="080A0003" w:tentative="1">
      <w:start w:val="1"/>
      <w:numFmt w:val="bullet"/>
      <w:lvlText w:val="o"/>
      <w:lvlJc w:val="left"/>
      <w:pPr>
        <w:ind w:left="3163" w:hanging="360"/>
      </w:pPr>
      <w:rPr>
        <w:rFonts w:ascii="Courier New" w:hAnsi="Courier New" w:cs="Courier New" w:hint="default"/>
      </w:rPr>
    </w:lvl>
    <w:lvl w:ilvl="2" w:tplc="080A0005" w:tentative="1">
      <w:start w:val="1"/>
      <w:numFmt w:val="bullet"/>
      <w:lvlText w:val=""/>
      <w:lvlJc w:val="left"/>
      <w:pPr>
        <w:ind w:left="3883" w:hanging="360"/>
      </w:pPr>
      <w:rPr>
        <w:rFonts w:ascii="Wingdings" w:hAnsi="Wingdings" w:hint="default"/>
      </w:rPr>
    </w:lvl>
    <w:lvl w:ilvl="3" w:tplc="080A0001" w:tentative="1">
      <w:start w:val="1"/>
      <w:numFmt w:val="bullet"/>
      <w:lvlText w:val=""/>
      <w:lvlJc w:val="left"/>
      <w:pPr>
        <w:ind w:left="4603" w:hanging="360"/>
      </w:pPr>
      <w:rPr>
        <w:rFonts w:ascii="Symbol" w:hAnsi="Symbol" w:hint="default"/>
      </w:rPr>
    </w:lvl>
    <w:lvl w:ilvl="4" w:tplc="080A0003" w:tentative="1">
      <w:start w:val="1"/>
      <w:numFmt w:val="bullet"/>
      <w:lvlText w:val="o"/>
      <w:lvlJc w:val="left"/>
      <w:pPr>
        <w:ind w:left="5323" w:hanging="360"/>
      </w:pPr>
      <w:rPr>
        <w:rFonts w:ascii="Courier New" w:hAnsi="Courier New" w:cs="Courier New" w:hint="default"/>
      </w:rPr>
    </w:lvl>
    <w:lvl w:ilvl="5" w:tplc="080A0005" w:tentative="1">
      <w:start w:val="1"/>
      <w:numFmt w:val="bullet"/>
      <w:lvlText w:val=""/>
      <w:lvlJc w:val="left"/>
      <w:pPr>
        <w:ind w:left="6043" w:hanging="360"/>
      </w:pPr>
      <w:rPr>
        <w:rFonts w:ascii="Wingdings" w:hAnsi="Wingdings" w:hint="default"/>
      </w:rPr>
    </w:lvl>
    <w:lvl w:ilvl="6" w:tplc="080A0001" w:tentative="1">
      <w:start w:val="1"/>
      <w:numFmt w:val="bullet"/>
      <w:lvlText w:val=""/>
      <w:lvlJc w:val="left"/>
      <w:pPr>
        <w:ind w:left="6763" w:hanging="360"/>
      </w:pPr>
      <w:rPr>
        <w:rFonts w:ascii="Symbol" w:hAnsi="Symbol" w:hint="default"/>
      </w:rPr>
    </w:lvl>
    <w:lvl w:ilvl="7" w:tplc="080A0003" w:tentative="1">
      <w:start w:val="1"/>
      <w:numFmt w:val="bullet"/>
      <w:lvlText w:val="o"/>
      <w:lvlJc w:val="left"/>
      <w:pPr>
        <w:ind w:left="7483" w:hanging="360"/>
      </w:pPr>
      <w:rPr>
        <w:rFonts w:ascii="Courier New" w:hAnsi="Courier New" w:cs="Courier New" w:hint="default"/>
      </w:rPr>
    </w:lvl>
    <w:lvl w:ilvl="8" w:tplc="080A0005" w:tentative="1">
      <w:start w:val="1"/>
      <w:numFmt w:val="bullet"/>
      <w:lvlText w:val=""/>
      <w:lvlJc w:val="left"/>
      <w:pPr>
        <w:ind w:left="8203" w:hanging="360"/>
      </w:pPr>
      <w:rPr>
        <w:rFonts w:ascii="Wingdings" w:hAnsi="Wingdings" w:hint="default"/>
      </w:rPr>
    </w:lvl>
  </w:abstractNum>
  <w:abstractNum w:abstractNumId="19" w15:restartNumberingAfterBreak="0">
    <w:nsid w:val="79492758"/>
    <w:multiLevelType w:val="singleLevel"/>
    <w:tmpl w:val="0C0A0001"/>
    <w:lvl w:ilvl="0">
      <w:start w:val="1"/>
      <w:numFmt w:val="bullet"/>
      <w:lvlText w:val=""/>
      <w:lvlJc w:val="left"/>
      <w:pPr>
        <w:tabs>
          <w:tab w:val="num" w:pos="360"/>
        </w:tabs>
        <w:ind w:left="360" w:hanging="360"/>
      </w:pPr>
      <w:rPr>
        <w:rFonts w:ascii="Symbol" w:hAnsi="Symbol" w:hint="default"/>
      </w:rPr>
    </w:lvl>
  </w:abstractNum>
  <w:num w:numId="1">
    <w:abstractNumId w:val="10"/>
  </w:num>
  <w:num w:numId="2">
    <w:abstractNumId w:val="4"/>
  </w:num>
  <w:num w:numId="3">
    <w:abstractNumId w:val="11"/>
  </w:num>
  <w:num w:numId="4">
    <w:abstractNumId w:val="15"/>
  </w:num>
  <w:num w:numId="5">
    <w:abstractNumId w:val="7"/>
  </w:num>
  <w:num w:numId="6">
    <w:abstractNumId w:val="3"/>
  </w:num>
  <w:num w:numId="7">
    <w:abstractNumId w:val="9"/>
  </w:num>
  <w:num w:numId="8">
    <w:abstractNumId w:val="13"/>
  </w:num>
  <w:num w:numId="9">
    <w:abstractNumId w:val="5"/>
  </w:num>
  <w:num w:numId="10">
    <w:abstractNumId w:val="8"/>
  </w:num>
  <w:num w:numId="11">
    <w:abstractNumId w:val="19"/>
  </w:num>
  <w:num w:numId="12">
    <w:abstractNumId w:val="6"/>
  </w:num>
  <w:num w:numId="13">
    <w:abstractNumId w:val="12"/>
  </w:num>
  <w:num w:numId="14">
    <w:abstractNumId w:val="14"/>
  </w:num>
  <w:num w:numId="15">
    <w:abstractNumId w:val="0"/>
    <w:lvlOverride w:ilvl="0">
      <w:lvl w:ilvl="0">
        <w:start w:val="1"/>
        <w:numFmt w:val="bullet"/>
        <w:lvlText w:val=""/>
        <w:legacy w:legacy="1" w:legacySpace="0" w:legacyIndent="360"/>
        <w:lvlJc w:val="left"/>
        <w:pPr>
          <w:ind w:left="2410" w:hanging="360"/>
        </w:pPr>
        <w:rPr>
          <w:rFonts w:ascii="Symbol" w:hAnsi="Symbol" w:hint="default"/>
        </w:rPr>
      </w:lvl>
    </w:lvlOverride>
  </w:num>
  <w:num w:numId="16">
    <w:abstractNumId w:val="1"/>
  </w:num>
  <w:num w:numId="17">
    <w:abstractNumId w:val="18"/>
  </w:num>
  <w:num w:numId="18">
    <w:abstractNumId w:val="2"/>
  </w:num>
  <w:num w:numId="19">
    <w:abstractNumId w:val="16"/>
  </w:num>
  <w:num w:numId="20">
    <w:abstractNumId w:val="16"/>
  </w:num>
  <w:num w:numId="21">
    <w:abstractNumId w:val="16"/>
  </w:num>
  <w:num w:numId="22">
    <w:abstractNumId w:val="16"/>
  </w:num>
  <w:num w:numId="23">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embedSystemFonts/>
  <w:bordersDoNotSurroundHeader/>
  <w:bordersDoNotSurroundFooter/>
  <w:activeWritingStyle w:appName="MSWord" w:lang="pt-BR" w:vendorID="64" w:dllVersion="6" w:nlCheck="1" w:checkStyle="0"/>
  <w:activeWritingStyle w:appName="MSWord" w:lang="es-MX"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activeWritingStyle w:appName="MSWord" w:lang="es-MX"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097"/>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0932"/>
    <w:rsid w:val="0000095D"/>
    <w:rsid w:val="00000B43"/>
    <w:rsid w:val="00000B7F"/>
    <w:rsid w:val="00001B98"/>
    <w:rsid w:val="0000273F"/>
    <w:rsid w:val="00002C85"/>
    <w:rsid w:val="000031B0"/>
    <w:rsid w:val="00004215"/>
    <w:rsid w:val="000042EF"/>
    <w:rsid w:val="00004A7D"/>
    <w:rsid w:val="00006462"/>
    <w:rsid w:val="00006D11"/>
    <w:rsid w:val="00007DBD"/>
    <w:rsid w:val="0001024B"/>
    <w:rsid w:val="00010A05"/>
    <w:rsid w:val="00010A17"/>
    <w:rsid w:val="00010E0F"/>
    <w:rsid w:val="00010E74"/>
    <w:rsid w:val="00011964"/>
    <w:rsid w:val="00011D5B"/>
    <w:rsid w:val="00012228"/>
    <w:rsid w:val="00013DDD"/>
    <w:rsid w:val="00014EAF"/>
    <w:rsid w:val="00016611"/>
    <w:rsid w:val="00017666"/>
    <w:rsid w:val="00020298"/>
    <w:rsid w:val="0002056D"/>
    <w:rsid w:val="00020F4E"/>
    <w:rsid w:val="00021C68"/>
    <w:rsid w:val="00022153"/>
    <w:rsid w:val="00022907"/>
    <w:rsid w:val="00023E91"/>
    <w:rsid w:val="00025729"/>
    <w:rsid w:val="000260FB"/>
    <w:rsid w:val="00026733"/>
    <w:rsid w:val="0002692A"/>
    <w:rsid w:val="00031C3F"/>
    <w:rsid w:val="00032184"/>
    <w:rsid w:val="00032383"/>
    <w:rsid w:val="00032439"/>
    <w:rsid w:val="0003305A"/>
    <w:rsid w:val="0003385F"/>
    <w:rsid w:val="00034077"/>
    <w:rsid w:val="000347D1"/>
    <w:rsid w:val="00035555"/>
    <w:rsid w:val="00036F4A"/>
    <w:rsid w:val="00036FBF"/>
    <w:rsid w:val="00037A49"/>
    <w:rsid w:val="00040567"/>
    <w:rsid w:val="00040A88"/>
    <w:rsid w:val="000421BC"/>
    <w:rsid w:val="00042729"/>
    <w:rsid w:val="00042E12"/>
    <w:rsid w:val="000431DE"/>
    <w:rsid w:val="0004368D"/>
    <w:rsid w:val="0004453C"/>
    <w:rsid w:val="0004493F"/>
    <w:rsid w:val="000453DC"/>
    <w:rsid w:val="000463BE"/>
    <w:rsid w:val="00046715"/>
    <w:rsid w:val="00046B8A"/>
    <w:rsid w:val="00050F12"/>
    <w:rsid w:val="00051AA5"/>
    <w:rsid w:val="00052C69"/>
    <w:rsid w:val="00053780"/>
    <w:rsid w:val="00053A68"/>
    <w:rsid w:val="00054FD6"/>
    <w:rsid w:val="0005576F"/>
    <w:rsid w:val="00055E5F"/>
    <w:rsid w:val="00056149"/>
    <w:rsid w:val="00056554"/>
    <w:rsid w:val="00057C42"/>
    <w:rsid w:val="00057C43"/>
    <w:rsid w:val="000608A0"/>
    <w:rsid w:val="00060919"/>
    <w:rsid w:val="0006111A"/>
    <w:rsid w:val="00062558"/>
    <w:rsid w:val="00063635"/>
    <w:rsid w:val="00063D1D"/>
    <w:rsid w:val="00064294"/>
    <w:rsid w:val="000646E7"/>
    <w:rsid w:val="0006516A"/>
    <w:rsid w:val="00065DAB"/>
    <w:rsid w:val="00065F7A"/>
    <w:rsid w:val="00066103"/>
    <w:rsid w:val="000665D9"/>
    <w:rsid w:val="00066D7E"/>
    <w:rsid w:val="00066EB6"/>
    <w:rsid w:val="00067BFC"/>
    <w:rsid w:val="00067F2D"/>
    <w:rsid w:val="00070209"/>
    <w:rsid w:val="000716D7"/>
    <w:rsid w:val="0007442D"/>
    <w:rsid w:val="00075A18"/>
    <w:rsid w:val="000762F8"/>
    <w:rsid w:val="00077907"/>
    <w:rsid w:val="00080C47"/>
    <w:rsid w:val="00082002"/>
    <w:rsid w:val="000840A0"/>
    <w:rsid w:val="00084FD7"/>
    <w:rsid w:val="00085BD9"/>
    <w:rsid w:val="00085FDB"/>
    <w:rsid w:val="00086740"/>
    <w:rsid w:val="000904E6"/>
    <w:rsid w:val="00091999"/>
    <w:rsid w:val="00092ACB"/>
    <w:rsid w:val="00092B83"/>
    <w:rsid w:val="00093578"/>
    <w:rsid w:val="00093F8F"/>
    <w:rsid w:val="00094417"/>
    <w:rsid w:val="00094591"/>
    <w:rsid w:val="0009491E"/>
    <w:rsid w:val="00095DC6"/>
    <w:rsid w:val="00097371"/>
    <w:rsid w:val="00097B7F"/>
    <w:rsid w:val="000A01BF"/>
    <w:rsid w:val="000A05A1"/>
    <w:rsid w:val="000A0B27"/>
    <w:rsid w:val="000A1488"/>
    <w:rsid w:val="000A14B3"/>
    <w:rsid w:val="000A1890"/>
    <w:rsid w:val="000A2A4E"/>
    <w:rsid w:val="000A3A2B"/>
    <w:rsid w:val="000A3F3E"/>
    <w:rsid w:val="000A5D51"/>
    <w:rsid w:val="000A6470"/>
    <w:rsid w:val="000A65FD"/>
    <w:rsid w:val="000A7204"/>
    <w:rsid w:val="000A79E7"/>
    <w:rsid w:val="000B0CE8"/>
    <w:rsid w:val="000B0EC9"/>
    <w:rsid w:val="000B139D"/>
    <w:rsid w:val="000B2120"/>
    <w:rsid w:val="000B3C5B"/>
    <w:rsid w:val="000B54E5"/>
    <w:rsid w:val="000B5E8A"/>
    <w:rsid w:val="000B6736"/>
    <w:rsid w:val="000B6AE5"/>
    <w:rsid w:val="000B7BED"/>
    <w:rsid w:val="000B7CFD"/>
    <w:rsid w:val="000C02F0"/>
    <w:rsid w:val="000C0467"/>
    <w:rsid w:val="000C0563"/>
    <w:rsid w:val="000C0C8A"/>
    <w:rsid w:val="000C117A"/>
    <w:rsid w:val="000C1B88"/>
    <w:rsid w:val="000C3595"/>
    <w:rsid w:val="000C3C44"/>
    <w:rsid w:val="000C4460"/>
    <w:rsid w:val="000C55BE"/>
    <w:rsid w:val="000C5772"/>
    <w:rsid w:val="000C5B89"/>
    <w:rsid w:val="000C648E"/>
    <w:rsid w:val="000C66BE"/>
    <w:rsid w:val="000C6E1B"/>
    <w:rsid w:val="000C72D9"/>
    <w:rsid w:val="000C7599"/>
    <w:rsid w:val="000C7999"/>
    <w:rsid w:val="000D08BB"/>
    <w:rsid w:val="000D0CC8"/>
    <w:rsid w:val="000D1A8E"/>
    <w:rsid w:val="000D3BA0"/>
    <w:rsid w:val="000D52C1"/>
    <w:rsid w:val="000D5529"/>
    <w:rsid w:val="000D5B24"/>
    <w:rsid w:val="000D6074"/>
    <w:rsid w:val="000D65E2"/>
    <w:rsid w:val="000D689B"/>
    <w:rsid w:val="000D6BD0"/>
    <w:rsid w:val="000D7CA3"/>
    <w:rsid w:val="000E0A62"/>
    <w:rsid w:val="000E1443"/>
    <w:rsid w:val="000E2C66"/>
    <w:rsid w:val="000E3033"/>
    <w:rsid w:val="000E4CA4"/>
    <w:rsid w:val="000F09D4"/>
    <w:rsid w:val="000F09F8"/>
    <w:rsid w:val="000F1108"/>
    <w:rsid w:val="000F14B9"/>
    <w:rsid w:val="000F1608"/>
    <w:rsid w:val="000F1839"/>
    <w:rsid w:val="000F2966"/>
    <w:rsid w:val="000F3D4A"/>
    <w:rsid w:val="000F3F47"/>
    <w:rsid w:val="000F4540"/>
    <w:rsid w:val="000F4658"/>
    <w:rsid w:val="000F5E17"/>
    <w:rsid w:val="000F611A"/>
    <w:rsid w:val="000F6657"/>
    <w:rsid w:val="000F682F"/>
    <w:rsid w:val="000F698B"/>
    <w:rsid w:val="000F79B9"/>
    <w:rsid w:val="000F7B11"/>
    <w:rsid w:val="001003A7"/>
    <w:rsid w:val="00101A58"/>
    <w:rsid w:val="00101BCD"/>
    <w:rsid w:val="00101CDA"/>
    <w:rsid w:val="001034D4"/>
    <w:rsid w:val="00104C78"/>
    <w:rsid w:val="001073D8"/>
    <w:rsid w:val="001075CC"/>
    <w:rsid w:val="001108BF"/>
    <w:rsid w:val="00110B27"/>
    <w:rsid w:val="001115F7"/>
    <w:rsid w:val="001137CE"/>
    <w:rsid w:val="0011434C"/>
    <w:rsid w:val="001155C6"/>
    <w:rsid w:val="001156DE"/>
    <w:rsid w:val="0011585D"/>
    <w:rsid w:val="00115C1E"/>
    <w:rsid w:val="00116918"/>
    <w:rsid w:val="00116947"/>
    <w:rsid w:val="00117B09"/>
    <w:rsid w:val="00117C54"/>
    <w:rsid w:val="0012290F"/>
    <w:rsid w:val="00123379"/>
    <w:rsid w:val="001234A8"/>
    <w:rsid w:val="00123B68"/>
    <w:rsid w:val="00124A7D"/>
    <w:rsid w:val="00124D63"/>
    <w:rsid w:val="00125B7A"/>
    <w:rsid w:val="00125C98"/>
    <w:rsid w:val="00126D65"/>
    <w:rsid w:val="00127101"/>
    <w:rsid w:val="001277D8"/>
    <w:rsid w:val="0013012D"/>
    <w:rsid w:val="00130446"/>
    <w:rsid w:val="00131392"/>
    <w:rsid w:val="00131E1A"/>
    <w:rsid w:val="00133E3A"/>
    <w:rsid w:val="00133E9C"/>
    <w:rsid w:val="0013459D"/>
    <w:rsid w:val="001345B1"/>
    <w:rsid w:val="00135030"/>
    <w:rsid w:val="00135483"/>
    <w:rsid w:val="0013782A"/>
    <w:rsid w:val="00137E78"/>
    <w:rsid w:val="00137F47"/>
    <w:rsid w:val="00140B6C"/>
    <w:rsid w:val="00141DAC"/>
    <w:rsid w:val="00142299"/>
    <w:rsid w:val="001428FF"/>
    <w:rsid w:val="00142921"/>
    <w:rsid w:val="0014557C"/>
    <w:rsid w:val="00145B63"/>
    <w:rsid w:val="001463C4"/>
    <w:rsid w:val="0014682B"/>
    <w:rsid w:val="0014693A"/>
    <w:rsid w:val="0014725A"/>
    <w:rsid w:val="00147908"/>
    <w:rsid w:val="00151522"/>
    <w:rsid w:val="0015270C"/>
    <w:rsid w:val="00152E6E"/>
    <w:rsid w:val="00153366"/>
    <w:rsid w:val="0015373F"/>
    <w:rsid w:val="00154177"/>
    <w:rsid w:val="00154C05"/>
    <w:rsid w:val="00154C3B"/>
    <w:rsid w:val="001565E4"/>
    <w:rsid w:val="00156AAB"/>
    <w:rsid w:val="00156ABA"/>
    <w:rsid w:val="00156DF2"/>
    <w:rsid w:val="00160412"/>
    <w:rsid w:val="001605E8"/>
    <w:rsid w:val="0016074A"/>
    <w:rsid w:val="00160FAF"/>
    <w:rsid w:val="00163512"/>
    <w:rsid w:val="00163A8E"/>
    <w:rsid w:val="00163ADE"/>
    <w:rsid w:val="00163B3E"/>
    <w:rsid w:val="00163BA6"/>
    <w:rsid w:val="00164371"/>
    <w:rsid w:val="00164DA3"/>
    <w:rsid w:val="00165501"/>
    <w:rsid w:val="001659D7"/>
    <w:rsid w:val="00165E9D"/>
    <w:rsid w:val="0016690F"/>
    <w:rsid w:val="0017122C"/>
    <w:rsid w:val="001727A6"/>
    <w:rsid w:val="0017393E"/>
    <w:rsid w:val="00173FEA"/>
    <w:rsid w:val="00174978"/>
    <w:rsid w:val="0017506E"/>
    <w:rsid w:val="001755B3"/>
    <w:rsid w:val="0017620A"/>
    <w:rsid w:val="00180722"/>
    <w:rsid w:val="00182595"/>
    <w:rsid w:val="001828D6"/>
    <w:rsid w:val="00182A73"/>
    <w:rsid w:val="00182F89"/>
    <w:rsid w:val="00183844"/>
    <w:rsid w:val="00184160"/>
    <w:rsid w:val="0018416A"/>
    <w:rsid w:val="001842C5"/>
    <w:rsid w:val="00184D49"/>
    <w:rsid w:val="00185470"/>
    <w:rsid w:val="001855A5"/>
    <w:rsid w:val="001872D0"/>
    <w:rsid w:val="00191DEB"/>
    <w:rsid w:val="00193057"/>
    <w:rsid w:val="00193ED8"/>
    <w:rsid w:val="001941AB"/>
    <w:rsid w:val="00194480"/>
    <w:rsid w:val="001951D5"/>
    <w:rsid w:val="001952C4"/>
    <w:rsid w:val="0019532A"/>
    <w:rsid w:val="00195865"/>
    <w:rsid w:val="001959B6"/>
    <w:rsid w:val="00195FEE"/>
    <w:rsid w:val="001960DA"/>
    <w:rsid w:val="00196671"/>
    <w:rsid w:val="001968B9"/>
    <w:rsid w:val="00196FF3"/>
    <w:rsid w:val="00197417"/>
    <w:rsid w:val="00197630"/>
    <w:rsid w:val="001A0B6A"/>
    <w:rsid w:val="001A1299"/>
    <w:rsid w:val="001A25CF"/>
    <w:rsid w:val="001A3153"/>
    <w:rsid w:val="001A354D"/>
    <w:rsid w:val="001A37FC"/>
    <w:rsid w:val="001A445D"/>
    <w:rsid w:val="001B0B3F"/>
    <w:rsid w:val="001B2B81"/>
    <w:rsid w:val="001B44BA"/>
    <w:rsid w:val="001B47AA"/>
    <w:rsid w:val="001B54C5"/>
    <w:rsid w:val="001B6801"/>
    <w:rsid w:val="001C04DF"/>
    <w:rsid w:val="001C0B53"/>
    <w:rsid w:val="001C0E25"/>
    <w:rsid w:val="001C174A"/>
    <w:rsid w:val="001C1E2C"/>
    <w:rsid w:val="001C238D"/>
    <w:rsid w:val="001C293A"/>
    <w:rsid w:val="001C2D93"/>
    <w:rsid w:val="001C2FAA"/>
    <w:rsid w:val="001C3DA9"/>
    <w:rsid w:val="001C4472"/>
    <w:rsid w:val="001C47A3"/>
    <w:rsid w:val="001C5F5D"/>
    <w:rsid w:val="001C650B"/>
    <w:rsid w:val="001C6CD4"/>
    <w:rsid w:val="001C6FA7"/>
    <w:rsid w:val="001C7D21"/>
    <w:rsid w:val="001C7E8C"/>
    <w:rsid w:val="001D0373"/>
    <w:rsid w:val="001D0DC3"/>
    <w:rsid w:val="001D0F1A"/>
    <w:rsid w:val="001D0F96"/>
    <w:rsid w:val="001D23B8"/>
    <w:rsid w:val="001D2489"/>
    <w:rsid w:val="001D285D"/>
    <w:rsid w:val="001D3DBA"/>
    <w:rsid w:val="001D4C6B"/>
    <w:rsid w:val="001D51FE"/>
    <w:rsid w:val="001D5AB0"/>
    <w:rsid w:val="001E037F"/>
    <w:rsid w:val="001E04EB"/>
    <w:rsid w:val="001E1370"/>
    <w:rsid w:val="001E1EC8"/>
    <w:rsid w:val="001E38C9"/>
    <w:rsid w:val="001E3B2F"/>
    <w:rsid w:val="001E4621"/>
    <w:rsid w:val="001E4A31"/>
    <w:rsid w:val="001E5C9B"/>
    <w:rsid w:val="001E7565"/>
    <w:rsid w:val="001F0892"/>
    <w:rsid w:val="001F08C2"/>
    <w:rsid w:val="001F2519"/>
    <w:rsid w:val="001F3CE5"/>
    <w:rsid w:val="001F40C7"/>
    <w:rsid w:val="001F421F"/>
    <w:rsid w:val="001F4249"/>
    <w:rsid w:val="001F4AB0"/>
    <w:rsid w:val="001F4F7E"/>
    <w:rsid w:val="001F562F"/>
    <w:rsid w:val="001F65DD"/>
    <w:rsid w:val="001F6D20"/>
    <w:rsid w:val="0020081F"/>
    <w:rsid w:val="002008C3"/>
    <w:rsid w:val="002025F0"/>
    <w:rsid w:val="00202751"/>
    <w:rsid w:val="00203925"/>
    <w:rsid w:val="0020440D"/>
    <w:rsid w:val="0020475B"/>
    <w:rsid w:val="00205302"/>
    <w:rsid w:val="002058BB"/>
    <w:rsid w:val="00205C16"/>
    <w:rsid w:val="00205D6F"/>
    <w:rsid w:val="0020717A"/>
    <w:rsid w:val="00211056"/>
    <w:rsid w:val="00211279"/>
    <w:rsid w:val="0021228E"/>
    <w:rsid w:val="00212EAE"/>
    <w:rsid w:val="002138EA"/>
    <w:rsid w:val="00213E5E"/>
    <w:rsid w:val="002146E9"/>
    <w:rsid w:val="00215360"/>
    <w:rsid w:val="002162C6"/>
    <w:rsid w:val="002169BE"/>
    <w:rsid w:val="00220359"/>
    <w:rsid w:val="0022177F"/>
    <w:rsid w:val="0022190B"/>
    <w:rsid w:val="00221C33"/>
    <w:rsid w:val="0022200C"/>
    <w:rsid w:val="002224F5"/>
    <w:rsid w:val="0022411B"/>
    <w:rsid w:val="002248CF"/>
    <w:rsid w:val="00224D24"/>
    <w:rsid w:val="00224D9E"/>
    <w:rsid w:val="00224EB0"/>
    <w:rsid w:val="00224FB2"/>
    <w:rsid w:val="00224FB9"/>
    <w:rsid w:val="00226C7F"/>
    <w:rsid w:val="00226F6C"/>
    <w:rsid w:val="00227E65"/>
    <w:rsid w:val="00227E7E"/>
    <w:rsid w:val="00233847"/>
    <w:rsid w:val="00233E2A"/>
    <w:rsid w:val="00235175"/>
    <w:rsid w:val="00235FA3"/>
    <w:rsid w:val="002360C7"/>
    <w:rsid w:val="0023784B"/>
    <w:rsid w:val="0024100A"/>
    <w:rsid w:val="002424D2"/>
    <w:rsid w:val="00242B5F"/>
    <w:rsid w:val="00242C77"/>
    <w:rsid w:val="0024346C"/>
    <w:rsid w:val="002435A0"/>
    <w:rsid w:val="00244BD7"/>
    <w:rsid w:val="00244E84"/>
    <w:rsid w:val="00245082"/>
    <w:rsid w:val="0024559C"/>
    <w:rsid w:val="002459F7"/>
    <w:rsid w:val="00246053"/>
    <w:rsid w:val="002466AB"/>
    <w:rsid w:val="00246C58"/>
    <w:rsid w:val="002470F9"/>
    <w:rsid w:val="00247E21"/>
    <w:rsid w:val="00250226"/>
    <w:rsid w:val="00250742"/>
    <w:rsid w:val="00250CC1"/>
    <w:rsid w:val="00250EAB"/>
    <w:rsid w:val="00251751"/>
    <w:rsid w:val="00252975"/>
    <w:rsid w:val="00252AEC"/>
    <w:rsid w:val="00252EBF"/>
    <w:rsid w:val="00253130"/>
    <w:rsid w:val="002547E9"/>
    <w:rsid w:val="00254DB3"/>
    <w:rsid w:val="00255291"/>
    <w:rsid w:val="0025719B"/>
    <w:rsid w:val="00257D9D"/>
    <w:rsid w:val="00257EBF"/>
    <w:rsid w:val="0026147C"/>
    <w:rsid w:val="002630F9"/>
    <w:rsid w:val="002637EF"/>
    <w:rsid w:val="00263FFB"/>
    <w:rsid w:val="00264161"/>
    <w:rsid w:val="00264275"/>
    <w:rsid w:val="0026446E"/>
    <w:rsid w:val="00264854"/>
    <w:rsid w:val="00264AA7"/>
    <w:rsid w:val="00264E1A"/>
    <w:rsid w:val="00266887"/>
    <w:rsid w:val="00266D08"/>
    <w:rsid w:val="00266FF3"/>
    <w:rsid w:val="00267023"/>
    <w:rsid w:val="002675F1"/>
    <w:rsid w:val="002702AB"/>
    <w:rsid w:val="00270671"/>
    <w:rsid w:val="00270B53"/>
    <w:rsid w:val="00270D15"/>
    <w:rsid w:val="00270D59"/>
    <w:rsid w:val="00271A87"/>
    <w:rsid w:val="00273B19"/>
    <w:rsid w:val="00274992"/>
    <w:rsid w:val="00274C21"/>
    <w:rsid w:val="00276723"/>
    <w:rsid w:val="00280516"/>
    <w:rsid w:val="002809B3"/>
    <w:rsid w:val="002811AB"/>
    <w:rsid w:val="002827BF"/>
    <w:rsid w:val="00282BA0"/>
    <w:rsid w:val="00282F0A"/>
    <w:rsid w:val="002832B9"/>
    <w:rsid w:val="002838A3"/>
    <w:rsid w:val="002839A5"/>
    <w:rsid w:val="00284B57"/>
    <w:rsid w:val="00285648"/>
    <w:rsid w:val="00285776"/>
    <w:rsid w:val="00286FAB"/>
    <w:rsid w:val="002906CF"/>
    <w:rsid w:val="00290C18"/>
    <w:rsid w:val="00292FD6"/>
    <w:rsid w:val="002931C6"/>
    <w:rsid w:val="0029403F"/>
    <w:rsid w:val="00295148"/>
    <w:rsid w:val="002951C4"/>
    <w:rsid w:val="002959AC"/>
    <w:rsid w:val="00297DA6"/>
    <w:rsid w:val="002A0FCC"/>
    <w:rsid w:val="002A11AE"/>
    <w:rsid w:val="002A193C"/>
    <w:rsid w:val="002A200D"/>
    <w:rsid w:val="002A2685"/>
    <w:rsid w:val="002A2EBD"/>
    <w:rsid w:val="002A319B"/>
    <w:rsid w:val="002A3BC6"/>
    <w:rsid w:val="002A3E2D"/>
    <w:rsid w:val="002A5436"/>
    <w:rsid w:val="002A5908"/>
    <w:rsid w:val="002A5CBA"/>
    <w:rsid w:val="002A618E"/>
    <w:rsid w:val="002A7BB4"/>
    <w:rsid w:val="002A7D9C"/>
    <w:rsid w:val="002A7E45"/>
    <w:rsid w:val="002B0693"/>
    <w:rsid w:val="002B2ED8"/>
    <w:rsid w:val="002B4B80"/>
    <w:rsid w:val="002B5511"/>
    <w:rsid w:val="002B612F"/>
    <w:rsid w:val="002B62C3"/>
    <w:rsid w:val="002B7440"/>
    <w:rsid w:val="002B77C7"/>
    <w:rsid w:val="002C06DB"/>
    <w:rsid w:val="002C132E"/>
    <w:rsid w:val="002C1ADA"/>
    <w:rsid w:val="002C2B36"/>
    <w:rsid w:val="002C2C06"/>
    <w:rsid w:val="002C2D0F"/>
    <w:rsid w:val="002C42FE"/>
    <w:rsid w:val="002C4422"/>
    <w:rsid w:val="002C49C6"/>
    <w:rsid w:val="002C4C23"/>
    <w:rsid w:val="002C4D22"/>
    <w:rsid w:val="002C4FDC"/>
    <w:rsid w:val="002C6220"/>
    <w:rsid w:val="002C6984"/>
    <w:rsid w:val="002C760D"/>
    <w:rsid w:val="002D0297"/>
    <w:rsid w:val="002D0776"/>
    <w:rsid w:val="002D095F"/>
    <w:rsid w:val="002D0B24"/>
    <w:rsid w:val="002D32A6"/>
    <w:rsid w:val="002D4026"/>
    <w:rsid w:val="002D5B11"/>
    <w:rsid w:val="002D6429"/>
    <w:rsid w:val="002D674F"/>
    <w:rsid w:val="002D7483"/>
    <w:rsid w:val="002D7871"/>
    <w:rsid w:val="002E0016"/>
    <w:rsid w:val="002E0975"/>
    <w:rsid w:val="002E0BA8"/>
    <w:rsid w:val="002E0D7C"/>
    <w:rsid w:val="002E16A8"/>
    <w:rsid w:val="002E338D"/>
    <w:rsid w:val="002E38A7"/>
    <w:rsid w:val="002E5C03"/>
    <w:rsid w:val="002E6992"/>
    <w:rsid w:val="002E69B1"/>
    <w:rsid w:val="002E6BF3"/>
    <w:rsid w:val="002F05D2"/>
    <w:rsid w:val="002F10D1"/>
    <w:rsid w:val="002F1AE8"/>
    <w:rsid w:val="002F32B6"/>
    <w:rsid w:val="002F54B1"/>
    <w:rsid w:val="002F5CBA"/>
    <w:rsid w:val="002F6CDC"/>
    <w:rsid w:val="002F7030"/>
    <w:rsid w:val="002F7084"/>
    <w:rsid w:val="002F71B9"/>
    <w:rsid w:val="002F7886"/>
    <w:rsid w:val="00300F90"/>
    <w:rsid w:val="00301736"/>
    <w:rsid w:val="003017A8"/>
    <w:rsid w:val="003017F3"/>
    <w:rsid w:val="003019B3"/>
    <w:rsid w:val="00303261"/>
    <w:rsid w:val="00303D92"/>
    <w:rsid w:val="0030466A"/>
    <w:rsid w:val="003049D3"/>
    <w:rsid w:val="003051F6"/>
    <w:rsid w:val="00305ACD"/>
    <w:rsid w:val="003064AC"/>
    <w:rsid w:val="003071C4"/>
    <w:rsid w:val="00310117"/>
    <w:rsid w:val="00310639"/>
    <w:rsid w:val="0031097A"/>
    <w:rsid w:val="00311E4E"/>
    <w:rsid w:val="003126FC"/>
    <w:rsid w:val="0031289C"/>
    <w:rsid w:val="00312F79"/>
    <w:rsid w:val="00313D69"/>
    <w:rsid w:val="00314084"/>
    <w:rsid w:val="00314695"/>
    <w:rsid w:val="00314FD2"/>
    <w:rsid w:val="0031533D"/>
    <w:rsid w:val="0031638A"/>
    <w:rsid w:val="003165DA"/>
    <w:rsid w:val="00317317"/>
    <w:rsid w:val="0031796B"/>
    <w:rsid w:val="00320B4C"/>
    <w:rsid w:val="00320BDC"/>
    <w:rsid w:val="003217EB"/>
    <w:rsid w:val="00321EBD"/>
    <w:rsid w:val="0032269F"/>
    <w:rsid w:val="00322A57"/>
    <w:rsid w:val="00324510"/>
    <w:rsid w:val="0032465C"/>
    <w:rsid w:val="00325403"/>
    <w:rsid w:val="00325EE1"/>
    <w:rsid w:val="00326C03"/>
    <w:rsid w:val="0032723B"/>
    <w:rsid w:val="00327B6E"/>
    <w:rsid w:val="003301B9"/>
    <w:rsid w:val="00330E94"/>
    <w:rsid w:val="00330EEF"/>
    <w:rsid w:val="0033214F"/>
    <w:rsid w:val="00332CB3"/>
    <w:rsid w:val="00333136"/>
    <w:rsid w:val="003355A5"/>
    <w:rsid w:val="00336DB7"/>
    <w:rsid w:val="00341B4F"/>
    <w:rsid w:val="0034311C"/>
    <w:rsid w:val="003436A1"/>
    <w:rsid w:val="00343806"/>
    <w:rsid w:val="0034408C"/>
    <w:rsid w:val="0034441B"/>
    <w:rsid w:val="0034499C"/>
    <w:rsid w:val="00344EEF"/>
    <w:rsid w:val="003457BF"/>
    <w:rsid w:val="00345BF5"/>
    <w:rsid w:val="00345D63"/>
    <w:rsid w:val="00347C6B"/>
    <w:rsid w:val="00347CEC"/>
    <w:rsid w:val="003508A7"/>
    <w:rsid w:val="0035148E"/>
    <w:rsid w:val="00351E22"/>
    <w:rsid w:val="00352EF1"/>
    <w:rsid w:val="00355AA0"/>
    <w:rsid w:val="00356EA1"/>
    <w:rsid w:val="003607BA"/>
    <w:rsid w:val="00361A86"/>
    <w:rsid w:val="00362342"/>
    <w:rsid w:val="00363945"/>
    <w:rsid w:val="00364164"/>
    <w:rsid w:val="003648E6"/>
    <w:rsid w:val="00364DD1"/>
    <w:rsid w:val="003654CE"/>
    <w:rsid w:val="0036725F"/>
    <w:rsid w:val="0036737B"/>
    <w:rsid w:val="0037142D"/>
    <w:rsid w:val="00372AA8"/>
    <w:rsid w:val="00372D16"/>
    <w:rsid w:val="00373A0D"/>
    <w:rsid w:val="00373B78"/>
    <w:rsid w:val="003749F9"/>
    <w:rsid w:val="00375105"/>
    <w:rsid w:val="003756F0"/>
    <w:rsid w:val="0037698F"/>
    <w:rsid w:val="003776A6"/>
    <w:rsid w:val="00377A2F"/>
    <w:rsid w:val="003800CE"/>
    <w:rsid w:val="003803F8"/>
    <w:rsid w:val="00382278"/>
    <w:rsid w:val="0038296A"/>
    <w:rsid w:val="00383B1E"/>
    <w:rsid w:val="00384033"/>
    <w:rsid w:val="00384C4B"/>
    <w:rsid w:val="00385592"/>
    <w:rsid w:val="003940F5"/>
    <w:rsid w:val="003942B3"/>
    <w:rsid w:val="0039682E"/>
    <w:rsid w:val="00397686"/>
    <w:rsid w:val="00397F1E"/>
    <w:rsid w:val="003A089B"/>
    <w:rsid w:val="003A11AC"/>
    <w:rsid w:val="003A1460"/>
    <w:rsid w:val="003A1926"/>
    <w:rsid w:val="003A4479"/>
    <w:rsid w:val="003A5CCC"/>
    <w:rsid w:val="003A68A0"/>
    <w:rsid w:val="003A6C8A"/>
    <w:rsid w:val="003B03BE"/>
    <w:rsid w:val="003B0AD6"/>
    <w:rsid w:val="003B0DD8"/>
    <w:rsid w:val="003B1119"/>
    <w:rsid w:val="003B1425"/>
    <w:rsid w:val="003B1DD8"/>
    <w:rsid w:val="003B2FDF"/>
    <w:rsid w:val="003B34C1"/>
    <w:rsid w:val="003B3F7C"/>
    <w:rsid w:val="003B4D0E"/>
    <w:rsid w:val="003B5744"/>
    <w:rsid w:val="003B5EFC"/>
    <w:rsid w:val="003B7917"/>
    <w:rsid w:val="003C05A9"/>
    <w:rsid w:val="003C0CBC"/>
    <w:rsid w:val="003C0DD4"/>
    <w:rsid w:val="003C0E46"/>
    <w:rsid w:val="003C0F02"/>
    <w:rsid w:val="003C11B7"/>
    <w:rsid w:val="003C1AAB"/>
    <w:rsid w:val="003C1CE6"/>
    <w:rsid w:val="003C208B"/>
    <w:rsid w:val="003C2468"/>
    <w:rsid w:val="003C26DF"/>
    <w:rsid w:val="003C2BB9"/>
    <w:rsid w:val="003C2CEF"/>
    <w:rsid w:val="003C3A86"/>
    <w:rsid w:val="003C3F85"/>
    <w:rsid w:val="003C41E9"/>
    <w:rsid w:val="003C49C0"/>
    <w:rsid w:val="003C59D0"/>
    <w:rsid w:val="003C6D35"/>
    <w:rsid w:val="003C6E13"/>
    <w:rsid w:val="003C7068"/>
    <w:rsid w:val="003C79D1"/>
    <w:rsid w:val="003D2352"/>
    <w:rsid w:val="003D2E2E"/>
    <w:rsid w:val="003D332D"/>
    <w:rsid w:val="003D454B"/>
    <w:rsid w:val="003D4609"/>
    <w:rsid w:val="003D547D"/>
    <w:rsid w:val="003D597A"/>
    <w:rsid w:val="003D5D7E"/>
    <w:rsid w:val="003D6094"/>
    <w:rsid w:val="003D7ECB"/>
    <w:rsid w:val="003E0003"/>
    <w:rsid w:val="003E0A19"/>
    <w:rsid w:val="003E0E64"/>
    <w:rsid w:val="003E21A3"/>
    <w:rsid w:val="003E429F"/>
    <w:rsid w:val="003E5AB4"/>
    <w:rsid w:val="003E5B7F"/>
    <w:rsid w:val="003E6472"/>
    <w:rsid w:val="003E6CFE"/>
    <w:rsid w:val="003E70D2"/>
    <w:rsid w:val="003E7E9B"/>
    <w:rsid w:val="003F07C4"/>
    <w:rsid w:val="003F1F31"/>
    <w:rsid w:val="003F26EB"/>
    <w:rsid w:val="003F286D"/>
    <w:rsid w:val="003F3DDA"/>
    <w:rsid w:val="003F4213"/>
    <w:rsid w:val="003F5F95"/>
    <w:rsid w:val="003F61DF"/>
    <w:rsid w:val="003F7972"/>
    <w:rsid w:val="003F7F13"/>
    <w:rsid w:val="00400D22"/>
    <w:rsid w:val="00402C6E"/>
    <w:rsid w:val="00404F61"/>
    <w:rsid w:val="004050E6"/>
    <w:rsid w:val="00405E0C"/>
    <w:rsid w:val="00406135"/>
    <w:rsid w:val="00406CAE"/>
    <w:rsid w:val="00407D79"/>
    <w:rsid w:val="00410113"/>
    <w:rsid w:val="00410A26"/>
    <w:rsid w:val="004113EA"/>
    <w:rsid w:val="00411831"/>
    <w:rsid w:val="00411C84"/>
    <w:rsid w:val="004123FA"/>
    <w:rsid w:val="004128A9"/>
    <w:rsid w:val="00412A71"/>
    <w:rsid w:val="00414288"/>
    <w:rsid w:val="00414C52"/>
    <w:rsid w:val="00414D41"/>
    <w:rsid w:val="00414D4F"/>
    <w:rsid w:val="00415642"/>
    <w:rsid w:val="0041592A"/>
    <w:rsid w:val="004167CF"/>
    <w:rsid w:val="00416EF5"/>
    <w:rsid w:val="00420D3A"/>
    <w:rsid w:val="00420FAA"/>
    <w:rsid w:val="00423E11"/>
    <w:rsid w:val="00426210"/>
    <w:rsid w:val="0042660A"/>
    <w:rsid w:val="004266CB"/>
    <w:rsid w:val="00426C76"/>
    <w:rsid w:val="00426D47"/>
    <w:rsid w:val="004271AE"/>
    <w:rsid w:val="00427339"/>
    <w:rsid w:val="00430446"/>
    <w:rsid w:val="00430F48"/>
    <w:rsid w:val="004312CE"/>
    <w:rsid w:val="00431471"/>
    <w:rsid w:val="00432123"/>
    <w:rsid w:val="00432AB8"/>
    <w:rsid w:val="00432D29"/>
    <w:rsid w:val="004345E1"/>
    <w:rsid w:val="004348F2"/>
    <w:rsid w:val="0043529C"/>
    <w:rsid w:val="00435311"/>
    <w:rsid w:val="00435ABD"/>
    <w:rsid w:val="00435CE8"/>
    <w:rsid w:val="00435ED9"/>
    <w:rsid w:val="00436597"/>
    <w:rsid w:val="00436764"/>
    <w:rsid w:val="00436BD4"/>
    <w:rsid w:val="00436F4C"/>
    <w:rsid w:val="004372B2"/>
    <w:rsid w:val="00437B81"/>
    <w:rsid w:val="00437CE9"/>
    <w:rsid w:val="00440333"/>
    <w:rsid w:val="00440C7D"/>
    <w:rsid w:val="00440F43"/>
    <w:rsid w:val="004416AE"/>
    <w:rsid w:val="0044178B"/>
    <w:rsid w:val="00441E7E"/>
    <w:rsid w:val="0044275F"/>
    <w:rsid w:val="004438D7"/>
    <w:rsid w:val="00443B66"/>
    <w:rsid w:val="00444081"/>
    <w:rsid w:val="0044476B"/>
    <w:rsid w:val="00444DE7"/>
    <w:rsid w:val="00445596"/>
    <w:rsid w:val="004472C5"/>
    <w:rsid w:val="0045072C"/>
    <w:rsid w:val="00450A1D"/>
    <w:rsid w:val="00453464"/>
    <w:rsid w:val="0045354A"/>
    <w:rsid w:val="00454E0B"/>
    <w:rsid w:val="0045542B"/>
    <w:rsid w:val="00455FD3"/>
    <w:rsid w:val="004562E0"/>
    <w:rsid w:val="00457B8E"/>
    <w:rsid w:val="00460009"/>
    <w:rsid w:val="0046041A"/>
    <w:rsid w:val="004616D5"/>
    <w:rsid w:val="00462700"/>
    <w:rsid w:val="00462F9D"/>
    <w:rsid w:val="004631B0"/>
    <w:rsid w:val="00464A2A"/>
    <w:rsid w:val="00464AE0"/>
    <w:rsid w:val="00464EA7"/>
    <w:rsid w:val="00465C23"/>
    <w:rsid w:val="00465E65"/>
    <w:rsid w:val="004660AB"/>
    <w:rsid w:val="00466947"/>
    <w:rsid w:val="00466F8E"/>
    <w:rsid w:val="00470194"/>
    <w:rsid w:val="00470A0A"/>
    <w:rsid w:val="00470E51"/>
    <w:rsid w:val="004716EC"/>
    <w:rsid w:val="00471966"/>
    <w:rsid w:val="00471D20"/>
    <w:rsid w:val="00474197"/>
    <w:rsid w:val="0047428D"/>
    <w:rsid w:val="0047475A"/>
    <w:rsid w:val="00475636"/>
    <w:rsid w:val="00476753"/>
    <w:rsid w:val="00476B79"/>
    <w:rsid w:val="00477330"/>
    <w:rsid w:val="0047780A"/>
    <w:rsid w:val="00477DA0"/>
    <w:rsid w:val="00481941"/>
    <w:rsid w:val="0048290E"/>
    <w:rsid w:val="00484747"/>
    <w:rsid w:val="0048557F"/>
    <w:rsid w:val="00485D93"/>
    <w:rsid w:val="0048617F"/>
    <w:rsid w:val="00486A37"/>
    <w:rsid w:val="0048795A"/>
    <w:rsid w:val="00493879"/>
    <w:rsid w:val="00494A1D"/>
    <w:rsid w:val="00495B96"/>
    <w:rsid w:val="004965A1"/>
    <w:rsid w:val="004966FD"/>
    <w:rsid w:val="00497EEB"/>
    <w:rsid w:val="004A01B4"/>
    <w:rsid w:val="004A06EA"/>
    <w:rsid w:val="004A0886"/>
    <w:rsid w:val="004A0903"/>
    <w:rsid w:val="004A1070"/>
    <w:rsid w:val="004A15A1"/>
    <w:rsid w:val="004A1EB7"/>
    <w:rsid w:val="004A1F76"/>
    <w:rsid w:val="004A2DB7"/>
    <w:rsid w:val="004A57E5"/>
    <w:rsid w:val="004A77F7"/>
    <w:rsid w:val="004B07AA"/>
    <w:rsid w:val="004B07DD"/>
    <w:rsid w:val="004B14FA"/>
    <w:rsid w:val="004B28AA"/>
    <w:rsid w:val="004B367F"/>
    <w:rsid w:val="004B3E14"/>
    <w:rsid w:val="004B415E"/>
    <w:rsid w:val="004B469B"/>
    <w:rsid w:val="004B4752"/>
    <w:rsid w:val="004B5902"/>
    <w:rsid w:val="004B5A07"/>
    <w:rsid w:val="004B6896"/>
    <w:rsid w:val="004B6984"/>
    <w:rsid w:val="004B73D8"/>
    <w:rsid w:val="004B75E7"/>
    <w:rsid w:val="004B7EA1"/>
    <w:rsid w:val="004C13D9"/>
    <w:rsid w:val="004C1C7D"/>
    <w:rsid w:val="004C2120"/>
    <w:rsid w:val="004C3128"/>
    <w:rsid w:val="004C31F9"/>
    <w:rsid w:val="004C33C5"/>
    <w:rsid w:val="004C39F9"/>
    <w:rsid w:val="004C3DCB"/>
    <w:rsid w:val="004C4728"/>
    <w:rsid w:val="004C47B6"/>
    <w:rsid w:val="004C4EFE"/>
    <w:rsid w:val="004C5328"/>
    <w:rsid w:val="004D0BFA"/>
    <w:rsid w:val="004D11ED"/>
    <w:rsid w:val="004D33FE"/>
    <w:rsid w:val="004D4743"/>
    <w:rsid w:val="004D523F"/>
    <w:rsid w:val="004D56AE"/>
    <w:rsid w:val="004D5CC0"/>
    <w:rsid w:val="004D6671"/>
    <w:rsid w:val="004D71CA"/>
    <w:rsid w:val="004D7DFA"/>
    <w:rsid w:val="004E0EE9"/>
    <w:rsid w:val="004E1AD6"/>
    <w:rsid w:val="004E2107"/>
    <w:rsid w:val="004E2258"/>
    <w:rsid w:val="004E2936"/>
    <w:rsid w:val="004E293F"/>
    <w:rsid w:val="004E2992"/>
    <w:rsid w:val="004E2C52"/>
    <w:rsid w:val="004E2D37"/>
    <w:rsid w:val="004E2F4B"/>
    <w:rsid w:val="004E41E8"/>
    <w:rsid w:val="004E43A3"/>
    <w:rsid w:val="004E4E26"/>
    <w:rsid w:val="004E5A25"/>
    <w:rsid w:val="004E5C23"/>
    <w:rsid w:val="004E5C2A"/>
    <w:rsid w:val="004F1204"/>
    <w:rsid w:val="004F158A"/>
    <w:rsid w:val="004F190D"/>
    <w:rsid w:val="004F238A"/>
    <w:rsid w:val="004F277A"/>
    <w:rsid w:val="004F2ED1"/>
    <w:rsid w:val="004F3960"/>
    <w:rsid w:val="004F4CAC"/>
    <w:rsid w:val="004F6A71"/>
    <w:rsid w:val="004F72BD"/>
    <w:rsid w:val="004F7638"/>
    <w:rsid w:val="004F7831"/>
    <w:rsid w:val="004F7B3B"/>
    <w:rsid w:val="0050108D"/>
    <w:rsid w:val="005011F5"/>
    <w:rsid w:val="00501611"/>
    <w:rsid w:val="00501D3E"/>
    <w:rsid w:val="00502B16"/>
    <w:rsid w:val="00503D62"/>
    <w:rsid w:val="00503EFC"/>
    <w:rsid w:val="00504E55"/>
    <w:rsid w:val="00506152"/>
    <w:rsid w:val="00506982"/>
    <w:rsid w:val="00507AA6"/>
    <w:rsid w:val="005101E2"/>
    <w:rsid w:val="00510633"/>
    <w:rsid w:val="00511843"/>
    <w:rsid w:val="00511B25"/>
    <w:rsid w:val="00512EF4"/>
    <w:rsid w:val="00513A35"/>
    <w:rsid w:val="00513D71"/>
    <w:rsid w:val="005147E0"/>
    <w:rsid w:val="00514AB6"/>
    <w:rsid w:val="005161AA"/>
    <w:rsid w:val="00516344"/>
    <w:rsid w:val="005164F4"/>
    <w:rsid w:val="005169E7"/>
    <w:rsid w:val="00516B14"/>
    <w:rsid w:val="00516EA1"/>
    <w:rsid w:val="00517139"/>
    <w:rsid w:val="00517217"/>
    <w:rsid w:val="0051779D"/>
    <w:rsid w:val="00521189"/>
    <w:rsid w:val="00522342"/>
    <w:rsid w:val="00522BA0"/>
    <w:rsid w:val="00523933"/>
    <w:rsid w:val="0052399C"/>
    <w:rsid w:val="00523D11"/>
    <w:rsid w:val="00525234"/>
    <w:rsid w:val="00526FDF"/>
    <w:rsid w:val="00527319"/>
    <w:rsid w:val="0052757F"/>
    <w:rsid w:val="005275BD"/>
    <w:rsid w:val="005279C9"/>
    <w:rsid w:val="00530004"/>
    <w:rsid w:val="0053018F"/>
    <w:rsid w:val="00530728"/>
    <w:rsid w:val="00531266"/>
    <w:rsid w:val="0053212F"/>
    <w:rsid w:val="00532609"/>
    <w:rsid w:val="00532DD2"/>
    <w:rsid w:val="0053359D"/>
    <w:rsid w:val="0053384B"/>
    <w:rsid w:val="00533A64"/>
    <w:rsid w:val="00534000"/>
    <w:rsid w:val="0053486B"/>
    <w:rsid w:val="00541409"/>
    <w:rsid w:val="005422C0"/>
    <w:rsid w:val="005433D1"/>
    <w:rsid w:val="0054406E"/>
    <w:rsid w:val="0054437B"/>
    <w:rsid w:val="0054498B"/>
    <w:rsid w:val="00547F39"/>
    <w:rsid w:val="00550BD2"/>
    <w:rsid w:val="00550FE3"/>
    <w:rsid w:val="00551781"/>
    <w:rsid w:val="00551A14"/>
    <w:rsid w:val="00553061"/>
    <w:rsid w:val="00553238"/>
    <w:rsid w:val="00553B11"/>
    <w:rsid w:val="005564D5"/>
    <w:rsid w:val="00557764"/>
    <w:rsid w:val="0056041A"/>
    <w:rsid w:val="00560786"/>
    <w:rsid w:val="00561451"/>
    <w:rsid w:val="0056212B"/>
    <w:rsid w:val="0056286A"/>
    <w:rsid w:val="005637F0"/>
    <w:rsid w:val="0056486F"/>
    <w:rsid w:val="00564C1B"/>
    <w:rsid w:val="00566E02"/>
    <w:rsid w:val="00567CF2"/>
    <w:rsid w:val="00570AD3"/>
    <w:rsid w:val="00571094"/>
    <w:rsid w:val="0057122E"/>
    <w:rsid w:val="00571296"/>
    <w:rsid w:val="005722B3"/>
    <w:rsid w:val="00572AE8"/>
    <w:rsid w:val="00573E5B"/>
    <w:rsid w:val="005742E2"/>
    <w:rsid w:val="00574A91"/>
    <w:rsid w:val="00576B4B"/>
    <w:rsid w:val="00576B53"/>
    <w:rsid w:val="00580F60"/>
    <w:rsid w:val="005810BA"/>
    <w:rsid w:val="005831AC"/>
    <w:rsid w:val="005839E2"/>
    <w:rsid w:val="00584320"/>
    <w:rsid w:val="00585D34"/>
    <w:rsid w:val="0058659F"/>
    <w:rsid w:val="00586865"/>
    <w:rsid w:val="00586C54"/>
    <w:rsid w:val="00587110"/>
    <w:rsid w:val="0058720B"/>
    <w:rsid w:val="005878DD"/>
    <w:rsid w:val="005917F2"/>
    <w:rsid w:val="0059268E"/>
    <w:rsid w:val="00592C7E"/>
    <w:rsid w:val="00592F4E"/>
    <w:rsid w:val="005931C4"/>
    <w:rsid w:val="00593434"/>
    <w:rsid w:val="00593452"/>
    <w:rsid w:val="00593A80"/>
    <w:rsid w:val="00593BE6"/>
    <w:rsid w:val="00593FC3"/>
    <w:rsid w:val="005944D8"/>
    <w:rsid w:val="00594CCB"/>
    <w:rsid w:val="00594DAE"/>
    <w:rsid w:val="00595DF8"/>
    <w:rsid w:val="005966B4"/>
    <w:rsid w:val="00596D33"/>
    <w:rsid w:val="00597EBB"/>
    <w:rsid w:val="005A03EC"/>
    <w:rsid w:val="005A0BCC"/>
    <w:rsid w:val="005A1C93"/>
    <w:rsid w:val="005A207C"/>
    <w:rsid w:val="005A2537"/>
    <w:rsid w:val="005A2B89"/>
    <w:rsid w:val="005A30B8"/>
    <w:rsid w:val="005A31D9"/>
    <w:rsid w:val="005A374C"/>
    <w:rsid w:val="005A3B00"/>
    <w:rsid w:val="005A3C03"/>
    <w:rsid w:val="005A424B"/>
    <w:rsid w:val="005A4D85"/>
    <w:rsid w:val="005A6915"/>
    <w:rsid w:val="005A6BB7"/>
    <w:rsid w:val="005A70CD"/>
    <w:rsid w:val="005A7178"/>
    <w:rsid w:val="005A7320"/>
    <w:rsid w:val="005A7688"/>
    <w:rsid w:val="005A7814"/>
    <w:rsid w:val="005A7BC7"/>
    <w:rsid w:val="005B00EE"/>
    <w:rsid w:val="005B03C2"/>
    <w:rsid w:val="005B145C"/>
    <w:rsid w:val="005B20E3"/>
    <w:rsid w:val="005B27C8"/>
    <w:rsid w:val="005B2EA1"/>
    <w:rsid w:val="005B4B9E"/>
    <w:rsid w:val="005B583B"/>
    <w:rsid w:val="005B623C"/>
    <w:rsid w:val="005B72C2"/>
    <w:rsid w:val="005C00AD"/>
    <w:rsid w:val="005C0FDA"/>
    <w:rsid w:val="005C31CD"/>
    <w:rsid w:val="005C39E0"/>
    <w:rsid w:val="005C4A03"/>
    <w:rsid w:val="005C4DAB"/>
    <w:rsid w:val="005C4DE6"/>
    <w:rsid w:val="005C557E"/>
    <w:rsid w:val="005C785E"/>
    <w:rsid w:val="005C78F0"/>
    <w:rsid w:val="005D0B70"/>
    <w:rsid w:val="005D0ED9"/>
    <w:rsid w:val="005D1083"/>
    <w:rsid w:val="005D139A"/>
    <w:rsid w:val="005D1B51"/>
    <w:rsid w:val="005D2234"/>
    <w:rsid w:val="005D37EE"/>
    <w:rsid w:val="005D38FD"/>
    <w:rsid w:val="005D4B8D"/>
    <w:rsid w:val="005D4EE7"/>
    <w:rsid w:val="005D5BC0"/>
    <w:rsid w:val="005D6D2D"/>
    <w:rsid w:val="005D6E55"/>
    <w:rsid w:val="005E0A4B"/>
    <w:rsid w:val="005E108A"/>
    <w:rsid w:val="005E1212"/>
    <w:rsid w:val="005E12CC"/>
    <w:rsid w:val="005E1AEF"/>
    <w:rsid w:val="005E3D6A"/>
    <w:rsid w:val="005E495F"/>
    <w:rsid w:val="005E4E0A"/>
    <w:rsid w:val="005F0583"/>
    <w:rsid w:val="005F0FE8"/>
    <w:rsid w:val="005F10C7"/>
    <w:rsid w:val="005F1825"/>
    <w:rsid w:val="005F2242"/>
    <w:rsid w:val="005F2323"/>
    <w:rsid w:val="005F24F7"/>
    <w:rsid w:val="005F2A44"/>
    <w:rsid w:val="005F44B8"/>
    <w:rsid w:val="005F47AF"/>
    <w:rsid w:val="005F4E66"/>
    <w:rsid w:val="005F5BE0"/>
    <w:rsid w:val="005F6204"/>
    <w:rsid w:val="005F6EA2"/>
    <w:rsid w:val="005F71A0"/>
    <w:rsid w:val="005F74E5"/>
    <w:rsid w:val="00600C18"/>
    <w:rsid w:val="00602B31"/>
    <w:rsid w:val="006046CC"/>
    <w:rsid w:val="00604C5D"/>
    <w:rsid w:val="0060516A"/>
    <w:rsid w:val="00605521"/>
    <w:rsid w:val="006055D1"/>
    <w:rsid w:val="00605777"/>
    <w:rsid w:val="00605AF7"/>
    <w:rsid w:val="006069DB"/>
    <w:rsid w:val="00607060"/>
    <w:rsid w:val="006074F5"/>
    <w:rsid w:val="00607EE6"/>
    <w:rsid w:val="00607F08"/>
    <w:rsid w:val="00610305"/>
    <w:rsid w:val="00610BEB"/>
    <w:rsid w:val="006110BE"/>
    <w:rsid w:val="00611760"/>
    <w:rsid w:val="006117A1"/>
    <w:rsid w:val="00611854"/>
    <w:rsid w:val="006127F1"/>
    <w:rsid w:val="006137F7"/>
    <w:rsid w:val="006150D5"/>
    <w:rsid w:val="006150FC"/>
    <w:rsid w:val="00615F98"/>
    <w:rsid w:val="00617B33"/>
    <w:rsid w:val="00617DD6"/>
    <w:rsid w:val="0062029E"/>
    <w:rsid w:val="00620A21"/>
    <w:rsid w:val="00620FB4"/>
    <w:rsid w:val="0062100B"/>
    <w:rsid w:val="0062118C"/>
    <w:rsid w:val="006212BA"/>
    <w:rsid w:val="006230EF"/>
    <w:rsid w:val="00623130"/>
    <w:rsid w:val="00625C53"/>
    <w:rsid w:val="00625F58"/>
    <w:rsid w:val="006267F3"/>
    <w:rsid w:val="00626C5F"/>
    <w:rsid w:val="00627250"/>
    <w:rsid w:val="00627F10"/>
    <w:rsid w:val="006311CE"/>
    <w:rsid w:val="00632CB2"/>
    <w:rsid w:val="00633202"/>
    <w:rsid w:val="00633E58"/>
    <w:rsid w:val="0063430F"/>
    <w:rsid w:val="006351A1"/>
    <w:rsid w:val="00636040"/>
    <w:rsid w:val="00636075"/>
    <w:rsid w:val="006367B0"/>
    <w:rsid w:val="00636F2F"/>
    <w:rsid w:val="00637F84"/>
    <w:rsid w:val="00640DF7"/>
    <w:rsid w:val="006410E5"/>
    <w:rsid w:val="00642525"/>
    <w:rsid w:val="0064258D"/>
    <w:rsid w:val="0064312C"/>
    <w:rsid w:val="00644084"/>
    <w:rsid w:val="0064465A"/>
    <w:rsid w:val="00644753"/>
    <w:rsid w:val="00647C04"/>
    <w:rsid w:val="0065001F"/>
    <w:rsid w:val="006502A9"/>
    <w:rsid w:val="00650844"/>
    <w:rsid w:val="00651924"/>
    <w:rsid w:val="0065250A"/>
    <w:rsid w:val="00652A1A"/>
    <w:rsid w:val="00653061"/>
    <w:rsid w:val="0065362B"/>
    <w:rsid w:val="00653B08"/>
    <w:rsid w:val="00655B25"/>
    <w:rsid w:val="006579AB"/>
    <w:rsid w:val="00657ACC"/>
    <w:rsid w:val="00661728"/>
    <w:rsid w:val="006622ED"/>
    <w:rsid w:val="00662B33"/>
    <w:rsid w:val="00663848"/>
    <w:rsid w:val="00663A45"/>
    <w:rsid w:val="00663E20"/>
    <w:rsid w:val="00663E52"/>
    <w:rsid w:val="00664412"/>
    <w:rsid w:val="00665BB6"/>
    <w:rsid w:val="00667F95"/>
    <w:rsid w:val="006701D0"/>
    <w:rsid w:val="00670395"/>
    <w:rsid w:val="0067112E"/>
    <w:rsid w:val="006722F3"/>
    <w:rsid w:val="0067437C"/>
    <w:rsid w:val="006746FC"/>
    <w:rsid w:val="00674FC1"/>
    <w:rsid w:val="00675004"/>
    <w:rsid w:val="00675B56"/>
    <w:rsid w:val="00676BB2"/>
    <w:rsid w:val="006779B9"/>
    <w:rsid w:val="00681209"/>
    <w:rsid w:val="00683118"/>
    <w:rsid w:val="00684BC9"/>
    <w:rsid w:val="0068542E"/>
    <w:rsid w:val="006855C9"/>
    <w:rsid w:val="00686624"/>
    <w:rsid w:val="00687B5C"/>
    <w:rsid w:val="0069304D"/>
    <w:rsid w:val="006937A9"/>
    <w:rsid w:val="00694362"/>
    <w:rsid w:val="00694975"/>
    <w:rsid w:val="00695AB9"/>
    <w:rsid w:val="00696C93"/>
    <w:rsid w:val="00696E69"/>
    <w:rsid w:val="00696F97"/>
    <w:rsid w:val="00697CA3"/>
    <w:rsid w:val="006A0138"/>
    <w:rsid w:val="006A03F8"/>
    <w:rsid w:val="006A0425"/>
    <w:rsid w:val="006A04BB"/>
    <w:rsid w:val="006A0E4E"/>
    <w:rsid w:val="006A3CE8"/>
    <w:rsid w:val="006A423B"/>
    <w:rsid w:val="006A51DA"/>
    <w:rsid w:val="006A5A3D"/>
    <w:rsid w:val="006B018B"/>
    <w:rsid w:val="006B0FC3"/>
    <w:rsid w:val="006B181A"/>
    <w:rsid w:val="006B2387"/>
    <w:rsid w:val="006B32C8"/>
    <w:rsid w:val="006B3C3E"/>
    <w:rsid w:val="006B4590"/>
    <w:rsid w:val="006B507A"/>
    <w:rsid w:val="006B532A"/>
    <w:rsid w:val="006B6668"/>
    <w:rsid w:val="006B675B"/>
    <w:rsid w:val="006C0102"/>
    <w:rsid w:val="006C056A"/>
    <w:rsid w:val="006C0C2F"/>
    <w:rsid w:val="006C1CE1"/>
    <w:rsid w:val="006C1EF4"/>
    <w:rsid w:val="006C2275"/>
    <w:rsid w:val="006C28EB"/>
    <w:rsid w:val="006C4541"/>
    <w:rsid w:val="006C45AB"/>
    <w:rsid w:val="006C56B9"/>
    <w:rsid w:val="006C6016"/>
    <w:rsid w:val="006C6B2D"/>
    <w:rsid w:val="006C7ED9"/>
    <w:rsid w:val="006D0932"/>
    <w:rsid w:val="006D09E3"/>
    <w:rsid w:val="006D2107"/>
    <w:rsid w:val="006D21C8"/>
    <w:rsid w:val="006D39DF"/>
    <w:rsid w:val="006D46DD"/>
    <w:rsid w:val="006D4830"/>
    <w:rsid w:val="006D51B1"/>
    <w:rsid w:val="006D603B"/>
    <w:rsid w:val="006D6543"/>
    <w:rsid w:val="006D686E"/>
    <w:rsid w:val="006D766C"/>
    <w:rsid w:val="006D7CE5"/>
    <w:rsid w:val="006E01F9"/>
    <w:rsid w:val="006E07CE"/>
    <w:rsid w:val="006E2C9F"/>
    <w:rsid w:val="006E3293"/>
    <w:rsid w:val="006E32FF"/>
    <w:rsid w:val="006E4801"/>
    <w:rsid w:val="006F0480"/>
    <w:rsid w:val="006F049A"/>
    <w:rsid w:val="006F0B47"/>
    <w:rsid w:val="006F2EB0"/>
    <w:rsid w:val="006F34B5"/>
    <w:rsid w:val="006F365B"/>
    <w:rsid w:val="006F48F0"/>
    <w:rsid w:val="006F4D99"/>
    <w:rsid w:val="006F550A"/>
    <w:rsid w:val="006F5982"/>
    <w:rsid w:val="006F59CE"/>
    <w:rsid w:val="006F5B68"/>
    <w:rsid w:val="006F5FEC"/>
    <w:rsid w:val="006F65B7"/>
    <w:rsid w:val="006F679A"/>
    <w:rsid w:val="006F6DCA"/>
    <w:rsid w:val="006F7BD8"/>
    <w:rsid w:val="006F7EF0"/>
    <w:rsid w:val="00700FAA"/>
    <w:rsid w:val="00701130"/>
    <w:rsid w:val="007023C4"/>
    <w:rsid w:val="00702E27"/>
    <w:rsid w:val="00704792"/>
    <w:rsid w:val="00705B70"/>
    <w:rsid w:val="00706053"/>
    <w:rsid w:val="00706A2F"/>
    <w:rsid w:val="0070717E"/>
    <w:rsid w:val="007077A2"/>
    <w:rsid w:val="00711666"/>
    <w:rsid w:val="00711A23"/>
    <w:rsid w:val="00712CE6"/>
    <w:rsid w:val="0071650C"/>
    <w:rsid w:val="007204A4"/>
    <w:rsid w:val="00720BB1"/>
    <w:rsid w:val="00721FE0"/>
    <w:rsid w:val="007241D6"/>
    <w:rsid w:val="0072433D"/>
    <w:rsid w:val="00724DAC"/>
    <w:rsid w:val="0072547D"/>
    <w:rsid w:val="007257B2"/>
    <w:rsid w:val="007258D6"/>
    <w:rsid w:val="00727395"/>
    <w:rsid w:val="00727717"/>
    <w:rsid w:val="0073062A"/>
    <w:rsid w:val="007308B4"/>
    <w:rsid w:val="00731CE3"/>
    <w:rsid w:val="00732A9E"/>
    <w:rsid w:val="00732BAB"/>
    <w:rsid w:val="00732F75"/>
    <w:rsid w:val="007337FE"/>
    <w:rsid w:val="007350FE"/>
    <w:rsid w:val="00735958"/>
    <w:rsid w:val="00735FD9"/>
    <w:rsid w:val="0073614A"/>
    <w:rsid w:val="00736321"/>
    <w:rsid w:val="0073664C"/>
    <w:rsid w:val="00736975"/>
    <w:rsid w:val="00740366"/>
    <w:rsid w:val="00740823"/>
    <w:rsid w:val="00740E5D"/>
    <w:rsid w:val="007412A8"/>
    <w:rsid w:val="00741613"/>
    <w:rsid w:val="00743186"/>
    <w:rsid w:val="00743284"/>
    <w:rsid w:val="007439C5"/>
    <w:rsid w:val="00743E85"/>
    <w:rsid w:val="007449C3"/>
    <w:rsid w:val="0074566D"/>
    <w:rsid w:val="007469A1"/>
    <w:rsid w:val="007474DC"/>
    <w:rsid w:val="0074780E"/>
    <w:rsid w:val="007478BB"/>
    <w:rsid w:val="007510CC"/>
    <w:rsid w:val="007532EA"/>
    <w:rsid w:val="0075369F"/>
    <w:rsid w:val="00754959"/>
    <w:rsid w:val="00755735"/>
    <w:rsid w:val="00756E31"/>
    <w:rsid w:val="007571D0"/>
    <w:rsid w:val="00757688"/>
    <w:rsid w:val="007604E5"/>
    <w:rsid w:val="00761FA1"/>
    <w:rsid w:val="0076264A"/>
    <w:rsid w:val="007643A1"/>
    <w:rsid w:val="00765F33"/>
    <w:rsid w:val="00767281"/>
    <w:rsid w:val="00771EE3"/>
    <w:rsid w:val="007721F2"/>
    <w:rsid w:val="007723EF"/>
    <w:rsid w:val="00772DF9"/>
    <w:rsid w:val="007759A3"/>
    <w:rsid w:val="00777019"/>
    <w:rsid w:val="0077766F"/>
    <w:rsid w:val="00777A38"/>
    <w:rsid w:val="007802A0"/>
    <w:rsid w:val="007806B1"/>
    <w:rsid w:val="0078074B"/>
    <w:rsid w:val="0078084B"/>
    <w:rsid w:val="00780B2D"/>
    <w:rsid w:val="007813EB"/>
    <w:rsid w:val="007826BC"/>
    <w:rsid w:val="007827D6"/>
    <w:rsid w:val="00782BC4"/>
    <w:rsid w:val="007832A3"/>
    <w:rsid w:val="007832AE"/>
    <w:rsid w:val="00783C8B"/>
    <w:rsid w:val="007845C3"/>
    <w:rsid w:val="00784EBF"/>
    <w:rsid w:val="0078707D"/>
    <w:rsid w:val="0078723F"/>
    <w:rsid w:val="00787848"/>
    <w:rsid w:val="00790628"/>
    <w:rsid w:val="0079123A"/>
    <w:rsid w:val="007924D8"/>
    <w:rsid w:val="00794337"/>
    <w:rsid w:val="00794C9B"/>
    <w:rsid w:val="00794D61"/>
    <w:rsid w:val="00794E20"/>
    <w:rsid w:val="00794EAF"/>
    <w:rsid w:val="007956FA"/>
    <w:rsid w:val="00796042"/>
    <w:rsid w:val="00796172"/>
    <w:rsid w:val="0079635D"/>
    <w:rsid w:val="00796733"/>
    <w:rsid w:val="007972EF"/>
    <w:rsid w:val="00797483"/>
    <w:rsid w:val="00797B1F"/>
    <w:rsid w:val="007A074A"/>
    <w:rsid w:val="007A1B23"/>
    <w:rsid w:val="007A1FED"/>
    <w:rsid w:val="007A2330"/>
    <w:rsid w:val="007A274F"/>
    <w:rsid w:val="007A2853"/>
    <w:rsid w:val="007A2930"/>
    <w:rsid w:val="007A3B68"/>
    <w:rsid w:val="007A3D45"/>
    <w:rsid w:val="007A5CDB"/>
    <w:rsid w:val="007B0CFC"/>
    <w:rsid w:val="007B4836"/>
    <w:rsid w:val="007B792A"/>
    <w:rsid w:val="007C014F"/>
    <w:rsid w:val="007C02BB"/>
    <w:rsid w:val="007C1564"/>
    <w:rsid w:val="007C3D6F"/>
    <w:rsid w:val="007C50D5"/>
    <w:rsid w:val="007C538D"/>
    <w:rsid w:val="007C5C47"/>
    <w:rsid w:val="007C631D"/>
    <w:rsid w:val="007C68EA"/>
    <w:rsid w:val="007C72B2"/>
    <w:rsid w:val="007C73AE"/>
    <w:rsid w:val="007C7A5E"/>
    <w:rsid w:val="007C7F3C"/>
    <w:rsid w:val="007D03E5"/>
    <w:rsid w:val="007D056D"/>
    <w:rsid w:val="007D13A3"/>
    <w:rsid w:val="007D1C13"/>
    <w:rsid w:val="007D1FB1"/>
    <w:rsid w:val="007D1FB9"/>
    <w:rsid w:val="007D245E"/>
    <w:rsid w:val="007D497B"/>
    <w:rsid w:val="007D6533"/>
    <w:rsid w:val="007D722B"/>
    <w:rsid w:val="007D7692"/>
    <w:rsid w:val="007D78F4"/>
    <w:rsid w:val="007D7BAE"/>
    <w:rsid w:val="007E179D"/>
    <w:rsid w:val="007E20BF"/>
    <w:rsid w:val="007E312B"/>
    <w:rsid w:val="007E464F"/>
    <w:rsid w:val="007E4E58"/>
    <w:rsid w:val="007E5C33"/>
    <w:rsid w:val="007E6536"/>
    <w:rsid w:val="007E74B0"/>
    <w:rsid w:val="007E757C"/>
    <w:rsid w:val="007E77FB"/>
    <w:rsid w:val="007E7CFD"/>
    <w:rsid w:val="007F0801"/>
    <w:rsid w:val="007F097A"/>
    <w:rsid w:val="007F103D"/>
    <w:rsid w:val="007F120B"/>
    <w:rsid w:val="007F14AD"/>
    <w:rsid w:val="007F18D2"/>
    <w:rsid w:val="007F1D2F"/>
    <w:rsid w:val="007F1E23"/>
    <w:rsid w:val="007F2527"/>
    <w:rsid w:val="007F27DB"/>
    <w:rsid w:val="007F2B89"/>
    <w:rsid w:val="007F33C3"/>
    <w:rsid w:val="007F4398"/>
    <w:rsid w:val="007F485F"/>
    <w:rsid w:val="007F4944"/>
    <w:rsid w:val="007F4C82"/>
    <w:rsid w:val="007F4CA3"/>
    <w:rsid w:val="007F5F56"/>
    <w:rsid w:val="007F632D"/>
    <w:rsid w:val="007F659A"/>
    <w:rsid w:val="007F6D0D"/>
    <w:rsid w:val="007F6F0F"/>
    <w:rsid w:val="007F777C"/>
    <w:rsid w:val="007F7D90"/>
    <w:rsid w:val="007F7F07"/>
    <w:rsid w:val="00800997"/>
    <w:rsid w:val="00800B8D"/>
    <w:rsid w:val="00800F4A"/>
    <w:rsid w:val="008018B9"/>
    <w:rsid w:val="00801F25"/>
    <w:rsid w:val="00802742"/>
    <w:rsid w:val="00802A0D"/>
    <w:rsid w:val="00803033"/>
    <w:rsid w:val="008037C0"/>
    <w:rsid w:val="00803CD7"/>
    <w:rsid w:val="00804609"/>
    <w:rsid w:val="00804D33"/>
    <w:rsid w:val="00805B04"/>
    <w:rsid w:val="00807CE4"/>
    <w:rsid w:val="008108E6"/>
    <w:rsid w:val="0081092F"/>
    <w:rsid w:val="00810D0B"/>
    <w:rsid w:val="0081290E"/>
    <w:rsid w:val="00813B73"/>
    <w:rsid w:val="00814593"/>
    <w:rsid w:val="008154C7"/>
    <w:rsid w:val="00816A34"/>
    <w:rsid w:val="008176A5"/>
    <w:rsid w:val="008179DA"/>
    <w:rsid w:val="0082062B"/>
    <w:rsid w:val="00820E64"/>
    <w:rsid w:val="00821473"/>
    <w:rsid w:val="00821D7B"/>
    <w:rsid w:val="00821E63"/>
    <w:rsid w:val="00824F7D"/>
    <w:rsid w:val="0082654E"/>
    <w:rsid w:val="00826F21"/>
    <w:rsid w:val="00827150"/>
    <w:rsid w:val="0083018E"/>
    <w:rsid w:val="008305ED"/>
    <w:rsid w:val="00830B33"/>
    <w:rsid w:val="00831C5E"/>
    <w:rsid w:val="008327AF"/>
    <w:rsid w:val="008332A1"/>
    <w:rsid w:val="008343AB"/>
    <w:rsid w:val="00834422"/>
    <w:rsid w:val="00834932"/>
    <w:rsid w:val="00835077"/>
    <w:rsid w:val="008361BD"/>
    <w:rsid w:val="00836AB3"/>
    <w:rsid w:val="00836CBE"/>
    <w:rsid w:val="00837D77"/>
    <w:rsid w:val="00840810"/>
    <w:rsid w:val="008409A8"/>
    <w:rsid w:val="00842C66"/>
    <w:rsid w:val="008440AA"/>
    <w:rsid w:val="00844799"/>
    <w:rsid w:val="00844FDF"/>
    <w:rsid w:val="0084527E"/>
    <w:rsid w:val="008452B0"/>
    <w:rsid w:val="0084664C"/>
    <w:rsid w:val="0084694C"/>
    <w:rsid w:val="008469A7"/>
    <w:rsid w:val="00846C7F"/>
    <w:rsid w:val="0084752F"/>
    <w:rsid w:val="008477DE"/>
    <w:rsid w:val="00847CE2"/>
    <w:rsid w:val="00850902"/>
    <w:rsid w:val="0085151E"/>
    <w:rsid w:val="00851E37"/>
    <w:rsid w:val="00852456"/>
    <w:rsid w:val="0085250F"/>
    <w:rsid w:val="008529BD"/>
    <w:rsid w:val="00852E45"/>
    <w:rsid w:val="008540F9"/>
    <w:rsid w:val="00854171"/>
    <w:rsid w:val="00854398"/>
    <w:rsid w:val="008543E4"/>
    <w:rsid w:val="00854646"/>
    <w:rsid w:val="008552D9"/>
    <w:rsid w:val="00857715"/>
    <w:rsid w:val="008602B4"/>
    <w:rsid w:val="008605B6"/>
    <w:rsid w:val="00861B8C"/>
    <w:rsid w:val="00862EC8"/>
    <w:rsid w:val="00863D05"/>
    <w:rsid w:val="008644ED"/>
    <w:rsid w:val="00865706"/>
    <w:rsid w:val="00865BBE"/>
    <w:rsid w:val="00866157"/>
    <w:rsid w:val="00866B35"/>
    <w:rsid w:val="00867609"/>
    <w:rsid w:val="00867DC2"/>
    <w:rsid w:val="00870318"/>
    <w:rsid w:val="00871BE4"/>
    <w:rsid w:val="0087222B"/>
    <w:rsid w:val="00873160"/>
    <w:rsid w:val="00874263"/>
    <w:rsid w:val="008743BA"/>
    <w:rsid w:val="00875838"/>
    <w:rsid w:val="00877F0B"/>
    <w:rsid w:val="008804C4"/>
    <w:rsid w:val="00880F11"/>
    <w:rsid w:val="008811CF"/>
    <w:rsid w:val="00881590"/>
    <w:rsid w:val="0088183E"/>
    <w:rsid w:val="00883B32"/>
    <w:rsid w:val="0088484E"/>
    <w:rsid w:val="00885D63"/>
    <w:rsid w:val="0088683E"/>
    <w:rsid w:val="00887337"/>
    <w:rsid w:val="00887A2A"/>
    <w:rsid w:val="00890C5B"/>
    <w:rsid w:val="008916D6"/>
    <w:rsid w:val="00893483"/>
    <w:rsid w:val="00893A2D"/>
    <w:rsid w:val="00894572"/>
    <w:rsid w:val="00894D25"/>
    <w:rsid w:val="00894F3D"/>
    <w:rsid w:val="0089540A"/>
    <w:rsid w:val="00896124"/>
    <w:rsid w:val="0089796E"/>
    <w:rsid w:val="008A0977"/>
    <w:rsid w:val="008A09D6"/>
    <w:rsid w:val="008A19CB"/>
    <w:rsid w:val="008A2923"/>
    <w:rsid w:val="008A2C0F"/>
    <w:rsid w:val="008A44AE"/>
    <w:rsid w:val="008A5AC7"/>
    <w:rsid w:val="008A5FE2"/>
    <w:rsid w:val="008A62A1"/>
    <w:rsid w:val="008A6D03"/>
    <w:rsid w:val="008B12D5"/>
    <w:rsid w:val="008B2987"/>
    <w:rsid w:val="008B29B4"/>
    <w:rsid w:val="008B2BB1"/>
    <w:rsid w:val="008B2DAA"/>
    <w:rsid w:val="008B302F"/>
    <w:rsid w:val="008B37F3"/>
    <w:rsid w:val="008B407D"/>
    <w:rsid w:val="008B47C2"/>
    <w:rsid w:val="008B4D37"/>
    <w:rsid w:val="008B5024"/>
    <w:rsid w:val="008B5509"/>
    <w:rsid w:val="008B585F"/>
    <w:rsid w:val="008B759F"/>
    <w:rsid w:val="008C057A"/>
    <w:rsid w:val="008C0D65"/>
    <w:rsid w:val="008C191F"/>
    <w:rsid w:val="008C2BF9"/>
    <w:rsid w:val="008C2FCD"/>
    <w:rsid w:val="008C32D6"/>
    <w:rsid w:val="008C39AB"/>
    <w:rsid w:val="008C4A22"/>
    <w:rsid w:val="008C4A93"/>
    <w:rsid w:val="008C4D23"/>
    <w:rsid w:val="008C4F4A"/>
    <w:rsid w:val="008C535F"/>
    <w:rsid w:val="008C6AB6"/>
    <w:rsid w:val="008C6DC4"/>
    <w:rsid w:val="008C73F3"/>
    <w:rsid w:val="008C7479"/>
    <w:rsid w:val="008C781B"/>
    <w:rsid w:val="008C7872"/>
    <w:rsid w:val="008D02FE"/>
    <w:rsid w:val="008D0690"/>
    <w:rsid w:val="008D0916"/>
    <w:rsid w:val="008D0B28"/>
    <w:rsid w:val="008D0C4B"/>
    <w:rsid w:val="008D25E0"/>
    <w:rsid w:val="008D299F"/>
    <w:rsid w:val="008D3546"/>
    <w:rsid w:val="008D3A9D"/>
    <w:rsid w:val="008D3B09"/>
    <w:rsid w:val="008D4121"/>
    <w:rsid w:val="008D5653"/>
    <w:rsid w:val="008D6E0E"/>
    <w:rsid w:val="008D773F"/>
    <w:rsid w:val="008E00D2"/>
    <w:rsid w:val="008E03EF"/>
    <w:rsid w:val="008E062E"/>
    <w:rsid w:val="008E0F46"/>
    <w:rsid w:val="008E1912"/>
    <w:rsid w:val="008E19BA"/>
    <w:rsid w:val="008E23BF"/>
    <w:rsid w:val="008E3125"/>
    <w:rsid w:val="008E3766"/>
    <w:rsid w:val="008E3893"/>
    <w:rsid w:val="008E45CB"/>
    <w:rsid w:val="008E6AF5"/>
    <w:rsid w:val="008E75E1"/>
    <w:rsid w:val="008E77AC"/>
    <w:rsid w:val="008F004C"/>
    <w:rsid w:val="008F1E42"/>
    <w:rsid w:val="008F1F2F"/>
    <w:rsid w:val="008F20D7"/>
    <w:rsid w:val="008F384F"/>
    <w:rsid w:val="008F4604"/>
    <w:rsid w:val="008F5EA2"/>
    <w:rsid w:val="008F692E"/>
    <w:rsid w:val="00900B71"/>
    <w:rsid w:val="00900E95"/>
    <w:rsid w:val="0090166F"/>
    <w:rsid w:val="00901D48"/>
    <w:rsid w:val="009026BB"/>
    <w:rsid w:val="00902C5E"/>
    <w:rsid w:val="00903027"/>
    <w:rsid w:val="00903232"/>
    <w:rsid w:val="00903418"/>
    <w:rsid w:val="00903B14"/>
    <w:rsid w:val="00903E44"/>
    <w:rsid w:val="0090418B"/>
    <w:rsid w:val="00904238"/>
    <w:rsid w:val="00904B6B"/>
    <w:rsid w:val="00904E5F"/>
    <w:rsid w:val="00905244"/>
    <w:rsid w:val="00905787"/>
    <w:rsid w:val="009075E8"/>
    <w:rsid w:val="0090799F"/>
    <w:rsid w:val="009104C4"/>
    <w:rsid w:val="00911663"/>
    <w:rsid w:val="00911784"/>
    <w:rsid w:val="0091199C"/>
    <w:rsid w:val="009121E7"/>
    <w:rsid w:val="00912C62"/>
    <w:rsid w:val="0091362E"/>
    <w:rsid w:val="009137D7"/>
    <w:rsid w:val="009141CB"/>
    <w:rsid w:val="00914978"/>
    <w:rsid w:val="00914B54"/>
    <w:rsid w:val="00914FE9"/>
    <w:rsid w:val="00915204"/>
    <w:rsid w:val="0091582B"/>
    <w:rsid w:val="009167E8"/>
    <w:rsid w:val="009217C5"/>
    <w:rsid w:val="00921E08"/>
    <w:rsid w:val="0092207B"/>
    <w:rsid w:val="009222DB"/>
    <w:rsid w:val="00922C8C"/>
    <w:rsid w:val="00922CF6"/>
    <w:rsid w:val="0092355F"/>
    <w:rsid w:val="00924742"/>
    <w:rsid w:val="00925194"/>
    <w:rsid w:val="00925E4E"/>
    <w:rsid w:val="009268AB"/>
    <w:rsid w:val="00926E6D"/>
    <w:rsid w:val="00926FC3"/>
    <w:rsid w:val="00927281"/>
    <w:rsid w:val="00927E5A"/>
    <w:rsid w:val="00930DED"/>
    <w:rsid w:val="00931600"/>
    <w:rsid w:val="00931959"/>
    <w:rsid w:val="00931ACC"/>
    <w:rsid w:val="0093343B"/>
    <w:rsid w:val="00935370"/>
    <w:rsid w:val="0093550D"/>
    <w:rsid w:val="009356D6"/>
    <w:rsid w:val="00935A88"/>
    <w:rsid w:val="00936683"/>
    <w:rsid w:val="009376C4"/>
    <w:rsid w:val="0093792D"/>
    <w:rsid w:val="0094006D"/>
    <w:rsid w:val="009414DB"/>
    <w:rsid w:val="0094319F"/>
    <w:rsid w:val="00944803"/>
    <w:rsid w:val="00944F0A"/>
    <w:rsid w:val="00946758"/>
    <w:rsid w:val="00947EF0"/>
    <w:rsid w:val="009503F3"/>
    <w:rsid w:val="00950D29"/>
    <w:rsid w:val="009512DE"/>
    <w:rsid w:val="00951809"/>
    <w:rsid w:val="00951AC9"/>
    <w:rsid w:val="00951C7D"/>
    <w:rsid w:val="009539DB"/>
    <w:rsid w:val="0095595D"/>
    <w:rsid w:val="00956926"/>
    <w:rsid w:val="00956F1C"/>
    <w:rsid w:val="00956FB6"/>
    <w:rsid w:val="00957400"/>
    <w:rsid w:val="00960879"/>
    <w:rsid w:val="00960E1C"/>
    <w:rsid w:val="0096144D"/>
    <w:rsid w:val="009614B5"/>
    <w:rsid w:val="00961587"/>
    <w:rsid w:val="009623EB"/>
    <w:rsid w:val="00962AB5"/>
    <w:rsid w:val="00963601"/>
    <w:rsid w:val="009644CD"/>
    <w:rsid w:val="009659D2"/>
    <w:rsid w:val="0097207D"/>
    <w:rsid w:val="00973C51"/>
    <w:rsid w:val="00973CC9"/>
    <w:rsid w:val="00974448"/>
    <w:rsid w:val="00974FC1"/>
    <w:rsid w:val="009750C7"/>
    <w:rsid w:val="009751AD"/>
    <w:rsid w:val="0097562D"/>
    <w:rsid w:val="009760C2"/>
    <w:rsid w:val="00976B06"/>
    <w:rsid w:val="00976FC2"/>
    <w:rsid w:val="0097702C"/>
    <w:rsid w:val="009770FE"/>
    <w:rsid w:val="00977DED"/>
    <w:rsid w:val="00980131"/>
    <w:rsid w:val="00980EE7"/>
    <w:rsid w:val="009814C1"/>
    <w:rsid w:val="00981A18"/>
    <w:rsid w:val="00981C07"/>
    <w:rsid w:val="00983B18"/>
    <w:rsid w:val="00983FA0"/>
    <w:rsid w:val="00984B61"/>
    <w:rsid w:val="009851E1"/>
    <w:rsid w:val="0098561E"/>
    <w:rsid w:val="00985B85"/>
    <w:rsid w:val="00985C4B"/>
    <w:rsid w:val="00986BF4"/>
    <w:rsid w:val="00987C1F"/>
    <w:rsid w:val="00990DBC"/>
    <w:rsid w:val="009910DB"/>
    <w:rsid w:val="009921BB"/>
    <w:rsid w:val="00993C79"/>
    <w:rsid w:val="00994340"/>
    <w:rsid w:val="009945A9"/>
    <w:rsid w:val="0099476B"/>
    <w:rsid w:val="009949D1"/>
    <w:rsid w:val="0099676F"/>
    <w:rsid w:val="00997579"/>
    <w:rsid w:val="009A0C1F"/>
    <w:rsid w:val="009A26D3"/>
    <w:rsid w:val="009A3275"/>
    <w:rsid w:val="009A3850"/>
    <w:rsid w:val="009A4350"/>
    <w:rsid w:val="009A4D0E"/>
    <w:rsid w:val="009A7355"/>
    <w:rsid w:val="009A73D5"/>
    <w:rsid w:val="009A746C"/>
    <w:rsid w:val="009B02A3"/>
    <w:rsid w:val="009B0DB8"/>
    <w:rsid w:val="009B0DCB"/>
    <w:rsid w:val="009B1FB8"/>
    <w:rsid w:val="009B2060"/>
    <w:rsid w:val="009B3013"/>
    <w:rsid w:val="009B34E5"/>
    <w:rsid w:val="009B3F4B"/>
    <w:rsid w:val="009B4455"/>
    <w:rsid w:val="009B5018"/>
    <w:rsid w:val="009B71DD"/>
    <w:rsid w:val="009B7888"/>
    <w:rsid w:val="009C0249"/>
    <w:rsid w:val="009C0651"/>
    <w:rsid w:val="009C0B45"/>
    <w:rsid w:val="009C0C9C"/>
    <w:rsid w:val="009C103B"/>
    <w:rsid w:val="009C17C2"/>
    <w:rsid w:val="009C1837"/>
    <w:rsid w:val="009C1A14"/>
    <w:rsid w:val="009C1ECB"/>
    <w:rsid w:val="009C294F"/>
    <w:rsid w:val="009C2D8E"/>
    <w:rsid w:val="009C3491"/>
    <w:rsid w:val="009C357D"/>
    <w:rsid w:val="009C421E"/>
    <w:rsid w:val="009C447D"/>
    <w:rsid w:val="009C4BE7"/>
    <w:rsid w:val="009C4EDA"/>
    <w:rsid w:val="009C63EA"/>
    <w:rsid w:val="009C63EB"/>
    <w:rsid w:val="009C75A6"/>
    <w:rsid w:val="009C7A3D"/>
    <w:rsid w:val="009C7F2D"/>
    <w:rsid w:val="009D0835"/>
    <w:rsid w:val="009D196A"/>
    <w:rsid w:val="009D29BA"/>
    <w:rsid w:val="009D2D41"/>
    <w:rsid w:val="009D3944"/>
    <w:rsid w:val="009D3E8A"/>
    <w:rsid w:val="009D4823"/>
    <w:rsid w:val="009D49D4"/>
    <w:rsid w:val="009D5386"/>
    <w:rsid w:val="009D6B1F"/>
    <w:rsid w:val="009D71FD"/>
    <w:rsid w:val="009D7925"/>
    <w:rsid w:val="009D7C64"/>
    <w:rsid w:val="009D7E9E"/>
    <w:rsid w:val="009E0412"/>
    <w:rsid w:val="009E09C3"/>
    <w:rsid w:val="009E0C0C"/>
    <w:rsid w:val="009E0E9E"/>
    <w:rsid w:val="009E1E14"/>
    <w:rsid w:val="009E2780"/>
    <w:rsid w:val="009E2C2B"/>
    <w:rsid w:val="009E56C5"/>
    <w:rsid w:val="009E647D"/>
    <w:rsid w:val="009F0CBE"/>
    <w:rsid w:val="009F1721"/>
    <w:rsid w:val="009F1FF6"/>
    <w:rsid w:val="009F2171"/>
    <w:rsid w:val="009F2698"/>
    <w:rsid w:val="009F45DE"/>
    <w:rsid w:val="009F6532"/>
    <w:rsid w:val="009F6D7C"/>
    <w:rsid w:val="009F7992"/>
    <w:rsid w:val="00A00A68"/>
    <w:rsid w:val="00A01016"/>
    <w:rsid w:val="00A04322"/>
    <w:rsid w:val="00A050BD"/>
    <w:rsid w:val="00A05FFB"/>
    <w:rsid w:val="00A06E5A"/>
    <w:rsid w:val="00A0708C"/>
    <w:rsid w:val="00A07110"/>
    <w:rsid w:val="00A07227"/>
    <w:rsid w:val="00A0751B"/>
    <w:rsid w:val="00A079C7"/>
    <w:rsid w:val="00A10C7A"/>
    <w:rsid w:val="00A11D52"/>
    <w:rsid w:val="00A1278C"/>
    <w:rsid w:val="00A133B5"/>
    <w:rsid w:val="00A1394A"/>
    <w:rsid w:val="00A13A11"/>
    <w:rsid w:val="00A1407C"/>
    <w:rsid w:val="00A14EB8"/>
    <w:rsid w:val="00A152E5"/>
    <w:rsid w:val="00A17318"/>
    <w:rsid w:val="00A1743E"/>
    <w:rsid w:val="00A20699"/>
    <w:rsid w:val="00A218FA"/>
    <w:rsid w:val="00A21968"/>
    <w:rsid w:val="00A21D03"/>
    <w:rsid w:val="00A22155"/>
    <w:rsid w:val="00A221A7"/>
    <w:rsid w:val="00A2256A"/>
    <w:rsid w:val="00A22705"/>
    <w:rsid w:val="00A22796"/>
    <w:rsid w:val="00A24066"/>
    <w:rsid w:val="00A2502E"/>
    <w:rsid w:val="00A25073"/>
    <w:rsid w:val="00A2543D"/>
    <w:rsid w:val="00A26C45"/>
    <w:rsid w:val="00A3021B"/>
    <w:rsid w:val="00A32384"/>
    <w:rsid w:val="00A323EB"/>
    <w:rsid w:val="00A32839"/>
    <w:rsid w:val="00A33794"/>
    <w:rsid w:val="00A34764"/>
    <w:rsid w:val="00A34F88"/>
    <w:rsid w:val="00A35DB7"/>
    <w:rsid w:val="00A4047A"/>
    <w:rsid w:val="00A40EEA"/>
    <w:rsid w:val="00A41531"/>
    <w:rsid w:val="00A4228B"/>
    <w:rsid w:val="00A4354A"/>
    <w:rsid w:val="00A43630"/>
    <w:rsid w:val="00A43FA5"/>
    <w:rsid w:val="00A45421"/>
    <w:rsid w:val="00A45E5B"/>
    <w:rsid w:val="00A470E1"/>
    <w:rsid w:val="00A50380"/>
    <w:rsid w:val="00A50557"/>
    <w:rsid w:val="00A50DC8"/>
    <w:rsid w:val="00A50F13"/>
    <w:rsid w:val="00A537D0"/>
    <w:rsid w:val="00A543F2"/>
    <w:rsid w:val="00A57241"/>
    <w:rsid w:val="00A57412"/>
    <w:rsid w:val="00A60100"/>
    <w:rsid w:val="00A60220"/>
    <w:rsid w:val="00A60273"/>
    <w:rsid w:val="00A624D2"/>
    <w:rsid w:val="00A63C81"/>
    <w:rsid w:val="00A649C7"/>
    <w:rsid w:val="00A64A18"/>
    <w:rsid w:val="00A64A95"/>
    <w:rsid w:val="00A65D0E"/>
    <w:rsid w:val="00A66A54"/>
    <w:rsid w:val="00A675EB"/>
    <w:rsid w:val="00A677BA"/>
    <w:rsid w:val="00A67E64"/>
    <w:rsid w:val="00A70EC5"/>
    <w:rsid w:val="00A7182F"/>
    <w:rsid w:val="00A71A4B"/>
    <w:rsid w:val="00A72347"/>
    <w:rsid w:val="00A73611"/>
    <w:rsid w:val="00A74255"/>
    <w:rsid w:val="00A74306"/>
    <w:rsid w:val="00A7507B"/>
    <w:rsid w:val="00A75667"/>
    <w:rsid w:val="00A75A26"/>
    <w:rsid w:val="00A76450"/>
    <w:rsid w:val="00A76529"/>
    <w:rsid w:val="00A76A5B"/>
    <w:rsid w:val="00A80E1E"/>
    <w:rsid w:val="00A813F0"/>
    <w:rsid w:val="00A82402"/>
    <w:rsid w:val="00A82EC1"/>
    <w:rsid w:val="00A852EC"/>
    <w:rsid w:val="00A855D7"/>
    <w:rsid w:val="00A85D11"/>
    <w:rsid w:val="00A862D3"/>
    <w:rsid w:val="00A90031"/>
    <w:rsid w:val="00A900DF"/>
    <w:rsid w:val="00A90345"/>
    <w:rsid w:val="00A9156D"/>
    <w:rsid w:val="00A917CF"/>
    <w:rsid w:val="00A91D26"/>
    <w:rsid w:val="00A91DBC"/>
    <w:rsid w:val="00A91DE5"/>
    <w:rsid w:val="00A92BB0"/>
    <w:rsid w:val="00A94178"/>
    <w:rsid w:val="00A94552"/>
    <w:rsid w:val="00A94EA7"/>
    <w:rsid w:val="00A95926"/>
    <w:rsid w:val="00A95B33"/>
    <w:rsid w:val="00A96294"/>
    <w:rsid w:val="00A96A1D"/>
    <w:rsid w:val="00AA040A"/>
    <w:rsid w:val="00AA0467"/>
    <w:rsid w:val="00AA100E"/>
    <w:rsid w:val="00AA1056"/>
    <w:rsid w:val="00AA2143"/>
    <w:rsid w:val="00AA2381"/>
    <w:rsid w:val="00AA23E3"/>
    <w:rsid w:val="00AA277E"/>
    <w:rsid w:val="00AA2B7A"/>
    <w:rsid w:val="00AA35C7"/>
    <w:rsid w:val="00AA3D66"/>
    <w:rsid w:val="00AA4726"/>
    <w:rsid w:val="00AA4BA3"/>
    <w:rsid w:val="00AA5BB4"/>
    <w:rsid w:val="00AA6101"/>
    <w:rsid w:val="00AA795D"/>
    <w:rsid w:val="00AB1165"/>
    <w:rsid w:val="00AB148B"/>
    <w:rsid w:val="00AB15AA"/>
    <w:rsid w:val="00AB22B9"/>
    <w:rsid w:val="00AB3423"/>
    <w:rsid w:val="00AB3894"/>
    <w:rsid w:val="00AB65B0"/>
    <w:rsid w:val="00AB7564"/>
    <w:rsid w:val="00AB7B5F"/>
    <w:rsid w:val="00AC06E2"/>
    <w:rsid w:val="00AC0DC9"/>
    <w:rsid w:val="00AC21CE"/>
    <w:rsid w:val="00AC27AA"/>
    <w:rsid w:val="00AC30B2"/>
    <w:rsid w:val="00AC3637"/>
    <w:rsid w:val="00AC3BC8"/>
    <w:rsid w:val="00AC4071"/>
    <w:rsid w:val="00AC4978"/>
    <w:rsid w:val="00AC5255"/>
    <w:rsid w:val="00AC5737"/>
    <w:rsid w:val="00AC57B7"/>
    <w:rsid w:val="00AC58E1"/>
    <w:rsid w:val="00AC5A68"/>
    <w:rsid w:val="00AC6330"/>
    <w:rsid w:val="00AC65F5"/>
    <w:rsid w:val="00AC759D"/>
    <w:rsid w:val="00AD01AD"/>
    <w:rsid w:val="00AD0742"/>
    <w:rsid w:val="00AD0B98"/>
    <w:rsid w:val="00AD1FF0"/>
    <w:rsid w:val="00AD22B9"/>
    <w:rsid w:val="00AD4040"/>
    <w:rsid w:val="00AD6BD2"/>
    <w:rsid w:val="00AD7621"/>
    <w:rsid w:val="00AD7DB6"/>
    <w:rsid w:val="00AE0143"/>
    <w:rsid w:val="00AE0AFE"/>
    <w:rsid w:val="00AE1771"/>
    <w:rsid w:val="00AE1DF4"/>
    <w:rsid w:val="00AE278F"/>
    <w:rsid w:val="00AE3384"/>
    <w:rsid w:val="00AE3641"/>
    <w:rsid w:val="00AE394F"/>
    <w:rsid w:val="00AE42FA"/>
    <w:rsid w:val="00AE4E65"/>
    <w:rsid w:val="00AE523D"/>
    <w:rsid w:val="00AE5C2B"/>
    <w:rsid w:val="00AE5E6A"/>
    <w:rsid w:val="00AE6270"/>
    <w:rsid w:val="00AE7397"/>
    <w:rsid w:val="00AF11FA"/>
    <w:rsid w:val="00AF1431"/>
    <w:rsid w:val="00AF1633"/>
    <w:rsid w:val="00AF184D"/>
    <w:rsid w:val="00AF2628"/>
    <w:rsid w:val="00AF2911"/>
    <w:rsid w:val="00AF4AB5"/>
    <w:rsid w:val="00AF56A9"/>
    <w:rsid w:val="00AF5E4E"/>
    <w:rsid w:val="00AF6D57"/>
    <w:rsid w:val="00AF6E55"/>
    <w:rsid w:val="00AF79C9"/>
    <w:rsid w:val="00AF7EC9"/>
    <w:rsid w:val="00B0097B"/>
    <w:rsid w:val="00B038D9"/>
    <w:rsid w:val="00B04013"/>
    <w:rsid w:val="00B04401"/>
    <w:rsid w:val="00B06AD6"/>
    <w:rsid w:val="00B06AE9"/>
    <w:rsid w:val="00B06D54"/>
    <w:rsid w:val="00B0713E"/>
    <w:rsid w:val="00B105A5"/>
    <w:rsid w:val="00B107C4"/>
    <w:rsid w:val="00B10B6A"/>
    <w:rsid w:val="00B10EEB"/>
    <w:rsid w:val="00B1248E"/>
    <w:rsid w:val="00B126DF"/>
    <w:rsid w:val="00B14340"/>
    <w:rsid w:val="00B17032"/>
    <w:rsid w:val="00B17536"/>
    <w:rsid w:val="00B20DC5"/>
    <w:rsid w:val="00B229F8"/>
    <w:rsid w:val="00B23967"/>
    <w:rsid w:val="00B24917"/>
    <w:rsid w:val="00B256B2"/>
    <w:rsid w:val="00B257FE"/>
    <w:rsid w:val="00B25993"/>
    <w:rsid w:val="00B30047"/>
    <w:rsid w:val="00B301A1"/>
    <w:rsid w:val="00B30C58"/>
    <w:rsid w:val="00B34888"/>
    <w:rsid w:val="00B34A54"/>
    <w:rsid w:val="00B3561F"/>
    <w:rsid w:val="00B35D8E"/>
    <w:rsid w:val="00B36BFF"/>
    <w:rsid w:val="00B36EE4"/>
    <w:rsid w:val="00B3723E"/>
    <w:rsid w:val="00B373E8"/>
    <w:rsid w:val="00B4063E"/>
    <w:rsid w:val="00B40FD7"/>
    <w:rsid w:val="00B41353"/>
    <w:rsid w:val="00B414D0"/>
    <w:rsid w:val="00B41B6D"/>
    <w:rsid w:val="00B41D2D"/>
    <w:rsid w:val="00B42AAB"/>
    <w:rsid w:val="00B42CA5"/>
    <w:rsid w:val="00B42EA3"/>
    <w:rsid w:val="00B42F23"/>
    <w:rsid w:val="00B4314C"/>
    <w:rsid w:val="00B432A2"/>
    <w:rsid w:val="00B4338D"/>
    <w:rsid w:val="00B442A0"/>
    <w:rsid w:val="00B4562D"/>
    <w:rsid w:val="00B45B7F"/>
    <w:rsid w:val="00B46382"/>
    <w:rsid w:val="00B46597"/>
    <w:rsid w:val="00B4691C"/>
    <w:rsid w:val="00B46AA9"/>
    <w:rsid w:val="00B46ADF"/>
    <w:rsid w:val="00B47FD8"/>
    <w:rsid w:val="00B50BA0"/>
    <w:rsid w:val="00B51E11"/>
    <w:rsid w:val="00B545FD"/>
    <w:rsid w:val="00B549A4"/>
    <w:rsid w:val="00B54F30"/>
    <w:rsid w:val="00B55904"/>
    <w:rsid w:val="00B577E4"/>
    <w:rsid w:val="00B604CA"/>
    <w:rsid w:val="00B60F68"/>
    <w:rsid w:val="00B61455"/>
    <w:rsid w:val="00B62596"/>
    <w:rsid w:val="00B6298C"/>
    <w:rsid w:val="00B62CA3"/>
    <w:rsid w:val="00B63B63"/>
    <w:rsid w:val="00B63E15"/>
    <w:rsid w:val="00B65619"/>
    <w:rsid w:val="00B65F7D"/>
    <w:rsid w:val="00B663DF"/>
    <w:rsid w:val="00B67BE9"/>
    <w:rsid w:val="00B70532"/>
    <w:rsid w:val="00B71105"/>
    <w:rsid w:val="00B724F3"/>
    <w:rsid w:val="00B739C4"/>
    <w:rsid w:val="00B73F25"/>
    <w:rsid w:val="00B741B2"/>
    <w:rsid w:val="00B744A2"/>
    <w:rsid w:val="00B74CCB"/>
    <w:rsid w:val="00B74F96"/>
    <w:rsid w:val="00B74FE8"/>
    <w:rsid w:val="00B75047"/>
    <w:rsid w:val="00B75E1A"/>
    <w:rsid w:val="00B7667E"/>
    <w:rsid w:val="00B768AB"/>
    <w:rsid w:val="00B7773B"/>
    <w:rsid w:val="00B77843"/>
    <w:rsid w:val="00B77934"/>
    <w:rsid w:val="00B801E0"/>
    <w:rsid w:val="00B80413"/>
    <w:rsid w:val="00B8151D"/>
    <w:rsid w:val="00B81D08"/>
    <w:rsid w:val="00B83D45"/>
    <w:rsid w:val="00B84363"/>
    <w:rsid w:val="00B84BD7"/>
    <w:rsid w:val="00B864DE"/>
    <w:rsid w:val="00B868E3"/>
    <w:rsid w:val="00B86D3C"/>
    <w:rsid w:val="00B86D85"/>
    <w:rsid w:val="00B86E1A"/>
    <w:rsid w:val="00B879BD"/>
    <w:rsid w:val="00B90B25"/>
    <w:rsid w:val="00B91D73"/>
    <w:rsid w:val="00B947A5"/>
    <w:rsid w:val="00B95D31"/>
    <w:rsid w:val="00B9626B"/>
    <w:rsid w:val="00B96BA1"/>
    <w:rsid w:val="00B97E08"/>
    <w:rsid w:val="00BA12B1"/>
    <w:rsid w:val="00BA1611"/>
    <w:rsid w:val="00BA1D5E"/>
    <w:rsid w:val="00BA23E6"/>
    <w:rsid w:val="00BA29F7"/>
    <w:rsid w:val="00BA2F17"/>
    <w:rsid w:val="00BA3683"/>
    <w:rsid w:val="00BA514D"/>
    <w:rsid w:val="00BA567B"/>
    <w:rsid w:val="00BA61A3"/>
    <w:rsid w:val="00BA6B74"/>
    <w:rsid w:val="00BA7E4E"/>
    <w:rsid w:val="00BB05C3"/>
    <w:rsid w:val="00BB181D"/>
    <w:rsid w:val="00BB1DD5"/>
    <w:rsid w:val="00BB1E16"/>
    <w:rsid w:val="00BB37BE"/>
    <w:rsid w:val="00BB559A"/>
    <w:rsid w:val="00BB7E44"/>
    <w:rsid w:val="00BC0116"/>
    <w:rsid w:val="00BC2269"/>
    <w:rsid w:val="00BC33FC"/>
    <w:rsid w:val="00BC36C2"/>
    <w:rsid w:val="00BC4CB2"/>
    <w:rsid w:val="00BC4F6A"/>
    <w:rsid w:val="00BC509B"/>
    <w:rsid w:val="00BC64AE"/>
    <w:rsid w:val="00BC698E"/>
    <w:rsid w:val="00BC6BDB"/>
    <w:rsid w:val="00BC7EB4"/>
    <w:rsid w:val="00BD0ABB"/>
    <w:rsid w:val="00BD0CB7"/>
    <w:rsid w:val="00BD0EDA"/>
    <w:rsid w:val="00BD2391"/>
    <w:rsid w:val="00BD4A08"/>
    <w:rsid w:val="00BD5700"/>
    <w:rsid w:val="00BD691D"/>
    <w:rsid w:val="00BD7F9B"/>
    <w:rsid w:val="00BE0493"/>
    <w:rsid w:val="00BE0544"/>
    <w:rsid w:val="00BE0849"/>
    <w:rsid w:val="00BE143A"/>
    <w:rsid w:val="00BE1FB9"/>
    <w:rsid w:val="00BE2799"/>
    <w:rsid w:val="00BE28FC"/>
    <w:rsid w:val="00BE394C"/>
    <w:rsid w:val="00BE3F99"/>
    <w:rsid w:val="00BE4745"/>
    <w:rsid w:val="00BE49C7"/>
    <w:rsid w:val="00BE6464"/>
    <w:rsid w:val="00BE6D77"/>
    <w:rsid w:val="00BE70CE"/>
    <w:rsid w:val="00BE7195"/>
    <w:rsid w:val="00BF1092"/>
    <w:rsid w:val="00BF344B"/>
    <w:rsid w:val="00BF4CB2"/>
    <w:rsid w:val="00BF5099"/>
    <w:rsid w:val="00BF5A7B"/>
    <w:rsid w:val="00BF5BEA"/>
    <w:rsid w:val="00BF6A1B"/>
    <w:rsid w:val="00BF70F0"/>
    <w:rsid w:val="00BF7A5D"/>
    <w:rsid w:val="00BF7BAC"/>
    <w:rsid w:val="00C00EEA"/>
    <w:rsid w:val="00C01CAD"/>
    <w:rsid w:val="00C03987"/>
    <w:rsid w:val="00C03FB9"/>
    <w:rsid w:val="00C044AA"/>
    <w:rsid w:val="00C04660"/>
    <w:rsid w:val="00C050D9"/>
    <w:rsid w:val="00C05399"/>
    <w:rsid w:val="00C0585F"/>
    <w:rsid w:val="00C07472"/>
    <w:rsid w:val="00C07C8E"/>
    <w:rsid w:val="00C1063D"/>
    <w:rsid w:val="00C10AA7"/>
    <w:rsid w:val="00C111A7"/>
    <w:rsid w:val="00C115FA"/>
    <w:rsid w:val="00C12736"/>
    <w:rsid w:val="00C13399"/>
    <w:rsid w:val="00C138FA"/>
    <w:rsid w:val="00C143D4"/>
    <w:rsid w:val="00C1455C"/>
    <w:rsid w:val="00C14EB0"/>
    <w:rsid w:val="00C169C4"/>
    <w:rsid w:val="00C16B46"/>
    <w:rsid w:val="00C16FE3"/>
    <w:rsid w:val="00C1740D"/>
    <w:rsid w:val="00C20175"/>
    <w:rsid w:val="00C214FE"/>
    <w:rsid w:val="00C21AE1"/>
    <w:rsid w:val="00C21EAA"/>
    <w:rsid w:val="00C2233F"/>
    <w:rsid w:val="00C23BD7"/>
    <w:rsid w:val="00C24C63"/>
    <w:rsid w:val="00C268EB"/>
    <w:rsid w:val="00C26DCF"/>
    <w:rsid w:val="00C3159F"/>
    <w:rsid w:val="00C318C5"/>
    <w:rsid w:val="00C31AB3"/>
    <w:rsid w:val="00C31BDC"/>
    <w:rsid w:val="00C332A4"/>
    <w:rsid w:val="00C3330D"/>
    <w:rsid w:val="00C33324"/>
    <w:rsid w:val="00C337BF"/>
    <w:rsid w:val="00C3396C"/>
    <w:rsid w:val="00C34080"/>
    <w:rsid w:val="00C3471E"/>
    <w:rsid w:val="00C34859"/>
    <w:rsid w:val="00C34E76"/>
    <w:rsid w:val="00C34F80"/>
    <w:rsid w:val="00C35097"/>
    <w:rsid w:val="00C351AF"/>
    <w:rsid w:val="00C37E3D"/>
    <w:rsid w:val="00C37F71"/>
    <w:rsid w:val="00C40A89"/>
    <w:rsid w:val="00C41D0F"/>
    <w:rsid w:val="00C41DAC"/>
    <w:rsid w:val="00C42352"/>
    <w:rsid w:val="00C42758"/>
    <w:rsid w:val="00C42E5D"/>
    <w:rsid w:val="00C44009"/>
    <w:rsid w:val="00C44241"/>
    <w:rsid w:val="00C44F79"/>
    <w:rsid w:val="00C451CA"/>
    <w:rsid w:val="00C4550B"/>
    <w:rsid w:val="00C4598F"/>
    <w:rsid w:val="00C459EE"/>
    <w:rsid w:val="00C468B6"/>
    <w:rsid w:val="00C46A29"/>
    <w:rsid w:val="00C46B0E"/>
    <w:rsid w:val="00C46D3E"/>
    <w:rsid w:val="00C47DDC"/>
    <w:rsid w:val="00C47DF4"/>
    <w:rsid w:val="00C51942"/>
    <w:rsid w:val="00C521BF"/>
    <w:rsid w:val="00C54857"/>
    <w:rsid w:val="00C55533"/>
    <w:rsid w:val="00C557D1"/>
    <w:rsid w:val="00C55883"/>
    <w:rsid w:val="00C55A68"/>
    <w:rsid w:val="00C55F06"/>
    <w:rsid w:val="00C56CBE"/>
    <w:rsid w:val="00C60517"/>
    <w:rsid w:val="00C61166"/>
    <w:rsid w:val="00C61720"/>
    <w:rsid w:val="00C61FD7"/>
    <w:rsid w:val="00C62202"/>
    <w:rsid w:val="00C6231F"/>
    <w:rsid w:val="00C631BD"/>
    <w:rsid w:val="00C65189"/>
    <w:rsid w:val="00C6604F"/>
    <w:rsid w:val="00C7138B"/>
    <w:rsid w:val="00C71798"/>
    <w:rsid w:val="00C71D0B"/>
    <w:rsid w:val="00C7402B"/>
    <w:rsid w:val="00C74031"/>
    <w:rsid w:val="00C740DD"/>
    <w:rsid w:val="00C7425E"/>
    <w:rsid w:val="00C74521"/>
    <w:rsid w:val="00C74EC2"/>
    <w:rsid w:val="00C7546E"/>
    <w:rsid w:val="00C759B6"/>
    <w:rsid w:val="00C77D70"/>
    <w:rsid w:val="00C81800"/>
    <w:rsid w:val="00C82A84"/>
    <w:rsid w:val="00C82D1B"/>
    <w:rsid w:val="00C869E6"/>
    <w:rsid w:val="00C872B9"/>
    <w:rsid w:val="00C91147"/>
    <w:rsid w:val="00C91CDF"/>
    <w:rsid w:val="00C922E1"/>
    <w:rsid w:val="00C92499"/>
    <w:rsid w:val="00C9486D"/>
    <w:rsid w:val="00C95123"/>
    <w:rsid w:val="00C954A9"/>
    <w:rsid w:val="00C962AF"/>
    <w:rsid w:val="00C96F30"/>
    <w:rsid w:val="00CA007E"/>
    <w:rsid w:val="00CA142C"/>
    <w:rsid w:val="00CA1601"/>
    <w:rsid w:val="00CA1EBD"/>
    <w:rsid w:val="00CA2078"/>
    <w:rsid w:val="00CA2802"/>
    <w:rsid w:val="00CA374F"/>
    <w:rsid w:val="00CA4312"/>
    <w:rsid w:val="00CA4D79"/>
    <w:rsid w:val="00CA539D"/>
    <w:rsid w:val="00CA57F7"/>
    <w:rsid w:val="00CA595A"/>
    <w:rsid w:val="00CA5A26"/>
    <w:rsid w:val="00CA5FFA"/>
    <w:rsid w:val="00CA6A8B"/>
    <w:rsid w:val="00CA72E1"/>
    <w:rsid w:val="00CA7820"/>
    <w:rsid w:val="00CB0739"/>
    <w:rsid w:val="00CB1974"/>
    <w:rsid w:val="00CB2852"/>
    <w:rsid w:val="00CB2C6A"/>
    <w:rsid w:val="00CB3A88"/>
    <w:rsid w:val="00CB4C79"/>
    <w:rsid w:val="00CB4FD5"/>
    <w:rsid w:val="00CB5B9C"/>
    <w:rsid w:val="00CB5CE0"/>
    <w:rsid w:val="00CB6466"/>
    <w:rsid w:val="00CB70FE"/>
    <w:rsid w:val="00CC0001"/>
    <w:rsid w:val="00CC14F2"/>
    <w:rsid w:val="00CC333B"/>
    <w:rsid w:val="00CC6F3D"/>
    <w:rsid w:val="00CC7CF1"/>
    <w:rsid w:val="00CD0520"/>
    <w:rsid w:val="00CD2934"/>
    <w:rsid w:val="00CD346A"/>
    <w:rsid w:val="00CD62F6"/>
    <w:rsid w:val="00CD7682"/>
    <w:rsid w:val="00CD7840"/>
    <w:rsid w:val="00CD7C92"/>
    <w:rsid w:val="00CE08FC"/>
    <w:rsid w:val="00CE1D9C"/>
    <w:rsid w:val="00CE2FB3"/>
    <w:rsid w:val="00CE353E"/>
    <w:rsid w:val="00CE389B"/>
    <w:rsid w:val="00CE3AB1"/>
    <w:rsid w:val="00CE552F"/>
    <w:rsid w:val="00CE68F5"/>
    <w:rsid w:val="00CE6D03"/>
    <w:rsid w:val="00CE7286"/>
    <w:rsid w:val="00CF0026"/>
    <w:rsid w:val="00CF09D3"/>
    <w:rsid w:val="00CF0D24"/>
    <w:rsid w:val="00CF10E6"/>
    <w:rsid w:val="00CF12D8"/>
    <w:rsid w:val="00CF29C1"/>
    <w:rsid w:val="00CF3612"/>
    <w:rsid w:val="00CF45A1"/>
    <w:rsid w:val="00CF4F52"/>
    <w:rsid w:val="00CF5FC5"/>
    <w:rsid w:val="00CF6A03"/>
    <w:rsid w:val="00CF6DEA"/>
    <w:rsid w:val="00CF73FB"/>
    <w:rsid w:val="00D01084"/>
    <w:rsid w:val="00D016BB"/>
    <w:rsid w:val="00D026EF"/>
    <w:rsid w:val="00D029F1"/>
    <w:rsid w:val="00D02B2D"/>
    <w:rsid w:val="00D02D31"/>
    <w:rsid w:val="00D04640"/>
    <w:rsid w:val="00D06455"/>
    <w:rsid w:val="00D1127D"/>
    <w:rsid w:val="00D11E8B"/>
    <w:rsid w:val="00D12381"/>
    <w:rsid w:val="00D16629"/>
    <w:rsid w:val="00D1720C"/>
    <w:rsid w:val="00D216AA"/>
    <w:rsid w:val="00D21C8C"/>
    <w:rsid w:val="00D224B9"/>
    <w:rsid w:val="00D23452"/>
    <w:rsid w:val="00D23812"/>
    <w:rsid w:val="00D24EBD"/>
    <w:rsid w:val="00D2599F"/>
    <w:rsid w:val="00D25D4F"/>
    <w:rsid w:val="00D263E5"/>
    <w:rsid w:val="00D269ED"/>
    <w:rsid w:val="00D26A90"/>
    <w:rsid w:val="00D26E3D"/>
    <w:rsid w:val="00D2716C"/>
    <w:rsid w:val="00D301D6"/>
    <w:rsid w:val="00D304BB"/>
    <w:rsid w:val="00D31078"/>
    <w:rsid w:val="00D31651"/>
    <w:rsid w:val="00D324A1"/>
    <w:rsid w:val="00D324EC"/>
    <w:rsid w:val="00D3254F"/>
    <w:rsid w:val="00D34BD4"/>
    <w:rsid w:val="00D351CE"/>
    <w:rsid w:val="00D35FF6"/>
    <w:rsid w:val="00D41089"/>
    <w:rsid w:val="00D410B3"/>
    <w:rsid w:val="00D41CB3"/>
    <w:rsid w:val="00D421C4"/>
    <w:rsid w:val="00D42736"/>
    <w:rsid w:val="00D43BC8"/>
    <w:rsid w:val="00D440B6"/>
    <w:rsid w:val="00D44698"/>
    <w:rsid w:val="00D4494F"/>
    <w:rsid w:val="00D46BA8"/>
    <w:rsid w:val="00D4792F"/>
    <w:rsid w:val="00D50307"/>
    <w:rsid w:val="00D506A3"/>
    <w:rsid w:val="00D506E0"/>
    <w:rsid w:val="00D50C80"/>
    <w:rsid w:val="00D510BD"/>
    <w:rsid w:val="00D523DB"/>
    <w:rsid w:val="00D524B5"/>
    <w:rsid w:val="00D5293D"/>
    <w:rsid w:val="00D5307A"/>
    <w:rsid w:val="00D53DB6"/>
    <w:rsid w:val="00D551FF"/>
    <w:rsid w:val="00D55486"/>
    <w:rsid w:val="00D56A92"/>
    <w:rsid w:val="00D56DA3"/>
    <w:rsid w:val="00D57689"/>
    <w:rsid w:val="00D6089C"/>
    <w:rsid w:val="00D62CA1"/>
    <w:rsid w:val="00D63C89"/>
    <w:rsid w:val="00D647AA"/>
    <w:rsid w:val="00D64926"/>
    <w:rsid w:val="00D64F5A"/>
    <w:rsid w:val="00D65795"/>
    <w:rsid w:val="00D65E83"/>
    <w:rsid w:val="00D7117D"/>
    <w:rsid w:val="00D71CEF"/>
    <w:rsid w:val="00D71DEC"/>
    <w:rsid w:val="00D737D1"/>
    <w:rsid w:val="00D748C7"/>
    <w:rsid w:val="00D7531B"/>
    <w:rsid w:val="00D754FF"/>
    <w:rsid w:val="00D75935"/>
    <w:rsid w:val="00D7600F"/>
    <w:rsid w:val="00D76670"/>
    <w:rsid w:val="00D76DBD"/>
    <w:rsid w:val="00D76EDA"/>
    <w:rsid w:val="00D77015"/>
    <w:rsid w:val="00D7762A"/>
    <w:rsid w:val="00D802B8"/>
    <w:rsid w:val="00D84F8F"/>
    <w:rsid w:val="00D851F3"/>
    <w:rsid w:val="00D855EC"/>
    <w:rsid w:val="00D85C1E"/>
    <w:rsid w:val="00D85C65"/>
    <w:rsid w:val="00D8775A"/>
    <w:rsid w:val="00D87E69"/>
    <w:rsid w:val="00D87EA6"/>
    <w:rsid w:val="00D9067A"/>
    <w:rsid w:val="00D90A17"/>
    <w:rsid w:val="00D91DEF"/>
    <w:rsid w:val="00D92138"/>
    <w:rsid w:val="00D925FB"/>
    <w:rsid w:val="00D928F0"/>
    <w:rsid w:val="00D92A90"/>
    <w:rsid w:val="00D93225"/>
    <w:rsid w:val="00D93B3A"/>
    <w:rsid w:val="00D9403F"/>
    <w:rsid w:val="00D9454D"/>
    <w:rsid w:val="00D94F07"/>
    <w:rsid w:val="00D94F0F"/>
    <w:rsid w:val="00D94FAC"/>
    <w:rsid w:val="00D9514C"/>
    <w:rsid w:val="00D96014"/>
    <w:rsid w:val="00D97CD8"/>
    <w:rsid w:val="00D97F24"/>
    <w:rsid w:val="00DA0BA1"/>
    <w:rsid w:val="00DA152C"/>
    <w:rsid w:val="00DA1E29"/>
    <w:rsid w:val="00DA4D0D"/>
    <w:rsid w:val="00DA7164"/>
    <w:rsid w:val="00DA7FD0"/>
    <w:rsid w:val="00DB0B31"/>
    <w:rsid w:val="00DB13AB"/>
    <w:rsid w:val="00DB1414"/>
    <w:rsid w:val="00DB14B6"/>
    <w:rsid w:val="00DB19B9"/>
    <w:rsid w:val="00DB1A6A"/>
    <w:rsid w:val="00DB1B89"/>
    <w:rsid w:val="00DB2651"/>
    <w:rsid w:val="00DB3AD5"/>
    <w:rsid w:val="00DB3DC6"/>
    <w:rsid w:val="00DB4AB3"/>
    <w:rsid w:val="00DB55E4"/>
    <w:rsid w:val="00DB5D81"/>
    <w:rsid w:val="00DB6065"/>
    <w:rsid w:val="00DB6535"/>
    <w:rsid w:val="00DB65C9"/>
    <w:rsid w:val="00DB6F97"/>
    <w:rsid w:val="00DB7239"/>
    <w:rsid w:val="00DC0041"/>
    <w:rsid w:val="00DC0597"/>
    <w:rsid w:val="00DC119F"/>
    <w:rsid w:val="00DC126D"/>
    <w:rsid w:val="00DC163B"/>
    <w:rsid w:val="00DC1CFB"/>
    <w:rsid w:val="00DC24BC"/>
    <w:rsid w:val="00DC2789"/>
    <w:rsid w:val="00DC3287"/>
    <w:rsid w:val="00DC3FCF"/>
    <w:rsid w:val="00DC4979"/>
    <w:rsid w:val="00DC4A70"/>
    <w:rsid w:val="00DC590F"/>
    <w:rsid w:val="00DC60AA"/>
    <w:rsid w:val="00DC6CFE"/>
    <w:rsid w:val="00DC6F44"/>
    <w:rsid w:val="00DC7EBD"/>
    <w:rsid w:val="00DD0140"/>
    <w:rsid w:val="00DD139F"/>
    <w:rsid w:val="00DD1ADB"/>
    <w:rsid w:val="00DD201D"/>
    <w:rsid w:val="00DD2672"/>
    <w:rsid w:val="00DD2B7D"/>
    <w:rsid w:val="00DD300F"/>
    <w:rsid w:val="00DD33C5"/>
    <w:rsid w:val="00DD3681"/>
    <w:rsid w:val="00DD3AB7"/>
    <w:rsid w:val="00DD3C9D"/>
    <w:rsid w:val="00DD4A68"/>
    <w:rsid w:val="00DD5D2A"/>
    <w:rsid w:val="00DD695C"/>
    <w:rsid w:val="00DE0696"/>
    <w:rsid w:val="00DE2383"/>
    <w:rsid w:val="00DE4F0B"/>
    <w:rsid w:val="00DE4FCA"/>
    <w:rsid w:val="00DE5230"/>
    <w:rsid w:val="00DE5A22"/>
    <w:rsid w:val="00DE6078"/>
    <w:rsid w:val="00DE638E"/>
    <w:rsid w:val="00DF0622"/>
    <w:rsid w:val="00DF16B0"/>
    <w:rsid w:val="00DF1F89"/>
    <w:rsid w:val="00DF21F0"/>
    <w:rsid w:val="00DF40E6"/>
    <w:rsid w:val="00DF48FC"/>
    <w:rsid w:val="00DF5584"/>
    <w:rsid w:val="00DF5846"/>
    <w:rsid w:val="00DF6750"/>
    <w:rsid w:val="00DF75FD"/>
    <w:rsid w:val="00E00E10"/>
    <w:rsid w:val="00E00F34"/>
    <w:rsid w:val="00E01132"/>
    <w:rsid w:val="00E02078"/>
    <w:rsid w:val="00E0335F"/>
    <w:rsid w:val="00E034C5"/>
    <w:rsid w:val="00E0370E"/>
    <w:rsid w:val="00E03E4E"/>
    <w:rsid w:val="00E04058"/>
    <w:rsid w:val="00E0421F"/>
    <w:rsid w:val="00E04EBD"/>
    <w:rsid w:val="00E05836"/>
    <w:rsid w:val="00E063E7"/>
    <w:rsid w:val="00E06933"/>
    <w:rsid w:val="00E06C3C"/>
    <w:rsid w:val="00E07136"/>
    <w:rsid w:val="00E07524"/>
    <w:rsid w:val="00E07910"/>
    <w:rsid w:val="00E1016C"/>
    <w:rsid w:val="00E103DA"/>
    <w:rsid w:val="00E10825"/>
    <w:rsid w:val="00E10A9B"/>
    <w:rsid w:val="00E12064"/>
    <w:rsid w:val="00E12C7C"/>
    <w:rsid w:val="00E13118"/>
    <w:rsid w:val="00E1423D"/>
    <w:rsid w:val="00E1549C"/>
    <w:rsid w:val="00E15792"/>
    <w:rsid w:val="00E16BC4"/>
    <w:rsid w:val="00E17C26"/>
    <w:rsid w:val="00E20CC2"/>
    <w:rsid w:val="00E225E8"/>
    <w:rsid w:val="00E2266D"/>
    <w:rsid w:val="00E22C14"/>
    <w:rsid w:val="00E24688"/>
    <w:rsid w:val="00E24A7E"/>
    <w:rsid w:val="00E25798"/>
    <w:rsid w:val="00E258D2"/>
    <w:rsid w:val="00E26128"/>
    <w:rsid w:val="00E2671C"/>
    <w:rsid w:val="00E27F89"/>
    <w:rsid w:val="00E3016A"/>
    <w:rsid w:val="00E306D7"/>
    <w:rsid w:val="00E31A29"/>
    <w:rsid w:val="00E3298B"/>
    <w:rsid w:val="00E32D81"/>
    <w:rsid w:val="00E330D7"/>
    <w:rsid w:val="00E342FA"/>
    <w:rsid w:val="00E35332"/>
    <w:rsid w:val="00E35AFA"/>
    <w:rsid w:val="00E36082"/>
    <w:rsid w:val="00E3716C"/>
    <w:rsid w:val="00E37D47"/>
    <w:rsid w:val="00E405CE"/>
    <w:rsid w:val="00E41B19"/>
    <w:rsid w:val="00E4242D"/>
    <w:rsid w:val="00E4256D"/>
    <w:rsid w:val="00E42F12"/>
    <w:rsid w:val="00E4365E"/>
    <w:rsid w:val="00E43A85"/>
    <w:rsid w:val="00E43EEF"/>
    <w:rsid w:val="00E43F22"/>
    <w:rsid w:val="00E4475A"/>
    <w:rsid w:val="00E44C00"/>
    <w:rsid w:val="00E46651"/>
    <w:rsid w:val="00E467E5"/>
    <w:rsid w:val="00E46F5D"/>
    <w:rsid w:val="00E50402"/>
    <w:rsid w:val="00E51C8F"/>
    <w:rsid w:val="00E53C4E"/>
    <w:rsid w:val="00E54D63"/>
    <w:rsid w:val="00E5533B"/>
    <w:rsid w:val="00E55747"/>
    <w:rsid w:val="00E56CBF"/>
    <w:rsid w:val="00E5788D"/>
    <w:rsid w:val="00E579BA"/>
    <w:rsid w:val="00E609F6"/>
    <w:rsid w:val="00E6183C"/>
    <w:rsid w:val="00E6281D"/>
    <w:rsid w:val="00E6413E"/>
    <w:rsid w:val="00E65343"/>
    <w:rsid w:val="00E655A8"/>
    <w:rsid w:val="00E66A30"/>
    <w:rsid w:val="00E673B7"/>
    <w:rsid w:val="00E70634"/>
    <w:rsid w:val="00E70B8D"/>
    <w:rsid w:val="00E71C40"/>
    <w:rsid w:val="00E726E8"/>
    <w:rsid w:val="00E7436A"/>
    <w:rsid w:val="00E7457F"/>
    <w:rsid w:val="00E75046"/>
    <w:rsid w:val="00E75A8A"/>
    <w:rsid w:val="00E7738C"/>
    <w:rsid w:val="00E7772E"/>
    <w:rsid w:val="00E80375"/>
    <w:rsid w:val="00E80F2D"/>
    <w:rsid w:val="00E81E9F"/>
    <w:rsid w:val="00E82D5D"/>
    <w:rsid w:val="00E83CBF"/>
    <w:rsid w:val="00E8474D"/>
    <w:rsid w:val="00E84967"/>
    <w:rsid w:val="00E8514E"/>
    <w:rsid w:val="00E8523A"/>
    <w:rsid w:val="00E85591"/>
    <w:rsid w:val="00E8730C"/>
    <w:rsid w:val="00E87585"/>
    <w:rsid w:val="00E9037E"/>
    <w:rsid w:val="00E91230"/>
    <w:rsid w:val="00E91CD4"/>
    <w:rsid w:val="00E92718"/>
    <w:rsid w:val="00E93579"/>
    <w:rsid w:val="00E93E14"/>
    <w:rsid w:val="00E94C4A"/>
    <w:rsid w:val="00E94F01"/>
    <w:rsid w:val="00E94F8A"/>
    <w:rsid w:val="00E94FE3"/>
    <w:rsid w:val="00E96203"/>
    <w:rsid w:val="00E968B3"/>
    <w:rsid w:val="00E96989"/>
    <w:rsid w:val="00E97495"/>
    <w:rsid w:val="00E977E2"/>
    <w:rsid w:val="00E97C1A"/>
    <w:rsid w:val="00EA02E6"/>
    <w:rsid w:val="00EA0DAE"/>
    <w:rsid w:val="00EA1918"/>
    <w:rsid w:val="00EA3A82"/>
    <w:rsid w:val="00EA43CA"/>
    <w:rsid w:val="00EA467C"/>
    <w:rsid w:val="00EA5EA3"/>
    <w:rsid w:val="00EA643B"/>
    <w:rsid w:val="00EA6485"/>
    <w:rsid w:val="00EA6E53"/>
    <w:rsid w:val="00EA74DA"/>
    <w:rsid w:val="00EA7C02"/>
    <w:rsid w:val="00EA7FDB"/>
    <w:rsid w:val="00EB0898"/>
    <w:rsid w:val="00EB1162"/>
    <w:rsid w:val="00EB17F4"/>
    <w:rsid w:val="00EB2587"/>
    <w:rsid w:val="00EB32D4"/>
    <w:rsid w:val="00EB39AE"/>
    <w:rsid w:val="00EB4F9F"/>
    <w:rsid w:val="00EB78B3"/>
    <w:rsid w:val="00EB7D96"/>
    <w:rsid w:val="00EC01B2"/>
    <w:rsid w:val="00EC03D5"/>
    <w:rsid w:val="00EC052B"/>
    <w:rsid w:val="00EC068B"/>
    <w:rsid w:val="00EC07D7"/>
    <w:rsid w:val="00EC154A"/>
    <w:rsid w:val="00EC1D9C"/>
    <w:rsid w:val="00EC1DD5"/>
    <w:rsid w:val="00EC1EB8"/>
    <w:rsid w:val="00EC22AA"/>
    <w:rsid w:val="00EC2CBF"/>
    <w:rsid w:val="00EC362E"/>
    <w:rsid w:val="00EC3C23"/>
    <w:rsid w:val="00EC472D"/>
    <w:rsid w:val="00EC47E5"/>
    <w:rsid w:val="00EC526C"/>
    <w:rsid w:val="00EC5DB7"/>
    <w:rsid w:val="00EC6D57"/>
    <w:rsid w:val="00EC6D7A"/>
    <w:rsid w:val="00EC7229"/>
    <w:rsid w:val="00EC7ADA"/>
    <w:rsid w:val="00EC7E39"/>
    <w:rsid w:val="00ED03EE"/>
    <w:rsid w:val="00ED0992"/>
    <w:rsid w:val="00ED0C4E"/>
    <w:rsid w:val="00ED0CFA"/>
    <w:rsid w:val="00ED2193"/>
    <w:rsid w:val="00ED423A"/>
    <w:rsid w:val="00ED44FA"/>
    <w:rsid w:val="00ED692B"/>
    <w:rsid w:val="00ED78D3"/>
    <w:rsid w:val="00ED7F21"/>
    <w:rsid w:val="00EE06B0"/>
    <w:rsid w:val="00EE1005"/>
    <w:rsid w:val="00EE10B1"/>
    <w:rsid w:val="00EE1BD0"/>
    <w:rsid w:val="00EE21C3"/>
    <w:rsid w:val="00EE2B5E"/>
    <w:rsid w:val="00EE31A9"/>
    <w:rsid w:val="00EE667B"/>
    <w:rsid w:val="00EE7736"/>
    <w:rsid w:val="00EF111F"/>
    <w:rsid w:val="00EF1B3B"/>
    <w:rsid w:val="00EF230A"/>
    <w:rsid w:val="00EF2BA8"/>
    <w:rsid w:val="00EF3793"/>
    <w:rsid w:val="00EF413D"/>
    <w:rsid w:val="00EF49BE"/>
    <w:rsid w:val="00EF51A1"/>
    <w:rsid w:val="00EF609E"/>
    <w:rsid w:val="00EF68A3"/>
    <w:rsid w:val="00EF69AB"/>
    <w:rsid w:val="00EF6F02"/>
    <w:rsid w:val="00EF77DA"/>
    <w:rsid w:val="00F01081"/>
    <w:rsid w:val="00F01A8E"/>
    <w:rsid w:val="00F02562"/>
    <w:rsid w:val="00F0258E"/>
    <w:rsid w:val="00F0402D"/>
    <w:rsid w:val="00F04141"/>
    <w:rsid w:val="00F04762"/>
    <w:rsid w:val="00F049C5"/>
    <w:rsid w:val="00F04AC3"/>
    <w:rsid w:val="00F05350"/>
    <w:rsid w:val="00F055F6"/>
    <w:rsid w:val="00F057FA"/>
    <w:rsid w:val="00F068FF"/>
    <w:rsid w:val="00F07423"/>
    <w:rsid w:val="00F078C4"/>
    <w:rsid w:val="00F10A66"/>
    <w:rsid w:val="00F11514"/>
    <w:rsid w:val="00F12190"/>
    <w:rsid w:val="00F12396"/>
    <w:rsid w:val="00F133BA"/>
    <w:rsid w:val="00F13908"/>
    <w:rsid w:val="00F13D46"/>
    <w:rsid w:val="00F143B8"/>
    <w:rsid w:val="00F144A4"/>
    <w:rsid w:val="00F16F2C"/>
    <w:rsid w:val="00F17BC1"/>
    <w:rsid w:val="00F17E02"/>
    <w:rsid w:val="00F203A4"/>
    <w:rsid w:val="00F23803"/>
    <w:rsid w:val="00F23FBF"/>
    <w:rsid w:val="00F244ED"/>
    <w:rsid w:val="00F24B51"/>
    <w:rsid w:val="00F26406"/>
    <w:rsid w:val="00F26717"/>
    <w:rsid w:val="00F27256"/>
    <w:rsid w:val="00F2745D"/>
    <w:rsid w:val="00F279D6"/>
    <w:rsid w:val="00F30C1F"/>
    <w:rsid w:val="00F32A2B"/>
    <w:rsid w:val="00F34F61"/>
    <w:rsid w:val="00F35051"/>
    <w:rsid w:val="00F35A89"/>
    <w:rsid w:val="00F36081"/>
    <w:rsid w:val="00F36A86"/>
    <w:rsid w:val="00F3716E"/>
    <w:rsid w:val="00F37329"/>
    <w:rsid w:val="00F37D93"/>
    <w:rsid w:val="00F37EF7"/>
    <w:rsid w:val="00F40013"/>
    <w:rsid w:val="00F410BF"/>
    <w:rsid w:val="00F41B59"/>
    <w:rsid w:val="00F4350C"/>
    <w:rsid w:val="00F43F9E"/>
    <w:rsid w:val="00F4489E"/>
    <w:rsid w:val="00F45D9C"/>
    <w:rsid w:val="00F47A7A"/>
    <w:rsid w:val="00F520D7"/>
    <w:rsid w:val="00F52694"/>
    <w:rsid w:val="00F527F2"/>
    <w:rsid w:val="00F536EC"/>
    <w:rsid w:val="00F53C03"/>
    <w:rsid w:val="00F54B2D"/>
    <w:rsid w:val="00F5538C"/>
    <w:rsid w:val="00F55A3C"/>
    <w:rsid w:val="00F56527"/>
    <w:rsid w:val="00F6062B"/>
    <w:rsid w:val="00F619B1"/>
    <w:rsid w:val="00F644BA"/>
    <w:rsid w:val="00F6462A"/>
    <w:rsid w:val="00F65775"/>
    <w:rsid w:val="00F65E92"/>
    <w:rsid w:val="00F66C9E"/>
    <w:rsid w:val="00F66DFB"/>
    <w:rsid w:val="00F67051"/>
    <w:rsid w:val="00F672FE"/>
    <w:rsid w:val="00F70434"/>
    <w:rsid w:val="00F72E09"/>
    <w:rsid w:val="00F73E2B"/>
    <w:rsid w:val="00F75DCB"/>
    <w:rsid w:val="00F76145"/>
    <w:rsid w:val="00F76A42"/>
    <w:rsid w:val="00F77E7F"/>
    <w:rsid w:val="00F80C2C"/>
    <w:rsid w:val="00F84337"/>
    <w:rsid w:val="00F843EE"/>
    <w:rsid w:val="00F848B9"/>
    <w:rsid w:val="00F85102"/>
    <w:rsid w:val="00F8604D"/>
    <w:rsid w:val="00F8647A"/>
    <w:rsid w:val="00F87176"/>
    <w:rsid w:val="00F87C8E"/>
    <w:rsid w:val="00F90819"/>
    <w:rsid w:val="00F90C6C"/>
    <w:rsid w:val="00F91E2C"/>
    <w:rsid w:val="00F9283E"/>
    <w:rsid w:val="00F929FB"/>
    <w:rsid w:val="00F92A1E"/>
    <w:rsid w:val="00F92D95"/>
    <w:rsid w:val="00F930D5"/>
    <w:rsid w:val="00F93794"/>
    <w:rsid w:val="00F93A6E"/>
    <w:rsid w:val="00F93C25"/>
    <w:rsid w:val="00F9472A"/>
    <w:rsid w:val="00F94D66"/>
    <w:rsid w:val="00F95780"/>
    <w:rsid w:val="00F96130"/>
    <w:rsid w:val="00F977B7"/>
    <w:rsid w:val="00F97AD6"/>
    <w:rsid w:val="00F97BBA"/>
    <w:rsid w:val="00FA08EA"/>
    <w:rsid w:val="00FA17C5"/>
    <w:rsid w:val="00FA1D03"/>
    <w:rsid w:val="00FA6E4D"/>
    <w:rsid w:val="00FA6EA1"/>
    <w:rsid w:val="00FB0E18"/>
    <w:rsid w:val="00FB0E98"/>
    <w:rsid w:val="00FB0FA6"/>
    <w:rsid w:val="00FB1692"/>
    <w:rsid w:val="00FB19CD"/>
    <w:rsid w:val="00FB3C97"/>
    <w:rsid w:val="00FB4223"/>
    <w:rsid w:val="00FB4C2E"/>
    <w:rsid w:val="00FB5AA3"/>
    <w:rsid w:val="00FB6525"/>
    <w:rsid w:val="00FB6CB9"/>
    <w:rsid w:val="00FB7226"/>
    <w:rsid w:val="00FB784C"/>
    <w:rsid w:val="00FC1356"/>
    <w:rsid w:val="00FC221A"/>
    <w:rsid w:val="00FC2E5F"/>
    <w:rsid w:val="00FC34C3"/>
    <w:rsid w:val="00FC3CCC"/>
    <w:rsid w:val="00FC3D5B"/>
    <w:rsid w:val="00FC4C40"/>
    <w:rsid w:val="00FC5058"/>
    <w:rsid w:val="00FC694C"/>
    <w:rsid w:val="00FC6D35"/>
    <w:rsid w:val="00FD0467"/>
    <w:rsid w:val="00FD0843"/>
    <w:rsid w:val="00FD0F72"/>
    <w:rsid w:val="00FD34F6"/>
    <w:rsid w:val="00FD40DA"/>
    <w:rsid w:val="00FD44CC"/>
    <w:rsid w:val="00FD4E7F"/>
    <w:rsid w:val="00FD57E2"/>
    <w:rsid w:val="00FD5A20"/>
    <w:rsid w:val="00FD5FC7"/>
    <w:rsid w:val="00FD69C7"/>
    <w:rsid w:val="00FD6FCC"/>
    <w:rsid w:val="00FD74B1"/>
    <w:rsid w:val="00FE211A"/>
    <w:rsid w:val="00FE2563"/>
    <w:rsid w:val="00FE2683"/>
    <w:rsid w:val="00FE288E"/>
    <w:rsid w:val="00FE3720"/>
    <w:rsid w:val="00FE4030"/>
    <w:rsid w:val="00FE40F6"/>
    <w:rsid w:val="00FE443D"/>
    <w:rsid w:val="00FE4734"/>
    <w:rsid w:val="00FE5D5A"/>
    <w:rsid w:val="00FE6CAD"/>
    <w:rsid w:val="00FE7B57"/>
    <w:rsid w:val="00FF1D84"/>
    <w:rsid w:val="00FF2F71"/>
    <w:rsid w:val="00FF30C1"/>
    <w:rsid w:val="00FF3D04"/>
    <w:rsid w:val="00FF47E0"/>
    <w:rsid w:val="00FF54C6"/>
    <w:rsid w:val="00FF687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61161BA"/>
  <w15:docId w15:val="{64D37519-9E90-452E-9B02-60D297F43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F1825"/>
    <w:pPr>
      <w:widowControl w:val="0"/>
    </w:pPr>
    <w:rPr>
      <w:rFonts w:ascii="Arial" w:hAnsi="Arial"/>
      <w:snapToGrid w:val="0"/>
      <w:sz w:val="24"/>
      <w:lang w:val="es-ES_tradnl"/>
    </w:rPr>
  </w:style>
  <w:style w:type="paragraph" w:styleId="Ttulo1">
    <w:name w:val="heading 1"/>
    <w:basedOn w:val="Normal"/>
    <w:next w:val="Normal"/>
    <w:qFormat/>
    <w:rsid w:val="005F1825"/>
    <w:pPr>
      <w:spacing w:before="240"/>
      <w:jc w:val="center"/>
      <w:outlineLvl w:val="0"/>
    </w:pPr>
    <w:rPr>
      <w:color w:val="000000"/>
    </w:rPr>
  </w:style>
  <w:style w:type="paragraph" w:styleId="Ttulo2">
    <w:name w:val="heading 2"/>
    <w:basedOn w:val="Normal"/>
    <w:next w:val="Normal"/>
    <w:qFormat/>
    <w:rsid w:val="005F1825"/>
    <w:pPr>
      <w:spacing w:before="240"/>
      <w:jc w:val="center"/>
      <w:outlineLvl w:val="1"/>
    </w:pPr>
    <w:rPr>
      <w:b/>
      <w:color w:val="000000"/>
      <w:sz w:val="28"/>
    </w:rPr>
  </w:style>
  <w:style w:type="paragraph" w:styleId="Ttulo3">
    <w:name w:val="heading 3"/>
    <w:basedOn w:val="Normal"/>
    <w:next w:val="Sangranormal"/>
    <w:qFormat/>
    <w:rsid w:val="005F1825"/>
    <w:pPr>
      <w:keepNext/>
      <w:spacing w:before="240"/>
      <w:outlineLvl w:val="2"/>
    </w:pPr>
    <w:rPr>
      <w:b/>
      <w:color w:val="808080"/>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normal">
    <w:name w:val="Normal Indent"/>
    <w:basedOn w:val="Normal"/>
    <w:rsid w:val="005F1825"/>
    <w:pPr>
      <w:ind w:left="720"/>
    </w:pPr>
  </w:style>
  <w:style w:type="paragraph" w:styleId="Textonotaalfinal">
    <w:name w:val="endnote text"/>
    <w:basedOn w:val="Normal"/>
    <w:semiHidden/>
    <w:rsid w:val="005F1825"/>
    <w:rPr>
      <w:sz w:val="20"/>
    </w:rPr>
  </w:style>
  <w:style w:type="paragraph" w:customStyle="1" w:styleId="Asunto">
    <w:name w:val="Asunto"/>
    <w:basedOn w:val="Normal"/>
    <w:rsid w:val="005F1825"/>
    <w:pPr>
      <w:keepLines/>
      <w:spacing w:before="240"/>
      <w:ind w:left="5040" w:hanging="1267"/>
    </w:pPr>
    <w:rPr>
      <w:rFonts w:ascii="Univers" w:hAnsi="Univers"/>
      <w:color w:val="000000"/>
      <w:u w:val="single"/>
    </w:rPr>
  </w:style>
  <w:style w:type="paragraph" w:styleId="Piedepgina">
    <w:name w:val="footer"/>
    <w:basedOn w:val="Normal"/>
    <w:link w:val="PiedepginaCar"/>
    <w:uiPriority w:val="99"/>
    <w:rsid w:val="005F1825"/>
    <w:pPr>
      <w:tabs>
        <w:tab w:val="center" w:pos="4819"/>
        <w:tab w:val="right" w:pos="9071"/>
      </w:tabs>
    </w:pPr>
  </w:style>
  <w:style w:type="paragraph" w:styleId="Encabezado">
    <w:name w:val="header"/>
    <w:basedOn w:val="Normal"/>
    <w:link w:val="EncabezadoCar"/>
    <w:rsid w:val="005F1825"/>
    <w:pPr>
      <w:tabs>
        <w:tab w:val="center" w:pos="4819"/>
        <w:tab w:val="right" w:pos="9071"/>
      </w:tabs>
    </w:pPr>
  </w:style>
  <w:style w:type="paragraph" w:customStyle="1" w:styleId="p0">
    <w:name w:val="p0"/>
    <w:basedOn w:val="Normal"/>
    <w:rsid w:val="005F1825"/>
    <w:pPr>
      <w:keepLines/>
      <w:spacing w:before="240"/>
      <w:jc w:val="both"/>
    </w:pPr>
    <w:rPr>
      <w:color w:val="0000FF"/>
    </w:rPr>
  </w:style>
  <w:style w:type="paragraph" w:customStyle="1" w:styleId="n0">
    <w:name w:val="n0"/>
    <w:basedOn w:val="Normal"/>
    <w:rsid w:val="005F1825"/>
    <w:pPr>
      <w:keepLines/>
      <w:spacing w:before="240"/>
      <w:ind w:left="1080" w:hanging="1080"/>
      <w:jc w:val="both"/>
    </w:pPr>
    <w:rPr>
      <w:color w:val="800080"/>
    </w:rPr>
  </w:style>
  <w:style w:type="paragraph" w:customStyle="1" w:styleId="bullet">
    <w:name w:val="bullet"/>
    <w:basedOn w:val="Normal"/>
    <w:rsid w:val="005F1825"/>
    <w:pPr>
      <w:numPr>
        <w:numId w:val="19"/>
      </w:numPr>
      <w:spacing w:before="240"/>
      <w:ind w:right="1185"/>
      <w:jc w:val="both"/>
    </w:pPr>
    <w:rPr>
      <w:b/>
      <w:color w:val="000080"/>
      <w:sz w:val="22"/>
    </w:rPr>
  </w:style>
  <w:style w:type="paragraph" w:customStyle="1" w:styleId="fecha">
    <w:name w:val="fecha"/>
    <w:basedOn w:val="Normal"/>
    <w:rsid w:val="005F1825"/>
    <w:pPr>
      <w:jc w:val="right"/>
    </w:pPr>
  </w:style>
  <w:style w:type="paragraph" w:customStyle="1" w:styleId="parra-nota">
    <w:name w:val="parra-nota"/>
    <w:basedOn w:val="p0"/>
    <w:rsid w:val="005F1825"/>
    <w:pPr>
      <w:tabs>
        <w:tab w:val="left" w:pos="567"/>
      </w:tabs>
      <w:spacing w:before="600"/>
      <w:ind w:left="567" w:right="11" w:hanging="567"/>
    </w:pPr>
  </w:style>
  <w:style w:type="paragraph" w:customStyle="1" w:styleId="parra-nota1">
    <w:name w:val="parra-nota1"/>
    <w:basedOn w:val="parra-nota"/>
    <w:rsid w:val="005F1825"/>
    <w:pPr>
      <w:tabs>
        <w:tab w:val="clear" w:pos="567"/>
      </w:tabs>
      <w:ind w:firstLine="0"/>
    </w:pPr>
  </w:style>
  <w:style w:type="paragraph" w:customStyle="1" w:styleId="Normal1">
    <w:name w:val="Normal1"/>
    <w:rsid w:val="005F1825"/>
    <w:rPr>
      <w:rFonts w:ascii="CG Times" w:hAnsi="CG Times"/>
      <w:lang w:val="es-ES_tradnl"/>
    </w:rPr>
  </w:style>
  <w:style w:type="paragraph" w:styleId="Textoindependiente">
    <w:name w:val="Body Text"/>
    <w:basedOn w:val="Normal"/>
    <w:rsid w:val="005F1825"/>
    <w:pPr>
      <w:widowControl/>
    </w:pPr>
    <w:rPr>
      <w:color w:val="000000"/>
      <w:lang w:val="es-ES"/>
    </w:rPr>
  </w:style>
  <w:style w:type="character" w:styleId="Hipervnculo">
    <w:name w:val="Hyperlink"/>
    <w:basedOn w:val="Fuentedeprrafopredeter"/>
    <w:rsid w:val="005F1825"/>
    <w:rPr>
      <w:color w:val="0000FF"/>
      <w:u w:val="single"/>
    </w:rPr>
  </w:style>
  <w:style w:type="paragraph" w:styleId="Textodeglobo">
    <w:name w:val="Balloon Text"/>
    <w:basedOn w:val="Normal"/>
    <w:semiHidden/>
    <w:rsid w:val="005F1825"/>
    <w:rPr>
      <w:rFonts w:ascii="Tahoma" w:hAnsi="Tahoma" w:cs="Tahoma"/>
      <w:sz w:val="16"/>
      <w:szCs w:val="16"/>
    </w:rPr>
  </w:style>
  <w:style w:type="paragraph" w:styleId="NormalWeb">
    <w:name w:val="Normal (Web)"/>
    <w:basedOn w:val="Normal"/>
    <w:uiPriority w:val="99"/>
    <w:rsid w:val="002E5C03"/>
    <w:pPr>
      <w:widowControl/>
      <w:spacing w:before="100" w:beforeAutospacing="1" w:after="100" w:afterAutospacing="1"/>
    </w:pPr>
    <w:rPr>
      <w:rFonts w:cs="Arial"/>
      <w:snapToGrid/>
      <w:color w:val="000000"/>
      <w:sz w:val="16"/>
      <w:szCs w:val="16"/>
      <w:lang w:val="es-ES"/>
    </w:rPr>
  </w:style>
  <w:style w:type="paragraph" w:customStyle="1" w:styleId="parr2">
    <w:name w:val="parr2"/>
    <w:basedOn w:val="Normal"/>
    <w:rsid w:val="002A200D"/>
    <w:pPr>
      <w:widowControl/>
      <w:spacing w:before="600"/>
      <w:ind w:left="567" w:right="15"/>
      <w:jc w:val="both"/>
    </w:pPr>
    <w:rPr>
      <w:snapToGrid/>
    </w:rPr>
  </w:style>
  <w:style w:type="paragraph" w:customStyle="1" w:styleId="parrafo1">
    <w:name w:val="parrafo1"/>
    <w:basedOn w:val="p0"/>
    <w:rsid w:val="002D0297"/>
    <w:pPr>
      <w:keepLines w:val="0"/>
      <w:widowControl/>
      <w:spacing w:before="480"/>
      <w:ind w:left="426" w:right="443"/>
    </w:pPr>
    <w:rPr>
      <w:snapToGrid/>
      <w:color w:val="auto"/>
    </w:rPr>
  </w:style>
  <w:style w:type="paragraph" w:customStyle="1" w:styleId="titdoc">
    <w:name w:val="titdoc"/>
    <w:basedOn w:val="Normal"/>
    <w:rsid w:val="00E51C8F"/>
    <w:pPr>
      <w:widowControl/>
      <w:spacing w:before="120"/>
      <w:ind w:left="709" w:hanging="709"/>
      <w:jc w:val="both"/>
    </w:pPr>
    <w:rPr>
      <w:b/>
      <w:snapToGrid/>
    </w:rPr>
  </w:style>
  <w:style w:type="paragraph" w:styleId="Textoindependiente3">
    <w:name w:val="Body Text 3"/>
    <w:basedOn w:val="Normal"/>
    <w:link w:val="Textoindependiente3Car"/>
    <w:rsid w:val="00A00A68"/>
    <w:pPr>
      <w:spacing w:after="120"/>
    </w:pPr>
    <w:rPr>
      <w:sz w:val="16"/>
      <w:szCs w:val="16"/>
    </w:rPr>
  </w:style>
  <w:style w:type="character" w:customStyle="1" w:styleId="Textoindependiente3Car">
    <w:name w:val="Texto independiente 3 Car"/>
    <w:basedOn w:val="Fuentedeprrafopredeter"/>
    <w:link w:val="Textoindependiente3"/>
    <w:rsid w:val="00A00A68"/>
    <w:rPr>
      <w:rFonts w:ascii="Arial" w:hAnsi="Arial"/>
      <w:snapToGrid w:val="0"/>
      <w:sz w:val="16"/>
      <w:szCs w:val="16"/>
      <w:lang w:val="es-ES_tradnl"/>
    </w:rPr>
  </w:style>
  <w:style w:type="character" w:customStyle="1" w:styleId="EncabezadoCar">
    <w:name w:val="Encabezado Car"/>
    <w:basedOn w:val="Fuentedeprrafopredeter"/>
    <w:link w:val="Encabezado"/>
    <w:rsid w:val="00B06AE9"/>
    <w:rPr>
      <w:rFonts w:ascii="Arial" w:hAnsi="Arial"/>
      <w:snapToGrid w:val="0"/>
      <w:sz w:val="24"/>
      <w:lang w:val="es-ES_tradnl"/>
    </w:rPr>
  </w:style>
  <w:style w:type="paragraph" w:customStyle="1" w:styleId="p01">
    <w:name w:val="p01"/>
    <w:basedOn w:val="Normal1"/>
    <w:next w:val="p0"/>
    <w:rsid w:val="000C55BE"/>
    <w:pPr>
      <w:keepLines/>
      <w:spacing w:before="240"/>
      <w:jc w:val="both"/>
    </w:pPr>
    <w:rPr>
      <w:rFonts w:ascii="Univers" w:hAnsi="Univers"/>
      <w:color w:val="0000FF"/>
      <w:sz w:val="24"/>
    </w:rPr>
  </w:style>
  <w:style w:type="table" w:styleId="Tablaconcuadrcula">
    <w:name w:val="Table Grid"/>
    <w:basedOn w:val="Tablanormal"/>
    <w:rsid w:val="00663A4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mbre">
    <w:name w:val="nombre"/>
    <w:basedOn w:val="Normal"/>
    <w:rsid w:val="003F26EB"/>
    <w:pPr>
      <w:keepLines/>
      <w:spacing w:before="240"/>
      <w:ind w:left="1080" w:hanging="1080"/>
    </w:pPr>
    <w:rPr>
      <w:rFonts w:ascii="Helvetica" w:hAnsi="Helvetica"/>
      <w:color w:val="0000FF"/>
    </w:rPr>
  </w:style>
  <w:style w:type="paragraph" w:styleId="Textonotapie">
    <w:name w:val="footnote text"/>
    <w:basedOn w:val="Normal"/>
    <w:link w:val="TextonotapieCar"/>
    <w:uiPriority w:val="99"/>
    <w:rsid w:val="0036725F"/>
    <w:pPr>
      <w:widowControl/>
    </w:pPr>
    <w:rPr>
      <w:rFonts w:ascii="Times New Roman" w:hAnsi="Times New Roman"/>
      <w:snapToGrid/>
      <w:sz w:val="20"/>
      <w:lang w:val="es-ES"/>
    </w:rPr>
  </w:style>
  <w:style w:type="character" w:customStyle="1" w:styleId="TextonotapieCar">
    <w:name w:val="Texto nota pie Car"/>
    <w:basedOn w:val="Fuentedeprrafopredeter"/>
    <w:link w:val="Textonotapie"/>
    <w:uiPriority w:val="99"/>
    <w:rsid w:val="0036725F"/>
  </w:style>
  <w:style w:type="character" w:styleId="Refdenotaalpie">
    <w:name w:val="footnote reference"/>
    <w:basedOn w:val="Fuentedeprrafopredeter"/>
    <w:uiPriority w:val="99"/>
    <w:rsid w:val="0036725F"/>
    <w:rPr>
      <w:rFonts w:cs="Arial"/>
      <w:b/>
      <w:smallCaps/>
      <w:sz w:val="22"/>
      <w:vertAlign w:val="superscript"/>
      <w:lang w:val="es-MX"/>
    </w:rPr>
  </w:style>
  <w:style w:type="character" w:customStyle="1" w:styleId="PiedepginaCar">
    <w:name w:val="Pie de página Car"/>
    <w:basedOn w:val="Fuentedeprrafopredeter"/>
    <w:link w:val="Piedepgina"/>
    <w:uiPriority w:val="99"/>
    <w:rsid w:val="00B577E4"/>
    <w:rPr>
      <w:rFonts w:ascii="Arial" w:hAnsi="Arial"/>
      <w:snapToGrid w:val="0"/>
      <w:sz w:val="24"/>
      <w:lang w:val="es-ES_tradnl" w:eastAsia="es-ES"/>
    </w:rPr>
  </w:style>
  <w:style w:type="character" w:styleId="Refdenotaalfinal">
    <w:name w:val="endnote reference"/>
    <w:basedOn w:val="Fuentedeprrafopredeter"/>
    <w:rsid w:val="00B577E4"/>
    <w:rPr>
      <w:vertAlign w:val="superscript"/>
    </w:rPr>
  </w:style>
  <w:style w:type="paragraph" w:customStyle="1" w:styleId="p02">
    <w:name w:val="p02"/>
    <w:basedOn w:val="Normal"/>
    <w:next w:val="p0"/>
    <w:rsid w:val="009C447D"/>
    <w:pPr>
      <w:keepLines/>
      <w:widowControl/>
      <w:spacing w:before="240"/>
      <w:ind w:right="11"/>
      <w:jc w:val="both"/>
    </w:pPr>
    <w:rPr>
      <w:rFonts w:ascii="Univers" w:hAnsi="Univers"/>
      <w:snapToGrid/>
      <w:color w:val="0000FF"/>
    </w:rPr>
  </w:style>
  <w:style w:type="paragraph" w:customStyle="1" w:styleId="Profesin">
    <w:name w:val="Profesión"/>
    <w:basedOn w:val="Normal"/>
    <w:rsid w:val="0005576F"/>
    <w:pPr>
      <w:widowControl/>
      <w:jc w:val="center"/>
    </w:pPr>
    <w:rPr>
      <w:b/>
      <w:caps/>
      <w:snapToGrid/>
      <w:spacing w:val="25"/>
      <w:sz w:val="28"/>
    </w:rPr>
  </w:style>
  <w:style w:type="paragraph" w:customStyle="1" w:styleId="n01">
    <w:name w:val="n01"/>
    <w:basedOn w:val="Normal"/>
    <w:rsid w:val="002169BE"/>
    <w:pPr>
      <w:keepLines/>
      <w:widowControl/>
      <w:spacing w:before="240"/>
      <w:ind w:left="720" w:hanging="720"/>
      <w:jc w:val="both"/>
    </w:pPr>
    <w:rPr>
      <w:rFonts w:ascii="Univers (W1)" w:hAnsi="Univers (W1)"/>
      <w:snapToGrid/>
      <w:color w:val="800080"/>
    </w:rPr>
  </w:style>
  <w:style w:type="paragraph" w:customStyle="1" w:styleId="Default">
    <w:name w:val="Default"/>
    <w:rsid w:val="002169BE"/>
    <w:pPr>
      <w:widowControl w:val="0"/>
      <w:autoSpaceDE w:val="0"/>
      <w:autoSpaceDN w:val="0"/>
      <w:adjustRightInd w:val="0"/>
    </w:pPr>
    <w:rPr>
      <w:rFonts w:ascii="Arial" w:eastAsiaTheme="minorEastAsia" w:hAnsi="Arial" w:cs="Arial"/>
      <w:color w:val="000000"/>
      <w:sz w:val="24"/>
      <w:szCs w:val="24"/>
    </w:rPr>
  </w:style>
  <w:style w:type="paragraph" w:styleId="Prrafodelista">
    <w:name w:val="List Paragraph"/>
    <w:basedOn w:val="Normal"/>
    <w:uiPriority w:val="34"/>
    <w:qFormat/>
    <w:rsid w:val="00A57241"/>
    <w:pPr>
      <w:ind w:left="720"/>
      <w:contextualSpacing/>
    </w:pPr>
  </w:style>
  <w:style w:type="character" w:styleId="Refdecomentario">
    <w:name w:val="annotation reference"/>
    <w:basedOn w:val="Fuentedeprrafopredeter"/>
    <w:uiPriority w:val="99"/>
    <w:rsid w:val="00C3471E"/>
    <w:rPr>
      <w:sz w:val="16"/>
      <w:szCs w:val="16"/>
    </w:rPr>
  </w:style>
  <w:style w:type="character" w:customStyle="1" w:styleId="tituloproy21">
    <w:name w:val="titulo_proy21"/>
    <w:basedOn w:val="Fuentedeprrafopredeter"/>
    <w:rsid w:val="002C2C06"/>
    <w:rPr>
      <w:rFonts w:ascii="Arial" w:hAnsi="Arial" w:cs="Arial" w:hint="default"/>
      <w:b/>
      <w:bCs/>
      <w:strike w:val="0"/>
      <w:dstrike w:val="0"/>
      <w:color w:val="000000"/>
      <w:sz w:val="30"/>
      <w:szCs w:val="30"/>
      <w:u w:val="none"/>
      <w:effect w:val="none"/>
    </w:rPr>
  </w:style>
  <w:style w:type="character" w:customStyle="1" w:styleId="st1">
    <w:name w:val="st1"/>
    <w:basedOn w:val="Fuentedeprrafopredeter"/>
    <w:rsid w:val="00610305"/>
  </w:style>
  <w:style w:type="paragraph" w:styleId="Textoindependiente2">
    <w:name w:val="Body Text 2"/>
    <w:basedOn w:val="Normal"/>
    <w:link w:val="Textoindependiente2Car"/>
    <w:unhideWhenUsed/>
    <w:rsid w:val="00607F08"/>
    <w:pPr>
      <w:spacing w:after="120" w:line="480" w:lineRule="auto"/>
    </w:pPr>
  </w:style>
  <w:style w:type="character" w:customStyle="1" w:styleId="Textoindependiente2Car">
    <w:name w:val="Texto independiente 2 Car"/>
    <w:basedOn w:val="Fuentedeprrafopredeter"/>
    <w:link w:val="Textoindependiente2"/>
    <w:rsid w:val="00607F08"/>
    <w:rPr>
      <w:rFonts w:ascii="Arial" w:hAnsi="Arial"/>
      <w:snapToGrid w:val="0"/>
      <w:sz w:val="24"/>
      <w:lang w:val="es-ES_tradnl"/>
    </w:rPr>
  </w:style>
  <w:style w:type="character" w:styleId="Hipervnculovisitado">
    <w:name w:val="FollowedHyperlink"/>
    <w:basedOn w:val="Fuentedeprrafopredeter"/>
    <w:semiHidden/>
    <w:unhideWhenUsed/>
    <w:rsid w:val="00573E5B"/>
    <w:rPr>
      <w:color w:val="800080" w:themeColor="followedHyperlink"/>
      <w:u w:val="single"/>
    </w:rPr>
  </w:style>
  <w:style w:type="character" w:customStyle="1" w:styleId="Mencinsinresolver1">
    <w:name w:val="Mención sin resolver1"/>
    <w:basedOn w:val="Fuentedeprrafopredeter"/>
    <w:uiPriority w:val="99"/>
    <w:semiHidden/>
    <w:unhideWhenUsed/>
    <w:rsid w:val="001A31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9477011">
      <w:bodyDiv w:val="1"/>
      <w:marLeft w:val="0"/>
      <w:marRight w:val="0"/>
      <w:marTop w:val="0"/>
      <w:marBottom w:val="0"/>
      <w:divBdr>
        <w:top w:val="none" w:sz="0" w:space="0" w:color="auto"/>
        <w:left w:val="none" w:sz="0" w:space="0" w:color="auto"/>
        <w:bottom w:val="none" w:sz="0" w:space="0" w:color="auto"/>
        <w:right w:val="none" w:sz="0" w:space="0" w:color="auto"/>
      </w:divBdr>
    </w:div>
    <w:div w:id="486745596">
      <w:bodyDiv w:val="1"/>
      <w:marLeft w:val="0"/>
      <w:marRight w:val="0"/>
      <w:marTop w:val="0"/>
      <w:marBottom w:val="0"/>
      <w:divBdr>
        <w:top w:val="none" w:sz="0" w:space="0" w:color="auto"/>
        <w:left w:val="none" w:sz="0" w:space="0" w:color="auto"/>
        <w:bottom w:val="none" w:sz="0" w:space="0" w:color="auto"/>
        <w:right w:val="none" w:sz="0" w:space="0" w:color="auto"/>
      </w:divBdr>
    </w:div>
    <w:div w:id="623537239">
      <w:bodyDiv w:val="1"/>
      <w:marLeft w:val="0"/>
      <w:marRight w:val="0"/>
      <w:marTop w:val="0"/>
      <w:marBottom w:val="0"/>
      <w:divBdr>
        <w:top w:val="none" w:sz="0" w:space="0" w:color="auto"/>
        <w:left w:val="none" w:sz="0" w:space="0" w:color="auto"/>
        <w:bottom w:val="none" w:sz="0" w:space="0" w:color="auto"/>
        <w:right w:val="none" w:sz="0" w:space="0" w:color="auto"/>
      </w:divBdr>
    </w:div>
    <w:div w:id="771439630">
      <w:bodyDiv w:val="1"/>
      <w:marLeft w:val="0"/>
      <w:marRight w:val="0"/>
      <w:marTop w:val="0"/>
      <w:marBottom w:val="0"/>
      <w:divBdr>
        <w:top w:val="none" w:sz="0" w:space="0" w:color="auto"/>
        <w:left w:val="none" w:sz="0" w:space="0" w:color="auto"/>
        <w:bottom w:val="none" w:sz="0" w:space="0" w:color="auto"/>
        <w:right w:val="none" w:sz="0" w:space="0" w:color="auto"/>
      </w:divBdr>
    </w:div>
    <w:div w:id="853347473">
      <w:bodyDiv w:val="1"/>
      <w:marLeft w:val="0"/>
      <w:marRight w:val="0"/>
      <w:marTop w:val="0"/>
      <w:marBottom w:val="0"/>
      <w:divBdr>
        <w:top w:val="none" w:sz="0" w:space="0" w:color="auto"/>
        <w:left w:val="none" w:sz="0" w:space="0" w:color="auto"/>
        <w:bottom w:val="none" w:sz="0" w:space="0" w:color="auto"/>
        <w:right w:val="none" w:sz="0" w:space="0" w:color="auto"/>
      </w:divBdr>
    </w:div>
    <w:div w:id="882442417">
      <w:bodyDiv w:val="1"/>
      <w:marLeft w:val="0"/>
      <w:marRight w:val="0"/>
      <w:marTop w:val="0"/>
      <w:marBottom w:val="0"/>
      <w:divBdr>
        <w:top w:val="none" w:sz="0" w:space="0" w:color="auto"/>
        <w:left w:val="none" w:sz="0" w:space="0" w:color="auto"/>
        <w:bottom w:val="none" w:sz="0" w:space="0" w:color="auto"/>
        <w:right w:val="none" w:sz="0" w:space="0" w:color="auto"/>
      </w:divBdr>
    </w:div>
    <w:div w:id="1054545712">
      <w:bodyDiv w:val="1"/>
      <w:marLeft w:val="0"/>
      <w:marRight w:val="0"/>
      <w:marTop w:val="0"/>
      <w:marBottom w:val="0"/>
      <w:divBdr>
        <w:top w:val="none" w:sz="0" w:space="0" w:color="auto"/>
        <w:left w:val="none" w:sz="0" w:space="0" w:color="auto"/>
        <w:bottom w:val="none" w:sz="0" w:space="0" w:color="auto"/>
        <w:right w:val="none" w:sz="0" w:space="0" w:color="auto"/>
      </w:divBdr>
    </w:div>
    <w:div w:id="1279483548">
      <w:bodyDiv w:val="1"/>
      <w:marLeft w:val="0"/>
      <w:marRight w:val="0"/>
      <w:marTop w:val="0"/>
      <w:marBottom w:val="0"/>
      <w:divBdr>
        <w:top w:val="none" w:sz="0" w:space="0" w:color="auto"/>
        <w:left w:val="none" w:sz="0" w:space="0" w:color="auto"/>
        <w:bottom w:val="none" w:sz="0" w:space="0" w:color="auto"/>
        <w:right w:val="none" w:sz="0" w:space="0" w:color="auto"/>
      </w:divBdr>
    </w:div>
    <w:div w:id="1605266309">
      <w:bodyDiv w:val="1"/>
      <w:marLeft w:val="0"/>
      <w:marRight w:val="0"/>
      <w:marTop w:val="0"/>
      <w:marBottom w:val="0"/>
      <w:divBdr>
        <w:top w:val="none" w:sz="0" w:space="0" w:color="auto"/>
        <w:left w:val="none" w:sz="0" w:space="0" w:color="auto"/>
        <w:bottom w:val="none" w:sz="0" w:space="0" w:color="auto"/>
        <w:right w:val="none" w:sz="0" w:space="0" w:color="auto"/>
      </w:divBdr>
    </w:div>
    <w:div w:id="1883444619">
      <w:bodyDiv w:val="1"/>
      <w:marLeft w:val="0"/>
      <w:marRight w:val="0"/>
      <w:marTop w:val="0"/>
      <w:marBottom w:val="0"/>
      <w:divBdr>
        <w:top w:val="none" w:sz="0" w:space="0" w:color="auto"/>
        <w:left w:val="none" w:sz="0" w:space="0" w:color="auto"/>
        <w:bottom w:val="none" w:sz="0" w:space="0" w:color="auto"/>
        <w:right w:val="none" w:sz="0" w:space="0" w:color="auto"/>
      </w:divBdr>
    </w:div>
    <w:div w:id="1926264804">
      <w:bodyDiv w:val="1"/>
      <w:marLeft w:val="0"/>
      <w:marRight w:val="0"/>
      <w:marTop w:val="0"/>
      <w:marBottom w:val="0"/>
      <w:divBdr>
        <w:top w:val="none" w:sz="0" w:space="0" w:color="auto"/>
        <w:left w:val="none" w:sz="0" w:space="0" w:color="auto"/>
        <w:bottom w:val="none" w:sz="0" w:space="0" w:color="auto"/>
        <w:right w:val="none" w:sz="0" w:space="0" w:color="auto"/>
      </w:divBdr>
    </w:div>
    <w:div w:id="2118601402">
      <w:bodyDiv w:val="1"/>
      <w:marLeft w:val="0"/>
      <w:marRight w:val="0"/>
      <w:marTop w:val="0"/>
      <w:marBottom w:val="0"/>
      <w:divBdr>
        <w:top w:val="none" w:sz="0" w:space="0" w:color="auto"/>
        <w:left w:val="none" w:sz="0" w:space="0" w:color="auto"/>
        <w:bottom w:val="none" w:sz="0" w:space="0" w:color="auto"/>
        <w:right w:val="none" w:sz="0" w:space="0" w:color="auto"/>
      </w:divBdr>
    </w:div>
    <w:div w:id="2126850444">
      <w:bodyDiv w:val="1"/>
      <w:marLeft w:val="0"/>
      <w:marRight w:val="0"/>
      <w:marTop w:val="0"/>
      <w:marBottom w:val="0"/>
      <w:divBdr>
        <w:top w:val="none" w:sz="0" w:space="0" w:color="auto"/>
        <w:left w:val="none" w:sz="0" w:space="0" w:color="auto"/>
        <w:bottom w:val="none" w:sz="0" w:space="0" w:color="auto"/>
        <w:right w:val="none" w:sz="0" w:space="0" w:color="auto"/>
      </w:divBdr>
      <w:divsChild>
        <w:div w:id="469592732">
          <w:marLeft w:val="0"/>
          <w:marRight w:val="0"/>
          <w:marTop w:val="0"/>
          <w:marBottom w:val="0"/>
          <w:divBdr>
            <w:top w:val="none" w:sz="0" w:space="0" w:color="auto"/>
            <w:left w:val="none" w:sz="0" w:space="0" w:color="auto"/>
            <w:bottom w:val="none" w:sz="0" w:space="0" w:color="auto"/>
            <w:right w:val="none" w:sz="0" w:space="0" w:color="auto"/>
          </w:divBdr>
          <w:divsChild>
            <w:div w:id="671837456">
              <w:marLeft w:val="0"/>
              <w:marRight w:val="0"/>
              <w:marTop w:val="0"/>
              <w:marBottom w:val="0"/>
              <w:divBdr>
                <w:top w:val="none" w:sz="0" w:space="0" w:color="auto"/>
                <w:left w:val="none" w:sz="0" w:space="0" w:color="auto"/>
                <w:bottom w:val="none" w:sz="0" w:space="0" w:color="auto"/>
                <w:right w:val="none" w:sz="0" w:space="0" w:color="auto"/>
              </w:divBdr>
              <w:divsChild>
                <w:div w:id="537086065">
                  <w:marLeft w:val="15"/>
                  <w:marRight w:val="0"/>
                  <w:marTop w:val="0"/>
                  <w:marBottom w:val="0"/>
                  <w:divBdr>
                    <w:top w:val="none" w:sz="0" w:space="0" w:color="auto"/>
                    <w:left w:val="none" w:sz="0" w:space="0" w:color="auto"/>
                    <w:bottom w:val="none" w:sz="0" w:space="0" w:color="auto"/>
                    <w:right w:val="none" w:sz="0" w:space="0" w:color="auto"/>
                  </w:divBdr>
                  <w:divsChild>
                    <w:div w:id="799305079">
                      <w:marLeft w:val="0"/>
                      <w:marRight w:val="0"/>
                      <w:marTop w:val="0"/>
                      <w:marBottom w:val="0"/>
                      <w:divBdr>
                        <w:top w:val="none" w:sz="0" w:space="0" w:color="auto"/>
                        <w:left w:val="none" w:sz="0" w:space="0" w:color="auto"/>
                        <w:bottom w:val="none" w:sz="0" w:space="0" w:color="auto"/>
                        <w:right w:val="none" w:sz="0" w:space="0" w:color="auto"/>
                      </w:divBdr>
                      <w:divsChild>
                        <w:div w:id="2140996372">
                          <w:marLeft w:val="0"/>
                          <w:marRight w:val="0"/>
                          <w:marTop w:val="0"/>
                          <w:marBottom w:val="0"/>
                          <w:divBdr>
                            <w:top w:val="none" w:sz="0" w:space="0" w:color="auto"/>
                            <w:left w:val="none" w:sz="0" w:space="0" w:color="auto"/>
                            <w:bottom w:val="none" w:sz="0" w:space="0" w:color="auto"/>
                            <w:right w:val="none" w:sz="0" w:space="0" w:color="auto"/>
                          </w:divBdr>
                          <w:divsChild>
                            <w:div w:id="48609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witter.com/INEGI_INFORMA" TargetMode="External"/><Relationship Id="rId18" Type="http://schemas.openxmlformats.org/officeDocument/2006/relationships/image" Target="media/image5.png"/><Relationship Id="rId26" Type="http://schemas.openxmlformats.org/officeDocument/2006/relationships/chart" Target="charts/chart6.xml"/><Relationship Id="rId3" Type="http://schemas.openxmlformats.org/officeDocument/2006/relationships/styles" Target="styles.xml"/><Relationship Id="rId21" Type="http://schemas.openxmlformats.org/officeDocument/2006/relationships/chart" Target="charts/chart1.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hyperlink" Target="http://www.inegi.org.mx/" TargetMode="External"/><Relationship Id="rId25" Type="http://schemas.openxmlformats.org/officeDocument/2006/relationships/chart" Target="charts/chart5.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footer" Target="footer1.xml"/><Relationship Id="rId29" Type="http://schemas.openxmlformats.org/officeDocument/2006/relationships/image" Target="media/image7.gi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stagram.com/inegi_informa/" TargetMode="External"/><Relationship Id="rId24" Type="http://schemas.openxmlformats.org/officeDocument/2006/relationships/chart" Target="charts/chart4.xm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youtube.com/user/INEGIInforma" TargetMode="External"/><Relationship Id="rId23" Type="http://schemas.openxmlformats.org/officeDocument/2006/relationships/chart" Target="charts/chart3.xml"/><Relationship Id="rId28" Type="http://schemas.openxmlformats.org/officeDocument/2006/relationships/hyperlink" Target="javascript:AddMetaDato('2951','Sistema%20de%20indicadores%20c&#237;clicos','');" TargetMode="External"/><Relationship Id="rId10" Type="http://schemas.openxmlformats.org/officeDocument/2006/relationships/image" Target="media/image1.jpeg"/><Relationship Id="rId19" Type="http://schemas.openxmlformats.org/officeDocument/2006/relationships/header" Target="header1.xm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facebook.com/INEGIInforma/" TargetMode="External"/><Relationship Id="rId14" Type="http://schemas.openxmlformats.org/officeDocument/2006/relationships/image" Target="media/image3.jpeg"/><Relationship Id="rId22" Type="http://schemas.openxmlformats.org/officeDocument/2006/relationships/chart" Target="charts/chart2.xml"/><Relationship Id="rId27" Type="http://schemas.openxmlformats.org/officeDocument/2006/relationships/hyperlink" Target="https://www.inegi.org.mx/app/biblioteca/ficha.html?upc=702825099060" TargetMode="External"/><Relationship Id="rId30" Type="http://schemas.openxmlformats.org/officeDocument/2006/relationships/hyperlink" Target="https://www.inegi.org.mx/sistemas/bie/default.aspx" TargetMode="External"/><Relationship Id="rId8" Type="http://schemas.openxmlformats.org/officeDocument/2006/relationships/hyperlink" Target="mailto:comunicacionsocial@inegi.org.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8.png"/></Relationships>
</file>

<file path=word/charts/_rels/chart1.xml.rels><?xml version="1.0" encoding="UTF-8" standalone="yes"?>
<Relationships xmlns="http://schemas.openxmlformats.org/package/2006/relationships"><Relationship Id="rId1" Type="http://schemas.openxmlformats.org/officeDocument/2006/relationships/oleObject" Target="file:///C:\Users\PILUGOS\Documents\Monica\INEGI\ITAT\Graficas%20Turistico%20desestacionalizada-tendenciaI19.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PILUGOS\Documents\Monica\INEGI\ITAT\Graficas%20Turistico%20desestacionalizada-tendenciaI19.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PILUGOS\Documents\Monica\INEGI\ITAT\Graficas%20Turistico%20desestacionalizada-tendenciaI19.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PILUGOS\Documents\Monica\INEGI\ITAT\Graficas%20Turistico%20desestacionalizada-tendenciaI19.xls"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PILUGOS\Documents\Monica\INEGI\ITAT\Graficas%20Turistico%20desestacionalizada-tendenciaI19.xls"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PILUGOS\Documents\Monica\INEGI\ITAT\Graficas%20Turistico%20desestacionalizada-tendenciaI19.xls"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2302558398220251E-2"/>
          <c:y val="3.0836814819635145E-2"/>
          <c:w val="0.9152601893408342"/>
          <c:h val="0.78564416333204257"/>
        </c:manualLayout>
      </c:layout>
      <c:barChart>
        <c:barDir val="col"/>
        <c:grouping val="stacked"/>
        <c:varyColors val="0"/>
        <c:ser>
          <c:idx val="0"/>
          <c:order val="0"/>
          <c:tx>
            <c:strRef>
              <c:f>datos!$D$4</c:f>
              <c:strCache>
                <c:ptCount val="1"/>
                <c:pt idx="0">
                  <c:v>Serie Desestacionalizada</c:v>
                </c:pt>
              </c:strCache>
            </c:strRef>
          </c:tx>
          <c:spPr>
            <a:solidFill>
              <a:schemeClr val="accent3">
                <a:lumMod val="60000"/>
                <a:lumOff val="40000"/>
              </a:schemeClr>
            </a:solidFill>
            <a:ln w="12700">
              <a:noFill/>
              <a:prstDash val="solid"/>
            </a:ln>
            <a:effectLst>
              <a:outerShdw blurRad="50800" dist="12700" dir="5400000" algn="ctr" rotWithShape="0">
                <a:srgbClr val="000000">
                  <a:alpha val="43137"/>
                </a:srgbClr>
              </a:outerShdw>
            </a:effectLst>
            <a:scene3d>
              <a:camera prst="orthographicFront"/>
              <a:lightRig rig="threePt" dir="t"/>
            </a:scene3d>
            <a:sp3d>
              <a:bevelT w="50800"/>
            </a:sp3d>
          </c:spPr>
          <c:invertIfNegative val="0"/>
          <c:cat>
            <c:multiLvlStrRef>
              <c:f>datos!$B$29:$C$84</c:f>
              <c:multiLvlStrCache>
                <c:ptCount val="56"/>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pt idx="52">
                    <c:v>I</c:v>
                  </c:pt>
                  <c:pt idx="53">
                    <c:v>II</c:v>
                  </c:pt>
                  <c:pt idx="54">
                    <c:v>III</c:v>
                  </c:pt>
                  <c:pt idx="55">
                    <c:v>IV</c:v>
                  </c:pt>
                </c:lvl>
                <c:lvl>
                  <c:pt idx="0">
                    <c:v>2006</c:v>
                  </c:pt>
                  <c:pt idx="4">
                    <c:v>2007</c:v>
                  </c:pt>
                  <c:pt idx="8">
                    <c:v>2008</c:v>
                  </c:pt>
                  <c:pt idx="12">
                    <c:v>2009</c:v>
                  </c:pt>
                  <c:pt idx="16">
                    <c:v>2010</c:v>
                  </c:pt>
                  <c:pt idx="20">
                    <c:v>2011</c:v>
                  </c:pt>
                  <c:pt idx="24">
                    <c:v>2012</c:v>
                  </c:pt>
                  <c:pt idx="28">
                    <c:v>2013</c:v>
                  </c:pt>
                  <c:pt idx="32">
                    <c:v>2014</c:v>
                  </c:pt>
                  <c:pt idx="36">
                    <c:v>2015</c:v>
                  </c:pt>
                  <c:pt idx="40">
                    <c:v>2016</c:v>
                  </c:pt>
                  <c:pt idx="44">
                    <c:v>2017</c:v>
                  </c:pt>
                  <c:pt idx="48">
                    <c:v>2018</c:v>
                  </c:pt>
                  <c:pt idx="52">
                    <c:v>2019</c:v>
                  </c:pt>
                </c:lvl>
              </c:multiLvlStrCache>
            </c:multiLvlStrRef>
          </c:cat>
          <c:val>
            <c:numRef>
              <c:f>datos!$D$29:$D$84</c:f>
              <c:numCache>
                <c:formatCode>0.0</c:formatCode>
                <c:ptCount val="56"/>
                <c:pt idx="0">
                  <c:v>84.404536772490104</c:v>
                </c:pt>
                <c:pt idx="1">
                  <c:v>87.388981702688099</c:v>
                </c:pt>
                <c:pt idx="2">
                  <c:v>87.729439118686798</c:v>
                </c:pt>
                <c:pt idx="3">
                  <c:v>89.858996471666998</c:v>
                </c:pt>
                <c:pt idx="4">
                  <c:v>90.348028924679795</c:v>
                </c:pt>
                <c:pt idx="5">
                  <c:v>90.683941929516706</c:v>
                </c:pt>
                <c:pt idx="6">
                  <c:v>91.407462394931699</c:v>
                </c:pt>
                <c:pt idx="7">
                  <c:v>91.909326464692597</c:v>
                </c:pt>
                <c:pt idx="8">
                  <c:v>95.092820341327595</c:v>
                </c:pt>
                <c:pt idx="9">
                  <c:v>94.897386264573399</c:v>
                </c:pt>
                <c:pt idx="10">
                  <c:v>94.292027695419705</c:v>
                </c:pt>
                <c:pt idx="11">
                  <c:v>97.068060504439302</c:v>
                </c:pt>
                <c:pt idx="12">
                  <c:v>92.800666966843096</c:v>
                </c:pt>
                <c:pt idx="13">
                  <c:v>85.706010852956695</c:v>
                </c:pt>
                <c:pt idx="14">
                  <c:v>90.6863928487343</c:v>
                </c:pt>
                <c:pt idx="15">
                  <c:v>91.240052865449002</c:v>
                </c:pt>
                <c:pt idx="16">
                  <c:v>92.543927723718298</c:v>
                </c:pt>
                <c:pt idx="17">
                  <c:v>91.847133216336005</c:v>
                </c:pt>
                <c:pt idx="18">
                  <c:v>92.474363653349201</c:v>
                </c:pt>
                <c:pt idx="19">
                  <c:v>91.631492196338897</c:v>
                </c:pt>
                <c:pt idx="20">
                  <c:v>92.182605426236506</c:v>
                </c:pt>
                <c:pt idx="21">
                  <c:v>94.172217181762406</c:v>
                </c:pt>
                <c:pt idx="22">
                  <c:v>95.2867134944931</c:v>
                </c:pt>
                <c:pt idx="23">
                  <c:v>97.605052655300099</c:v>
                </c:pt>
                <c:pt idx="24">
                  <c:v>96.234434183621303</c:v>
                </c:pt>
                <c:pt idx="25">
                  <c:v>98.495409763122396</c:v>
                </c:pt>
                <c:pt idx="26">
                  <c:v>98.752971627294897</c:v>
                </c:pt>
                <c:pt idx="27">
                  <c:v>97.987326339795402</c:v>
                </c:pt>
                <c:pt idx="28">
                  <c:v>98.449802133166898</c:v>
                </c:pt>
                <c:pt idx="29">
                  <c:v>98.982676748683502</c:v>
                </c:pt>
                <c:pt idx="30">
                  <c:v>101.094217319354</c:v>
                </c:pt>
                <c:pt idx="31">
                  <c:v>101.31841952252</c:v>
                </c:pt>
                <c:pt idx="32">
                  <c:v>100.658745451502</c:v>
                </c:pt>
                <c:pt idx="33">
                  <c:v>101.52200475291799</c:v>
                </c:pt>
                <c:pt idx="34">
                  <c:v>101.525470156617</c:v>
                </c:pt>
                <c:pt idx="35">
                  <c:v>102.85749574053099</c:v>
                </c:pt>
                <c:pt idx="36">
                  <c:v>103.50681706184299</c:v>
                </c:pt>
                <c:pt idx="37">
                  <c:v>104.982051504883</c:v>
                </c:pt>
                <c:pt idx="38">
                  <c:v>107.900286251499</c:v>
                </c:pt>
                <c:pt idx="39">
                  <c:v>109.596120764102</c:v>
                </c:pt>
                <c:pt idx="40">
                  <c:v>109.39431974682</c:v>
                </c:pt>
                <c:pt idx="41">
                  <c:v>108.490534646499</c:v>
                </c:pt>
                <c:pt idx="42">
                  <c:v>109.26375112875201</c:v>
                </c:pt>
                <c:pt idx="43">
                  <c:v>110.428583304612</c:v>
                </c:pt>
                <c:pt idx="44">
                  <c:v>115.36695300077901</c:v>
                </c:pt>
                <c:pt idx="45">
                  <c:v>112.65413683120499</c:v>
                </c:pt>
                <c:pt idx="46">
                  <c:v>110.79609116648101</c:v>
                </c:pt>
                <c:pt idx="47">
                  <c:v>112.6042347436</c:v>
                </c:pt>
                <c:pt idx="48">
                  <c:v>115.299452280911</c:v>
                </c:pt>
                <c:pt idx="49">
                  <c:v>116.268253726594</c:v>
                </c:pt>
                <c:pt idx="50">
                  <c:v>116.095876498498</c:v>
                </c:pt>
                <c:pt idx="51">
                  <c:v>115.224249302838</c:v>
                </c:pt>
                <c:pt idx="52">
                  <c:v>114.657202021782</c:v>
                </c:pt>
                <c:pt idx="53">
                  <c:v>116.613841086441</c:v>
                </c:pt>
                <c:pt idx="54">
                  <c:v>116.72709742150001</c:v>
                </c:pt>
                <c:pt idx="55">
                  <c:v>116.025726846445</c:v>
                </c:pt>
              </c:numCache>
            </c:numRef>
          </c:val>
          <c:extLst>
            <c:ext xmlns:c16="http://schemas.microsoft.com/office/drawing/2014/chart" uri="{C3380CC4-5D6E-409C-BE32-E72D297353CC}">
              <c16:uniqueId val="{00000000-F920-4390-BE09-4DCEE6E95008}"/>
            </c:ext>
          </c:extLst>
        </c:ser>
        <c:dLbls>
          <c:showLegendKey val="0"/>
          <c:showVal val="0"/>
          <c:showCatName val="0"/>
          <c:showSerName val="0"/>
          <c:showPercent val="0"/>
          <c:showBubbleSize val="0"/>
        </c:dLbls>
        <c:gapWidth val="40"/>
        <c:overlap val="100"/>
        <c:axId val="498407200"/>
        <c:axId val="1"/>
      </c:barChart>
      <c:lineChart>
        <c:grouping val="standard"/>
        <c:varyColors val="0"/>
        <c:ser>
          <c:idx val="1"/>
          <c:order val="1"/>
          <c:tx>
            <c:v>Tendencia-Ciclo</c:v>
          </c:tx>
          <c:spPr>
            <a:ln w="15875">
              <a:solidFill>
                <a:srgbClr val="C00000"/>
              </a:solidFill>
              <a:prstDash val="solid"/>
            </a:ln>
          </c:spPr>
          <c:marker>
            <c:symbol val="none"/>
          </c:marker>
          <c:cat>
            <c:multiLvlStrRef>
              <c:f>datos!$B$29:$C$84</c:f>
              <c:multiLvlStrCache>
                <c:ptCount val="56"/>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pt idx="52">
                    <c:v>I</c:v>
                  </c:pt>
                  <c:pt idx="53">
                    <c:v>II</c:v>
                  </c:pt>
                  <c:pt idx="54">
                    <c:v>III</c:v>
                  </c:pt>
                  <c:pt idx="55">
                    <c:v>IV</c:v>
                  </c:pt>
                </c:lvl>
                <c:lvl>
                  <c:pt idx="0">
                    <c:v>2006</c:v>
                  </c:pt>
                  <c:pt idx="4">
                    <c:v>2007</c:v>
                  </c:pt>
                  <c:pt idx="8">
                    <c:v>2008</c:v>
                  </c:pt>
                  <c:pt idx="12">
                    <c:v>2009</c:v>
                  </c:pt>
                  <c:pt idx="16">
                    <c:v>2010</c:v>
                  </c:pt>
                  <c:pt idx="20">
                    <c:v>2011</c:v>
                  </c:pt>
                  <c:pt idx="24">
                    <c:v>2012</c:v>
                  </c:pt>
                  <c:pt idx="28">
                    <c:v>2013</c:v>
                  </c:pt>
                  <c:pt idx="32">
                    <c:v>2014</c:v>
                  </c:pt>
                  <c:pt idx="36">
                    <c:v>2015</c:v>
                  </c:pt>
                  <c:pt idx="40">
                    <c:v>2016</c:v>
                  </c:pt>
                  <c:pt idx="44">
                    <c:v>2017</c:v>
                  </c:pt>
                  <c:pt idx="48">
                    <c:v>2018</c:v>
                  </c:pt>
                  <c:pt idx="52">
                    <c:v>2019</c:v>
                  </c:pt>
                </c:lvl>
              </c:multiLvlStrCache>
            </c:multiLvlStrRef>
          </c:cat>
          <c:val>
            <c:numRef>
              <c:f>datos!$E$29:$E$84</c:f>
              <c:numCache>
                <c:formatCode>0.0</c:formatCode>
                <c:ptCount val="56"/>
                <c:pt idx="0">
                  <c:v>84.628503770852205</c:v>
                </c:pt>
                <c:pt idx="1">
                  <c:v>86.742365020229201</c:v>
                </c:pt>
                <c:pt idx="2">
                  <c:v>88.297761748240802</c:v>
                </c:pt>
                <c:pt idx="3">
                  <c:v>89.5002081340307</c:v>
                </c:pt>
                <c:pt idx="4">
                  <c:v>90.4175402862315</c:v>
                </c:pt>
                <c:pt idx="5">
                  <c:v>90.765496709038302</c:v>
                </c:pt>
                <c:pt idx="6">
                  <c:v>91.162490994007101</c:v>
                </c:pt>
                <c:pt idx="7">
                  <c:v>92.583881713447497</c:v>
                </c:pt>
                <c:pt idx="8">
                  <c:v>94.430663720328496</c:v>
                </c:pt>
                <c:pt idx="9">
                  <c:v>94.978296848787906</c:v>
                </c:pt>
                <c:pt idx="10">
                  <c:v>94.679632148340602</c:v>
                </c:pt>
                <c:pt idx="11">
                  <c:v>94.508391221651607</c:v>
                </c:pt>
                <c:pt idx="12">
                  <c:v>93.968573187192902</c:v>
                </c:pt>
                <c:pt idx="13">
                  <c:v>93.539428564680804</c:v>
                </c:pt>
                <c:pt idx="14">
                  <c:v>93.150498364254005</c:v>
                </c:pt>
                <c:pt idx="15">
                  <c:v>92.677061581498506</c:v>
                </c:pt>
                <c:pt idx="16">
                  <c:v>92.386151111238107</c:v>
                </c:pt>
                <c:pt idx="17">
                  <c:v>92.396152127898205</c:v>
                </c:pt>
                <c:pt idx="18">
                  <c:v>92.092663155836306</c:v>
                </c:pt>
                <c:pt idx="19">
                  <c:v>91.850185499083395</c:v>
                </c:pt>
                <c:pt idx="20">
                  <c:v>92.359724998108803</c:v>
                </c:pt>
                <c:pt idx="21">
                  <c:v>93.851084584713306</c:v>
                </c:pt>
                <c:pt idx="22">
                  <c:v>95.6943793130188</c:v>
                </c:pt>
                <c:pt idx="23">
                  <c:v>97.127395674346999</c:v>
                </c:pt>
                <c:pt idx="24">
                  <c:v>97.983788786863499</c:v>
                </c:pt>
                <c:pt idx="25">
                  <c:v>98.428654126673706</c:v>
                </c:pt>
                <c:pt idx="26">
                  <c:v>98.554905353956798</c:v>
                </c:pt>
                <c:pt idx="27">
                  <c:v>98.237643617702005</c:v>
                </c:pt>
                <c:pt idx="28">
                  <c:v>98.254048479356399</c:v>
                </c:pt>
                <c:pt idx="29">
                  <c:v>99.347920739943206</c:v>
                </c:pt>
                <c:pt idx="30">
                  <c:v>100.766039813966</c:v>
                </c:pt>
                <c:pt idx="31">
                  <c:v>101.215376554747</c:v>
                </c:pt>
                <c:pt idx="32">
                  <c:v>101.010424747214</c:v>
                </c:pt>
                <c:pt idx="33">
                  <c:v>101.18636591664701</c:v>
                </c:pt>
                <c:pt idx="34">
                  <c:v>101.83383375567701</c:v>
                </c:pt>
                <c:pt idx="35">
                  <c:v>102.599042879572</c:v>
                </c:pt>
                <c:pt idx="36">
                  <c:v>103.572279069883</c:v>
                </c:pt>
                <c:pt idx="37">
                  <c:v>105.22307333049299</c:v>
                </c:pt>
                <c:pt idx="38">
                  <c:v>107.754155237267</c:v>
                </c:pt>
                <c:pt idx="39">
                  <c:v>109.458747961322</c:v>
                </c:pt>
                <c:pt idx="40">
                  <c:v>109.30743156992</c:v>
                </c:pt>
                <c:pt idx="41">
                  <c:v>108.675871123167</c:v>
                </c:pt>
                <c:pt idx="42">
                  <c:v>109.41387867819699</c:v>
                </c:pt>
                <c:pt idx="43">
                  <c:v>111.521979634777</c:v>
                </c:pt>
                <c:pt idx="44">
                  <c:v>113.003523887207</c:v>
                </c:pt>
                <c:pt idx="45">
                  <c:v>112.48331796984</c:v>
                </c:pt>
                <c:pt idx="46">
                  <c:v>111.605451034829</c:v>
                </c:pt>
                <c:pt idx="47">
                  <c:v>112.71856549677101</c:v>
                </c:pt>
                <c:pt idx="48">
                  <c:v>115.03295767192</c:v>
                </c:pt>
                <c:pt idx="49">
                  <c:v>116.278776394232</c:v>
                </c:pt>
                <c:pt idx="50">
                  <c:v>116.054618020544</c:v>
                </c:pt>
                <c:pt idx="51">
                  <c:v>115.146351149512</c:v>
                </c:pt>
                <c:pt idx="52">
                  <c:v>115.095460563492</c:v>
                </c:pt>
                <c:pt idx="53">
                  <c:v>116.13127890082001</c:v>
                </c:pt>
                <c:pt idx="54">
                  <c:v>116.619680197192</c:v>
                </c:pt>
                <c:pt idx="55">
                  <c:v>116.2934592408</c:v>
                </c:pt>
              </c:numCache>
            </c:numRef>
          </c:val>
          <c:smooth val="0"/>
          <c:extLst>
            <c:ext xmlns:c16="http://schemas.microsoft.com/office/drawing/2014/chart" uri="{C3380CC4-5D6E-409C-BE32-E72D297353CC}">
              <c16:uniqueId val="{00000001-F920-4390-BE09-4DCEE6E95008}"/>
            </c:ext>
          </c:extLst>
        </c:ser>
        <c:dLbls>
          <c:showLegendKey val="0"/>
          <c:showVal val="0"/>
          <c:showCatName val="0"/>
          <c:showSerName val="0"/>
          <c:showPercent val="0"/>
          <c:showBubbleSize val="0"/>
        </c:dLbls>
        <c:marker val="1"/>
        <c:smooth val="0"/>
        <c:axId val="498407200"/>
        <c:axId val="1"/>
      </c:lineChart>
      <c:catAx>
        <c:axId val="498407200"/>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sz="600" b="0" i="0" u="none" strike="noStrike" baseline="0">
                <a:solidFill>
                  <a:srgbClr val="000000"/>
                </a:solidFill>
                <a:latin typeface="Arial"/>
                <a:ea typeface="Arial"/>
                <a:cs typeface="Arial"/>
              </a:defRPr>
            </a:pPr>
            <a:endParaRPr lang="es-MX"/>
          </a:p>
        </c:txPr>
        <c:crossAx val="1"/>
        <c:crosses val="autoZero"/>
        <c:auto val="1"/>
        <c:lblAlgn val="ctr"/>
        <c:lblOffset val="0"/>
        <c:tickLblSkip val="1"/>
        <c:tickMarkSkip val="12"/>
        <c:noMultiLvlLbl val="0"/>
      </c:catAx>
      <c:valAx>
        <c:axId val="1"/>
        <c:scaling>
          <c:orientation val="minMax"/>
          <c:max val="130"/>
          <c:min val="70"/>
        </c:scaling>
        <c:delete val="0"/>
        <c:axPos val="l"/>
        <c:numFmt formatCode="0" sourceLinked="0"/>
        <c:majorTickMark val="out"/>
        <c:minorTickMark val="none"/>
        <c:tickLblPos val="nextTo"/>
        <c:spPr>
          <a:ln w="3175">
            <a:solidFill>
              <a:srgbClr val="000000"/>
            </a:solidFill>
            <a:prstDash val="solid"/>
          </a:ln>
        </c:spPr>
        <c:txPr>
          <a:bodyPr rot="0" vert="horz"/>
          <a:lstStyle/>
          <a:p>
            <a:pPr>
              <a:defRPr sz="700" b="0" i="0" u="none" strike="noStrike" baseline="0">
                <a:solidFill>
                  <a:srgbClr val="000000"/>
                </a:solidFill>
                <a:latin typeface="Arial"/>
                <a:ea typeface="Arial"/>
                <a:cs typeface="Arial"/>
              </a:defRPr>
            </a:pPr>
            <a:endParaRPr lang="es-MX"/>
          </a:p>
        </c:txPr>
        <c:crossAx val="498407200"/>
        <c:crosses val="autoZero"/>
        <c:crossBetween val="between"/>
      </c:valAx>
      <c:spPr>
        <a:noFill/>
        <a:ln w="12700">
          <a:solidFill>
            <a:srgbClr val="808080"/>
          </a:solidFill>
          <a:prstDash val="solid"/>
        </a:ln>
      </c:spPr>
    </c:plotArea>
    <c:legend>
      <c:legendPos val="r"/>
      <c:layout>
        <c:manualLayout>
          <c:xMode val="edge"/>
          <c:yMode val="edge"/>
          <c:x val="3.3370411568409346E-3"/>
          <c:y val="0.93267651888341541"/>
          <c:w val="0.98442714126807562"/>
          <c:h val="5.9113300492610835E-2"/>
        </c:manualLayout>
      </c:layout>
      <c:overlay val="0"/>
      <c:spPr>
        <a:noFill/>
        <a:ln w="25400">
          <a:noFill/>
        </a:ln>
      </c:spPr>
      <c:txPr>
        <a:bodyPr/>
        <a:lstStyle/>
        <a:p>
          <a:pPr>
            <a:defRPr sz="70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900" b="0" i="0" u="none" strike="noStrike" baseline="0">
          <a:solidFill>
            <a:srgbClr val="000000"/>
          </a:solidFill>
          <a:latin typeface="Arial"/>
          <a:ea typeface="Arial"/>
          <a:cs typeface="Arial"/>
        </a:defRPr>
      </a:pPr>
      <a:endParaRPr lang="es-MX"/>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4253098436496176E-2"/>
          <c:y val="2.5852478720533766E-2"/>
          <c:w val="0.91526018934083408"/>
          <c:h val="0.78127257863258892"/>
        </c:manualLayout>
      </c:layout>
      <c:barChart>
        <c:barDir val="col"/>
        <c:grouping val="clustered"/>
        <c:varyColors val="0"/>
        <c:ser>
          <c:idx val="0"/>
          <c:order val="0"/>
          <c:tx>
            <c:strRef>
              <c:f>datos!$F$4</c:f>
              <c:strCache>
                <c:ptCount val="1"/>
                <c:pt idx="0">
                  <c:v>Serie Desestacionalizada</c:v>
                </c:pt>
              </c:strCache>
            </c:strRef>
          </c:tx>
          <c:spPr>
            <a:solidFill>
              <a:schemeClr val="accent3">
                <a:lumMod val="60000"/>
                <a:lumOff val="40000"/>
              </a:schemeClr>
            </a:solidFill>
            <a:ln w="12700">
              <a:noFill/>
              <a:prstDash val="solid"/>
            </a:ln>
            <a:effectLst>
              <a:outerShdw blurRad="50800" dist="12700" dir="5400000" algn="ctr" rotWithShape="0">
                <a:srgbClr val="000000">
                  <a:alpha val="43137"/>
                </a:srgbClr>
              </a:outerShdw>
            </a:effectLst>
            <a:scene3d>
              <a:camera prst="orthographicFront"/>
              <a:lightRig rig="threePt" dir="t"/>
            </a:scene3d>
            <a:sp3d>
              <a:bevelT w="50800"/>
            </a:sp3d>
          </c:spPr>
          <c:invertIfNegative val="0"/>
          <c:cat>
            <c:multiLvlStrRef>
              <c:f>datos!$B$29:$C$84</c:f>
              <c:multiLvlStrCache>
                <c:ptCount val="56"/>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pt idx="52">
                    <c:v>I</c:v>
                  </c:pt>
                  <c:pt idx="53">
                    <c:v>II</c:v>
                  </c:pt>
                  <c:pt idx="54">
                    <c:v>III</c:v>
                  </c:pt>
                  <c:pt idx="55">
                    <c:v>IV</c:v>
                  </c:pt>
                </c:lvl>
                <c:lvl>
                  <c:pt idx="0">
                    <c:v>2006</c:v>
                  </c:pt>
                  <c:pt idx="4">
                    <c:v>2007</c:v>
                  </c:pt>
                  <c:pt idx="8">
                    <c:v>2008</c:v>
                  </c:pt>
                  <c:pt idx="12">
                    <c:v>2009</c:v>
                  </c:pt>
                  <c:pt idx="16">
                    <c:v>2010</c:v>
                  </c:pt>
                  <c:pt idx="20">
                    <c:v>2011</c:v>
                  </c:pt>
                  <c:pt idx="24">
                    <c:v>2012</c:v>
                  </c:pt>
                  <c:pt idx="28">
                    <c:v>2013</c:v>
                  </c:pt>
                  <c:pt idx="32">
                    <c:v>2014</c:v>
                  </c:pt>
                  <c:pt idx="36">
                    <c:v>2015</c:v>
                  </c:pt>
                  <c:pt idx="40">
                    <c:v>2016</c:v>
                  </c:pt>
                  <c:pt idx="44">
                    <c:v>2017</c:v>
                  </c:pt>
                  <c:pt idx="48">
                    <c:v>2018</c:v>
                  </c:pt>
                  <c:pt idx="52">
                    <c:v>2019</c:v>
                  </c:pt>
                </c:lvl>
              </c:multiLvlStrCache>
            </c:multiLvlStrRef>
          </c:cat>
          <c:val>
            <c:numRef>
              <c:f>datos!$F$29:$F$84</c:f>
              <c:numCache>
                <c:formatCode>0.0</c:formatCode>
                <c:ptCount val="56"/>
                <c:pt idx="0">
                  <c:v>88.115713716586299</c:v>
                </c:pt>
                <c:pt idx="1">
                  <c:v>91.920096783131001</c:v>
                </c:pt>
                <c:pt idx="2">
                  <c:v>92.845284860962394</c:v>
                </c:pt>
                <c:pt idx="3">
                  <c:v>95.753048782632902</c:v>
                </c:pt>
                <c:pt idx="4">
                  <c:v>96.6537523556606</c:v>
                </c:pt>
                <c:pt idx="5">
                  <c:v>95.563626406509599</c:v>
                </c:pt>
                <c:pt idx="6">
                  <c:v>96.419039126971896</c:v>
                </c:pt>
                <c:pt idx="7">
                  <c:v>96.968555953417805</c:v>
                </c:pt>
                <c:pt idx="8">
                  <c:v>101.339888800312</c:v>
                </c:pt>
                <c:pt idx="9">
                  <c:v>102.22084551688</c:v>
                </c:pt>
                <c:pt idx="10">
                  <c:v>100.08487710718801</c:v>
                </c:pt>
                <c:pt idx="11">
                  <c:v>103.73142421733399</c:v>
                </c:pt>
                <c:pt idx="12">
                  <c:v>99.581693245239705</c:v>
                </c:pt>
                <c:pt idx="13">
                  <c:v>88.636642969838604</c:v>
                </c:pt>
                <c:pt idx="14">
                  <c:v>94.209247689951894</c:v>
                </c:pt>
                <c:pt idx="15">
                  <c:v>95.312338679126498</c:v>
                </c:pt>
                <c:pt idx="16">
                  <c:v>96.086847252823503</c:v>
                </c:pt>
                <c:pt idx="17">
                  <c:v>94.915899590826101</c:v>
                </c:pt>
                <c:pt idx="18">
                  <c:v>95.011694462745695</c:v>
                </c:pt>
                <c:pt idx="19">
                  <c:v>90.404817891012897</c:v>
                </c:pt>
                <c:pt idx="20">
                  <c:v>94.280161937721005</c:v>
                </c:pt>
                <c:pt idx="21">
                  <c:v>95.306006988514298</c:v>
                </c:pt>
                <c:pt idx="22">
                  <c:v>97.168307005015194</c:v>
                </c:pt>
                <c:pt idx="23">
                  <c:v>99.429968985201498</c:v>
                </c:pt>
                <c:pt idx="24">
                  <c:v>99.602183311630597</c:v>
                </c:pt>
                <c:pt idx="25">
                  <c:v>100.58513875000401</c:v>
                </c:pt>
                <c:pt idx="26">
                  <c:v>99.913361529050604</c:v>
                </c:pt>
                <c:pt idx="27">
                  <c:v>99.456525773440504</c:v>
                </c:pt>
                <c:pt idx="28">
                  <c:v>98.717175400426399</c:v>
                </c:pt>
                <c:pt idx="29">
                  <c:v>100.211183634199</c:v>
                </c:pt>
                <c:pt idx="30">
                  <c:v>100.653855628626</c:v>
                </c:pt>
                <c:pt idx="31">
                  <c:v>100.260659167897</c:v>
                </c:pt>
                <c:pt idx="32">
                  <c:v>97.383614800976503</c:v>
                </c:pt>
                <c:pt idx="33">
                  <c:v>97.571927436318006</c:v>
                </c:pt>
                <c:pt idx="34">
                  <c:v>98.136307141788294</c:v>
                </c:pt>
                <c:pt idx="35">
                  <c:v>97.810259346740807</c:v>
                </c:pt>
                <c:pt idx="36">
                  <c:v>97.852418473880505</c:v>
                </c:pt>
                <c:pt idx="37">
                  <c:v>98.597868901786597</c:v>
                </c:pt>
                <c:pt idx="38">
                  <c:v>102.676868206565</c:v>
                </c:pt>
                <c:pt idx="39">
                  <c:v>103.67843411767799</c:v>
                </c:pt>
                <c:pt idx="40">
                  <c:v>100.89813209122801</c:v>
                </c:pt>
                <c:pt idx="41">
                  <c:v>97.919329310884507</c:v>
                </c:pt>
                <c:pt idx="42">
                  <c:v>97.535908483031804</c:v>
                </c:pt>
                <c:pt idx="43">
                  <c:v>99.643260602318094</c:v>
                </c:pt>
                <c:pt idx="44">
                  <c:v>111.42831374687201</c:v>
                </c:pt>
                <c:pt idx="45">
                  <c:v>104.853877830747</c:v>
                </c:pt>
                <c:pt idx="46">
                  <c:v>99.081105666750403</c:v>
                </c:pt>
                <c:pt idx="47">
                  <c:v>99.239367939853196</c:v>
                </c:pt>
                <c:pt idx="48">
                  <c:v>104.301282412942</c:v>
                </c:pt>
                <c:pt idx="49">
                  <c:v>106.680874739834</c:v>
                </c:pt>
                <c:pt idx="50">
                  <c:v>108.397210388952</c:v>
                </c:pt>
                <c:pt idx="51">
                  <c:v>106.47113046154701</c:v>
                </c:pt>
                <c:pt idx="52">
                  <c:v>104.849795506487</c:v>
                </c:pt>
                <c:pt idx="53">
                  <c:v>106.92557339387</c:v>
                </c:pt>
                <c:pt idx="54">
                  <c:v>108.197770756258</c:v>
                </c:pt>
                <c:pt idx="55">
                  <c:v>107.44538031812699</c:v>
                </c:pt>
              </c:numCache>
            </c:numRef>
          </c:val>
          <c:extLst>
            <c:ext xmlns:c16="http://schemas.microsoft.com/office/drawing/2014/chart" uri="{C3380CC4-5D6E-409C-BE32-E72D297353CC}">
              <c16:uniqueId val="{00000000-752F-4B96-839D-4BF65FD12CA2}"/>
            </c:ext>
          </c:extLst>
        </c:ser>
        <c:dLbls>
          <c:showLegendKey val="0"/>
          <c:showVal val="0"/>
          <c:showCatName val="0"/>
          <c:showSerName val="0"/>
          <c:showPercent val="0"/>
          <c:showBubbleSize val="0"/>
        </c:dLbls>
        <c:gapWidth val="40"/>
        <c:axId val="498464600"/>
        <c:axId val="1"/>
      </c:barChart>
      <c:lineChart>
        <c:grouping val="standard"/>
        <c:varyColors val="0"/>
        <c:ser>
          <c:idx val="1"/>
          <c:order val="1"/>
          <c:tx>
            <c:v>Tendencia-Ciclo</c:v>
          </c:tx>
          <c:spPr>
            <a:ln w="15875">
              <a:solidFill>
                <a:srgbClr val="C00000"/>
              </a:solidFill>
              <a:prstDash val="solid"/>
            </a:ln>
          </c:spPr>
          <c:marker>
            <c:symbol val="none"/>
          </c:marker>
          <c:cat>
            <c:multiLvlStrRef>
              <c:f>datos!$B$29:$C$84</c:f>
              <c:multiLvlStrCache>
                <c:ptCount val="56"/>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pt idx="52">
                    <c:v>I</c:v>
                  </c:pt>
                  <c:pt idx="53">
                    <c:v>II</c:v>
                  </c:pt>
                  <c:pt idx="54">
                    <c:v>III</c:v>
                  </c:pt>
                  <c:pt idx="55">
                    <c:v>IV</c:v>
                  </c:pt>
                </c:lvl>
                <c:lvl>
                  <c:pt idx="0">
                    <c:v>2006</c:v>
                  </c:pt>
                  <c:pt idx="4">
                    <c:v>2007</c:v>
                  </c:pt>
                  <c:pt idx="8">
                    <c:v>2008</c:v>
                  </c:pt>
                  <c:pt idx="12">
                    <c:v>2009</c:v>
                  </c:pt>
                  <c:pt idx="16">
                    <c:v>2010</c:v>
                  </c:pt>
                  <c:pt idx="20">
                    <c:v>2011</c:v>
                  </c:pt>
                  <c:pt idx="24">
                    <c:v>2012</c:v>
                  </c:pt>
                  <c:pt idx="28">
                    <c:v>2013</c:v>
                  </c:pt>
                  <c:pt idx="32">
                    <c:v>2014</c:v>
                  </c:pt>
                  <c:pt idx="36">
                    <c:v>2015</c:v>
                  </c:pt>
                  <c:pt idx="40">
                    <c:v>2016</c:v>
                  </c:pt>
                  <c:pt idx="44">
                    <c:v>2017</c:v>
                  </c:pt>
                  <c:pt idx="48">
                    <c:v>2018</c:v>
                  </c:pt>
                  <c:pt idx="52">
                    <c:v>2019</c:v>
                  </c:pt>
                </c:lvl>
              </c:multiLvlStrCache>
            </c:multiLvlStrRef>
          </c:cat>
          <c:val>
            <c:numRef>
              <c:f>datos!$G$29:$G$84</c:f>
              <c:numCache>
                <c:formatCode>0.0</c:formatCode>
                <c:ptCount val="56"/>
                <c:pt idx="0">
                  <c:v>88.488624876527894</c:v>
                </c:pt>
                <c:pt idx="1">
                  <c:v>91.170881865625603</c:v>
                </c:pt>
                <c:pt idx="2">
                  <c:v>93.495213348814502</c:v>
                </c:pt>
                <c:pt idx="3">
                  <c:v>95.458911693829194</c:v>
                </c:pt>
                <c:pt idx="4">
                  <c:v>96.365910101563102</c:v>
                </c:pt>
                <c:pt idx="5">
                  <c:v>96.017975559879801</c:v>
                </c:pt>
                <c:pt idx="6">
                  <c:v>95.950640259699199</c:v>
                </c:pt>
                <c:pt idx="7">
                  <c:v>97.808548909257198</c:v>
                </c:pt>
                <c:pt idx="8">
                  <c:v>100.658486564697</c:v>
                </c:pt>
                <c:pt idx="9">
                  <c:v>102.142081649068</c:v>
                </c:pt>
                <c:pt idx="10">
                  <c:v>102.18939178748001</c:v>
                </c:pt>
                <c:pt idx="11">
                  <c:v>101.64632053503</c:v>
                </c:pt>
                <c:pt idx="12">
                  <c:v>100.15802605457201</c:v>
                </c:pt>
                <c:pt idx="13">
                  <c:v>98.571498352473498</c:v>
                </c:pt>
                <c:pt idx="14">
                  <c:v>97.632235519838602</c:v>
                </c:pt>
                <c:pt idx="15">
                  <c:v>96.828383901687701</c:v>
                </c:pt>
                <c:pt idx="16">
                  <c:v>96.115338269091495</c:v>
                </c:pt>
                <c:pt idx="17">
                  <c:v>95.489321803530004</c:v>
                </c:pt>
                <c:pt idx="18">
                  <c:v>94.214188501829895</c:v>
                </c:pt>
                <c:pt idx="19">
                  <c:v>93.450013916380598</c:v>
                </c:pt>
                <c:pt idx="20">
                  <c:v>93.8730529526932</c:v>
                </c:pt>
                <c:pt idx="21">
                  <c:v>95.441434288019494</c:v>
                </c:pt>
                <c:pt idx="22">
                  <c:v>97.319567961452506</c:v>
                </c:pt>
                <c:pt idx="23">
                  <c:v>99.034488088242298</c:v>
                </c:pt>
                <c:pt idx="24">
                  <c:v>99.996240010440403</c:v>
                </c:pt>
                <c:pt idx="25">
                  <c:v>100.26684902084099</c:v>
                </c:pt>
                <c:pt idx="26">
                  <c:v>100.087180507116</c:v>
                </c:pt>
                <c:pt idx="27">
                  <c:v>99.235270266681795</c:v>
                </c:pt>
                <c:pt idx="28">
                  <c:v>99.143092243033493</c:v>
                </c:pt>
                <c:pt idx="29">
                  <c:v>99.958793363602496</c:v>
                </c:pt>
                <c:pt idx="30">
                  <c:v>100.772224972114</c:v>
                </c:pt>
                <c:pt idx="31">
                  <c:v>99.6970378167711</c:v>
                </c:pt>
                <c:pt idx="32">
                  <c:v>97.970081937678898</c:v>
                </c:pt>
                <c:pt idx="33">
                  <c:v>97.472070783712098</c:v>
                </c:pt>
                <c:pt idx="34">
                  <c:v>97.950895573972502</c:v>
                </c:pt>
                <c:pt idx="35">
                  <c:v>97.878072462427795</c:v>
                </c:pt>
                <c:pt idx="36">
                  <c:v>97.683891770756006</c:v>
                </c:pt>
                <c:pt idx="37">
                  <c:v>99.261736163319696</c:v>
                </c:pt>
                <c:pt idx="38">
                  <c:v>102.25785596092599</c:v>
                </c:pt>
                <c:pt idx="39">
                  <c:v>103.363595529299</c:v>
                </c:pt>
                <c:pt idx="40">
                  <c:v>100.956101231171</c:v>
                </c:pt>
                <c:pt idx="41">
                  <c:v>97.923791691517195</c:v>
                </c:pt>
                <c:pt idx="42">
                  <c:v>98.202694024432901</c:v>
                </c:pt>
                <c:pt idx="43">
                  <c:v>102.342292079348</c:v>
                </c:pt>
                <c:pt idx="44">
                  <c:v>105.986843451962</c:v>
                </c:pt>
                <c:pt idx="45">
                  <c:v>104.200930021644</c:v>
                </c:pt>
                <c:pt idx="46">
                  <c:v>99.901897326241098</c:v>
                </c:pt>
                <c:pt idx="47">
                  <c:v>99.720942884924796</c:v>
                </c:pt>
                <c:pt idx="48">
                  <c:v>103.59601725173</c:v>
                </c:pt>
                <c:pt idx="49">
                  <c:v>107.04787722833299</c:v>
                </c:pt>
                <c:pt idx="50">
                  <c:v>107.888634485455</c:v>
                </c:pt>
                <c:pt idx="51">
                  <c:v>106.511866986911</c:v>
                </c:pt>
                <c:pt idx="52">
                  <c:v>105.42935594700501</c:v>
                </c:pt>
                <c:pt idx="53">
                  <c:v>106.684757282226</c:v>
                </c:pt>
                <c:pt idx="54">
                  <c:v>107.941129587375</c:v>
                </c:pt>
                <c:pt idx="55">
                  <c:v>107.589008271474</c:v>
                </c:pt>
              </c:numCache>
            </c:numRef>
          </c:val>
          <c:smooth val="0"/>
          <c:extLst>
            <c:ext xmlns:c16="http://schemas.microsoft.com/office/drawing/2014/chart" uri="{C3380CC4-5D6E-409C-BE32-E72D297353CC}">
              <c16:uniqueId val="{00000001-752F-4B96-839D-4BF65FD12CA2}"/>
            </c:ext>
          </c:extLst>
        </c:ser>
        <c:dLbls>
          <c:showLegendKey val="0"/>
          <c:showVal val="0"/>
          <c:showCatName val="0"/>
          <c:showSerName val="0"/>
          <c:showPercent val="0"/>
          <c:showBubbleSize val="0"/>
        </c:dLbls>
        <c:marker val="1"/>
        <c:smooth val="0"/>
        <c:axId val="498464600"/>
        <c:axId val="1"/>
      </c:lineChart>
      <c:catAx>
        <c:axId val="498464600"/>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sz="600" b="0" i="0" u="none" strike="noStrike" baseline="0">
                <a:solidFill>
                  <a:srgbClr val="000000"/>
                </a:solidFill>
                <a:latin typeface="Arial"/>
                <a:ea typeface="Arial"/>
                <a:cs typeface="Arial"/>
              </a:defRPr>
            </a:pPr>
            <a:endParaRPr lang="es-MX"/>
          </a:p>
        </c:txPr>
        <c:crossAx val="1"/>
        <c:crosses val="autoZero"/>
        <c:auto val="1"/>
        <c:lblAlgn val="ctr"/>
        <c:lblOffset val="0"/>
        <c:tickLblSkip val="1"/>
        <c:tickMarkSkip val="12"/>
        <c:noMultiLvlLbl val="0"/>
      </c:catAx>
      <c:valAx>
        <c:axId val="1"/>
        <c:scaling>
          <c:orientation val="minMax"/>
          <c:max val="115"/>
          <c:min val="80"/>
        </c:scaling>
        <c:delete val="0"/>
        <c:axPos val="l"/>
        <c:numFmt formatCode="0" sourceLinked="0"/>
        <c:majorTickMark val="out"/>
        <c:minorTickMark val="none"/>
        <c:tickLblPos val="nextTo"/>
        <c:spPr>
          <a:ln w="3175">
            <a:solidFill>
              <a:srgbClr val="000000"/>
            </a:solidFill>
            <a:prstDash val="solid"/>
          </a:ln>
        </c:spPr>
        <c:txPr>
          <a:bodyPr rot="0" vert="horz"/>
          <a:lstStyle/>
          <a:p>
            <a:pPr>
              <a:defRPr sz="700" b="0" i="0" u="none" strike="noStrike" baseline="0">
                <a:solidFill>
                  <a:srgbClr val="000000"/>
                </a:solidFill>
                <a:latin typeface="Arial"/>
                <a:ea typeface="Arial"/>
                <a:cs typeface="Arial"/>
              </a:defRPr>
            </a:pPr>
            <a:endParaRPr lang="es-MX"/>
          </a:p>
        </c:txPr>
        <c:crossAx val="498464600"/>
        <c:crosses val="autoZero"/>
        <c:crossBetween val="between"/>
      </c:valAx>
      <c:spPr>
        <a:noFill/>
        <a:ln w="12700">
          <a:solidFill>
            <a:srgbClr val="808080"/>
          </a:solidFill>
          <a:prstDash val="solid"/>
        </a:ln>
      </c:spPr>
    </c:plotArea>
    <c:legend>
      <c:legendPos val="r"/>
      <c:layout>
        <c:manualLayout>
          <c:xMode val="edge"/>
          <c:yMode val="edge"/>
          <c:x val="1.1123470522803114E-3"/>
          <c:y val="0.93267651888341541"/>
          <c:w val="0.98776418242491659"/>
          <c:h val="5.9113300492610835E-2"/>
        </c:manualLayout>
      </c:layout>
      <c:overlay val="0"/>
      <c:spPr>
        <a:noFill/>
        <a:ln w="25400">
          <a:noFill/>
        </a:ln>
      </c:spPr>
      <c:txPr>
        <a:bodyPr/>
        <a:lstStyle/>
        <a:p>
          <a:pPr>
            <a:defRPr sz="70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800" b="0" i="0" u="none" strike="noStrike" baseline="0">
          <a:solidFill>
            <a:srgbClr val="000000"/>
          </a:solidFill>
          <a:latin typeface="Arial"/>
          <a:ea typeface="Arial"/>
          <a:cs typeface="Arial"/>
        </a:defRPr>
      </a:pPr>
      <a:endParaRPr lang="es-MX"/>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2302558398220265E-2"/>
          <c:y val="3.0836814819635152E-2"/>
          <c:w val="0.91526018934083408"/>
          <c:h val="0.78347268269097947"/>
        </c:manualLayout>
      </c:layout>
      <c:barChart>
        <c:barDir val="col"/>
        <c:grouping val="clustered"/>
        <c:varyColors val="0"/>
        <c:ser>
          <c:idx val="0"/>
          <c:order val="0"/>
          <c:tx>
            <c:strRef>
              <c:f>datos!$H$4</c:f>
              <c:strCache>
                <c:ptCount val="1"/>
                <c:pt idx="0">
                  <c:v>Serie Desestacionalizada</c:v>
                </c:pt>
              </c:strCache>
            </c:strRef>
          </c:tx>
          <c:spPr>
            <a:solidFill>
              <a:schemeClr val="accent3">
                <a:lumMod val="60000"/>
                <a:lumOff val="40000"/>
              </a:schemeClr>
            </a:solidFill>
            <a:ln w="12700">
              <a:noFill/>
              <a:prstDash val="solid"/>
            </a:ln>
            <a:effectLst>
              <a:outerShdw blurRad="50800" dist="12700" dir="5400000" algn="ctr" rotWithShape="0">
                <a:srgbClr val="000000">
                  <a:alpha val="43137"/>
                </a:srgbClr>
              </a:outerShdw>
            </a:effectLst>
            <a:scene3d>
              <a:camera prst="orthographicFront"/>
              <a:lightRig rig="threePt" dir="t"/>
            </a:scene3d>
            <a:sp3d>
              <a:bevelT w="50800"/>
            </a:sp3d>
          </c:spPr>
          <c:invertIfNegative val="0"/>
          <c:cat>
            <c:multiLvlStrRef>
              <c:f>datos!$B$29:$C$84</c:f>
              <c:multiLvlStrCache>
                <c:ptCount val="56"/>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pt idx="52">
                    <c:v>I</c:v>
                  </c:pt>
                  <c:pt idx="53">
                    <c:v>II</c:v>
                  </c:pt>
                  <c:pt idx="54">
                    <c:v>III</c:v>
                  </c:pt>
                  <c:pt idx="55">
                    <c:v>IV</c:v>
                  </c:pt>
                </c:lvl>
                <c:lvl>
                  <c:pt idx="0">
                    <c:v>2006</c:v>
                  </c:pt>
                  <c:pt idx="4">
                    <c:v>2007</c:v>
                  </c:pt>
                  <c:pt idx="8">
                    <c:v>2008</c:v>
                  </c:pt>
                  <c:pt idx="12">
                    <c:v>2009</c:v>
                  </c:pt>
                  <c:pt idx="16">
                    <c:v>2010</c:v>
                  </c:pt>
                  <c:pt idx="20">
                    <c:v>2011</c:v>
                  </c:pt>
                  <c:pt idx="24">
                    <c:v>2012</c:v>
                  </c:pt>
                  <c:pt idx="28">
                    <c:v>2013</c:v>
                  </c:pt>
                  <c:pt idx="32">
                    <c:v>2014</c:v>
                  </c:pt>
                  <c:pt idx="36">
                    <c:v>2015</c:v>
                  </c:pt>
                  <c:pt idx="40">
                    <c:v>2016</c:v>
                  </c:pt>
                  <c:pt idx="44">
                    <c:v>2017</c:v>
                  </c:pt>
                  <c:pt idx="48">
                    <c:v>2018</c:v>
                  </c:pt>
                  <c:pt idx="52">
                    <c:v>2019</c:v>
                  </c:pt>
                </c:lvl>
              </c:multiLvlStrCache>
            </c:multiLvlStrRef>
          </c:cat>
          <c:val>
            <c:numRef>
              <c:f>datos!$H$29:$H$84</c:f>
              <c:numCache>
                <c:formatCode>0.0</c:formatCode>
                <c:ptCount val="56"/>
                <c:pt idx="0">
                  <c:v>83.622547464369802</c:v>
                </c:pt>
                <c:pt idx="1">
                  <c:v>86.290009247824102</c:v>
                </c:pt>
                <c:pt idx="2">
                  <c:v>86.481310343633496</c:v>
                </c:pt>
                <c:pt idx="3">
                  <c:v>88.370756557834198</c:v>
                </c:pt>
                <c:pt idx="4">
                  <c:v>88.881337559160798</c:v>
                </c:pt>
                <c:pt idx="5">
                  <c:v>89.555574613888595</c:v>
                </c:pt>
                <c:pt idx="6">
                  <c:v>90.154141108454994</c:v>
                </c:pt>
                <c:pt idx="7">
                  <c:v>90.612717276401398</c:v>
                </c:pt>
                <c:pt idx="8">
                  <c:v>93.647736379566396</c:v>
                </c:pt>
                <c:pt idx="9">
                  <c:v>93.209063596985601</c:v>
                </c:pt>
                <c:pt idx="10">
                  <c:v>92.859278072407903</c:v>
                </c:pt>
                <c:pt idx="11">
                  <c:v>95.3259830894103</c:v>
                </c:pt>
                <c:pt idx="12">
                  <c:v>91.256252220952206</c:v>
                </c:pt>
                <c:pt idx="13">
                  <c:v>85.056390071559207</c:v>
                </c:pt>
                <c:pt idx="14">
                  <c:v>89.811222944073904</c:v>
                </c:pt>
                <c:pt idx="15">
                  <c:v>90.101525110695803</c:v>
                </c:pt>
                <c:pt idx="16">
                  <c:v>91.819124738696104</c:v>
                </c:pt>
                <c:pt idx="17">
                  <c:v>91.144150635711</c:v>
                </c:pt>
                <c:pt idx="18">
                  <c:v>91.866401869876</c:v>
                </c:pt>
                <c:pt idx="19">
                  <c:v>91.754046159585997</c:v>
                </c:pt>
                <c:pt idx="20">
                  <c:v>91.838462174612701</c:v>
                </c:pt>
                <c:pt idx="21">
                  <c:v>93.890057276510106</c:v>
                </c:pt>
                <c:pt idx="22">
                  <c:v>94.837084797821205</c:v>
                </c:pt>
                <c:pt idx="23">
                  <c:v>97.029922068716004</c:v>
                </c:pt>
                <c:pt idx="24">
                  <c:v>95.572113520540199</c:v>
                </c:pt>
                <c:pt idx="25">
                  <c:v>97.938524998132493</c:v>
                </c:pt>
                <c:pt idx="26">
                  <c:v>98.476973731711297</c:v>
                </c:pt>
                <c:pt idx="27">
                  <c:v>97.5676311315096</c:v>
                </c:pt>
                <c:pt idx="28">
                  <c:v>98.4980436238408</c:v>
                </c:pt>
                <c:pt idx="29">
                  <c:v>98.612430930082894</c:v>
                </c:pt>
                <c:pt idx="30">
                  <c:v>101.20009144785401</c:v>
                </c:pt>
                <c:pt idx="31">
                  <c:v>101.582055563135</c:v>
                </c:pt>
                <c:pt idx="32">
                  <c:v>101.49809749760701</c:v>
                </c:pt>
                <c:pt idx="33">
                  <c:v>102.406931405541</c:v>
                </c:pt>
                <c:pt idx="34">
                  <c:v>102.32438342072</c:v>
                </c:pt>
                <c:pt idx="35">
                  <c:v>104.154967462947</c:v>
                </c:pt>
                <c:pt idx="36">
                  <c:v>104.855410536967</c:v>
                </c:pt>
                <c:pt idx="37">
                  <c:v>106.464470864799</c:v>
                </c:pt>
                <c:pt idx="38">
                  <c:v>109.13970106727901</c:v>
                </c:pt>
                <c:pt idx="39">
                  <c:v>111.140450103615</c:v>
                </c:pt>
                <c:pt idx="40">
                  <c:v>111.39339555126099</c:v>
                </c:pt>
                <c:pt idx="41">
                  <c:v>111.003957632666</c:v>
                </c:pt>
                <c:pt idx="42">
                  <c:v>112.03040098980399</c:v>
                </c:pt>
                <c:pt idx="43">
                  <c:v>113.16245471182999</c:v>
                </c:pt>
                <c:pt idx="44">
                  <c:v>116.189522922511</c:v>
                </c:pt>
                <c:pt idx="45">
                  <c:v>114.546829736546</c:v>
                </c:pt>
                <c:pt idx="46">
                  <c:v>113.581058691614</c:v>
                </c:pt>
                <c:pt idx="47">
                  <c:v>115.87178468202001</c:v>
                </c:pt>
                <c:pt idx="48">
                  <c:v>117.859516721943</c:v>
                </c:pt>
                <c:pt idx="49">
                  <c:v>118.68082431698799</c:v>
                </c:pt>
                <c:pt idx="50">
                  <c:v>117.92168256087299</c:v>
                </c:pt>
                <c:pt idx="51">
                  <c:v>117.315129775934</c:v>
                </c:pt>
                <c:pt idx="52">
                  <c:v>116.932066211541</c:v>
                </c:pt>
                <c:pt idx="53">
                  <c:v>119.150251800962</c:v>
                </c:pt>
                <c:pt idx="54">
                  <c:v>118.71822928594</c:v>
                </c:pt>
                <c:pt idx="55">
                  <c:v>117.998332651892</c:v>
                </c:pt>
              </c:numCache>
            </c:numRef>
          </c:val>
          <c:extLst>
            <c:ext xmlns:c16="http://schemas.microsoft.com/office/drawing/2014/chart" uri="{C3380CC4-5D6E-409C-BE32-E72D297353CC}">
              <c16:uniqueId val="{00000000-2A67-43BB-85C1-AD877A150045}"/>
            </c:ext>
          </c:extLst>
        </c:ser>
        <c:dLbls>
          <c:showLegendKey val="0"/>
          <c:showVal val="0"/>
          <c:showCatName val="0"/>
          <c:showSerName val="0"/>
          <c:showPercent val="0"/>
          <c:showBubbleSize val="0"/>
        </c:dLbls>
        <c:gapWidth val="40"/>
        <c:axId val="498468864"/>
        <c:axId val="1"/>
      </c:barChart>
      <c:lineChart>
        <c:grouping val="standard"/>
        <c:varyColors val="0"/>
        <c:ser>
          <c:idx val="1"/>
          <c:order val="1"/>
          <c:tx>
            <c:v>Tendencia-Ciclo</c:v>
          </c:tx>
          <c:spPr>
            <a:ln w="15875">
              <a:solidFill>
                <a:srgbClr val="C00000"/>
              </a:solidFill>
              <a:prstDash val="solid"/>
            </a:ln>
          </c:spPr>
          <c:marker>
            <c:symbol val="none"/>
          </c:marker>
          <c:cat>
            <c:multiLvlStrRef>
              <c:f>datos!$B$29:$C$84</c:f>
              <c:multiLvlStrCache>
                <c:ptCount val="56"/>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pt idx="52">
                    <c:v>I</c:v>
                  </c:pt>
                  <c:pt idx="53">
                    <c:v>II</c:v>
                  </c:pt>
                  <c:pt idx="54">
                    <c:v>III</c:v>
                  </c:pt>
                  <c:pt idx="55">
                    <c:v>IV</c:v>
                  </c:pt>
                </c:lvl>
                <c:lvl>
                  <c:pt idx="0">
                    <c:v>2006</c:v>
                  </c:pt>
                  <c:pt idx="4">
                    <c:v>2007</c:v>
                  </c:pt>
                  <c:pt idx="8">
                    <c:v>2008</c:v>
                  </c:pt>
                  <c:pt idx="12">
                    <c:v>2009</c:v>
                  </c:pt>
                  <c:pt idx="16">
                    <c:v>2010</c:v>
                  </c:pt>
                  <c:pt idx="20">
                    <c:v>2011</c:v>
                  </c:pt>
                  <c:pt idx="24">
                    <c:v>2012</c:v>
                  </c:pt>
                  <c:pt idx="28">
                    <c:v>2013</c:v>
                  </c:pt>
                  <c:pt idx="32">
                    <c:v>2014</c:v>
                  </c:pt>
                  <c:pt idx="36">
                    <c:v>2015</c:v>
                  </c:pt>
                  <c:pt idx="40">
                    <c:v>2016</c:v>
                  </c:pt>
                  <c:pt idx="44">
                    <c:v>2017</c:v>
                  </c:pt>
                  <c:pt idx="48">
                    <c:v>2018</c:v>
                  </c:pt>
                  <c:pt idx="52">
                    <c:v>2019</c:v>
                  </c:pt>
                </c:lvl>
              </c:multiLvlStrCache>
            </c:multiLvlStrRef>
          </c:cat>
          <c:val>
            <c:numRef>
              <c:f>datos!$I$29:$I$84</c:f>
              <c:numCache>
                <c:formatCode>0.0</c:formatCode>
                <c:ptCount val="56"/>
                <c:pt idx="0">
                  <c:v>83.753422637993594</c:v>
                </c:pt>
                <c:pt idx="1">
                  <c:v>85.732706470850999</c:v>
                </c:pt>
                <c:pt idx="2">
                  <c:v>87.013749640428401</c:v>
                </c:pt>
                <c:pt idx="3">
                  <c:v>88.031560181790994</c:v>
                </c:pt>
                <c:pt idx="4">
                  <c:v>89.012172543344704</c:v>
                </c:pt>
                <c:pt idx="5">
                  <c:v>89.541213023086797</c:v>
                </c:pt>
                <c:pt idx="6">
                  <c:v>89.960888450363299</c:v>
                </c:pt>
                <c:pt idx="7">
                  <c:v>91.248401016983195</c:v>
                </c:pt>
                <c:pt idx="8">
                  <c:v>92.910751520286496</c:v>
                </c:pt>
                <c:pt idx="9">
                  <c:v>93.384369105368293</c:v>
                </c:pt>
                <c:pt idx="10">
                  <c:v>93.156866757290302</c:v>
                </c:pt>
                <c:pt idx="11">
                  <c:v>92.979783621985405</c:v>
                </c:pt>
                <c:pt idx="12">
                  <c:v>92.401827908692098</c:v>
                </c:pt>
                <c:pt idx="13">
                  <c:v>92.167143025479902</c:v>
                </c:pt>
                <c:pt idx="14">
                  <c:v>91.924248874378804</c:v>
                </c:pt>
                <c:pt idx="15">
                  <c:v>91.589763049875401</c:v>
                </c:pt>
                <c:pt idx="16">
                  <c:v>91.522058796568402</c:v>
                </c:pt>
                <c:pt idx="17">
                  <c:v>91.677397182422098</c:v>
                </c:pt>
                <c:pt idx="18">
                  <c:v>91.657588161114205</c:v>
                </c:pt>
                <c:pt idx="19">
                  <c:v>91.710474028614399</c:v>
                </c:pt>
                <c:pt idx="20">
                  <c:v>92.197659215859204</c:v>
                </c:pt>
                <c:pt idx="21">
                  <c:v>93.493203832957093</c:v>
                </c:pt>
                <c:pt idx="22">
                  <c:v>95.270671402064295</c:v>
                </c:pt>
                <c:pt idx="23">
                  <c:v>96.517588763346396</c:v>
                </c:pt>
                <c:pt idx="24">
                  <c:v>97.290127084554896</c:v>
                </c:pt>
                <c:pt idx="25">
                  <c:v>97.891503017673799</c:v>
                </c:pt>
                <c:pt idx="26">
                  <c:v>98.164527879276307</c:v>
                </c:pt>
                <c:pt idx="27">
                  <c:v>97.986198648112605</c:v>
                </c:pt>
                <c:pt idx="28">
                  <c:v>98.132848731348602</c:v>
                </c:pt>
                <c:pt idx="29">
                  <c:v>99.333382606705499</c:v>
                </c:pt>
                <c:pt idx="30">
                  <c:v>100.800116292713</c:v>
                </c:pt>
                <c:pt idx="31">
                  <c:v>101.584860092489</c:v>
                </c:pt>
                <c:pt idx="32">
                  <c:v>101.750896978382</c:v>
                </c:pt>
                <c:pt idx="33">
                  <c:v>102.04797181655201</c:v>
                </c:pt>
                <c:pt idx="34">
                  <c:v>102.761109034643</c:v>
                </c:pt>
                <c:pt idx="35">
                  <c:v>103.78181132505701</c:v>
                </c:pt>
                <c:pt idx="36">
                  <c:v>104.993541018328</c:v>
                </c:pt>
                <c:pt idx="37">
                  <c:v>106.60384945539199</c:v>
                </c:pt>
                <c:pt idx="38">
                  <c:v>109.090701413511</c:v>
                </c:pt>
                <c:pt idx="39">
                  <c:v>110.98047249682099</c:v>
                </c:pt>
                <c:pt idx="40">
                  <c:v>111.323431450529</c:v>
                </c:pt>
                <c:pt idx="41">
                  <c:v>111.251297655776</c:v>
                </c:pt>
                <c:pt idx="42">
                  <c:v>111.907235540855</c:v>
                </c:pt>
                <c:pt idx="43">
                  <c:v>113.358141253374</c:v>
                </c:pt>
                <c:pt idx="44">
                  <c:v>114.48964121668401</c:v>
                </c:pt>
                <c:pt idx="45">
                  <c:v>114.450610936259</c:v>
                </c:pt>
                <c:pt idx="46">
                  <c:v>114.36166073850799</c:v>
                </c:pt>
                <c:pt idx="47">
                  <c:v>115.792156362425</c:v>
                </c:pt>
                <c:pt idx="48">
                  <c:v>117.796934868519</c:v>
                </c:pt>
                <c:pt idx="49">
                  <c:v>118.52317282118101</c:v>
                </c:pt>
                <c:pt idx="50">
                  <c:v>118.043727664133</c:v>
                </c:pt>
                <c:pt idx="51">
                  <c:v>117.210089098742</c:v>
                </c:pt>
                <c:pt idx="52">
                  <c:v>117.23487698875201</c:v>
                </c:pt>
                <c:pt idx="53">
                  <c:v>118.100956248507</c:v>
                </c:pt>
                <c:pt idx="54">
                  <c:v>118.53537397496601</c:v>
                </c:pt>
                <c:pt idx="55">
                  <c:v>118.26173017629</c:v>
                </c:pt>
              </c:numCache>
            </c:numRef>
          </c:val>
          <c:smooth val="0"/>
          <c:extLst>
            <c:ext xmlns:c16="http://schemas.microsoft.com/office/drawing/2014/chart" uri="{C3380CC4-5D6E-409C-BE32-E72D297353CC}">
              <c16:uniqueId val="{00000001-2A67-43BB-85C1-AD877A150045}"/>
            </c:ext>
          </c:extLst>
        </c:ser>
        <c:dLbls>
          <c:showLegendKey val="0"/>
          <c:showVal val="0"/>
          <c:showCatName val="0"/>
          <c:showSerName val="0"/>
          <c:showPercent val="0"/>
          <c:showBubbleSize val="0"/>
        </c:dLbls>
        <c:marker val="1"/>
        <c:smooth val="0"/>
        <c:axId val="498468864"/>
        <c:axId val="1"/>
      </c:lineChart>
      <c:catAx>
        <c:axId val="498468864"/>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sz="600" b="0" i="0" u="none" strike="noStrike" baseline="0">
                <a:solidFill>
                  <a:srgbClr val="000000"/>
                </a:solidFill>
                <a:latin typeface="Arial"/>
                <a:ea typeface="Arial"/>
                <a:cs typeface="Arial"/>
              </a:defRPr>
            </a:pPr>
            <a:endParaRPr lang="es-MX"/>
          </a:p>
        </c:txPr>
        <c:crossAx val="1"/>
        <c:crosses val="autoZero"/>
        <c:auto val="1"/>
        <c:lblAlgn val="ctr"/>
        <c:lblOffset val="0"/>
        <c:tickLblSkip val="1"/>
        <c:tickMarkSkip val="12"/>
        <c:noMultiLvlLbl val="0"/>
      </c:catAx>
      <c:valAx>
        <c:axId val="1"/>
        <c:scaling>
          <c:orientation val="minMax"/>
          <c:min val="70"/>
        </c:scaling>
        <c:delete val="0"/>
        <c:axPos val="l"/>
        <c:numFmt formatCode="0" sourceLinked="0"/>
        <c:majorTickMark val="out"/>
        <c:minorTickMark val="none"/>
        <c:tickLblPos val="nextTo"/>
        <c:spPr>
          <a:ln w="3175">
            <a:solidFill>
              <a:srgbClr val="000000"/>
            </a:solidFill>
            <a:prstDash val="solid"/>
          </a:ln>
        </c:spPr>
        <c:txPr>
          <a:bodyPr rot="0" vert="horz"/>
          <a:lstStyle/>
          <a:p>
            <a:pPr>
              <a:defRPr sz="700" b="0" i="0" u="none" strike="noStrike" baseline="0">
                <a:solidFill>
                  <a:srgbClr val="000000"/>
                </a:solidFill>
                <a:latin typeface="Arial"/>
                <a:ea typeface="Arial"/>
                <a:cs typeface="Arial"/>
              </a:defRPr>
            </a:pPr>
            <a:endParaRPr lang="es-MX"/>
          </a:p>
        </c:txPr>
        <c:crossAx val="498468864"/>
        <c:crosses val="autoZero"/>
        <c:crossBetween val="between"/>
      </c:valAx>
      <c:spPr>
        <a:noFill/>
        <a:ln w="12700">
          <a:solidFill>
            <a:schemeClr val="bg1">
              <a:lumMod val="65000"/>
            </a:schemeClr>
          </a:solidFill>
        </a:ln>
      </c:spPr>
    </c:plotArea>
    <c:legend>
      <c:legendPos val="r"/>
      <c:layout>
        <c:manualLayout>
          <c:xMode val="edge"/>
          <c:yMode val="edge"/>
          <c:x val="3.3444816053511705E-3"/>
          <c:y val="0.93574958813838549"/>
          <c:w val="0.98996655518394649"/>
          <c:h val="5.9308072487644151E-2"/>
        </c:manualLayout>
      </c:layout>
      <c:overlay val="0"/>
      <c:spPr>
        <a:noFill/>
        <a:ln w="25400">
          <a:noFill/>
        </a:ln>
      </c:spPr>
      <c:txPr>
        <a:bodyPr/>
        <a:lstStyle/>
        <a:p>
          <a:pPr>
            <a:defRPr sz="70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900" b="0" i="0" u="none" strike="noStrike" baseline="0">
          <a:solidFill>
            <a:srgbClr val="000000"/>
          </a:solidFill>
          <a:latin typeface="Arial"/>
          <a:ea typeface="Arial"/>
          <a:cs typeface="Arial"/>
        </a:defRPr>
      </a:pPr>
      <a:endParaRPr lang="es-MX"/>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2302558398220279E-2"/>
          <c:y val="3.0836814819635155E-2"/>
          <c:w val="0.91526018934083397"/>
          <c:h val="0.78347268269097958"/>
        </c:manualLayout>
      </c:layout>
      <c:barChart>
        <c:barDir val="col"/>
        <c:grouping val="clustered"/>
        <c:varyColors val="0"/>
        <c:ser>
          <c:idx val="0"/>
          <c:order val="0"/>
          <c:tx>
            <c:strRef>
              <c:f>datos!$H$4</c:f>
              <c:strCache>
                <c:ptCount val="1"/>
                <c:pt idx="0">
                  <c:v>Serie Desestacionalizada</c:v>
                </c:pt>
              </c:strCache>
            </c:strRef>
          </c:tx>
          <c:spPr>
            <a:solidFill>
              <a:schemeClr val="accent3">
                <a:lumMod val="60000"/>
                <a:lumOff val="40000"/>
              </a:schemeClr>
            </a:solidFill>
            <a:ln w="12700">
              <a:noFill/>
              <a:prstDash val="solid"/>
            </a:ln>
            <a:scene3d>
              <a:camera prst="orthographicFront"/>
              <a:lightRig rig="threePt" dir="t"/>
            </a:scene3d>
            <a:sp3d>
              <a:bevelT w="50800"/>
            </a:sp3d>
          </c:spPr>
          <c:invertIfNegative val="0"/>
          <c:cat>
            <c:multiLvlStrRef>
              <c:f>datos!$B$29:$C$84</c:f>
              <c:multiLvlStrCache>
                <c:ptCount val="56"/>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pt idx="52">
                    <c:v>I</c:v>
                  </c:pt>
                  <c:pt idx="53">
                    <c:v>II</c:v>
                  </c:pt>
                  <c:pt idx="54">
                    <c:v>III</c:v>
                  </c:pt>
                  <c:pt idx="55">
                    <c:v>IV</c:v>
                  </c:pt>
                </c:lvl>
                <c:lvl>
                  <c:pt idx="0">
                    <c:v>2006</c:v>
                  </c:pt>
                  <c:pt idx="4">
                    <c:v>2007</c:v>
                  </c:pt>
                  <c:pt idx="8">
                    <c:v>2008</c:v>
                  </c:pt>
                  <c:pt idx="12">
                    <c:v>2009</c:v>
                  </c:pt>
                  <c:pt idx="16">
                    <c:v>2010</c:v>
                  </c:pt>
                  <c:pt idx="20">
                    <c:v>2011</c:v>
                  </c:pt>
                  <c:pt idx="24">
                    <c:v>2012</c:v>
                  </c:pt>
                  <c:pt idx="28">
                    <c:v>2013</c:v>
                  </c:pt>
                  <c:pt idx="32">
                    <c:v>2014</c:v>
                  </c:pt>
                  <c:pt idx="36">
                    <c:v>2015</c:v>
                  </c:pt>
                  <c:pt idx="40">
                    <c:v>2016</c:v>
                  </c:pt>
                  <c:pt idx="44">
                    <c:v>2017</c:v>
                  </c:pt>
                  <c:pt idx="48">
                    <c:v>2018</c:v>
                  </c:pt>
                  <c:pt idx="52">
                    <c:v>2019</c:v>
                  </c:pt>
                </c:lvl>
              </c:multiLvlStrCache>
            </c:multiLvlStrRef>
          </c:cat>
          <c:val>
            <c:numRef>
              <c:f>datos!$J$29:$J$84</c:f>
              <c:numCache>
                <c:formatCode>0.0</c:formatCode>
                <c:ptCount val="56"/>
                <c:pt idx="0">
                  <c:v>83.642823630324699</c:v>
                </c:pt>
                <c:pt idx="1">
                  <c:v>86.686216211326993</c:v>
                </c:pt>
                <c:pt idx="2">
                  <c:v>87.227253400642695</c:v>
                </c:pt>
                <c:pt idx="3">
                  <c:v>89.1375948144738</c:v>
                </c:pt>
                <c:pt idx="4">
                  <c:v>90.111793943983201</c:v>
                </c:pt>
                <c:pt idx="5">
                  <c:v>90.870895557288307</c:v>
                </c:pt>
                <c:pt idx="6">
                  <c:v>91.348556270859405</c:v>
                </c:pt>
                <c:pt idx="7">
                  <c:v>92.170215309667995</c:v>
                </c:pt>
                <c:pt idx="8">
                  <c:v>94.194982312845895</c:v>
                </c:pt>
                <c:pt idx="9">
                  <c:v>94.1533121804529</c:v>
                </c:pt>
                <c:pt idx="10">
                  <c:v>93.112352329524597</c:v>
                </c:pt>
                <c:pt idx="11">
                  <c:v>94.849238058736304</c:v>
                </c:pt>
                <c:pt idx="12">
                  <c:v>90.559544712477603</c:v>
                </c:pt>
                <c:pt idx="13">
                  <c:v>84.0232173153464</c:v>
                </c:pt>
                <c:pt idx="14">
                  <c:v>89.367808017019996</c:v>
                </c:pt>
                <c:pt idx="15">
                  <c:v>90.938370294477807</c:v>
                </c:pt>
                <c:pt idx="16">
                  <c:v>91.632013327699795</c:v>
                </c:pt>
                <c:pt idx="17">
                  <c:v>90.768589644463702</c:v>
                </c:pt>
                <c:pt idx="18">
                  <c:v>90.921089891518903</c:v>
                </c:pt>
                <c:pt idx="19">
                  <c:v>89.885292264308703</c:v>
                </c:pt>
                <c:pt idx="20">
                  <c:v>91.270876699870797</c:v>
                </c:pt>
                <c:pt idx="21">
                  <c:v>92.902191022896503</c:v>
                </c:pt>
                <c:pt idx="22">
                  <c:v>94.154450820372801</c:v>
                </c:pt>
                <c:pt idx="23">
                  <c:v>96.185569866289697</c:v>
                </c:pt>
                <c:pt idx="24">
                  <c:v>95.185927945700797</c:v>
                </c:pt>
                <c:pt idx="25">
                  <c:v>96.661067322121198</c:v>
                </c:pt>
                <c:pt idx="26">
                  <c:v>97.153286708837399</c:v>
                </c:pt>
                <c:pt idx="27">
                  <c:v>96.972492164084301</c:v>
                </c:pt>
                <c:pt idx="28">
                  <c:v>98.058419774749893</c:v>
                </c:pt>
                <c:pt idx="29">
                  <c:v>99.161855715258298</c:v>
                </c:pt>
                <c:pt idx="30">
                  <c:v>101.094683807889</c:v>
                </c:pt>
                <c:pt idx="31">
                  <c:v>101.636264882728</c:v>
                </c:pt>
                <c:pt idx="32">
                  <c:v>99.672506956639495</c:v>
                </c:pt>
                <c:pt idx="33">
                  <c:v>100.79025744336001</c:v>
                </c:pt>
                <c:pt idx="34">
                  <c:v>100.739191464664</c:v>
                </c:pt>
                <c:pt idx="35">
                  <c:v>102.15391790747501</c:v>
                </c:pt>
                <c:pt idx="36">
                  <c:v>102.554824219935</c:v>
                </c:pt>
                <c:pt idx="37">
                  <c:v>104.02272944535299</c:v>
                </c:pt>
                <c:pt idx="38">
                  <c:v>107.09860989953999</c:v>
                </c:pt>
                <c:pt idx="39">
                  <c:v>109.032779354825</c:v>
                </c:pt>
                <c:pt idx="40">
                  <c:v>110.01884833605401</c:v>
                </c:pt>
                <c:pt idx="41">
                  <c:v>109.192019310794</c:v>
                </c:pt>
                <c:pt idx="42">
                  <c:v>109.54151464268701</c:v>
                </c:pt>
                <c:pt idx="43">
                  <c:v>111.45511950197999</c:v>
                </c:pt>
                <c:pt idx="44">
                  <c:v>113.95728537903</c:v>
                </c:pt>
                <c:pt idx="45">
                  <c:v>113.246378536767</c:v>
                </c:pt>
                <c:pt idx="46">
                  <c:v>110.57573607494901</c:v>
                </c:pt>
                <c:pt idx="47">
                  <c:v>112.041844921199</c:v>
                </c:pt>
                <c:pt idx="48">
                  <c:v>114.264369595077</c:v>
                </c:pt>
                <c:pt idx="49">
                  <c:v>116.44616445083</c:v>
                </c:pt>
                <c:pt idx="50">
                  <c:v>117.00664451935801</c:v>
                </c:pt>
                <c:pt idx="51">
                  <c:v>116.32678525580501</c:v>
                </c:pt>
                <c:pt idx="52">
                  <c:v>114.313866831179</c:v>
                </c:pt>
                <c:pt idx="53">
                  <c:v>116.636437893568</c:v>
                </c:pt>
                <c:pt idx="54">
                  <c:v>116.65891081930199</c:v>
                </c:pt>
                <c:pt idx="55">
                  <c:v>116.354106765271</c:v>
                </c:pt>
              </c:numCache>
            </c:numRef>
          </c:val>
          <c:extLst>
            <c:ext xmlns:c16="http://schemas.microsoft.com/office/drawing/2014/chart" uri="{C3380CC4-5D6E-409C-BE32-E72D297353CC}">
              <c16:uniqueId val="{00000000-C10E-4EA4-936C-7CC617E7B182}"/>
            </c:ext>
          </c:extLst>
        </c:ser>
        <c:dLbls>
          <c:showLegendKey val="0"/>
          <c:showVal val="0"/>
          <c:showCatName val="0"/>
          <c:showSerName val="0"/>
          <c:showPercent val="0"/>
          <c:showBubbleSize val="0"/>
        </c:dLbls>
        <c:gapWidth val="40"/>
        <c:axId val="498461976"/>
        <c:axId val="1"/>
      </c:barChart>
      <c:lineChart>
        <c:grouping val="standard"/>
        <c:varyColors val="0"/>
        <c:ser>
          <c:idx val="1"/>
          <c:order val="1"/>
          <c:tx>
            <c:v>Tendencia-Ciclo</c:v>
          </c:tx>
          <c:spPr>
            <a:ln w="15875">
              <a:solidFill>
                <a:srgbClr val="C00000"/>
              </a:solidFill>
              <a:prstDash val="solid"/>
            </a:ln>
          </c:spPr>
          <c:marker>
            <c:symbol val="none"/>
          </c:marker>
          <c:cat>
            <c:multiLvlStrRef>
              <c:f>datos!$B$29:$C$84</c:f>
              <c:multiLvlStrCache>
                <c:ptCount val="56"/>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pt idx="52">
                    <c:v>I</c:v>
                  </c:pt>
                  <c:pt idx="53">
                    <c:v>II</c:v>
                  </c:pt>
                  <c:pt idx="54">
                    <c:v>III</c:v>
                  </c:pt>
                  <c:pt idx="55">
                    <c:v>IV</c:v>
                  </c:pt>
                </c:lvl>
                <c:lvl>
                  <c:pt idx="0">
                    <c:v>2006</c:v>
                  </c:pt>
                  <c:pt idx="4">
                    <c:v>2007</c:v>
                  </c:pt>
                  <c:pt idx="8">
                    <c:v>2008</c:v>
                  </c:pt>
                  <c:pt idx="12">
                    <c:v>2009</c:v>
                  </c:pt>
                  <c:pt idx="16">
                    <c:v>2010</c:v>
                  </c:pt>
                  <c:pt idx="20">
                    <c:v>2011</c:v>
                  </c:pt>
                  <c:pt idx="24">
                    <c:v>2012</c:v>
                  </c:pt>
                  <c:pt idx="28">
                    <c:v>2013</c:v>
                  </c:pt>
                  <c:pt idx="32">
                    <c:v>2014</c:v>
                  </c:pt>
                  <c:pt idx="36">
                    <c:v>2015</c:v>
                  </c:pt>
                  <c:pt idx="40">
                    <c:v>2016</c:v>
                  </c:pt>
                  <c:pt idx="44">
                    <c:v>2017</c:v>
                  </c:pt>
                  <c:pt idx="48">
                    <c:v>2018</c:v>
                  </c:pt>
                  <c:pt idx="52">
                    <c:v>2019</c:v>
                  </c:pt>
                </c:lvl>
              </c:multiLvlStrCache>
            </c:multiLvlStrRef>
          </c:cat>
          <c:val>
            <c:numRef>
              <c:f>datos!$K$29:$K$84</c:f>
              <c:numCache>
                <c:formatCode>0.0</c:formatCode>
                <c:ptCount val="56"/>
                <c:pt idx="0">
                  <c:v>83.831955485369804</c:v>
                </c:pt>
                <c:pt idx="1">
                  <c:v>85.642626646114806</c:v>
                </c:pt>
                <c:pt idx="2">
                  <c:v>87.4665611139649</c:v>
                </c:pt>
                <c:pt idx="3">
                  <c:v>88.9689339362845</c:v>
                </c:pt>
                <c:pt idx="4">
                  <c:v>90.169609157915303</c:v>
                </c:pt>
                <c:pt idx="5">
                  <c:v>90.820100330789998</c:v>
                </c:pt>
                <c:pt idx="6">
                  <c:v>91.331398653036501</c:v>
                </c:pt>
                <c:pt idx="7">
                  <c:v>92.4733682800194</c:v>
                </c:pt>
                <c:pt idx="8">
                  <c:v>93.876553841319705</c:v>
                </c:pt>
                <c:pt idx="9">
                  <c:v>94.091357549182604</c:v>
                </c:pt>
                <c:pt idx="10">
                  <c:v>93.383833128986694</c:v>
                </c:pt>
                <c:pt idx="11">
                  <c:v>92.735554820941104</c:v>
                </c:pt>
                <c:pt idx="12">
                  <c:v>92.096270721788798</c:v>
                </c:pt>
                <c:pt idx="13">
                  <c:v>91.778066551966006</c:v>
                </c:pt>
                <c:pt idx="14">
                  <c:v>91.922040693455202</c:v>
                </c:pt>
                <c:pt idx="15">
                  <c:v>92.047748460149805</c:v>
                </c:pt>
                <c:pt idx="16">
                  <c:v>91.679639816922702</c:v>
                </c:pt>
                <c:pt idx="17">
                  <c:v>91.216882150892005</c:v>
                </c:pt>
                <c:pt idx="18">
                  <c:v>90.527177954642298</c:v>
                </c:pt>
                <c:pt idx="19">
                  <c:v>90.321437177220702</c:v>
                </c:pt>
                <c:pt idx="20">
                  <c:v>91.160891940177294</c:v>
                </c:pt>
                <c:pt idx="21">
                  <c:v>92.772675689012701</c:v>
                </c:pt>
                <c:pt idx="22">
                  <c:v>94.495044847162305</c:v>
                </c:pt>
                <c:pt idx="23">
                  <c:v>95.600306266075805</c:v>
                </c:pt>
                <c:pt idx="24">
                  <c:v>96.031838992510401</c:v>
                </c:pt>
                <c:pt idx="25">
                  <c:v>96.482993671834606</c:v>
                </c:pt>
                <c:pt idx="26">
                  <c:v>97.008983425930296</c:v>
                </c:pt>
                <c:pt idx="27">
                  <c:v>97.206648173623407</c:v>
                </c:pt>
                <c:pt idx="28">
                  <c:v>97.907081243421501</c:v>
                </c:pt>
                <c:pt idx="29">
                  <c:v>99.384523769949794</c:v>
                </c:pt>
                <c:pt idx="30">
                  <c:v>100.935426786728</c:v>
                </c:pt>
                <c:pt idx="31">
                  <c:v>101.456266503737</c:v>
                </c:pt>
                <c:pt idx="32">
                  <c:v>100.989157022668</c:v>
                </c:pt>
                <c:pt idx="33">
                  <c:v>100.596748958083</c:v>
                </c:pt>
                <c:pt idx="34">
                  <c:v>101.036704070654</c:v>
                </c:pt>
                <c:pt idx="35">
                  <c:v>101.819061042565</c:v>
                </c:pt>
                <c:pt idx="36">
                  <c:v>102.66788959519501</c:v>
                </c:pt>
                <c:pt idx="37">
                  <c:v>104.26435152028</c:v>
                </c:pt>
                <c:pt idx="38">
                  <c:v>106.882493704445</c:v>
                </c:pt>
                <c:pt idx="39">
                  <c:v>109.11049463176499</c:v>
                </c:pt>
                <c:pt idx="40">
                  <c:v>109.73586086117</c:v>
                </c:pt>
                <c:pt idx="41">
                  <c:v>109.38303392989</c:v>
                </c:pt>
                <c:pt idx="42">
                  <c:v>109.64754441387601</c:v>
                </c:pt>
                <c:pt idx="43">
                  <c:v>111.63892985389499</c:v>
                </c:pt>
                <c:pt idx="44">
                  <c:v>113.479460747768</c:v>
                </c:pt>
                <c:pt idx="45">
                  <c:v>113.11311813699</c:v>
                </c:pt>
                <c:pt idx="46">
                  <c:v>111.7461875205</c:v>
                </c:pt>
                <c:pt idx="47">
                  <c:v>112.09822504234999</c:v>
                </c:pt>
                <c:pt idx="48">
                  <c:v>114.260381135272</c:v>
                </c:pt>
                <c:pt idx="49">
                  <c:v>116.30213379030801</c:v>
                </c:pt>
                <c:pt idx="50">
                  <c:v>116.952017469339</c:v>
                </c:pt>
                <c:pt idx="51">
                  <c:v>116.284261660406</c:v>
                </c:pt>
                <c:pt idx="52">
                  <c:v>115.80704336218901</c:v>
                </c:pt>
                <c:pt idx="53">
                  <c:v>116.18773125944401</c:v>
                </c:pt>
                <c:pt idx="54">
                  <c:v>116.57604994795901</c:v>
                </c:pt>
                <c:pt idx="55">
                  <c:v>116.408940444991</c:v>
                </c:pt>
              </c:numCache>
            </c:numRef>
          </c:val>
          <c:smooth val="0"/>
          <c:extLst>
            <c:ext xmlns:c16="http://schemas.microsoft.com/office/drawing/2014/chart" uri="{C3380CC4-5D6E-409C-BE32-E72D297353CC}">
              <c16:uniqueId val="{00000001-C10E-4EA4-936C-7CC617E7B182}"/>
            </c:ext>
          </c:extLst>
        </c:ser>
        <c:dLbls>
          <c:showLegendKey val="0"/>
          <c:showVal val="0"/>
          <c:showCatName val="0"/>
          <c:showSerName val="0"/>
          <c:showPercent val="0"/>
          <c:showBubbleSize val="0"/>
        </c:dLbls>
        <c:marker val="1"/>
        <c:smooth val="0"/>
        <c:axId val="498461976"/>
        <c:axId val="1"/>
      </c:lineChart>
      <c:catAx>
        <c:axId val="498461976"/>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sz="600" b="0" i="0" u="none" strike="noStrike" baseline="0">
                <a:solidFill>
                  <a:srgbClr val="000000"/>
                </a:solidFill>
                <a:latin typeface="Arial"/>
                <a:ea typeface="Arial"/>
                <a:cs typeface="Arial"/>
              </a:defRPr>
            </a:pPr>
            <a:endParaRPr lang="es-MX"/>
          </a:p>
        </c:txPr>
        <c:crossAx val="1"/>
        <c:crosses val="autoZero"/>
        <c:auto val="1"/>
        <c:lblAlgn val="ctr"/>
        <c:lblOffset val="0"/>
        <c:tickLblSkip val="1"/>
        <c:tickMarkSkip val="12"/>
        <c:noMultiLvlLbl val="0"/>
      </c:catAx>
      <c:valAx>
        <c:axId val="1"/>
        <c:scaling>
          <c:orientation val="minMax"/>
          <c:max val="130"/>
          <c:min val="70"/>
        </c:scaling>
        <c:delete val="0"/>
        <c:axPos val="l"/>
        <c:numFmt formatCode="0" sourceLinked="0"/>
        <c:majorTickMark val="out"/>
        <c:minorTickMark val="none"/>
        <c:tickLblPos val="nextTo"/>
        <c:spPr>
          <a:ln w="3175">
            <a:solidFill>
              <a:srgbClr val="000000"/>
            </a:solidFill>
            <a:prstDash val="solid"/>
          </a:ln>
        </c:spPr>
        <c:txPr>
          <a:bodyPr rot="0" vert="horz"/>
          <a:lstStyle/>
          <a:p>
            <a:pPr>
              <a:defRPr sz="700" b="0" i="0" u="none" strike="noStrike" baseline="0">
                <a:solidFill>
                  <a:srgbClr val="000000"/>
                </a:solidFill>
                <a:latin typeface="Arial"/>
                <a:ea typeface="Arial"/>
                <a:cs typeface="Arial"/>
              </a:defRPr>
            </a:pPr>
            <a:endParaRPr lang="es-MX"/>
          </a:p>
        </c:txPr>
        <c:crossAx val="498461976"/>
        <c:crosses val="autoZero"/>
        <c:crossBetween val="between"/>
      </c:valAx>
      <c:spPr>
        <a:noFill/>
        <a:ln w="12700">
          <a:solidFill>
            <a:srgbClr val="808080"/>
          </a:solidFill>
          <a:prstDash val="solid"/>
        </a:ln>
        <a:effectLst>
          <a:outerShdw blurRad="50800" dist="12700" dir="5400000" algn="ctr" rotWithShape="0">
            <a:srgbClr val="000000">
              <a:alpha val="43137"/>
            </a:srgbClr>
          </a:outerShdw>
        </a:effectLst>
      </c:spPr>
    </c:plotArea>
    <c:legend>
      <c:legendPos val="r"/>
      <c:layout>
        <c:manualLayout>
          <c:xMode val="edge"/>
          <c:yMode val="edge"/>
          <c:x val="2.2246941045606229E-3"/>
          <c:y val="0.93267651888341541"/>
          <c:w val="0.99110122358175756"/>
          <c:h val="5.9113300492610835E-2"/>
        </c:manualLayout>
      </c:layout>
      <c:overlay val="0"/>
      <c:spPr>
        <a:noFill/>
        <a:ln w="25400">
          <a:noFill/>
        </a:ln>
      </c:spPr>
      <c:txPr>
        <a:bodyPr/>
        <a:lstStyle/>
        <a:p>
          <a:pPr>
            <a:defRPr sz="70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chemeClr val="tx1"/>
      </a:solidFill>
      <a:prstDash val="solid"/>
    </a:ln>
    <a:effectLst>
      <a:outerShdw dist="12700" dir="2700000" algn="br">
        <a:srgbClr val="000000"/>
      </a:outerShdw>
    </a:effectLst>
  </c:spPr>
  <c:txPr>
    <a:bodyPr/>
    <a:lstStyle/>
    <a:p>
      <a:pPr>
        <a:defRPr sz="900" b="0" i="0" u="none" strike="noStrike" baseline="0">
          <a:solidFill>
            <a:srgbClr val="000000"/>
          </a:solidFill>
          <a:latin typeface="Arial"/>
          <a:ea typeface="Arial"/>
          <a:cs typeface="Arial"/>
        </a:defRPr>
      </a:pPr>
      <a:endParaRPr lang="es-MX"/>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0463818271328733E-2"/>
          <c:y val="4.1747833893922018E-2"/>
          <c:w val="0.91526018934083397"/>
          <c:h val="0.78347268269097958"/>
        </c:manualLayout>
      </c:layout>
      <c:barChart>
        <c:barDir val="col"/>
        <c:grouping val="clustered"/>
        <c:varyColors val="0"/>
        <c:ser>
          <c:idx val="0"/>
          <c:order val="0"/>
          <c:tx>
            <c:strRef>
              <c:f>datos!$H$4</c:f>
              <c:strCache>
                <c:ptCount val="1"/>
                <c:pt idx="0">
                  <c:v>Serie Desestacionalizada</c:v>
                </c:pt>
              </c:strCache>
            </c:strRef>
          </c:tx>
          <c:spPr>
            <a:solidFill>
              <a:schemeClr val="accent3">
                <a:lumMod val="60000"/>
                <a:lumOff val="40000"/>
              </a:schemeClr>
            </a:solidFill>
            <a:ln w="12700">
              <a:noFill/>
              <a:prstDash val="solid"/>
            </a:ln>
            <a:effectLst>
              <a:outerShdw blurRad="50800" dist="12700" dir="5400000" algn="ctr" rotWithShape="0">
                <a:srgbClr val="000000">
                  <a:alpha val="43137"/>
                </a:srgbClr>
              </a:outerShdw>
            </a:effectLst>
            <a:scene3d>
              <a:camera prst="orthographicFront"/>
              <a:lightRig rig="threePt" dir="t"/>
            </a:scene3d>
            <a:sp3d>
              <a:bevelT w="50800"/>
            </a:sp3d>
          </c:spPr>
          <c:invertIfNegative val="0"/>
          <c:cat>
            <c:multiLvlStrRef>
              <c:f>datos!$B$29:$C$84</c:f>
              <c:multiLvlStrCache>
                <c:ptCount val="56"/>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pt idx="52">
                    <c:v>I</c:v>
                  </c:pt>
                  <c:pt idx="53">
                    <c:v>II</c:v>
                  </c:pt>
                  <c:pt idx="54">
                    <c:v>III</c:v>
                  </c:pt>
                  <c:pt idx="55">
                    <c:v>IV</c:v>
                  </c:pt>
                </c:lvl>
                <c:lvl>
                  <c:pt idx="0">
                    <c:v>2006</c:v>
                  </c:pt>
                  <c:pt idx="4">
                    <c:v>2007</c:v>
                  </c:pt>
                  <c:pt idx="8">
                    <c:v>2008</c:v>
                  </c:pt>
                  <c:pt idx="12">
                    <c:v>2009</c:v>
                  </c:pt>
                  <c:pt idx="16">
                    <c:v>2010</c:v>
                  </c:pt>
                  <c:pt idx="20">
                    <c:v>2011</c:v>
                  </c:pt>
                  <c:pt idx="24">
                    <c:v>2012</c:v>
                  </c:pt>
                  <c:pt idx="28">
                    <c:v>2013</c:v>
                  </c:pt>
                  <c:pt idx="32">
                    <c:v>2014</c:v>
                  </c:pt>
                  <c:pt idx="36">
                    <c:v>2015</c:v>
                  </c:pt>
                  <c:pt idx="40">
                    <c:v>2016</c:v>
                  </c:pt>
                  <c:pt idx="44">
                    <c:v>2017</c:v>
                  </c:pt>
                  <c:pt idx="48">
                    <c:v>2018</c:v>
                  </c:pt>
                  <c:pt idx="52">
                    <c:v>2019</c:v>
                  </c:pt>
                </c:lvl>
              </c:multiLvlStrCache>
            </c:multiLvlStrRef>
          </c:cat>
          <c:val>
            <c:numRef>
              <c:f>datos!$N$29:$N$84</c:f>
              <c:numCache>
                <c:formatCode>0.0</c:formatCode>
                <c:ptCount val="56"/>
                <c:pt idx="0">
                  <c:v>76.825624250451995</c:v>
                </c:pt>
                <c:pt idx="1">
                  <c:v>86.889385588567507</c:v>
                </c:pt>
                <c:pt idx="2">
                  <c:v>85.1147132476477</c:v>
                </c:pt>
                <c:pt idx="3">
                  <c:v>90.149074540230501</c:v>
                </c:pt>
                <c:pt idx="4">
                  <c:v>86.880533455145795</c:v>
                </c:pt>
                <c:pt idx="5">
                  <c:v>85.790406280744307</c:v>
                </c:pt>
                <c:pt idx="6">
                  <c:v>90.190354167944093</c:v>
                </c:pt>
                <c:pt idx="7">
                  <c:v>88.614482203470502</c:v>
                </c:pt>
                <c:pt idx="8">
                  <c:v>87.783208523192599</c:v>
                </c:pt>
                <c:pt idx="9">
                  <c:v>86.524092161628204</c:v>
                </c:pt>
                <c:pt idx="10">
                  <c:v>87.170532999561004</c:v>
                </c:pt>
                <c:pt idx="11">
                  <c:v>97.203963608290493</c:v>
                </c:pt>
                <c:pt idx="12">
                  <c:v>103.595776038167</c:v>
                </c:pt>
                <c:pt idx="13">
                  <c:v>79.295370650638304</c:v>
                </c:pt>
                <c:pt idx="14">
                  <c:v>91.662253818188304</c:v>
                </c:pt>
                <c:pt idx="15">
                  <c:v>90.292050994612396</c:v>
                </c:pt>
                <c:pt idx="16">
                  <c:v>97.935379593931302</c:v>
                </c:pt>
                <c:pt idx="17">
                  <c:v>85.369004002399606</c:v>
                </c:pt>
                <c:pt idx="18">
                  <c:v>90.873777040636</c:v>
                </c:pt>
                <c:pt idx="19">
                  <c:v>84.300101196602</c:v>
                </c:pt>
                <c:pt idx="20">
                  <c:v>80.160573605314994</c:v>
                </c:pt>
                <c:pt idx="21">
                  <c:v>80.184971545500801</c:v>
                </c:pt>
                <c:pt idx="22">
                  <c:v>85.358830204947907</c:v>
                </c:pt>
                <c:pt idx="23">
                  <c:v>95.679605534392394</c:v>
                </c:pt>
                <c:pt idx="24">
                  <c:v>92.377980035560398</c:v>
                </c:pt>
                <c:pt idx="25">
                  <c:v>97.825917718394905</c:v>
                </c:pt>
                <c:pt idx="26">
                  <c:v>95.515201276344101</c:v>
                </c:pt>
                <c:pt idx="27">
                  <c:v>91.011452354167403</c:v>
                </c:pt>
                <c:pt idx="28">
                  <c:v>95.392865175315706</c:v>
                </c:pt>
                <c:pt idx="29">
                  <c:v>96.351056792240897</c:v>
                </c:pt>
                <c:pt idx="30">
                  <c:v>102.607431634316</c:v>
                </c:pt>
                <c:pt idx="31">
                  <c:v>106.408825564834</c:v>
                </c:pt>
                <c:pt idx="32">
                  <c:v>107.201370165482</c:v>
                </c:pt>
                <c:pt idx="33">
                  <c:v>109.985715834725</c:v>
                </c:pt>
                <c:pt idx="34">
                  <c:v>111.70207530724301</c:v>
                </c:pt>
                <c:pt idx="35">
                  <c:v>120.15859284625201</c:v>
                </c:pt>
                <c:pt idx="36">
                  <c:v>124.374405911338</c:v>
                </c:pt>
                <c:pt idx="37">
                  <c:v>134.10241569831101</c:v>
                </c:pt>
                <c:pt idx="38">
                  <c:v>141.75836660839599</c:v>
                </c:pt>
                <c:pt idx="39">
                  <c:v>145.63629458944399</c:v>
                </c:pt>
                <c:pt idx="40">
                  <c:v>157.14597502915899</c:v>
                </c:pt>
                <c:pt idx="41">
                  <c:v>167.07862769881601</c:v>
                </c:pt>
                <c:pt idx="42">
                  <c:v>176.18557109171999</c:v>
                </c:pt>
                <c:pt idx="43">
                  <c:v>180.84586097540401</c:v>
                </c:pt>
                <c:pt idx="44">
                  <c:v>183.33416005122501</c:v>
                </c:pt>
                <c:pt idx="45">
                  <c:v>173.80062823164801</c:v>
                </c:pt>
                <c:pt idx="46">
                  <c:v>174.15491237923499</c:v>
                </c:pt>
                <c:pt idx="47">
                  <c:v>179.14363458054899</c:v>
                </c:pt>
                <c:pt idx="48">
                  <c:v>176.86246064620499</c:v>
                </c:pt>
                <c:pt idx="49">
                  <c:v>182.832625863467</c:v>
                </c:pt>
                <c:pt idx="50">
                  <c:v>183.649765964366</c:v>
                </c:pt>
                <c:pt idx="51">
                  <c:v>189.33371115809501</c:v>
                </c:pt>
                <c:pt idx="52">
                  <c:v>193.434964107046</c:v>
                </c:pt>
                <c:pt idx="53">
                  <c:v>185.96059067585301</c:v>
                </c:pt>
                <c:pt idx="54">
                  <c:v>195.38818373747699</c:v>
                </c:pt>
                <c:pt idx="55">
                  <c:v>180.49443660271601</c:v>
                </c:pt>
              </c:numCache>
            </c:numRef>
          </c:val>
          <c:extLst>
            <c:ext xmlns:c16="http://schemas.microsoft.com/office/drawing/2014/chart" uri="{C3380CC4-5D6E-409C-BE32-E72D297353CC}">
              <c16:uniqueId val="{00000000-627B-4497-8BE8-385913EDCBE1}"/>
            </c:ext>
          </c:extLst>
        </c:ser>
        <c:dLbls>
          <c:showLegendKey val="0"/>
          <c:showVal val="0"/>
          <c:showCatName val="0"/>
          <c:showSerName val="0"/>
          <c:showPercent val="0"/>
          <c:showBubbleSize val="0"/>
        </c:dLbls>
        <c:gapWidth val="40"/>
        <c:axId val="498459024"/>
        <c:axId val="1"/>
      </c:barChart>
      <c:lineChart>
        <c:grouping val="standard"/>
        <c:varyColors val="0"/>
        <c:ser>
          <c:idx val="1"/>
          <c:order val="1"/>
          <c:tx>
            <c:v>Tendencia-Ciclo</c:v>
          </c:tx>
          <c:spPr>
            <a:ln w="15875">
              <a:solidFill>
                <a:srgbClr val="C00000"/>
              </a:solidFill>
              <a:prstDash val="solid"/>
            </a:ln>
          </c:spPr>
          <c:marker>
            <c:symbol val="none"/>
          </c:marker>
          <c:cat>
            <c:multiLvlStrRef>
              <c:f>datos!$B$25:$C$84</c:f>
              <c:multiLvlStrCache>
                <c:ptCount val="60"/>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pt idx="52">
                    <c:v>I</c:v>
                  </c:pt>
                  <c:pt idx="53">
                    <c:v>II</c:v>
                  </c:pt>
                  <c:pt idx="54">
                    <c:v>III</c:v>
                  </c:pt>
                  <c:pt idx="55">
                    <c:v>IV</c:v>
                  </c:pt>
                  <c:pt idx="56">
                    <c:v>I</c:v>
                  </c:pt>
                  <c:pt idx="57">
                    <c:v>II</c:v>
                  </c:pt>
                  <c:pt idx="58">
                    <c:v>III</c:v>
                  </c:pt>
                  <c:pt idx="59">
                    <c:v>IV</c:v>
                  </c:pt>
                </c:lvl>
                <c:lvl>
                  <c:pt idx="0">
                    <c:v>2005</c:v>
                  </c:pt>
                  <c:pt idx="4">
                    <c:v>2006</c:v>
                  </c:pt>
                  <c:pt idx="8">
                    <c:v>2007</c:v>
                  </c:pt>
                  <c:pt idx="12">
                    <c:v>2008</c:v>
                  </c:pt>
                  <c:pt idx="16">
                    <c:v>2009</c:v>
                  </c:pt>
                  <c:pt idx="20">
                    <c:v>2010</c:v>
                  </c:pt>
                  <c:pt idx="24">
                    <c:v>2011</c:v>
                  </c:pt>
                  <c:pt idx="28">
                    <c:v>2012</c:v>
                  </c:pt>
                  <c:pt idx="32">
                    <c:v>2013</c:v>
                  </c:pt>
                  <c:pt idx="36">
                    <c:v>2014</c:v>
                  </c:pt>
                  <c:pt idx="40">
                    <c:v>2015</c:v>
                  </c:pt>
                  <c:pt idx="44">
                    <c:v>2016</c:v>
                  </c:pt>
                  <c:pt idx="48">
                    <c:v>2017</c:v>
                  </c:pt>
                  <c:pt idx="52">
                    <c:v>2018</c:v>
                  </c:pt>
                  <c:pt idx="56">
                    <c:v>2019</c:v>
                  </c:pt>
                </c:lvl>
              </c:multiLvlStrCache>
            </c:multiLvlStrRef>
          </c:cat>
          <c:val>
            <c:numRef>
              <c:f>datos!$O$29:$O$84</c:f>
              <c:numCache>
                <c:formatCode>0.0</c:formatCode>
                <c:ptCount val="56"/>
                <c:pt idx="0">
                  <c:v>77.255571366889896</c:v>
                </c:pt>
                <c:pt idx="1">
                  <c:v>81.338454530711203</c:v>
                </c:pt>
                <c:pt idx="2">
                  <c:v>86.248555831609096</c:v>
                </c:pt>
                <c:pt idx="3">
                  <c:v>88.587583824034795</c:v>
                </c:pt>
                <c:pt idx="4">
                  <c:v>87.398384263810996</c:v>
                </c:pt>
                <c:pt idx="5">
                  <c:v>86.877619686338704</c:v>
                </c:pt>
                <c:pt idx="6">
                  <c:v>88.854995517482493</c:v>
                </c:pt>
                <c:pt idx="7">
                  <c:v>89.194027801821406</c:v>
                </c:pt>
                <c:pt idx="8">
                  <c:v>87.525786642872404</c:v>
                </c:pt>
                <c:pt idx="9">
                  <c:v>86.146089761275604</c:v>
                </c:pt>
                <c:pt idx="10">
                  <c:v>88.676514995854504</c:v>
                </c:pt>
                <c:pt idx="11">
                  <c:v>96.747653257824794</c:v>
                </c:pt>
                <c:pt idx="12">
                  <c:v>102.607154068127</c:v>
                </c:pt>
                <c:pt idx="13">
                  <c:v>99.263490064084607</c:v>
                </c:pt>
                <c:pt idx="14">
                  <c:v>92.622495542833207</c:v>
                </c:pt>
                <c:pt idx="15">
                  <c:v>90.638258293279904</c:v>
                </c:pt>
                <c:pt idx="16">
                  <c:v>91.747127192917205</c:v>
                </c:pt>
                <c:pt idx="17">
                  <c:v>92.128264246044495</c:v>
                </c:pt>
                <c:pt idx="18">
                  <c:v>89.708412530415899</c:v>
                </c:pt>
                <c:pt idx="19">
                  <c:v>84.807236381808295</c:v>
                </c:pt>
                <c:pt idx="20">
                  <c:v>80.215220751852399</c:v>
                </c:pt>
                <c:pt idx="21">
                  <c:v>80.462781790666099</c:v>
                </c:pt>
                <c:pt idx="22">
                  <c:v>85.915774183523098</c:v>
                </c:pt>
                <c:pt idx="23">
                  <c:v>91.094864321040504</c:v>
                </c:pt>
                <c:pt idx="24">
                  <c:v>94.411782633776198</c:v>
                </c:pt>
                <c:pt idx="25">
                  <c:v>96.410370334344705</c:v>
                </c:pt>
                <c:pt idx="26">
                  <c:v>95.110431961125499</c:v>
                </c:pt>
                <c:pt idx="27">
                  <c:v>92.728648580010002</c:v>
                </c:pt>
                <c:pt idx="28">
                  <c:v>93.848719948338996</c:v>
                </c:pt>
                <c:pt idx="29">
                  <c:v>97.560727910729298</c:v>
                </c:pt>
                <c:pt idx="30">
                  <c:v>102.07881201863</c:v>
                </c:pt>
                <c:pt idx="31">
                  <c:v>106.00097628108399</c:v>
                </c:pt>
                <c:pt idx="32">
                  <c:v>107.793220483452</c:v>
                </c:pt>
                <c:pt idx="33">
                  <c:v>109.18772086235001</c:v>
                </c:pt>
                <c:pt idx="34">
                  <c:v>113.081687694922</c:v>
                </c:pt>
                <c:pt idx="35">
                  <c:v>118.636183620865</c:v>
                </c:pt>
                <c:pt idx="36">
                  <c:v>125.647413927724</c:v>
                </c:pt>
                <c:pt idx="37">
                  <c:v>133.67079289244001</c:v>
                </c:pt>
                <c:pt idx="38">
                  <c:v>140.79532280337199</c:v>
                </c:pt>
                <c:pt idx="39">
                  <c:v>147.150244477364</c:v>
                </c:pt>
                <c:pt idx="40">
                  <c:v>156.41463910901001</c:v>
                </c:pt>
                <c:pt idx="41">
                  <c:v>167.39966796888999</c:v>
                </c:pt>
                <c:pt idx="42">
                  <c:v>175.7526768763</c:v>
                </c:pt>
                <c:pt idx="43">
                  <c:v>181.73612166969301</c:v>
                </c:pt>
                <c:pt idx="44">
                  <c:v>181.00216975069301</c:v>
                </c:pt>
                <c:pt idx="45">
                  <c:v>175.79511606485099</c:v>
                </c:pt>
                <c:pt idx="46">
                  <c:v>174.643269308588</c:v>
                </c:pt>
                <c:pt idx="47">
                  <c:v>177.129868989606</c:v>
                </c:pt>
                <c:pt idx="48">
                  <c:v>178.986368305855</c:v>
                </c:pt>
                <c:pt idx="49">
                  <c:v>181.11266752773099</c:v>
                </c:pt>
                <c:pt idx="50">
                  <c:v>184.85905225276699</c:v>
                </c:pt>
                <c:pt idx="51">
                  <c:v>189.171247217841</c:v>
                </c:pt>
                <c:pt idx="52">
                  <c:v>192.84487339481601</c:v>
                </c:pt>
                <c:pt idx="53">
                  <c:v>192.12232040095901</c:v>
                </c:pt>
                <c:pt idx="54">
                  <c:v>187.00259799226501</c:v>
                </c:pt>
                <c:pt idx="55">
                  <c:v>181.49392942654001</c:v>
                </c:pt>
              </c:numCache>
            </c:numRef>
          </c:val>
          <c:smooth val="0"/>
          <c:extLst>
            <c:ext xmlns:c16="http://schemas.microsoft.com/office/drawing/2014/chart" uri="{C3380CC4-5D6E-409C-BE32-E72D297353CC}">
              <c16:uniqueId val="{00000001-627B-4497-8BE8-385913EDCBE1}"/>
            </c:ext>
          </c:extLst>
        </c:ser>
        <c:dLbls>
          <c:showLegendKey val="0"/>
          <c:showVal val="0"/>
          <c:showCatName val="0"/>
          <c:showSerName val="0"/>
          <c:showPercent val="0"/>
          <c:showBubbleSize val="0"/>
        </c:dLbls>
        <c:marker val="1"/>
        <c:smooth val="0"/>
        <c:axId val="498459024"/>
        <c:axId val="1"/>
      </c:lineChart>
      <c:catAx>
        <c:axId val="498459024"/>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sz="600" b="0" i="0" u="none" strike="noStrike" baseline="0">
                <a:solidFill>
                  <a:srgbClr val="000000"/>
                </a:solidFill>
                <a:latin typeface="Arial"/>
                <a:ea typeface="Arial"/>
                <a:cs typeface="Arial"/>
              </a:defRPr>
            </a:pPr>
            <a:endParaRPr lang="es-MX"/>
          </a:p>
        </c:txPr>
        <c:crossAx val="1"/>
        <c:crosses val="autoZero"/>
        <c:auto val="1"/>
        <c:lblAlgn val="ctr"/>
        <c:lblOffset val="0"/>
        <c:tickLblSkip val="1"/>
        <c:tickMarkSkip val="12"/>
        <c:noMultiLvlLbl val="0"/>
      </c:catAx>
      <c:valAx>
        <c:axId val="1"/>
        <c:scaling>
          <c:orientation val="minMax"/>
          <c:max val="220"/>
          <c:min val="40"/>
        </c:scaling>
        <c:delete val="0"/>
        <c:axPos val="l"/>
        <c:numFmt formatCode="0" sourceLinked="0"/>
        <c:majorTickMark val="out"/>
        <c:minorTickMark val="none"/>
        <c:tickLblPos val="nextTo"/>
        <c:spPr>
          <a:ln w="3175">
            <a:solidFill>
              <a:srgbClr val="000000"/>
            </a:solidFill>
            <a:prstDash val="solid"/>
          </a:ln>
        </c:spPr>
        <c:txPr>
          <a:bodyPr rot="0" vert="horz"/>
          <a:lstStyle/>
          <a:p>
            <a:pPr>
              <a:defRPr sz="700" b="0" i="0" u="none" strike="noStrike" baseline="0">
                <a:solidFill>
                  <a:srgbClr val="000000"/>
                </a:solidFill>
                <a:latin typeface="Arial"/>
                <a:ea typeface="Arial"/>
                <a:cs typeface="Arial"/>
              </a:defRPr>
            </a:pPr>
            <a:endParaRPr lang="es-MX"/>
          </a:p>
        </c:txPr>
        <c:crossAx val="498459024"/>
        <c:crosses val="autoZero"/>
        <c:crossBetween val="between"/>
      </c:valAx>
      <c:spPr>
        <a:noFill/>
        <a:ln w="12700">
          <a:solidFill>
            <a:schemeClr val="bg1">
              <a:lumMod val="65000"/>
            </a:schemeClr>
          </a:solidFill>
        </a:ln>
      </c:spPr>
    </c:plotArea>
    <c:legend>
      <c:legendPos val="r"/>
      <c:layout>
        <c:manualLayout>
          <c:xMode val="edge"/>
          <c:yMode val="edge"/>
          <c:x val="1.1123470522803114E-3"/>
          <c:y val="0.93431855500821015"/>
          <c:w val="0.99221357063403781"/>
          <c:h val="5.9113300492610835E-2"/>
        </c:manualLayout>
      </c:layout>
      <c:overlay val="0"/>
      <c:spPr>
        <a:noFill/>
        <a:ln w="25400">
          <a:noFill/>
        </a:ln>
      </c:spPr>
      <c:txPr>
        <a:bodyPr/>
        <a:lstStyle/>
        <a:p>
          <a:pPr>
            <a:defRPr sz="70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900" b="0" i="0" u="none" strike="noStrike" baseline="0">
          <a:solidFill>
            <a:srgbClr val="000000"/>
          </a:solidFill>
          <a:latin typeface="Arial"/>
          <a:ea typeface="Arial"/>
          <a:cs typeface="Arial"/>
        </a:defRPr>
      </a:pPr>
      <a:endParaRPr lang="es-MX"/>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2302558398220279E-2"/>
          <c:y val="3.0836814819635155E-2"/>
          <c:w val="0.91526018934083397"/>
          <c:h val="0.78347268269097958"/>
        </c:manualLayout>
      </c:layout>
      <c:barChart>
        <c:barDir val="col"/>
        <c:grouping val="clustered"/>
        <c:varyColors val="0"/>
        <c:ser>
          <c:idx val="0"/>
          <c:order val="0"/>
          <c:tx>
            <c:strRef>
              <c:f>datos!$H$4</c:f>
              <c:strCache>
                <c:ptCount val="1"/>
                <c:pt idx="0">
                  <c:v>Serie Desestacionalizada</c:v>
                </c:pt>
              </c:strCache>
            </c:strRef>
          </c:tx>
          <c:spPr>
            <a:solidFill>
              <a:schemeClr val="accent3">
                <a:lumMod val="60000"/>
                <a:lumOff val="40000"/>
              </a:schemeClr>
            </a:solidFill>
            <a:ln w="12700">
              <a:noFill/>
              <a:prstDash val="solid"/>
            </a:ln>
            <a:effectLst>
              <a:outerShdw blurRad="50800" dist="12700" dir="5400000" algn="ctr" rotWithShape="0">
                <a:srgbClr val="000000">
                  <a:alpha val="43137"/>
                </a:srgbClr>
              </a:outerShdw>
            </a:effectLst>
            <a:scene3d>
              <a:camera prst="orthographicFront"/>
              <a:lightRig rig="threePt" dir="t"/>
            </a:scene3d>
            <a:sp3d>
              <a:bevelT w="50800"/>
            </a:sp3d>
          </c:spPr>
          <c:invertIfNegative val="0"/>
          <c:cat>
            <c:multiLvlStrRef>
              <c:f>datos!$B$29:$C$84</c:f>
              <c:multiLvlStrCache>
                <c:ptCount val="56"/>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pt idx="52">
                    <c:v>I</c:v>
                  </c:pt>
                  <c:pt idx="53">
                    <c:v>II</c:v>
                  </c:pt>
                  <c:pt idx="54">
                    <c:v>III</c:v>
                  </c:pt>
                  <c:pt idx="55">
                    <c:v>IV</c:v>
                  </c:pt>
                </c:lvl>
                <c:lvl>
                  <c:pt idx="0">
                    <c:v>2006</c:v>
                  </c:pt>
                  <c:pt idx="4">
                    <c:v>2007</c:v>
                  </c:pt>
                  <c:pt idx="8">
                    <c:v>2008</c:v>
                  </c:pt>
                  <c:pt idx="12">
                    <c:v>2009</c:v>
                  </c:pt>
                  <c:pt idx="16">
                    <c:v>2010</c:v>
                  </c:pt>
                  <c:pt idx="20">
                    <c:v>2011</c:v>
                  </c:pt>
                  <c:pt idx="24">
                    <c:v>2012</c:v>
                  </c:pt>
                  <c:pt idx="28">
                    <c:v>2013</c:v>
                  </c:pt>
                  <c:pt idx="32">
                    <c:v>2014</c:v>
                  </c:pt>
                  <c:pt idx="36">
                    <c:v>2015</c:v>
                  </c:pt>
                  <c:pt idx="40">
                    <c:v>2016</c:v>
                  </c:pt>
                  <c:pt idx="44">
                    <c:v>2017</c:v>
                  </c:pt>
                  <c:pt idx="48">
                    <c:v>2018</c:v>
                  </c:pt>
                  <c:pt idx="52">
                    <c:v>2019</c:v>
                  </c:pt>
                </c:lvl>
              </c:multiLvlStrCache>
            </c:multiLvlStrRef>
          </c:cat>
          <c:val>
            <c:numRef>
              <c:f>datos!$L$29:$L$84</c:f>
              <c:numCache>
                <c:formatCode>0.0</c:formatCode>
                <c:ptCount val="56"/>
                <c:pt idx="0">
                  <c:v>84.623196844017698</c:v>
                </c:pt>
                <c:pt idx="1">
                  <c:v>86.607652731884897</c:v>
                </c:pt>
                <c:pt idx="2">
                  <c:v>87.536620503474396</c:v>
                </c:pt>
                <c:pt idx="3">
                  <c:v>88.895443074090494</c:v>
                </c:pt>
                <c:pt idx="4">
                  <c:v>90.650955476789505</c:v>
                </c:pt>
                <c:pt idx="5">
                  <c:v>91.4279220686374</c:v>
                </c:pt>
                <c:pt idx="6">
                  <c:v>91.587349161023596</c:v>
                </c:pt>
                <c:pt idx="7">
                  <c:v>92.399662678490103</c:v>
                </c:pt>
                <c:pt idx="8">
                  <c:v>95.314713878912499</c:v>
                </c:pt>
                <c:pt idx="9">
                  <c:v>94.928376675033206</c:v>
                </c:pt>
                <c:pt idx="10">
                  <c:v>93.903348772174397</c:v>
                </c:pt>
                <c:pt idx="11">
                  <c:v>94.286785965330594</c:v>
                </c:pt>
                <c:pt idx="12">
                  <c:v>88.918175650008905</c:v>
                </c:pt>
                <c:pt idx="13">
                  <c:v>84.414820790936105</c:v>
                </c:pt>
                <c:pt idx="14">
                  <c:v>89.303097812301999</c:v>
                </c:pt>
                <c:pt idx="15">
                  <c:v>90.784060750603402</c:v>
                </c:pt>
                <c:pt idx="16">
                  <c:v>90.999616871302194</c:v>
                </c:pt>
                <c:pt idx="17">
                  <c:v>91.173853094067795</c:v>
                </c:pt>
                <c:pt idx="18">
                  <c:v>91.082422216479003</c:v>
                </c:pt>
                <c:pt idx="19">
                  <c:v>90.4701525169436</c:v>
                </c:pt>
                <c:pt idx="20">
                  <c:v>93.021751205420998</c:v>
                </c:pt>
                <c:pt idx="21">
                  <c:v>94.259980310177895</c:v>
                </c:pt>
                <c:pt idx="22">
                  <c:v>95.147104188611394</c:v>
                </c:pt>
                <c:pt idx="23">
                  <c:v>96.219706959902197</c:v>
                </c:pt>
                <c:pt idx="24">
                  <c:v>95.716642127799503</c:v>
                </c:pt>
                <c:pt idx="25">
                  <c:v>96.408765671781495</c:v>
                </c:pt>
                <c:pt idx="26">
                  <c:v>97.269619817302001</c:v>
                </c:pt>
                <c:pt idx="27">
                  <c:v>97.776008187849001</c:v>
                </c:pt>
                <c:pt idx="28">
                  <c:v>98.560279791106197</c:v>
                </c:pt>
                <c:pt idx="29">
                  <c:v>99.452006103936</c:v>
                </c:pt>
                <c:pt idx="30">
                  <c:v>100.738523216282</c:v>
                </c:pt>
                <c:pt idx="31">
                  <c:v>101.095627551831</c:v>
                </c:pt>
                <c:pt idx="32">
                  <c:v>98.875845367062297</c:v>
                </c:pt>
                <c:pt idx="33">
                  <c:v>99.604860460822593</c:v>
                </c:pt>
                <c:pt idx="34">
                  <c:v>99.243468969674296</c:v>
                </c:pt>
                <c:pt idx="35">
                  <c:v>99.933754347560793</c:v>
                </c:pt>
                <c:pt idx="36">
                  <c:v>99.9264621388444</c:v>
                </c:pt>
                <c:pt idx="37">
                  <c:v>100.28863180486999</c:v>
                </c:pt>
                <c:pt idx="38">
                  <c:v>102.871894614391</c:v>
                </c:pt>
                <c:pt idx="39">
                  <c:v>104.454393165452</c:v>
                </c:pt>
                <c:pt idx="40">
                  <c:v>104.03868584849199</c:v>
                </c:pt>
                <c:pt idx="41">
                  <c:v>102.097553496041</c:v>
                </c:pt>
                <c:pt idx="42">
                  <c:v>101.6954288941</c:v>
                </c:pt>
                <c:pt idx="43">
                  <c:v>102.769500681761</c:v>
                </c:pt>
                <c:pt idx="44">
                  <c:v>104.917891571249</c:v>
                </c:pt>
                <c:pt idx="45">
                  <c:v>105.88896255617701</c:v>
                </c:pt>
                <c:pt idx="46">
                  <c:v>102.967199896523</c:v>
                </c:pt>
                <c:pt idx="47">
                  <c:v>103.60547053101401</c:v>
                </c:pt>
                <c:pt idx="48">
                  <c:v>106.26417621746199</c:v>
                </c:pt>
                <c:pt idx="49">
                  <c:v>108.400244876138</c:v>
                </c:pt>
                <c:pt idx="50">
                  <c:v>108.981251230247</c:v>
                </c:pt>
                <c:pt idx="51">
                  <c:v>107.14144108155</c:v>
                </c:pt>
                <c:pt idx="52">
                  <c:v>103.969407513896</c:v>
                </c:pt>
                <c:pt idx="53">
                  <c:v>108.239182810003</c:v>
                </c:pt>
                <c:pt idx="54">
                  <c:v>107.356042836635</c:v>
                </c:pt>
                <c:pt idx="55">
                  <c:v>108.235693488281</c:v>
                </c:pt>
              </c:numCache>
            </c:numRef>
          </c:val>
          <c:extLst>
            <c:ext xmlns:c16="http://schemas.microsoft.com/office/drawing/2014/chart" uri="{C3380CC4-5D6E-409C-BE32-E72D297353CC}">
              <c16:uniqueId val="{00000000-029D-48D3-998A-1F1C0F55355F}"/>
            </c:ext>
          </c:extLst>
        </c:ser>
        <c:dLbls>
          <c:showLegendKey val="0"/>
          <c:showVal val="0"/>
          <c:showCatName val="0"/>
          <c:showSerName val="0"/>
          <c:showPercent val="0"/>
          <c:showBubbleSize val="0"/>
        </c:dLbls>
        <c:gapWidth val="40"/>
        <c:axId val="498464928"/>
        <c:axId val="1"/>
      </c:barChart>
      <c:lineChart>
        <c:grouping val="standard"/>
        <c:varyColors val="0"/>
        <c:ser>
          <c:idx val="1"/>
          <c:order val="1"/>
          <c:tx>
            <c:v>Tendencia-Ciclo</c:v>
          </c:tx>
          <c:spPr>
            <a:ln w="15875">
              <a:solidFill>
                <a:srgbClr val="C00000"/>
              </a:solidFill>
              <a:prstDash val="solid"/>
            </a:ln>
          </c:spPr>
          <c:marker>
            <c:symbol val="none"/>
          </c:marker>
          <c:cat>
            <c:multiLvlStrRef>
              <c:f>datos!$B$29:$C$84</c:f>
              <c:multiLvlStrCache>
                <c:ptCount val="56"/>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pt idx="52">
                    <c:v>I</c:v>
                  </c:pt>
                  <c:pt idx="53">
                    <c:v>II</c:v>
                  </c:pt>
                  <c:pt idx="54">
                    <c:v>III</c:v>
                  </c:pt>
                  <c:pt idx="55">
                    <c:v>IV</c:v>
                  </c:pt>
                </c:lvl>
                <c:lvl>
                  <c:pt idx="0">
                    <c:v>2006</c:v>
                  </c:pt>
                  <c:pt idx="4">
                    <c:v>2007</c:v>
                  </c:pt>
                  <c:pt idx="8">
                    <c:v>2008</c:v>
                  </c:pt>
                  <c:pt idx="12">
                    <c:v>2009</c:v>
                  </c:pt>
                  <c:pt idx="16">
                    <c:v>2010</c:v>
                  </c:pt>
                  <c:pt idx="20">
                    <c:v>2011</c:v>
                  </c:pt>
                  <c:pt idx="24">
                    <c:v>2012</c:v>
                  </c:pt>
                  <c:pt idx="28">
                    <c:v>2013</c:v>
                  </c:pt>
                  <c:pt idx="32">
                    <c:v>2014</c:v>
                  </c:pt>
                  <c:pt idx="36">
                    <c:v>2015</c:v>
                  </c:pt>
                  <c:pt idx="40">
                    <c:v>2016</c:v>
                  </c:pt>
                  <c:pt idx="44">
                    <c:v>2017</c:v>
                  </c:pt>
                  <c:pt idx="48">
                    <c:v>2018</c:v>
                  </c:pt>
                  <c:pt idx="52">
                    <c:v>2019</c:v>
                  </c:pt>
                </c:lvl>
              </c:multiLvlStrCache>
            </c:multiLvlStrRef>
          </c:cat>
          <c:val>
            <c:numRef>
              <c:f>datos!$M$29:$M$84</c:f>
              <c:numCache>
                <c:formatCode>0.0</c:formatCode>
                <c:ptCount val="56"/>
                <c:pt idx="0">
                  <c:v>84.781257969965793</c:v>
                </c:pt>
                <c:pt idx="1">
                  <c:v>86.350592487954103</c:v>
                </c:pt>
                <c:pt idx="2">
                  <c:v>87.648119333989101</c:v>
                </c:pt>
                <c:pt idx="3">
                  <c:v>88.993986725124799</c:v>
                </c:pt>
                <c:pt idx="4">
                  <c:v>90.523469179444106</c:v>
                </c:pt>
                <c:pt idx="5">
                  <c:v>91.326252713309003</c:v>
                </c:pt>
                <c:pt idx="6">
                  <c:v>91.758203283806907</c:v>
                </c:pt>
                <c:pt idx="7">
                  <c:v>92.990969980243506</c:v>
                </c:pt>
                <c:pt idx="8">
                  <c:v>94.523276070431606</c:v>
                </c:pt>
                <c:pt idx="9">
                  <c:v>94.8909791417219</c:v>
                </c:pt>
                <c:pt idx="10">
                  <c:v>93.973252651566796</c:v>
                </c:pt>
                <c:pt idx="11">
                  <c:v>92.371744496409406</c:v>
                </c:pt>
                <c:pt idx="12">
                  <c:v>90.826970513172199</c:v>
                </c:pt>
                <c:pt idx="13">
                  <c:v>90.490022060413693</c:v>
                </c:pt>
                <c:pt idx="14">
                  <c:v>91.171377512564106</c:v>
                </c:pt>
                <c:pt idx="15">
                  <c:v>91.504476990330602</c:v>
                </c:pt>
                <c:pt idx="16">
                  <c:v>91.326693043800802</c:v>
                </c:pt>
                <c:pt idx="17">
                  <c:v>91.219247192391194</c:v>
                </c:pt>
                <c:pt idx="18">
                  <c:v>90.947468416989494</c:v>
                </c:pt>
                <c:pt idx="19">
                  <c:v>91.323115017001896</c:v>
                </c:pt>
                <c:pt idx="20">
                  <c:v>92.753953772912396</c:v>
                </c:pt>
                <c:pt idx="21">
                  <c:v>94.260196296285599</c:v>
                </c:pt>
                <c:pt idx="22">
                  <c:v>95.316194559706005</c:v>
                </c:pt>
                <c:pt idx="23">
                  <c:v>95.887067283077101</c:v>
                </c:pt>
                <c:pt idx="24">
                  <c:v>95.995510440384805</c:v>
                </c:pt>
                <c:pt idx="25">
                  <c:v>96.371828088287103</c:v>
                </c:pt>
                <c:pt idx="26">
                  <c:v>97.184777372777603</c:v>
                </c:pt>
                <c:pt idx="27">
                  <c:v>97.8349552207155</c:v>
                </c:pt>
                <c:pt idx="28">
                  <c:v>98.526668334657501</c:v>
                </c:pt>
                <c:pt idx="29">
                  <c:v>99.598103136825003</c:v>
                </c:pt>
                <c:pt idx="30">
                  <c:v>100.58065066063899</c:v>
                </c:pt>
                <c:pt idx="31">
                  <c:v>100.639534619188</c:v>
                </c:pt>
                <c:pt idx="32">
                  <c:v>100.004552201244</c:v>
                </c:pt>
                <c:pt idx="33">
                  <c:v>99.4609220472597</c:v>
                </c:pt>
                <c:pt idx="34">
                  <c:v>99.458655241458402</c:v>
                </c:pt>
                <c:pt idx="35">
                  <c:v>99.7103102544813</c:v>
                </c:pt>
                <c:pt idx="36">
                  <c:v>99.935465376402902</c:v>
                </c:pt>
                <c:pt idx="37">
                  <c:v>100.788042836925</c:v>
                </c:pt>
                <c:pt idx="38">
                  <c:v>102.775176510286</c:v>
                </c:pt>
                <c:pt idx="39">
                  <c:v>104.329786488011</c:v>
                </c:pt>
                <c:pt idx="40">
                  <c:v>103.848389726036</c:v>
                </c:pt>
                <c:pt idx="41">
                  <c:v>102.327176318017</c:v>
                </c:pt>
                <c:pt idx="42">
                  <c:v>101.72032534327499</c:v>
                </c:pt>
                <c:pt idx="43">
                  <c:v>102.963531751312</c:v>
                </c:pt>
                <c:pt idx="44">
                  <c:v>104.713320425199</c:v>
                </c:pt>
                <c:pt idx="45">
                  <c:v>104.722010012436</c:v>
                </c:pt>
                <c:pt idx="46">
                  <c:v>103.43879491437799</c:v>
                </c:pt>
                <c:pt idx="47">
                  <c:v>103.760538615917</c:v>
                </c:pt>
                <c:pt idx="48">
                  <c:v>106.147460340417</c:v>
                </c:pt>
                <c:pt idx="49">
                  <c:v>108.38800678995</c:v>
                </c:pt>
                <c:pt idx="50">
                  <c:v>108.684134693846</c:v>
                </c:pt>
                <c:pt idx="51">
                  <c:v>107.326629232274</c:v>
                </c:pt>
                <c:pt idx="52">
                  <c:v>106.168679707876</c:v>
                </c:pt>
                <c:pt idx="53">
                  <c:v>106.392172701581</c:v>
                </c:pt>
                <c:pt idx="54">
                  <c:v>107.370989350209</c:v>
                </c:pt>
                <c:pt idx="55">
                  <c:v>108.021144662297</c:v>
                </c:pt>
              </c:numCache>
            </c:numRef>
          </c:val>
          <c:smooth val="0"/>
          <c:extLst>
            <c:ext xmlns:c16="http://schemas.microsoft.com/office/drawing/2014/chart" uri="{C3380CC4-5D6E-409C-BE32-E72D297353CC}">
              <c16:uniqueId val="{00000001-029D-48D3-998A-1F1C0F55355F}"/>
            </c:ext>
          </c:extLst>
        </c:ser>
        <c:dLbls>
          <c:showLegendKey val="0"/>
          <c:showVal val="0"/>
          <c:showCatName val="0"/>
          <c:showSerName val="0"/>
          <c:showPercent val="0"/>
          <c:showBubbleSize val="0"/>
        </c:dLbls>
        <c:marker val="1"/>
        <c:smooth val="0"/>
        <c:axId val="498464928"/>
        <c:axId val="1"/>
      </c:lineChart>
      <c:catAx>
        <c:axId val="498464928"/>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sz="600" b="0" i="0" u="none" strike="noStrike" baseline="0">
                <a:solidFill>
                  <a:srgbClr val="000000"/>
                </a:solidFill>
                <a:latin typeface="Arial"/>
                <a:ea typeface="Arial"/>
                <a:cs typeface="Arial"/>
              </a:defRPr>
            </a:pPr>
            <a:endParaRPr lang="es-MX"/>
          </a:p>
        </c:txPr>
        <c:crossAx val="1"/>
        <c:crosses val="autoZero"/>
        <c:auto val="1"/>
        <c:lblAlgn val="ctr"/>
        <c:lblOffset val="0"/>
        <c:tickLblSkip val="1"/>
        <c:tickMarkSkip val="12"/>
        <c:noMultiLvlLbl val="0"/>
      </c:catAx>
      <c:valAx>
        <c:axId val="1"/>
        <c:scaling>
          <c:orientation val="minMax"/>
          <c:max val="115"/>
          <c:min val="75"/>
        </c:scaling>
        <c:delete val="0"/>
        <c:axPos val="l"/>
        <c:numFmt formatCode="0" sourceLinked="0"/>
        <c:majorTickMark val="out"/>
        <c:minorTickMark val="none"/>
        <c:tickLblPos val="nextTo"/>
        <c:spPr>
          <a:ln w="3175">
            <a:solidFill>
              <a:srgbClr val="000000"/>
            </a:solidFill>
            <a:prstDash val="solid"/>
          </a:ln>
        </c:spPr>
        <c:txPr>
          <a:bodyPr rot="0" vert="horz"/>
          <a:lstStyle/>
          <a:p>
            <a:pPr>
              <a:defRPr sz="700" b="0" i="0" u="none" strike="noStrike" baseline="0">
                <a:solidFill>
                  <a:srgbClr val="000000"/>
                </a:solidFill>
                <a:latin typeface="Arial"/>
                <a:ea typeface="Arial"/>
                <a:cs typeface="Arial"/>
              </a:defRPr>
            </a:pPr>
            <a:endParaRPr lang="es-MX"/>
          </a:p>
        </c:txPr>
        <c:crossAx val="498464928"/>
        <c:crosses val="autoZero"/>
        <c:crossBetween val="between"/>
      </c:valAx>
      <c:spPr>
        <a:noFill/>
        <a:ln w="12700">
          <a:solidFill>
            <a:srgbClr val="808080"/>
          </a:solidFill>
          <a:prstDash val="solid"/>
        </a:ln>
      </c:spPr>
    </c:plotArea>
    <c:legend>
      <c:legendPos val="r"/>
      <c:layout>
        <c:manualLayout>
          <c:xMode val="edge"/>
          <c:yMode val="edge"/>
          <c:x val="2.2246941045606229E-3"/>
          <c:y val="0.93267651888341541"/>
          <c:w val="0.99332591768631817"/>
          <c:h val="5.9113300492610835E-2"/>
        </c:manualLayout>
      </c:layout>
      <c:overlay val="0"/>
      <c:spPr>
        <a:noFill/>
        <a:ln w="25400">
          <a:noFill/>
        </a:ln>
      </c:spPr>
      <c:txPr>
        <a:bodyPr/>
        <a:lstStyle/>
        <a:p>
          <a:pPr>
            <a:defRPr sz="70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800" b="0" i="0" u="none" strike="noStrike" baseline="0">
          <a:solidFill>
            <a:srgbClr val="000000"/>
          </a:solidFill>
          <a:latin typeface="Arial"/>
          <a:ea typeface="Arial"/>
          <a:cs typeface="Arial"/>
        </a:defRPr>
      </a:pPr>
      <a:endParaRPr lang="es-MX"/>
    </a:p>
  </c:tx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125044-0DA7-43F1-A985-A4445E5308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9</Pages>
  <Words>1181</Words>
  <Characters>7389</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Indicadores Trimestrales de la Actividad Turística. Cuarto Trimestre de 2019</vt:lpstr>
    </vt:vector>
  </TitlesOfParts>
  <Company>DGCNES y P.  "INEGI"</Company>
  <LinksUpToDate>false</LinksUpToDate>
  <CharactersWithSpaces>8553</CharactersWithSpaces>
  <SharedDoc>false</SharedDoc>
  <HLinks>
    <vt:vector size="24" baseType="variant">
      <vt:variant>
        <vt:i4>262227</vt:i4>
      </vt:variant>
      <vt:variant>
        <vt:i4>0</vt:i4>
      </vt:variant>
      <vt:variant>
        <vt:i4>0</vt:i4>
      </vt:variant>
      <vt:variant>
        <vt:i4>5</vt:i4>
      </vt:variant>
      <vt:variant>
        <vt:lpwstr>http://www.inegi.org.mx/</vt:lpwstr>
      </vt:variant>
      <vt:variant>
        <vt:lpwstr/>
      </vt:variant>
      <vt:variant>
        <vt:i4>196687</vt:i4>
      </vt:variant>
      <vt:variant>
        <vt:i4>0</vt:i4>
      </vt:variant>
      <vt:variant>
        <vt:i4>0</vt:i4>
      </vt:variant>
      <vt:variant>
        <vt:i4>5</vt:i4>
      </vt:variant>
      <vt:variant>
        <vt:lpwstr>http://www.censo2010.org.mx/</vt:lpwstr>
      </vt:variant>
      <vt:variant>
        <vt:lpwstr/>
      </vt:variant>
      <vt:variant>
        <vt:i4>196687</vt:i4>
      </vt:variant>
      <vt:variant>
        <vt:i4>-1</vt:i4>
      </vt:variant>
      <vt:variant>
        <vt:i4>9217</vt:i4>
      </vt:variant>
      <vt:variant>
        <vt:i4>4</vt:i4>
      </vt:variant>
      <vt:variant>
        <vt:lpwstr>http://www.censo2010.org.mx/</vt:lpwstr>
      </vt:variant>
      <vt:variant>
        <vt:lpwstr/>
      </vt:variant>
      <vt:variant>
        <vt:i4>196687</vt:i4>
      </vt:variant>
      <vt:variant>
        <vt:i4>-1</vt:i4>
      </vt:variant>
      <vt:variant>
        <vt:i4>1026</vt:i4>
      </vt:variant>
      <vt:variant>
        <vt:i4>4</vt:i4>
      </vt:variant>
      <vt:variant>
        <vt:lpwstr>http://www.censo2010.org.mx/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Indicadores Trimestrales de la Actividad Turística. Cuarto Trimestre de 2019</dc:title>
  <dc:creator>Laura Calles</dc:creator>
  <cp:lastModifiedBy>GUILLEN MEDINA MOISES</cp:lastModifiedBy>
  <cp:revision>17</cp:revision>
  <cp:lastPrinted>2020-02-19T15:11:00Z</cp:lastPrinted>
  <dcterms:created xsi:type="dcterms:W3CDTF">2020-05-12T21:44:00Z</dcterms:created>
  <dcterms:modified xsi:type="dcterms:W3CDTF">2020-05-14T22:15:00Z</dcterms:modified>
</cp:coreProperties>
</file>