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33816" w14:textId="77777777" w:rsidR="008A7F38" w:rsidRDefault="008A7F38" w:rsidP="008A7F38">
      <w:pPr>
        <w:pStyle w:val="Ttulo2"/>
        <w:spacing w:before="360"/>
        <w:rPr>
          <w:color w:val="auto"/>
        </w:rPr>
      </w:pPr>
      <w:r>
        <w:rPr>
          <w:noProof/>
          <w:lang w:val="es-MX" w:eastAsia="es-MX"/>
        </w:rPr>
        <mc:AlternateContent>
          <mc:Choice Requires="wps">
            <w:drawing>
              <wp:anchor distT="45720" distB="45720" distL="114300" distR="114300" simplePos="0" relativeHeight="251659264" behindDoc="0" locked="0" layoutInCell="1" allowOverlap="1" wp14:anchorId="2CD4ED5C" wp14:editId="7FA2A7BA">
                <wp:simplePos x="0" y="0"/>
                <wp:positionH relativeFrom="column">
                  <wp:posOffset>3037840</wp:posOffset>
                </wp:positionH>
                <wp:positionV relativeFrom="paragraph">
                  <wp:posOffset>332105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14BB63C1" w14:textId="77777777" w:rsidR="008A7F38" w:rsidRPr="007E0E09" w:rsidRDefault="008A7F38" w:rsidP="008A7F38">
                            <w:pPr>
                              <w:jc w:val="right"/>
                              <w:rPr>
                                <w:rFonts w:cs="Arial"/>
                                <w:szCs w:val="24"/>
                              </w:rPr>
                            </w:pPr>
                            <w:r w:rsidRPr="007E0E09">
                              <w:rPr>
                                <w:rFonts w:cs="Arial"/>
                                <w:b/>
                                <w:color w:val="FFFFFF" w:themeColor="background1"/>
                                <w:szCs w:val="24"/>
                                <w:shd w:val="clear" w:color="auto" w:fill="365F91" w:themeFill="accent1" w:themeFillShade="BF"/>
                                <w:lang w:val="pt-BR"/>
                              </w:rPr>
                              <w:t>Próxima publicación:</w:t>
                            </w:r>
                            <w:r>
                              <w:rPr>
                                <w:rFonts w:cs="Arial"/>
                                <w:b/>
                                <w:color w:val="FFFFFF" w:themeColor="background1"/>
                                <w:szCs w:val="24"/>
                                <w:shd w:val="clear" w:color="auto" w:fill="365F91" w:themeFill="accent1" w:themeFillShade="BF"/>
                                <w:lang w:val="pt-BR"/>
                              </w:rPr>
                              <w:t xml:space="preserve"> </w:t>
                            </w:r>
                            <w:r w:rsidRPr="007E0E09">
                              <w:rPr>
                                <w:rFonts w:cs="Arial"/>
                                <w:b/>
                                <w:color w:val="FFFFFF" w:themeColor="background1"/>
                                <w:szCs w:val="24"/>
                                <w:shd w:val="clear" w:color="auto" w:fill="365F91" w:themeFill="accent1" w:themeFillShade="BF"/>
                                <w:lang w:val="pt-BR"/>
                              </w:rPr>
                              <w:t xml:space="preserve"> </w:t>
                            </w:r>
                            <w:r>
                              <w:rPr>
                                <w:rFonts w:cs="Arial"/>
                                <w:b/>
                                <w:color w:val="FFFFFF" w:themeColor="background1"/>
                                <w:szCs w:val="24"/>
                                <w:shd w:val="clear" w:color="auto" w:fill="365F91" w:themeFill="accent1" w:themeFillShade="BF"/>
                                <w:lang w:val="pt-BR"/>
                              </w:rPr>
                              <w:t xml:space="preserve">30 </w:t>
                            </w:r>
                            <w:r w:rsidRPr="007E0E09">
                              <w:rPr>
                                <w:rFonts w:cs="Arial"/>
                                <w:b/>
                                <w:color w:val="FFFFFF" w:themeColor="background1"/>
                                <w:szCs w:val="24"/>
                                <w:shd w:val="clear" w:color="auto" w:fill="365F91" w:themeFill="accent1" w:themeFillShade="BF"/>
                                <w:lang w:val="pt-BR"/>
                              </w:rPr>
                              <w:t>de</w:t>
                            </w:r>
                            <w:r>
                              <w:rPr>
                                <w:rFonts w:cs="Arial"/>
                                <w:b/>
                                <w:color w:val="FFFFFF" w:themeColor="background1"/>
                                <w:szCs w:val="24"/>
                                <w:shd w:val="clear" w:color="auto" w:fill="365F91" w:themeFill="accent1" w:themeFillShade="BF"/>
                                <w:lang w:val="pt-BR"/>
                              </w:rPr>
                              <w:t xml:space="preserve"> julio bril</w:t>
                            </w:r>
                            <w:r w:rsidRPr="007E0E09">
                              <w:rPr>
                                <w:rFonts w:cs="Arial"/>
                                <w:b/>
                                <w:color w:val="FFFFFF" w:themeColor="background1"/>
                                <w:szCs w:val="24"/>
                                <w:shd w:val="clear" w:color="auto" w:fill="365F91" w:themeFill="accent1" w:themeFillShade="BF"/>
                                <w:lang w:val="pt-BR"/>
                              </w:rPr>
                              <w:t xml:space="preserve">SEPTIEMBREsto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4ED5C" id="_x0000_t202" coordsize="21600,21600" o:spt="202" path="m,l,21600r21600,l21600,xe">
                <v:stroke joinstyle="miter"/>
                <v:path gradientshapeok="t" o:connecttype="rect"/>
              </v:shapetype>
              <v:shape id="Cuadro de texto 217" o:spid="_x0000_s1026" type="#_x0000_t202" style="position:absolute;left:0;text-align:left;margin-left:239.2pt;margin-top:26.15pt;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" stroked="f">
                <v:textbox>
                  <w:txbxContent>
                    <w:p w14:paraId="14BB63C1" w14:textId="77777777" w:rsidR="008A7F38" w:rsidRPr="007E0E09" w:rsidRDefault="008A7F38" w:rsidP="008A7F38">
                      <w:pPr>
                        <w:jc w:val="right"/>
                        <w:rPr>
                          <w:rFonts w:cs="Arial"/>
                          <w:szCs w:val="24"/>
                        </w:rPr>
                      </w:pPr>
                      <w:r w:rsidRPr="007E0E09">
                        <w:rPr>
                          <w:rFonts w:cs="Arial"/>
                          <w:b/>
                          <w:color w:val="FFFFFF" w:themeColor="background1"/>
                          <w:szCs w:val="24"/>
                          <w:shd w:val="clear" w:color="auto" w:fill="365F91" w:themeFill="accent1" w:themeFillShade="BF"/>
                          <w:lang w:val="pt-BR"/>
                        </w:rPr>
                        <w:t xml:space="preserve">Próxima </w:t>
                      </w:r>
                      <w:proofErr w:type="spellStart"/>
                      <w:r w:rsidRPr="007E0E09">
                        <w:rPr>
                          <w:rFonts w:cs="Arial"/>
                          <w:b/>
                          <w:color w:val="FFFFFF" w:themeColor="background1"/>
                          <w:szCs w:val="24"/>
                          <w:shd w:val="clear" w:color="auto" w:fill="365F91" w:themeFill="accent1" w:themeFillShade="BF"/>
                          <w:lang w:val="pt-BR"/>
                        </w:rPr>
                        <w:t>publicación</w:t>
                      </w:r>
                      <w:proofErr w:type="spellEnd"/>
                      <w:r w:rsidRPr="007E0E09">
                        <w:rPr>
                          <w:rFonts w:cs="Arial"/>
                          <w:b/>
                          <w:color w:val="FFFFFF" w:themeColor="background1"/>
                          <w:szCs w:val="24"/>
                          <w:shd w:val="clear" w:color="auto" w:fill="365F91" w:themeFill="accent1" w:themeFillShade="BF"/>
                          <w:lang w:val="pt-BR"/>
                        </w:rPr>
                        <w:t>:</w:t>
                      </w:r>
                      <w:r>
                        <w:rPr>
                          <w:rFonts w:cs="Arial"/>
                          <w:b/>
                          <w:color w:val="FFFFFF" w:themeColor="background1"/>
                          <w:szCs w:val="24"/>
                          <w:shd w:val="clear" w:color="auto" w:fill="365F91" w:themeFill="accent1" w:themeFillShade="BF"/>
                          <w:lang w:val="pt-BR"/>
                        </w:rPr>
                        <w:t xml:space="preserve"> </w:t>
                      </w:r>
                      <w:r w:rsidRPr="007E0E09">
                        <w:rPr>
                          <w:rFonts w:cs="Arial"/>
                          <w:b/>
                          <w:color w:val="FFFFFF" w:themeColor="background1"/>
                          <w:szCs w:val="24"/>
                          <w:shd w:val="clear" w:color="auto" w:fill="365F91" w:themeFill="accent1" w:themeFillShade="BF"/>
                          <w:lang w:val="pt-BR"/>
                        </w:rPr>
                        <w:t xml:space="preserve"> </w:t>
                      </w:r>
                      <w:r>
                        <w:rPr>
                          <w:rFonts w:cs="Arial"/>
                          <w:b/>
                          <w:color w:val="FFFFFF" w:themeColor="background1"/>
                          <w:szCs w:val="24"/>
                          <w:shd w:val="clear" w:color="auto" w:fill="365F91" w:themeFill="accent1" w:themeFillShade="BF"/>
                          <w:lang w:val="pt-BR"/>
                        </w:rPr>
                        <w:t xml:space="preserve">30 </w:t>
                      </w:r>
                      <w:r w:rsidRPr="007E0E09">
                        <w:rPr>
                          <w:rFonts w:cs="Arial"/>
                          <w:b/>
                          <w:color w:val="FFFFFF" w:themeColor="background1"/>
                          <w:szCs w:val="24"/>
                          <w:shd w:val="clear" w:color="auto" w:fill="365F91" w:themeFill="accent1" w:themeFillShade="BF"/>
                          <w:lang w:val="pt-BR"/>
                        </w:rPr>
                        <w:t>de</w:t>
                      </w:r>
                      <w:r>
                        <w:rPr>
                          <w:rFonts w:cs="Arial"/>
                          <w:b/>
                          <w:color w:val="FFFFFF" w:themeColor="background1"/>
                          <w:szCs w:val="24"/>
                          <w:shd w:val="clear" w:color="auto" w:fill="365F91" w:themeFill="accent1" w:themeFillShade="BF"/>
                          <w:lang w:val="pt-BR"/>
                        </w:rPr>
                        <w:t xml:space="preserve"> </w:t>
                      </w:r>
                      <w:proofErr w:type="spellStart"/>
                      <w:r>
                        <w:rPr>
                          <w:rFonts w:cs="Arial"/>
                          <w:b/>
                          <w:color w:val="FFFFFF" w:themeColor="background1"/>
                          <w:szCs w:val="24"/>
                          <w:shd w:val="clear" w:color="auto" w:fill="365F91" w:themeFill="accent1" w:themeFillShade="BF"/>
                          <w:lang w:val="pt-BR"/>
                        </w:rPr>
                        <w:t>julio</w:t>
                      </w:r>
                      <w:proofErr w:type="spellEnd"/>
                      <w:r>
                        <w:rPr>
                          <w:rFonts w:cs="Arial"/>
                          <w:b/>
                          <w:color w:val="FFFFFF" w:themeColor="background1"/>
                          <w:szCs w:val="24"/>
                          <w:shd w:val="clear" w:color="auto" w:fill="365F91" w:themeFill="accent1" w:themeFillShade="BF"/>
                          <w:lang w:val="pt-BR"/>
                        </w:rPr>
                        <w:t xml:space="preserve"> </w:t>
                      </w:r>
                      <w:proofErr w:type="spellStart"/>
                      <w:r>
                        <w:rPr>
                          <w:rFonts w:cs="Arial"/>
                          <w:b/>
                          <w:color w:val="FFFFFF" w:themeColor="background1"/>
                          <w:szCs w:val="24"/>
                          <w:shd w:val="clear" w:color="auto" w:fill="365F91" w:themeFill="accent1" w:themeFillShade="BF"/>
                          <w:lang w:val="pt-BR"/>
                        </w:rPr>
                        <w:t>bril</w:t>
                      </w:r>
                      <w:r w:rsidRPr="007E0E09">
                        <w:rPr>
                          <w:rFonts w:cs="Arial"/>
                          <w:b/>
                          <w:color w:val="FFFFFF" w:themeColor="background1"/>
                          <w:szCs w:val="24"/>
                          <w:shd w:val="clear" w:color="auto" w:fill="365F91" w:themeFill="accent1" w:themeFillShade="BF"/>
                          <w:lang w:val="pt-BR"/>
                        </w:rPr>
                        <w:t>SEPTIEMBREsto</w:t>
                      </w:r>
                      <w:proofErr w:type="spellEnd"/>
                      <w:r w:rsidRPr="007E0E09">
                        <w:rPr>
                          <w:rFonts w:cs="Arial"/>
                          <w:b/>
                          <w:color w:val="FFFFFF" w:themeColor="background1"/>
                          <w:szCs w:val="24"/>
                          <w:shd w:val="clear" w:color="auto" w:fill="365F91" w:themeFill="accent1" w:themeFillShade="BF"/>
                          <w:lang w:val="pt-BR"/>
                        </w:rPr>
                        <w:t xml:space="preserve">   </w:t>
                      </w:r>
                    </w:p>
                  </w:txbxContent>
                </v:textbox>
                <w10:wrap type="square"/>
              </v:shape>
            </w:pict>
          </mc:Fallback>
        </mc:AlternateContent>
      </w:r>
    </w:p>
    <w:p w14:paraId="38FB71D8" w14:textId="77777777" w:rsidR="008A7F38" w:rsidRDefault="008A7F38" w:rsidP="008A7F38">
      <w:pPr>
        <w:pStyle w:val="Ttulo2"/>
        <w:spacing w:before="0" w:after="100" w:afterAutospacing="1"/>
        <w:rPr>
          <w:color w:val="auto"/>
        </w:rPr>
      </w:pPr>
    </w:p>
    <w:p w14:paraId="214B3ABF" w14:textId="77777777" w:rsidR="008A7F38" w:rsidRDefault="008A7F38" w:rsidP="008A7F38">
      <w:pPr>
        <w:pStyle w:val="Ttulo2"/>
        <w:spacing w:before="0"/>
        <w:ind w:left="142" w:right="193"/>
        <w:rPr>
          <w:color w:val="auto"/>
        </w:rPr>
      </w:pPr>
      <w:r w:rsidRPr="00265677">
        <w:rPr>
          <w:color w:val="auto"/>
        </w:rPr>
        <w:t>ESTIMACIÓN</w:t>
      </w:r>
      <w:r w:rsidRPr="00B834C7">
        <w:rPr>
          <w:color w:val="auto"/>
        </w:rPr>
        <w:t xml:space="preserve"> OPORTUNA DEL</w:t>
      </w:r>
      <w:r>
        <w:rPr>
          <w:color w:val="auto"/>
        </w:rPr>
        <w:t xml:space="preserve"> </w:t>
      </w:r>
    </w:p>
    <w:p w14:paraId="5E196B9B" w14:textId="77777777" w:rsidR="008A7F38" w:rsidRDefault="008A7F38" w:rsidP="008A7F38">
      <w:pPr>
        <w:pStyle w:val="Ttulo2"/>
        <w:spacing w:before="0"/>
        <w:ind w:left="142" w:right="193"/>
        <w:rPr>
          <w:color w:val="auto"/>
        </w:rPr>
      </w:pPr>
      <w:r w:rsidRPr="00B834C7">
        <w:rPr>
          <w:color w:val="auto"/>
        </w:rPr>
        <w:t>PRODUCTO INTERNO BRUTO</w:t>
      </w:r>
      <w:r w:rsidRPr="008A55A1">
        <w:rPr>
          <w:rStyle w:val="Refdenotaalpie"/>
          <w:b/>
          <w:sz w:val="28"/>
        </w:rPr>
        <w:footnoteReference w:id="1"/>
      </w:r>
      <w:r w:rsidRPr="00B834C7">
        <w:rPr>
          <w:color w:val="auto"/>
        </w:rPr>
        <w:t xml:space="preserve"> EN MÉXICO</w:t>
      </w:r>
      <w:r>
        <w:rPr>
          <w:color w:val="auto"/>
        </w:rPr>
        <w:t xml:space="preserve"> </w:t>
      </w:r>
    </w:p>
    <w:p w14:paraId="1041F852" w14:textId="77777777" w:rsidR="008A7F38" w:rsidRPr="00ED037B" w:rsidRDefault="008A7F38" w:rsidP="008A7F38">
      <w:pPr>
        <w:pStyle w:val="Ttulo2"/>
        <w:spacing w:before="0"/>
        <w:ind w:left="142" w:right="193"/>
        <w:rPr>
          <w:color w:val="auto"/>
          <w:szCs w:val="28"/>
        </w:rPr>
      </w:pPr>
      <w:r w:rsidRPr="00B834C7">
        <w:rPr>
          <w:color w:val="auto"/>
        </w:rPr>
        <w:t xml:space="preserve">DURANTE EL </w:t>
      </w:r>
      <w:r>
        <w:rPr>
          <w:color w:val="auto"/>
        </w:rPr>
        <w:t>PRIMER</w:t>
      </w:r>
      <w:r w:rsidRPr="00B834C7">
        <w:rPr>
          <w:color w:val="auto"/>
        </w:rPr>
        <w:t xml:space="preserve"> </w:t>
      </w:r>
      <w:r>
        <w:rPr>
          <w:color w:val="auto"/>
        </w:rPr>
        <w:t>TRIMESTRE DE 2020</w:t>
      </w:r>
    </w:p>
    <w:p w14:paraId="4DE0218D" w14:textId="77777777" w:rsidR="008A7F38" w:rsidRPr="00190737" w:rsidRDefault="008A7F38" w:rsidP="008A7F38">
      <w:pPr>
        <w:ind w:left="142" w:right="193"/>
        <w:jc w:val="center"/>
        <w:rPr>
          <w:b/>
          <w:i/>
          <w:szCs w:val="24"/>
        </w:rPr>
      </w:pPr>
      <w:r w:rsidRPr="00190737">
        <w:rPr>
          <w:b/>
          <w:i/>
          <w:szCs w:val="24"/>
        </w:rPr>
        <w:t>(Cifras desestacionalizadas)</w:t>
      </w:r>
    </w:p>
    <w:p w14:paraId="2A740E2B" w14:textId="77777777" w:rsidR="008A7F38" w:rsidRPr="007703D8" w:rsidRDefault="008A7F38" w:rsidP="008A7F38">
      <w:pPr>
        <w:pStyle w:val="bullet"/>
        <w:numPr>
          <w:ilvl w:val="0"/>
          <w:numId w:val="0"/>
        </w:numPr>
        <w:spacing w:before="100" w:beforeAutospacing="1"/>
        <w:ind w:left="-284" w:right="-283"/>
        <w:rPr>
          <w:b w:val="0"/>
          <w:bCs/>
          <w:color w:val="auto"/>
          <w:sz w:val="24"/>
          <w:szCs w:val="24"/>
        </w:rPr>
      </w:pPr>
      <w:r w:rsidRPr="007703D8">
        <w:rPr>
          <w:b w:val="0"/>
          <w:bCs/>
          <w:color w:val="auto"/>
          <w:sz w:val="24"/>
          <w:szCs w:val="24"/>
        </w:rPr>
        <w:t>El INEGI presenta los resultados de la Estimación Oportuna del Producto Interno Bruto (PIB) Trimestral</w:t>
      </w:r>
      <w:r w:rsidRPr="007703D8">
        <w:rPr>
          <w:rStyle w:val="Refdenotaalpie"/>
          <w:b/>
          <w:bCs/>
          <w:color w:val="000000" w:themeColor="text1"/>
          <w:sz w:val="24"/>
          <w:szCs w:val="24"/>
        </w:rPr>
        <w:footnoteReference w:id="2"/>
      </w:r>
      <w:r w:rsidRPr="007703D8">
        <w:rPr>
          <w:b w:val="0"/>
          <w:bCs/>
          <w:color w:val="auto"/>
          <w:sz w:val="24"/>
          <w:szCs w:val="24"/>
        </w:rPr>
        <w:t>, los cuales señalan que éste disminuyó (-)1.6% en términos reales en el trimestre enero-marzo de 2020 frente al trimestre previo, con cifras ajustadas por estacionalidad</w:t>
      </w:r>
      <w:r w:rsidRPr="007703D8">
        <w:rPr>
          <w:rStyle w:val="Refdenotaalpie"/>
          <w:b/>
          <w:bCs/>
          <w:color w:val="000000" w:themeColor="text1"/>
          <w:sz w:val="24"/>
          <w:szCs w:val="24"/>
        </w:rPr>
        <w:footnoteReference w:id="3"/>
      </w:r>
      <w:r w:rsidRPr="007703D8">
        <w:rPr>
          <w:b w:val="0"/>
          <w:bCs/>
          <w:color w:val="auto"/>
          <w:sz w:val="24"/>
          <w:szCs w:val="24"/>
        </w:rPr>
        <w:t xml:space="preserve">. </w:t>
      </w:r>
    </w:p>
    <w:p w14:paraId="41504955" w14:textId="77777777" w:rsidR="008A7F38" w:rsidRPr="007703D8" w:rsidRDefault="008A7F38" w:rsidP="008A7F38">
      <w:pPr>
        <w:pStyle w:val="bullet"/>
        <w:numPr>
          <w:ilvl w:val="0"/>
          <w:numId w:val="0"/>
        </w:numPr>
        <w:ind w:left="-284" w:right="-283"/>
        <w:rPr>
          <w:b w:val="0"/>
          <w:bCs/>
          <w:color w:val="auto"/>
          <w:sz w:val="24"/>
          <w:szCs w:val="24"/>
        </w:rPr>
      </w:pPr>
      <w:r w:rsidRPr="007703D8">
        <w:rPr>
          <w:b w:val="0"/>
          <w:bCs/>
          <w:color w:val="auto"/>
          <w:sz w:val="24"/>
          <w:szCs w:val="24"/>
        </w:rPr>
        <w:t xml:space="preserve">Por componentes, el PIB de las Actividades Secundarias y Terciarias descendió (-)1.4% de manera individual, mientras que el de las Actividades Primarias aumentó 0.5% en el primer trimestre de 2020 con relación al trimestre precedente. </w:t>
      </w:r>
    </w:p>
    <w:p w14:paraId="401A272F" w14:textId="77777777" w:rsidR="008A7F38" w:rsidRDefault="008A7F38" w:rsidP="008A7F38">
      <w:pPr>
        <w:pStyle w:val="Textoindependiente"/>
        <w:spacing w:before="120"/>
        <w:ind w:left="360" w:right="51"/>
        <w:jc w:val="center"/>
        <w:rPr>
          <w:b/>
          <w:smallCaps/>
          <w:sz w:val="21"/>
          <w:szCs w:val="21"/>
        </w:rPr>
      </w:pPr>
    </w:p>
    <w:p w14:paraId="465DFFBB" w14:textId="77777777" w:rsidR="008A7F38" w:rsidRPr="00EA3CFD" w:rsidRDefault="008A7F38" w:rsidP="008A7F38">
      <w:pPr>
        <w:pStyle w:val="Textoindependiente"/>
        <w:jc w:val="center"/>
        <w:rPr>
          <w:b/>
          <w:smallCaps/>
          <w:sz w:val="21"/>
          <w:szCs w:val="21"/>
        </w:rPr>
      </w:pPr>
      <w:r w:rsidRPr="00EA3CFD">
        <w:rPr>
          <w:b/>
          <w:smallCaps/>
          <w:sz w:val="21"/>
          <w:szCs w:val="21"/>
        </w:rPr>
        <w:t xml:space="preserve">Estimación Oportuna del Producto Interno Bruto </w:t>
      </w:r>
    </w:p>
    <w:p w14:paraId="1F28719E" w14:textId="77777777" w:rsidR="008A7F38" w:rsidRPr="00A0204E" w:rsidRDefault="008A7F38" w:rsidP="008A7F38">
      <w:pPr>
        <w:pStyle w:val="Textoindependiente"/>
        <w:jc w:val="center"/>
        <w:rPr>
          <w:b/>
          <w:smallCaps/>
          <w:sz w:val="21"/>
          <w:szCs w:val="21"/>
        </w:rPr>
      </w:pPr>
      <w:r>
        <w:rPr>
          <w:b/>
          <w:smallCaps/>
          <w:sz w:val="21"/>
          <w:szCs w:val="21"/>
        </w:rPr>
        <w:t>durante el</w:t>
      </w:r>
      <w:r w:rsidRPr="00A0204E">
        <w:rPr>
          <w:b/>
          <w:smallCaps/>
          <w:sz w:val="21"/>
          <w:szCs w:val="21"/>
        </w:rPr>
        <w:t xml:space="preserve"> </w:t>
      </w:r>
      <w:r>
        <w:rPr>
          <w:b/>
          <w:smallCaps/>
          <w:sz w:val="21"/>
          <w:szCs w:val="21"/>
        </w:rPr>
        <w:t>primer trimestre de 2020</w:t>
      </w:r>
    </w:p>
    <w:p w14:paraId="6D9B7537" w14:textId="77777777" w:rsidR="008A7F38" w:rsidRDefault="008A7F38" w:rsidP="008A7F38">
      <w:pPr>
        <w:pStyle w:val="Textoindependiente"/>
        <w:jc w:val="center"/>
        <w:rPr>
          <w:rFonts w:cs="Arial"/>
          <w:b/>
          <w:smallCaps/>
          <w:color w:val="auto"/>
          <w:sz w:val="22"/>
          <w:szCs w:val="22"/>
        </w:rPr>
      </w:pPr>
      <w:r w:rsidRPr="00A0204E">
        <w:rPr>
          <w:b/>
          <w:smallCaps/>
          <w:sz w:val="21"/>
          <w:szCs w:val="21"/>
        </w:rPr>
        <w:t>Cifras desestacionalizadas por actividades económicas</w:t>
      </w:r>
      <w:r w:rsidRPr="00A0204E">
        <w:rPr>
          <w:b/>
          <w:smallCaps/>
          <w:sz w:val="20"/>
          <w:szCs w:val="22"/>
        </w:rPr>
        <w:t xml:space="preserve"> </w:t>
      </w:r>
    </w:p>
    <w:tbl>
      <w:tblPr>
        <w:tblW w:w="5797" w:type="dxa"/>
        <w:jc w:val="center"/>
        <w:tblCellMar>
          <w:left w:w="70" w:type="dxa"/>
          <w:right w:w="70" w:type="dxa"/>
        </w:tblCellMar>
        <w:tblLook w:val="04A0" w:firstRow="1" w:lastRow="0" w:firstColumn="1" w:lastColumn="0" w:noHBand="0" w:noVBand="1"/>
      </w:tblPr>
      <w:tblGrid>
        <w:gridCol w:w="2365"/>
        <w:gridCol w:w="1731"/>
        <w:gridCol w:w="1701"/>
      </w:tblGrid>
      <w:tr w:rsidR="008A7F38" w:rsidRPr="004B5894" w14:paraId="5B03749B" w14:textId="77777777" w:rsidTr="000E2D32">
        <w:trPr>
          <w:trHeight w:val="630"/>
          <w:jc w:val="center"/>
        </w:trPr>
        <w:tc>
          <w:tcPr>
            <w:tcW w:w="2365"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hideMark/>
          </w:tcPr>
          <w:p w14:paraId="7FECAF5F" w14:textId="77777777" w:rsidR="008A7F38" w:rsidRPr="00294709" w:rsidRDefault="008A7F38" w:rsidP="000E2D32">
            <w:pPr>
              <w:widowControl/>
              <w:ind w:left="-85"/>
              <w:jc w:val="center"/>
              <w:rPr>
                <w:rFonts w:cs="Arial"/>
                <w:b/>
                <w:bCs/>
                <w:snapToGrid/>
                <w:sz w:val="16"/>
                <w:lang w:val="es-MX" w:eastAsia="es-MX"/>
              </w:rPr>
            </w:pPr>
            <w:r w:rsidRPr="00294709">
              <w:rPr>
                <w:rFonts w:cs="Arial"/>
                <w:b/>
                <w:bCs/>
                <w:snapToGrid/>
                <w:sz w:val="16"/>
                <w:lang w:val="es-MX" w:eastAsia="es-MX"/>
              </w:rPr>
              <w:t>Concepto</w:t>
            </w:r>
          </w:p>
        </w:tc>
        <w:tc>
          <w:tcPr>
            <w:tcW w:w="1731"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hideMark/>
          </w:tcPr>
          <w:p w14:paraId="3610BB09" w14:textId="77777777" w:rsidR="008A7F38" w:rsidRPr="00294709" w:rsidRDefault="008A7F38" w:rsidP="000E2D32">
            <w:pPr>
              <w:widowControl/>
              <w:jc w:val="center"/>
              <w:rPr>
                <w:rFonts w:cs="Arial"/>
                <w:b/>
                <w:bCs/>
                <w:snapToGrid/>
                <w:sz w:val="16"/>
                <w:lang w:val="es-MX" w:eastAsia="es-MX"/>
              </w:rPr>
            </w:pPr>
            <w:r w:rsidRPr="00294709">
              <w:rPr>
                <w:rFonts w:cs="Arial"/>
                <w:b/>
                <w:bCs/>
                <w:snapToGrid/>
                <w:sz w:val="16"/>
                <w:lang w:val="es-MX" w:eastAsia="es-MX"/>
              </w:rPr>
              <w:t xml:space="preserve">Variación % real respecto al trimestre previo </w:t>
            </w:r>
          </w:p>
        </w:tc>
        <w:tc>
          <w:tcPr>
            <w:tcW w:w="1701"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hideMark/>
          </w:tcPr>
          <w:p w14:paraId="3AE414EC" w14:textId="77777777" w:rsidR="008A7F38" w:rsidRPr="00294709" w:rsidRDefault="008A7F38" w:rsidP="000E2D32">
            <w:pPr>
              <w:widowControl/>
              <w:jc w:val="center"/>
              <w:rPr>
                <w:rFonts w:cs="Arial"/>
                <w:b/>
                <w:bCs/>
                <w:snapToGrid/>
                <w:sz w:val="16"/>
                <w:lang w:val="es-MX" w:eastAsia="es-MX"/>
              </w:rPr>
            </w:pPr>
            <w:r w:rsidRPr="00294709">
              <w:rPr>
                <w:rFonts w:cs="Arial"/>
                <w:b/>
                <w:bCs/>
                <w:snapToGrid/>
                <w:sz w:val="16"/>
                <w:lang w:val="es-MX" w:eastAsia="es-MX"/>
              </w:rPr>
              <w:t>Variación % real respecto a igual trimestre de 201</w:t>
            </w:r>
            <w:r>
              <w:rPr>
                <w:rFonts w:cs="Arial"/>
                <w:b/>
                <w:bCs/>
                <w:snapToGrid/>
                <w:sz w:val="16"/>
                <w:lang w:val="es-MX" w:eastAsia="es-MX"/>
              </w:rPr>
              <w:t>9</w:t>
            </w:r>
          </w:p>
        </w:tc>
      </w:tr>
      <w:tr w:rsidR="008A7F38" w:rsidRPr="004B5894" w14:paraId="70561964" w14:textId="77777777" w:rsidTr="000E2D32">
        <w:trPr>
          <w:trHeight w:val="255"/>
          <w:jc w:val="center"/>
        </w:trPr>
        <w:tc>
          <w:tcPr>
            <w:tcW w:w="2365" w:type="dxa"/>
            <w:tcBorders>
              <w:top w:val="double" w:sz="4" w:space="0" w:color="auto"/>
              <w:left w:val="double" w:sz="4" w:space="0" w:color="auto"/>
              <w:bottom w:val="nil"/>
              <w:right w:val="double" w:sz="4" w:space="0" w:color="auto"/>
            </w:tcBorders>
            <w:shd w:val="clear" w:color="auto" w:fill="auto"/>
            <w:vAlign w:val="center"/>
            <w:hideMark/>
          </w:tcPr>
          <w:p w14:paraId="2E9D341A" w14:textId="77777777" w:rsidR="008A7F38" w:rsidRPr="00294709" w:rsidRDefault="008A7F38" w:rsidP="000E2D32">
            <w:pPr>
              <w:widowControl/>
              <w:rPr>
                <w:rFonts w:cs="Arial"/>
                <w:b/>
                <w:bCs/>
                <w:snapToGrid/>
                <w:color w:val="000000"/>
                <w:sz w:val="16"/>
                <w:lang w:val="es-MX" w:eastAsia="es-MX"/>
              </w:rPr>
            </w:pPr>
            <w:r w:rsidRPr="00294709">
              <w:rPr>
                <w:rFonts w:cs="Arial"/>
                <w:b/>
                <w:bCs/>
                <w:snapToGrid/>
                <w:color w:val="000000"/>
                <w:sz w:val="16"/>
                <w:lang w:val="es-MX" w:eastAsia="es-MX"/>
              </w:rPr>
              <w:t xml:space="preserve">PIB Total </w:t>
            </w:r>
          </w:p>
        </w:tc>
        <w:tc>
          <w:tcPr>
            <w:tcW w:w="1731" w:type="dxa"/>
            <w:tcBorders>
              <w:top w:val="double" w:sz="4" w:space="0" w:color="auto"/>
              <w:left w:val="double" w:sz="4" w:space="0" w:color="auto"/>
              <w:bottom w:val="nil"/>
              <w:right w:val="double" w:sz="4" w:space="0" w:color="auto"/>
            </w:tcBorders>
            <w:shd w:val="clear" w:color="auto" w:fill="auto"/>
            <w:vAlign w:val="center"/>
            <w:hideMark/>
          </w:tcPr>
          <w:p w14:paraId="5FE4A275" w14:textId="77777777" w:rsidR="008A7F38" w:rsidRPr="000D53AE" w:rsidRDefault="008A7F38" w:rsidP="000E2D32">
            <w:pPr>
              <w:widowControl/>
              <w:ind w:right="680"/>
              <w:jc w:val="right"/>
              <w:rPr>
                <w:rFonts w:cs="Arial"/>
                <w:b/>
                <w:snapToGrid/>
                <w:color w:val="000000"/>
                <w:sz w:val="18"/>
                <w:szCs w:val="15"/>
                <w:lang w:val="es-MX" w:eastAsia="es-MX"/>
              </w:rPr>
            </w:pPr>
            <w:r>
              <w:rPr>
                <w:rFonts w:cs="Arial"/>
                <w:b/>
                <w:snapToGrid/>
                <w:color w:val="000000"/>
                <w:sz w:val="18"/>
                <w:szCs w:val="15"/>
                <w:lang w:val="es-MX" w:eastAsia="es-MX"/>
              </w:rPr>
              <w:t>(-) 1.6</w:t>
            </w:r>
          </w:p>
        </w:tc>
        <w:tc>
          <w:tcPr>
            <w:tcW w:w="1701" w:type="dxa"/>
            <w:tcBorders>
              <w:top w:val="double" w:sz="4" w:space="0" w:color="auto"/>
              <w:left w:val="double" w:sz="4" w:space="0" w:color="auto"/>
              <w:bottom w:val="nil"/>
              <w:right w:val="double" w:sz="4" w:space="0" w:color="auto"/>
            </w:tcBorders>
            <w:shd w:val="clear" w:color="auto" w:fill="auto"/>
            <w:vAlign w:val="center"/>
            <w:hideMark/>
          </w:tcPr>
          <w:p w14:paraId="61395A9D" w14:textId="77777777" w:rsidR="008A7F38" w:rsidRPr="000D53AE" w:rsidRDefault="008A7F38" w:rsidP="000E2D32">
            <w:pPr>
              <w:widowControl/>
              <w:ind w:right="680"/>
              <w:jc w:val="right"/>
              <w:rPr>
                <w:rFonts w:cs="Arial"/>
                <w:b/>
                <w:snapToGrid/>
                <w:color w:val="000000"/>
                <w:sz w:val="18"/>
                <w:szCs w:val="15"/>
                <w:lang w:val="es-MX" w:eastAsia="es-MX"/>
              </w:rPr>
            </w:pPr>
            <w:r w:rsidRPr="000D53AE">
              <w:rPr>
                <w:rFonts w:cs="Arial"/>
                <w:b/>
                <w:snapToGrid/>
                <w:color w:val="000000"/>
                <w:sz w:val="18"/>
                <w:szCs w:val="15"/>
                <w:lang w:val="es-MX" w:eastAsia="es-MX"/>
              </w:rPr>
              <w:t xml:space="preserve">(-) </w:t>
            </w:r>
            <w:r>
              <w:rPr>
                <w:rFonts w:cs="Arial"/>
                <w:b/>
                <w:snapToGrid/>
                <w:color w:val="000000"/>
                <w:sz w:val="18"/>
                <w:szCs w:val="15"/>
                <w:lang w:val="es-MX" w:eastAsia="es-MX"/>
              </w:rPr>
              <w:t>2.4</w:t>
            </w:r>
          </w:p>
        </w:tc>
      </w:tr>
      <w:tr w:rsidR="008A7F38" w:rsidRPr="004B5894" w14:paraId="73217290" w14:textId="77777777" w:rsidTr="000E2D32">
        <w:trPr>
          <w:trHeight w:val="300"/>
          <w:jc w:val="center"/>
        </w:trPr>
        <w:tc>
          <w:tcPr>
            <w:tcW w:w="2365" w:type="dxa"/>
            <w:tcBorders>
              <w:top w:val="nil"/>
              <w:left w:val="double" w:sz="4" w:space="0" w:color="auto"/>
              <w:bottom w:val="nil"/>
              <w:right w:val="double" w:sz="4" w:space="0" w:color="auto"/>
            </w:tcBorders>
            <w:shd w:val="clear" w:color="auto" w:fill="auto"/>
            <w:vAlign w:val="center"/>
            <w:hideMark/>
          </w:tcPr>
          <w:p w14:paraId="321901CC" w14:textId="77777777" w:rsidR="008A7F38" w:rsidRPr="00294709" w:rsidRDefault="008A7F38" w:rsidP="000E2D32">
            <w:pPr>
              <w:widowControl/>
              <w:rPr>
                <w:rFonts w:cs="Arial"/>
                <w:snapToGrid/>
                <w:color w:val="000000"/>
                <w:sz w:val="16"/>
                <w:lang w:val="es-MX" w:eastAsia="es-MX"/>
              </w:rPr>
            </w:pPr>
            <w:r w:rsidRPr="00294709">
              <w:rPr>
                <w:rFonts w:cs="Arial"/>
                <w:snapToGrid/>
                <w:color w:val="000000"/>
                <w:sz w:val="16"/>
                <w:lang w:val="es-MX" w:eastAsia="es-MX"/>
              </w:rPr>
              <w:t xml:space="preserve">     Actividades Primarias </w:t>
            </w:r>
          </w:p>
        </w:tc>
        <w:tc>
          <w:tcPr>
            <w:tcW w:w="1731" w:type="dxa"/>
            <w:tcBorders>
              <w:top w:val="nil"/>
              <w:left w:val="double" w:sz="4" w:space="0" w:color="auto"/>
              <w:bottom w:val="nil"/>
              <w:right w:val="double" w:sz="4" w:space="0" w:color="auto"/>
            </w:tcBorders>
            <w:shd w:val="clear" w:color="auto" w:fill="auto"/>
            <w:vAlign w:val="center"/>
            <w:hideMark/>
          </w:tcPr>
          <w:p w14:paraId="0466BB51" w14:textId="77777777" w:rsidR="008A7F38" w:rsidRPr="000D53AE" w:rsidRDefault="008A7F38" w:rsidP="000E2D32">
            <w:pPr>
              <w:widowControl/>
              <w:ind w:right="680"/>
              <w:jc w:val="right"/>
              <w:rPr>
                <w:rFonts w:cs="Arial"/>
                <w:snapToGrid/>
                <w:color w:val="000000"/>
                <w:sz w:val="18"/>
                <w:szCs w:val="15"/>
                <w:lang w:val="es-MX" w:eastAsia="es-MX"/>
              </w:rPr>
            </w:pPr>
            <w:r>
              <w:rPr>
                <w:rFonts w:cs="Arial"/>
                <w:snapToGrid/>
                <w:color w:val="000000"/>
                <w:sz w:val="18"/>
                <w:szCs w:val="15"/>
                <w:lang w:val="es-MX" w:eastAsia="es-MX"/>
              </w:rPr>
              <w:t>0.5</w:t>
            </w:r>
          </w:p>
        </w:tc>
        <w:tc>
          <w:tcPr>
            <w:tcW w:w="1701" w:type="dxa"/>
            <w:tcBorders>
              <w:top w:val="nil"/>
              <w:left w:val="double" w:sz="4" w:space="0" w:color="auto"/>
              <w:bottom w:val="nil"/>
              <w:right w:val="double" w:sz="4" w:space="0" w:color="auto"/>
            </w:tcBorders>
            <w:shd w:val="clear" w:color="auto" w:fill="auto"/>
            <w:vAlign w:val="center"/>
            <w:hideMark/>
          </w:tcPr>
          <w:p w14:paraId="742CBB7C" w14:textId="77777777" w:rsidR="008A7F38" w:rsidRPr="000D53AE" w:rsidRDefault="008A7F38" w:rsidP="000E2D32">
            <w:pPr>
              <w:widowControl/>
              <w:ind w:right="680"/>
              <w:jc w:val="right"/>
              <w:rPr>
                <w:rFonts w:cs="Arial"/>
                <w:snapToGrid/>
                <w:color w:val="000000"/>
                <w:sz w:val="18"/>
                <w:szCs w:val="15"/>
                <w:lang w:val="es-MX" w:eastAsia="es-MX"/>
              </w:rPr>
            </w:pPr>
            <w:r>
              <w:rPr>
                <w:rFonts w:cs="Arial"/>
                <w:snapToGrid/>
                <w:color w:val="000000"/>
                <w:sz w:val="18"/>
                <w:szCs w:val="15"/>
                <w:lang w:val="es-MX" w:eastAsia="es-MX"/>
              </w:rPr>
              <w:t>1.2</w:t>
            </w:r>
          </w:p>
        </w:tc>
      </w:tr>
      <w:tr w:rsidR="008A7F38" w:rsidRPr="004B5894" w14:paraId="183335F6" w14:textId="77777777" w:rsidTr="000E2D32">
        <w:trPr>
          <w:trHeight w:val="300"/>
          <w:jc w:val="center"/>
        </w:trPr>
        <w:tc>
          <w:tcPr>
            <w:tcW w:w="2365" w:type="dxa"/>
            <w:tcBorders>
              <w:top w:val="nil"/>
              <w:left w:val="double" w:sz="4" w:space="0" w:color="auto"/>
              <w:bottom w:val="nil"/>
              <w:right w:val="double" w:sz="4" w:space="0" w:color="auto"/>
            </w:tcBorders>
            <w:shd w:val="clear" w:color="auto" w:fill="auto"/>
            <w:vAlign w:val="center"/>
            <w:hideMark/>
          </w:tcPr>
          <w:p w14:paraId="6534FB84" w14:textId="77777777" w:rsidR="008A7F38" w:rsidRPr="00294709" w:rsidRDefault="008A7F38" w:rsidP="000E2D32">
            <w:pPr>
              <w:widowControl/>
              <w:rPr>
                <w:rFonts w:cs="Arial"/>
                <w:snapToGrid/>
                <w:color w:val="000000"/>
                <w:sz w:val="16"/>
                <w:lang w:val="es-MX" w:eastAsia="es-MX"/>
              </w:rPr>
            </w:pPr>
            <w:r w:rsidRPr="00294709">
              <w:rPr>
                <w:rFonts w:cs="Arial"/>
                <w:snapToGrid/>
                <w:color w:val="000000"/>
                <w:sz w:val="16"/>
                <w:lang w:val="es-MX" w:eastAsia="es-MX"/>
              </w:rPr>
              <w:t xml:space="preserve">     Actividades Secundarias </w:t>
            </w:r>
          </w:p>
        </w:tc>
        <w:tc>
          <w:tcPr>
            <w:tcW w:w="1731" w:type="dxa"/>
            <w:tcBorders>
              <w:top w:val="nil"/>
              <w:left w:val="double" w:sz="4" w:space="0" w:color="auto"/>
              <w:bottom w:val="nil"/>
              <w:right w:val="double" w:sz="4" w:space="0" w:color="auto"/>
            </w:tcBorders>
            <w:shd w:val="clear" w:color="auto" w:fill="auto"/>
            <w:vAlign w:val="center"/>
            <w:hideMark/>
          </w:tcPr>
          <w:p w14:paraId="3CA1E4E0" w14:textId="77777777" w:rsidR="008A7F38" w:rsidRPr="000D53AE" w:rsidRDefault="008A7F38" w:rsidP="000E2D32">
            <w:pPr>
              <w:widowControl/>
              <w:ind w:right="680"/>
              <w:jc w:val="right"/>
              <w:rPr>
                <w:rFonts w:cs="Arial"/>
                <w:snapToGrid/>
                <w:color w:val="000000"/>
                <w:sz w:val="18"/>
                <w:szCs w:val="15"/>
                <w:lang w:val="es-MX" w:eastAsia="es-MX"/>
              </w:rPr>
            </w:pPr>
            <w:r w:rsidRPr="000D53AE">
              <w:rPr>
                <w:rFonts w:cs="Arial"/>
                <w:snapToGrid/>
                <w:color w:val="000000"/>
                <w:sz w:val="18"/>
                <w:szCs w:val="15"/>
                <w:lang w:val="es-MX" w:eastAsia="es-MX"/>
              </w:rPr>
              <w:t xml:space="preserve">(-) </w:t>
            </w:r>
            <w:r>
              <w:rPr>
                <w:rFonts w:cs="Arial"/>
                <w:snapToGrid/>
                <w:color w:val="000000"/>
                <w:sz w:val="18"/>
                <w:szCs w:val="15"/>
                <w:lang w:val="es-MX" w:eastAsia="es-MX"/>
              </w:rPr>
              <w:t>1.4</w:t>
            </w:r>
          </w:p>
        </w:tc>
        <w:tc>
          <w:tcPr>
            <w:tcW w:w="1701" w:type="dxa"/>
            <w:tcBorders>
              <w:top w:val="nil"/>
              <w:left w:val="double" w:sz="4" w:space="0" w:color="auto"/>
              <w:bottom w:val="nil"/>
              <w:right w:val="double" w:sz="4" w:space="0" w:color="auto"/>
            </w:tcBorders>
            <w:shd w:val="clear" w:color="auto" w:fill="auto"/>
            <w:vAlign w:val="center"/>
            <w:hideMark/>
          </w:tcPr>
          <w:p w14:paraId="29D62AC3" w14:textId="77777777" w:rsidR="008A7F38" w:rsidRPr="000D53AE" w:rsidRDefault="008A7F38" w:rsidP="000E2D32">
            <w:pPr>
              <w:widowControl/>
              <w:ind w:right="680"/>
              <w:jc w:val="right"/>
              <w:rPr>
                <w:rFonts w:cs="Arial"/>
                <w:snapToGrid/>
                <w:color w:val="000000"/>
                <w:sz w:val="18"/>
                <w:szCs w:val="15"/>
                <w:lang w:val="es-MX" w:eastAsia="es-MX"/>
              </w:rPr>
            </w:pPr>
            <w:r w:rsidRPr="000D53AE">
              <w:rPr>
                <w:rFonts w:cs="Arial"/>
                <w:snapToGrid/>
                <w:color w:val="000000"/>
                <w:sz w:val="18"/>
                <w:szCs w:val="15"/>
                <w:lang w:val="es-MX" w:eastAsia="es-MX"/>
              </w:rPr>
              <w:t xml:space="preserve">(-)  </w:t>
            </w:r>
            <w:r>
              <w:rPr>
                <w:rFonts w:cs="Arial"/>
                <w:snapToGrid/>
                <w:color w:val="000000"/>
                <w:sz w:val="18"/>
                <w:szCs w:val="15"/>
                <w:lang w:val="es-MX" w:eastAsia="es-MX"/>
              </w:rPr>
              <w:t>3.8</w:t>
            </w:r>
          </w:p>
        </w:tc>
      </w:tr>
      <w:tr w:rsidR="008A7F38" w:rsidRPr="004B5894" w14:paraId="28786556" w14:textId="77777777" w:rsidTr="000E2D32">
        <w:trPr>
          <w:trHeight w:val="300"/>
          <w:jc w:val="center"/>
        </w:trPr>
        <w:tc>
          <w:tcPr>
            <w:tcW w:w="2365" w:type="dxa"/>
            <w:tcBorders>
              <w:top w:val="nil"/>
              <w:left w:val="double" w:sz="4" w:space="0" w:color="auto"/>
              <w:bottom w:val="double" w:sz="4" w:space="0" w:color="auto"/>
              <w:right w:val="double" w:sz="4" w:space="0" w:color="auto"/>
            </w:tcBorders>
            <w:shd w:val="clear" w:color="auto" w:fill="auto"/>
            <w:vAlign w:val="center"/>
            <w:hideMark/>
          </w:tcPr>
          <w:p w14:paraId="7FA9DDE7" w14:textId="77777777" w:rsidR="008A7F38" w:rsidRPr="00294709" w:rsidRDefault="008A7F38" w:rsidP="000E2D32">
            <w:pPr>
              <w:widowControl/>
              <w:rPr>
                <w:rFonts w:cs="Arial"/>
                <w:snapToGrid/>
                <w:color w:val="000000"/>
                <w:sz w:val="16"/>
                <w:lang w:val="es-MX" w:eastAsia="es-MX"/>
              </w:rPr>
            </w:pPr>
            <w:r w:rsidRPr="00294709">
              <w:rPr>
                <w:rFonts w:cs="Arial"/>
                <w:snapToGrid/>
                <w:color w:val="000000"/>
                <w:sz w:val="16"/>
                <w:lang w:val="es-MX" w:eastAsia="es-MX"/>
              </w:rPr>
              <w:t xml:space="preserve">     Actividades Terciarias </w:t>
            </w:r>
          </w:p>
        </w:tc>
        <w:tc>
          <w:tcPr>
            <w:tcW w:w="1731" w:type="dxa"/>
            <w:tcBorders>
              <w:top w:val="nil"/>
              <w:left w:val="double" w:sz="4" w:space="0" w:color="auto"/>
              <w:bottom w:val="double" w:sz="4" w:space="0" w:color="auto"/>
              <w:right w:val="double" w:sz="4" w:space="0" w:color="auto"/>
            </w:tcBorders>
            <w:shd w:val="clear" w:color="auto" w:fill="auto"/>
            <w:vAlign w:val="center"/>
            <w:hideMark/>
          </w:tcPr>
          <w:p w14:paraId="32B2E852" w14:textId="77777777" w:rsidR="008A7F38" w:rsidRPr="000D53AE" w:rsidRDefault="008A7F38" w:rsidP="000E2D32">
            <w:pPr>
              <w:widowControl/>
              <w:ind w:right="680"/>
              <w:jc w:val="right"/>
              <w:rPr>
                <w:rFonts w:cs="Arial"/>
                <w:snapToGrid/>
                <w:color w:val="000000"/>
                <w:sz w:val="18"/>
                <w:szCs w:val="15"/>
                <w:lang w:val="es-MX" w:eastAsia="es-MX"/>
              </w:rPr>
            </w:pPr>
            <w:r>
              <w:rPr>
                <w:rFonts w:cs="Arial"/>
                <w:snapToGrid/>
                <w:color w:val="000000"/>
                <w:sz w:val="18"/>
                <w:szCs w:val="15"/>
                <w:lang w:val="es-MX" w:eastAsia="es-MX"/>
              </w:rPr>
              <w:t>(-) 1.4</w:t>
            </w:r>
          </w:p>
        </w:tc>
        <w:tc>
          <w:tcPr>
            <w:tcW w:w="1701" w:type="dxa"/>
            <w:tcBorders>
              <w:top w:val="nil"/>
              <w:left w:val="double" w:sz="4" w:space="0" w:color="auto"/>
              <w:bottom w:val="double" w:sz="4" w:space="0" w:color="auto"/>
              <w:right w:val="double" w:sz="4" w:space="0" w:color="auto"/>
            </w:tcBorders>
            <w:shd w:val="clear" w:color="auto" w:fill="auto"/>
            <w:vAlign w:val="center"/>
            <w:hideMark/>
          </w:tcPr>
          <w:p w14:paraId="14875FF1" w14:textId="77777777" w:rsidR="008A7F38" w:rsidRPr="000D53AE" w:rsidRDefault="008A7F38" w:rsidP="000E2D32">
            <w:pPr>
              <w:widowControl/>
              <w:ind w:right="680"/>
              <w:jc w:val="right"/>
              <w:rPr>
                <w:rFonts w:cs="Arial"/>
                <w:snapToGrid/>
                <w:color w:val="000000"/>
                <w:sz w:val="18"/>
                <w:szCs w:val="15"/>
                <w:lang w:val="es-MX" w:eastAsia="es-MX"/>
              </w:rPr>
            </w:pPr>
            <w:r>
              <w:rPr>
                <w:rFonts w:cs="Arial"/>
                <w:snapToGrid/>
                <w:color w:val="000000"/>
                <w:sz w:val="18"/>
                <w:szCs w:val="15"/>
                <w:lang w:val="es-MX" w:eastAsia="es-MX"/>
              </w:rPr>
              <w:t>(-)  1.4</w:t>
            </w:r>
          </w:p>
        </w:tc>
      </w:tr>
    </w:tbl>
    <w:p w14:paraId="2DD46458" w14:textId="77777777" w:rsidR="008A7F38" w:rsidRDefault="008A7F38" w:rsidP="008A7F38">
      <w:pPr>
        <w:pStyle w:val="bullet"/>
        <w:numPr>
          <w:ilvl w:val="0"/>
          <w:numId w:val="0"/>
        </w:numPr>
        <w:spacing w:before="0"/>
        <w:ind w:left="2127" w:right="1469" w:hanging="567"/>
        <w:rPr>
          <w:rFonts w:cs="Arial"/>
          <w:b w:val="0"/>
          <w:color w:val="000000" w:themeColor="text1"/>
          <w:sz w:val="16"/>
          <w:szCs w:val="16"/>
          <w:lang w:val="es-MX"/>
        </w:rPr>
      </w:pPr>
      <w:r w:rsidRPr="00A0204E">
        <w:rPr>
          <w:rFonts w:cs="Arial"/>
          <w:b w:val="0"/>
          <w:color w:val="000000" w:themeColor="text1"/>
          <w:sz w:val="16"/>
          <w:szCs w:val="16"/>
          <w:lang w:val="es-MX"/>
        </w:rPr>
        <w:t>Notas: Cifras Oportunas. La estimación oportuna no re</w:t>
      </w:r>
      <w:r>
        <w:rPr>
          <w:rFonts w:cs="Arial"/>
          <w:b w:val="0"/>
          <w:color w:val="000000" w:themeColor="text1"/>
          <w:sz w:val="16"/>
          <w:szCs w:val="16"/>
          <w:lang w:val="es-MX"/>
        </w:rPr>
        <w:t>e</w:t>
      </w:r>
      <w:r w:rsidRPr="00A0204E">
        <w:rPr>
          <w:rFonts w:cs="Arial"/>
          <w:b w:val="0"/>
          <w:color w:val="000000" w:themeColor="text1"/>
          <w:sz w:val="16"/>
          <w:szCs w:val="16"/>
          <w:lang w:val="es-MX"/>
        </w:rPr>
        <w:t>mplaza a la estimación</w:t>
      </w:r>
      <w:r>
        <w:rPr>
          <w:rFonts w:cs="Arial"/>
          <w:b w:val="0"/>
          <w:color w:val="000000" w:themeColor="text1"/>
          <w:sz w:val="16"/>
          <w:szCs w:val="16"/>
          <w:lang w:val="es-MX"/>
        </w:rPr>
        <w:t xml:space="preserve"> </w:t>
      </w:r>
      <w:r w:rsidRPr="00A0204E">
        <w:rPr>
          <w:rFonts w:cs="Arial"/>
          <w:b w:val="0"/>
          <w:color w:val="000000" w:themeColor="text1"/>
          <w:sz w:val="16"/>
          <w:szCs w:val="16"/>
          <w:lang w:val="es-MX"/>
        </w:rPr>
        <w:t>tradicional.</w:t>
      </w:r>
    </w:p>
    <w:p w14:paraId="481A3E1D" w14:textId="77777777" w:rsidR="008A7F38" w:rsidRDefault="008A7F38" w:rsidP="008A7F38">
      <w:pPr>
        <w:pStyle w:val="bullet"/>
        <w:numPr>
          <w:ilvl w:val="0"/>
          <w:numId w:val="0"/>
        </w:numPr>
        <w:spacing w:before="0"/>
        <w:ind w:left="2127" w:right="1610"/>
        <w:rPr>
          <w:rFonts w:cs="Arial"/>
          <w:b w:val="0"/>
          <w:color w:val="auto"/>
          <w:sz w:val="16"/>
        </w:rPr>
      </w:pPr>
      <w:r w:rsidRPr="009570BB">
        <w:rPr>
          <w:rFonts w:cs="Arial"/>
          <w:b w:val="0"/>
          <w:color w:val="auto"/>
          <w:sz w:val="16"/>
        </w:rPr>
        <w:t>La serie desestacionalizada de</w:t>
      </w:r>
      <w:r>
        <w:rPr>
          <w:rFonts w:cs="Arial"/>
          <w:b w:val="0"/>
          <w:color w:val="auto"/>
          <w:sz w:val="16"/>
        </w:rPr>
        <w:t>l</w:t>
      </w:r>
      <w:r w:rsidRPr="009570BB">
        <w:rPr>
          <w:rFonts w:cs="Arial"/>
          <w:b w:val="0"/>
          <w:color w:val="auto"/>
          <w:sz w:val="16"/>
        </w:rPr>
        <w:t xml:space="preserve"> </w:t>
      </w:r>
      <w:r>
        <w:rPr>
          <w:rFonts w:cs="Arial"/>
          <w:b w:val="0"/>
          <w:color w:val="auto"/>
          <w:sz w:val="16"/>
        </w:rPr>
        <w:t>agregado</w:t>
      </w:r>
      <w:r w:rsidRPr="009570BB">
        <w:rPr>
          <w:rFonts w:cs="Arial"/>
          <w:b w:val="0"/>
          <w:color w:val="auto"/>
          <w:sz w:val="16"/>
        </w:rPr>
        <w:t xml:space="preserve"> se calcula de manera independiente a la de sus</w:t>
      </w:r>
      <w:r>
        <w:rPr>
          <w:rFonts w:cs="Arial"/>
          <w:b w:val="0"/>
          <w:color w:val="auto"/>
          <w:sz w:val="16"/>
        </w:rPr>
        <w:t xml:space="preserve"> </w:t>
      </w:r>
      <w:r w:rsidRPr="009570BB">
        <w:rPr>
          <w:rFonts w:cs="Arial"/>
          <w:b w:val="0"/>
          <w:color w:val="auto"/>
          <w:sz w:val="16"/>
        </w:rPr>
        <w:t>componentes.</w:t>
      </w:r>
    </w:p>
    <w:p w14:paraId="31CDB694" w14:textId="77777777" w:rsidR="008A7F38" w:rsidRDefault="008A7F38" w:rsidP="008A7F38">
      <w:pPr>
        <w:widowControl/>
        <w:ind w:left="1560" w:right="1610"/>
        <w:jc w:val="both"/>
        <w:rPr>
          <w:rFonts w:cs="Arial"/>
          <w:color w:val="000000" w:themeColor="text1"/>
          <w:sz w:val="16"/>
          <w:szCs w:val="16"/>
        </w:rPr>
      </w:pPr>
      <w:r w:rsidRPr="004C5D14">
        <w:rPr>
          <w:rFonts w:cs="Arial"/>
          <w:color w:val="000000" w:themeColor="text1"/>
          <w:sz w:val="16"/>
          <w:szCs w:val="16"/>
        </w:rPr>
        <w:t>Fuente: INEGI.</w:t>
      </w:r>
    </w:p>
    <w:p w14:paraId="3BE20FA7" w14:textId="77777777" w:rsidR="008A7F38" w:rsidRPr="00F82026" w:rsidRDefault="008A7F38" w:rsidP="008A7F38">
      <w:pPr>
        <w:pStyle w:val="bullet"/>
        <w:numPr>
          <w:ilvl w:val="0"/>
          <w:numId w:val="0"/>
        </w:numPr>
        <w:spacing w:before="480" w:after="480"/>
        <w:ind w:left="-284" w:right="-283"/>
        <w:rPr>
          <w:b w:val="0"/>
          <w:bCs/>
          <w:color w:val="auto"/>
          <w:sz w:val="24"/>
          <w:szCs w:val="24"/>
        </w:rPr>
      </w:pPr>
      <w:r w:rsidRPr="00F82026">
        <w:rPr>
          <w:b w:val="0"/>
          <w:bCs/>
          <w:color w:val="auto"/>
          <w:sz w:val="24"/>
          <w:szCs w:val="24"/>
        </w:rPr>
        <w:t>En su comparación anual, la Estimación Oportuna del Producto Interno Bruto con series desestacionalizadas presentó un retroceso real de (-)2.4% en el trimestre en cuestión. Por actividades económicas, el PIB de las Actividades Secundarias cayó (</w:t>
      </w:r>
      <w:r w:rsidRPr="00F82026">
        <w:rPr>
          <w:b w:val="0"/>
          <w:bCs/>
          <w:color w:val="auto"/>
          <w:sz w:val="24"/>
          <w:szCs w:val="24"/>
        </w:rPr>
        <w:noBreakHyphen/>
        <w:t>)3.8% y el de las Terciarias (</w:t>
      </w:r>
      <w:r w:rsidRPr="00F82026">
        <w:rPr>
          <w:b w:val="0"/>
          <w:bCs/>
          <w:color w:val="auto"/>
          <w:sz w:val="24"/>
          <w:szCs w:val="24"/>
        </w:rPr>
        <w:noBreakHyphen/>
        <w:t>)1.4%, en tanto que el de las Actividades Primarias avanzó 1.2 por ciento.</w:t>
      </w:r>
    </w:p>
    <w:p w14:paraId="6A7F42DF" w14:textId="77777777" w:rsidR="008A7F38" w:rsidRDefault="008A7F38" w:rsidP="008A7F38">
      <w:pPr>
        <w:pStyle w:val="bullet"/>
        <w:numPr>
          <w:ilvl w:val="0"/>
          <w:numId w:val="0"/>
        </w:numPr>
        <w:spacing w:before="120" w:after="120"/>
        <w:ind w:left="-284" w:right="-283"/>
        <w:rPr>
          <w:b w:val="0"/>
          <w:bCs/>
          <w:color w:val="auto"/>
          <w:sz w:val="24"/>
          <w:szCs w:val="24"/>
        </w:rPr>
      </w:pPr>
    </w:p>
    <w:p w14:paraId="2F35509C" w14:textId="77777777" w:rsidR="008A7F38" w:rsidRPr="004C1F6D" w:rsidRDefault="008A7F38" w:rsidP="008A7F38">
      <w:pPr>
        <w:pStyle w:val="bullet"/>
        <w:numPr>
          <w:ilvl w:val="0"/>
          <w:numId w:val="0"/>
        </w:numPr>
        <w:shd w:val="clear" w:color="auto" w:fill="FFFFFF" w:themeFill="background1"/>
        <w:spacing w:before="360" w:after="480"/>
        <w:ind w:left="-284" w:right="-283"/>
        <w:rPr>
          <w:b w:val="0"/>
          <w:color w:val="000000" w:themeColor="text1"/>
          <w:sz w:val="24"/>
          <w:szCs w:val="24"/>
        </w:rPr>
      </w:pPr>
      <w:r w:rsidRPr="004C1F6D">
        <w:rPr>
          <w:b w:val="0"/>
          <w:color w:val="000000" w:themeColor="text1"/>
          <w:sz w:val="24"/>
          <w:szCs w:val="24"/>
        </w:rPr>
        <w:t xml:space="preserve">Cabe señalar que las estimaciones oportunas proporcionadas en este comunicado podrían cambiar respecto a las cifras generadas para el PIB trimestral tradicional, las cuales se </w:t>
      </w:r>
      <w:r w:rsidRPr="004C1F6D">
        <w:rPr>
          <w:b w:val="0"/>
          <w:color w:val="000000" w:themeColor="text1"/>
          <w:sz w:val="24"/>
          <w:szCs w:val="24"/>
          <w:shd w:val="clear" w:color="auto" w:fill="FFFFFF" w:themeFill="background1"/>
        </w:rPr>
        <w:t xml:space="preserve">publicarán el </w:t>
      </w:r>
      <w:r w:rsidRPr="00B95818">
        <w:rPr>
          <w:b w:val="0"/>
          <w:color w:val="000000" w:themeColor="text1"/>
          <w:sz w:val="24"/>
          <w:szCs w:val="24"/>
          <w:shd w:val="clear" w:color="auto" w:fill="FFFFFF" w:themeFill="background1"/>
        </w:rPr>
        <w:t>próximo 26 de mayo de 2020.</w:t>
      </w:r>
    </w:p>
    <w:p w14:paraId="2B624438" w14:textId="77777777" w:rsidR="008A7F38" w:rsidRPr="00366E84" w:rsidRDefault="008A7F38" w:rsidP="008A7F38">
      <w:pPr>
        <w:pStyle w:val="bullet"/>
        <w:numPr>
          <w:ilvl w:val="0"/>
          <w:numId w:val="0"/>
        </w:numPr>
        <w:spacing w:before="0"/>
        <w:ind w:right="-425"/>
        <w:rPr>
          <w:b w:val="0"/>
          <w:color w:val="000000" w:themeColor="text1"/>
          <w:sz w:val="24"/>
          <w:szCs w:val="24"/>
        </w:rPr>
      </w:pPr>
    </w:p>
    <w:p w14:paraId="73DFE01F" w14:textId="77777777" w:rsidR="008A7F38" w:rsidRDefault="008A7F38" w:rsidP="008A7F38">
      <w:pPr>
        <w:pStyle w:val="bullet"/>
        <w:numPr>
          <w:ilvl w:val="0"/>
          <w:numId w:val="0"/>
        </w:numPr>
        <w:spacing w:before="0"/>
        <w:ind w:right="-425"/>
        <w:rPr>
          <w:b w:val="0"/>
          <w:color w:val="auto"/>
          <w:sz w:val="24"/>
          <w:szCs w:val="24"/>
        </w:rPr>
      </w:pPr>
    </w:p>
    <w:p w14:paraId="6EA605E9" w14:textId="77777777" w:rsidR="008A7F38" w:rsidRPr="00366E84" w:rsidRDefault="008A7F38" w:rsidP="008A7F38">
      <w:pPr>
        <w:pStyle w:val="bullet"/>
        <w:numPr>
          <w:ilvl w:val="0"/>
          <w:numId w:val="0"/>
        </w:numPr>
        <w:spacing w:before="0"/>
        <w:ind w:right="-425"/>
        <w:rPr>
          <w:b w:val="0"/>
          <w:color w:val="auto"/>
          <w:sz w:val="24"/>
          <w:szCs w:val="24"/>
        </w:rPr>
      </w:pPr>
    </w:p>
    <w:p w14:paraId="723DB733" w14:textId="77777777" w:rsidR="008A7F38" w:rsidRPr="00043922" w:rsidRDefault="008A7F38" w:rsidP="008A7F38">
      <w:pPr>
        <w:jc w:val="center"/>
        <w:rPr>
          <w:b/>
          <w:szCs w:val="24"/>
        </w:rPr>
      </w:pPr>
      <w:r>
        <w:rPr>
          <w:b/>
          <w:szCs w:val="24"/>
        </w:rPr>
        <w:t xml:space="preserve"> </w:t>
      </w:r>
      <w:r w:rsidRPr="008817C0">
        <w:rPr>
          <w:b/>
          <w:szCs w:val="24"/>
        </w:rPr>
        <w:t>Se anexa Nota Técnica</w:t>
      </w:r>
    </w:p>
    <w:p w14:paraId="44AA0D99" w14:textId="77777777" w:rsidR="008A7F38" w:rsidRDefault="008A7F38" w:rsidP="008A7F38">
      <w:pPr>
        <w:pStyle w:val="Ttulo2"/>
        <w:spacing w:before="120"/>
        <w:rPr>
          <w:color w:val="auto"/>
        </w:rPr>
      </w:pPr>
    </w:p>
    <w:p w14:paraId="4AD879FA" w14:textId="77777777" w:rsidR="008A7F38" w:rsidRDefault="008A7F38" w:rsidP="008A7F38"/>
    <w:p w14:paraId="6DCC4C07" w14:textId="77777777" w:rsidR="008A7F38" w:rsidRDefault="008A7F38" w:rsidP="008A7F38"/>
    <w:p w14:paraId="518D8B13" w14:textId="77777777" w:rsidR="008A7F38" w:rsidRDefault="008A7F38" w:rsidP="008A7F38"/>
    <w:p w14:paraId="3E1D2C59" w14:textId="77777777" w:rsidR="008A7F38" w:rsidRDefault="008A7F38" w:rsidP="008A7F38"/>
    <w:p w14:paraId="003B2103" w14:textId="77777777" w:rsidR="008A7F38" w:rsidRDefault="008A7F38" w:rsidP="008A7F38"/>
    <w:p w14:paraId="776E18EC" w14:textId="77777777" w:rsidR="008A7F38" w:rsidRDefault="008A7F38" w:rsidP="008A7F38"/>
    <w:p w14:paraId="55BF15B6" w14:textId="77777777" w:rsidR="008A7F38" w:rsidRDefault="008A7F38" w:rsidP="008A7F38"/>
    <w:p w14:paraId="1EB0D8A3" w14:textId="77777777" w:rsidR="008A7F38" w:rsidRDefault="008A7F38" w:rsidP="008A7F38"/>
    <w:p w14:paraId="01739FD0" w14:textId="77777777" w:rsidR="008A7F38" w:rsidRDefault="008A7F38" w:rsidP="008A7F38"/>
    <w:p w14:paraId="4BC6A3B0" w14:textId="77777777" w:rsidR="008A7F38" w:rsidRDefault="008A7F38" w:rsidP="008A7F38"/>
    <w:p w14:paraId="1E826877" w14:textId="77777777" w:rsidR="008A7F38" w:rsidRDefault="008A7F38" w:rsidP="008A7F38"/>
    <w:p w14:paraId="0BEE4DCA" w14:textId="77777777" w:rsidR="008A7F38" w:rsidRDefault="008A7F38" w:rsidP="008A7F38"/>
    <w:p w14:paraId="502AE678" w14:textId="77777777" w:rsidR="008A7F38" w:rsidRDefault="008A7F38" w:rsidP="008A7F38"/>
    <w:p w14:paraId="18D86A41" w14:textId="77777777" w:rsidR="008A7F38" w:rsidRDefault="008A7F38" w:rsidP="008A7F38"/>
    <w:p w14:paraId="4170FF3A" w14:textId="77777777" w:rsidR="008A7F38" w:rsidRDefault="008A7F38" w:rsidP="008A7F38"/>
    <w:p w14:paraId="26FC3614" w14:textId="77777777" w:rsidR="008A7F38" w:rsidRDefault="008A7F38" w:rsidP="008A7F38"/>
    <w:p w14:paraId="34B36739" w14:textId="77777777" w:rsidR="008A7F38" w:rsidRDefault="008A7F38" w:rsidP="008A7F38"/>
    <w:p w14:paraId="618BB3E5" w14:textId="77777777" w:rsidR="008A7F38" w:rsidRDefault="008A7F38" w:rsidP="008A7F38">
      <w:pPr>
        <w:pStyle w:val="p0"/>
        <w:ind w:left="142"/>
      </w:pPr>
    </w:p>
    <w:p w14:paraId="47814F41" w14:textId="77777777" w:rsidR="008A7F38" w:rsidRPr="003C7D53" w:rsidRDefault="008A7F38" w:rsidP="008A7F38">
      <w:pPr>
        <w:pStyle w:val="p0"/>
        <w:ind w:left="142"/>
        <w:rPr>
          <w:sz w:val="22"/>
          <w:szCs w:val="22"/>
        </w:rPr>
      </w:pPr>
    </w:p>
    <w:p w14:paraId="46CA3C24" w14:textId="77777777" w:rsidR="008A7F38" w:rsidRPr="00D64CA7" w:rsidRDefault="008A7F38" w:rsidP="008A7F38">
      <w:pPr>
        <w:pStyle w:val="NormalWeb"/>
        <w:spacing w:before="0" w:beforeAutospacing="0" w:after="0" w:afterAutospacing="0"/>
        <w:ind w:left="-426" w:right="-518"/>
        <w:contextualSpacing/>
        <w:jc w:val="center"/>
        <w:rPr>
          <w:sz w:val="22"/>
          <w:szCs w:val="22"/>
        </w:rPr>
      </w:pPr>
      <w:r w:rsidRPr="00D64CA7">
        <w:rPr>
          <w:sz w:val="22"/>
          <w:szCs w:val="22"/>
        </w:rPr>
        <w:t xml:space="preserve">Para consultas de medios y periodistas, contactar a: </w:t>
      </w:r>
      <w:hyperlink r:id="rId8" w:history="1">
        <w:r w:rsidRPr="00D64CA7">
          <w:rPr>
            <w:rStyle w:val="Hipervnculo"/>
            <w:sz w:val="22"/>
            <w:szCs w:val="22"/>
          </w:rPr>
          <w:t>comunicacionsocial@inegi.org.mx</w:t>
        </w:r>
      </w:hyperlink>
      <w:r w:rsidRPr="00D64CA7">
        <w:rPr>
          <w:sz w:val="22"/>
          <w:szCs w:val="22"/>
        </w:rPr>
        <w:t xml:space="preserve"> </w:t>
      </w:r>
    </w:p>
    <w:p w14:paraId="57720E83" w14:textId="77777777" w:rsidR="008A7F38" w:rsidRPr="00D64CA7" w:rsidRDefault="008A7F38" w:rsidP="008A7F38">
      <w:pPr>
        <w:pStyle w:val="NormalWeb"/>
        <w:spacing w:before="0" w:beforeAutospacing="0" w:after="0" w:afterAutospacing="0"/>
        <w:ind w:left="-426" w:right="-518"/>
        <w:contextualSpacing/>
        <w:jc w:val="center"/>
        <w:rPr>
          <w:sz w:val="22"/>
          <w:szCs w:val="22"/>
        </w:rPr>
      </w:pPr>
      <w:r w:rsidRPr="00D64CA7">
        <w:rPr>
          <w:sz w:val="22"/>
          <w:szCs w:val="22"/>
        </w:rPr>
        <w:t>o llamar al teléfono (55) 52-78-10-00, exts. 1134, 1260 y 1241.</w:t>
      </w:r>
    </w:p>
    <w:p w14:paraId="4DA3A4D6" w14:textId="77777777" w:rsidR="008A7F38" w:rsidRPr="00D64CA7" w:rsidRDefault="008A7F38" w:rsidP="008A7F38">
      <w:pPr>
        <w:ind w:left="-426" w:right="-518"/>
        <w:contextualSpacing/>
        <w:jc w:val="center"/>
        <w:rPr>
          <w:sz w:val="22"/>
          <w:szCs w:val="22"/>
        </w:rPr>
      </w:pPr>
    </w:p>
    <w:p w14:paraId="19F77924" w14:textId="77777777" w:rsidR="008A7F38" w:rsidRPr="00D64CA7" w:rsidRDefault="008A7F38" w:rsidP="008A7F38">
      <w:pPr>
        <w:ind w:left="-426" w:right="-518"/>
        <w:contextualSpacing/>
        <w:jc w:val="center"/>
        <w:rPr>
          <w:sz w:val="22"/>
          <w:szCs w:val="22"/>
        </w:rPr>
      </w:pPr>
      <w:r w:rsidRPr="00D64CA7">
        <w:rPr>
          <w:sz w:val="22"/>
          <w:szCs w:val="22"/>
        </w:rPr>
        <w:t>Dirección de Atención a Medios / Dirección General Adjunta de Comunicación</w:t>
      </w:r>
    </w:p>
    <w:p w14:paraId="45EF13EC" w14:textId="77777777" w:rsidR="008A7F38" w:rsidRPr="007D095D" w:rsidRDefault="008A7F38" w:rsidP="008A7F38">
      <w:pPr>
        <w:ind w:left="-426" w:right="-518"/>
        <w:contextualSpacing/>
        <w:jc w:val="center"/>
        <w:rPr>
          <w:sz w:val="22"/>
          <w:szCs w:val="22"/>
        </w:rPr>
      </w:pPr>
    </w:p>
    <w:p w14:paraId="7FDC2743" w14:textId="77777777" w:rsidR="008A7F38" w:rsidRPr="008F0992" w:rsidRDefault="008A7F38" w:rsidP="008A7F38">
      <w:pPr>
        <w:ind w:left="-425" w:right="-516"/>
        <w:contextualSpacing/>
        <w:jc w:val="center"/>
        <w:rPr>
          <w:noProof/>
          <w:sz w:val="20"/>
          <w:lang w:eastAsia="es-MX"/>
        </w:rPr>
      </w:pPr>
      <w:r w:rsidRPr="008F0992">
        <w:rPr>
          <w:noProof/>
          <w:sz w:val="20"/>
          <w:lang w:val="es-MX" w:eastAsia="es-MX"/>
        </w:rPr>
        <w:drawing>
          <wp:inline distT="0" distB="0" distL="0" distR="0" wp14:anchorId="1E098B73" wp14:editId="6F377E6F">
            <wp:extent cx="318472" cy="322419"/>
            <wp:effectExtent l="0" t="0" r="5715" b="1905"/>
            <wp:docPr id="1" name="Imagen 1"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3EFA695A" wp14:editId="27A87372">
            <wp:extent cx="327704" cy="325467"/>
            <wp:effectExtent l="0" t="0" r="0" b="0"/>
            <wp:docPr id="2" name="Imagen 2"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0461966A" wp14:editId="2ED40440">
            <wp:extent cx="321276" cy="324093"/>
            <wp:effectExtent l="0" t="0" r="3175" b="0"/>
            <wp:docPr id="7" name="Imagen 7"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16B3D761" wp14:editId="0C5A6CB3">
            <wp:extent cx="321276" cy="326574"/>
            <wp:effectExtent l="0" t="0" r="3175" b="0"/>
            <wp:docPr id="9" name="Imagen 9"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sz w:val="20"/>
          <w:lang w:eastAsia="es-MX"/>
        </w:rPr>
        <w:t xml:space="preserve">  </w:t>
      </w:r>
      <w:r w:rsidRPr="008F0992">
        <w:rPr>
          <w:noProof/>
          <w:sz w:val="14"/>
          <w:szCs w:val="18"/>
          <w:lang w:val="es-MX" w:eastAsia="es-MX"/>
        </w:rPr>
        <w:drawing>
          <wp:inline distT="0" distB="0" distL="0" distR="0" wp14:anchorId="0408B4F2" wp14:editId="5D1257F1">
            <wp:extent cx="2323070" cy="319707"/>
            <wp:effectExtent l="0" t="0" r="1270" b="4445"/>
            <wp:docPr id="8" name="Imagen 8">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p>
    <w:p w14:paraId="3BDB3013" w14:textId="77777777" w:rsidR="008A7F38" w:rsidRDefault="008A7F38" w:rsidP="008A7F38"/>
    <w:p w14:paraId="62D010C2" w14:textId="77777777" w:rsidR="008A7F38" w:rsidRDefault="008A7F38" w:rsidP="008A7F38"/>
    <w:p w14:paraId="631FC3BB" w14:textId="77777777" w:rsidR="008A7F38" w:rsidRDefault="008A7F38" w:rsidP="008A7F38"/>
    <w:p w14:paraId="54A4D44B" w14:textId="77777777" w:rsidR="008A7F38" w:rsidRDefault="008A7F38" w:rsidP="008A7F38">
      <w:pPr>
        <w:pStyle w:val="NormalWeb"/>
        <w:spacing w:before="0" w:beforeAutospacing="0" w:after="0" w:afterAutospacing="0"/>
        <w:ind w:left="-426" w:right="-518"/>
        <w:contextualSpacing/>
        <w:jc w:val="center"/>
      </w:pPr>
    </w:p>
    <w:p w14:paraId="527128A5" w14:textId="77777777" w:rsidR="008A7F38" w:rsidRPr="00854414" w:rsidRDefault="008A7F38" w:rsidP="008A7F38">
      <w:pPr>
        <w:sectPr w:rsidR="008A7F38" w:rsidRPr="00854414" w:rsidSect="00EE63F7">
          <w:headerReference w:type="even" r:id="rId19"/>
          <w:headerReference w:type="default" r:id="rId20"/>
          <w:footerReference w:type="even" r:id="rId21"/>
          <w:footerReference w:type="default" r:id="rId22"/>
          <w:headerReference w:type="first" r:id="rId23"/>
          <w:footerReference w:type="first" r:id="rId24"/>
          <w:endnotePr>
            <w:numFmt w:val="decimal"/>
          </w:endnotePr>
          <w:pgSz w:w="12242" w:h="15842"/>
          <w:pgMar w:top="723" w:right="1610" w:bottom="1134" w:left="1701" w:header="340" w:footer="340" w:gutter="0"/>
          <w:cols w:space="720"/>
          <w:docGrid w:linePitch="360"/>
        </w:sectPr>
      </w:pPr>
    </w:p>
    <w:p w14:paraId="5A313541" w14:textId="602F303D" w:rsidR="008A7F38" w:rsidRDefault="008A7F38" w:rsidP="008A7F38">
      <w:pPr>
        <w:pStyle w:val="Ttulo2"/>
        <w:spacing w:before="120"/>
        <w:contextualSpacing/>
        <w:rPr>
          <w:szCs w:val="28"/>
        </w:rPr>
      </w:pPr>
      <w:r w:rsidRPr="004B6208">
        <w:rPr>
          <w:szCs w:val="28"/>
        </w:rPr>
        <w:lastRenderedPageBreak/>
        <w:t>NOTA TÉCNICA</w:t>
      </w:r>
    </w:p>
    <w:p w14:paraId="0D5A7EC9" w14:textId="77777777" w:rsidR="008A7F38" w:rsidRPr="008A7F38" w:rsidRDefault="008A7F38" w:rsidP="008A7F38"/>
    <w:p w14:paraId="3FEBECBD" w14:textId="77777777" w:rsidR="0010664E" w:rsidRPr="008A7F38" w:rsidRDefault="00B834C7" w:rsidP="0010664E">
      <w:pPr>
        <w:pStyle w:val="Ttulo2"/>
        <w:spacing w:before="0"/>
        <w:ind w:left="142" w:right="193"/>
        <w:rPr>
          <w:color w:val="auto"/>
          <w:szCs w:val="28"/>
        </w:rPr>
      </w:pPr>
      <w:r w:rsidRPr="008A7F38">
        <w:rPr>
          <w:color w:val="auto"/>
          <w:szCs w:val="28"/>
        </w:rPr>
        <w:t xml:space="preserve">ESTIMACIÓN OPORTUNA </w:t>
      </w:r>
      <w:r w:rsidR="00B52824" w:rsidRPr="008A7F38">
        <w:rPr>
          <w:color w:val="auto"/>
          <w:szCs w:val="28"/>
        </w:rPr>
        <w:t>DEL</w:t>
      </w:r>
      <w:r w:rsidR="00271F6D" w:rsidRPr="008A7F38">
        <w:rPr>
          <w:color w:val="auto"/>
          <w:szCs w:val="28"/>
        </w:rPr>
        <w:t xml:space="preserve"> </w:t>
      </w:r>
    </w:p>
    <w:p w14:paraId="58E5E979" w14:textId="77777777" w:rsidR="00B52824" w:rsidRPr="008A7F38" w:rsidRDefault="00B834C7" w:rsidP="0010664E">
      <w:pPr>
        <w:pStyle w:val="Ttulo2"/>
        <w:spacing w:before="0"/>
        <w:ind w:left="142" w:right="193"/>
        <w:rPr>
          <w:color w:val="auto"/>
          <w:szCs w:val="28"/>
        </w:rPr>
      </w:pPr>
      <w:r w:rsidRPr="008A7F38">
        <w:rPr>
          <w:color w:val="auto"/>
          <w:szCs w:val="28"/>
        </w:rPr>
        <w:t>PRODUCTO INTERNO BRUTO</w:t>
      </w:r>
      <w:r w:rsidR="001076F8" w:rsidRPr="008A7F38">
        <w:rPr>
          <w:rStyle w:val="Refdenotaalpie"/>
          <w:b/>
          <w:sz w:val="28"/>
          <w:szCs w:val="28"/>
        </w:rPr>
        <w:footnoteReference w:id="4"/>
      </w:r>
      <w:r w:rsidRPr="008A7F38">
        <w:rPr>
          <w:color w:val="auto"/>
          <w:szCs w:val="28"/>
        </w:rPr>
        <w:t xml:space="preserve"> EN MÉXICO</w:t>
      </w:r>
      <w:r w:rsidR="00B52824" w:rsidRPr="008A7F38">
        <w:rPr>
          <w:color w:val="auto"/>
          <w:szCs w:val="28"/>
        </w:rPr>
        <w:t xml:space="preserve"> </w:t>
      </w:r>
    </w:p>
    <w:p w14:paraId="073AA67F" w14:textId="08B69C83" w:rsidR="00B834C7" w:rsidRPr="008A7F38" w:rsidRDefault="00B52824" w:rsidP="0010664E">
      <w:pPr>
        <w:pStyle w:val="Ttulo2"/>
        <w:spacing w:before="0"/>
        <w:ind w:left="142" w:right="193"/>
        <w:rPr>
          <w:color w:val="auto"/>
          <w:szCs w:val="28"/>
        </w:rPr>
      </w:pPr>
      <w:r w:rsidRPr="008A7F38">
        <w:rPr>
          <w:color w:val="auto"/>
          <w:szCs w:val="28"/>
        </w:rPr>
        <w:t xml:space="preserve">DURANTE EL </w:t>
      </w:r>
      <w:r w:rsidR="0072754A" w:rsidRPr="008A7F38">
        <w:rPr>
          <w:color w:val="auto"/>
          <w:szCs w:val="28"/>
        </w:rPr>
        <w:t>PRIMER</w:t>
      </w:r>
      <w:r w:rsidRPr="008A7F38">
        <w:rPr>
          <w:color w:val="auto"/>
          <w:szCs w:val="28"/>
        </w:rPr>
        <w:t xml:space="preserve"> </w:t>
      </w:r>
      <w:r w:rsidR="00961D4F" w:rsidRPr="008A7F38">
        <w:rPr>
          <w:color w:val="auto"/>
          <w:szCs w:val="28"/>
        </w:rPr>
        <w:t>TRIMESTRE DE 20</w:t>
      </w:r>
      <w:r w:rsidR="0072754A" w:rsidRPr="008A7F38">
        <w:rPr>
          <w:color w:val="auto"/>
          <w:szCs w:val="28"/>
        </w:rPr>
        <w:t>20</w:t>
      </w:r>
    </w:p>
    <w:p w14:paraId="7011F9F3" w14:textId="77777777" w:rsidR="00B834C7" w:rsidRPr="008A7F38" w:rsidRDefault="00B834C7" w:rsidP="00AB0C5C">
      <w:pPr>
        <w:ind w:left="142" w:right="193"/>
        <w:jc w:val="center"/>
        <w:rPr>
          <w:b/>
          <w:i/>
          <w:szCs w:val="24"/>
        </w:rPr>
      </w:pPr>
      <w:r w:rsidRPr="008A7F38">
        <w:rPr>
          <w:b/>
          <w:i/>
          <w:szCs w:val="24"/>
        </w:rPr>
        <w:t>(Cifras desestacionalizadas)</w:t>
      </w:r>
    </w:p>
    <w:p w14:paraId="18EA4201" w14:textId="72407981" w:rsidR="003E5B7F" w:rsidRDefault="003E5B7F" w:rsidP="003E5B7F">
      <w:pPr>
        <w:pStyle w:val="Textoindependiente"/>
        <w:widowControl w:val="0"/>
        <w:ind w:right="1185"/>
        <w:contextualSpacing/>
        <w:rPr>
          <w:rFonts w:cs="Arial"/>
          <w:b/>
          <w:iCs/>
          <w:smallCaps/>
          <w:szCs w:val="24"/>
        </w:rPr>
      </w:pPr>
    </w:p>
    <w:p w14:paraId="6DF2CFDE" w14:textId="77777777" w:rsidR="00B35528" w:rsidRPr="00D13A19" w:rsidRDefault="00B35528" w:rsidP="00EF4CD3">
      <w:pPr>
        <w:pStyle w:val="bullet"/>
        <w:numPr>
          <w:ilvl w:val="0"/>
          <w:numId w:val="0"/>
        </w:numPr>
        <w:ind w:right="902"/>
        <w:rPr>
          <w:i/>
          <w:color w:val="auto"/>
        </w:rPr>
      </w:pPr>
      <w:r w:rsidRPr="00D13A19">
        <w:rPr>
          <w:i/>
          <w:color w:val="auto"/>
        </w:rPr>
        <w:t>Principales resultados</w:t>
      </w:r>
    </w:p>
    <w:p w14:paraId="171D57A2" w14:textId="7ACBA5E5" w:rsidR="001A191D" w:rsidRDefault="00D836E5" w:rsidP="00EF4CD3">
      <w:pPr>
        <w:widowControl/>
        <w:spacing w:before="240"/>
        <w:jc w:val="both"/>
      </w:pPr>
      <w:r w:rsidRPr="00D836E5">
        <w:t>Con datos desestacionalizados</w:t>
      </w:r>
      <w:r w:rsidR="00682DD9">
        <w:t>,</w:t>
      </w:r>
      <w:r w:rsidRPr="00D836E5">
        <w:t xml:space="preserve"> la Estimación Oportuna del Producto Interno Bruto (PIB) Trimestral </w:t>
      </w:r>
      <w:r w:rsidR="002C7CEE">
        <w:t>reportó una caída de (-)1.6%</w:t>
      </w:r>
      <w:r w:rsidR="001C5E65">
        <w:t xml:space="preserve"> </w:t>
      </w:r>
      <w:r w:rsidR="00B8621B">
        <w:t>en</w:t>
      </w:r>
      <w:r w:rsidRPr="00D836E5">
        <w:t xml:space="preserve"> el </w:t>
      </w:r>
      <w:r w:rsidR="00163561">
        <w:t>primer</w:t>
      </w:r>
      <w:r w:rsidR="002A010C">
        <w:t xml:space="preserve"> </w:t>
      </w:r>
      <w:r w:rsidR="001C5E65">
        <w:t xml:space="preserve">trimestre </w:t>
      </w:r>
      <w:r w:rsidR="002A010C">
        <w:t xml:space="preserve">de </w:t>
      </w:r>
      <w:r w:rsidR="00163561">
        <w:t>este año</w:t>
      </w:r>
      <w:r w:rsidRPr="00D836E5">
        <w:t xml:space="preserve"> </w:t>
      </w:r>
      <w:r>
        <w:t xml:space="preserve">con </w:t>
      </w:r>
      <w:r w:rsidRPr="00D836E5">
        <w:t xml:space="preserve">relación </w:t>
      </w:r>
      <w:r>
        <w:t>al</w:t>
      </w:r>
      <w:r w:rsidRPr="00D836E5">
        <w:t xml:space="preserve"> trimestre inmediato anterior.</w:t>
      </w:r>
      <w:r w:rsidR="004C4ABF" w:rsidRPr="004C4ABF">
        <w:t xml:space="preserve"> </w:t>
      </w:r>
    </w:p>
    <w:p w14:paraId="3428958F" w14:textId="12663331" w:rsidR="00D836E5" w:rsidRPr="00A82556" w:rsidRDefault="00DB1330" w:rsidP="002C7CEE">
      <w:pPr>
        <w:widowControl/>
        <w:spacing w:before="120"/>
        <w:jc w:val="both"/>
      </w:pPr>
      <w:r w:rsidRPr="00B834C7">
        <w:t>Por componentes</w:t>
      </w:r>
      <w:r w:rsidR="009226DC">
        <w:t>,</w:t>
      </w:r>
      <w:r w:rsidR="009226DC" w:rsidRPr="009226DC">
        <w:t xml:space="preserve"> </w:t>
      </w:r>
      <w:r w:rsidR="00C60B95">
        <w:t xml:space="preserve">el PIB de </w:t>
      </w:r>
      <w:r w:rsidR="00C60B95" w:rsidRPr="00B834C7">
        <w:t xml:space="preserve">las Actividades </w:t>
      </w:r>
      <w:r w:rsidR="00C60B95">
        <w:t>Secundarias y Terciarias descendió (</w:t>
      </w:r>
      <w:r w:rsidR="00C60B95">
        <w:noBreakHyphen/>
        <w:t>)1.4% de manera individual, mientras que</w:t>
      </w:r>
      <w:r w:rsidR="00C60B95" w:rsidRPr="00B834C7">
        <w:t xml:space="preserve"> </w:t>
      </w:r>
      <w:r w:rsidR="00C60B95">
        <w:t xml:space="preserve">el de las Actividades Primarias </w:t>
      </w:r>
      <w:r w:rsidR="00A12127">
        <w:t>creció</w:t>
      </w:r>
      <w:r w:rsidR="00C60B95">
        <w:t xml:space="preserve"> 0.5% en el primer trimestre de 2020 con relación al trimestre precedente</w:t>
      </w:r>
      <w:r w:rsidR="00C60B95" w:rsidRPr="00B834C7">
        <w:t>.</w:t>
      </w:r>
    </w:p>
    <w:p w14:paraId="13FE6D36" w14:textId="5D7165A1" w:rsidR="00574E79" w:rsidRDefault="00574E79" w:rsidP="00F77197">
      <w:pPr>
        <w:widowControl/>
        <w:spacing w:before="240"/>
        <w:jc w:val="both"/>
      </w:pPr>
      <w:r w:rsidRPr="00A82556">
        <w:t xml:space="preserve">En su comparación anual, </w:t>
      </w:r>
      <w:r w:rsidR="007B49B2" w:rsidRPr="00B834C7">
        <w:t xml:space="preserve">la Estimación Oportuna del Producto Interno Bruto </w:t>
      </w:r>
      <w:r w:rsidR="007B49B2">
        <w:t xml:space="preserve">con series desestacionalizadas tuvo </w:t>
      </w:r>
      <w:r w:rsidR="007B49B2" w:rsidRPr="00B834C7">
        <w:t>un</w:t>
      </w:r>
      <w:r w:rsidR="007B49B2">
        <w:t>a</w:t>
      </w:r>
      <w:r w:rsidR="007B49B2" w:rsidRPr="00B834C7">
        <w:t xml:space="preserve"> </w:t>
      </w:r>
      <w:r w:rsidR="007B49B2">
        <w:t>reducción</w:t>
      </w:r>
      <w:r w:rsidR="007B49B2" w:rsidRPr="00B834C7">
        <w:t xml:space="preserve"> </w:t>
      </w:r>
      <w:r w:rsidR="007B49B2">
        <w:t xml:space="preserve">real </w:t>
      </w:r>
      <w:r w:rsidR="007B49B2" w:rsidRPr="00B834C7">
        <w:t xml:space="preserve">de </w:t>
      </w:r>
      <w:r w:rsidR="007B49B2">
        <w:t>(-)</w:t>
      </w:r>
      <w:r w:rsidR="002C7CEE">
        <w:t>2.4</w:t>
      </w:r>
      <w:r w:rsidR="007B49B2" w:rsidRPr="00B834C7">
        <w:t xml:space="preserve">% en el trimestre </w:t>
      </w:r>
      <w:r w:rsidR="007B49B2">
        <w:t>en cuestión</w:t>
      </w:r>
      <w:r w:rsidR="007B49B2" w:rsidRPr="00B834C7">
        <w:t xml:space="preserve">. </w:t>
      </w:r>
      <w:r w:rsidR="00887CDE">
        <w:t xml:space="preserve"> </w:t>
      </w:r>
      <w:r w:rsidR="007B49B2" w:rsidRPr="00B834C7">
        <w:t xml:space="preserve">Por actividades económicas, el PIB </w:t>
      </w:r>
      <w:r w:rsidR="00280DCC">
        <w:t xml:space="preserve">de las </w:t>
      </w:r>
      <w:r w:rsidR="00280DCC" w:rsidRPr="00B834C7">
        <w:t xml:space="preserve">Secundarias </w:t>
      </w:r>
      <w:r w:rsidR="00280DCC">
        <w:t>descendió (</w:t>
      </w:r>
      <w:r w:rsidR="000C2684">
        <w:noBreakHyphen/>
      </w:r>
      <w:r w:rsidR="00280DCC">
        <w:t>)</w:t>
      </w:r>
      <w:r w:rsidR="002C7CEE">
        <w:t>3.8</w:t>
      </w:r>
      <w:r w:rsidR="00280DCC">
        <w:t>%</w:t>
      </w:r>
      <w:r w:rsidR="002C7CEE">
        <w:t xml:space="preserve"> y el de las</w:t>
      </w:r>
      <w:r w:rsidR="00280DCC">
        <w:t xml:space="preserve"> </w:t>
      </w:r>
      <w:r w:rsidR="002C7CEE">
        <w:t xml:space="preserve">Terciarias (-)1.4%, </w:t>
      </w:r>
      <w:r w:rsidR="00280DCC">
        <w:t xml:space="preserve">en tanto que el </w:t>
      </w:r>
      <w:r w:rsidR="007B49B2" w:rsidRPr="00B834C7">
        <w:t xml:space="preserve">de las </w:t>
      </w:r>
      <w:r w:rsidR="007B49B2">
        <w:t>Primarias</w:t>
      </w:r>
      <w:r w:rsidR="007B49B2" w:rsidRPr="00B834C7">
        <w:t xml:space="preserve"> </w:t>
      </w:r>
      <w:r w:rsidR="007B49B2">
        <w:t xml:space="preserve">avanzó </w:t>
      </w:r>
      <w:r w:rsidR="002C7CEE">
        <w:t xml:space="preserve">1.2 </w:t>
      </w:r>
      <w:r w:rsidR="00CB762A">
        <w:t>por ciento</w:t>
      </w:r>
      <w:r w:rsidR="007B49B2" w:rsidRPr="00B834C7">
        <w:t>.</w:t>
      </w:r>
    </w:p>
    <w:p w14:paraId="22B0776D" w14:textId="77777777" w:rsidR="00A82556" w:rsidRPr="00EA3CFD" w:rsidRDefault="00A82556" w:rsidP="00FD3983">
      <w:pPr>
        <w:pStyle w:val="Textoindependiente"/>
        <w:spacing w:before="360"/>
        <w:jc w:val="center"/>
        <w:rPr>
          <w:b/>
          <w:smallCaps/>
          <w:sz w:val="21"/>
          <w:szCs w:val="21"/>
        </w:rPr>
      </w:pPr>
      <w:r w:rsidRPr="00EA3CFD">
        <w:rPr>
          <w:b/>
          <w:smallCaps/>
          <w:sz w:val="21"/>
          <w:szCs w:val="21"/>
        </w:rPr>
        <w:t xml:space="preserve">Estimación Oportuna del Producto Interno Bruto </w:t>
      </w:r>
    </w:p>
    <w:p w14:paraId="66E25D06" w14:textId="3187C8DE" w:rsidR="00A82556" w:rsidRPr="00A0204E" w:rsidRDefault="00FB0736" w:rsidP="00887CDE">
      <w:pPr>
        <w:pStyle w:val="Textoindependiente"/>
        <w:jc w:val="center"/>
        <w:rPr>
          <w:b/>
          <w:smallCaps/>
          <w:sz w:val="21"/>
          <w:szCs w:val="21"/>
        </w:rPr>
      </w:pPr>
      <w:r>
        <w:rPr>
          <w:b/>
          <w:smallCaps/>
          <w:sz w:val="21"/>
          <w:szCs w:val="21"/>
        </w:rPr>
        <w:t>durante el</w:t>
      </w:r>
      <w:r w:rsidR="00A82556" w:rsidRPr="00A0204E">
        <w:rPr>
          <w:b/>
          <w:smallCaps/>
          <w:sz w:val="21"/>
          <w:szCs w:val="21"/>
        </w:rPr>
        <w:t xml:space="preserve"> </w:t>
      </w:r>
      <w:r w:rsidR="00DD1143">
        <w:rPr>
          <w:b/>
          <w:smallCaps/>
          <w:sz w:val="21"/>
          <w:szCs w:val="21"/>
        </w:rPr>
        <w:t>primer</w:t>
      </w:r>
      <w:r w:rsidR="00961D4F">
        <w:rPr>
          <w:b/>
          <w:smallCaps/>
          <w:sz w:val="21"/>
          <w:szCs w:val="21"/>
        </w:rPr>
        <w:t xml:space="preserve"> trimestre de 20</w:t>
      </w:r>
      <w:r w:rsidR="00EF4CD3">
        <w:rPr>
          <w:b/>
          <w:smallCaps/>
          <w:sz w:val="21"/>
          <w:szCs w:val="21"/>
        </w:rPr>
        <w:t>20</w:t>
      </w:r>
    </w:p>
    <w:p w14:paraId="15179383" w14:textId="77777777" w:rsidR="00A82556" w:rsidRDefault="00A82556" w:rsidP="00887CDE">
      <w:pPr>
        <w:pStyle w:val="Textoindependiente"/>
        <w:jc w:val="center"/>
        <w:rPr>
          <w:rFonts w:cs="Arial"/>
          <w:b/>
          <w:smallCaps/>
          <w:color w:val="auto"/>
          <w:sz w:val="22"/>
          <w:szCs w:val="22"/>
        </w:rPr>
      </w:pPr>
      <w:r w:rsidRPr="00A0204E">
        <w:rPr>
          <w:b/>
          <w:smallCaps/>
          <w:sz w:val="21"/>
          <w:szCs w:val="21"/>
        </w:rPr>
        <w:t>Cifras desestacionalizadas por actividades económicas</w:t>
      </w:r>
      <w:r w:rsidRPr="00A0204E">
        <w:rPr>
          <w:b/>
          <w:smallCaps/>
          <w:sz w:val="20"/>
          <w:szCs w:val="22"/>
        </w:rPr>
        <w:t xml:space="preserve"> </w:t>
      </w:r>
    </w:p>
    <w:tbl>
      <w:tblPr>
        <w:tblW w:w="5797" w:type="dxa"/>
        <w:jc w:val="center"/>
        <w:tblCellMar>
          <w:left w:w="70" w:type="dxa"/>
          <w:right w:w="70" w:type="dxa"/>
        </w:tblCellMar>
        <w:tblLook w:val="04A0" w:firstRow="1" w:lastRow="0" w:firstColumn="1" w:lastColumn="0" w:noHBand="0" w:noVBand="1"/>
      </w:tblPr>
      <w:tblGrid>
        <w:gridCol w:w="2365"/>
        <w:gridCol w:w="1731"/>
        <w:gridCol w:w="1701"/>
      </w:tblGrid>
      <w:tr w:rsidR="00DD1143" w:rsidRPr="004B5894" w14:paraId="2B181189" w14:textId="77777777" w:rsidTr="00DD1143">
        <w:trPr>
          <w:trHeight w:val="630"/>
          <w:jc w:val="center"/>
        </w:trPr>
        <w:tc>
          <w:tcPr>
            <w:tcW w:w="2365"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hideMark/>
          </w:tcPr>
          <w:p w14:paraId="4482C462" w14:textId="77777777" w:rsidR="00DD1143" w:rsidRPr="00294709" w:rsidRDefault="00DD1143" w:rsidP="00682DD9">
            <w:pPr>
              <w:widowControl/>
              <w:ind w:left="-85"/>
              <w:jc w:val="center"/>
              <w:rPr>
                <w:rFonts w:cs="Arial"/>
                <w:b/>
                <w:bCs/>
                <w:snapToGrid/>
                <w:sz w:val="16"/>
                <w:lang w:val="es-MX" w:eastAsia="es-MX"/>
              </w:rPr>
            </w:pPr>
            <w:r w:rsidRPr="00294709">
              <w:rPr>
                <w:rFonts w:cs="Arial"/>
                <w:b/>
                <w:bCs/>
                <w:snapToGrid/>
                <w:sz w:val="16"/>
                <w:lang w:val="es-MX" w:eastAsia="es-MX"/>
              </w:rPr>
              <w:t>Concepto</w:t>
            </w:r>
          </w:p>
        </w:tc>
        <w:tc>
          <w:tcPr>
            <w:tcW w:w="1731"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hideMark/>
          </w:tcPr>
          <w:p w14:paraId="67B4BB7E" w14:textId="77777777" w:rsidR="00DD1143" w:rsidRPr="00294709" w:rsidRDefault="00DD1143" w:rsidP="00682DD9">
            <w:pPr>
              <w:widowControl/>
              <w:jc w:val="center"/>
              <w:rPr>
                <w:rFonts w:cs="Arial"/>
                <w:b/>
                <w:bCs/>
                <w:snapToGrid/>
                <w:sz w:val="16"/>
                <w:lang w:val="es-MX" w:eastAsia="es-MX"/>
              </w:rPr>
            </w:pPr>
            <w:r w:rsidRPr="00294709">
              <w:rPr>
                <w:rFonts w:cs="Arial"/>
                <w:b/>
                <w:bCs/>
                <w:snapToGrid/>
                <w:sz w:val="16"/>
                <w:lang w:val="es-MX" w:eastAsia="es-MX"/>
              </w:rPr>
              <w:t xml:space="preserve">Variación % real respecto al trimestre previo </w:t>
            </w:r>
          </w:p>
        </w:tc>
        <w:tc>
          <w:tcPr>
            <w:tcW w:w="1701"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hideMark/>
          </w:tcPr>
          <w:p w14:paraId="1B89AD16" w14:textId="1E9BED01" w:rsidR="00DD1143" w:rsidRPr="00294709" w:rsidRDefault="00DD1143" w:rsidP="00682DD9">
            <w:pPr>
              <w:widowControl/>
              <w:jc w:val="center"/>
              <w:rPr>
                <w:rFonts w:cs="Arial"/>
                <w:b/>
                <w:bCs/>
                <w:snapToGrid/>
                <w:sz w:val="16"/>
                <w:lang w:val="es-MX" w:eastAsia="es-MX"/>
              </w:rPr>
            </w:pPr>
            <w:r w:rsidRPr="00294709">
              <w:rPr>
                <w:rFonts w:cs="Arial"/>
                <w:b/>
                <w:bCs/>
                <w:snapToGrid/>
                <w:sz w:val="16"/>
                <w:lang w:val="es-MX" w:eastAsia="es-MX"/>
              </w:rPr>
              <w:t>Variación % real respecto a igual trimestre de 201</w:t>
            </w:r>
            <w:r>
              <w:rPr>
                <w:rFonts w:cs="Arial"/>
                <w:b/>
                <w:bCs/>
                <w:snapToGrid/>
                <w:sz w:val="16"/>
                <w:lang w:val="es-MX" w:eastAsia="es-MX"/>
              </w:rPr>
              <w:t>9</w:t>
            </w:r>
          </w:p>
        </w:tc>
      </w:tr>
      <w:tr w:rsidR="00DD1143" w:rsidRPr="004B5894" w14:paraId="3866E9BF" w14:textId="77777777" w:rsidTr="00DD1143">
        <w:trPr>
          <w:trHeight w:val="255"/>
          <w:jc w:val="center"/>
        </w:trPr>
        <w:tc>
          <w:tcPr>
            <w:tcW w:w="2365" w:type="dxa"/>
            <w:tcBorders>
              <w:top w:val="double" w:sz="4" w:space="0" w:color="auto"/>
              <w:left w:val="double" w:sz="4" w:space="0" w:color="auto"/>
              <w:bottom w:val="nil"/>
              <w:right w:val="double" w:sz="4" w:space="0" w:color="auto"/>
            </w:tcBorders>
            <w:shd w:val="clear" w:color="auto" w:fill="auto"/>
            <w:vAlign w:val="center"/>
            <w:hideMark/>
          </w:tcPr>
          <w:p w14:paraId="55658F5B" w14:textId="77777777" w:rsidR="00DD1143" w:rsidRPr="00294709" w:rsidRDefault="00DD1143" w:rsidP="00480AFC">
            <w:pPr>
              <w:widowControl/>
              <w:rPr>
                <w:rFonts w:cs="Arial"/>
                <w:b/>
                <w:bCs/>
                <w:snapToGrid/>
                <w:color w:val="000000"/>
                <w:sz w:val="16"/>
                <w:lang w:val="es-MX" w:eastAsia="es-MX"/>
              </w:rPr>
            </w:pPr>
            <w:r w:rsidRPr="00294709">
              <w:rPr>
                <w:rFonts w:cs="Arial"/>
                <w:b/>
                <w:bCs/>
                <w:snapToGrid/>
                <w:color w:val="000000"/>
                <w:sz w:val="16"/>
                <w:lang w:val="es-MX" w:eastAsia="es-MX"/>
              </w:rPr>
              <w:t xml:space="preserve">PIB Total </w:t>
            </w:r>
          </w:p>
        </w:tc>
        <w:tc>
          <w:tcPr>
            <w:tcW w:w="1731" w:type="dxa"/>
            <w:tcBorders>
              <w:top w:val="double" w:sz="4" w:space="0" w:color="auto"/>
              <w:left w:val="double" w:sz="4" w:space="0" w:color="auto"/>
              <w:bottom w:val="nil"/>
              <w:right w:val="double" w:sz="4" w:space="0" w:color="auto"/>
            </w:tcBorders>
            <w:shd w:val="clear" w:color="auto" w:fill="auto"/>
            <w:vAlign w:val="center"/>
            <w:hideMark/>
          </w:tcPr>
          <w:p w14:paraId="3439870D" w14:textId="31787AC2" w:rsidR="00DD1143" w:rsidRPr="000D53AE" w:rsidRDefault="002C145F" w:rsidP="00DB40CB">
            <w:pPr>
              <w:widowControl/>
              <w:ind w:right="680"/>
              <w:jc w:val="right"/>
              <w:rPr>
                <w:rFonts w:cs="Arial"/>
                <w:b/>
                <w:snapToGrid/>
                <w:color w:val="000000"/>
                <w:sz w:val="18"/>
                <w:szCs w:val="15"/>
                <w:lang w:val="es-MX" w:eastAsia="es-MX"/>
              </w:rPr>
            </w:pPr>
            <w:r>
              <w:rPr>
                <w:rFonts w:cs="Arial"/>
                <w:b/>
                <w:snapToGrid/>
                <w:color w:val="000000"/>
                <w:sz w:val="18"/>
                <w:szCs w:val="15"/>
                <w:lang w:val="es-MX" w:eastAsia="es-MX"/>
              </w:rPr>
              <w:t>(-) 1.6</w:t>
            </w:r>
          </w:p>
        </w:tc>
        <w:tc>
          <w:tcPr>
            <w:tcW w:w="1701" w:type="dxa"/>
            <w:tcBorders>
              <w:top w:val="double" w:sz="4" w:space="0" w:color="auto"/>
              <w:left w:val="double" w:sz="4" w:space="0" w:color="auto"/>
              <w:bottom w:val="nil"/>
              <w:right w:val="double" w:sz="4" w:space="0" w:color="auto"/>
            </w:tcBorders>
            <w:shd w:val="clear" w:color="auto" w:fill="auto"/>
            <w:vAlign w:val="center"/>
            <w:hideMark/>
          </w:tcPr>
          <w:p w14:paraId="1DFED444" w14:textId="67D145EE" w:rsidR="00DD1143" w:rsidRPr="000D53AE" w:rsidRDefault="00DD1143" w:rsidP="002C145F">
            <w:pPr>
              <w:widowControl/>
              <w:ind w:right="680"/>
              <w:jc w:val="right"/>
              <w:rPr>
                <w:rFonts w:cs="Arial"/>
                <w:b/>
                <w:snapToGrid/>
                <w:color w:val="000000"/>
                <w:sz w:val="18"/>
                <w:szCs w:val="15"/>
                <w:lang w:val="es-MX" w:eastAsia="es-MX"/>
              </w:rPr>
            </w:pPr>
            <w:r w:rsidRPr="000D53AE">
              <w:rPr>
                <w:rFonts w:cs="Arial"/>
                <w:b/>
                <w:snapToGrid/>
                <w:color w:val="000000"/>
                <w:sz w:val="18"/>
                <w:szCs w:val="15"/>
                <w:lang w:val="es-MX" w:eastAsia="es-MX"/>
              </w:rPr>
              <w:t xml:space="preserve">(-) </w:t>
            </w:r>
            <w:r w:rsidR="002C145F">
              <w:rPr>
                <w:rFonts w:cs="Arial"/>
                <w:b/>
                <w:snapToGrid/>
                <w:color w:val="000000"/>
                <w:sz w:val="18"/>
                <w:szCs w:val="15"/>
                <w:lang w:val="es-MX" w:eastAsia="es-MX"/>
              </w:rPr>
              <w:t>2.4</w:t>
            </w:r>
          </w:p>
        </w:tc>
      </w:tr>
      <w:tr w:rsidR="00DD1143" w:rsidRPr="004B5894" w14:paraId="65AB93AD" w14:textId="77777777" w:rsidTr="00DD1143">
        <w:trPr>
          <w:trHeight w:val="300"/>
          <w:jc w:val="center"/>
        </w:trPr>
        <w:tc>
          <w:tcPr>
            <w:tcW w:w="2365" w:type="dxa"/>
            <w:tcBorders>
              <w:top w:val="nil"/>
              <w:left w:val="double" w:sz="4" w:space="0" w:color="auto"/>
              <w:bottom w:val="nil"/>
              <w:right w:val="double" w:sz="4" w:space="0" w:color="auto"/>
            </w:tcBorders>
            <w:shd w:val="clear" w:color="auto" w:fill="auto"/>
            <w:vAlign w:val="center"/>
            <w:hideMark/>
          </w:tcPr>
          <w:p w14:paraId="5F22287D" w14:textId="77777777" w:rsidR="00DD1143" w:rsidRPr="00294709" w:rsidRDefault="00DD1143" w:rsidP="00480AFC">
            <w:pPr>
              <w:widowControl/>
              <w:rPr>
                <w:rFonts w:cs="Arial"/>
                <w:snapToGrid/>
                <w:color w:val="000000"/>
                <w:sz w:val="16"/>
                <w:lang w:val="es-MX" w:eastAsia="es-MX"/>
              </w:rPr>
            </w:pPr>
            <w:r w:rsidRPr="00294709">
              <w:rPr>
                <w:rFonts w:cs="Arial"/>
                <w:snapToGrid/>
                <w:color w:val="000000"/>
                <w:sz w:val="16"/>
                <w:lang w:val="es-MX" w:eastAsia="es-MX"/>
              </w:rPr>
              <w:t xml:space="preserve">     Actividades Primarias </w:t>
            </w:r>
          </w:p>
        </w:tc>
        <w:tc>
          <w:tcPr>
            <w:tcW w:w="1731" w:type="dxa"/>
            <w:tcBorders>
              <w:top w:val="nil"/>
              <w:left w:val="double" w:sz="4" w:space="0" w:color="auto"/>
              <w:bottom w:val="nil"/>
              <w:right w:val="double" w:sz="4" w:space="0" w:color="auto"/>
            </w:tcBorders>
            <w:shd w:val="clear" w:color="auto" w:fill="auto"/>
            <w:vAlign w:val="center"/>
            <w:hideMark/>
          </w:tcPr>
          <w:p w14:paraId="3C783706" w14:textId="1734EA58" w:rsidR="00DD1143" w:rsidRPr="000D53AE" w:rsidRDefault="002C145F" w:rsidP="00DB40CB">
            <w:pPr>
              <w:widowControl/>
              <w:ind w:right="680"/>
              <w:jc w:val="right"/>
              <w:rPr>
                <w:rFonts w:cs="Arial"/>
                <w:snapToGrid/>
                <w:color w:val="000000"/>
                <w:sz w:val="18"/>
                <w:szCs w:val="15"/>
                <w:lang w:val="es-MX" w:eastAsia="es-MX"/>
              </w:rPr>
            </w:pPr>
            <w:r>
              <w:rPr>
                <w:rFonts w:cs="Arial"/>
                <w:snapToGrid/>
                <w:color w:val="000000"/>
                <w:sz w:val="18"/>
                <w:szCs w:val="15"/>
                <w:lang w:val="es-MX" w:eastAsia="es-MX"/>
              </w:rPr>
              <w:t>0.5</w:t>
            </w:r>
          </w:p>
        </w:tc>
        <w:tc>
          <w:tcPr>
            <w:tcW w:w="1701" w:type="dxa"/>
            <w:tcBorders>
              <w:top w:val="nil"/>
              <w:left w:val="double" w:sz="4" w:space="0" w:color="auto"/>
              <w:bottom w:val="nil"/>
              <w:right w:val="double" w:sz="4" w:space="0" w:color="auto"/>
            </w:tcBorders>
            <w:shd w:val="clear" w:color="auto" w:fill="auto"/>
            <w:vAlign w:val="center"/>
            <w:hideMark/>
          </w:tcPr>
          <w:p w14:paraId="6AE3C56E" w14:textId="22BFB9C8" w:rsidR="00DD1143" w:rsidRPr="000D53AE" w:rsidRDefault="00DD1143" w:rsidP="00DB40CB">
            <w:pPr>
              <w:widowControl/>
              <w:ind w:right="680"/>
              <w:jc w:val="right"/>
              <w:rPr>
                <w:rFonts w:cs="Arial"/>
                <w:snapToGrid/>
                <w:color w:val="000000"/>
                <w:sz w:val="18"/>
                <w:szCs w:val="15"/>
                <w:lang w:val="es-MX" w:eastAsia="es-MX"/>
              </w:rPr>
            </w:pPr>
            <w:r>
              <w:rPr>
                <w:rFonts w:cs="Arial"/>
                <w:snapToGrid/>
                <w:color w:val="000000"/>
                <w:sz w:val="18"/>
                <w:szCs w:val="15"/>
                <w:lang w:val="es-MX" w:eastAsia="es-MX"/>
              </w:rPr>
              <w:t>1.</w:t>
            </w:r>
            <w:r w:rsidR="002C145F">
              <w:rPr>
                <w:rFonts w:cs="Arial"/>
                <w:snapToGrid/>
                <w:color w:val="000000"/>
                <w:sz w:val="18"/>
                <w:szCs w:val="15"/>
                <w:lang w:val="es-MX" w:eastAsia="es-MX"/>
              </w:rPr>
              <w:t>2</w:t>
            </w:r>
          </w:p>
        </w:tc>
      </w:tr>
      <w:tr w:rsidR="00DD1143" w:rsidRPr="004B5894" w14:paraId="4230AF55" w14:textId="77777777" w:rsidTr="00DD1143">
        <w:trPr>
          <w:trHeight w:val="300"/>
          <w:jc w:val="center"/>
        </w:trPr>
        <w:tc>
          <w:tcPr>
            <w:tcW w:w="2365" w:type="dxa"/>
            <w:tcBorders>
              <w:top w:val="nil"/>
              <w:left w:val="double" w:sz="4" w:space="0" w:color="auto"/>
              <w:bottom w:val="nil"/>
              <w:right w:val="double" w:sz="4" w:space="0" w:color="auto"/>
            </w:tcBorders>
            <w:shd w:val="clear" w:color="auto" w:fill="auto"/>
            <w:vAlign w:val="center"/>
            <w:hideMark/>
          </w:tcPr>
          <w:p w14:paraId="024D36C2" w14:textId="77777777" w:rsidR="00DD1143" w:rsidRPr="00294709" w:rsidRDefault="00DD1143" w:rsidP="00480AFC">
            <w:pPr>
              <w:widowControl/>
              <w:rPr>
                <w:rFonts w:cs="Arial"/>
                <w:snapToGrid/>
                <w:color w:val="000000"/>
                <w:sz w:val="16"/>
                <w:lang w:val="es-MX" w:eastAsia="es-MX"/>
              </w:rPr>
            </w:pPr>
            <w:r w:rsidRPr="00294709">
              <w:rPr>
                <w:rFonts w:cs="Arial"/>
                <w:snapToGrid/>
                <w:color w:val="000000"/>
                <w:sz w:val="16"/>
                <w:lang w:val="es-MX" w:eastAsia="es-MX"/>
              </w:rPr>
              <w:t xml:space="preserve">     Actividades Secundarias </w:t>
            </w:r>
          </w:p>
        </w:tc>
        <w:tc>
          <w:tcPr>
            <w:tcW w:w="1731" w:type="dxa"/>
            <w:tcBorders>
              <w:top w:val="nil"/>
              <w:left w:val="double" w:sz="4" w:space="0" w:color="auto"/>
              <w:bottom w:val="nil"/>
              <w:right w:val="double" w:sz="4" w:space="0" w:color="auto"/>
            </w:tcBorders>
            <w:shd w:val="clear" w:color="auto" w:fill="auto"/>
            <w:vAlign w:val="center"/>
            <w:hideMark/>
          </w:tcPr>
          <w:p w14:paraId="673A5AF5" w14:textId="09743C76" w:rsidR="00DD1143" w:rsidRPr="000D53AE" w:rsidRDefault="00DD1143" w:rsidP="00DB40CB">
            <w:pPr>
              <w:widowControl/>
              <w:ind w:right="680"/>
              <w:jc w:val="right"/>
              <w:rPr>
                <w:rFonts w:cs="Arial"/>
                <w:snapToGrid/>
                <w:color w:val="000000"/>
                <w:sz w:val="18"/>
                <w:szCs w:val="15"/>
                <w:lang w:val="es-MX" w:eastAsia="es-MX"/>
              </w:rPr>
            </w:pPr>
            <w:r w:rsidRPr="000D53AE">
              <w:rPr>
                <w:rFonts w:cs="Arial"/>
                <w:snapToGrid/>
                <w:color w:val="000000"/>
                <w:sz w:val="18"/>
                <w:szCs w:val="15"/>
                <w:lang w:val="es-MX" w:eastAsia="es-MX"/>
              </w:rPr>
              <w:t xml:space="preserve">(-) </w:t>
            </w:r>
            <w:r>
              <w:rPr>
                <w:rFonts w:cs="Arial"/>
                <w:snapToGrid/>
                <w:color w:val="000000"/>
                <w:sz w:val="18"/>
                <w:szCs w:val="15"/>
                <w:lang w:val="es-MX" w:eastAsia="es-MX"/>
              </w:rPr>
              <w:t>1.</w:t>
            </w:r>
            <w:r w:rsidR="002C145F">
              <w:rPr>
                <w:rFonts w:cs="Arial"/>
                <w:snapToGrid/>
                <w:color w:val="000000"/>
                <w:sz w:val="18"/>
                <w:szCs w:val="15"/>
                <w:lang w:val="es-MX" w:eastAsia="es-MX"/>
              </w:rPr>
              <w:t>4</w:t>
            </w:r>
          </w:p>
        </w:tc>
        <w:tc>
          <w:tcPr>
            <w:tcW w:w="1701" w:type="dxa"/>
            <w:tcBorders>
              <w:top w:val="nil"/>
              <w:left w:val="double" w:sz="4" w:space="0" w:color="auto"/>
              <w:bottom w:val="nil"/>
              <w:right w:val="double" w:sz="4" w:space="0" w:color="auto"/>
            </w:tcBorders>
            <w:shd w:val="clear" w:color="auto" w:fill="auto"/>
            <w:vAlign w:val="center"/>
            <w:hideMark/>
          </w:tcPr>
          <w:p w14:paraId="44C068D5" w14:textId="49A6560C" w:rsidR="00DD1143" w:rsidRPr="000D53AE" w:rsidRDefault="00DD1143" w:rsidP="002C145F">
            <w:pPr>
              <w:widowControl/>
              <w:ind w:right="680"/>
              <w:jc w:val="right"/>
              <w:rPr>
                <w:rFonts w:cs="Arial"/>
                <w:snapToGrid/>
                <w:color w:val="000000"/>
                <w:sz w:val="18"/>
                <w:szCs w:val="15"/>
                <w:lang w:val="es-MX" w:eastAsia="es-MX"/>
              </w:rPr>
            </w:pPr>
            <w:r w:rsidRPr="000D53AE">
              <w:rPr>
                <w:rFonts w:cs="Arial"/>
                <w:snapToGrid/>
                <w:color w:val="000000"/>
                <w:sz w:val="18"/>
                <w:szCs w:val="15"/>
                <w:lang w:val="es-MX" w:eastAsia="es-MX"/>
              </w:rPr>
              <w:t xml:space="preserve">(-)  </w:t>
            </w:r>
            <w:r w:rsidR="002C145F">
              <w:rPr>
                <w:rFonts w:cs="Arial"/>
                <w:snapToGrid/>
                <w:color w:val="000000"/>
                <w:sz w:val="18"/>
                <w:szCs w:val="15"/>
                <w:lang w:val="es-MX" w:eastAsia="es-MX"/>
              </w:rPr>
              <w:t>3.8</w:t>
            </w:r>
          </w:p>
        </w:tc>
      </w:tr>
      <w:tr w:rsidR="00DD1143" w:rsidRPr="004B5894" w14:paraId="1844388F" w14:textId="77777777" w:rsidTr="00DD1143">
        <w:trPr>
          <w:trHeight w:val="300"/>
          <w:jc w:val="center"/>
        </w:trPr>
        <w:tc>
          <w:tcPr>
            <w:tcW w:w="2365" w:type="dxa"/>
            <w:tcBorders>
              <w:top w:val="nil"/>
              <w:left w:val="double" w:sz="4" w:space="0" w:color="auto"/>
              <w:bottom w:val="double" w:sz="4" w:space="0" w:color="auto"/>
              <w:right w:val="double" w:sz="4" w:space="0" w:color="auto"/>
            </w:tcBorders>
            <w:shd w:val="clear" w:color="auto" w:fill="auto"/>
            <w:vAlign w:val="center"/>
            <w:hideMark/>
          </w:tcPr>
          <w:p w14:paraId="60C31D0E" w14:textId="77777777" w:rsidR="00DD1143" w:rsidRPr="00294709" w:rsidRDefault="00DD1143" w:rsidP="00480AFC">
            <w:pPr>
              <w:widowControl/>
              <w:rPr>
                <w:rFonts w:cs="Arial"/>
                <w:snapToGrid/>
                <w:color w:val="000000"/>
                <w:sz w:val="16"/>
                <w:lang w:val="es-MX" w:eastAsia="es-MX"/>
              </w:rPr>
            </w:pPr>
            <w:r w:rsidRPr="00294709">
              <w:rPr>
                <w:rFonts w:cs="Arial"/>
                <w:snapToGrid/>
                <w:color w:val="000000"/>
                <w:sz w:val="16"/>
                <w:lang w:val="es-MX" w:eastAsia="es-MX"/>
              </w:rPr>
              <w:t xml:space="preserve">     Actividades Terciarias </w:t>
            </w:r>
          </w:p>
        </w:tc>
        <w:tc>
          <w:tcPr>
            <w:tcW w:w="1731" w:type="dxa"/>
            <w:tcBorders>
              <w:top w:val="nil"/>
              <w:left w:val="double" w:sz="4" w:space="0" w:color="auto"/>
              <w:bottom w:val="double" w:sz="4" w:space="0" w:color="auto"/>
              <w:right w:val="double" w:sz="4" w:space="0" w:color="auto"/>
            </w:tcBorders>
            <w:shd w:val="clear" w:color="auto" w:fill="auto"/>
            <w:vAlign w:val="center"/>
            <w:hideMark/>
          </w:tcPr>
          <w:p w14:paraId="383E7F5F" w14:textId="2A65A369" w:rsidR="00DD1143" w:rsidRPr="000D53AE" w:rsidRDefault="002C145F" w:rsidP="002C145F">
            <w:pPr>
              <w:widowControl/>
              <w:ind w:right="680"/>
              <w:jc w:val="right"/>
              <w:rPr>
                <w:rFonts w:cs="Arial"/>
                <w:snapToGrid/>
                <w:color w:val="000000"/>
                <w:sz w:val="18"/>
                <w:szCs w:val="15"/>
                <w:lang w:val="es-MX" w:eastAsia="es-MX"/>
              </w:rPr>
            </w:pPr>
            <w:r>
              <w:rPr>
                <w:rFonts w:cs="Arial"/>
                <w:snapToGrid/>
                <w:color w:val="000000"/>
                <w:sz w:val="18"/>
                <w:szCs w:val="15"/>
                <w:lang w:val="es-MX" w:eastAsia="es-MX"/>
              </w:rPr>
              <w:t>(-) 1.4</w:t>
            </w:r>
          </w:p>
        </w:tc>
        <w:tc>
          <w:tcPr>
            <w:tcW w:w="1701" w:type="dxa"/>
            <w:tcBorders>
              <w:top w:val="nil"/>
              <w:left w:val="double" w:sz="4" w:space="0" w:color="auto"/>
              <w:bottom w:val="double" w:sz="4" w:space="0" w:color="auto"/>
              <w:right w:val="double" w:sz="4" w:space="0" w:color="auto"/>
            </w:tcBorders>
            <w:shd w:val="clear" w:color="auto" w:fill="auto"/>
            <w:vAlign w:val="center"/>
            <w:hideMark/>
          </w:tcPr>
          <w:p w14:paraId="50A93ED2" w14:textId="372E696F" w:rsidR="00DD1143" w:rsidRPr="000D53AE" w:rsidRDefault="002C145F" w:rsidP="00DB40CB">
            <w:pPr>
              <w:widowControl/>
              <w:ind w:right="680"/>
              <w:jc w:val="right"/>
              <w:rPr>
                <w:rFonts w:cs="Arial"/>
                <w:snapToGrid/>
                <w:color w:val="000000"/>
                <w:sz w:val="18"/>
                <w:szCs w:val="15"/>
                <w:lang w:val="es-MX" w:eastAsia="es-MX"/>
              </w:rPr>
            </w:pPr>
            <w:r>
              <w:rPr>
                <w:rFonts w:cs="Arial"/>
                <w:snapToGrid/>
                <w:color w:val="000000"/>
                <w:sz w:val="18"/>
                <w:szCs w:val="15"/>
                <w:lang w:val="es-MX" w:eastAsia="es-MX"/>
              </w:rPr>
              <w:t>(-)  1.4</w:t>
            </w:r>
          </w:p>
        </w:tc>
      </w:tr>
    </w:tbl>
    <w:p w14:paraId="0C3A892A" w14:textId="0DB05C09" w:rsidR="00A82556" w:rsidRDefault="00A82556" w:rsidP="00045F5B">
      <w:pPr>
        <w:pStyle w:val="bullet"/>
        <w:numPr>
          <w:ilvl w:val="0"/>
          <w:numId w:val="0"/>
        </w:numPr>
        <w:spacing w:before="0"/>
        <w:ind w:left="2127" w:right="1469" w:hanging="567"/>
        <w:rPr>
          <w:rFonts w:cs="Arial"/>
          <w:b w:val="0"/>
          <w:color w:val="000000" w:themeColor="text1"/>
          <w:sz w:val="16"/>
          <w:szCs w:val="16"/>
          <w:lang w:val="es-MX"/>
        </w:rPr>
      </w:pPr>
      <w:r w:rsidRPr="00A0204E">
        <w:rPr>
          <w:rFonts w:cs="Arial"/>
          <w:b w:val="0"/>
          <w:color w:val="000000" w:themeColor="text1"/>
          <w:sz w:val="16"/>
          <w:szCs w:val="16"/>
          <w:lang w:val="es-MX"/>
        </w:rPr>
        <w:t>Notas: Cifras Oportunas. La estimación oportuna no re</w:t>
      </w:r>
      <w:r>
        <w:rPr>
          <w:rFonts w:cs="Arial"/>
          <w:b w:val="0"/>
          <w:color w:val="000000" w:themeColor="text1"/>
          <w:sz w:val="16"/>
          <w:szCs w:val="16"/>
          <w:lang w:val="es-MX"/>
        </w:rPr>
        <w:t>e</w:t>
      </w:r>
      <w:r w:rsidRPr="00A0204E">
        <w:rPr>
          <w:rFonts w:cs="Arial"/>
          <w:b w:val="0"/>
          <w:color w:val="000000" w:themeColor="text1"/>
          <w:sz w:val="16"/>
          <w:szCs w:val="16"/>
          <w:lang w:val="es-MX"/>
        </w:rPr>
        <w:t>mplaza a la estimación</w:t>
      </w:r>
      <w:r w:rsidR="00045F5B">
        <w:rPr>
          <w:rFonts w:cs="Arial"/>
          <w:b w:val="0"/>
          <w:color w:val="000000" w:themeColor="text1"/>
          <w:sz w:val="16"/>
          <w:szCs w:val="16"/>
          <w:lang w:val="es-MX"/>
        </w:rPr>
        <w:t xml:space="preserve"> </w:t>
      </w:r>
      <w:r w:rsidRPr="00A0204E">
        <w:rPr>
          <w:rFonts w:cs="Arial"/>
          <w:b w:val="0"/>
          <w:color w:val="000000" w:themeColor="text1"/>
          <w:sz w:val="16"/>
          <w:szCs w:val="16"/>
          <w:lang w:val="es-MX"/>
        </w:rPr>
        <w:t>tradicional.</w:t>
      </w:r>
    </w:p>
    <w:p w14:paraId="3CACC11D" w14:textId="77777777" w:rsidR="00A82556" w:rsidRDefault="00A82556" w:rsidP="002C145F">
      <w:pPr>
        <w:pStyle w:val="bullet"/>
        <w:numPr>
          <w:ilvl w:val="0"/>
          <w:numId w:val="0"/>
        </w:numPr>
        <w:spacing w:before="0"/>
        <w:ind w:left="2127" w:right="1610"/>
        <w:rPr>
          <w:rFonts w:cs="Arial"/>
          <w:b w:val="0"/>
          <w:color w:val="auto"/>
          <w:sz w:val="16"/>
        </w:rPr>
      </w:pPr>
      <w:r w:rsidRPr="009570BB">
        <w:rPr>
          <w:rFonts w:cs="Arial"/>
          <w:b w:val="0"/>
          <w:color w:val="auto"/>
          <w:sz w:val="16"/>
        </w:rPr>
        <w:t>La serie desestacionalizada de</w:t>
      </w:r>
      <w:r>
        <w:rPr>
          <w:rFonts w:cs="Arial"/>
          <w:b w:val="0"/>
          <w:color w:val="auto"/>
          <w:sz w:val="16"/>
        </w:rPr>
        <w:t>l</w:t>
      </w:r>
      <w:r w:rsidRPr="009570BB">
        <w:rPr>
          <w:rFonts w:cs="Arial"/>
          <w:b w:val="0"/>
          <w:color w:val="auto"/>
          <w:sz w:val="16"/>
        </w:rPr>
        <w:t xml:space="preserve"> </w:t>
      </w:r>
      <w:r>
        <w:rPr>
          <w:rFonts w:cs="Arial"/>
          <w:b w:val="0"/>
          <w:color w:val="auto"/>
          <w:sz w:val="16"/>
        </w:rPr>
        <w:t>agregado</w:t>
      </w:r>
      <w:r w:rsidRPr="009570BB">
        <w:rPr>
          <w:rFonts w:cs="Arial"/>
          <w:b w:val="0"/>
          <w:color w:val="auto"/>
          <w:sz w:val="16"/>
        </w:rPr>
        <w:t xml:space="preserve"> se calcula de manera independiente a la de sus</w:t>
      </w:r>
      <w:r>
        <w:rPr>
          <w:rFonts w:cs="Arial"/>
          <w:b w:val="0"/>
          <w:color w:val="auto"/>
          <w:sz w:val="16"/>
        </w:rPr>
        <w:t xml:space="preserve"> </w:t>
      </w:r>
      <w:r w:rsidRPr="009570BB">
        <w:rPr>
          <w:rFonts w:cs="Arial"/>
          <w:b w:val="0"/>
          <w:color w:val="auto"/>
          <w:sz w:val="16"/>
        </w:rPr>
        <w:t>componentes.</w:t>
      </w:r>
    </w:p>
    <w:p w14:paraId="4A79397F" w14:textId="77777777" w:rsidR="00A82556" w:rsidRDefault="00A82556" w:rsidP="00EF4CD3">
      <w:pPr>
        <w:widowControl/>
        <w:ind w:left="1560" w:right="1610"/>
        <w:jc w:val="both"/>
        <w:rPr>
          <w:rFonts w:cs="Arial"/>
          <w:color w:val="000000" w:themeColor="text1"/>
          <w:sz w:val="16"/>
          <w:szCs w:val="16"/>
        </w:rPr>
      </w:pPr>
      <w:r w:rsidRPr="004C5D14">
        <w:rPr>
          <w:rFonts w:cs="Arial"/>
          <w:color w:val="000000" w:themeColor="text1"/>
          <w:sz w:val="16"/>
          <w:szCs w:val="16"/>
        </w:rPr>
        <w:t>Fuente: INEGI.</w:t>
      </w:r>
    </w:p>
    <w:p w14:paraId="6E7EACE0" w14:textId="77777777" w:rsidR="00190737" w:rsidRDefault="00190737" w:rsidP="00EF4CD3">
      <w:pPr>
        <w:pStyle w:val="bullet"/>
        <w:numPr>
          <w:ilvl w:val="0"/>
          <w:numId w:val="0"/>
        </w:numPr>
        <w:spacing w:before="360"/>
        <w:ind w:right="902"/>
        <w:rPr>
          <w:i/>
          <w:color w:val="auto"/>
        </w:rPr>
      </w:pPr>
    </w:p>
    <w:p w14:paraId="7FC26FF9" w14:textId="77777777" w:rsidR="00190737" w:rsidRDefault="00190737" w:rsidP="00EF4CD3">
      <w:pPr>
        <w:pStyle w:val="bullet"/>
        <w:numPr>
          <w:ilvl w:val="0"/>
          <w:numId w:val="0"/>
        </w:numPr>
        <w:spacing w:before="360"/>
        <w:ind w:right="902"/>
        <w:rPr>
          <w:i/>
          <w:color w:val="auto"/>
        </w:rPr>
      </w:pPr>
    </w:p>
    <w:p w14:paraId="215F36C4" w14:textId="77777777" w:rsidR="00190737" w:rsidRDefault="00190737" w:rsidP="00EF4CD3">
      <w:pPr>
        <w:pStyle w:val="bullet"/>
        <w:numPr>
          <w:ilvl w:val="0"/>
          <w:numId w:val="0"/>
        </w:numPr>
        <w:spacing w:before="360"/>
        <w:ind w:right="902"/>
        <w:rPr>
          <w:i/>
          <w:color w:val="auto"/>
        </w:rPr>
      </w:pPr>
    </w:p>
    <w:p w14:paraId="0CB46BFD" w14:textId="77777777" w:rsidR="00317CAA" w:rsidRDefault="00317CAA" w:rsidP="00EF4CD3">
      <w:pPr>
        <w:pStyle w:val="bullet"/>
        <w:numPr>
          <w:ilvl w:val="0"/>
          <w:numId w:val="0"/>
        </w:numPr>
        <w:spacing w:before="360"/>
        <w:ind w:right="902"/>
        <w:rPr>
          <w:i/>
          <w:color w:val="auto"/>
        </w:rPr>
      </w:pPr>
    </w:p>
    <w:p w14:paraId="2EFCF72D" w14:textId="7393EB3D" w:rsidR="005E3FC4" w:rsidRDefault="005E3FC4" w:rsidP="00EF4CD3">
      <w:pPr>
        <w:pStyle w:val="bullet"/>
        <w:numPr>
          <w:ilvl w:val="0"/>
          <w:numId w:val="0"/>
        </w:numPr>
        <w:spacing w:before="360"/>
        <w:ind w:right="902"/>
        <w:rPr>
          <w:i/>
          <w:color w:val="auto"/>
          <w:sz w:val="24"/>
          <w:szCs w:val="24"/>
        </w:rPr>
      </w:pPr>
      <w:r w:rsidRPr="005E3FC4">
        <w:rPr>
          <w:i/>
          <w:color w:val="auto"/>
        </w:rPr>
        <w:t>Cifras originales</w:t>
      </w:r>
    </w:p>
    <w:p w14:paraId="39A34D45" w14:textId="77777777" w:rsidR="005E3FC4" w:rsidRPr="00DC6F94" w:rsidRDefault="005E3FC4" w:rsidP="00EF4CD3">
      <w:pPr>
        <w:pStyle w:val="bullet"/>
        <w:numPr>
          <w:ilvl w:val="0"/>
          <w:numId w:val="0"/>
        </w:numPr>
        <w:spacing w:before="360"/>
        <w:ind w:right="-91"/>
        <w:rPr>
          <w:b w:val="0"/>
          <w:i/>
          <w:color w:val="auto"/>
          <w:sz w:val="24"/>
          <w:szCs w:val="24"/>
        </w:rPr>
      </w:pPr>
      <w:r w:rsidRPr="005E3FC4">
        <w:rPr>
          <w:b w:val="0"/>
          <w:color w:val="auto"/>
          <w:sz w:val="24"/>
        </w:rPr>
        <w:t xml:space="preserve">En el siguiente cuadro se </w:t>
      </w:r>
      <w:r w:rsidR="00E042EC">
        <w:rPr>
          <w:b w:val="0"/>
          <w:color w:val="auto"/>
          <w:sz w:val="24"/>
        </w:rPr>
        <w:t>presentan</w:t>
      </w:r>
      <w:r w:rsidRPr="005E3FC4">
        <w:rPr>
          <w:b w:val="0"/>
          <w:color w:val="auto"/>
          <w:sz w:val="24"/>
        </w:rPr>
        <w:t xml:space="preserve"> los resultados originales de la Estimación Oportuna del PIB trimestral por actividad:</w:t>
      </w:r>
    </w:p>
    <w:p w14:paraId="59C67B17" w14:textId="5E35BEA0" w:rsidR="00EF4CD3" w:rsidRPr="00EA3CFD" w:rsidRDefault="00EF4CD3" w:rsidP="00EF4CD3">
      <w:pPr>
        <w:pStyle w:val="bullet"/>
        <w:numPr>
          <w:ilvl w:val="0"/>
          <w:numId w:val="0"/>
        </w:numPr>
        <w:spacing w:before="360"/>
        <w:ind w:right="0"/>
        <w:jc w:val="center"/>
        <w:rPr>
          <w:rFonts w:cs="Arial"/>
          <w:smallCaps/>
          <w:color w:val="auto"/>
          <w:sz w:val="21"/>
          <w:szCs w:val="21"/>
        </w:rPr>
      </w:pPr>
      <w:r w:rsidRPr="00EF4CD3">
        <w:rPr>
          <w:smallCaps/>
          <w:color w:val="auto"/>
          <w:sz w:val="21"/>
          <w:szCs w:val="21"/>
        </w:rPr>
        <w:t>Estimación Oportuna del</w:t>
      </w:r>
      <w:r w:rsidRPr="00EF4CD3">
        <w:rPr>
          <w:rFonts w:cs="Arial"/>
          <w:smallCaps/>
          <w:color w:val="auto"/>
          <w:sz w:val="21"/>
          <w:szCs w:val="21"/>
        </w:rPr>
        <w:t xml:space="preserve"> </w:t>
      </w:r>
      <w:r w:rsidRPr="00EA3CFD">
        <w:rPr>
          <w:rFonts w:cs="Arial"/>
          <w:smallCaps/>
          <w:color w:val="auto"/>
          <w:sz w:val="21"/>
          <w:szCs w:val="21"/>
        </w:rPr>
        <w:t>Producto Interno Bruto</w:t>
      </w:r>
    </w:p>
    <w:p w14:paraId="2E6D1738" w14:textId="644D52C8" w:rsidR="00EF4CD3" w:rsidRPr="00EA3CFD" w:rsidRDefault="00EF4CD3" w:rsidP="00EF4CD3">
      <w:pPr>
        <w:pStyle w:val="bullet"/>
        <w:numPr>
          <w:ilvl w:val="0"/>
          <w:numId w:val="0"/>
        </w:numPr>
        <w:spacing w:before="0"/>
        <w:ind w:right="0"/>
        <w:jc w:val="center"/>
        <w:rPr>
          <w:rFonts w:cs="Arial"/>
          <w:smallCaps/>
          <w:color w:val="auto"/>
          <w:sz w:val="21"/>
          <w:szCs w:val="21"/>
        </w:rPr>
      </w:pPr>
      <w:r w:rsidRPr="00EA3CFD">
        <w:rPr>
          <w:rFonts w:cs="Arial"/>
          <w:smallCaps/>
          <w:color w:val="auto"/>
          <w:sz w:val="21"/>
          <w:szCs w:val="21"/>
        </w:rPr>
        <w:t xml:space="preserve">al </w:t>
      </w:r>
      <w:r>
        <w:rPr>
          <w:rFonts w:cs="Arial"/>
          <w:smallCaps/>
          <w:color w:val="auto"/>
          <w:sz w:val="21"/>
          <w:szCs w:val="21"/>
        </w:rPr>
        <w:t>primer</w:t>
      </w:r>
      <w:r w:rsidRPr="00EA3CFD">
        <w:rPr>
          <w:rFonts w:cs="Arial"/>
          <w:smallCaps/>
          <w:color w:val="auto"/>
          <w:sz w:val="21"/>
          <w:szCs w:val="21"/>
        </w:rPr>
        <w:t xml:space="preserve"> trimestre de 20</w:t>
      </w:r>
      <w:r>
        <w:rPr>
          <w:rFonts w:cs="Arial"/>
          <w:smallCaps/>
          <w:color w:val="auto"/>
          <w:sz w:val="21"/>
          <w:szCs w:val="21"/>
        </w:rPr>
        <w:t>20</w:t>
      </w:r>
    </w:p>
    <w:p w14:paraId="2A208E78" w14:textId="77777777" w:rsidR="00EF4CD3" w:rsidRDefault="00EF4CD3" w:rsidP="00EF4CD3">
      <w:pPr>
        <w:pStyle w:val="bullet"/>
        <w:numPr>
          <w:ilvl w:val="0"/>
          <w:numId w:val="0"/>
        </w:numPr>
        <w:spacing w:before="0"/>
        <w:ind w:right="0"/>
        <w:jc w:val="center"/>
        <w:rPr>
          <w:rFonts w:cs="Arial"/>
          <w:b w:val="0"/>
          <w:bCs/>
          <w:snapToGrid/>
          <w:color w:val="000000" w:themeColor="text1"/>
          <w:sz w:val="18"/>
          <w:lang w:val="es-MX" w:eastAsia="es-MX"/>
        </w:rPr>
      </w:pPr>
      <w:r>
        <w:rPr>
          <w:rFonts w:cs="Arial"/>
          <w:b w:val="0"/>
          <w:bCs/>
          <w:snapToGrid/>
          <w:color w:val="000000" w:themeColor="text1"/>
          <w:sz w:val="18"/>
          <w:lang w:val="es-MX" w:eastAsia="es-MX"/>
        </w:rPr>
        <w:t>(</w:t>
      </w:r>
      <w:r w:rsidRPr="00752485">
        <w:rPr>
          <w:rFonts w:cs="Arial"/>
          <w:b w:val="0"/>
          <w:bCs/>
          <w:snapToGrid/>
          <w:color w:val="000000" w:themeColor="text1"/>
          <w:sz w:val="18"/>
          <w:lang w:val="es-MX" w:eastAsia="es-MX"/>
        </w:rPr>
        <w:t>Variación %</w:t>
      </w:r>
      <w:r>
        <w:rPr>
          <w:rFonts w:cs="Arial"/>
          <w:b w:val="0"/>
          <w:bCs/>
          <w:snapToGrid/>
          <w:color w:val="000000" w:themeColor="text1"/>
          <w:sz w:val="18"/>
          <w:lang w:val="es-MX" w:eastAsia="es-MX"/>
        </w:rPr>
        <w:t xml:space="preserve"> real respecto a igual periodo</w:t>
      </w:r>
      <w:r w:rsidRPr="00752485">
        <w:rPr>
          <w:rFonts w:cs="Arial"/>
          <w:b w:val="0"/>
          <w:bCs/>
          <w:snapToGrid/>
          <w:color w:val="000000" w:themeColor="text1"/>
          <w:sz w:val="18"/>
          <w:lang w:val="es-MX" w:eastAsia="es-MX"/>
        </w:rPr>
        <w:t xml:space="preserve"> de</w:t>
      </w:r>
      <w:r>
        <w:rPr>
          <w:rFonts w:cs="Arial"/>
          <w:b w:val="0"/>
          <w:bCs/>
          <w:snapToGrid/>
          <w:color w:val="000000" w:themeColor="text1"/>
          <w:sz w:val="18"/>
          <w:lang w:val="es-MX" w:eastAsia="es-MX"/>
        </w:rPr>
        <w:t>l año anterior)</w:t>
      </w:r>
    </w:p>
    <w:tbl>
      <w:tblPr>
        <w:tblStyle w:val="Tablaconcuadrcula"/>
        <w:tblW w:w="7782" w:type="dxa"/>
        <w:jc w:val="center"/>
        <w:tblBorders>
          <w:top w:val="double" w:sz="4" w:space="0" w:color="000000"/>
          <w:left w:val="double" w:sz="4" w:space="0" w:color="000000"/>
          <w:bottom w:val="double" w:sz="4" w:space="0" w:color="000000"/>
          <w:right w:val="double" w:sz="4" w:space="0" w:color="000000"/>
          <w:insideH w:val="none" w:sz="0" w:space="0" w:color="auto"/>
          <w:insideV w:val="none" w:sz="0" w:space="0" w:color="auto"/>
        </w:tblBorders>
        <w:tblLook w:val="04A0" w:firstRow="1" w:lastRow="0" w:firstColumn="1" w:lastColumn="0" w:noHBand="0" w:noVBand="1"/>
      </w:tblPr>
      <w:tblGrid>
        <w:gridCol w:w="2457"/>
        <w:gridCol w:w="789"/>
        <w:gridCol w:w="905"/>
        <w:gridCol w:w="817"/>
        <w:gridCol w:w="829"/>
        <w:gridCol w:w="993"/>
        <w:gridCol w:w="992"/>
      </w:tblGrid>
      <w:tr w:rsidR="00EF4CD3" w:rsidRPr="007F656F" w14:paraId="141AF94E" w14:textId="77777777" w:rsidTr="00550B22">
        <w:trPr>
          <w:trHeight w:val="179"/>
          <w:jc w:val="center"/>
        </w:trPr>
        <w:tc>
          <w:tcPr>
            <w:tcW w:w="2457" w:type="dxa"/>
            <w:vMerge w:val="restart"/>
            <w:tcBorders>
              <w:top w:val="double" w:sz="4" w:space="0" w:color="000000"/>
              <w:bottom w:val="nil"/>
              <w:right w:val="double" w:sz="4" w:space="0" w:color="000000"/>
            </w:tcBorders>
            <w:shd w:val="clear" w:color="auto" w:fill="D6E3BC" w:themeFill="accent3" w:themeFillTint="66"/>
            <w:vAlign w:val="center"/>
          </w:tcPr>
          <w:p w14:paraId="3E06643D" w14:textId="77777777" w:rsidR="00EF4CD3" w:rsidRPr="00294709" w:rsidRDefault="00EF4CD3" w:rsidP="008F5D0F">
            <w:pPr>
              <w:widowControl/>
              <w:jc w:val="center"/>
              <w:rPr>
                <w:rFonts w:cs="Arial"/>
                <w:b/>
                <w:bCs/>
                <w:snapToGrid/>
                <w:sz w:val="16"/>
                <w:szCs w:val="14"/>
                <w:lang w:val="es-MX" w:eastAsia="es-MX"/>
              </w:rPr>
            </w:pPr>
            <w:r w:rsidRPr="00294709">
              <w:rPr>
                <w:rFonts w:cs="Arial"/>
                <w:b/>
                <w:bCs/>
                <w:snapToGrid/>
                <w:sz w:val="16"/>
                <w:szCs w:val="14"/>
                <w:lang w:val="es-MX" w:eastAsia="es-MX"/>
              </w:rPr>
              <w:t>Concepto</w:t>
            </w:r>
          </w:p>
        </w:tc>
        <w:tc>
          <w:tcPr>
            <w:tcW w:w="4333" w:type="dxa"/>
            <w:gridSpan w:val="5"/>
            <w:tcBorders>
              <w:top w:val="double" w:sz="4" w:space="0" w:color="000000"/>
              <w:bottom w:val="double" w:sz="4" w:space="0" w:color="000000"/>
            </w:tcBorders>
            <w:shd w:val="clear" w:color="auto" w:fill="D6E3BC" w:themeFill="accent3" w:themeFillTint="66"/>
          </w:tcPr>
          <w:p w14:paraId="16405F6A" w14:textId="68BB9FCB" w:rsidR="00EF4CD3" w:rsidRPr="00294709" w:rsidRDefault="00EF4CD3" w:rsidP="00EF4CD3">
            <w:pPr>
              <w:widowControl/>
              <w:spacing w:before="60" w:after="60"/>
              <w:jc w:val="center"/>
              <w:rPr>
                <w:rFonts w:cs="Arial"/>
                <w:b/>
                <w:bCs/>
                <w:snapToGrid/>
                <w:sz w:val="16"/>
                <w:szCs w:val="14"/>
                <w:lang w:val="es-MX" w:eastAsia="es-MX"/>
              </w:rPr>
            </w:pPr>
            <w:r w:rsidRPr="00294709">
              <w:rPr>
                <w:rFonts w:cs="Arial"/>
                <w:b/>
                <w:bCs/>
                <w:snapToGrid/>
                <w:sz w:val="16"/>
                <w:szCs w:val="14"/>
                <w:lang w:val="es-MX" w:eastAsia="es-MX"/>
              </w:rPr>
              <w:t>20</w:t>
            </w:r>
            <w:r>
              <w:rPr>
                <w:rFonts w:cs="Arial"/>
                <w:b/>
                <w:bCs/>
                <w:snapToGrid/>
                <w:sz w:val="16"/>
                <w:szCs w:val="14"/>
                <w:lang w:val="es-MX" w:eastAsia="es-MX"/>
              </w:rPr>
              <w:t>19</w:t>
            </w:r>
          </w:p>
        </w:tc>
        <w:tc>
          <w:tcPr>
            <w:tcW w:w="992" w:type="dxa"/>
            <w:tcBorders>
              <w:top w:val="double" w:sz="4" w:space="0" w:color="000000"/>
              <w:left w:val="double" w:sz="4" w:space="0" w:color="000000"/>
              <w:bottom w:val="double" w:sz="4" w:space="0" w:color="000000"/>
            </w:tcBorders>
            <w:shd w:val="clear" w:color="auto" w:fill="D6E3BC" w:themeFill="accent3" w:themeFillTint="66"/>
          </w:tcPr>
          <w:p w14:paraId="3E992486" w14:textId="49DD8970" w:rsidR="00EF4CD3" w:rsidRPr="00294709" w:rsidRDefault="00EF4CD3" w:rsidP="00EF4CD3">
            <w:pPr>
              <w:widowControl/>
              <w:spacing w:before="60" w:after="60"/>
              <w:jc w:val="center"/>
              <w:rPr>
                <w:rFonts w:cs="Arial"/>
                <w:b/>
                <w:bCs/>
                <w:snapToGrid/>
                <w:sz w:val="16"/>
                <w:szCs w:val="14"/>
                <w:lang w:val="es-MX" w:eastAsia="es-MX"/>
              </w:rPr>
            </w:pPr>
            <w:r w:rsidRPr="00294709">
              <w:rPr>
                <w:rFonts w:cs="Arial"/>
                <w:b/>
                <w:bCs/>
                <w:snapToGrid/>
                <w:sz w:val="16"/>
                <w:szCs w:val="14"/>
                <w:lang w:val="es-MX" w:eastAsia="es-MX"/>
              </w:rPr>
              <w:t>20</w:t>
            </w:r>
            <w:r>
              <w:rPr>
                <w:rFonts w:cs="Arial"/>
                <w:b/>
                <w:bCs/>
                <w:snapToGrid/>
                <w:sz w:val="16"/>
                <w:szCs w:val="14"/>
                <w:lang w:val="es-MX" w:eastAsia="es-MX"/>
              </w:rPr>
              <w:t>20</w:t>
            </w:r>
            <w:r w:rsidRPr="00BB1A73">
              <w:rPr>
                <w:rFonts w:cs="Arial"/>
                <w:b/>
                <w:bCs/>
                <w:snapToGrid/>
                <w:sz w:val="16"/>
                <w:szCs w:val="14"/>
                <w:vertAlign w:val="superscript"/>
                <w:lang w:val="es-MX" w:eastAsia="es-MX"/>
              </w:rPr>
              <w:t>P</w:t>
            </w:r>
            <w:r>
              <w:rPr>
                <w:rFonts w:cs="Arial"/>
                <w:b/>
                <w:bCs/>
                <w:snapToGrid/>
                <w:sz w:val="16"/>
                <w:szCs w:val="14"/>
                <w:vertAlign w:val="superscript"/>
                <w:lang w:val="es-MX" w:eastAsia="es-MX"/>
              </w:rPr>
              <w:t>/</w:t>
            </w:r>
          </w:p>
        </w:tc>
      </w:tr>
      <w:tr w:rsidR="00045F5B" w:rsidRPr="004310FE" w14:paraId="23C23FF1" w14:textId="77777777" w:rsidTr="00550B22">
        <w:trPr>
          <w:jc w:val="center"/>
        </w:trPr>
        <w:tc>
          <w:tcPr>
            <w:tcW w:w="2457" w:type="dxa"/>
            <w:vMerge/>
            <w:tcBorders>
              <w:top w:val="nil"/>
              <w:bottom w:val="double" w:sz="4" w:space="0" w:color="000000"/>
              <w:right w:val="double" w:sz="4" w:space="0" w:color="000000"/>
            </w:tcBorders>
            <w:shd w:val="clear" w:color="auto" w:fill="D6E3BC" w:themeFill="accent3" w:themeFillTint="66"/>
          </w:tcPr>
          <w:p w14:paraId="69DAE9E5" w14:textId="77777777" w:rsidR="00EF4CD3" w:rsidRPr="00294709" w:rsidRDefault="00EF4CD3" w:rsidP="008F5D0F">
            <w:pPr>
              <w:pStyle w:val="p0"/>
              <w:rPr>
                <w:sz w:val="16"/>
                <w:szCs w:val="14"/>
              </w:rPr>
            </w:pPr>
          </w:p>
        </w:tc>
        <w:tc>
          <w:tcPr>
            <w:tcW w:w="789" w:type="dxa"/>
            <w:tcBorders>
              <w:top w:val="double" w:sz="4" w:space="0" w:color="000000"/>
              <w:bottom w:val="double" w:sz="4" w:space="0" w:color="000000"/>
              <w:right w:val="nil"/>
            </w:tcBorders>
            <w:shd w:val="clear" w:color="auto" w:fill="D6E3BC" w:themeFill="accent3" w:themeFillTint="66"/>
          </w:tcPr>
          <w:p w14:paraId="0E4BD7C0" w14:textId="77777777" w:rsidR="00EF4CD3" w:rsidRPr="00294709" w:rsidRDefault="00EF4CD3" w:rsidP="008F5D0F">
            <w:pPr>
              <w:pStyle w:val="p0"/>
              <w:spacing w:before="0"/>
              <w:jc w:val="center"/>
              <w:rPr>
                <w:b/>
                <w:color w:val="auto"/>
                <w:sz w:val="16"/>
                <w:szCs w:val="14"/>
              </w:rPr>
            </w:pPr>
            <w:r>
              <w:rPr>
                <w:b/>
                <w:color w:val="auto"/>
                <w:sz w:val="16"/>
                <w:szCs w:val="14"/>
              </w:rPr>
              <w:t>I</w:t>
            </w:r>
          </w:p>
        </w:tc>
        <w:tc>
          <w:tcPr>
            <w:tcW w:w="905" w:type="dxa"/>
            <w:tcBorders>
              <w:top w:val="double" w:sz="4" w:space="0" w:color="000000"/>
              <w:left w:val="nil"/>
              <w:bottom w:val="double" w:sz="4" w:space="0" w:color="000000"/>
            </w:tcBorders>
            <w:shd w:val="clear" w:color="auto" w:fill="D6E3BC" w:themeFill="accent3" w:themeFillTint="66"/>
            <w:vAlign w:val="center"/>
          </w:tcPr>
          <w:p w14:paraId="0EA0A743" w14:textId="77777777" w:rsidR="00EF4CD3" w:rsidRPr="00294709" w:rsidRDefault="00EF4CD3" w:rsidP="008F5D0F">
            <w:pPr>
              <w:pStyle w:val="p0"/>
              <w:spacing w:before="0"/>
              <w:jc w:val="center"/>
              <w:rPr>
                <w:b/>
                <w:color w:val="auto"/>
                <w:sz w:val="16"/>
                <w:szCs w:val="14"/>
              </w:rPr>
            </w:pPr>
            <w:r w:rsidRPr="00294709">
              <w:rPr>
                <w:b/>
                <w:color w:val="auto"/>
                <w:sz w:val="16"/>
                <w:szCs w:val="14"/>
              </w:rPr>
              <w:t>II</w:t>
            </w:r>
          </w:p>
        </w:tc>
        <w:tc>
          <w:tcPr>
            <w:tcW w:w="817" w:type="dxa"/>
            <w:tcBorders>
              <w:top w:val="double" w:sz="4" w:space="0" w:color="000000"/>
              <w:bottom w:val="double" w:sz="4" w:space="0" w:color="000000"/>
            </w:tcBorders>
            <w:shd w:val="clear" w:color="auto" w:fill="D6E3BC" w:themeFill="accent3" w:themeFillTint="66"/>
            <w:vAlign w:val="center"/>
          </w:tcPr>
          <w:p w14:paraId="443D65E5" w14:textId="77777777" w:rsidR="00EF4CD3" w:rsidRPr="00294709" w:rsidRDefault="00EF4CD3" w:rsidP="008F5D0F">
            <w:pPr>
              <w:pStyle w:val="p0"/>
              <w:spacing w:before="0"/>
              <w:jc w:val="center"/>
              <w:rPr>
                <w:b/>
                <w:color w:val="auto"/>
                <w:sz w:val="16"/>
                <w:szCs w:val="14"/>
              </w:rPr>
            </w:pPr>
            <w:r w:rsidRPr="00294709">
              <w:rPr>
                <w:b/>
                <w:color w:val="auto"/>
                <w:sz w:val="16"/>
                <w:szCs w:val="14"/>
              </w:rPr>
              <w:t>III</w:t>
            </w:r>
          </w:p>
        </w:tc>
        <w:tc>
          <w:tcPr>
            <w:tcW w:w="829" w:type="dxa"/>
            <w:tcBorders>
              <w:top w:val="double" w:sz="4" w:space="0" w:color="000000"/>
              <w:bottom w:val="double" w:sz="4" w:space="0" w:color="000000"/>
              <w:right w:val="nil"/>
            </w:tcBorders>
            <w:shd w:val="clear" w:color="auto" w:fill="D6E3BC" w:themeFill="accent3" w:themeFillTint="66"/>
            <w:vAlign w:val="center"/>
          </w:tcPr>
          <w:p w14:paraId="027AD0A5" w14:textId="77777777" w:rsidR="00EF4CD3" w:rsidRPr="00294709" w:rsidRDefault="00EF4CD3" w:rsidP="00550B22">
            <w:pPr>
              <w:pStyle w:val="p0"/>
              <w:spacing w:before="0"/>
              <w:ind w:left="-24"/>
              <w:jc w:val="center"/>
              <w:rPr>
                <w:b/>
                <w:color w:val="auto"/>
                <w:sz w:val="16"/>
                <w:szCs w:val="14"/>
              </w:rPr>
            </w:pPr>
            <w:r w:rsidRPr="00294709">
              <w:rPr>
                <w:b/>
                <w:color w:val="auto"/>
                <w:sz w:val="16"/>
                <w:szCs w:val="14"/>
              </w:rPr>
              <w:t>IV</w:t>
            </w:r>
          </w:p>
        </w:tc>
        <w:tc>
          <w:tcPr>
            <w:tcW w:w="993" w:type="dxa"/>
            <w:tcBorders>
              <w:top w:val="double" w:sz="4" w:space="0" w:color="000000"/>
              <w:left w:val="nil"/>
              <w:bottom w:val="double" w:sz="4" w:space="0" w:color="000000"/>
            </w:tcBorders>
            <w:shd w:val="clear" w:color="auto" w:fill="D6E3BC" w:themeFill="accent3" w:themeFillTint="66"/>
            <w:vAlign w:val="center"/>
          </w:tcPr>
          <w:p w14:paraId="3CA3043C" w14:textId="77777777" w:rsidR="00EF4CD3" w:rsidRPr="00294709" w:rsidRDefault="00EF4CD3" w:rsidP="008F5D0F">
            <w:pPr>
              <w:pStyle w:val="p0"/>
              <w:spacing w:before="0"/>
              <w:jc w:val="center"/>
              <w:rPr>
                <w:b/>
                <w:color w:val="auto"/>
                <w:sz w:val="16"/>
                <w:szCs w:val="14"/>
              </w:rPr>
            </w:pPr>
            <w:r w:rsidRPr="00294709">
              <w:rPr>
                <w:b/>
                <w:color w:val="auto"/>
                <w:sz w:val="16"/>
                <w:szCs w:val="14"/>
              </w:rPr>
              <w:t>Anual</w:t>
            </w:r>
          </w:p>
        </w:tc>
        <w:tc>
          <w:tcPr>
            <w:tcW w:w="992" w:type="dxa"/>
            <w:tcBorders>
              <w:top w:val="double" w:sz="4" w:space="0" w:color="000000"/>
              <w:left w:val="double" w:sz="4" w:space="0" w:color="000000"/>
              <w:bottom w:val="double" w:sz="4" w:space="0" w:color="000000"/>
            </w:tcBorders>
            <w:shd w:val="clear" w:color="auto" w:fill="D6E3BC" w:themeFill="accent3" w:themeFillTint="66"/>
            <w:vAlign w:val="center"/>
          </w:tcPr>
          <w:p w14:paraId="54E657C7" w14:textId="77777777" w:rsidR="00EF4CD3" w:rsidRPr="00294709" w:rsidRDefault="00EF4CD3" w:rsidP="008F5D0F">
            <w:pPr>
              <w:pStyle w:val="p0"/>
              <w:spacing w:before="0"/>
              <w:jc w:val="center"/>
              <w:rPr>
                <w:b/>
                <w:color w:val="auto"/>
                <w:sz w:val="16"/>
                <w:szCs w:val="14"/>
              </w:rPr>
            </w:pPr>
            <w:r w:rsidRPr="00294709">
              <w:rPr>
                <w:b/>
                <w:color w:val="auto"/>
                <w:sz w:val="16"/>
                <w:szCs w:val="14"/>
              </w:rPr>
              <w:t>I</w:t>
            </w:r>
          </w:p>
        </w:tc>
      </w:tr>
      <w:tr w:rsidR="00EF4CD3" w:rsidRPr="00090AF0" w14:paraId="55A04732" w14:textId="77777777" w:rsidTr="00550B22">
        <w:trPr>
          <w:jc w:val="center"/>
        </w:trPr>
        <w:tc>
          <w:tcPr>
            <w:tcW w:w="2457" w:type="dxa"/>
            <w:tcBorders>
              <w:top w:val="double" w:sz="4" w:space="0" w:color="000000"/>
              <w:bottom w:val="nil"/>
              <w:right w:val="double" w:sz="4" w:space="0" w:color="000000"/>
            </w:tcBorders>
            <w:vAlign w:val="center"/>
          </w:tcPr>
          <w:p w14:paraId="6E1BC170" w14:textId="77777777" w:rsidR="00EF4CD3" w:rsidRPr="007B5847" w:rsidRDefault="00EF4CD3" w:rsidP="008F5D0F">
            <w:pPr>
              <w:widowControl/>
              <w:rPr>
                <w:rFonts w:cs="Arial"/>
                <w:b/>
                <w:bCs/>
                <w:snapToGrid/>
                <w:color w:val="000000"/>
                <w:sz w:val="16"/>
                <w:szCs w:val="18"/>
                <w:lang w:val="es-MX" w:eastAsia="es-MX"/>
              </w:rPr>
            </w:pPr>
            <w:r w:rsidRPr="007B5847">
              <w:rPr>
                <w:rFonts w:cs="Arial"/>
                <w:b/>
                <w:bCs/>
                <w:snapToGrid/>
                <w:color w:val="000000"/>
                <w:sz w:val="16"/>
                <w:szCs w:val="18"/>
                <w:lang w:val="es-MX" w:eastAsia="es-MX"/>
              </w:rPr>
              <w:t xml:space="preserve">PIB Total </w:t>
            </w:r>
          </w:p>
        </w:tc>
        <w:tc>
          <w:tcPr>
            <w:tcW w:w="789" w:type="dxa"/>
            <w:tcBorders>
              <w:top w:val="double" w:sz="4" w:space="0" w:color="000000"/>
              <w:right w:val="nil"/>
            </w:tcBorders>
          </w:tcPr>
          <w:p w14:paraId="39D8CB11" w14:textId="77777777" w:rsidR="00EF4CD3" w:rsidRPr="00EF4CD3" w:rsidRDefault="00EF4CD3" w:rsidP="00045F5B">
            <w:pPr>
              <w:pStyle w:val="p0"/>
              <w:spacing w:before="60" w:after="60"/>
              <w:ind w:left="-167" w:right="113"/>
              <w:jc w:val="right"/>
              <w:rPr>
                <w:b/>
                <w:color w:val="auto"/>
                <w:sz w:val="18"/>
                <w:szCs w:val="18"/>
              </w:rPr>
            </w:pPr>
            <w:r w:rsidRPr="00EF4CD3">
              <w:rPr>
                <w:b/>
                <w:color w:val="auto"/>
                <w:sz w:val="18"/>
                <w:szCs w:val="18"/>
              </w:rPr>
              <w:t>1.2</w:t>
            </w:r>
          </w:p>
        </w:tc>
        <w:tc>
          <w:tcPr>
            <w:tcW w:w="905" w:type="dxa"/>
            <w:tcBorders>
              <w:top w:val="double" w:sz="4" w:space="0" w:color="000000"/>
              <w:left w:val="nil"/>
            </w:tcBorders>
          </w:tcPr>
          <w:p w14:paraId="4CF31BE0" w14:textId="27EAD7DD" w:rsidR="00EF4CD3" w:rsidRPr="00EF4CD3" w:rsidRDefault="00F41FB4" w:rsidP="00045F5B">
            <w:pPr>
              <w:pStyle w:val="p0"/>
              <w:spacing w:before="60" w:after="60"/>
              <w:ind w:right="113"/>
              <w:jc w:val="right"/>
              <w:rPr>
                <w:b/>
                <w:color w:val="auto"/>
                <w:sz w:val="18"/>
                <w:szCs w:val="18"/>
              </w:rPr>
            </w:pPr>
            <w:r>
              <w:rPr>
                <w:b/>
                <w:color w:val="auto"/>
                <w:sz w:val="18"/>
                <w:szCs w:val="18"/>
              </w:rPr>
              <w:t>(-) 0.9</w:t>
            </w:r>
          </w:p>
        </w:tc>
        <w:tc>
          <w:tcPr>
            <w:tcW w:w="817" w:type="dxa"/>
            <w:tcBorders>
              <w:top w:val="double" w:sz="4" w:space="0" w:color="000000"/>
            </w:tcBorders>
          </w:tcPr>
          <w:p w14:paraId="25812BE8" w14:textId="1CFBE337" w:rsidR="00EF4CD3" w:rsidRPr="00EF4CD3" w:rsidRDefault="00F41FB4" w:rsidP="00045F5B">
            <w:pPr>
              <w:pStyle w:val="p0"/>
              <w:spacing w:before="60" w:after="60"/>
              <w:ind w:right="113"/>
              <w:jc w:val="right"/>
              <w:rPr>
                <w:b/>
                <w:color w:val="auto"/>
                <w:sz w:val="18"/>
                <w:szCs w:val="18"/>
              </w:rPr>
            </w:pPr>
            <w:r>
              <w:rPr>
                <w:b/>
                <w:color w:val="auto"/>
                <w:sz w:val="18"/>
                <w:szCs w:val="18"/>
              </w:rPr>
              <w:t>(-) 0.3</w:t>
            </w:r>
          </w:p>
        </w:tc>
        <w:tc>
          <w:tcPr>
            <w:tcW w:w="829" w:type="dxa"/>
            <w:tcBorders>
              <w:top w:val="double" w:sz="4" w:space="0" w:color="000000"/>
              <w:bottom w:val="nil"/>
              <w:right w:val="nil"/>
            </w:tcBorders>
          </w:tcPr>
          <w:p w14:paraId="677E1A5A" w14:textId="0D099AC2" w:rsidR="00EF4CD3" w:rsidRPr="00EF4CD3" w:rsidRDefault="00045F5B" w:rsidP="00BD49BC">
            <w:pPr>
              <w:pStyle w:val="p0"/>
              <w:spacing w:before="60" w:after="60"/>
              <w:ind w:right="113"/>
              <w:jc w:val="right"/>
              <w:rPr>
                <w:b/>
                <w:color w:val="auto"/>
                <w:sz w:val="18"/>
                <w:szCs w:val="18"/>
              </w:rPr>
            </w:pPr>
            <w:r>
              <w:rPr>
                <w:b/>
                <w:color w:val="auto"/>
                <w:sz w:val="18"/>
                <w:szCs w:val="18"/>
              </w:rPr>
              <w:t>(-) 0.</w:t>
            </w:r>
            <w:r w:rsidR="00BD49BC">
              <w:rPr>
                <w:b/>
                <w:color w:val="auto"/>
                <w:sz w:val="18"/>
                <w:szCs w:val="18"/>
              </w:rPr>
              <w:t>5</w:t>
            </w:r>
          </w:p>
        </w:tc>
        <w:tc>
          <w:tcPr>
            <w:tcW w:w="993" w:type="dxa"/>
            <w:tcBorders>
              <w:top w:val="double" w:sz="4" w:space="0" w:color="000000"/>
              <w:left w:val="nil"/>
            </w:tcBorders>
          </w:tcPr>
          <w:p w14:paraId="6BC5DBF0" w14:textId="1866763B" w:rsidR="00EF4CD3" w:rsidRPr="00EF4CD3" w:rsidRDefault="00045F5B" w:rsidP="00550B22">
            <w:pPr>
              <w:pStyle w:val="p0"/>
              <w:spacing w:before="60" w:after="60"/>
              <w:ind w:right="170"/>
              <w:jc w:val="right"/>
              <w:rPr>
                <w:b/>
                <w:color w:val="auto"/>
                <w:sz w:val="18"/>
                <w:szCs w:val="18"/>
              </w:rPr>
            </w:pPr>
            <w:r>
              <w:rPr>
                <w:b/>
                <w:color w:val="auto"/>
                <w:sz w:val="18"/>
                <w:szCs w:val="18"/>
              </w:rPr>
              <w:t>(-) 0.</w:t>
            </w:r>
            <w:r w:rsidR="00B03B42">
              <w:rPr>
                <w:b/>
                <w:color w:val="auto"/>
                <w:sz w:val="18"/>
                <w:szCs w:val="18"/>
              </w:rPr>
              <w:t>1</w:t>
            </w:r>
          </w:p>
        </w:tc>
        <w:tc>
          <w:tcPr>
            <w:tcW w:w="992" w:type="dxa"/>
            <w:tcBorders>
              <w:top w:val="double" w:sz="4" w:space="0" w:color="000000"/>
              <w:left w:val="double" w:sz="4" w:space="0" w:color="000000"/>
              <w:bottom w:val="nil"/>
              <w:right w:val="double" w:sz="4" w:space="0" w:color="000000"/>
            </w:tcBorders>
          </w:tcPr>
          <w:p w14:paraId="20937FF3" w14:textId="0DD42FC1" w:rsidR="00EF4CD3" w:rsidRPr="00EF4CD3" w:rsidRDefault="00045F5B" w:rsidP="00BD49BC">
            <w:pPr>
              <w:pStyle w:val="p0"/>
              <w:spacing w:before="60" w:after="60"/>
              <w:ind w:right="170"/>
              <w:jc w:val="right"/>
              <w:rPr>
                <w:b/>
                <w:color w:val="auto"/>
                <w:sz w:val="18"/>
                <w:szCs w:val="18"/>
              </w:rPr>
            </w:pPr>
            <w:r>
              <w:rPr>
                <w:b/>
                <w:color w:val="auto"/>
                <w:sz w:val="18"/>
                <w:szCs w:val="18"/>
              </w:rPr>
              <w:t xml:space="preserve">(-) </w:t>
            </w:r>
            <w:r w:rsidR="00BD49BC">
              <w:rPr>
                <w:b/>
                <w:color w:val="auto"/>
                <w:sz w:val="18"/>
                <w:szCs w:val="18"/>
              </w:rPr>
              <w:t>1.6</w:t>
            </w:r>
          </w:p>
        </w:tc>
      </w:tr>
      <w:tr w:rsidR="00EF4CD3" w:rsidRPr="00090AF0" w14:paraId="5657A569" w14:textId="77777777" w:rsidTr="00550B22">
        <w:trPr>
          <w:jc w:val="center"/>
        </w:trPr>
        <w:tc>
          <w:tcPr>
            <w:tcW w:w="2457" w:type="dxa"/>
            <w:tcBorders>
              <w:top w:val="nil"/>
              <w:bottom w:val="nil"/>
              <w:right w:val="double" w:sz="4" w:space="0" w:color="000000"/>
            </w:tcBorders>
            <w:vAlign w:val="center"/>
          </w:tcPr>
          <w:p w14:paraId="00D832AB" w14:textId="77777777" w:rsidR="00EF4CD3" w:rsidRPr="007B5847" w:rsidRDefault="00EF4CD3" w:rsidP="008F5D0F">
            <w:pPr>
              <w:widowControl/>
              <w:ind w:left="-114" w:right="-108"/>
              <w:rPr>
                <w:rFonts w:cs="Arial"/>
                <w:bCs/>
                <w:snapToGrid/>
                <w:color w:val="000000"/>
                <w:sz w:val="16"/>
                <w:szCs w:val="18"/>
                <w:lang w:val="es-MX" w:eastAsia="es-MX"/>
              </w:rPr>
            </w:pPr>
            <w:r w:rsidRPr="007B5847">
              <w:rPr>
                <w:rFonts w:cs="Arial"/>
                <w:bCs/>
                <w:snapToGrid/>
                <w:color w:val="000000"/>
                <w:sz w:val="16"/>
                <w:szCs w:val="18"/>
                <w:lang w:val="es-MX" w:eastAsia="es-MX"/>
              </w:rPr>
              <w:t xml:space="preserve"> Actividades Primarias </w:t>
            </w:r>
          </w:p>
        </w:tc>
        <w:tc>
          <w:tcPr>
            <w:tcW w:w="789" w:type="dxa"/>
            <w:tcBorders>
              <w:right w:val="nil"/>
            </w:tcBorders>
          </w:tcPr>
          <w:p w14:paraId="011C7403" w14:textId="1FE59D62" w:rsidR="00EF4CD3" w:rsidRPr="00EF4CD3" w:rsidRDefault="00F41FB4" w:rsidP="00045F5B">
            <w:pPr>
              <w:pStyle w:val="p0"/>
              <w:spacing w:before="60" w:after="60"/>
              <w:ind w:left="-167" w:right="113"/>
              <w:jc w:val="right"/>
              <w:rPr>
                <w:color w:val="auto"/>
                <w:sz w:val="18"/>
                <w:szCs w:val="18"/>
              </w:rPr>
            </w:pPr>
            <w:r>
              <w:rPr>
                <w:color w:val="auto"/>
                <w:sz w:val="18"/>
                <w:szCs w:val="18"/>
              </w:rPr>
              <w:t>1.5</w:t>
            </w:r>
          </w:p>
        </w:tc>
        <w:tc>
          <w:tcPr>
            <w:tcW w:w="905" w:type="dxa"/>
            <w:tcBorders>
              <w:left w:val="nil"/>
            </w:tcBorders>
            <w:shd w:val="clear" w:color="auto" w:fill="auto"/>
          </w:tcPr>
          <w:p w14:paraId="3B9B38CF" w14:textId="40693AC5" w:rsidR="00EF4CD3" w:rsidRPr="00EF4CD3" w:rsidRDefault="00F41FB4" w:rsidP="00045F5B">
            <w:pPr>
              <w:pStyle w:val="p0"/>
              <w:spacing w:before="60" w:after="60"/>
              <w:ind w:right="113"/>
              <w:jc w:val="right"/>
              <w:rPr>
                <w:color w:val="auto"/>
                <w:sz w:val="18"/>
                <w:szCs w:val="18"/>
              </w:rPr>
            </w:pPr>
            <w:r>
              <w:rPr>
                <w:color w:val="auto"/>
                <w:sz w:val="18"/>
                <w:szCs w:val="18"/>
              </w:rPr>
              <w:t>(-) 0.2</w:t>
            </w:r>
          </w:p>
        </w:tc>
        <w:tc>
          <w:tcPr>
            <w:tcW w:w="817" w:type="dxa"/>
          </w:tcPr>
          <w:p w14:paraId="4CDF387F" w14:textId="5A3CE989" w:rsidR="00EF4CD3" w:rsidRPr="00EF4CD3" w:rsidRDefault="00F41FB4" w:rsidP="00045F5B">
            <w:pPr>
              <w:pStyle w:val="p0"/>
              <w:spacing w:before="60" w:after="60"/>
              <w:ind w:right="113"/>
              <w:jc w:val="right"/>
              <w:rPr>
                <w:color w:val="auto"/>
                <w:sz w:val="18"/>
                <w:szCs w:val="18"/>
              </w:rPr>
            </w:pPr>
            <w:r>
              <w:rPr>
                <w:color w:val="auto"/>
                <w:sz w:val="18"/>
                <w:szCs w:val="18"/>
              </w:rPr>
              <w:t>5.4</w:t>
            </w:r>
          </w:p>
        </w:tc>
        <w:tc>
          <w:tcPr>
            <w:tcW w:w="829" w:type="dxa"/>
            <w:tcBorders>
              <w:top w:val="nil"/>
              <w:bottom w:val="nil"/>
              <w:right w:val="nil"/>
            </w:tcBorders>
          </w:tcPr>
          <w:p w14:paraId="2A8742D2" w14:textId="58BD8F66" w:rsidR="00EF4CD3" w:rsidRPr="00EF4CD3" w:rsidRDefault="00045F5B" w:rsidP="00550B22">
            <w:pPr>
              <w:pStyle w:val="p0"/>
              <w:spacing w:before="60" w:after="60"/>
              <w:ind w:right="113"/>
              <w:jc w:val="right"/>
              <w:rPr>
                <w:color w:val="auto"/>
                <w:sz w:val="18"/>
                <w:szCs w:val="18"/>
              </w:rPr>
            </w:pPr>
            <w:r>
              <w:rPr>
                <w:color w:val="auto"/>
                <w:sz w:val="18"/>
                <w:szCs w:val="18"/>
              </w:rPr>
              <w:t>1.</w:t>
            </w:r>
            <w:r w:rsidR="00BD49BC">
              <w:rPr>
                <w:color w:val="auto"/>
                <w:sz w:val="18"/>
                <w:szCs w:val="18"/>
              </w:rPr>
              <w:t>6</w:t>
            </w:r>
          </w:p>
        </w:tc>
        <w:tc>
          <w:tcPr>
            <w:tcW w:w="993" w:type="dxa"/>
            <w:tcBorders>
              <w:left w:val="nil"/>
            </w:tcBorders>
          </w:tcPr>
          <w:p w14:paraId="221B2E3C" w14:textId="21B05DCD" w:rsidR="00EF4CD3" w:rsidRPr="00EF4CD3" w:rsidRDefault="00045F5B" w:rsidP="00550B22">
            <w:pPr>
              <w:pStyle w:val="p0"/>
              <w:spacing w:before="60" w:after="60"/>
              <w:ind w:right="170"/>
              <w:jc w:val="right"/>
              <w:rPr>
                <w:color w:val="auto"/>
                <w:sz w:val="18"/>
                <w:szCs w:val="18"/>
              </w:rPr>
            </w:pPr>
            <w:r>
              <w:rPr>
                <w:color w:val="auto"/>
                <w:sz w:val="18"/>
                <w:szCs w:val="18"/>
              </w:rPr>
              <w:t>1.9</w:t>
            </w:r>
          </w:p>
        </w:tc>
        <w:tc>
          <w:tcPr>
            <w:tcW w:w="992" w:type="dxa"/>
            <w:tcBorders>
              <w:top w:val="nil"/>
              <w:left w:val="double" w:sz="4" w:space="0" w:color="000000"/>
              <w:bottom w:val="nil"/>
              <w:right w:val="double" w:sz="4" w:space="0" w:color="000000"/>
            </w:tcBorders>
          </w:tcPr>
          <w:p w14:paraId="07C97344" w14:textId="0A3F1D38" w:rsidR="00EF4CD3" w:rsidRPr="00EF4CD3" w:rsidRDefault="00BD49BC" w:rsidP="008F5D0F">
            <w:pPr>
              <w:pStyle w:val="p0"/>
              <w:spacing w:before="60" w:after="60"/>
              <w:ind w:right="170"/>
              <w:jc w:val="right"/>
              <w:rPr>
                <w:color w:val="auto"/>
                <w:sz w:val="18"/>
                <w:szCs w:val="18"/>
              </w:rPr>
            </w:pPr>
            <w:r>
              <w:rPr>
                <w:color w:val="auto"/>
                <w:sz w:val="18"/>
                <w:szCs w:val="18"/>
              </w:rPr>
              <w:t>1.5</w:t>
            </w:r>
          </w:p>
        </w:tc>
      </w:tr>
      <w:tr w:rsidR="00EF4CD3" w:rsidRPr="00090AF0" w14:paraId="74A91DEB" w14:textId="77777777" w:rsidTr="00550B22">
        <w:trPr>
          <w:jc w:val="center"/>
        </w:trPr>
        <w:tc>
          <w:tcPr>
            <w:tcW w:w="2457" w:type="dxa"/>
            <w:tcBorders>
              <w:top w:val="nil"/>
              <w:bottom w:val="nil"/>
              <w:right w:val="double" w:sz="4" w:space="0" w:color="000000"/>
            </w:tcBorders>
            <w:vAlign w:val="center"/>
          </w:tcPr>
          <w:p w14:paraId="7B717F56" w14:textId="77777777" w:rsidR="00EF4CD3" w:rsidRPr="007B5847" w:rsidRDefault="00EF4CD3" w:rsidP="008F5D0F">
            <w:pPr>
              <w:widowControl/>
              <w:ind w:left="-114" w:right="-108"/>
              <w:rPr>
                <w:rFonts w:cs="Arial"/>
                <w:bCs/>
                <w:snapToGrid/>
                <w:color w:val="000000"/>
                <w:sz w:val="16"/>
                <w:szCs w:val="18"/>
                <w:lang w:val="es-MX" w:eastAsia="es-MX"/>
              </w:rPr>
            </w:pPr>
            <w:r>
              <w:rPr>
                <w:rFonts w:cs="Arial"/>
                <w:bCs/>
                <w:snapToGrid/>
                <w:color w:val="000000"/>
                <w:sz w:val="16"/>
                <w:szCs w:val="18"/>
                <w:lang w:val="es-MX" w:eastAsia="es-MX"/>
              </w:rPr>
              <w:t xml:space="preserve"> </w:t>
            </w:r>
            <w:r w:rsidRPr="007B5847">
              <w:rPr>
                <w:rFonts w:cs="Arial"/>
                <w:bCs/>
                <w:snapToGrid/>
                <w:color w:val="000000"/>
                <w:sz w:val="16"/>
                <w:szCs w:val="18"/>
                <w:lang w:val="es-MX" w:eastAsia="es-MX"/>
              </w:rPr>
              <w:t xml:space="preserve">Actividades </w:t>
            </w:r>
            <w:r>
              <w:rPr>
                <w:rFonts w:cs="Arial"/>
                <w:bCs/>
                <w:snapToGrid/>
                <w:color w:val="000000"/>
                <w:sz w:val="16"/>
                <w:szCs w:val="18"/>
                <w:lang w:val="es-MX" w:eastAsia="es-MX"/>
              </w:rPr>
              <w:t>S</w:t>
            </w:r>
            <w:r w:rsidRPr="007B5847">
              <w:rPr>
                <w:rFonts w:cs="Arial"/>
                <w:bCs/>
                <w:snapToGrid/>
                <w:color w:val="000000"/>
                <w:sz w:val="16"/>
                <w:szCs w:val="18"/>
                <w:lang w:val="es-MX" w:eastAsia="es-MX"/>
              </w:rPr>
              <w:t xml:space="preserve">ecundarias </w:t>
            </w:r>
          </w:p>
        </w:tc>
        <w:tc>
          <w:tcPr>
            <w:tcW w:w="789" w:type="dxa"/>
            <w:tcBorders>
              <w:right w:val="nil"/>
            </w:tcBorders>
          </w:tcPr>
          <w:p w14:paraId="4C2F1069" w14:textId="2AC28173" w:rsidR="00EF4CD3" w:rsidRPr="00EF4CD3" w:rsidRDefault="00EF4CD3" w:rsidP="00045F5B">
            <w:pPr>
              <w:pStyle w:val="p0"/>
              <w:spacing w:before="60" w:after="60"/>
              <w:ind w:left="-167" w:right="113"/>
              <w:jc w:val="right"/>
              <w:rPr>
                <w:color w:val="auto"/>
                <w:sz w:val="18"/>
                <w:szCs w:val="18"/>
              </w:rPr>
            </w:pPr>
            <w:r w:rsidRPr="00EF4CD3">
              <w:rPr>
                <w:color w:val="auto"/>
                <w:sz w:val="18"/>
                <w:szCs w:val="18"/>
              </w:rPr>
              <w:t>(</w:t>
            </w:r>
            <w:r w:rsidRPr="00EF4CD3">
              <w:rPr>
                <w:color w:val="auto"/>
                <w:sz w:val="18"/>
                <w:szCs w:val="18"/>
              </w:rPr>
              <w:noBreakHyphen/>
              <w:t>) 0.</w:t>
            </w:r>
            <w:r w:rsidR="00F41FB4">
              <w:rPr>
                <w:color w:val="auto"/>
                <w:sz w:val="18"/>
                <w:szCs w:val="18"/>
              </w:rPr>
              <w:t>5</w:t>
            </w:r>
          </w:p>
        </w:tc>
        <w:tc>
          <w:tcPr>
            <w:tcW w:w="905" w:type="dxa"/>
            <w:tcBorders>
              <w:left w:val="nil"/>
            </w:tcBorders>
          </w:tcPr>
          <w:p w14:paraId="449563E3" w14:textId="26AD44C2" w:rsidR="00EF4CD3" w:rsidRPr="00EF4CD3" w:rsidRDefault="00F41FB4" w:rsidP="00045F5B">
            <w:pPr>
              <w:pStyle w:val="p0"/>
              <w:spacing w:before="60" w:after="60"/>
              <w:ind w:right="113"/>
              <w:jc w:val="right"/>
              <w:rPr>
                <w:color w:val="auto"/>
                <w:sz w:val="18"/>
                <w:szCs w:val="18"/>
              </w:rPr>
            </w:pPr>
            <w:r>
              <w:rPr>
                <w:color w:val="auto"/>
                <w:sz w:val="18"/>
                <w:szCs w:val="18"/>
              </w:rPr>
              <w:t>(-) 3.0</w:t>
            </w:r>
          </w:p>
        </w:tc>
        <w:tc>
          <w:tcPr>
            <w:tcW w:w="817" w:type="dxa"/>
          </w:tcPr>
          <w:p w14:paraId="3225C9D7" w14:textId="04CB1E52" w:rsidR="00EF4CD3" w:rsidRPr="00EF4CD3" w:rsidRDefault="00F41FB4" w:rsidP="00045F5B">
            <w:pPr>
              <w:pStyle w:val="p0"/>
              <w:spacing w:before="60" w:after="60"/>
              <w:ind w:right="113"/>
              <w:jc w:val="right"/>
              <w:rPr>
                <w:color w:val="auto"/>
                <w:sz w:val="18"/>
                <w:szCs w:val="18"/>
              </w:rPr>
            </w:pPr>
            <w:r>
              <w:rPr>
                <w:color w:val="auto"/>
                <w:sz w:val="18"/>
                <w:szCs w:val="18"/>
              </w:rPr>
              <w:t>(-) 1.</w:t>
            </w:r>
            <w:r w:rsidR="00BD49BC">
              <w:rPr>
                <w:color w:val="auto"/>
                <w:sz w:val="18"/>
                <w:szCs w:val="18"/>
              </w:rPr>
              <w:t>5</w:t>
            </w:r>
          </w:p>
        </w:tc>
        <w:tc>
          <w:tcPr>
            <w:tcW w:w="829" w:type="dxa"/>
            <w:tcBorders>
              <w:top w:val="nil"/>
              <w:bottom w:val="nil"/>
              <w:right w:val="nil"/>
            </w:tcBorders>
          </w:tcPr>
          <w:p w14:paraId="6EBD16CB" w14:textId="679E053B" w:rsidR="00EF4CD3" w:rsidRPr="00EF4CD3" w:rsidRDefault="00EF4CD3" w:rsidP="00BD49BC">
            <w:pPr>
              <w:pStyle w:val="p0"/>
              <w:spacing w:before="60" w:after="60"/>
              <w:ind w:right="113"/>
              <w:jc w:val="right"/>
              <w:rPr>
                <w:color w:val="auto"/>
                <w:sz w:val="18"/>
                <w:szCs w:val="18"/>
              </w:rPr>
            </w:pPr>
            <w:r w:rsidRPr="00EF4CD3">
              <w:rPr>
                <w:color w:val="auto"/>
                <w:sz w:val="18"/>
                <w:szCs w:val="18"/>
              </w:rPr>
              <w:t xml:space="preserve">(-) </w:t>
            </w:r>
            <w:r w:rsidR="00BD49BC">
              <w:rPr>
                <w:color w:val="auto"/>
                <w:sz w:val="18"/>
                <w:szCs w:val="18"/>
              </w:rPr>
              <w:t>2.1</w:t>
            </w:r>
          </w:p>
        </w:tc>
        <w:tc>
          <w:tcPr>
            <w:tcW w:w="993" w:type="dxa"/>
            <w:tcBorders>
              <w:left w:val="nil"/>
            </w:tcBorders>
          </w:tcPr>
          <w:p w14:paraId="672053D8" w14:textId="098E55CA" w:rsidR="00EF4CD3" w:rsidRPr="00EF4CD3" w:rsidRDefault="00045F5B" w:rsidP="00550B22">
            <w:pPr>
              <w:pStyle w:val="p0"/>
              <w:spacing w:before="60" w:after="60"/>
              <w:ind w:right="170"/>
              <w:jc w:val="right"/>
              <w:rPr>
                <w:color w:val="auto"/>
                <w:sz w:val="18"/>
                <w:szCs w:val="18"/>
              </w:rPr>
            </w:pPr>
            <w:r>
              <w:rPr>
                <w:color w:val="auto"/>
                <w:sz w:val="18"/>
                <w:szCs w:val="18"/>
              </w:rPr>
              <w:t>(-) 1.</w:t>
            </w:r>
            <w:r w:rsidR="00B03B42">
              <w:rPr>
                <w:color w:val="auto"/>
                <w:sz w:val="18"/>
                <w:szCs w:val="18"/>
              </w:rPr>
              <w:t>8</w:t>
            </w:r>
          </w:p>
        </w:tc>
        <w:tc>
          <w:tcPr>
            <w:tcW w:w="992" w:type="dxa"/>
            <w:tcBorders>
              <w:top w:val="nil"/>
              <w:left w:val="double" w:sz="4" w:space="0" w:color="000000"/>
              <w:bottom w:val="nil"/>
              <w:right w:val="double" w:sz="4" w:space="0" w:color="000000"/>
            </w:tcBorders>
          </w:tcPr>
          <w:p w14:paraId="5E3D6719" w14:textId="36DF7264" w:rsidR="00EF4CD3" w:rsidRPr="00EF4CD3" w:rsidRDefault="00EF4CD3" w:rsidP="00BD49BC">
            <w:pPr>
              <w:pStyle w:val="p0"/>
              <w:spacing w:before="60" w:after="60"/>
              <w:ind w:right="170"/>
              <w:jc w:val="right"/>
              <w:rPr>
                <w:color w:val="auto"/>
                <w:sz w:val="18"/>
                <w:szCs w:val="18"/>
              </w:rPr>
            </w:pPr>
            <w:r w:rsidRPr="00EF4CD3">
              <w:rPr>
                <w:color w:val="auto"/>
                <w:sz w:val="18"/>
                <w:szCs w:val="18"/>
              </w:rPr>
              <w:t>(</w:t>
            </w:r>
            <w:r w:rsidRPr="00EF4CD3">
              <w:rPr>
                <w:color w:val="auto"/>
                <w:sz w:val="18"/>
                <w:szCs w:val="18"/>
              </w:rPr>
              <w:noBreakHyphen/>
              <w:t xml:space="preserve">) </w:t>
            </w:r>
            <w:r w:rsidR="00BD49BC">
              <w:rPr>
                <w:color w:val="auto"/>
                <w:sz w:val="18"/>
                <w:szCs w:val="18"/>
              </w:rPr>
              <w:t>3.2</w:t>
            </w:r>
          </w:p>
        </w:tc>
      </w:tr>
      <w:tr w:rsidR="00EF4CD3" w:rsidRPr="00090AF0" w14:paraId="5CFDE80C" w14:textId="77777777" w:rsidTr="00550B22">
        <w:trPr>
          <w:jc w:val="center"/>
        </w:trPr>
        <w:tc>
          <w:tcPr>
            <w:tcW w:w="2457" w:type="dxa"/>
            <w:tcBorders>
              <w:top w:val="nil"/>
              <w:bottom w:val="double" w:sz="4" w:space="0" w:color="000000"/>
              <w:right w:val="double" w:sz="4" w:space="0" w:color="000000"/>
            </w:tcBorders>
            <w:vAlign w:val="center"/>
          </w:tcPr>
          <w:p w14:paraId="16EDB988" w14:textId="77777777" w:rsidR="00EF4CD3" w:rsidRPr="007B5847" w:rsidRDefault="00EF4CD3" w:rsidP="008F5D0F">
            <w:pPr>
              <w:widowControl/>
              <w:ind w:left="-114" w:right="-108"/>
              <w:rPr>
                <w:rFonts w:cs="Arial"/>
                <w:bCs/>
                <w:snapToGrid/>
                <w:color w:val="000000"/>
                <w:sz w:val="16"/>
                <w:szCs w:val="18"/>
                <w:lang w:val="es-MX" w:eastAsia="es-MX"/>
              </w:rPr>
            </w:pPr>
            <w:r>
              <w:rPr>
                <w:rFonts w:cs="Arial"/>
                <w:bCs/>
                <w:snapToGrid/>
                <w:color w:val="000000"/>
                <w:sz w:val="16"/>
                <w:szCs w:val="18"/>
                <w:lang w:val="es-MX" w:eastAsia="es-MX"/>
              </w:rPr>
              <w:t xml:space="preserve"> </w:t>
            </w:r>
            <w:r w:rsidRPr="007B5847">
              <w:rPr>
                <w:rFonts w:cs="Arial"/>
                <w:bCs/>
                <w:snapToGrid/>
                <w:color w:val="000000"/>
                <w:sz w:val="16"/>
                <w:szCs w:val="18"/>
                <w:lang w:val="es-MX" w:eastAsia="es-MX"/>
              </w:rPr>
              <w:t xml:space="preserve">Actividades Terciarias </w:t>
            </w:r>
          </w:p>
        </w:tc>
        <w:tc>
          <w:tcPr>
            <w:tcW w:w="789" w:type="dxa"/>
            <w:tcBorders>
              <w:bottom w:val="double" w:sz="4" w:space="0" w:color="000000"/>
              <w:right w:val="nil"/>
            </w:tcBorders>
          </w:tcPr>
          <w:p w14:paraId="38F3654E" w14:textId="7832CB65" w:rsidR="00EF4CD3" w:rsidRPr="00EF4CD3" w:rsidRDefault="00F41FB4" w:rsidP="00045F5B">
            <w:pPr>
              <w:pStyle w:val="p0"/>
              <w:spacing w:before="60" w:after="60"/>
              <w:ind w:left="-167" w:right="113"/>
              <w:jc w:val="right"/>
              <w:rPr>
                <w:color w:val="auto"/>
                <w:sz w:val="18"/>
                <w:szCs w:val="18"/>
              </w:rPr>
            </w:pPr>
            <w:r>
              <w:rPr>
                <w:color w:val="auto"/>
                <w:sz w:val="18"/>
                <w:szCs w:val="18"/>
              </w:rPr>
              <w:t>1.9</w:t>
            </w:r>
          </w:p>
        </w:tc>
        <w:tc>
          <w:tcPr>
            <w:tcW w:w="905" w:type="dxa"/>
            <w:tcBorders>
              <w:left w:val="nil"/>
              <w:bottom w:val="double" w:sz="4" w:space="0" w:color="000000"/>
            </w:tcBorders>
          </w:tcPr>
          <w:p w14:paraId="6C824570" w14:textId="3F02A240" w:rsidR="00EF4CD3" w:rsidRPr="00EF4CD3" w:rsidRDefault="00F41FB4" w:rsidP="00045F5B">
            <w:pPr>
              <w:pStyle w:val="p0"/>
              <w:spacing w:before="60" w:after="60"/>
              <w:ind w:right="113"/>
              <w:jc w:val="right"/>
              <w:rPr>
                <w:color w:val="auto"/>
                <w:sz w:val="18"/>
                <w:szCs w:val="18"/>
              </w:rPr>
            </w:pPr>
            <w:r>
              <w:rPr>
                <w:color w:val="auto"/>
                <w:sz w:val="18"/>
                <w:szCs w:val="18"/>
              </w:rPr>
              <w:t>(-) 0.1</w:t>
            </w:r>
          </w:p>
        </w:tc>
        <w:tc>
          <w:tcPr>
            <w:tcW w:w="817" w:type="dxa"/>
            <w:tcBorders>
              <w:bottom w:val="double" w:sz="4" w:space="0" w:color="000000"/>
            </w:tcBorders>
          </w:tcPr>
          <w:p w14:paraId="5CAECD4D" w14:textId="23B4BB47" w:rsidR="00EF4CD3" w:rsidRPr="00EF4CD3" w:rsidRDefault="00F41FB4" w:rsidP="00045F5B">
            <w:pPr>
              <w:pStyle w:val="p0"/>
              <w:spacing w:before="60" w:after="60"/>
              <w:ind w:right="113"/>
              <w:jc w:val="right"/>
              <w:rPr>
                <w:color w:val="auto"/>
                <w:sz w:val="18"/>
                <w:szCs w:val="18"/>
              </w:rPr>
            </w:pPr>
            <w:r>
              <w:rPr>
                <w:color w:val="auto"/>
                <w:sz w:val="18"/>
                <w:szCs w:val="18"/>
              </w:rPr>
              <w:t>0.1</w:t>
            </w:r>
          </w:p>
        </w:tc>
        <w:tc>
          <w:tcPr>
            <w:tcW w:w="829" w:type="dxa"/>
            <w:tcBorders>
              <w:top w:val="nil"/>
              <w:bottom w:val="double" w:sz="4" w:space="0" w:color="000000"/>
              <w:right w:val="nil"/>
            </w:tcBorders>
          </w:tcPr>
          <w:p w14:paraId="3906E74D" w14:textId="5FF321AA" w:rsidR="00EF4CD3" w:rsidRPr="00EF4CD3" w:rsidRDefault="00045F5B" w:rsidP="00550B22">
            <w:pPr>
              <w:pStyle w:val="p0"/>
              <w:spacing w:before="60" w:after="60"/>
              <w:ind w:right="113"/>
              <w:jc w:val="right"/>
              <w:rPr>
                <w:color w:val="auto"/>
                <w:sz w:val="18"/>
                <w:szCs w:val="18"/>
              </w:rPr>
            </w:pPr>
            <w:r>
              <w:rPr>
                <w:color w:val="auto"/>
                <w:sz w:val="18"/>
                <w:szCs w:val="18"/>
              </w:rPr>
              <w:t>0.</w:t>
            </w:r>
            <w:r w:rsidR="00BD49BC">
              <w:rPr>
                <w:color w:val="auto"/>
                <w:sz w:val="18"/>
                <w:szCs w:val="18"/>
              </w:rPr>
              <w:t>0</w:t>
            </w:r>
          </w:p>
        </w:tc>
        <w:tc>
          <w:tcPr>
            <w:tcW w:w="993" w:type="dxa"/>
            <w:tcBorders>
              <w:left w:val="nil"/>
            </w:tcBorders>
          </w:tcPr>
          <w:p w14:paraId="58E45721" w14:textId="25EA3461" w:rsidR="00EF4CD3" w:rsidRPr="00EF4CD3" w:rsidRDefault="00045F5B" w:rsidP="00550B22">
            <w:pPr>
              <w:pStyle w:val="p0"/>
              <w:spacing w:before="60" w:after="60"/>
              <w:ind w:right="170"/>
              <w:jc w:val="right"/>
              <w:rPr>
                <w:color w:val="auto"/>
                <w:sz w:val="18"/>
                <w:szCs w:val="18"/>
              </w:rPr>
            </w:pPr>
            <w:r>
              <w:rPr>
                <w:color w:val="auto"/>
                <w:sz w:val="18"/>
                <w:szCs w:val="18"/>
              </w:rPr>
              <w:t>0.</w:t>
            </w:r>
            <w:r w:rsidR="00B03B42">
              <w:rPr>
                <w:color w:val="auto"/>
                <w:sz w:val="18"/>
                <w:szCs w:val="18"/>
              </w:rPr>
              <w:t>4</w:t>
            </w:r>
          </w:p>
        </w:tc>
        <w:tc>
          <w:tcPr>
            <w:tcW w:w="992" w:type="dxa"/>
            <w:tcBorders>
              <w:top w:val="nil"/>
              <w:left w:val="double" w:sz="4" w:space="0" w:color="000000"/>
              <w:bottom w:val="double" w:sz="4" w:space="0" w:color="000000"/>
              <w:right w:val="double" w:sz="4" w:space="0" w:color="000000"/>
            </w:tcBorders>
          </w:tcPr>
          <w:p w14:paraId="4AEF64E1" w14:textId="291ADE69" w:rsidR="00EF4CD3" w:rsidRPr="00EF4CD3" w:rsidRDefault="00045F5B" w:rsidP="00BD49BC">
            <w:pPr>
              <w:pStyle w:val="p0"/>
              <w:spacing w:before="60" w:after="60"/>
              <w:ind w:right="170"/>
              <w:jc w:val="right"/>
              <w:rPr>
                <w:color w:val="auto"/>
                <w:sz w:val="18"/>
                <w:szCs w:val="18"/>
              </w:rPr>
            </w:pPr>
            <w:r>
              <w:rPr>
                <w:color w:val="auto"/>
                <w:sz w:val="18"/>
                <w:szCs w:val="18"/>
              </w:rPr>
              <w:t xml:space="preserve">(-) </w:t>
            </w:r>
            <w:r w:rsidR="00BD49BC">
              <w:rPr>
                <w:color w:val="auto"/>
                <w:sz w:val="18"/>
                <w:szCs w:val="18"/>
              </w:rPr>
              <w:t>0.9</w:t>
            </w:r>
          </w:p>
        </w:tc>
      </w:tr>
    </w:tbl>
    <w:p w14:paraId="13BC0C2C" w14:textId="77777777" w:rsidR="00EF4CD3" w:rsidRPr="004C0FFC" w:rsidRDefault="00EF4CD3" w:rsidP="00EF4CD3">
      <w:pPr>
        <w:pStyle w:val="p01"/>
        <w:keepLines w:val="0"/>
        <w:spacing w:before="0"/>
        <w:ind w:left="851" w:right="1327"/>
        <w:jc w:val="left"/>
        <w:outlineLvl w:val="0"/>
        <w:rPr>
          <w:rFonts w:ascii="Arial" w:hAnsi="Arial" w:cs="Arial"/>
          <w:color w:val="auto"/>
          <w:sz w:val="16"/>
          <w:szCs w:val="16"/>
        </w:rPr>
      </w:pPr>
      <w:r>
        <w:rPr>
          <w:rFonts w:cs="Arial"/>
          <w:color w:val="auto"/>
          <w:sz w:val="16"/>
          <w:szCs w:val="16"/>
          <w:vertAlign w:val="superscript"/>
        </w:rPr>
        <w:t>P</w:t>
      </w:r>
      <w:r w:rsidRPr="005537FB">
        <w:rPr>
          <w:rFonts w:cs="Arial"/>
          <w:color w:val="auto"/>
          <w:sz w:val="16"/>
          <w:szCs w:val="16"/>
          <w:vertAlign w:val="superscript"/>
        </w:rPr>
        <w:t>/</w:t>
      </w:r>
      <w:r w:rsidRPr="0079433B">
        <w:rPr>
          <w:color w:val="auto"/>
          <w:sz w:val="16"/>
          <w:szCs w:val="16"/>
          <w:lang w:val="es-MX"/>
        </w:rPr>
        <w:t xml:space="preserve"> </w:t>
      </w:r>
      <w:r w:rsidRPr="004C0FFC">
        <w:rPr>
          <w:rFonts w:ascii="Arial" w:hAnsi="Arial" w:cs="Arial"/>
          <w:color w:val="auto"/>
          <w:sz w:val="16"/>
          <w:szCs w:val="16"/>
          <w:lang w:val="es-MX"/>
        </w:rPr>
        <w:t xml:space="preserve">Cifras </w:t>
      </w:r>
      <w:r>
        <w:rPr>
          <w:rFonts w:ascii="Arial" w:hAnsi="Arial" w:cs="Arial"/>
          <w:color w:val="auto"/>
          <w:sz w:val="16"/>
          <w:szCs w:val="16"/>
          <w:lang w:val="es-MX"/>
        </w:rPr>
        <w:t>Preliminares</w:t>
      </w:r>
      <w:r w:rsidRPr="004C0FFC">
        <w:rPr>
          <w:rFonts w:ascii="Arial" w:hAnsi="Arial" w:cs="Arial"/>
          <w:color w:val="auto"/>
          <w:sz w:val="16"/>
          <w:szCs w:val="16"/>
          <w:lang w:val="es-MX"/>
        </w:rPr>
        <w:t>. La estimación oportuna no reemplaza a la estimación tradicional.</w:t>
      </w:r>
      <w:r w:rsidRPr="004C0FFC">
        <w:rPr>
          <w:rFonts w:ascii="Arial" w:hAnsi="Arial" w:cs="Arial"/>
          <w:color w:val="auto"/>
          <w:sz w:val="16"/>
          <w:szCs w:val="16"/>
        </w:rPr>
        <w:t xml:space="preserve"> </w:t>
      </w:r>
    </w:p>
    <w:p w14:paraId="302BB878" w14:textId="56DB2FB2" w:rsidR="00EF4CD3" w:rsidRDefault="00EF4CD3" w:rsidP="00EF4CD3">
      <w:pPr>
        <w:pStyle w:val="p01"/>
        <w:keepLines w:val="0"/>
        <w:spacing w:before="0"/>
        <w:ind w:left="851" w:hanging="142"/>
        <w:jc w:val="left"/>
        <w:outlineLvl w:val="0"/>
        <w:rPr>
          <w:rFonts w:ascii="Arial" w:hAnsi="Arial" w:cs="Arial"/>
          <w:color w:val="auto"/>
          <w:sz w:val="16"/>
          <w:szCs w:val="16"/>
        </w:rPr>
      </w:pPr>
      <w:r>
        <w:rPr>
          <w:rFonts w:ascii="Arial" w:hAnsi="Arial" w:cs="Arial"/>
          <w:color w:val="auto"/>
          <w:sz w:val="16"/>
          <w:szCs w:val="16"/>
        </w:rPr>
        <w:t xml:space="preserve">   </w:t>
      </w:r>
      <w:r w:rsidRPr="004C0FFC">
        <w:rPr>
          <w:rFonts w:ascii="Arial" w:hAnsi="Arial" w:cs="Arial"/>
          <w:color w:val="auto"/>
          <w:sz w:val="16"/>
          <w:szCs w:val="16"/>
        </w:rPr>
        <w:t>Fuente: INEGI.</w:t>
      </w:r>
    </w:p>
    <w:p w14:paraId="67C8B4CF" w14:textId="77777777" w:rsidR="00D373CC" w:rsidRPr="005E3FC4" w:rsidRDefault="00D373CC" w:rsidP="00EF4CD3">
      <w:pPr>
        <w:pStyle w:val="p01"/>
        <w:keepLines w:val="0"/>
        <w:spacing w:before="0"/>
        <w:ind w:left="851" w:firstLine="294"/>
        <w:jc w:val="left"/>
        <w:outlineLvl w:val="0"/>
        <w:rPr>
          <w:rFonts w:cs="Arial"/>
          <w:color w:val="auto"/>
          <w:sz w:val="16"/>
          <w:szCs w:val="16"/>
        </w:rPr>
      </w:pPr>
    </w:p>
    <w:p w14:paraId="63F936BC" w14:textId="77777777" w:rsidR="00317CAA" w:rsidRDefault="00317CAA" w:rsidP="00317CAA">
      <w:pPr>
        <w:widowControl/>
        <w:jc w:val="center"/>
        <w:rPr>
          <w:rFonts w:cs="Arial"/>
          <w:sz w:val="20"/>
          <w:lang w:val="es-MX"/>
        </w:rPr>
      </w:pPr>
    </w:p>
    <w:p w14:paraId="56833795" w14:textId="77777777" w:rsidR="00317CAA" w:rsidRDefault="00317CAA" w:rsidP="00317CAA">
      <w:pPr>
        <w:widowControl/>
        <w:jc w:val="center"/>
        <w:rPr>
          <w:rFonts w:cs="Arial"/>
          <w:sz w:val="20"/>
          <w:lang w:val="es-MX"/>
        </w:rPr>
      </w:pPr>
    </w:p>
    <w:p w14:paraId="0750CC5D" w14:textId="77777777" w:rsidR="00317CAA" w:rsidRDefault="00317CAA" w:rsidP="00317CAA">
      <w:pPr>
        <w:widowControl/>
        <w:jc w:val="center"/>
        <w:rPr>
          <w:rFonts w:cs="Arial"/>
          <w:sz w:val="20"/>
          <w:lang w:val="es-MX"/>
        </w:rPr>
      </w:pPr>
    </w:p>
    <w:p w14:paraId="7E649422" w14:textId="77777777" w:rsidR="00317CAA" w:rsidRDefault="00317CAA" w:rsidP="00317CAA">
      <w:pPr>
        <w:widowControl/>
        <w:jc w:val="center"/>
        <w:rPr>
          <w:rFonts w:cs="Arial"/>
          <w:sz w:val="20"/>
          <w:lang w:val="es-MX"/>
        </w:rPr>
      </w:pPr>
    </w:p>
    <w:p w14:paraId="369CAF26" w14:textId="41BCADCE" w:rsidR="001C5E65" w:rsidRPr="001C5E65" w:rsidRDefault="00D07331" w:rsidP="00317CAA">
      <w:pPr>
        <w:widowControl/>
        <w:jc w:val="center"/>
        <w:rPr>
          <w:rFonts w:cs="Arial"/>
          <w:b/>
          <w:smallCaps/>
          <w:szCs w:val="22"/>
        </w:rPr>
      </w:pPr>
      <w:r>
        <w:rPr>
          <w:rFonts w:cs="Arial"/>
          <w:sz w:val="20"/>
          <w:lang w:val="es-MX"/>
        </w:rPr>
        <w:t>G</w:t>
      </w:r>
      <w:r w:rsidR="001C5E65" w:rsidRPr="008C7F10">
        <w:rPr>
          <w:rFonts w:cs="Arial"/>
          <w:sz w:val="20"/>
          <w:lang w:val="es-MX"/>
        </w:rPr>
        <w:t xml:space="preserve">ráfica </w:t>
      </w:r>
      <w:r w:rsidR="00CC5B99" w:rsidRPr="008C7F10">
        <w:rPr>
          <w:rFonts w:cs="Arial"/>
          <w:sz w:val="20"/>
          <w:lang w:val="es-MX"/>
        </w:rPr>
        <w:t>1</w:t>
      </w:r>
    </w:p>
    <w:p w14:paraId="33F810B5" w14:textId="77777777" w:rsidR="00682DD9" w:rsidRDefault="00835EBD" w:rsidP="00682DD9">
      <w:pPr>
        <w:pStyle w:val="bullet"/>
        <w:numPr>
          <w:ilvl w:val="0"/>
          <w:numId w:val="0"/>
        </w:numPr>
        <w:spacing w:before="0"/>
        <w:ind w:right="-91"/>
        <w:jc w:val="center"/>
        <w:rPr>
          <w:rFonts w:cs="Arial"/>
          <w:smallCaps/>
          <w:color w:val="auto"/>
          <w:szCs w:val="22"/>
        </w:rPr>
      </w:pPr>
      <w:r>
        <w:rPr>
          <w:rFonts w:cs="Arial"/>
          <w:smallCaps/>
          <w:color w:val="auto"/>
          <w:szCs w:val="22"/>
        </w:rPr>
        <w:t>Estimación Oportuna del Producto Interno Bruto</w:t>
      </w:r>
      <w:r w:rsidR="003C2D5E">
        <w:rPr>
          <w:rFonts w:cs="Arial"/>
          <w:smallCaps/>
          <w:color w:val="auto"/>
          <w:szCs w:val="22"/>
        </w:rPr>
        <w:t xml:space="preserve"> </w:t>
      </w:r>
    </w:p>
    <w:p w14:paraId="4EA5C9AB" w14:textId="72BC2F0A" w:rsidR="00835EBD" w:rsidRDefault="00C67FB4" w:rsidP="00682DD9">
      <w:pPr>
        <w:pStyle w:val="bullet"/>
        <w:numPr>
          <w:ilvl w:val="0"/>
          <w:numId w:val="0"/>
        </w:numPr>
        <w:spacing w:before="0"/>
        <w:ind w:right="-91"/>
        <w:jc w:val="center"/>
        <w:rPr>
          <w:rFonts w:cs="Arial"/>
          <w:smallCaps/>
          <w:color w:val="auto"/>
          <w:szCs w:val="22"/>
        </w:rPr>
      </w:pPr>
      <w:r>
        <w:rPr>
          <w:rFonts w:cs="Arial"/>
          <w:smallCaps/>
          <w:color w:val="auto"/>
          <w:szCs w:val="22"/>
        </w:rPr>
        <w:t>del</w:t>
      </w:r>
      <w:r w:rsidR="00835EBD">
        <w:rPr>
          <w:rFonts w:cs="Arial"/>
          <w:smallCaps/>
          <w:color w:val="auto"/>
          <w:szCs w:val="22"/>
        </w:rPr>
        <w:t xml:space="preserve"> </w:t>
      </w:r>
      <w:r w:rsidR="00DD1143">
        <w:rPr>
          <w:rFonts w:cs="Arial"/>
          <w:smallCaps/>
          <w:color w:val="auto"/>
          <w:szCs w:val="22"/>
        </w:rPr>
        <w:t>primer</w:t>
      </w:r>
      <w:r w:rsidR="00835EBD" w:rsidRPr="008C7479">
        <w:rPr>
          <w:rFonts w:cs="Arial"/>
          <w:smallCaps/>
          <w:color w:val="auto"/>
          <w:szCs w:val="22"/>
        </w:rPr>
        <w:t xml:space="preserve"> trimestre de </w:t>
      </w:r>
      <w:r w:rsidR="00961D4F">
        <w:rPr>
          <w:rFonts w:cs="Arial"/>
          <w:smallCaps/>
          <w:color w:val="auto"/>
          <w:szCs w:val="22"/>
        </w:rPr>
        <w:t>20</w:t>
      </w:r>
      <w:r w:rsidR="00DD1143">
        <w:rPr>
          <w:rFonts w:cs="Arial"/>
          <w:smallCaps/>
          <w:color w:val="auto"/>
          <w:szCs w:val="22"/>
        </w:rPr>
        <w:t>20</w:t>
      </w:r>
    </w:p>
    <w:p w14:paraId="49367DC3" w14:textId="77777777" w:rsidR="00835EBD" w:rsidRPr="00064308" w:rsidRDefault="00835EBD" w:rsidP="00835EBD">
      <w:pPr>
        <w:pStyle w:val="p01"/>
        <w:keepLines w:val="0"/>
        <w:spacing w:before="0"/>
        <w:jc w:val="center"/>
        <w:outlineLvl w:val="0"/>
        <w:rPr>
          <w:rFonts w:ascii="Arial" w:hAnsi="Arial"/>
          <w:snapToGrid w:val="0"/>
          <w:color w:val="auto"/>
          <w:sz w:val="20"/>
        </w:rPr>
      </w:pPr>
      <w:r w:rsidRPr="00BF02A7">
        <w:rPr>
          <w:rFonts w:ascii="Arial" w:hAnsi="Arial"/>
          <w:snapToGrid w:val="0"/>
          <w:color w:val="auto"/>
          <w:sz w:val="18"/>
        </w:rPr>
        <w:t xml:space="preserve">(Variación porcentual </w:t>
      </w:r>
      <w:r w:rsidR="00682DD9" w:rsidRPr="00BF02A7">
        <w:rPr>
          <w:rFonts w:ascii="Arial" w:hAnsi="Arial"/>
          <w:snapToGrid w:val="0"/>
          <w:color w:val="auto"/>
          <w:sz w:val="18"/>
        </w:rPr>
        <w:t xml:space="preserve">real </w:t>
      </w:r>
      <w:r w:rsidRPr="00BF02A7">
        <w:rPr>
          <w:rFonts w:ascii="Arial" w:hAnsi="Arial"/>
          <w:snapToGrid w:val="0"/>
          <w:color w:val="auto"/>
          <w:sz w:val="18"/>
        </w:rPr>
        <w:t xml:space="preserve">respecto a igual trimestre del </w:t>
      </w:r>
      <w:r w:rsidR="007D7812" w:rsidRPr="00BF02A7">
        <w:rPr>
          <w:rFonts w:ascii="Arial" w:hAnsi="Arial"/>
          <w:snapToGrid w:val="0"/>
          <w:color w:val="auto"/>
          <w:sz w:val="18"/>
        </w:rPr>
        <w:t xml:space="preserve">año </w:t>
      </w:r>
      <w:r w:rsidRPr="00BF02A7">
        <w:rPr>
          <w:rFonts w:ascii="Arial" w:hAnsi="Arial"/>
          <w:snapToGrid w:val="0"/>
          <w:color w:val="auto"/>
          <w:sz w:val="18"/>
        </w:rPr>
        <w:t>anterior)</w:t>
      </w:r>
      <w:r w:rsidRPr="00064308">
        <w:rPr>
          <w:rFonts w:ascii="Arial" w:hAnsi="Arial"/>
          <w:snapToGrid w:val="0"/>
          <w:color w:val="auto"/>
          <w:sz w:val="20"/>
        </w:rPr>
        <w:t xml:space="preserve"> </w:t>
      </w:r>
    </w:p>
    <w:p w14:paraId="4A83771C" w14:textId="18747A6D" w:rsidR="00835EBD" w:rsidRDefault="00095EE6" w:rsidP="00835EBD">
      <w:pPr>
        <w:pStyle w:val="p0"/>
        <w:spacing w:before="0"/>
        <w:jc w:val="center"/>
        <w:rPr>
          <w:b/>
          <w:i/>
          <w:color w:val="auto"/>
        </w:rPr>
      </w:pPr>
      <w:r>
        <w:rPr>
          <w:noProof/>
          <w:snapToGrid/>
          <w:lang w:val="es-MX" w:eastAsia="es-MX"/>
        </w:rPr>
        <w:drawing>
          <wp:inline distT="0" distB="0" distL="0" distR="0" wp14:anchorId="47897872" wp14:editId="24464386">
            <wp:extent cx="4320000" cy="2520000"/>
            <wp:effectExtent l="0" t="0" r="4445" b="13970"/>
            <wp:docPr id="3" name="Gráfico 3">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07D3BC6" w14:textId="77777777" w:rsidR="00835EBD" w:rsidRPr="009F3FFD" w:rsidRDefault="00835EBD" w:rsidP="00B44898">
      <w:pPr>
        <w:pStyle w:val="p01"/>
        <w:keepLines w:val="0"/>
        <w:spacing w:before="0"/>
        <w:ind w:left="1134"/>
        <w:jc w:val="left"/>
        <w:outlineLvl w:val="0"/>
        <w:rPr>
          <w:rFonts w:ascii="Arial" w:hAnsi="Arial" w:cs="Arial"/>
          <w:color w:val="auto"/>
          <w:sz w:val="16"/>
          <w:szCs w:val="16"/>
        </w:rPr>
      </w:pPr>
      <w:r w:rsidRPr="009F3FFD">
        <w:rPr>
          <w:rFonts w:ascii="Arial" w:hAnsi="Arial" w:cs="Arial"/>
          <w:color w:val="auto"/>
          <w:sz w:val="16"/>
          <w:szCs w:val="16"/>
        </w:rPr>
        <w:t>Fuente: INEGI.</w:t>
      </w:r>
    </w:p>
    <w:p w14:paraId="4F6AE329" w14:textId="77777777" w:rsidR="00D02F94" w:rsidRDefault="00D02F94">
      <w:pPr>
        <w:widowControl/>
        <w:rPr>
          <w:rFonts w:cs="Arial"/>
          <w:sz w:val="20"/>
          <w:lang w:val="es-MX"/>
        </w:rPr>
      </w:pPr>
    </w:p>
    <w:p w14:paraId="571D0CC3" w14:textId="77777777" w:rsidR="00317CAA" w:rsidRDefault="00317CAA" w:rsidP="001C5E65">
      <w:pPr>
        <w:pStyle w:val="bullet"/>
        <w:numPr>
          <w:ilvl w:val="0"/>
          <w:numId w:val="0"/>
        </w:numPr>
        <w:spacing w:before="360"/>
        <w:ind w:right="-91"/>
        <w:jc w:val="center"/>
        <w:rPr>
          <w:rFonts w:cs="Arial"/>
          <w:b w:val="0"/>
          <w:color w:val="auto"/>
          <w:sz w:val="20"/>
          <w:lang w:val="es-MX"/>
        </w:rPr>
      </w:pPr>
    </w:p>
    <w:p w14:paraId="0469B384" w14:textId="77777777" w:rsidR="00317CAA" w:rsidRDefault="00317CAA" w:rsidP="001C5E65">
      <w:pPr>
        <w:pStyle w:val="bullet"/>
        <w:numPr>
          <w:ilvl w:val="0"/>
          <w:numId w:val="0"/>
        </w:numPr>
        <w:spacing w:before="360"/>
        <w:ind w:right="-91"/>
        <w:jc w:val="center"/>
        <w:rPr>
          <w:rFonts w:cs="Arial"/>
          <w:b w:val="0"/>
          <w:color w:val="auto"/>
          <w:sz w:val="20"/>
          <w:lang w:val="es-MX"/>
        </w:rPr>
      </w:pPr>
    </w:p>
    <w:p w14:paraId="529979A1" w14:textId="6237000A" w:rsidR="00835EBD" w:rsidRPr="001C5E65" w:rsidRDefault="001C5E65" w:rsidP="001C5E65">
      <w:pPr>
        <w:pStyle w:val="bullet"/>
        <w:numPr>
          <w:ilvl w:val="0"/>
          <w:numId w:val="0"/>
        </w:numPr>
        <w:spacing w:before="360"/>
        <w:ind w:right="-91"/>
        <w:jc w:val="center"/>
        <w:rPr>
          <w:rFonts w:cs="Arial"/>
          <w:b w:val="0"/>
          <w:smallCaps/>
          <w:color w:val="auto"/>
          <w:szCs w:val="22"/>
        </w:rPr>
      </w:pPr>
      <w:r w:rsidRPr="008C7F10">
        <w:rPr>
          <w:rFonts w:cs="Arial"/>
          <w:b w:val="0"/>
          <w:color w:val="auto"/>
          <w:sz w:val="20"/>
          <w:lang w:val="es-MX"/>
        </w:rPr>
        <w:t xml:space="preserve">Gráfica </w:t>
      </w:r>
      <w:r w:rsidR="00CC5B99" w:rsidRPr="008C7F10">
        <w:rPr>
          <w:rFonts w:cs="Arial"/>
          <w:b w:val="0"/>
          <w:color w:val="auto"/>
          <w:sz w:val="20"/>
          <w:lang w:val="es-MX"/>
        </w:rPr>
        <w:t>2</w:t>
      </w:r>
    </w:p>
    <w:p w14:paraId="64DBF83E" w14:textId="77777777" w:rsidR="00682DD9" w:rsidRDefault="005E3FC4" w:rsidP="00682DD9">
      <w:pPr>
        <w:pStyle w:val="bullet"/>
        <w:numPr>
          <w:ilvl w:val="0"/>
          <w:numId w:val="0"/>
        </w:numPr>
        <w:spacing w:before="0"/>
        <w:ind w:right="-91"/>
        <w:jc w:val="center"/>
        <w:rPr>
          <w:rFonts w:cs="Arial"/>
          <w:smallCaps/>
          <w:color w:val="auto"/>
          <w:szCs w:val="22"/>
        </w:rPr>
      </w:pPr>
      <w:r>
        <w:rPr>
          <w:rFonts w:cs="Arial"/>
          <w:smallCaps/>
          <w:color w:val="auto"/>
          <w:szCs w:val="22"/>
        </w:rPr>
        <w:t>Estimación Oportuna del Producto Interno Bruto</w:t>
      </w:r>
    </w:p>
    <w:p w14:paraId="65CF4BCC" w14:textId="7C4E7FCE" w:rsidR="005E3FC4" w:rsidRDefault="00D247A6" w:rsidP="00682DD9">
      <w:pPr>
        <w:pStyle w:val="bullet"/>
        <w:numPr>
          <w:ilvl w:val="0"/>
          <w:numId w:val="0"/>
        </w:numPr>
        <w:spacing w:before="0"/>
        <w:ind w:right="-91"/>
        <w:jc w:val="center"/>
        <w:rPr>
          <w:rFonts w:cs="Arial"/>
          <w:smallCaps/>
          <w:color w:val="auto"/>
          <w:szCs w:val="22"/>
        </w:rPr>
      </w:pPr>
      <w:r>
        <w:rPr>
          <w:rFonts w:cs="Arial"/>
          <w:smallCaps/>
          <w:color w:val="auto"/>
          <w:szCs w:val="22"/>
        </w:rPr>
        <w:t>al</w:t>
      </w:r>
      <w:r w:rsidR="009B1905">
        <w:rPr>
          <w:rFonts w:cs="Arial"/>
          <w:smallCaps/>
          <w:color w:val="auto"/>
          <w:szCs w:val="22"/>
        </w:rPr>
        <w:t xml:space="preserve"> </w:t>
      </w:r>
      <w:r w:rsidR="00DD1143">
        <w:rPr>
          <w:rFonts w:cs="Arial"/>
          <w:smallCaps/>
          <w:color w:val="auto"/>
          <w:szCs w:val="22"/>
        </w:rPr>
        <w:t>primer</w:t>
      </w:r>
      <w:r w:rsidR="00CF135C">
        <w:rPr>
          <w:rFonts w:cs="Arial"/>
          <w:smallCaps/>
          <w:color w:val="auto"/>
          <w:szCs w:val="22"/>
        </w:rPr>
        <w:t xml:space="preserve"> </w:t>
      </w:r>
      <w:r w:rsidR="005E3FC4" w:rsidRPr="008C7479">
        <w:rPr>
          <w:rFonts w:cs="Arial"/>
          <w:smallCaps/>
          <w:color w:val="auto"/>
          <w:szCs w:val="22"/>
        </w:rPr>
        <w:t xml:space="preserve">trimestre de </w:t>
      </w:r>
      <w:r w:rsidR="00961D4F">
        <w:rPr>
          <w:rFonts w:cs="Arial"/>
          <w:smallCaps/>
          <w:color w:val="auto"/>
          <w:szCs w:val="22"/>
        </w:rPr>
        <w:t>20</w:t>
      </w:r>
      <w:r w:rsidR="00DD1143">
        <w:rPr>
          <w:rFonts w:cs="Arial"/>
          <w:smallCaps/>
          <w:color w:val="auto"/>
          <w:szCs w:val="22"/>
        </w:rPr>
        <w:t>20</w:t>
      </w:r>
    </w:p>
    <w:p w14:paraId="5C9BB2D0" w14:textId="77777777" w:rsidR="005E3FC4" w:rsidRDefault="005E3FC4" w:rsidP="005A3442">
      <w:pPr>
        <w:pStyle w:val="bullet"/>
        <w:numPr>
          <w:ilvl w:val="0"/>
          <w:numId w:val="0"/>
        </w:numPr>
        <w:spacing w:before="0"/>
        <w:ind w:right="-91"/>
        <w:jc w:val="center"/>
        <w:rPr>
          <w:b w:val="0"/>
          <w:color w:val="auto"/>
          <w:sz w:val="20"/>
        </w:rPr>
      </w:pPr>
      <w:r w:rsidRPr="00BF02A7">
        <w:rPr>
          <w:b w:val="0"/>
          <w:color w:val="auto"/>
          <w:sz w:val="18"/>
        </w:rPr>
        <w:t>(Variación porcentual</w:t>
      </w:r>
      <w:r w:rsidR="002870CD" w:rsidRPr="00BF02A7">
        <w:rPr>
          <w:b w:val="0"/>
          <w:color w:val="auto"/>
          <w:sz w:val="18"/>
        </w:rPr>
        <w:t xml:space="preserve"> </w:t>
      </w:r>
      <w:r w:rsidR="00682DD9" w:rsidRPr="00BF02A7">
        <w:rPr>
          <w:b w:val="0"/>
          <w:color w:val="auto"/>
          <w:sz w:val="18"/>
        </w:rPr>
        <w:t xml:space="preserve">real </w:t>
      </w:r>
      <w:r w:rsidR="002870CD" w:rsidRPr="00BF02A7">
        <w:rPr>
          <w:b w:val="0"/>
          <w:color w:val="auto"/>
          <w:sz w:val="18"/>
        </w:rPr>
        <w:t>respecto</w:t>
      </w:r>
      <w:r w:rsidR="002870CD" w:rsidRPr="00BF02A7">
        <w:rPr>
          <w:color w:val="auto"/>
          <w:sz w:val="18"/>
        </w:rPr>
        <w:t xml:space="preserve"> </w:t>
      </w:r>
      <w:r w:rsidR="002870CD" w:rsidRPr="00BF02A7">
        <w:rPr>
          <w:b w:val="0"/>
          <w:color w:val="auto"/>
          <w:sz w:val="18"/>
        </w:rPr>
        <w:t>a igual trimestre del año anterior</w:t>
      </w:r>
      <w:r w:rsidRPr="00BF02A7">
        <w:rPr>
          <w:b w:val="0"/>
          <w:color w:val="auto"/>
          <w:sz w:val="18"/>
        </w:rPr>
        <w:t>)</w:t>
      </w:r>
    </w:p>
    <w:p w14:paraId="5C27D05E" w14:textId="75E5B54F" w:rsidR="005E3FC4" w:rsidRPr="00064308" w:rsidRDefault="00095EE6" w:rsidP="005A3442">
      <w:pPr>
        <w:pStyle w:val="bullet"/>
        <w:numPr>
          <w:ilvl w:val="0"/>
          <w:numId w:val="0"/>
        </w:numPr>
        <w:spacing w:before="0"/>
        <w:ind w:right="-91"/>
        <w:jc w:val="center"/>
        <w:rPr>
          <w:b w:val="0"/>
          <w:color w:val="auto"/>
          <w:sz w:val="20"/>
        </w:rPr>
      </w:pPr>
      <w:r>
        <w:rPr>
          <w:noProof/>
          <w:snapToGrid/>
          <w:lang w:val="es-MX" w:eastAsia="es-MX"/>
        </w:rPr>
        <w:drawing>
          <wp:inline distT="0" distB="0" distL="0" distR="0" wp14:anchorId="08698732" wp14:editId="3ABA0773">
            <wp:extent cx="4320000" cy="2520000"/>
            <wp:effectExtent l="0" t="0" r="4445" b="13970"/>
            <wp:docPr id="5" name="Gráfico 5">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E719B2F" w14:textId="77777777" w:rsidR="005E3FC4" w:rsidRDefault="005E3FC4" w:rsidP="00B44898">
      <w:pPr>
        <w:pStyle w:val="p0"/>
        <w:spacing w:before="0"/>
        <w:ind w:left="1134"/>
        <w:rPr>
          <w:b/>
          <w:i/>
          <w:color w:val="auto"/>
        </w:rPr>
      </w:pPr>
      <w:r w:rsidRPr="000434B9">
        <w:rPr>
          <w:rFonts w:cs="Arial"/>
          <w:color w:val="auto"/>
          <w:sz w:val="16"/>
          <w:szCs w:val="16"/>
        </w:rPr>
        <w:t>Fuente: INEGI.</w:t>
      </w:r>
    </w:p>
    <w:p w14:paraId="675B4FA2" w14:textId="77777777" w:rsidR="00454C88" w:rsidRDefault="00454C88">
      <w:pPr>
        <w:widowControl/>
        <w:rPr>
          <w:b/>
          <w:i/>
        </w:rPr>
      </w:pPr>
      <w:r>
        <w:rPr>
          <w:b/>
          <w:i/>
        </w:rPr>
        <w:br w:type="page"/>
      </w:r>
    </w:p>
    <w:p w14:paraId="0121FD05" w14:textId="77777777" w:rsidR="00B35528" w:rsidRPr="00D61AB3" w:rsidRDefault="00B35528" w:rsidP="00DD4734">
      <w:pPr>
        <w:pStyle w:val="p0"/>
        <w:spacing w:before="0"/>
        <w:rPr>
          <w:b/>
          <w:i/>
          <w:color w:val="auto"/>
        </w:rPr>
      </w:pPr>
      <w:r w:rsidRPr="00D61AB3">
        <w:rPr>
          <w:b/>
          <w:i/>
          <w:color w:val="auto"/>
        </w:rPr>
        <w:lastRenderedPageBreak/>
        <w:t xml:space="preserve">Nota Metodológica </w:t>
      </w:r>
    </w:p>
    <w:p w14:paraId="0FF46417" w14:textId="77777777" w:rsidR="00541B47" w:rsidRPr="005A3442" w:rsidRDefault="00541B47" w:rsidP="00863772">
      <w:pPr>
        <w:pStyle w:val="p0"/>
        <w:rPr>
          <w:color w:val="auto"/>
        </w:rPr>
      </w:pPr>
      <w:r w:rsidRPr="005A3442">
        <w:rPr>
          <w:color w:val="auto"/>
        </w:rPr>
        <w:t>La estimación oportuna del PIB trimestral ofrece en el corto plazo, una visión completa y coherente de la evolución de las actividades económicas del país para apoyar la toma de decisiones.</w:t>
      </w:r>
    </w:p>
    <w:p w14:paraId="2DB06D78" w14:textId="77777777" w:rsidR="00541B47" w:rsidRPr="005A3442" w:rsidRDefault="00541B47" w:rsidP="008266A4">
      <w:pPr>
        <w:pStyle w:val="p0"/>
        <w:rPr>
          <w:color w:val="auto"/>
        </w:rPr>
      </w:pPr>
      <w:r w:rsidRPr="005A3442">
        <w:rPr>
          <w:color w:val="auto"/>
        </w:rPr>
        <w:t>La metodología</w:t>
      </w:r>
      <w:r>
        <w:rPr>
          <w:color w:val="auto"/>
        </w:rPr>
        <w:t xml:space="preserve"> que presenta el INEGI para la estimación o</w:t>
      </w:r>
      <w:r w:rsidRPr="005A3442">
        <w:rPr>
          <w:color w:val="auto"/>
        </w:rPr>
        <w:t xml:space="preserve">portuna del PIB Trimestral de México utiliza información estadística oportuna de las fuentes directas (encuestas en establecimientos y en hogares y los registros administrativos de diversas dependencias de gobierno) y los cálculos de la información faltante, que se hacen a través </w:t>
      </w:r>
      <w:r w:rsidRPr="0098674E">
        <w:rPr>
          <w:color w:val="auto"/>
        </w:rPr>
        <w:t>de modelos</w:t>
      </w:r>
      <w:r w:rsidRPr="005A3442">
        <w:rPr>
          <w:color w:val="auto"/>
        </w:rPr>
        <w:t xml:space="preserve"> econométricos, para la integración del dato final. Esta integración se hace conforme a la metodología del Sistema de Cuenta</w:t>
      </w:r>
      <w:r>
        <w:rPr>
          <w:color w:val="auto"/>
        </w:rPr>
        <w:t>s</w:t>
      </w:r>
      <w:r w:rsidRPr="005A3442">
        <w:rPr>
          <w:color w:val="auto"/>
        </w:rPr>
        <w:t xml:space="preserve"> Nacionales de México (SCNM).</w:t>
      </w:r>
    </w:p>
    <w:p w14:paraId="646472E4" w14:textId="77777777" w:rsidR="00541B47" w:rsidRPr="005A3442" w:rsidRDefault="00541B47" w:rsidP="008266A4">
      <w:pPr>
        <w:pStyle w:val="p0"/>
        <w:rPr>
          <w:color w:val="auto"/>
        </w:rPr>
      </w:pPr>
      <w:r w:rsidRPr="005A3442">
        <w:rPr>
          <w:color w:val="auto"/>
        </w:rPr>
        <w:t xml:space="preserve">Entre las virtudes de esta metodología está la precisión del dato estimado respecto al dato del cálculo tradicional. Esto se debe a que solo se estima una parte del trimestre de referencia (con cerca </w:t>
      </w:r>
      <w:r w:rsidRPr="0098674E">
        <w:rPr>
          <w:color w:val="auto"/>
        </w:rPr>
        <w:t>del 75%, aproximadamente, de información directa disponible) y a la rigurosa selección de los modelos que pronostican los datos faltantes. La estimación se hace a partir de las 621 clases de actividad que comprenden el IGAE y que se tienen, de manera mensual, disponibles</w:t>
      </w:r>
      <w:r w:rsidRPr="005A3442">
        <w:rPr>
          <w:color w:val="auto"/>
        </w:rPr>
        <w:t xml:space="preserve"> hasta el segundo mes del trimestre de referencia.</w:t>
      </w:r>
    </w:p>
    <w:p w14:paraId="7C98724C" w14:textId="77777777" w:rsidR="00541B47" w:rsidRPr="005A3442" w:rsidRDefault="00541B47" w:rsidP="008266A4">
      <w:pPr>
        <w:pStyle w:val="p0"/>
        <w:rPr>
          <w:color w:val="auto"/>
        </w:rPr>
      </w:pPr>
      <w:r w:rsidRPr="005A3442">
        <w:rPr>
          <w:color w:val="auto"/>
        </w:rPr>
        <w:t>Es importante mencionar que esta estimación no reemplaza al cálculo tradicional del PIB Trimestral.</w:t>
      </w:r>
    </w:p>
    <w:p w14:paraId="7F65D17B" w14:textId="77777777" w:rsidR="00541B47" w:rsidRDefault="00541B47" w:rsidP="008266A4">
      <w:pPr>
        <w:pStyle w:val="p0"/>
        <w:rPr>
          <w:color w:val="auto"/>
        </w:rPr>
      </w:pPr>
      <w:r w:rsidRPr="005A3442">
        <w:rPr>
          <w:color w:val="auto"/>
        </w:rPr>
        <w:t xml:space="preserve">El presente </w:t>
      </w:r>
      <w:r>
        <w:rPr>
          <w:color w:val="auto"/>
        </w:rPr>
        <w:t xml:space="preserve">documento </w:t>
      </w:r>
      <w:r w:rsidRPr="005A3442">
        <w:rPr>
          <w:color w:val="auto"/>
        </w:rPr>
        <w:t>maneja las variaciones porcentuales de las series originales y desestacionalizadas respecto al mismo trimestre del año anterior y con el trimestre inmediato anterior, este último únicamente para las</w:t>
      </w:r>
      <w:r>
        <w:rPr>
          <w:color w:val="auto"/>
        </w:rPr>
        <w:t xml:space="preserve"> cifras desestacionalizadas.</w:t>
      </w:r>
    </w:p>
    <w:p w14:paraId="00224FE7" w14:textId="77777777" w:rsidR="005A3442" w:rsidRPr="00E20D88" w:rsidRDefault="005A3442" w:rsidP="008266A4">
      <w:pPr>
        <w:pStyle w:val="p0"/>
        <w:rPr>
          <w:color w:val="auto"/>
        </w:rPr>
      </w:pPr>
      <w:r w:rsidRPr="00E20D88">
        <w:rPr>
          <w:color w:val="auto"/>
        </w:rPr>
        <w:t xml:space="preserve">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 por ejemplo, la elevada producción de juguetes en los meses previos a la Navidad provocada por la expectativa de mayores ventas en diciembre. </w:t>
      </w:r>
    </w:p>
    <w:p w14:paraId="4D86F755" w14:textId="77777777" w:rsidR="005A3442" w:rsidRPr="005A3442" w:rsidRDefault="005A3442" w:rsidP="00B8050A">
      <w:pPr>
        <w:pStyle w:val="p0"/>
        <w:keepLines w:val="0"/>
        <w:rPr>
          <w:color w:val="auto"/>
        </w:rPr>
      </w:pPr>
      <w:r w:rsidRPr="00E20D88">
        <w:rPr>
          <w:color w:val="auto"/>
        </w:rPr>
        <w:t xml:space="preserve">En este sentido, la desestacionalización o ajuste estacional de series económicas consiste en remover estas influencias intra-anuales periódicas, debido a que su presencia dificulta diagnosticar o describir el comportamiento de una serie al no poder comparar adecuadamente un determinado trimestre con el inmediato anterior. Analizar la serie ajustada ayuda a realizar un mejor diagnóstico y pronóstico de la evolución de la misma, ya que facilita la identificación de la posible dirección de los movimientos que pudiera tener la variable en cuestión, en el corto plazo. Las cifras desestacionalizadas también incluyen el ajuste por los efectos de calendario </w:t>
      </w:r>
      <w:r w:rsidRPr="00E20D88">
        <w:rPr>
          <w:color w:val="auto"/>
        </w:rPr>
        <w:lastRenderedPageBreak/>
        <w:t>(frecuencia de los días de la semana y, en su caso, la Semana Santa y año bisiesto). Cabe señalar que la serie desestacionalizada del Producto Interno Bruto total se calcula de manera independiente a la de sus componentes.</w:t>
      </w:r>
    </w:p>
    <w:p w14:paraId="4DCB517E" w14:textId="77777777" w:rsidR="004A082D" w:rsidRPr="00434EAE" w:rsidRDefault="004A082D" w:rsidP="004A082D">
      <w:pPr>
        <w:pStyle w:val="p0"/>
      </w:pPr>
      <w:r w:rsidRPr="004A082D">
        <w:rPr>
          <w:color w:val="auto"/>
        </w:rPr>
        <w:t>Las series originales se ajustan estacionalmente mediante el paquete estadístico X</w:t>
      </w:r>
      <w:r w:rsidRPr="004A082D">
        <w:rPr>
          <w:color w:val="auto"/>
        </w:rPr>
        <w:noBreakHyphen/>
        <w:t>13ARIMA-SEATS. Para conocer la metodología se sugiere consultar la siguiente liga:</w:t>
      </w:r>
    </w:p>
    <w:p w14:paraId="0C0231E8" w14:textId="129F029E" w:rsidR="00E20D88" w:rsidRPr="00E92E4F" w:rsidRDefault="000B6397" w:rsidP="004A082D">
      <w:pPr>
        <w:spacing w:before="240"/>
        <w:jc w:val="both"/>
        <w:rPr>
          <w:highlight w:val="yellow"/>
          <w:lang w:val="es-MX"/>
        </w:rPr>
      </w:pPr>
      <w:hyperlink r:id="rId27" w:history="1">
        <w:r w:rsidR="00AD5231" w:rsidRPr="001D0143">
          <w:rPr>
            <w:rStyle w:val="Hipervnculo"/>
            <w:lang w:eastAsia="en-US"/>
          </w:rPr>
          <w:t>https://www.inegi.org.mx/app/biblioteca/ficha.html?upc=702825099060</w:t>
        </w:r>
      </w:hyperlink>
    </w:p>
    <w:p w14:paraId="4B4150AC" w14:textId="77777777" w:rsidR="005A3442" w:rsidRPr="001645BC" w:rsidRDefault="005A3442" w:rsidP="0042396C">
      <w:pPr>
        <w:pStyle w:val="p0"/>
        <w:rPr>
          <w:color w:val="auto"/>
          <w:sz w:val="23"/>
          <w:szCs w:val="23"/>
        </w:rPr>
      </w:pPr>
      <w:r w:rsidRPr="005A3442">
        <w:rPr>
          <w:color w:val="auto"/>
        </w:rPr>
        <w:t xml:space="preserve">Asimismo, las especificaciones de los modelos utilizados para realizar el ajuste estacional están disponibles en el Banco de Información Económica, seleccionando el icono de información </w:t>
      </w:r>
      <w:r w:rsidRPr="005A3442">
        <w:rPr>
          <w:noProof/>
          <w:color w:val="auto"/>
          <w:lang w:val="es-MX" w:eastAsia="es-MX"/>
        </w:rPr>
        <w:drawing>
          <wp:inline distT="0" distB="0" distL="0" distR="0" wp14:anchorId="1F2D47E0" wp14:editId="272B2D39">
            <wp:extent cx="152400" cy="152400"/>
            <wp:effectExtent l="0" t="0" r="0" b="0"/>
            <wp:docPr id="6" name="Imagen 6" descr="http://www.inegi.org.mx/sistemas/bie/img/MetadatoC.GIF">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28"/>
                    </pic:cNvPr>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A3442">
        <w:rPr>
          <w:color w:val="auto"/>
        </w:rPr>
        <w:t xml:space="preserve"> correspondiente a las “series desestacionalizadas y de tendencia-ciclo” del PIB.</w:t>
      </w:r>
    </w:p>
    <w:p w14:paraId="23C0A396" w14:textId="77777777" w:rsidR="00541B47" w:rsidRPr="005A3442" w:rsidRDefault="00541B47" w:rsidP="0042396C">
      <w:pPr>
        <w:pStyle w:val="p0"/>
        <w:rPr>
          <w:color w:val="auto"/>
        </w:rPr>
      </w:pPr>
      <w:r w:rsidRPr="005A3442">
        <w:rPr>
          <w:color w:val="auto"/>
        </w:rPr>
        <w:t>Los cálculos de corto plazo se alinean con las cifras anuales de las Cuentas de Bienes y Servicios, con excepción de la agricultura, aplicando la técnica Denton a nivel de clase de actividad económica, evitando que se interpreten de diferente manera resultados que pueden diferir por su grado de cobertura o por la fecha de su disponibilidad, pero nunca en su base conceptual.</w:t>
      </w:r>
    </w:p>
    <w:p w14:paraId="305087D0" w14:textId="77777777" w:rsidR="00762CEA" w:rsidRDefault="00541B47" w:rsidP="0042396C">
      <w:pPr>
        <w:pStyle w:val="p0"/>
        <w:rPr>
          <w:color w:val="auto"/>
        </w:rPr>
      </w:pPr>
      <w:r w:rsidRPr="005A3442">
        <w:rPr>
          <w:color w:val="auto"/>
        </w:rPr>
        <w:t xml:space="preserve">Las principales fuentes de información para la estimación de los dos primeros meses del trimestre del PIB y las actividades que lo comprenden son: la Encuesta Mensual de la Industria Manufacturera, Encuesta Mensual sobre </w:t>
      </w:r>
      <w:r w:rsidR="00B03E31" w:rsidRPr="00B03E31">
        <w:rPr>
          <w:color w:val="auto"/>
        </w:rPr>
        <w:t>Empresas</w:t>
      </w:r>
      <w:r w:rsidRPr="005A3442">
        <w:rPr>
          <w:color w:val="auto"/>
        </w:rPr>
        <w:t xml:space="preserve"> Comerciales, Estadística de la Industria Minerometalúrgica, Encuesta Nacional de Empresas Constructoras, Encuesta Mensual de Servicios, Registros Administrativos y Estadísticas </w:t>
      </w:r>
      <w:r w:rsidR="00DE0DB7">
        <w:rPr>
          <w:color w:val="auto"/>
        </w:rPr>
        <w:t>S</w:t>
      </w:r>
      <w:r w:rsidRPr="005A3442">
        <w:rPr>
          <w:color w:val="auto"/>
        </w:rPr>
        <w:t xml:space="preserve">ocio-demográficas. Para el último mes se utilizan las encuestas de opinión y la información que se recibe de las fuentes anteriores con una oportunidad </w:t>
      </w:r>
      <w:r w:rsidRPr="0098674E">
        <w:rPr>
          <w:color w:val="auto"/>
        </w:rPr>
        <w:t>de 28 días</w:t>
      </w:r>
      <w:r w:rsidRPr="005A3442">
        <w:rPr>
          <w:color w:val="auto"/>
        </w:rPr>
        <w:t>.</w:t>
      </w:r>
    </w:p>
    <w:p w14:paraId="6CA6A2BA" w14:textId="77777777" w:rsidR="00541B47" w:rsidRDefault="00762CEA" w:rsidP="0042396C">
      <w:pPr>
        <w:pStyle w:val="p0"/>
        <w:rPr>
          <w:color w:val="auto"/>
        </w:rPr>
      </w:pPr>
      <w:r w:rsidRPr="00762CEA">
        <w:rPr>
          <w:color w:val="auto"/>
        </w:rPr>
        <w:t>Los datos que se presentan en este documento amplían la información que actualmente difunde el INEGI, la cual continuará generándose como parte de los resultados del SCNM, y se da a conocer en la fecha establecida en el Calendario de difusión de información estadística y geográfica y de Interés Nacional.</w:t>
      </w:r>
      <w:r w:rsidR="00541B47">
        <w:rPr>
          <w:color w:val="auto"/>
        </w:rPr>
        <w:t xml:space="preserve"> </w:t>
      </w:r>
    </w:p>
    <w:p w14:paraId="4FBDB7C0" w14:textId="2E6020E5" w:rsidR="008C32D6" w:rsidRPr="00E12064" w:rsidRDefault="00541B47" w:rsidP="005C23FE">
      <w:pPr>
        <w:pStyle w:val="p0"/>
      </w:pPr>
      <w:r w:rsidRPr="00541B47">
        <w:rPr>
          <w:color w:val="auto"/>
        </w:rPr>
        <w:t xml:space="preserve">Las series de la </w:t>
      </w:r>
      <w:r w:rsidR="00D02B97">
        <w:rPr>
          <w:color w:val="auto"/>
        </w:rPr>
        <w:t>E</w:t>
      </w:r>
      <w:r w:rsidRPr="00541B47">
        <w:rPr>
          <w:color w:val="auto"/>
        </w:rPr>
        <w:t xml:space="preserve">stimación Oportuna del PIB Trimestral, podrán ser consultadas en la sección PIB y Cuentas Nacionales de México y en el Banco de Información Económica (BIE), de la página en Internet del Instituto </w:t>
      </w:r>
      <w:r w:rsidR="00AD5231" w:rsidRPr="00AD5231">
        <w:rPr>
          <w:u w:val="single"/>
        </w:rPr>
        <w:t>https://www.inegi.org.mx</w:t>
      </w:r>
    </w:p>
    <w:sectPr w:rsidR="008C32D6" w:rsidRPr="00E12064" w:rsidSect="00CB0946">
      <w:headerReference w:type="default" r:id="rId30"/>
      <w:footerReference w:type="default" r:id="rId31"/>
      <w:endnotePr>
        <w:numFmt w:val="decimal"/>
      </w:endnotePr>
      <w:pgSz w:w="12242" w:h="15842"/>
      <w:pgMar w:top="2127" w:right="1701" w:bottom="1134" w:left="1701" w:header="426" w:footer="39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A604A1" w14:textId="77777777" w:rsidR="00D72EAF" w:rsidRDefault="00D72EAF">
      <w:r>
        <w:separator/>
      </w:r>
    </w:p>
  </w:endnote>
  <w:endnote w:type="continuationSeparator" w:id="0">
    <w:p w14:paraId="767AAA03" w14:textId="77777777" w:rsidR="00D72EAF" w:rsidRDefault="00D72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72C7C1" w14:textId="77777777" w:rsidR="000B6397" w:rsidRDefault="000B639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32654" w14:textId="77777777" w:rsidR="008A7F38" w:rsidRPr="00854414" w:rsidRDefault="008A7F38" w:rsidP="00EE63F7">
    <w:pPr>
      <w:pStyle w:val="Piedepgina"/>
      <w:contextualSpacing/>
      <w:jc w:val="center"/>
      <w:rPr>
        <w:color w:val="002060"/>
        <w:sz w:val="18"/>
        <w:szCs w:val="18"/>
      </w:rPr>
    </w:pPr>
    <w:r w:rsidRPr="00854414">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7C7FD" w14:textId="77777777" w:rsidR="000B6397" w:rsidRDefault="000B6397">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5211D" w14:textId="77777777" w:rsidR="004A55CE" w:rsidRPr="00B06AE9" w:rsidRDefault="004A55CE" w:rsidP="00B06AE9">
    <w:pPr>
      <w:pStyle w:val="Piedepgina"/>
      <w:jc w:val="cente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A87175" w14:textId="77777777" w:rsidR="00D72EAF" w:rsidRDefault="00D72EAF">
      <w:r>
        <w:separator/>
      </w:r>
    </w:p>
  </w:footnote>
  <w:footnote w:type="continuationSeparator" w:id="0">
    <w:p w14:paraId="57636B67" w14:textId="77777777" w:rsidR="00D72EAF" w:rsidRDefault="00D72EAF">
      <w:r>
        <w:continuationSeparator/>
      </w:r>
    </w:p>
  </w:footnote>
  <w:footnote w:id="1">
    <w:p w14:paraId="23C4A2F3" w14:textId="77777777" w:rsidR="008A7F38" w:rsidRPr="00EB1998" w:rsidRDefault="008A7F38" w:rsidP="008A7F38">
      <w:pPr>
        <w:pStyle w:val="Textonotapie"/>
        <w:ind w:left="142" w:right="-283" w:hanging="142"/>
        <w:jc w:val="both"/>
        <w:rPr>
          <w:rFonts w:ascii="Arial" w:hAnsi="Arial" w:cs="Arial"/>
          <w:b/>
          <w:lang w:val="es-MX"/>
        </w:rPr>
      </w:pPr>
      <w:r w:rsidRPr="00EB1998">
        <w:rPr>
          <w:rStyle w:val="Refdenotaalpie"/>
          <w:rFonts w:ascii="Arial" w:hAnsi="Arial"/>
          <w:b w:val="0"/>
        </w:rPr>
        <w:footnoteRef/>
      </w:r>
      <w:r w:rsidRPr="00EB1998">
        <w:rPr>
          <w:rFonts w:ascii="Arial" w:hAnsi="Arial" w:cs="Arial"/>
          <w:b/>
          <w:sz w:val="16"/>
          <w:lang w:val="es-MX"/>
        </w:rPr>
        <w:tab/>
      </w:r>
      <w:r w:rsidRPr="00EB1998">
        <w:rPr>
          <w:rFonts w:ascii="Arial" w:hAnsi="Arial" w:cs="Arial"/>
          <w:sz w:val="16"/>
          <w:lang w:val="es-MX"/>
        </w:rPr>
        <w:t>Año base 2013</w:t>
      </w:r>
      <w:r w:rsidRPr="00EB1998">
        <w:rPr>
          <w:rFonts w:ascii="Arial" w:hAnsi="Arial" w:cs="Arial"/>
          <w:sz w:val="16"/>
          <w:szCs w:val="24"/>
        </w:rPr>
        <w:t>.</w:t>
      </w:r>
    </w:p>
  </w:footnote>
  <w:footnote w:id="2">
    <w:p w14:paraId="49AC1B6B" w14:textId="77777777" w:rsidR="008A7F38" w:rsidRPr="00EB1998" w:rsidRDefault="008A7F38" w:rsidP="008A7F38">
      <w:pPr>
        <w:pStyle w:val="Textonotapie"/>
        <w:ind w:left="142" w:right="-283" w:hanging="142"/>
        <w:jc w:val="both"/>
        <w:rPr>
          <w:rFonts w:ascii="Arial" w:hAnsi="Arial" w:cs="Arial"/>
          <w:b/>
          <w:lang w:val="es-MX"/>
        </w:rPr>
      </w:pPr>
      <w:r w:rsidRPr="00EB1998">
        <w:rPr>
          <w:rStyle w:val="Refdenotaalpie"/>
          <w:rFonts w:ascii="Arial" w:hAnsi="Arial"/>
          <w:b w:val="0"/>
        </w:rPr>
        <w:footnoteRef/>
      </w:r>
      <w:r w:rsidRPr="00EB1998">
        <w:rPr>
          <w:rFonts w:ascii="Arial" w:hAnsi="Arial" w:cs="Arial"/>
          <w:b/>
          <w:sz w:val="16"/>
          <w:lang w:val="es-MX"/>
        </w:rPr>
        <w:tab/>
      </w:r>
      <w:r w:rsidRPr="00EB1998">
        <w:rPr>
          <w:rFonts w:ascii="Arial" w:hAnsi="Arial" w:cs="Arial"/>
          <w:sz w:val="16"/>
          <w:lang w:val="es-MX"/>
        </w:rPr>
        <w:t xml:space="preserve">Las cifras </w:t>
      </w:r>
      <w:r w:rsidRPr="00EB1998">
        <w:rPr>
          <w:rFonts w:ascii="Arial" w:hAnsi="Arial" w:cs="Arial"/>
          <w:sz w:val="16"/>
          <w:szCs w:val="24"/>
        </w:rPr>
        <w:t>preliminares, en series originales y desestacionalizadas, estarán disponibles aproximadamente 50 días después del término del trimestre en cuestión, de acuerdo con el Calendario de difusión de información estadística y geográfica y de Interés Nacional del INEGI.</w:t>
      </w:r>
    </w:p>
  </w:footnote>
  <w:footnote w:id="3">
    <w:p w14:paraId="6AA4BB39" w14:textId="77777777" w:rsidR="008A7F38" w:rsidRPr="00A1525E" w:rsidRDefault="008A7F38" w:rsidP="008A7F38">
      <w:pPr>
        <w:pStyle w:val="Textonotapie"/>
        <w:ind w:left="142" w:right="-283" w:hanging="142"/>
        <w:jc w:val="both"/>
        <w:rPr>
          <w:lang w:val="es-MX"/>
        </w:rPr>
      </w:pPr>
      <w:r w:rsidRPr="00EB1998">
        <w:rPr>
          <w:rStyle w:val="Refdenotaalpie"/>
          <w:rFonts w:ascii="Arial" w:hAnsi="Arial"/>
          <w:b w:val="0"/>
        </w:rPr>
        <w:footnoteRef/>
      </w:r>
      <w:r w:rsidRPr="00EB1998">
        <w:rPr>
          <w:rFonts w:ascii="Arial" w:hAnsi="Arial" w:cs="Arial"/>
          <w:b/>
          <w:sz w:val="16"/>
          <w:lang w:val="es-MX"/>
        </w:rPr>
        <w:tab/>
      </w:r>
      <w:r w:rsidRPr="00EB1998">
        <w:rPr>
          <w:rFonts w:ascii="Arial" w:hAnsi="Arial" w:cs="Arial"/>
          <w:sz w:val="16"/>
          <w:szCs w:val="16"/>
        </w:rPr>
        <w:t>La</w:t>
      </w:r>
      <w:r w:rsidRPr="002B7F1F">
        <w:rPr>
          <w:rFonts w:ascii="Arial" w:hAnsi="Arial" w:cs="Arial"/>
          <w:sz w:val="16"/>
          <w:szCs w:val="16"/>
        </w:rPr>
        <w:t xml:space="preserve"> gran mayoría de las series económicas se ven afectadas por factores estacionales</w:t>
      </w:r>
      <w:r>
        <w:rPr>
          <w:rFonts w:ascii="Arial" w:hAnsi="Arial" w:cs="Arial"/>
          <w:sz w:val="16"/>
          <w:szCs w:val="16"/>
        </w:rPr>
        <w:t xml:space="preserve"> y de calendario. El ajuste de las cifras por dichos factores permite obtener las cifras desestacionalizadas, cuyo análisis </w:t>
      </w:r>
      <w:r w:rsidRPr="00C07AE5">
        <w:rPr>
          <w:rFonts w:ascii="Arial" w:hAnsi="Arial" w:cs="Arial"/>
          <w:sz w:val="16"/>
          <w:szCs w:val="16"/>
        </w:rPr>
        <w:t>ayuda a realizar un mejor diagnóstico de la evolución de la</w:t>
      </w:r>
      <w:r>
        <w:rPr>
          <w:rFonts w:ascii="Arial" w:hAnsi="Arial" w:cs="Arial"/>
          <w:sz w:val="16"/>
          <w:szCs w:val="16"/>
        </w:rPr>
        <w:t>s</w:t>
      </w:r>
      <w:r w:rsidRPr="00C07AE5">
        <w:rPr>
          <w:rFonts w:ascii="Arial" w:hAnsi="Arial" w:cs="Arial"/>
          <w:sz w:val="16"/>
          <w:szCs w:val="16"/>
        </w:rPr>
        <w:t xml:space="preserve"> </w:t>
      </w:r>
      <w:r>
        <w:rPr>
          <w:rFonts w:ascii="Arial" w:hAnsi="Arial" w:cs="Arial"/>
          <w:sz w:val="16"/>
          <w:szCs w:val="16"/>
        </w:rPr>
        <w:t>variables.</w:t>
      </w:r>
    </w:p>
  </w:footnote>
  <w:footnote w:id="4">
    <w:p w14:paraId="49C82661" w14:textId="77777777" w:rsidR="001076F8" w:rsidRPr="00EB1998" w:rsidRDefault="001076F8" w:rsidP="001076F8">
      <w:pPr>
        <w:pStyle w:val="Textonotapie"/>
        <w:ind w:left="142" w:hanging="142"/>
        <w:jc w:val="both"/>
        <w:rPr>
          <w:rFonts w:ascii="Arial" w:hAnsi="Arial" w:cs="Arial"/>
          <w:b/>
          <w:lang w:val="es-MX"/>
        </w:rPr>
      </w:pPr>
      <w:r w:rsidRPr="00EB1998">
        <w:rPr>
          <w:rStyle w:val="Refdenotaalpie"/>
          <w:rFonts w:ascii="Arial" w:hAnsi="Arial"/>
          <w:b w:val="0"/>
        </w:rPr>
        <w:footnoteRef/>
      </w:r>
      <w:r w:rsidRPr="00EB1998">
        <w:rPr>
          <w:rFonts w:ascii="Arial" w:hAnsi="Arial" w:cs="Arial"/>
          <w:b/>
          <w:sz w:val="16"/>
          <w:lang w:val="es-MX"/>
        </w:rPr>
        <w:tab/>
      </w:r>
      <w:r w:rsidRPr="00EB1998">
        <w:rPr>
          <w:rFonts w:ascii="Arial" w:hAnsi="Arial" w:cs="Arial"/>
          <w:sz w:val="16"/>
          <w:lang w:val="es-MX"/>
        </w:rPr>
        <w:t>Año base 2013</w:t>
      </w:r>
      <w:r w:rsidRPr="00EB1998">
        <w:rPr>
          <w:rFonts w:ascii="Arial" w:hAnsi="Arial" w:cs="Arial"/>
          <w:sz w:val="16"/>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6184A" w14:textId="77777777" w:rsidR="000B6397" w:rsidRDefault="000B639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F745D" w14:textId="0D05EB51" w:rsidR="008A7F38" w:rsidRPr="004867B7" w:rsidRDefault="008A7F38" w:rsidP="009C569C">
    <w:pPr>
      <w:pStyle w:val="Encabezado"/>
      <w:framePr w:w="5383" w:hSpace="141" w:vSpace="141" w:wrap="auto" w:vAnchor="page" w:hAnchor="page" w:x="5890" w:y="331"/>
      <w:ind w:left="567" w:hanging="11"/>
      <w:jc w:val="right"/>
      <w:rPr>
        <w:b/>
        <w:color w:val="002060"/>
        <w:szCs w:val="24"/>
      </w:rPr>
    </w:pPr>
    <w:r w:rsidRPr="004867B7">
      <w:rPr>
        <w:b/>
        <w:color w:val="002060"/>
        <w:szCs w:val="24"/>
      </w:rPr>
      <w:t xml:space="preserve">COMUNICADO DE PRENSA NÚM. </w:t>
    </w:r>
    <w:r w:rsidR="000B6397">
      <w:rPr>
        <w:b/>
        <w:color w:val="002060"/>
        <w:szCs w:val="24"/>
      </w:rPr>
      <w:t>195</w:t>
    </w:r>
    <w:bookmarkStart w:id="0" w:name="_GoBack"/>
    <w:bookmarkEnd w:id="0"/>
    <w:r w:rsidRPr="004867B7">
      <w:rPr>
        <w:b/>
        <w:color w:val="002060"/>
        <w:szCs w:val="24"/>
      </w:rPr>
      <w:t>/</w:t>
    </w:r>
    <w:r>
      <w:rPr>
        <w:b/>
        <w:color w:val="002060"/>
        <w:szCs w:val="24"/>
      </w:rPr>
      <w:t>20</w:t>
    </w:r>
  </w:p>
  <w:p w14:paraId="020FFAE4" w14:textId="77777777" w:rsidR="008A7F38" w:rsidRPr="004867B7" w:rsidRDefault="008A7F38" w:rsidP="009C569C">
    <w:pPr>
      <w:pStyle w:val="Encabezado"/>
      <w:framePr w:w="5383" w:hSpace="141" w:vSpace="141" w:wrap="auto" w:vAnchor="page" w:hAnchor="page" w:x="5890" w:y="331"/>
      <w:ind w:left="567" w:hanging="11"/>
      <w:jc w:val="right"/>
      <w:rPr>
        <w:b/>
        <w:color w:val="002060"/>
        <w:szCs w:val="24"/>
        <w:lang w:val="pt-BR"/>
      </w:rPr>
    </w:pPr>
    <w:r w:rsidRPr="004867B7">
      <w:rPr>
        <w:b/>
        <w:color w:val="002060"/>
        <w:szCs w:val="24"/>
        <w:lang w:val="pt-BR"/>
      </w:rPr>
      <w:t>3</w:t>
    </w:r>
    <w:r>
      <w:rPr>
        <w:b/>
        <w:color w:val="002060"/>
        <w:szCs w:val="24"/>
        <w:lang w:val="pt-BR"/>
      </w:rPr>
      <w:t>0</w:t>
    </w:r>
    <w:r w:rsidRPr="004867B7">
      <w:rPr>
        <w:b/>
        <w:color w:val="002060"/>
        <w:szCs w:val="24"/>
        <w:lang w:val="pt-BR"/>
      </w:rPr>
      <w:t xml:space="preserve"> DE </w:t>
    </w:r>
    <w:r>
      <w:rPr>
        <w:b/>
        <w:color w:val="002060"/>
        <w:szCs w:val="24"/>
        <w:lang w:val="pt-BR"/>
      </w:rPr>
      <w:t xml:space="preserve">ABRIL </w:t>
    </w:r>
    <w:r w:rsidRPr="004867B7">
      <w:rPr>
        <w:b/>
        <w:color w:val="002060"/>
        <w:szCs w:val="24"/>
        <w:lang w:val="pt-BR"/>
      </w:rPr>
      <w:t>DE 20</w:t>
    </w:r>
    <w:r>
      <w:rPr>
        <w:b/>
        <w:color w:val="002060"/>
        <w:szCs w:val="24"/>
        <w:lang w:val="pt-BR"/>
      </w:rPr>
      <w:t>20</w:t>
    </w:r>
  </w:p>
  <w:p w14:paraId="3A18ADE8" w14:textId="77777777" w:rsidR="008A7F38" w:rsidRPr="004867B7" w:rsidRDefault="008A7F38" w:rsidP="009C569C">
    <w:pPr>
      <w:pStyle w:val="Encabezado"/>
      <w:framePr w:w="5383" w:hSpace="141" w:vSpace="141" w:wrap="auto" w:vAnchor="page" w:hAnchor="page" w:x="5890" w:y="331"/>
      <w:ind w:left="567" w:hanging="11"/>
      <w:jc w:val="right"/>
      <w:rPr>
        <w:b/>
        <w:color w:val="002060"/>
        <w:szCs w:val="24"/>
        <w:lang w:val="pt-BR"/>
      </w:rPr>
    </w:pPr>
    <w:r w:rsidRPr="004867B7">
      <w:rPr>
        <w:b/>
        <w:color w:val="002060"/>
        <w:szCs w:val="24"/>
        <w:lang w:val="pt-BR"/>
      </w:rPr>
      <w:t xml:space="preserve">PÁGINA </w:t>
    </w:r>
    <w:r w:rsidRPr="004867B7">
      <w:rPr>
        <w:b/>
        <w:color w:val="002060"/>
        <w:szCs w:val="24"/>
      </w:rPr>
      <w:fldChar w:fldCharType="begin"/>
    </w:r>
    <w:r w:rsidRPr="004867B7">
      <w:rPr>
        <w:b/>
        <w:color w:val="002060"/>
        <w:szCs w:val="24"/>
        <w:lang w:val="pt-BR"/>
      </w:rPr>
      <w:instrText xml:space="preserve">\PAGE </w:instrText>
    </w:r>
    <w:r w:rsidRPr="004867B7">
      <w:rPr>
        <w:color w:val="002060"/>
        <w:szCs w:val="24"/>
      </w:rPr>
      <w:fldChar w:fldCharType="separate"/>
    </w:r>
    <w:r w:rsidRPr="004867B7">
      <w:rPr>
        <w:b/>
        <w:noProof/>
        <w:color w:val="002060"/>
        <w:szCs w:val="24"/>
        <w:lang w:val="pt-BR"/>
      </w:rPr>
      <w:t>2</w:t>
    </w:r>
    <w:r w:rsidRPr="004867B7">
      <w:rPr>
        <w:color w:val="002060"/>
        <w:szCs w:val="24"/>
      </w:rPr>
      <w:fldChar w:fldCharType="end"/>
    </w:r>
    <w:r w:rsidRPr="004867B7">
      <w:rPr>
        <w:b/>
        <w:color w:val="002060"/>
        <w:szCs w:val="24"/>
        <w:lang w:val="pt-BR"/>
      </w:rPr>
      <w:t>/2</w:t>
    </w:r>
  </w:p>
  <w:p w14:paraId="5FD47626" w14:textId="77777777" w:rsidR="008A7F38" w:rsidRPr="00E0416A" w:rsidRDefault="008A7F38" w:rsidP="009C569C">
    <w:pPr>
      <w:pStyle w:val="Encabezado"/>
      <w:framePr w:w="5383" w:hSpace="141" w:vSpace="141" w:wrap="auto" w:vAnchor="page" w:hAnchor="page" w:x="5890" w:y="331"/>
      <w:spacing w:after="120"/>
      <w:ind w:left="567" w:hanging="11"/>
      <w:jc w:val="right"/>
      <w:rPr>
        <w:b/>
        <w:szCs w:val="24"/>
      </w:rPr>
    </w:pPr>
  </w:p>
  <w:p w14:paraId="74C56A9D" w14:textId="77777777" w:rsidR="008A7F38" w:rsidRPr="00040E4E" w:rsidRDefault="008A7F38" w:rsidP="009C569C">
    <w:pPr>
      <w:pStyle w:val="Encabezado"/>
      <w:framePr w:w="5383" w:hSpace="141" w:vSpace="141" w:wrap="auto" w:vAnchor="page" w:hAnchor="page" w:x="5890" w:y="331"/>
      <w:ind w:left="567" w:hanging="11"/>
      <w:rPr>
        <w:b/>
        <w:lang w:val="pt-BR"/>
      </w:rPr>
    </w:pPr>
  </w:p>
  <w:p w14:paraId="54980EEE" w14:textId="77777777" w:rsidR="008A7F38" w:rsidRDefault="008A7F38" w:rsidP="005D7033">
    <w:pPr>
      <w:pStyle w:val="Encabezado"/>
      <w:tabs>
        <w:tab w:val="center" w:pos="4164"/>
        <w:tab w:val="center" w:pos="4537"/>
        <w:tab w:val="left" w:pos="7410"/>
      </w:tabs>
      <w:ind w:left="-510"/>
      <w:rPr>
        <w:b/>
        <w:color w:val="000000"/>
        <w:spacing w:val="5"/>
      </w:rPr>
    </w:pPr>
    <w:r>
      <w:rPr>
        <w:noProof/>
      </w:rPr>
      <w:drawing>
        <wp:inline distT="0" distB="0" distL="0" distR="0" wp14:anchorId="5557A4BE" wp14:editId="1E5802BD">
          <wp:extent cx="927615" cy="963545"/>
          <wp:effectExtent l="0" t="0" r="6350" b="825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500BA" w14:textId="77777777" w:rsidR="000B6397" w:rsidRDefault="000B6397">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B5506" w14:textId="1F8B610B" w:rsidR="00271F6D" w:rsidRDefault="00271F6D" w:rsidP="008A7F38">
    <w:pPr>
      <w:pStyle w:val="Encabezado"/>
      <w:jc w:val="center"/>
    </w:pPr>
    <w:r>
      <w:rPr>
        <w:noProof/>
        <w:lang w:val="es-MX" w:eastAsia="es-MX"/>
      </w:rPr>
      <w:drawing>
        <wp:inline distT="0" distB="0" distL="0" distR="0" wp14:anchorId="31CE9B4A" wp14:editId="5E284411">
          <wp:extent cx="928800" cy="964800"/>
          <wp:effectExtent l="0" t="0" r="5080" b="6985"/>
          <wp:docPr id="13" name="Imagen 13"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F6154"/>
    <w:multiLevelType w:val="hybridMultilevel"/>
    <w:tmpl w:val="F8C2B67C"/>
    <w:lvl w:ilvl="0" w:tplc="0C0A000F">
      <w:start w:val="1"/>
      <w:numFmt w:val="decimal"/>
      <w:lvlText w:val="%1."/>
      <w:lvlJc w:val="left"/>
      <w:pPr>
        <w:tabs>
          <w:tab w:val="num" w:pos="1723"/>
        </w:tabs>
        <w:ind w:left="1723" w:hanging="360"/>
      </w:pPr>
      <w:rPr>
        <w:rFonts w:hint="default"/>
      </w:rPr>
    </w:lvl>
    <w:lvl w:ilvl="1" w:tplc="EE9A14EA" w:tentative="1">
      <w:start w:val="1"/>
      <w:numFmt w:val="bullet"/>
      <w:lvlText w:val="o"/>
      <w:lvlJc w:val="left"/>
      <w:pPr>
        <w:tabs>
          <w:tab w:val="num" w:pos="2443"/>
        </w:tabs>
        <w:ind w:left="2443" w:hanging="360"/>
      </w:pPr>
      <w:rPr>
        <w:rFonts w:ascii="Courier New" w:hAnsi="Courier New" w:hint="default"/>
      </w:rPr>
    </w:lvl>
    <w:lvl w:ilvl="2" w:tplc="9E268D0A" w:tentative="1">
      <w:start w:val="1"/>
      <w:numFmt w:val="bullet"/>
      <w:lvlText w:val=""/>
      <w:lvlJc w:val="left"/>
      <w:pPr>
        <w:tabs>
          <w:tab w:val="num" w:pos="3163"/>
        </w:tabs>
        <w:ind w:left="3163" w:hanging="360"/>
      </w:pPr>
      <w:rPr>
        <w:rFonts w:ascii="Wingdings" w:hAnsi="Wingdings" w:hint="default"/>
      </w:rPr>
    </w:lvl>
    <w:lvl w:ilvl="3" w:tplc="370071DA" w:tentative="1">
      <w:start w:val="1"/>
      <w:numFmt w:val="bullet"/>
      <w:lvlText w:val=""/>
      <w:lvlJc w:val="left"/>
      <w:pPr>
        <w:tabs>
          <w:tab w:val="num" w:pos="3883"/>
        </w:tabs>
        <w:ind w:left="3883" w:hanging="360"/>
      </w:pPr>
      <w:rPr>
        <w:rFonts w:ascii="Symbol" w:hAnsi="Symbol" w:hint="default"/>
      </w:rPr>
    </w:lvl>
    <w:lvl w:ilvl="4" w:tplc="10CA57F8" w:tentative="1">
      <w:start w:val="1"/>
      <w:numFmt w:val="bullet"/>
      <w:lvlText w:val="o"/>
      <w:lvlJc w:val="left"/>
      <w:pPr>
        <w:tabs>
          <w:tab w:val="num" w:pos="4603"/>
        </w:tabs>
        <w:ind w:left="4603" w:hanging="360"/>
      </w:pPr>
      <w:rPr>
        <w:rFonts w:ascii="Courier New" w:hAnsi="Courier New" w:hint="default"/>
      </w:rPr>
    </w:lvl>
    <w:lvl w:ilvl="5" w:tplc="265CFD90" w:tentative="1">
      <w:start w:val="1"/>
      <w:numFmt w:val="bullet"/>
      <w:lvlText w:val=""/>
      <w:lvlJc w:val="left"/>
      <w:pPr>
        <w:tabs>
          <w:tab w:val="num" w:pos="5323"/>
        </w:tabs>
        <w:ind w:left="5323" w:hanging="360"/>
      </w:pPr>
      <w:rPr>
        <w:rFonts w:ascii="Wingdings" w:hAnsi="Wingdings" w:hint="default"/>
      </w:rPr>
    </w:lvl>
    <w:lvl w:ilvl="6" w:tplc="329CE5B0" w:tentative="1">
      <w:start w:val="1"/>
      <w:numFmt w:val="bullet"/>
      <w:lvlText w:val=""/>
      <w:lvlJc w:val="left"/>
      <w:pPr>
        <w:tabs>
          <w:tab w:val="num" w:pos="6043"/>
        </w:tabs>
        <w:ind w:left="6043" w:hanging="360"/>
      </w:pPr>
      <w:rPr>
        <w:rFonts w:ascii="Symbol" w:hAnsi="Symbol" w:hint="default"/>
      </w:rPr>
    </w:lvl>
    <w:lvl w:ilvl="7" w:tplc="55307596" w:tentative="1">
      <w:start w:val="1"/>
      <w:numFmt w:val="bullet"/>
      <w:lvlText w:val="o"/>
      <w:lvlJc w:val="left"/>
      <w:pPr>
        <w:tabs>
          <w:tab w:val="num" w:pos="6763"/>
        </w:tabs>
        <w:ind w:left="6763" w:hanging="360"/>
      </w:pPr>
      <w:rPr>
        <w:rFonts w:ascii="Courier New" w:hAnsi="Courier New" w:hint="default"/>
      </w:rPr>
    </w:lvl>
    <w:lvl w:ilvl="8" w:tplc="90BC1C8A" w:tentative="1">
      <w:start w:val="1"/>
      <w:numFmt w:val="bullet"/>
      <w:lvlText w:val=""/>
      <w:lvlJc w:val="left"/>
      <w:pPr>
        <w:tabs>
          <w:tab w:val="num" w:pos="7483"/>
        </w:tabs>
        <w:ind w:left="7483" w:hanging="360"/>
      </w:pPr>
      <w:rPr>
        <w:rFonts w:ascii="Wingdings" w:hAnsi="Wingdings" w:hint="default"/>
      </w:rPr>
    </w:lvl>
  </w:abstractNum>
  <w:abstractNum w:abstractNumId="2" w15:restartNumberingAfterBreak="0">
    <w:nsid w:val="032E1C26"/>
    <w:multiLevelType w:val="hybridMultilevel"/>
    <w:tmpl w:val="135E43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153D73"/>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4" w15:restartNumberingAfterBreak="0">
    <w:nsid w:val="0CEB3457"/>
    <w:multiLevelType w:val="singleLevel"/>
    <w:tmpl w:val="A0EE693E"/>
    <w:lvl w:ilvl="0">
      <w:start w:val="1"/>
      <w:numFmt w:val="bullet"/>
      <w:lvlText w:val=""/>
      <w:lvlJc w:val="left"/>
      <w:pPr>
        <w:tabs>
          <w:tab w:val="num" w:pos="425"/>
        </w:tabs>
        <w:ind w:left="425" w:hanging="425"/>
      </w:pPr>
      <w:rPr>
        <w:rFonts w:ascii="Symbol" w:hAnsi="Symbol" w:hint="default"/>
        <w:sz w:val="30"/>
      </w:rPr>
    </w:lvl>
  </w:abstractNum>
  <w:abstractNum w:abstractNumId="5" w15:restartNumberingAfterBreak="0">
    <w:nsid w:val="0EA577A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E51F9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FEE5E2F"/>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8" w15:restartNumberingAfterBreak="0">
    <w:nsid w:val="14DD109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7DA2C5D"/>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10" w15:restartNumberingAfterBreak="0">
    <w:nsid w:val="19C67FD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AF561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EAF5E0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6743E34"/>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14" w15:restartNumberingAfterBreak="0">
    <w:nsid w:val="382931C1"/>
    <w:multiLevelType w:val="hybridMultilevel"/>
    <w:tmpl w:val="D04C7B3A"/>
    <w:lvl w:ilvl="0" w:tplc="9F307A02">
      <w:start w:val="1"/>
      <w:numFmt w:val="bullet"/>
      <w:lvlText w:val=""/>
      <w:lvlJc w:val="left"/>
      <w:pPr>
        <w:tabs>
          <w:tab w:val="num" w:pos="1723"/>
        </w:tabs>
        <w:ind w:left="1723" w:hanging="360"/>
      </w:pPr>
      <w:rPr>
        <w:rFonts w:ascii="Symbol" w:hAnsi="Symbol" w:hint="default"/>
      </w:rPr>
    </w:lvl>
    <w:lvl w:ilvl="1" w:tplc="3EC69A4A" w:tentative="1">
      <w:start w:val="1"/>
      <w:numFmt w:val="bullet"/>
      <w:lvlText w:val="o"/>
      <w:lvlJc w:val="left"/>
      <w:pPr>
        <w:tabs>
          <w:tab w:val="num" w:pos="2443"/>
        </w:tabs>
        <w:ind w:left="2443" w:hanging="360"/>
      </w:pPr>
      <w:rPr>
        <w:rFonts w:ascii="Courier New" w:hAnsi="Courier New" w:hint="default"/>
      </w:rPr>
    </w:lvl>
    <w:lvl w:ilvl="2" w:tplc="96084CCA" w:tentative="1">
      <w:start w:val="1"/>
      <w:numFmt w:val="bullet"/>
      <w:lvlText w:val=""/>
      <w:lvlJc w:val="left"/>
      <w:pPr>
        <w:tabs>
          <w:tab w:val="num" w:pos="3163"/>
        </w:tabs>
        <w:ind w:left="3163" w:hanging="360"/>
      </w:pPr>
      <w:rPr>
        <w:rFonts w:ascii="Wingdings" w:hAnsi="Wingdings" w:hint="default"/>
      </w:rPr>
    </w:lvl>
    <w:lvl w:ilvl="3" w:tplc="5D2CBF9A" w:tentative="1">
      <w:start w:val="1"/>
      <w:numFmt w:val="bullet"/>
      <w:lvlText w:val=""/>
      <w:lvlJc w:val="left"/>
      <w:pPr>
        <w:tabs>
          <w:tab w:val="num" w:pos="3883"/>
        </w:tabs>
        <w:ind w:left="3883" w:hanging="360"/>
      </w:pPr>
      <w:rPr>
        <w:rFonts w:ascii="Symbol" w:hAnsi="Symbol" w:hint="default"/>
      </w:rPr>
    </w:lvl>
    <w:lvl w:ilvl="4" w:tplc="08F64AC0" w:tentative="1">
      <w:start w:val="1"/>
      <w:numFmt w:val="bullet"/>
      <w:lvlText w:val="o"/>
      <w:lvlJc w:val="left"/>
      <w:pPr>
        <w:tabs>
          <w:tab w:val="num" w:pos="4603"/>
        </w:tabs>
        <w:ind w:left="4603" w:hanging="360"/>
      </w:pPr>
      <w:rPr>
        <w:rFonts w:ascii="Courier New" w:hAnsi="Courier New" w:hint="default"/>
      </w:rPr>
    </w:lvl>
    <w:lvl w:ilvl="5" w:tplc="0D607026" w:tentative="1">
      <w:start w:val="1"/>
      <w:numFmt w:val="bullet"/>
      <w:lvlText w:val=""/>
      <w:lvlJc w:val="left"/>
      <w:pPr>
        <w:tabs>
          <w:tab w:val="num" w:pos="5323"/>
        </w:tabs>
        <w:ind w:left="5323" w:hanging="360"/>
      </w:pPr>
      <w:rPr>
        <w:rFonts w:ascii="Wingdings" w:hAnsi="Wingdings" w:hint="default"/>
      </w:rPr>
    </w:lvl>
    <w:lvl w:ilvl="6" w:tplc="C45EBF0E" w:tentative="1">
      <w:start w:val="1"/>
      <w:numFmt w:val="bullet"/>
      <w:lvlText w:val=""/>
      <w:lvlJc w:val="left"/>
      <w:pPr>
        <w:tabs>
          <w:tab w:val="num" w:pos="6043"/>
        </w:tabs>
        <w:ind w:left="6043" w:hanging="360"/>
      </w:pPr>
      <w:rPr>
        <w:rFonts w:ascii="Symbol" w:hAnsi="Symbol" w:hint="default"/>
      </w:rPr>
    </w:lvl>
    <w:lvl w:ilvl="7" w:tplc="0D24A3FE" w:tentative="1">
      <w:start w:val="1"/>
      <w:numFmt w:val="bullet"/>
      <w:lvlText w:val="o"/>
      <w:lvlJc w:val="left"/>
      <w:pPr>
        <w:tabs>
          <w:tab w:val="num" w:pos="6763"/>
        </w:tabs>
        <w:ind w:left="6763" w:hanging="360"/>
      </w:pPr>
      <w:rPr>
        <w:rFonts w:ascii="Courier New" w:hAnsi="Courier New" w:hint="default"/>
      </w:rPr>
    </w:lvl>
    <w:lvl w:ilvl="8" w:tplc="D5F828E4" w:tentative="1">
      <w:start w:val="1"/>
      <w:numFmt w:val="bullet"/>
      <w:lvlText w:val=""/>
      <w:lvlJc w:val="left"/>
      <w:pPr>
        <w:tabs>
          <w:tab w:val="num" w:pos="7483"/>
        </w:tabs>
        <w:ind w:left="7483" w:hanging="360"/>
      </w:pPr>
      <w:rPr>
        <w:rFonts w:ascii="Wingdings" w:hAnsi="Wingdings" w:hint="default"/>
      </w:rPr>
    </w:lvl>
  </w:abstractNum>
  <w:abstractNum w:abstractNumId="15" w15:restartNumberingAfterBreak="0">
    <w:nsid w:val="4FF23182"/>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16" w15:restartNumberingAfterBreak="0">
    <w:nsid w:val="51FB40AD"/>
    <w:multiLevelType w:val="singleLevel"/>
    <w:tmpl w:val="840EB14A"/>
    <w:lvl w:ilvl="0">
      <w:start w:val="1"/>
      <w:numFmt w:val="bullet"/>
      <w:pStyle w:val="bullet"/>
      <w:lvlText w:val=""/>
      <w:lvlJc w:val="left"/>
      <w:pPr>
        <w:tabs>
          <w:tab w:val="num" w:pos="2880"/>
        </w:tabs>
        <w:ind w:left="2880" w:hanging="360"/>
      </w:pPr>
      <w:rPr>
        <w:rFonts w:ascii="Symbol" w:hAnsi="Symbol" w:hint="default"/>
        <w:lang w:val="es-ES"/>
      </w:rPr>
    </w:lvl>
  </w:abstractNum>
  <w:abstractNum w:abstractNumId="17" w15:restartNumberingAfterBreak="0">
    <w:nsid w:val="6DAE7813"/>
    <w:multiLevelType w:val="hybridMultilevel"/>
    <w:tmpl w:val="9CC4BB0A"/>
    <w:lvl w:ilvl="0" w:tplc="080A0001">
      <w:start w:val="1"/>
      <w:numFmt w:val="bullet"/>
      <w:lvlText w:val=""/>
      <w:lvlJc w:val="left"/>
      <w:pPr>
        <w:ind w:left="2443" w:hanging="360"/>
      </w:pPr>
      <w:rPr>
        <w:rFonts w:ascii="Symbol" w:hAnsi="Symbol" w:hint="default"/>
      </w:rPr>
    </w:lvl>
    <w:lvl w:ilvl="1" w:tplc="080A0003" w:tentative="1">
      <w:start w:val="1"/>
      <w:numFmt w:val="bullet"/>
      <w:lvlText w:val="o"/>
      <w:lvlJc w:val="left"/>
      <w:pPr>
        <w:ind w:left="3163" w:hanging="360"/>
      </w:pPr>
      <w:rPr>
        <w:rFonts w:ascii="Courier New" w:hAnsi="Courier New" w:cs="Courier New" w:hint="default"/>
      </w:rPr>
    </w:lvl>
    <w:lvl w:ilvl="2" w:tplc="080A0005" w:tentative="1">
      <w:start w:val="1"/>
      <w:numFmt w:val="bullet"/>
      <w:lvlText w:val=""/>
      <w:lvlJc w:val="left"/>
      <w:pPr>
        <w:ind w:left="3883" w:hanging="360"/>
      </w:pPr>
      <w:rPr>
        <w:rFonts w:ascii="Wingdings" w:hAnsi="Wingdings" w:hint="default"/>
      </w:rPr>
    </w:lvl>
    <w:lvl w:ilvl="3" w:tplc="080A0001" w:tentative="1">
      <w:start w:val="1"/>
      <w:numFmt w:val="bullet"/>
      <w:lvlText w:val=""/>
      <w:lvlJc w:val="left"/>
      <w:pPr>
        <w:ind w:left="4603" w:hanging="360"/>
      </w:pPr>
      <w:rPr>
        <w:rFonts w:ascii="Symbol" w:hAnsi="Symbol" w:hint="default"/>
      </w:rPr>
    </w:lvl>
    <w:lvl w:ilvl="4" w:tplc="080A0003" w:tentative="1">
      <w:start w:val="1"/>
      <w:numFmt w:val="bullet"/>
      <w:lvlText w:val="o"/>
      <w:lvlJc w:val="left"/>
      <w:pPr>
        <w:ind w:left="5323" w:hanging="360"/>
      </w:pPr>
      <w:rPr>
        <w:rFonts w:ascii="Courier New" w:hAnsi="Courier New" w:cs="Courier New" w:hint="default"/>
      </w:rPr>
    </w:lvl>
    <w:lvl w:ilvl="5" w:tplc="080A0005" w:tentative="1">
      <w:start w:val="1"/>
      <w:numFmt w:val="bullet"/>
      <w:lvlText w:val=""/>
      <w:lvlJc w:val="left"/>
      <w:pPr>
        <w:ind w:left="6043" w:hanging="360"/>
      </w:pPr>
      <w:rPr>
        <w:rFonts w:ascii="Wingdings" w:hAnsi="Wingdings" w:hint="default"/>
      </w:rPr>
    </w:lvl>
    <w:lvl w:ilvl="6" w:tplc="080A0001" w:tentative="1">
      <w:start w:val="1"/>
      <w:numFmt w:val="bullet"/>
      <w:lvlText w:val=""/>
      <w:lvlJc w:val="left"/>
      <w:pPr>
        <w:ind w:left="6763" w:hanging="360"/>
      </w:pPr>
      <w:rPr>
        <w:rFonts w:ascii="Symbol" w:hAnsi="Symbol" w:hint="default"/>
      </w:rPr>
    </w:lvl>
    <w:lvl w:ilvl="7" w:tplc="080A0003" w:tentative="1">
      <w:start w:val="1"/>
      <w:numFmt w:val="bullet"/>
      <w:lvlText w:val="o"/>
      <w:lvlJc w:val="left"/>
      <w:pPr>
        <w:ind w:left="7483" w:hanging="360"/>
      </w:pPr>
      <w:rPr>
        <w:rFonts w:ascii="Courier New" w:hAnsi="Courier New" w:cs="Courier New" w:hint="default"/>
      </w:rPr>
    </w:lvl>
    <w:lvl w:ilvl="8" w:tplc="080A0005" w:tentative="1">
      <w:start w:val="1"/>
      <w:numFmt w:val="bullet"/>
      <w:lvlText w:val=""/>
      <w:lvlJc w:val="left"/>
      <w:pPr>
        <w:ind w:left="8203" w:hanging="360"/>
      </w:pPr>
      <w:rPr>
        <w:rFonts w:ascii="Wingdings" w:hAnsi="Wingdings" w:hint="default"/>
      </w:rPr>
    </w:lvl>
  </w:abstractNum>
  <w:abstractNum w:abstractNumId="18" w15:restartNumberingAfterBreak="0">
    <w:nsid w:val="767C5387"/>
    <w:multiLevelType w:val="hybridMultilevel"/>
    <w:tmpl w:val="59A0C8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7874566"/>
    <w:multiLevelType w:val="hybridMultilevel"/>
    <w:tmpl w:val="5600A2FA"/>
    <w:lvl w:ilvl="0" w:tplc="080A0001">
      <w:start w:val="1"/>
      <w:numFmt w:val="bullet"/>
      <w:lvlText w:val=""/>
      <w:lvlJc w:val="left"/>
      <w:pPr>
        <w:ind w:left="2083" w:hanging="360"/>
      </w:pPr>
      <w:rPr>
        <w:rFonts w:ascii="Symbol" w:hAnsi="Symbol" w:hint="default"/>
      </w:rPr>
    </w:lvl>
    <w:lvl w:ilvl="1" w:tplc="080A0003" w:tentative="1">
      <w:start w:val="1"/>
      <w:numFmt w:val="bullet"/>
      <w:lvlText w:val="o"/>
      <w:lvlJc w:val="left"/>
      <w:pPr>
        <w:ind w:left="2803" w:hanging="360"/>
      </w:pPr>
      <w:rPr>
        <w:rFonts w:ascii="Courier New" w:hAnsi="Courier New" w:cs="Courier New" w:hint="default"/>
      </w:rPr>
    </w:lvl>
    <w:lvl w:ilvl="2" w:tplc="080A0005" w:tentative="1">
      <w:start w:val="1"/>
      <w:numFmt w:val="bullet"/>
      <w:lvlText w:val=""/>
      <w:lvlJc w:val="left"/>
      <w:pPr>
        <w:ind w:left="3523" w:hanging="360"/>
      </w:pPr>
      <w:rPr>
        <w:rFonts w:ascii="Wingdings" w:hAnsi="Wingdings" w:hint="default"/>
      </w:rPr>
    </w:lvl>
    <w:lvl w:ilvl="3" w:tplc="080A0001" w:tentative="1">
      <w:start w:val="1"/>
      <w:numFmt w:val="bullet"/>
      <w:lvlText w:val=""/>
      <w:lvlJc w:val="left"/>
      <w:pPr>
        <w:ind w:left="4243" w:hanging="360"/>
      </w:pPr>
      <w:rPr>
        <w:rFonts w:ascii="Symbol" w:hAnsi="Symbol" w:hint="default"/>
      </w:rPr>
    </w:lvl>
    <w:lvl w:ilvl="4" w:tplc="080A0003" w:tentative="1">
      <w:start w:val="1"/>
      <w:numFmt w:val="bullet"/>
      <w:lvlText w:val="o"/>
      <w:lvlJc w:val="left"/>
      <w:pPr>
        <w:ind w:left="4963" w:hanging="360"/>
      </w:pPr>
      <w:rPr>
        <w:rFonts w:ascii="Courier New" w:hAnsi="Courier New" w:cs="Courier New" w:hint="default"/>
      </w:rPr>
    </w:lvl>
    <w:lvl w:ilvl="5" w:tplc="080A0005" w:tentative="1">
      <w:start w:val="1"/>
      <w:numFmt w:val="bullet"/>
      <w:lvlText w:val=""/>
      <w:lvlJc w:val="left"/>
      <w:pPr>
        <w:ind w:left="5683" w:hanging="360"/>
      </w:pPr>
      <w:rPr>
        <w:rFonts w:ascii="Wingdings" w:hAnsi="Wingdings" w:hint="default"/>
      </w:rPr>
    </w:lvl>
    <w:lvl w:ilvl="6" w:tplc="080A0001" w:tentative="1">
      <w:start w:val="1"/>
      <w:numFmt w:val="bullet"/>
      <w:lvlText w:val=""/>
      <w:lvlJc w:val="left"/>
      <w:pPr>
        <w:ind w:left="6403" w:hanging="360"/>
      </w:pPr>
      <w:rPr>
        <w:rFonts w:ascii="Symbol" w:hAnsi="Symbol" w:hint="default"/>
      </w:rPr>
    </w:lvl>
    <w:lvl w:ilvl="7" w:tplc="080A0003" w:tentative="1">
      <w:start w:val="1"/>
      <w:numFmt w:val="bullet"/>
      <w:lvlText w:val="o"/>
      <w:lvlJc w:val="left"/>
      <w:pPr>
        <w:ind w:left="7123" w:hanging="360"/>
      </w:pPr>
      <w:rPr>
        <w:rFonts w:ascii="Courier New" w:hAnsi="Courier New" w:cs="Courier New" w:hint="default"/>
      </w:rPr>
    </w:lvl>
    <w:lvl w:ilvl="8" w:tplc="080A0005" w:tentative="1">
      <w:start w:val="1"/>
      <w:numFmt w:val="bullet"/>
      <w:lvlText w:val=""/>
      <w:lvlJc w:val="left"/>
      <w:pPr>
        <w:ind w:left="7843" w:hanging="360"/>
      </w:pPr>
      <w:rPr>
        <w:rFonts w:ascii="Wingdings" w:hAnsi="Wingdings" w:hint="default"/>
      </w:rPr>
    </w:lvl>
  </w:abstractNum>
  <w:abstractNum w:abstractNumId="20" w15:restartNumberingAfterBreak="0">
    <w:nsid w:val="79492758"/>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4"/>
  </w:num>
  <w:num w:numId="3">
    <w:abstractNumId w:val="11"/>
  </w:num>
  <w:num w:numId="4">
    <w:abstractNumId w:val="15"/>
  </w:num>
  <w:num w:numId="5">
    <w:abstractNumId w:val="7"/>
  </w:num>
  <w:num w:numId="6">
    <w:abstractNumId w:val="3"/>
  </w:num>
  <w:num w:numId="7">
    <w:abstractNumId w:val="9"/>
  </w:num>
  <w:num w:numId="8">
    <w:abstractNumId w:val="13"/>
  </w:num>
  <w:num w:numId="9">
    <w:abstractNumId w:val="5"/>
  </w:num>
  <w:num w:numId="10">
    <w:abstractNumId w:val="8"/>
  </w:num>
  <w:num w:numId="11">
    <w:abstractNumId w:val="20"/>
  </w:num>
  <w:num w:numId="12">
    <w:abstractNumId w:val="6"/>
  </w:num>
  <w:num w:numId="13">
    <w:abstractNumId w:val="12"/>
  </w:num>
  <w:num w:numId="14">
    <w:abstractNumId w:val="14"/>
  </w:num>
  <w:num w:numId="15">
    <w:abstractNumId w:val="0"/>
    <w:lvlOverride w:ilvl="0">
      <w:lvl w:ilvl="0">
        <w:start w:val="1"/>
        <w:numFmt w:val="bullet"/>
        <w:lvlText w:val=""/>
        <w:legacy w:legacy="1" w:legacySpace="0" w:legacyIndent="360"/>
        <w:lvlJc w:val="left"/>
        <w:pPr>
          <w:ind w:left="2410" w:hanging="360"/>
        </w:pPr>
        <w:rPr>
          <w:rFonts w:ascii="Symbol" w:hAnsi="Symbol" w:hint="default"/>
        </w:rPr>
      </w:lvl>
    </w:lvlOverride>
  </w:num>
  <w:num w:numId="16">
    <w:abstractNumId w:val="1"/>
  </w:num>
  <w:num w:numId="17">
    <w:abstractNumId w:val="17"/>
  </w:num>
  <w:num w:numId="18">
    <w:abstractNumId w:val="2"/>
  </w:num>
  <w:num w:numId="19">
    <w:abstractNumId w:val="16"/>
  </w:num>
  <w:num w:numId="20">
    <w:abstractNumId w:val="16"/>
  </w:num>
  <w:num w:numId="21">
    <w:abstractNumId w:val="16"/>
  </w:num>
  <w:num w:numId="22">
    <w:abstractNumId w:val="16"/>
  </w:num>
  <w:num w:numId="23">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24">
    <w:abstractNumId w:val="16"/>
  </w:num>
  <w:num w:numId="25">
    <w:abstractNumId w:val="16"/>
  </w:num>
  <w:num w:numId="26">
    <w:abstractNumId w:val="16"/>
  </w:num>
  <w:num w:numId="27">
    <w:abstractNumId w:val="16"/>
  </w:num>
  <w:num w:numId="28">
    <w:abstractNumId w:val="18"/>
  </w:num>
  <w:num w:numId="29">
    <w:abstractNumId w:val="19"/>
  </w:num>
  <w:num w:numId="30">
    <w:abstractNumId w:val="16"/>
  </w:num>
  <w:num w:numId="31">
    <w:abstractNumId w:val="16"/>
  </w:num>
  <w:num w:numId="32">
    <w:abstractNumId w:val="16"/>
  </w:num>
  <w:num w:numId="33">
    <w:abstractNumId w:val="16"/>
  </w:num>
  <w:num w:numId="34">
    <w:abstractNumId w:val="16"/>
  </w:num>
  <w:num w:numId="35">
    <w:abstractNumId w:val="16"/>
  </w:num>
  <w:num w:numId="36">
    <w:abstractNumId w:val="16"/>
  </w:num>
  <w:num w:numId="37">
    <w:abstractNumId w:val="16"/>
  </w:num>
  <w:num w:numId="38">
    <w:abstractNumId w:val="16"/>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932"/>
    <w:rsid w:val="0000095D"/>
    <w:rsid w:val="00000B43"/>
    <w:rsid w:val="00000B7F"/>
    <w:rsid w:val="0000273F"/>
    <w:rsid w:val="00002743"/>
    <w:rsid w:val="00002C85"/>
    <w:rsid w:val="000031B0"/>
    <w:rsid w:val="00004215"/>
    <w:rsid w:val="000042EF"/>
    <w:rsid w:val="00004A7D"/>
    <w:rsid w:val="00004E4C"/>
    <w:rsid w:val="00006462"/>
    <w:rsid w:val="00006881"/>
    <w:rsid w:val="00006D11"/>
    <w:rsid w:val="00007BFF"/>
    <w:rsid w:val="0001024B"/>
    <w:rsid w:val="00010A17"/>
    <w:rsid w:val="00010E74"/>
    <w:rsid w:val="00011964"/>
    <w:rsid w:val="00011D5B"/>
    <w:rsid w:val="00011F1A"/>
    <w:rsid w:val="00012228"/>
    <w:rsid w:val="00014EAF"/>
    <w:rsid w:val="00015BE5"/>
    <w:rsid w:val="00016611"/>
    <w:rsid w:val="00017666"/>
    <w:rsid w:val="00020298"/>
    <w:rsid w:val="0002056D"/>
    <w:rsid w:val="00020A3F"/>
    <w:rsid w:val="00020F4E"/>
    <w:rsid w:val="00021C68"/>
    <w:rsid w:val="00022153"/>
    <w:rsid w:val="00022907"/>
    <w:rsid w:val="00023E91"/>
    <w:rsid w:val="00023F1F"/>
    <w:rsid w:val="000260FB"/>
    <w:rsid w:val="00026733"/>
    <w:rsid w:val="0002692A"/>
    <w:rsid w:val="00031C3F"/>
    <w:rsid w:val="00032184"/>
    <w:rsid w:val="00032383"/>
    <w:rsid w:val="00032439"/>
    <w:rsid w:val="0003385F"/>
    <w:rsid w:val="00035555"/>
    <w:rsid w:val="000355F6"/>
    <w:rsid w:val="00036F4A"/>
    <w:rsid w:val="00036FBF"/>
    <w:rsid w:val="000371B4"/>
    <w:rsid w:val="000378C0"/>
    <w:rsid w:val="00037A49"/>
    <w:rsid w:val="00040160"/>
    <w:rsid w:val="00040A88"/>
    <w:rsid w:val="000417FC"/>
    <w:rsid w:val="000421BC"/>
    <w:rsid w:val="000431DE"/>
    <w:rsid w:val="0004368D"/>
    <w:rsid w:val="00043CA0"/>
    <w:rsid w:val="0004453C"/>
    <w:rsid w:val="0004493F"/>
    <w:rsid w:val="000453DC"/>
    <w:rsid w:val="00045F5B"/>
    <w:rsid w:val="000463BE"/>
    <w:rsid w:val="00046715"/>
    <w:rsid w:val="00046B8A"/>
    <w:rsid w:val="00047C6D"/>
    <w:rsid w:val="00050F12"/>
    <w:rsid w:val="00051AA5"/>
    <w:rsid w:val="00051CEE"/>
    <w:rsid w:val="00053780"/>
    <w:rsid w:val="000538E2"/>
    <w:rsid w:val="00053A68"/>
    <w:rsid w:val="00054FD6"/>
    <w:rsid w:val="0005576F"/>
    <w:rsid w:val="00055E5F"/>
    <w:rsid w:val="00056554"/>
    <w:rsid w:val="00057C43"/>
    <w:rsid w:val="000608A0"/>
    <w:rsid w:val="0006111A"/>
    <w:rsid w:val="00062558"/>
    <w:rsid w:val="00063D1D"/>
    <w:rsid w:val="00064294"/>
    <w:rsid w:val="000646E7"/>
    <w:rsid w:val="0006516A"/>
    <w:rsid w:val="00065DAB"/>
    <w:rsid w:val="00065F7A"/>
    <w:rsid w:val="00066103"/>
    <w:rsid w:val="000665D9"/>
    <w:rsid w:val="00066D7E"/>
    <w:rsid w:val="00066EB6"/>
    <w:rsid w:val="00067BFC"/>
    <w:rsid w:val="00067FF9"/>
    <w:rsid w:val="00070209"/>
    <w:rsid w:val="0007097B"/>
    <w:rsid w:val="000716D7"/>
    <w:rsid w:val="0007442D"/>
    <w:rsid w:val="00075A18"/>
    <w:rsid w:val="000762F8"/>
    <w:rsid w:val="000774AA"/>
    <w:rsid w:val="00082002"/>
    <w:rsid w:val="00082918"/>
    <w:rsid w:val="000840A0"/>
    <w:rsid w:val="00084FD7"/>
    <w:rsid w:val="00085BD9"/>
    <w:rsid w:val="00085FDB"/>
    <w:rsid w:val="00086740"/>
    <w:rsid w:val="000904E6"/>
    <w:rsid w:val="0009082D"/>
    <w:rsid w:val="00091999"/>
    <w:rsid w:val="00092ACB"/>
    <w:rsid w:val="00092B83"/>
    <w:rsid w:val="00093F8F"/>
    <w:rsid w:val="00094417"/>
    <w:rsid w:val="00094591"/>
    <w:rsid w:val="000945F4"/>
    <w:rsid w:val="0009491E"/>
    <w:rsid w:val="00094C91"/>
    <w:rsid w:val="000957B9"/>
    <w:rsid w:val="00095DC6"/>
    <w:rsid w:val="00095EE6"/>
    <w:rsid w:val="00097371"/>
    <w:rsid w:val="000A01BF"/>
    <w:rsid w:val="000A05A1"/>
    <w:rsid w:val="000A0B27"/>
    <w:rsid w:val="000A0B69"/>
    <w:rsid w:val="000A1174"/>
    <w:rsid w:val="000A1488"/>
    <w:rsid w:val="000A14B3"/>
    <w:rsid w:val="000A1890"/>
    <w:rsid w:val="000A1FFB"/>
    <w:rsid w:val="000A2A4E"/>
    <w:rsid w:val="000A3380"/>
    <w:rsid w:val="000A3A2B"/>
    <w:rsid w:val="000A3F3E"/>
    <w:rsid w:val="000A6470"/>
    <w:rsid w:val="000A65FD"/>
    <w:rsid w:val="000A7204"/>
    <w:rsid w:val="000A79E7"/>
    <w:rsid w:val="000B0CE8"/>
    <w:rsid w:val="000B0EC9"/>
    <w:rsid w:val="000B139D"/>
    <w:rsid w:val="000B16EE"/>
    <w:rsid w:val="000B2120"/>
    <w:rsid w:val="000B3C5B"/>
    <w:rsid w:val="000B5D63"/>
    <w:rsid w:val="000B5E8A"/>
    <w:rsid w:val="000B6397"/>
    <w:rsid w:val="000B6736"/>
    <w:rsid w:val="000B6AE5"/>
    <w:rsid w:val="000B7767"/>
    <w:rsid w:val="000B7BED"/>
    <w:rsid w:val="000C02F0"/>
    <w:rsid w:val="000C0467"/>
    <w:rsid w:val="000C0C8A"/>
    <w:rsid w:val="000C117A"/>
    <w:rsid w:val="000C2684"/>
    <w:rsid w:val="000C3595"/>
    <w:rsid w:val="000C3C44"/>
    <w:rsid w:val="000C4460"/>
    <w:rsid w:val="000C55BE"/>
    <w:rsid w:val="000C5B89"/>
    <w:rsid w:val="000C648E"/>
    <w:rsid w:val="000C66BE"/>
    <w:rsid w:val="000C6E1B"/>
    <w:rsid w:val="000C72D9"/>
    <w:rsid w:val="000C7599"/>
    <w:rsid w:val="000C7999"/>
    <w:rsid w:val="000D08BB"/>
    <w:rsid w:val="000D0CC8"/>
    <w:rsid w:val="000D0E61"/>
    <w:rsid w:val="000D1A8E"/>
    <w:rsid w:val="000D3385"/>
    <w:rsid w:val="000D3BA0"/>
    <w:rsid w:val="000D52A0"/>
    <w:rsid w:val="000D52C1"/>
    <w:rsid w:val="000D53AE"/>
    <w:rsid w:val="000D5529"/>
    <w:rsid w:val="000D598D"/>
    <w:rsid w:val="000D5B24"/>
    <w:rsid w:val="000D6074"/>
    <w:rsid w:val="000D65E2"/>
    <w:rsid w:val="000D689B"/>
    <w:rsid w:val="000E0A62"/>
    <w:rsid w:val="000E0B46"/>
    <w:rsid w:val="000E1443"/>
    <w:rsid w:val="000E2C66"/>
    <w:rsid w:val="000E3A78"/>
    <w:rsid w:val="000E47D3"/>
    <w:rsid w:val="000E4CA4"/>
    <w:rsid w:val="000F09D4"/>
    <w:rsid w:val="000F09F8"/>
    <w:rsid w:val="000F14B9"/>
    <w:rsid w:val="000F1608"/>
    <w:rsid w:val="000F1839"/>
    <w:rsid w:val="000F2966"/>
    <w:rsid w:val="000F3D4A"/>
    <w:rsid w:val="000F3F47"/>
    <w:rsid w:val="000F4540"/>
    <w:rsid w:val="000F4658"/>
    <w:rsid w:val="000F5E17"/>
    <w:rsid w:val="000F5F3F"/>
    <w:rsid w:val="000F6657"/>
    <w:rsid w:val="000F682F"/>
    <w:rsid w:val="000F68F7"/>
    <w:rsid w:val="000F698B"/>
    <w:rsid w:val="000F79B9"/>
    <w:rsid w:val="000F7B11"/>
    <w:rsid w:val="001003A7"/>
    <w:rsid w:val="00100FC4"/>
    <w:rsid w:val="00101A58"/>
    <w:rsid w:val="00101BCD"/>
    <w:rsid w:val="001034D4"/>
    <w:rsid w:val="00104C78"/>
    <w:rsid w:val="00104FCA"/>
    <w:rsid w:val="0010664E"/>
    <w:rsid w:val="001073D8"/>
    <w:rsid w:val="001076F8"/>
    <w:rsid w:val="0010797C"/>
    <w:rsid w:val="00110B27"/>
    <w:rsid w:val="001115F7"/>
    <w:rsid w:val="001117A2"/>
    <w:rsid w:val="001137CE"/>
    <w:rsid w:val="0011434C"/>
    <w:rsid w:val="0011559E"/>
    <w:rsid w:val="001156DE"/>
    <w:rsid w:val="0011585D"/>
    <w:rsid w:val="00115C1E"/>
    <w:rsid w:val="00116918"/>
    <w:rsid w:val="00116947"/>
    <w:rsid w:val="00116D5D"/>
    <w:rsid w:val="00117B09"/>
    <w:rsid w:val="00117C54"/>
    <w:rsid w:val="001222A7"/>
    <w:rsid w:val="0012290F"/>
    <w:rsid w:val="00122D3B"/>
    <w:rsid w:val="00123379"/>
    <w:rsid w:val="001234A8"/>
    <w:rsid w:val="00123B68"/>
    <w:rsid w:val="00123E27"/>
    <w:rsid w:val="00124A7D"/>
    <w:rsid w:val="00125C98"/>
    <w:rsid w:val="00126D65"/>
    <w:rsid w:val="00127101"/>
    <w:rsid w:val="001277D8"/>
    <w:rsid w:val="00131392"/>
    <w:rsid w:val="00131E1A"/>
    <w:rsid w:val="001322B7"/>
    <w:rsid w:val="0013258E"/>
    <w:rsid w:val="00133E3A"/>
    <w:rsid w:val="00133E9C"/>
    <w:rsid w:val="0013459D"/>
    <w:rsid w:val="00135030"/>
    <w:rsid w:val="00135483"/>
    <w:rsid w:val="0013782A"/>
    <w:rsid w:val="00137E78"/>
    <w:rsid w:val="00140B6C"/>
    <w:rsid w:val="00141DAC"/>
    <w:rsid w:val="00142299"/>
    <w:rsid w:val="00143605"/>
    <w:rsid w:val="00143C27"/>
    <w:rsid w:val="0014557C"/>
    <w:rsid w:val="00145589"/>
    <w:rsid w:val="00145B63"/>
    <w:rsid w:val="00145FD2"/>
    <w:rsid w:val="001463C4"/>
    <w:rsid w:val="0014682B"/>
    <w:rsid w:val="0014693A"/>
    <w:rsid w:val="0014725A"/>
    <w:rsid w:val="00147908"/>
    <w:rsid w:val="00151522"/>
    <w:rsid w:val="001515FD"/>
    <w:rsid w:val="0015270C"/>
    <w:rsid w:val="00152D39"/>
    <w:rsid w:val="00152E6E"/>
    <w:rsid w:val="00153366"/>
    <w:rsid w:val="0015373F"/>
    <w:rsid w:val="00154177"/>
    <w:rsid w:val="00154C05"/>
    <w:rsid w:val="00154C3B"/>
    <w:rsid w:val="00156342"/>
    <w:rsid w:val="00156AAB"/>
    <w:rsid w:val="00156ABA"/>
    <w:rsid w:val="00156DF2"/>
    <w:rsid w:val="00160412"/>
    <w:rsid w:val="001605E8"/>
    <w:rsid w:val="00160FAF"/>
    <w:rsid w:val="00162FEB"/>
    <w:rsid w:val="00163512"/>
    <w:rsid w:val="00163561"/>
    <w:rsid w:val="00163A8E"/>
    <w:rsid w:val="00163ADE"/>
    <w:rsid w:val="00163B85"/>
    <w:rsid w:val="00163BA6"/>
    <w:rsid w:val="00164DA3"/>
    <w:rsid w:val="00165501"/>
    <w:rsid w:val="001659D7"/>
    <w:rsid w:val="00165E9D"/>
    <w:rsid w:val="0016690F"/>
    <w:rsid w:val="0017122C"/>
    <w:rsid w:val="001727A6"/>
    <w:rsid w:val="00174978"/>
    <w:rsid w:val="001755B3"/>
    <w:rsid w:val="0017620A"/>
    <w:rsid w:val="00176CA7"/>
    <w:rsid w:val="0017782A"/>
    <w:rsid w:val="00181FA7"/>
    <w:rsid w:val="00182595"/>
    <w:rsid w:val="00182A73"/>
    <w:rsid w:val="00184160"/>
    <w:rsid w:val="0018416A"/>
    <w:rsid w:val="001842C5"/>
    <w:rsid w:val="00184D49"/>
    <w:rsid w:val="001855A5"/>
    <w:rsid w:val="001872D0"/>
    <w:rsid w:val="00190737"/>
    <w:rsid w:val="00191DEB"/>
    <w:rsid w:val="00193057"/>
    <w:rsid w:val="00193ED8"/>
    <w:rsid w:val="001941AB"/>
    <w:rsid w:val="00194480"/>
    <w:rsid w:val="001951D5"/>
    <w:rsid w:val="001952C4"/>
    <w:rsid w:val="0019532A"/>
    <w:rsid w:val="00195865"/>
    <w:rsid w:val="001959B6"/>
    <w:rsid w:val="00195FEE"/>
    <w:rsid w:val="001960DA"/>
    <w:rsid w:val="00196671"/>
    <w:rsid w:val="001968B9"/>
    <w:rsid w:val="00197417"/>
    <w:rsid w:val="00197630"/>
    <w:rsid w:val="001A0B6A"/>
    <w:rsid w:val="001A1299"/>
    <w:rsid w:val="001A191D"/>
    <w:rsid w:val="001A25CF"/>
    <w:rsid w:val="001A354D"/>
    <w:rsid w:val="001A37FC"/>
    <w:rsid w:val="001A445D"/>
    <w:rsid w:val="001A4713"/>
    <w:rsid w:val="001A7309"/>
    <w:rsid w:val="001B2B81"/>
    <w:rsid w:val="001B3A22"/>
    <w:rsid w:val="001B40CD"/>
    <w:rsid w:val="001B44BA"/>
    <w:rsid w:val="001B47AA"/>
    <w:rsid w:val="001B4F13"/>
    <w:rsid w:val="001B54C5"/>
    <w:rsid w:val="001B57EF"/>
    <w:rsid w:val="001B6801"/>
    <w:rsid w:val="001B7483"/>
    <w:rsid w:val="001B7536"/>
    <w:rsid w:val="001B7C15"/>
    <w:rsid w:val="001C0881"/>
    <w:rsid w:val="001C0B53"/>
    <w:rsid w:val="001C0E25"/>
    <w:rsid w:val="001C16C3"/>
    <w:rsid w:val="001C174A"/>
    <w:rsid w:val="001C1E2C"/>
    <w:rsid w:val="001C293A"/>
    <w:rsid w:val="001C2D93"/>
    <w:rsid w:val="001C2FAA"/>
    <w:rsid w:val="001C3DA9"/>
    <w:rsid w:val="001C4472"/>
    <w:rsid w:val="001C47A3"/>
    <w:rsid w:val="001C5E65"/>
    <w:rsid w:val="001C5F5D"/>
    <w:rsid w:val="001C650B"/>
    <w:rsid w:val="001C6CD4"/>
    <w:rsid w:val="001C6FA7"/>
    <w:rsid w:val="001C7D21"/>
    <w:rsid w:val="001C7E8C"/>
    <w:rsid w:val="001D0373"/>
    <w:rsid w:val="001D0F1A"/>
    <w:rsid w:val="001D23B8"/>
    <w:rsid w:val="001D2489"/>
    <w:rsid w:val="001D285D"/>
    <w:rsid w:val="001D2B80"/>
    <w:rsid w:val="001D3DBA"/>
    <w:rsid w:val="001D4C6B"/>
    <w:rsid w:val="001D51FE"/>
    <w:rsid w:val="001D5AB0"/>
    <w:rsid w:val="001D717C"/>
    <w:rsid w:val="001D7480"/>
    <w:rsid w:val="001E037F"/>
    <w:rsid w:val="001E04EB"/>
    <w:rsid w:val="001E1370"/>
    <w:rsid w:val="001E1EC8"/>
    <w:rsid w:val="001E38C9"/>
    <w:rsid w:val="001E3B2F"/>
    <w:rsid w:val="001E4621"/>
    <w:rsid w:val="001E5A00"/>
    <w:rsid w:val="001E5C9B"/>
    <w:rsid w:val="001E62CE"/>
    <w:rsid w:val="001E63B3"/>
    <w:rsid w:val="001E7565"/>
    <w:rsid w:val="001F0892"/>
    <w:rsid w:val="001F2519"/>
    <w:rsid w:val="001F2EE5"/>
    <w:rsid w:val="001F3CE5"/>
    <w:rsid w:val="001F421F"/>
    <w:rsid w:val="001F4249"/>
    <w:rsid w:val="001F4AB0"/>
    <w:rsid w:val="001F4F7E"/>
    <w:rsid w:val="001F5242"/>
    <w:rsid w:val="001F562F"/>
    <w:rsid w:val="001F65DD"/>
    <w:rsid w:val="001F6D20"/>
    <w:rsid w:val="00200367"/>
    <w:rsid w:val="0020081F"/>
    <w:rsid w:val="002008C3"/>
    <w:rsid w:val="00201B54"/>
    <w:rsid w:val="002025F0"/>
    <w:rsid w:val="00203925"/>
    <w:rsid w:val="0020440D"/>
    <w:rsid w:val="0020475B"/>
    <w:rsid w:val="00205302"/>
    <w:rsid w:val="002056E1"/>
    <w:rsid w:val="002058BB"/>
    <w:rsid w:val="00205C16"/>
    <w:rsid w:val="00205D6F"/>
    <w:rsid w:val="00205EC7"/>
    <w:rsid w:val="0020717A"/>
    <w:rsid w:val="002107F6"/>
    <w:rsid w:val="00211056"/>
    <w:rsid w:val="0021228E"/>
    <w:rsid w:val="00212EAE"/>
    <w:rsid w:val="0021304F"/>
    <w:rsid w:val="002138EA"/>
    <w:rsid w:val="00213E5E"/>
    <w:rsid w:val="002146E9"/>
    <w:rsid w:val="00215360"/>
    <w:rsid w:val="002156F5"/>
    <w:rsid w:val="002162C6"/>
    <w:rsid w:val="002169BE"/>
    <w:rsid w:val="00220359"/>
    <w:rsid w:val="0022190B"/>
    <w:rsid w:val="00221C33"/>
    <w:rsid w:val="0022200C"/>
    <w:rsid w:val="002224F5"/>
    <w:rsid w:val="00223CFB"/>
    <w:rsid w:val="0022411B"/>
    <w:rsid w:val="002248CF"/>
    <w:rsid w:val="00224D9E"/>
    <w:rsid w:val="00224EB0"/>
    <w:rsid w:val="00224FB2"/>
    <w:rsid w:val="00224FB9"/>
    <w:rsid w:val="00226C7F"/>
    <w:rsid w:val="00227E7E"/>
    <w:rsid w:val="00233847"/>
    <w:rsid w:val="00235175"/>
    <w:rsid w:val="00235FA3"/>
    <w:rsid w:val="002360C7"/>
    <w:rsid w:val="0023784B"/>
    <w:rsid w:val="0024100A"/>
    <w:rsid w:val="00241403"/>
    <w:rsid w:val="002424D2"/>
    <w:rsid w:val="00242B5F"/>
    <w:rsid w:val="00242C77"/>
    <w:rsid w:val="002435A0"/>
    <w:rsid w:val="00244BD7"/>
    <w:rsid w:val="00244E84"/>
    <w:rsid w:val="00245082"/>
    <w:rsid w:val="0024559C"/>
    <w:rsid w:val="002459F7"/>
    <w:rsid w:val="00246053"/>
    <w:rsid w:val="002466AB"/>
    <w:rsid w:val="00246C58"/>
    <w:rsid w:val="002470F9"/>
    <w:rsid w:val="00247E21"/>
    <w:rsid w:val="00250226"/>
    <w:rsid w:val="00250361"/>
    <w:rsid w:val="00250539"/>
    <w:rsid w:val="00250742"/>
    <w:rsid w:val="00250CC1"/>
    <w:rsid w:val="00250EAB"/>
    <w:rsid w:val="00251751"/>
    <w:rsid w:val="00252975"/>
    <w:rsid w:val="00252AEC"/>
    <w:rsid w:val="00253130"/>
    <w:rsid w:val="002547E9"/>
    <w:rsid w:val="00254DB3"/>
    <w:rsid w:val="00255291"/>
    <w:rsid w:val="00255713"/>
    <w:rsid w:val="00256396"/>
    <w:rsid w:val="0025719B"/>
    <w:rsid w:val="00257D9D"/>
    <w:rsid w:val="00257EBF"/>
    <w:rsid w:val="0026147C"/>
    <w:rsid w:val="00262B5A"/>
    <w:rsid w:val="00262D44"/>
    <w:rsid w:val="002630F9"/>
    <w:rsid w:val="00263FFB"/>
    <w:rsid w:val="00264275"/>
    <w:rsid w:val="0026446E"/>
    <w:rsid w:val="00264AA7"/>
    <w:rsid w:val="00264E1A"/>
    <w:rsid w:val="00265677"/>
    <w:rsid w:val="00266887"/>
    <w:rsid w:val="00266FF3"/>
    <w:rsid w:val="00267023"/>
    <w:rsid w:val="002675F1"/>
    <w:rsid w:val="002702AB"/>
    <w:rsid w:val="00270671"/>
    <w:rsid w:val="00270B53"/>
    <w:rsid w:val="00270D59"/>
    <w:rsid w:val="00271619"/>
    <w:rsid w:val="00271F6D"/>
    <w:rsid w:val="00273B19"/>
    <w:rsid w:val="00274992"/>
    <w:rsid w:val="00274C21"/>
    <w:rsid w:val="00277459"/>
    <w:rsid w:val="00280516"/>
    <w:rsid w:val="00280DCC"/>
    <w:rsid w:val="002811AB"/>
    <w:rsid w:val="00282498"/>
    <w:rsid w:val="002827BF"/>
    <w:rsid w:val="00282BA0"/>
    <w:rsid w:val="00282F0A"/>
    <w:rsid w:val="002838A3"/>
    <w:rsid w:val="002839A5"/>
    <w:rsid w:val="00284B57"/>
    <w:rsid w:val="00285648"/>
    <w:rsid w:val="00285776"/>
    <w:rsid w:val="00286FAB"/>
    <w:rsid w:val="002870CD"/>
    <w:rsid w:val="0028741B"/>
    <w:rsid w:val="002906CF"/>
    <w:rsid w:val="00291AED"/>
    <w:rsid w:val="00292FD6"/>
    <w:rsid w:val="002931C6"/>
    <w:rsid w:val="0029403F"/>
    <w:rsid w:val="00294709"/>
    <w:rsid w:val="00297DA6"/>
    <w:rsid w:val="002A010C"/>
    <w:rsid w:val="002A0FCC"/>
    <w:rsid w:val="002A11AE"/>
    <w:rsid w:val="002A193C"/>
    <w:rsid w:val="002A200D"/>
    <w:rsid w:val="002A2685"/>
    <w:rsid w:val="002A2EBD"/>
    <w:rsid w:val="002A30E5"/>
    <w:rsid w:val="002A319B"/>
    <w:rsid w:val="002A395E"/>
    <w:rsid w:val="002A3BC6"/>
    <w:rsid w:val="002A3C7A"/>
    <w:rsid w:val="002A3E2D"/>
    <w:rsid w:val="002A5436"/>
    <w:rsid w:val="002A5908"/>
    <w:rsid w:val="002A5CBA"/>
    <w:rsid w:val="002A7BB4"/>
    <w:rsid w:val="002A7D9C"/>
    <w:rsid w:val="002A7E45"/>
    <w:rsid w:val="002B0693"/>
    <w:rsid w:val="002B266D"/>
    <w:rsid w:val="002B2ED8"/>
    <w:rsid w:val="002B5511"/>
    <w:rsid w:val="002B612F"/>
    <w:rsid w:val="002B62C3"/>
    <w:rsid w:val="002B7440"/>
    <w:rsid w:val="002B77C7"/>
    <w:rsid w:val="002C06DB"/>
    <w:rsid w:val="002C145F"/>
    <w:rsid w:val="002C159E"/>
    <w:rsid w:val="002C1ADA"/>
    <w:rsid w:val="002C2B36"/>
    <w:rsid w:val="002C2C06"/>
    <w:rsid w:val="002C2D0F"/>
    <w:rsid w:val="002C42FE"/>
    <w:rsid w:val="002C47F9"/>
    <w:rsid w:val="002C49C6"/>
    <w:rsid w:val="002C4C23"/>
    <w:rsid w:val="002C4FDC"/>
    <w:rsid w:val="002C6220"/>
    <w:rsid w:val="002C6984"/>
    <w:rsid w:val="002C7CEE"/>
    <w:rsid w:val="002D0297"/>
    <w:rsid w:val="002D0776"/>
    <w:rsid w:val="002D095F"/>
    <w:rsid w:val="002D0B24"/>
    <w:rsid w:val="002D32A6"/>
    <w:rsid w:val="002D4026"/>
    <w:rsid w:val="002D5B11"/>
    <w:rsid w:val="002D6429"/>
    <w:rsid w:val="002D674F"/>
    <w:rsid w:val="002D7483"/>
    <w:rsid w:val="002D7871"/>
    <w:rsid w:val="002E0016"/>
    <w:rsid w:val="002E0975"/>
    <w:rsid w:val="002E0D7C"/>
    <w:rsid w:val="002E16A8"/>
    <w:rsid w:val="002E338D"/>
    <w:rsid w:val="002E38A7"/>
    <w:rsid w:val="002E3AEF"/>
    <w:rsid w:val="002E5C03"/>
    <w:rsid w:val="002E666E"/>
    <w:rsid w:val="002E6992"/>
    <w:rsid w:val="002E69B1"/>
    <w:rsid w:val="002E6BF3"/>
    <w:rsid w:val="002E70A9"/>
    <w:rsid w:val="002F05D2"/>
    <w:rsid w:val="002F10D1"/>
    <w:rsid w:val="002F1AE8"/>
    <w:rsid w:val="002F1FB6"/>
    <w:rsid w:val="002F32B6"/>
    <w:rsid w:val="002F4B8A"/>
    <w:rsid w:val="002F54B1"/>
    <w:rsid w:val="002F5CBA"/>
    <w:rsid w:val="002F5D05"/>
    <w:rsid w:val="002F67FC"/>
    <w:rsid w:val="002F6CDC"/>
    <w:rsid w:val="002F7030"/>
    <w:rsid w:val="002F7084"/>
    <w:rsid w:val="002F71B9"/>
    <w:rsid w:val="002F7827"/>
    <w:rsid w:val="002F7886"/>
    <w:rsid w:val="00300CEC"/>
    <w:rsid w:val="00300F90"/>
    <w:rsid w:val="00301736"/>
    <w:rsid w:val="003017F3"/>
    <w:rsid w:val="003019B3"/>
    <w:rsid w:val="0030314C"/>
    <w:rsid w:val="00303261"/>
    <w:rsid w:val="0030365C"/>
    <w:rsid w:val="00303D92"/>
    <w:rsid w:val="0030466A"/>
    <w:rsid w:val="003047C8"/>
    <w:rsid w:val="00304C07"/>
    <w:rsid w:val="003051F6"/>
    <w:rsid w:val="00305ACD"/>
    <w:rsid w:val="00305B60"/>
    <w:rsid w:val="003064AC"/>
    <w:rsid w:val="003071C4"/>
    <w:rsid w:val="00310117"/>
    <w:rsid w:val="00310639"/>
    <w:rsid w:val="003123B1"/>
    <w:rsid w:val="003126FC"/>
    <w:rsid w:val="00312F79"/>
    <w:rsid w:val="00313D69"/>
    <w:rsid w:val="00314084"/>
    <w:rsid w:val="00314695"/>
    <w:rsid w:val="00314909"/>
    <w:rsid w:val="00314FD2"/>
    <w:rsid w:val="0031533D"/>
    <w:rsid w:val="00315DFC"/>
    <w:rsid w:val="0031638A"/>
    <w:rsid w:val="003165DA"/>
    <w:rsid w:val="00317CAA"/>
    <w:rsid w:val="00320B4C"/>
    <w:rsid w:val="00321671"/>
    <w:rsid w:val="0032169F"/>
    <w:rsid w:val="003217EB"/>
    <w:rsid w:val="00321EBD"/>
    <w:rsid w:val="0032269F"/>
    <w:rsid w:val="00322A57"/>
    <w:rsid w:val="00324510"/>
    <w:rsid w:val="0032465C"/>
    <w:rsid w:val="00325403"/>
    <w:rsid w:val="00325EE1"/>
    <w:rsid w:val="00326948"/>
    <w:rsid w:val="00326C03"/>
    <w:rsid w:val="0032723B"/>
    <w:rsid w:val="00327B6E"/>
    <w:rsid w:val="003301B9"/>
    <w:rsid w:val="00330C6A"/>
    <w:rsid w:val="00330E94"/>
    <w:rsid w:val="00330EEF"/>
    <w:rsid w:val="00332CB3"/>
    <w:rsid w:val="00333136"/>
    <w:rsid w:val="003355A5"/>
    <w:rsid w:val="00337153"/>
    <w:rsid w:val="00337BF2"/>
    <w:rsid w:val="00340D98"/>
    <w:rsid w:val="00341B4F"/>
    <w:rsid w:val="0034311C"/>
    <w:rsid w:val="003436A1"/>
    <w:rsid w:val="00343806"/>
    <w:rsid w:val="0034408C"/>
    <w:rsid w:val="0034441B"/>
    <w:rsid w:val="0034499C"/>
    <w:rsid w:val="00344EEF"/>
    <w:rsid w:val="00345D63"/>
    <w:rsid w:val="00346F15"/>
    <w:rsid w:val="00347C6B"/>
    <w:rsid w:val="00347CEC"/>
    <w:rsid w:val="00350252"/>
    <w:rsid w:val="00350744"/>
    <w:rsid w:val="003508A7"/>
    <w:rsid w:val="00351E22"/>
    <w:rsid w:val="003557A5"/>
    <w:rsid w:val="00355AA0"/>
    <w:rsid w:val="0035665F"/>
    <w:rsid w:val="00356EA1"/>
    <w:rsid w:val="003607BA"/>
    <w:rsid w:val="00361A86"/>
    <w:rsid w:val="00362342"/>
    <w:rsid w:val="00363945"/>
    <w:rsid w:val="00364164"/>
    <w:rsid w:val="0036434F"/>
    <w:rsid w:val="003648E6"/>
    <w:rsid w:val="00364DD1"/>
    <w:rsid w:val="003654CE"/>
    <w:rsid w:val="0036725F"/>
    <w:rsid w:val="0036737B"/>
    <w:rsid w:val="0037142D"/>
    <w:rsid w:val="00372AA8"/>
    <w:rsid w:val="00372D16"/>
    <w:rsid w:val="00373A0D"/>
    <w:rsid w:val="00373B78"/>
    <w:rsid w:val="003740AF"/>
    <w:rsid w:val="003749F9"/>
    <w:rsid w:val="00375105"/>
    <w:rsid w:val="003756F0"/>
    <w:rsid w:val="003776A6"/>
    <w:rsid w:val="00377A2F"/>
    <w:rsid w:val="003800CE"/>
    <w:rsid w:val="00380E3E"/>
    <w:rsid w:val="00382278"/>
    <w:rsid w:val="0038296A"/>
    <w:rsid w:val="00383B1E"/>
    <w:rsid w:val="00384033"/>
    <w:rsid w:val="00384567"/>
    <w:rsid w:val="00384C4B"/>
    <w:rsid w:val="00384C91"/>
    <w:rsid w:val="00385592"/>
    <w:rsid w:val="00386B9D"/>
    <w:rsid w:val="00390474"/>
    <w:rsid w:val="00390E3D"/>
    <w:rsid w:val="003940F5"/>
    <w:rsid w:val="003942B3"/>
    <w:rsid w:val="00397686"/>
    <w:rsid w:val="003A089B"/>
    <w:rsid w:val="003A11AC"/>
    <w:rsid w:val="003A1460"/>
    <w:rsid w:val="003A1926"/>
    <w:rsid w:val="003A2DDF"/>
    <w:rsid w:val="003A4479"/>
    <w:rsid w:val="003A5CCC"/>
    <w:rsid w:val="003A68A0"/>
    <w:rsid w:val="003A6ADB"/>
    <w:rsid w:val="003B03BE"/>
    <w:rsid w:val="003B0AD6"/>
    <w:rsid w:val="003B0DD8"/>
    <w:rsid w:val="003B1119"/>
    <w:rsid w:val="003B1425"/>
    <w:rsid w:val="003B1DD8"/>
    <w:rsid w:val="003B2BF2"/>
    <w:rsid w:val="003B2FDF"/>
    <w:rsid w:val="003B34C1"/>
    <w:rsid w:val="003B3F7C"/>
    <w:rsid w:val="003B4D0E"/>
    <w:rsid w:val="003B4E4C"/>
    <w:rsid w:val="003B5744"/>
    <w:rsid w:val="003B5EFC"/>
    <w:rsid w:val="003B6A09"/>
    <w:rsid w:val="003B7917"/>
    <w:rsid w:val="003C05A9"/>
    <w:rsid w:val="003C0CBC"/>
    <w:rsid w:val="003C0DD4"/>
    <w:rsid w:val="003C0E46"/>
    <w:rsid w:val="003C0F02"/>
    <w:rsid w:val="003C11B7"/>
    <w:rsid w:val="003C1AAB"/>
    <w:rsid w:val="003C208B"/>
    <w:rsid w:val="003C2468"/>
    <w:rsid w:val="003C268B"/>
    <w:rsid w:val="003C26DF"/>
    <w:rsid w:val="003C2BB9"/>
    <w:rsid w:val="003C2CEF"/>
    <w:rsid w:val="003C2D5E"/>
    <w:rsid w:val="003C379E"/>
    <w:rsid w:val="003C3A86"/>
    <w:rsid w:val="003C3D52"/>
    <w:rsid w:val="003C41E9"/>
    <w:rsid w:val="003C49C0"/>
    <w:rsid w:val="003C59D0"/>
    <w:rsid w:val="003C642A"/>
    <w:rsid w:val="003C6D35"/>
    <w:rsid w:val="003C6E13"/>
    <w:rsid w:val="003C7068"/>
    <w:rsid w:val="003C79D1"/>
    <w:rsid w:val="003D2352"/>
    <w:rsid w:val="003D2E2E"/>
    <w:rsid w:val="003D4226"/>
    <w:rsid w:val="003D454B"/>
    <w:rsid w:val="003D4609"/>
    <w:rsid w:val="003D597A"/>
    <w:rsid w:val="003D5ABE"/>
    <w:rsid w:val="003D5D7E"/>
    <w:rsid w:val="003D6094"/>
    <w:rsid w:val="003D7ECB"/>
    <w:rsid w:val="003E0003"/>
    <w:rsid w:val="003E0538"/>
    <w:rsid w:val="003E0E64"/>
    <w:rsid w:val="003E21A3"/>
    <w:rsid w:val="003E5AB4"/>
    <w:rsid w:val="003E5B7F"/>
    <w:rsid w:val="003E6472"/>
    <w:rsid w:val="003E6CFE"/>
    <w:rsid w:val="003E78A4"/>
    <w:rsid w:val="003E7E9B"/>
    <w:rsid w:val="003F07C4"/>
    <w:rsid w:val="003F26EB"/>
    <w:rsid w:val="003F286D"/>
    <w:rsid w:val="003F3DDA"/>
    <w:rsid w:val="003F4213"/>
    <w:rsid w:val="003F454C"/>
    <w:rsid w:val="003F4A49"/>
    <w:rsid w:val="003F5F95"/>
    <w:rsid w:val="003F61DF"/>
    <w:rsid w:val="003F6F7F"/>
    <w:rsid w:val="003F7972"/>
    <w:rsid w:val="003F7F13"/>
    <w:rsid w:val="0040094D"/>
    <w:rsid w:val="00400D22"/>
    <w:rsid w:val="00402C6E"/>
    <w:rsid w:val="00403622"/>
    <w:rsid w:val="00404F61"/>
    <w:rsid w:val="00406CAE"/>
    <w:rsid w:val="00407D79"/>
    <w:rsid w:val="00410113"/>
    <w:rsid w:val="00410A26"/>
    <w:rsid w:val="004113EA"/>
    <w:rsid w:val="00411831"/>
    <w:rsid w:val="00411C84"/>
    <w:rsid w:val="00411E48"/>
    <w:rsid w:val="004128A9"/>
    <w:rsid w:val="00412A71"/>
    <w:rsid w:val="00414288"/>
    <w:rsid w:val="004149E3"/>
    <w:rsid w:val="00414C52"/>
    <w:rsid w:val="00414D41"/>
    <w:rsid w:val="00414D4F"/>
    <w:rsid w:val="00415642"/>
    <w:rsid w:val="00416EF5"/>
    <w:rsid w:val="00420D3A"/>
    <w:rsid w:val="00420FAA"/>
    <w:rsid w:val="00423301"/>
    <w:rsid w:val="0042396C"/>
    <w:rsid w:val="00423E11"/>
    <w:rsid w:val="00426210"/>
    <w:rsid w:val="004264D0"/>
    <w:rsid w:val="0042660A"/>
    <w:rsid w:val="004266CB"/>
    <w:rsid w:val="00426C76"/>
    <w:rsid w:val="0042702A"/>
    <w:rsid w:val="004271AE"/>
    <w:rsid w:val="00427339"/>
    <w:rsid w:val="00430446"/>
    <w:rsid w:val="00430F48"/>
    <w:rsid w:val="00431187"/>
    <w:rsid w:val="004312CE"/>
    <w:rsid w:val="00431471"/>
    <w:rsid w:val="00432123"/>
    <w:rsid w:val="00432AB8"/>
    <w:rsid w:val="00432D29"/>
    <w:rsid w:val="004345E1"/>
    <w:rsid w:val="004348F2"/>
    <w:rsid w:val="0043529C"/>
    <w:rsid w:val="00435311"/>
    <w:rsid w:val="00435ABD"/>
    <w:rsid w:val="00435CE8"/>
    <w:rsid w:val="00435ED9"/>
    <w:rsid w:val="00436764"/>
    <w:rsid w:val="00436E75"/>
    <w:rsid w:val="00436F4C"/>
    <w:rsid w:val="004372B2"/>
    <w:rsid w:val="00437B81"/>
    <w:rsid w:val="00437CE9"/>
    <w:rsid w:val="00440333"/>
    <w:rsid w:val="00440C7D"/>
    <w:rsid w:val="00440DB2"/>
    <w:rsid w:val="004416AE"/>
    <w:rsid w:val="00441C8E"/>
    <w:rsid w:val="00441E7E"/>
    <w:rsid w:val="0044275F"/>
    <w:rsid w:val="004438D7"/>
    <w:rsid w:val="00443B66"/>
    <w:rsid w:val="00444081"/>
    <w:rsid w:val="0044476B"/>
    <w:rsid w:val="00445596"/>
    <w:rsid w:val="004472C5"/>
    <w:rsid w:val="0045072C"/>
    <w:rsid w:val="00450A1D"/>
    <w:rsid w:val="00451893"/>
    <w:rsid w:val="0045354A"/>
    <w:rsid w:val="00454C74"/>
    <w:rsid w:val="00454C88"/>
    <w:rsid w:val="00454E0B"/>
    <w:rsid w:val="0045542B"/>
    <w:rsid w:val="00455FD3"/>
    <w:rsid w:val="004562E0"/>
    <w:rsid w:val="00457B8E"/>
    <w:rsid w:val="00460009"/>
    <w:rsid w:val="0046041A"/>
    <w:rsid w:val="004608C4"/>
    <w:rsid w:val="004616D5"/>
    <w:rsid w:val="00462700"/>
    <w:rsid w:val="00462F9D"/>
    <w:rsid w:val="004631B0"/>
    <w:rsid w:val="00463896"/>
    <w:rsid w:val="0046434A"/>
    <w:rsid w:val="004646F6"/>
    <w:rsid w:val="00464A2A"/>
    <w:rsid w:val="00464AE0"/>
    <w:rsid w:val="00464EA7"/>
    <w:rsid w:val="004660AB"/>
    <w:rsid w:val="00466947"/>
    <w:rsid w:val="00466F8E"/>
    <w:rsid w:val="00470194"/>
    <w:rsid w:val="00470A0A"/>
    <w:rsid w:val="00471966"/>
    <w:rsid w:val="00471D20"/>
    <w:rsid w:val="00474197"/>
    <w:rsid w:val="0047428D"/>
    <w:rsid w:val="0047475A"/>
    <w:rsid w:val="00474BF0"/>
    <w:rsid w:val="00475636"/>
    <w:rsid w:val="00476753"/>
    <w:rsid w:val="00476B79"/>
    <w:rsid w:val="00477330"/>
    <w:rsid w:val="0047780A"/>
    <w:rsid w:val="00477C63"/>
    <w:rsid w:val="00477DA0"/>
    <w:rsid w:val="00480AFC"/>
    <w:rsid w:val="004813A1"/>
    <w:rsid w:val="00482E6C"/>
    <w:rsid w:val="004834F3"/>
    <w:rsid w:val="004840CC"/>
    <w:rsid w:val="00484747"/>
    <w:rsid w:val="00484E27"/>
    <w:rsid w:val="00485190"/>
    <w:rsid w:val="0048557F"/>
    <w:rsid w:val="00485D93"/>
    <w:rsid w:val="00486A37"/>
    <w:rsid w:val="00493879"/>
    <w:rsid w:val="00494A1D"/>
    <w:rsid w:val="00495B96"/>
    <w:rsid w:val="004966FD"/>
    <w:rsid w:val="00496DB2"/>
    <w:rsid w:val="00497E00"/>
    <w:rsid w:val="00497EEB"/>
    <w:rsid w:val="004A01B4"/>
    <w:rsid w:val="004A04AE"/>
    <w:rsid w:val="004A06EA"/>
    <w:rsid w:val="004A082D"/>
    <w:rsid w:val="004A0903"/>
    <w:rsid w:val="004A1070"/>
    <w:rsid w:val="004A15A1"/>
    <w:rsid w:val="004A1EB7"/>
    <w:rsid w:val="004A1F76"/>
    <w:rsid w:val="004A2DB7"/>
    <w:rsid w:val="004A2FD1"/>
    <w:rsid w:val="004A55CE"/>
    <w:rsid w:val="004A57E5"/>
    <w:rsid w:val="004B07AA"/>
    <w:rsid w:val="004B07DD"/>
    <w:rsid w:val="004B14FA"/>
    <w:rsid w:val="004B179F"/>
    <w:rsid w:val="004B367F"/>
    <w:rsid w:val="004B37B8"/>
    <w:rsid w:val="004B3E14"/>
    <w:rsid w:val="004B415E"/>
    <w:rsid w:val="004B44B0"/>
    <w:rsid w:val="004B469B"/>
    <w:rsid w:val="004B5902"/>
    <w:rsid w:val="004B5A07"/>
    <w:rsid w:val="004B6896"/>
    <w:rsid w:val="004B6984"/>
    <w:rsid w:val="004B73D8"/>
    <w:rsid w:val="004B75E7"/>
    <w:rsid w:val="004B7EA1"/>
    <w:rsid w:val="004C0FFC"/>
    <w:rsid w:val="004C13D9"/>
    <w:rsid w:val="004C1A40"/>
    <w:rsid w:val="004C2120"/>
    <w:rsid w:val="004C215E"/>
    <w:rsid w:val="004C3128"/>
    <w:rsid w:val="004C31F9"/>
    <w:rsid w:val="004C33C5"/>
    <w:rsid w:val="004C3DCB"/>
    <w:rsid w:val="004C47B6"/>
    <w:rsid w:val="004C4ABF"/>
    <w:rsid w:val="004C4EFE"/>
    <w:rsid w:val="004C5328"/>
    <w:rsid w:val="004C5D14"/>
    <w:rsid w:val="004D0BFA"/>
    <w:rsid w:val="004D20B4"/>
    <w:rsid w:val="004D33FE"/>
    <w:rsid w:val="004D4743"/>
    <w:rsid w:val="004D4CF8"/>
    <w:rsid w:val="004D523F"/>
    <w:rsid w:val="004D57C0"/>
    <w:rsid w:val="004D5A62"/>
    <w:rsid w:val="004D5CC0"/>
    <w:rsid w:val="004D6671"/>
    <w:rsid w:val="004D6A7C"/>
    <w:rsid w:val="004D71CA"/>
    <w:rsid w:val="004D7DFA"/>
    <w:rsid w:val="004E0EE9"/>
    <w:rsid w:val="004E1AD6"/>
    <w:rsid w:val="004E2258"/>
    <w:rsid w:val="004E2936"/>
    <w:rsid w:val="004E293F"/>
    <w:rsid w:val="004E2992"/>
    <w:rsid w:val="004E2C52"/>
    <w:rsid w:val="004E2D37"/>
    <w:rsid w:val="004E321A"/>
    <w:rsid w:val="004E41E8"/>
    <w:rsid w:val="004E4E26"/>
    <w:rsid w:val="004E5A25"/>
    <w:rsid w:val="004E5C23"/>
    <w:rsid w:val="004E5C2A"/>
    <w:rsid w:val="004F1204"/>
    <w:rsid w:val="004F158A"/>
    <w:rsid w:val="004F190D"/>
    <w:rsid w:val="004F2057"/>
    <w:rsid w:val="004F21E0"/>
    <w:rsid w:val="004F238A"/>
    <w:rsid w:val="004F277A"/>
    <w:rsid w:val="004F2ED1"/>
    <w:rsid w:val="004F32F0"/>
    <w:rsid w:val="004F3960"/>
    <w:rsid w:val="004F4CAC"/>
    <w:rsid w:val="004F6A71"/>
    <w:rsid w:val="004F72BD"/>
    <w:rsid w:val="004F7638"/>
    <w:rsid w:val="004F7B3B"/>
    <w:rsid w:val="00500541"/>
    <w:rsid w:val="0050108D"/>
    <w:rsid w:val="005011F5"/>
    <w:rsid w:val="005013C3"/>
    <w:rsid w:val="00501611"/>
    <w:rsid w:val="00501D3E"/>
    <w:rsid w:val="005026D0"/>
    <w:rsid w:val="00503893"/>
    <w:rsid w:val="00503D62"/>
    <w:rsid w:val="00503EFC"/>
    <w:rsid w:val="00504E55"/>
    <w:rsid w:val="00506152"/>
    <w:rsid w:val="00507AA6"/>
    <w:rsid w:val="005101E2"/>
    <w:rsid w:val="00510633"/>
    <w:rsid w:val="0051087F"/>
    <w:rsid w:val="00511843"/>
    <w:rsid w:val="00511B25"/>
    <w:rsid w:val="00512EF4"/>
    <w:rsid w:val="00513A35"/>
    <w:rsid w:val="00513D71"/>
    <w:rsid w:val="005147E0"/>
    <w:rsid w:val="00514AB6"/>
    <w:rsid w:val="005161AA"/>
    <w:rsid w:val="00516344"/>
    <w:rsid w:val="005164F4"/>
    <w:rsid w:val="005169E7"/>
    <w:rsid w:val="00516EA1"/>
    <w:rsid w:val="00517139"/>
    <w:rsid w:val="00517217"/>
    <w:rsid w:val="0051779D"/>
    <w:rsid w:val="00521189"/>
    <w:rsid w:val="00522BA0"/>
    <w:rsid w:val="0052322B"/>
    <w:rsid w:val="0052376B"/>
    <w:rsid w:val="00523933"/>
    <w:rsid w:val="0052399C"/>
    <w:rsid w:val="00523D11"/>
    <w:rsid w:val="00525234"/>
    <w:rsid w:val="00527319"/>
    <w:rsid w:val="0052757F"/>
    <w:rsid w:val="005275BD"/>
    <w:rsid w:val="005279C9"/>
    <w:rsid w:val="00530039"/>
    <w:rsid w:val="0053018F"/>
    <w:rsid w:val="00530728"/>
    <w:rsid w:val="00531266"/>
    <w:rsid w:val="0053177C"/>
    <w:rsid w:val="0053212F"/>
    <w:rsid w:val="00532609"/>
    <w:rsid w:val="00532DD2"/>
    <w:rsid w:val="0053359D"/>
    <w:rsid w:val="0053384B"/>
    <w:rsid w:val="00533A64"/>
    <w:rsid w:val="00534000"/>
    <w:rsid w:val="00541409"/>
    <w:rsid w:val="00541B47"/>
    <w:rsid w:val="005433D1"/>
    <w:rsid w:val="00543641"/>
    <w:rsid w:val="0054406E"/>
    <w:rsid w:val="0054437B"/>
    <w:rsid w:val="0054498B"/>
    <w:rsid w:val="005457E0"/>
    <w:rsid w:val="005462DA"/>
    <w:rsid w:val="00547F39"/>
    <w:rsid w:val="00550B22"/>
    <w:rsid w:val="00550BD2"/>
    <w:rsid w:val="00550FE3"/>
    <w:rsid w:val="00551A14"/>
    <w:rsid w:val="0055305D"/>
    <w:rsid w:val="00553061"/>
    <w:rsid w:val="00553238"/>
    <w:rsid w:val="005537FB"/>
    <w:rsid w:val="00553B11"/>
    <w:rsid w:val="0055470C"/>
    <w:rsid w:val="005564D5"/>
    <w:rsid w:val="00557764"/>
    <w:rsid w:val="0056041A"/>
    <w:rsid w:val="00560786"/>
    <w:rsid w:val="00561451"/>
    <w:rsid w:val="0056212B"/>
    <w:rsid w:val="00563E1D"/>
    <w:rsid w:val="0056486F"/>
    <w:rsid w:val="00566E02"/>
    <w:rsid w:val="00567CF2"/>
    <w:rsid w:val="00570A88"/>
    <w:rsid w:val="00570AD3"/>
    <w:rsid w:val="00571094"/>
    <w:rsid w:val="0057122E"/>
    <w:rsid w:val="00572203"/>
    <w:rsid w:val="005722B3"/>
    <w:rsid w:val="00572AE8"/>
    <w:rsid w:val="005742E2"/>
    <w:rsid w:val="00574489"/>
    <w:rsid w:val="00574E79"/>
    <w:rsid w:val="00576B4B"/>
    <w:rsid w:val="00576B53"/>
    <w:rsid w:val="00580F60"/>
    <w:rsid w:val="005810BA"/>
    <w:rsid w:val="00583115"/>
    <w:rsid w:val="005831AC"/>
    <w:rsid w:val="005836A0"/>
    <w:rsid w:val="005839E2"/>
    <w:rsid w:val="00584320"/>
    <w:rsid w:val="00584B17"/>
    <w:rsid w:val="00585D34"/>
    <w:rsid w:val="0058659F"/>
    <w:rsid w:val="00586865"/>
    <w:rsid w:val="0058720B"/>
    <w:rsid w:val="005878DD"/>
    <w:rsid w:val="005917F2"/>
    <w:rsid w:val="0059268E"/>
    <w:rsid w:val="00592C7E"/>
    <w:rsid w:val="00592F4E"/>
    <w:rsid w:val="005931C4"/>
    <w:rsid w:val="00593452"/>
    <w:rsid w:val="00593FC3"/>
    <w:rsid w:val="005944D8"/>
    <w:rsid w:val="00594CCB"/>
    <w:rsid w:val="00595DF8"/>
    <w:rsid w:val="005966B4"/>
    <w:rsid w:val="00596D33"/>
    <w:rsid w:val="00597EBB"/>
    <w:rsid w:val="005A03EC"/>
    <w:rsid w:val="005A0BCC"/>
    <w:rsid w:val="005A1C93"/>
    <w:rsid w:val="005A207C"/>
    <w:rsid w:val="005A2537"/>
    <w:rsid w:val="005A2725"/>
    <w:rsid w:val="005A2B89"/>
    <w:rsid w:val="005A31D9"/>
    <w:rsid w:val="005A3442"/>
    <w:rsid w:val="005A374C"/>
    <w:rsid w:val="005A3B00"/>
    <w:rsid w:val="005A4335"/>
    <w:rsid w:val="005A553E"/>
    <w:rsid w:val="005A5930"/>
    <w:rsid w:val="005A690F"/>
    <w:rsid w:val="005A6915"/>
    <w:rsid w:val="005A70CD"/>
    <w:rsid w:val="005A7178"/>
    <w:rsid w:val="005A7320"/>
    <w:rsid w:val="005A7688"/>
    <w:rsid w:val="005A7814"/>
    <w:rsid w:val="005A7BC7"/>
    <w:rsid w:val="005A7DB7"/>
    <w:rsid w:val="005B00EE"/>
    <w:rsid w:val="005B03C2"/>
    <w:rsid w:val="005B145C"/>
    <w:rsid w:val="005B1CD1"/>
    <w:rsid w:val="005B20E3"/>
    <w:rsid w:val="005B27C8"/>
    <w:rsid w:val="005B28CE"/>
    <w:rsid w:val="005B2EA1"/>
    <w:rsid w:val="005B3FC5"/>
    <w:rsid w:val="005B46BB"/>
    <w:rsid w:val="005B4B9E"/>
    <w:rsid w:val="005B72C2"/>
    <w:rsid w:val="005C00AD"/>
    <w:rsid w:val="005C0B83"/>
    <w:rsid w:val="005C0FDA"/>
    <w:rsid w:val="005C23FE"/>
    <w:rsid w:val="005C31CD"/>
    <w:rsid w:val="005C361A"/>
    <w:rsid w:val="005C39E0"/>
    <w:rsid w:val="005C4A03"/>
    <w:rsid w:val="005C4DAB"/>
    <w:rsid w:val="005C4DE6"/>
    <w:rsid w:val="005C557E"/>
    <w:rsid w:val="005C56CD"/>
    <w:rsid w:val="005C64E0"/>
    <w:rsid w:val="005C785E"/>
    <w:rsid w:val="005C78F0"/>
    <w:rsid w:val="005D0B70"/>
    <w:rsid w:val="005D0ED9"/>
    <w:rsid w:val="005D1083"/>
    <w:rsid w:val="005D139A"/>
    <w:rsid w:val="005D2234"/>
    <w:rsid w:val="005D37EE"/>
    <w:rsid w:val="005D38FD"/>
    <w:rsid w:val="005D4EE7"/>
    <w:rsid w:val="005D5BC0"/>
    <w:rsid w:val="005D6D2D"/>
    <w:rsid w:val="005D6E55"/>
    <w:rsid w:val="005E0A4B"/>
    <w:rsid w:val="005E108A"/>
    <w:rsid w:val="005E1212"/>
    <w:rsid w:val="005E12CC"/>
    <w:rsid w:val="005E1AEF"/>
    <w:rsid w:val="005E203A"/>
    <w:rsid w:val="005E3D6A"/>
    <w:rsid w:val="005E3FC4"/>
    <w:rsid w:val="005E495F"/>
    <w:rsid w:val="005E4E0A"/>
    <w:rsid w:val="005F0583"/>
    <w:rsid w:val="005F0FE8"/>
    <w:rsid w:val="005F10C7"/>
    <w:rsid w:val="005F1825"/>
    <w:rsid w:val="005F1C8D"/>
    <w:rsid w:val="005F2242"/>
    <w:rsid w:val="005F2323"/>
    <w:rsid w:val="005F24F7"/>
    <w:rsid w:val="005F44B8"/>
    <w:rsid w:val="005F4E66"/>
    <w:rsid w:val="005F5BE0"/>
    <w:rsid w:val="005F6204"/>
    <w:rsid w:val="005F6EA2"/>
    <w:rsid w:val="005F71A0"/>
    <w:rsid w:val="005F74E5"/>
    <w:rsid w:val="00600C18"/>
    <w:rsid w:val="006030E3"/>
    <w:rsid w:val="00604C5D"/>
    <w:rsid w:val="0060516A"/>
    <w:rsid w:val="00605521"/>
    <w:rsid w:val="006055D1"/>
    <w:rsid w:val="00605AF7"/>
    <w:rsid w:val="006069DB"/>
    <w:rsid w:val="00607060"/>
    <w:rsid w:val="006074F5"/>
    <w:rsid w:val="0060791E"/>
    <w:rsid w:val="00607DB2"/>
    <w:rsid w:val="00607EE6"/>
    <w:rsid w:val="00607F08"/>
    <w:rsid w:val="00610305"/>
    <w:rsid w:val="00610BEB"/>
    <w:rsid w:val="006117A1"/>
    <w:rsid w:val="00611854"/>
    <w:rsid w:val="006121B6"/>
    <w:rsid w:val="006127F1"/>
    <w:rsid w:val="006137F7"/>
    <w:rsid w:val="00615056"/>
    <w:rsid w:val="006150D5"/>
    <w:rsid w:val="00615F98"/>
    <w:rsid w:val="00617B33"/>
    <w:rsid w:val="00617DD6"/>
    <w:rsid w:val="0062029E"/>
    <w:rsid w:val="00620FB4"/>
    <w:rsid w:val="0062100B"/>
    <w:rsid w:val="0062118C"/>
    <w:rsid w:val="00621E29"/>
    <w:rsid w:val="006230EF"/>
    <w:rsid w:val="00623130"/>
    <w:rsid w:val="00623D7C"/>
    <w:rsid w:val="00625C53"/>
    <w:rsid w:val="00625F58"/>
    <w:rsid w:val="006267F3"/>
    <w:rsid w:val="00626C5F"/>
    <w:rsid w:val="00627250"/>
    <w:rsid w:val="00627F10"/>
    <w:rsid w:val="00631A4A"/>
    <w:rsid w:val="00632CB2"/>
    <w:rsid w:val="00632F63"/>
    <w:rsid w:val="00633E58"/>
    <w:rsid w:val="0063430F"/>
    <w:rsid w:val="00636040"/>
    <w:rsid w:val="00636075"/>
    <w:rsid w:val="006367B0"/>
    <w:rsid w:val="00636F2F"/>
    <w:rsid w:val="00637F84"/>
    <w:rsid w:val="00640DF7"/>
    <w:rsid w:val="0064258D"/>
    <w:rsid w:val="00642B3F"/>
    <w:rsid w:val="0064312C"/>
    <w:rsid w:val="00644084"/>
    <w:rsid w:val="0064465A"/>
    <w:rsid w:val="00644753"/>
    <w:rsid w:val="006502A9"/>
    <w:rsid w:val="00651924"/>
    <w:rsid w:val="0065250A"/>
    <w:rsid w:val="00652A1A"/>
    <w:rsid w:val="00653061"/>
    <w:rsid w:val="0065362B"/>
    <w:rsid w:val="00653B08"/>
    <w:rsid w:val="0065455E"/>
    <w:rsid w:val="00655B25"/>
    <w:rsid w:val="006573AD"/>
    <w:rsid w:val="006579AB"/>
    <w:rsid w:val="00657ACC"/>
    <w:rsid w:val="006622ED"/>
    <w:rsid w:val="00662B33"/>
    <w:rsid w:val="00663848"/>
    <w:rsid w:val="00663A45"/>
    <w:rsid w:val="00663E20"/>
    <w:rsid w:val="00663E52"/>
    <w:rsid w:val="00664412"/>
    <w:rsid w:val="00667F95"/>
    <w:rsid w:val="006701D0"/>
    <w:rsid w:val="00670395"/>
    <w:rsid w:val="006722F3"/>
    <w:rsid w:val="0067437C"/>
    <w:rsid w:val="006746FC"/>
    <w:rsid w:val="00674FC1"/>
    <w:rsid w:val="00675004"/>
    <w:rsid w:val="00675B56"/>
    <w:rsid w:val="006779B9"/>
    <w:rsid w:val="00681209"/>
    <w:rsid w:val="006819A5"/>
    <w:rsid w:val="00682DD9"/>
    <w:rsid w:val="00683118"/>
    <w:rsid w:val="006840C4"/>
    <w:rsid w:val="00684BC9"/>
    <w:rsid w:val="0068542E"/>
    <w:rsid w:val="00686624"/>
    <w:rsid w:val="00687B5C"/>
    <w:rsid w:val="00691C4E"/>
    <w:rsid w:val="0069304D"/>
    <w:rsid w:val="006937A9"/>
    <w:rsid w:val="00694362"/>
    <w:rsid w:val="00694975"/>
    <w:rsid w:val="00695AB9"/>
    <w:rsid w:val="006961C9"/>
    <w:rsid w:val="0069623B"/>
    <w:rsid w:val="00696C93"/>
    <w:rsid w:val="00696E69"/>
    <w:rsid w:val="00696F97"/>
    <w:rsid w:val="00697CA3"/>
    <w:rsid w:val="006A0138"/>
    <w:rsid w:val="006A03F8"/>
    <w:rsid w:val="006A0425"/>
    <w:rsid w:val="006A04BB"/>
    <w:rsid w:val="006A3CE8"/>
    <w:rsid w:val="006A423B"/>
    <w:rsid w:val="006A51DA"/>
    <w:rsid w:val="006B018B"/>
    <w:rsid w:val="006B0FC3"/>
    <w:rsid w:val="006B181A"/>
    <w:rsid w:val="006B20DD"/>
    <w:rsid w:val="006B32C8"/>
    <w:rsid w:val="006B3F32"/>
    <w:rsid w:val="006B433C"/>
    <w:rsid w:val="006B4590"/>
    <w:rsid w:val="006B45FA"/>
    <w:rsid w:val="006B507A"/>
    <w:rsid w:val="006B532A"/>
    <w:rsid w:val="006B742D"/>
    <w:rsid w:val="006C056A"/>
    <w:rsid w:val="006C0C2F"/>
    <w:rsid w:val="006C12C9"/>
    <w:rsid w:val="006C1CE1"/>
    <w:rsid w:val="006C1EF4"/>
    <w:rsid w:val="006C28EB"/>
    <w:rsid w:val="006C4541"/>
    <w:rsid w:val="006C45AB"/>
    <w:rsid w:val="006C5E86"/>
    <w:rsid w:val="006C6016"/>
    <w:rsid w:val="006C6B2D"/>
    <w:rsid w:val="006C76B1"/>
    <w:rsid w:val="006C7ED9"/>
    <w:rsid w:val="006D0932"/>
    <w:rsid w:val="006D09E3"/>
    <w:rsid w:val="006D2107"/>
    <w:rsid w:val="006D21C8"/>
    <w:rsid w:val="006D243A"/>
    <w:rsid w:val="006D2E69"/>
    <w:rsid w:val="006D39DF"/>
    <w:rsid w:val="006D46DD"/>
    <w:rsid w:val="006D4830"/>
    <w:rsid w:val="006D4C38"/>
    <w:rsid w:val="006D51B1"/>
    <w:rsid w:val="006D603B"/>
    <w:rsid w:val="006D6543"/>
    <w:rsid w:val="006D686E"/>
    <w:rsid w:val="006D766C"/>
    <w:rsid w:val="006E07CE"/>
    <w:rsid w:val="006E28B2"/>
    <w:rsid w:val="006E3293"/>
    <w:rsid w:val="006E32FF"/>
    <w:rsid w:val="006E4801"/>
    <w:rsid w:val="006E4F98"/>
    <w:rsid w:val="006E534E"/>
    <w:rsid w:val="006E5797"/>
    <w:rsid w:val="006E5FD1"/>
    <w:rsid w:val="006F049A"/>
    <w:rsid w:val="006F0B47"/>
    <w:rsid w:val="006F2EB0"/>
    <w:rsid w:val="006F34B5"/>
    <w:rsid w:val="006F365B"/>
    <w:rsid w:val="006F48F0"/>
    <w:rsid w:val="006F4D99"/>
    <w:rsid w:val="006F550A"/>
    <w:rsid w:val="006F59CE"/>
    <w:rsid w:val="006F5B68"/>
    <w:rsid w:val="006F5FEC"/>
    <w:rsid w:val="006F65B7"/>
    <w:rsid w:val="006F679A"/>
    <w:rsid w:val="006F6DCA"/>
    <w:rsid w:val="006F7EF0"/>
    <w:rsid w:val="00700F08"/>
    <w:rsid w:val="00700FAA"/>
    <w:rsid w:val="00701130"/>
    <w:rsid w:val="007023C4"/>
    <w:rsid w:val="00702E27"/>
    <w:rsid w:val="00703A0C"/>
    <w:rsid w:val="00704792"/>
    <w:rsid w:val="007053FC"/>
    <w:rsid w:val="00706053"/>
    <w:rsid w:val="00706A2F"/>
    <w:rsid w:val="007101B0"/>
    <w:rsid w:val="00711666"/>
    <w:rsid w:val="00711A23"/>
    <w:rsid w:val="00712CE6"/>
    <w:rsid w:val="00713D23"/>
    <w:rsid w:val="00715EC4"/>
    <w:rsid w:val="0071650C"/>
    <w:rsid w:val="007204A4"/>
    <w:rsid w:val="00720BB1"/>
    <w:rsid w:val="00721FE0"/>
    <w:rsid w:val="007241D6"/>
    <w:rsid w:val="0072433D"/>
    <w:rsid w:val="00724DAC"/>
    <w:rsid w:val="0072547D"/>
    <w:rsid w:val="007257B2"/>
    <w:rsid w:val="007258D6"/>
    <w:rsid w:val="00727395"/>
    <w:rsid w:val="0072754A"/>
    <w:rsid w:val="00727717"/>
    <w:rsid w:val="007308B4"/>
    <w:rsid w:val="00732F75"/>
    <w:rsid w:val="007337FE"/>
    <w:rsid w:val="007350FE"/>
    <w:rsid w:val="00735958"/>
    <w:rsid w:val="00735FD9"/>
    <w:rsid w:val="0073614A"/>
    <w:rsid w:val="00736321"/>
    <w:rsid w:val="0073664C"/>
    <w:rsid w:val="00736975"/>
    <w:rsid w:val="00740823"/>
    <w:rsid w:val="00740E5D"/>
    <w:rsid w:val="007412A8"/>
    <w:rsid w:val="00741613"/>
    <w:rsid w:val="00743186"/>
    <w:rsid w:val="00743284"/>
    <w:rsid w:val="007439C5"/>
    <w:rsid w:val="00743E85"/>
    <w:rsid w:val="007449C3"/>
    <w:rsid w:val="0074566D"/>
    <w:rsid w:val="00745B2F"/>
    <w:rsid w:val="007460EF"/>
    <w:rsid w:val="007474DC"/>
    <w:rsid w:val="007478BB"/>
    <w:rsid w:val="00750C04"/>
    <w:rsid w:val="007510CC"/>
    <w:rsid w:val="00751F92"/>
    <w:rsid w:val="00752022"/>
    <w:rsid w:val="00752485"/>
    <w:rsid w:val="00752DBF"/>
    <w:rsid w:val="007532EA"/>
    <w:rsid w:val="00754959"/>
    <w:rsid w:val="00755735"/>
    <w:rsid w:val="00756E31"/>
    <w:rsid w:val="007571D0"/>
    <w:rsid w:val="007604E5"/>
    <w:rsid w:val="007611B6"/>
    <w:rsid w:val="00761FA1"/>
    <w:rsid w:val="00762CEA"/>
    <w:rsid w:val="007643A1"/>
    <w:rsid w:val="00771EE3"/>
    <w:rsid w:val="007721F2"/>
    <w:rsid w:val="007723EF"/>
    <w:rsid w:val="00772472"/>
    <w:rsid w:val="00773701"/>
    <w:rsid w:val="007759A3"/>
    <w:rsid w:val="00775D92"/>
    <w:rsid w:val="007802A0"/>
    <w:rsid w:val="00780366"/>
    <w:rsid w:val="00780411"/>
    <w:rsid w:val="007806B1"/>
    <w:rsid w:val="0078074B"/>
    <w:rsid w:val="00780B2D"/>
    <w:rsid w:val="007813EB"/>
    <w:rsid w:val="007826BC"/>
    <w:rsid w:val="007827D6"/>
    <w:rsid w:val="00782BC4"/>
    <w:rsid w:val="007832A3"/>
    <w:rsid w:val="007832AE"/>
    <w:rsid w:val="00783C8B"/>
    <w:rsid w:val="007845C3"/>
    <w:rsid w:val="0078707D"/>
    <w:rsid w:val="0078723F"/>
    <w:rsid w:val="00787848"/>
    <w:rsid w:val="00790628"/>
    <w:rsid w:val="00790677"/>
    <w:rsid w:val="0079123A"/>
    <w:rsid w:val="007924D8"/>
    <w:rsid w:val="00792D61"/>
    <w:rsid w:val="00794337"/>
    <w:rsid w:val="00794C9B"/>
    <w:rsid w:val="00794D61"/>
    <w:rsid w:val="00794EAF"/>
    <w:rsid w:val="007956FA"/>
    <w:rsid w:val="00796042"/>
    <w:rsid w:val="00796172"/>
    <w:rsid w:val="0079635D"/>
    <w:rsid w:val="00796733"/>
    <w:rsid w:val="007972EF"/>
    <w:rsid w:val="00797483"/>
    <w:rsid w:val="0079777D"/>
    <w:rsid w:val="00797B1F"/>
    <w:rsid w:val="007A074A"/>
    <w:rsid w:val="007A19EC"/>
    <w:rsid w:val="007A1B23"/>
    <w:rsid w:val="007A1FED"/>
    <w:rsid w:val="007A2330"/>
    <w:rsid w:val="007A274F"/>
    <w:rsid w:val="007A2853"/>
    <w:rsid w:val="007A2930"/>
    <w:rsid w:val="007A3B68"/>
    <w:rsid w:val="007A3D45"/>
    <w:rsid w:val="007A5CDB"/>
    <w:rsid w:val="007B0CFC"/>
    <w:rsid w:val="007B2474"/>
    <w:rsid w:val="007B4836"/>
    <w:rsid w:val="007B49B2"/>
    <w:rsid w:val="007B5847"/>
    <w:rsid w:val="007B74AD"/>
    <w:rsid w:val="007B792A"/>
    <w:rsid w:val="007C014F"/>
    <w:rsid w:val="007C02BB"/>
    <w:rsid w:val="007C1564"/>
    <w:rsid w:val="007C3D6F"/>
    <w:rsid w:val="007C50D5"/>
    <w:rsid w:val="007C538D"/>
    <w:rsid w:val="007C631D"/>
    <w:rsid w:val="007C670A"/>
    <w:rsid w:val="007C68EA"/>
    <w:rsid w:val="007C7A5E"/>
    <w:rsid w:val="007D03E5"/>
    <w:rsid w:val="007D056D"/>
    <w:rsid w:val="007D13A3"/>
    <w:rsid w:val="007D1C13"/>
    <w:rsid w:val="007D1FB1"/>
    <w:rsid w:val="007D1FB9"/>
    <w:rsid w:val="007D6533"/>
    <w:rsid w:val="007D6F65"/>
    <w:rsid w:val="007D722B"/>
    <w:rsid w:val="007D7812"/>
    <w:rsid w:val="007D78F4"/>
    <w:rsid w:val="007D7BAE"/>
    <w:rsid w:val="007E179D"/>
    <w:rsid w:val="007E1952"/>
    <w:rsid w:val="007E20BF"/>
    <w:rsid w:val="007E312B"/>
    <w:rsid w:val="007E464F"/>
    <w:rsid w:val="007E4E58"/>
    <w:rsid w:val="007E5C33"/>
    <w:rsid w:val="007E7338"/>
    <w:rsid w:val="007E74B0"/>
    <w:rsid w:val="007E757C"/>
    <w:rsid w:val="007E7CFD"/>
    <w:rsid w:val="007F0801"/>
    <w:rsid w:val="007F097A"/>
    <w:rsid w:val="007F103D"/>
    <w:rsid w:val="007F120B"/>
    <w:rsid w:val="007F14AD"/>
    <w:rsid w:val="007F18D2"/>
    <w:rsid w:val="007F1E23"/>
    <w:rsid w:val="007F1EE8"/>
    <w:rsid w:val="007F2527"/>
    <w:rsid w:val="007F27DB"/>
    <w:rsid w:val="007F33C3"/>
    <w:rsid w:val="007F4398"/>
    <w:rsid w:val="007F485F"/>
    <w:rsid w:val="007F4944"/>
    <w:rsid w:val="007F4C82"/>
    <w:rsid w:val="007F4CA3"/>
    <w:rsid w:val="007F5F56"/>
    <w:rsid w:val="007F632D"/>
    <w:rsid w:val="007F659A"/>
    <w:rsid w:val="007F6D0D"/>
    <w:rsid w:val="007F777C"/>
    <w:rsid w:val="007F7B7B"/>
    <w:rsid w:val="007F7F07"/>
    <w:rsid w:val="00800997"/>
    <w:rsid w:val="00800B8D"/>
    <w:rsid w:val="00800F4A"/>
    <w:rsid w:val="008018B9"/>
    <w:rsid w:val="00802742"/>
    <w:rsid w:val="008037C0"/>
    <w:rsid w:val="00803CD7"/>
    <w:rsid w:val="00805B04"/>
    <w:rsid w:val="00807CE4"/>
    <w:rsid w:val="0081079D"/>
    <w:rsid w:val="008107ED"/>
    <w:rsid w:val="008108E6"/>
    <w:rsid w:val="00810D0B"/>
    <w:rsid w:val="008123AD"/>
    <w:rsid w:val="0081290E"/>
    <w:rsid w:val="00813B73"/>
    <w:rsid w:val="00814593"/>
    <w:rsid w:val="008154C7"/>
    <w:rsid w:val="00816A34"/>
    <w:rsid w:val="008176A5"/>
    <w:rsid w:val="008179DA"/>
    <w:rsid w:val="0082062B"/>
    <w:rsid w:val="00820E64"/>
    <w:rsid w:val="00821438"/>
    <w:rsid w:val="00821473"/>
    <w:rsid w:val="00821D7B"/>
    <w:rsid w:val="00824F7D"/>
    <w:rsid w:val="0082654E"/>
    <w:rsid w:val="008266A4"/>
    <w:rsid w:val="00827150"/>
    <w:rsid w:val="0083018E"/>
    <w:rsid w:val="008302E6"/>
    <w:rsid w:val="008305ED"/>
    <w:rsid w:val="00830ECC"/>
    <w:rsid w:val="008327AF"/>
    <w:rsid w:val="008332A1"/>
    <w:rsid w:val="008343AB"/>
    <w:rsid w:val="00834422"/>
    <w:rsid w:val="00835077"/>
    <w:rsid w:val="00835EBD"/>
    <w:rsid w:val="008361BD"/>
    <w:rsid w:val="00836AB3"/>
    <w:rsid w:val="00836CBE"/>
    <w:rsid w:val="008377AB"/>
    <w:rsid w:val="00837C13"/>
    <w:rsid w:val="00837D77"/>
    <w:rsid w:val="00842C66"/>
    <w:rsid w:val="00844FDF"/>
    <w:rsid w:val="0084527E"/>
    <w:rsid w:val="0084664C"/>
    <w:rsid w:val="008469A7"/>
    <w:rsid w:val="00846B9A"/>
    <w:rsid w:val="0084752F"/>
    <w:rsid w:val="008477DE"/>
    <w:rsid w:val="00847B6F"/>
    <w:rsid w:val="00847CE2"/>
    <w:rsid w:val="00850574"/>
    <w:rsid w:val="00850902"/>
    <w:rsid w:val="0085151E"/>
    <w:rsid w:val="00851E37"/>
    <w:rsid w:val="00852456"/>
    <w:rsid w:val="008529BD"/>
    <w:rsid w:val="00852E45"/>
    <w:rsid w:val="00854171"/>
    <w:rsid w:val="00854398"/>
    <w:rsid w:val="008543E4"/>
    <w:rsid w:val="00854646"/>
    <w:rsid w:val="00856C9C"/>
    <w:rsid w:val="008579C6"/>
    <w:rsid w:val="008602B4"/>
    <w:rsid w:val="008605B6"/>
    <w:rsid w:val="00861B8C"/>
    <w:rsid w:val="00862EC8"/>
    <w:rsid w:val="00863772"/>
    <w:rsid w:val="00863D05"/>
    <w:rsid w:val="008644ED"/>
    <w:rsid w:val="00865706"/>
    <w:rsid w:val="00865BBE"/>
    <w:rsid w:val="00866157"/>
    <w:rsid w:val="00866B35"/>
    <w:rsid w:val="00867334"/>
    <w:rsid w:val="00867609"/>
    <w:rsid w:val="008701D9"/>
    <w:rsid w:val="00870318"/>
    <w:rsid w:val="00871BE4"/>
    <w:rsid w:val="0087222B"/>
    <w:rsid w:val="00873160"/>
    <w:rsid w:val="00875838"/>
    <w:rsid w:val="00877F0B"/>
    <w:rsid w:val="008804C4"/>
    <w:rsid w:val="008808F0"/>
    <w:rsid w:val="00880F11"/>
    <w:rsid w:val="008811CF"/>
    <w:rsid w:val="0088183E"/>
    <w:rsid w:val="00881B2D"/>
    <w:rsid w:val="0088231B"/>
    <w:rsid w:val="00883B32"/>
    <w:rsid w:val="00884574"/>
    <w:rsid w:val="0088484E"/>
    <w:rsid w:val="00885D63"/>
    <w:rsid w:val="0088683E"/>
    <w:rsid w:val="008868F1"/>
    <w:rsid w:val="0088690E"/>
    <w:rsid w:val="00887337"/>
    <w:rsid w:val="00887A2A"/>
    <w:rsid w:val="00887CDE"/>
    <w:rsid w:val="00891379"/>
    <w:rsid w:val="008916D6"/>
    <w:rsid w:val="00893483"/>
    <w:rsid w:val="00893A2D"/>
    <w:rsid w:val="00894572"/>
    <w:rsid w:val="00894D25"/>
    <w:rsid w:val="00894F3D"/>
    <w:rsid w:val="0089540A"/>
    <w:rsid w:val="00896124"/>
    <w:rsid w:val="0089796E"/>
    <w:rsid w:val="008A02D5"/>
    <w:rsid w:val="008A0977"/>
    <w:rsid w:val="008A09D6"/>
    <w:rsid w:val="008A19CB"/>
    <w:rsid w:val="008A2816"/>
    <w:rsid w:val="008A2923"/>
    <w:rsid w:val="008A2C0F"/>
    <w:rsid w:val="008A44AE"/>
    <w:rsid w:val="008A55A1"/>
    <w:rsid w:val="008A5AC7"/>
    <w:rsid w:val="008A5FE2"/>
    <w:rsid w:val="008A62A1"/>
    <w:rsid w:val="008A6D03"/>
    <w:rsid w:val="008A7F38"/>
    <w:rsid w:val="008B0B7B"/>
    <w:rsid w:val="008B12D5"/>
    <w:rsid w:val="008B133B"/>
    <w:rsid w:val="008B2BB1"/>
    <w:rsid w:val="008B2DAA"/>
    <w:rsid w:val="008B302F"/>
    <w:rsid w:val="008B37F3"/>
    <w:rsid w:val="008B407D"/>
    <w:rsid w:val="008B47C2"/>
    <w:rsid w:val="008B4B15"/>
    <w:rsid w:val="008B4D37"/>
    <w:rsid w:val="008B5024"/>
    <w:rsid w:val="008B52D6"/>
    <w:rsid w:val="008B5509"/>
    <w:rsid w:val="008B7324"/>
    <w:rsid w:val="008B759F"/>
    <w:rsid w:val="008C057A"/>
    <w:rsid w:val="008C0D65"/>
    <w:rsid w:val="008C2BF9"/>
    <w:rsid w:val="008C32D6"/>
    <w:rsid w:val="008C39AB"/>
    <w:rsid w:val="008C4A22"/>
    <w:rsid w:val="008C4A93"/>
    <w:rsid w:val="008C4D23"/>
    <w:rsid w:val="008C4F4A"/>
    <w:rsid w:val="008C51ED"/>
    <w:rsid w:val="008C535F"/>
    <w:rsid w:val="008C6AB6"/>
    <w:rsid w:val="008C6DC4"/>
    <w:rsid w:val="008C73F3"/>
    <w:rsid w:val="008C7479"/>
    <w:rsid w:val="008C781B"/>
    <w:rsid w:val="008C7872"/>
    <w:rsid w:val="008C7F10"/>
    <w:rsid w:val="008D02FE"/>
    <w:rsid w:val="008D0690"/>
    <w:rsid w:val="008D0916"/>
    <w:rsid w:val="008D0C4B"/>
    <w:rsid w:val="008D25E0"/>
    <w:rsid w:val="008D299F"/>
    <w:rsid w:val="008D3546"/>
    <w:rsid w:val="008D3A9D"/>
    <w:rsid w:val="008D3B09"/>
    <w:rsid w:val="008D4121"/>
    <w:rsid w:val="008D4D10"/>
    <w:rsid w:val="008D5653"/>
    <w:rsid w:val="008D668E"/>
    <w:rsid w:val="008D6E0E"/>
    <w:rsid w:val="008D773F"/>
    <w:rsid w:val="008E00D2"/>
    <w:rsid w:val="008E03EF"/>
    <w:rsid w:val="008E0F46"/>
    <w:rsid w:val="008E1912"/>
    <w:rsid w:val="008E19BA"/>
    <w:rsid w:val="008E3766"/>
    <w:rsid w:val="008E3893"/>
    <w:rsid w:val="008E45CB"/>
    <w:rsid w:val="008E4E78"/>
    <w:rsid w:val="008E6AF5"/>
    <w:rsid w:val="008E75E1"/>
    <w:rsid w:val="008E77AC"/>
    <w:rsid w:val="008F004C"/>
    <w:rsid w:val="008F1E42"/>
    <w:rsid w:val="008F1F2F"/>
    <w:rsid w:val="008F20D7"/>
    <w:rsid w:val="008F2114"/>
    <w:rsid w:val="008F384F"/>
    <w:rsid w:val="008F4604"/>
    <w:rsid w:val="008F5EA2"/>
    <w:rsid w:val="008F692E"/>
    <w:rsid w:val="008F6C48"/>
    <w:rsid w:val="008F78C8"/>
    <w:rsid w:val="009009C6"/>
    <w:rsid w:val="00900B71"/>
    <w:rsid w:val="00900E95"/>
    <w:rsid w:val="0090166F"/>
    <w:rsid w:val="009026BB"/>
    <w:rsid w:val="00902C5E"/>
    <w:rsid w:val="00903027"/>
    <w:rsid w:val="00903418"/>
    <w:rsid w:val="0090418B"/>
    <w:rsid w:val="00904238"/>
    <w:rsid w:val="00904B6B"/>
    <w:rsid w:val="00904E5F"/>
    <w:rsid w:val="00905787"/>
    <w:rsid w:val="0090672B"/>
    <w:rsid w:val="00906E99"/>
    <w:rsid w:val="009075E8"/>
    <w:rsid w:val="009104C4"/>
    <w:rsid w:val="00911663"/>
    <w:rsid w:val="00911784"/>
    <w:rsid w:val="0091199C"/>
    <w:rsid w:val="009121E7"/>
    <w:rsid w:val="00912C62"/>
    <w:rsid w:val="0091362E"/>
    <w:rsid w:val="009141CB"/>
    <w:rsid w:val="00914978"/>
    <w:rsid w:val="00914B54"/>
    <w:rsid w:val="00914FE9"/>
    <w:rsid w:val="0091582B"/>
    <w:rsid w:val="00915F5C"/>
    <w:rsid w:val="009167E8"/>
    <w:rsid w:val="00920FE1"/>
    <w:rsid w:val="009217C5"/>
    <w:rsid w:val="00921E08"/>
    <w:rsid w:val="0092207B"/>
    <w:rsid w:val="009222DB"/>
    <w:rsid w:val="009226DC"/>
    <w:rsid w:val="00922C8C"/>
    <w:rsid w:val="00924742"/>
    <w:rsid w:val="00925194"/>
    <w:rsid w:val="00925E4E"/>
    <w:rsid w:val="009268AB"/>
    <w:rsid w:val="00927E5A"/>
    <w:rsid w:val="00930DED"/>
    <w:rsid w:val="00931600"/>
    <w:rsid w:val="00931959"/>
    <w:rsid w:val="00931ACC"/>
    <w:rsid w:val="0093252C"/>
    <w:rsid w:val="00933086"/>
    <w:rsid w:val="0093343B"/>
    <w:rsid w:val="00933C56"/>
    <w:rsid w:val="00935370"/>
    <w:rsid w:val="0093550D"/>
    <w:rsid w:val="009356D6"/>
    <w:rsid w:val="00935A88"/>
    <w:rsid w:val="00936683"/>
    <w:rsid w:val="009376C4"/>
    <w:rsid w:val="0094006D"/>
    <w:rsid w:val="00944803"/>
    <w:rsid w:val="00944F0A"/>
    <w:rsid w:val="00945039"/>
    <w:rsid w:val="009465F2"/>
    <w:rsid w:val="00947EF0"/>
    <w:rsid w:val="009503F3"/>
    <w:rsid w:val="00950D29"/>
    <w:rsid w:val="009512DE"/>
    <w:rsid w:val="00951809"/>
    <w:rsid w:val="00951AC9"/>
    <w:rsid w:val="00951C7D"/>
    <w:rsid w:val="009539DB"/>
    <w:rsid w:val="00956926"/>
    <w:rsid w:val="00956F1C"/>
    <w:rsid w:val="00956FB6"/>
    <w:rsid w:val="00957400"/>
    <w:rsid w:val="00960176"/>
    <w:rsid w:val="00960879"/>
    <w:rsid w:val="00960E1C"/>
    <w:rsid w:val="0096144D"/>
    <w:rsid w:val="009614B5"/>
    <w:rsid w:val="00961587"/>
    <w:rsid w:val="00961D4F"/>
    <w:rsid w:val="009623EB"/>
    <w:rsid w:val="00962AB5"/>
    <w:rsid w:val="00963601"/>
    <w:rsid w:val="009644CD"/>
    <w:rsid w:val="0096534B"/>
    <w:rsid w:val="00967EDF"/>
    <w:rsid w:val="0097207D"/>
    <w:rsid w:val="00973C51"/>
    <w:rsid w:val="00973CC9"/>
    <w:rsid w:val="00974448"/>
    <w:rsid w:val="0097455F"/>
    <w:rsid w:val="009750C7"/>
    <w:rsid w:val="009751AD"/>
    <w:rsid w:val="00975B29"/>
    <w:rsid w:val="00976B06"/>
    <w:rsid w:val="00976FC2"/>
    <w:rsid w:val="0097702C"/>
    <w:rsid w:val="009770FE"/>
    <w:rsid w:val="00977DED"/>
    <w:rsid w:val="00980EE7"/>
    <w:rsid w:val="009814C1"/>
    <w:rsid w:val="009814E1"/>
    <w:rsid w:val="00981A18"/>
    <w:rsid w:val="00981C07"/>
    <w:rsid w:val="00982D0B"/>
    <w:rsid w:val="00983B18"/>
    <w:rsid w:val="00983FA0"/>
    <w:rsid w:val="009848EA"/>
    <w:rsid w:val="00984B61"/>
    <w:rsid w:val="009851E1"/>
    <w:rsid w:val="00985B85"/>
    <w:rsid w:val="00986BF4"/>
    <w:rsid w:val="0098740D"/>
    <w:rsid w:val="00987C1F"/>
    <w:rsid w:val="009910DB"/>
    <w:rsid w:val="00993C79"/>
    <w:rsid w:val="0099458F"/>
    <w:rsid w:val="0099476B"/>
    <w:rsid w:val="009949D1"/>
    <w:rsid w:val="0099676F"/>
    <w:rsid w:val="00997338"/>
    <w:rsid w:val="00997579"/>
    <w:rsid w:val="009A012E"/>
    <w:rsid w:val="009A0C1F"/>
    <w:rsid w:val="009A26D3"/>
    <w:rsid w:val="009A3275"/>
    <w:rsid w:val="009A3850"/>
    <w:rsid w:val="009A4350"/>
    <w:rsid w:val="009A7355"/>
    <w:rsid w:val="009A73D5"/>
    <w:rsid w:val="009B02A3"/>
    <w:rsid w:val="009B09DF"/>
    <w:rsid w:val="009B0DCB"/>
    <w:rsid w:val="009B1905"/>
    <w:rsid w:val="009B1FB8"/>
    <w:rsid w:val="009B2060"/>
    <w:rsid w:val="009B250D"/>
    <w:rsid w:val="009B34E5"/>
    <w:rsid w:val="009B4A7A"/>
    <w:rsid w:val="009B5018"/>
    <w:rsid w:val="009B5986"/>
    <w:rsid w:val="009B5A45"/>
    <w:rsid w:val="009B71DD"/>
    <w:rsid w:val="009B7888"/>
    <w:rsid w:val="009C0249"/>
    <w:rsid w:val="009C0651"/>
    <w:rsid w:val="009C0C9C"/>
    <w:rsid w:val="009C103B"/>
    <w:rsid w:val="009C17C2"/>
    <w:rsid w:val="009C1837"/>
    <w:rsid w:val="009C1A14"/>
    <w:rsid w:val="009C1ECB"/>
    <w:rsid w:val="009C294F"/>
    <w:rsid w:val="009C2D8E"/>
    <w:rsid w:val="009C357D"/>
    <w:rsid w:val="009C3CFC"/>
    <w:rsid w:val="009C421E"/>
    <w:rsid w:val="009C447D"/>
    <w:rsid w:val="009C4BE7"/>
    <w:rsid w:val="009C4EDA"/>
    <w:rsid w:val="009C518C"/>
    <w:rsid w:val="009C63EA"/>
    <w:rsid w:val="009C63EB"/>
    <w:rsid w:val="009C6F9B"/>
    <w:rsid w:val="009C75A6"/>
    <w:rsid w:val="009C7A3D"/>
    <w:rsid w:val="009D0835"/>
    <w:rsid w:val="009D196A"/>
    <w:rsid w:val="009D1D6B"/>
    <w:rsid w:val="009D22CA"/>
    <w:rsid w:val="009D29BA"/>
    <w:rsid w:val="009D36C5"/>
    <w:rsid w:val="009D3E8A"/>
    <w:rsid w:val="009D4823"/>
    <w:rsid w:val="009D49D4"/>
    <w:rsid w:val="009D5386"/>
    <w:rsid w:val="009D5637"/>
    <w:rsid w:val="009D71FD"/>
    <w:rsid w:val="009D7925"/>
    <w:rsid w:val="009D7A05"/>
    <w:rsid w:val="009D7C64"/>
    <w:rsid w:val="009D7E9E"/>
    <w:rsid w:val="009E0412"/>
    <w:rsid w:val="009E09C3"/>
    <w:rsid w:val="009E0C0C"/>
    <w:rsid w:val="009E0E9E"/>
    <w:rsid w:val="009E1E14"/>
    <w:rsid w:val="009E2780"/>
    <w:rsid w:val="009F0CBE"/>
    <w:rsid w:val="009F1721"/>
    <w:rsid w:val="009F1F34"/>
    <w:rsid w:val="009F2171"/>
    <w:rsid w:val="009F2A80"/>
    <w:rsid w:val="009F3FFD"/>
    <w:rsid w:val="009F45DE"/>
    <w:rsid w:val="009F6532"/>
    <w:rsid w:val="009F6D7C"/>
    <w:rsid w:val="009F7679"/>
    <w:rsid w:val="009F7CAD"/>
    <w:rsid w:val="00A00A68"/>
    <w:rsid w:val="00A00AE4"/>
    <w:rsid w:val="00A0204E"/>
    <w:rsid w:val="00A04322"/>
    <w:rsid w:val="00A050BD"/>
    <w:rsid w:val="00A06E5A"/>
    <w:rsid w:val="00A0708C"/>
    <w:rsid w:val="00A07227"/>
    <w:rsid w:val="00A0751B"/>
    <w:rsid w:val="00A079C7"/>
    <w:rsid w:val="00A11C09"/>
    <w:rsid w:val="00A11D52"/>
    <w:rsid w:val="00A12127"/>
    <w:rsid w:val="00A1278C"/>
    <w:rsid w:val="00A133B5"/>
    <w:rsid w:val="00A13668"/>
    <w:rsid w:val="00A1394A"/>
    <w:rsid w:val="00A13A11"/>
    <w:rsid w:val="00A1407C"/>
    <w:rsid w:val="00A14EB8"/>
    <w:rsid w:val="00A17318"/>
    <w:rsid w:val="00A1743E"/>
    <w:rsid w:val="00A20699"/>
    <w:rsid w:val="00A21968"/>
    <w:rsid w:val="00A21D03"/>
    <w:rsid w:val="00A22155"/>
    <w:rsid w:val="00A221A7"/>
    <w:rsid w:val="00A23BD0"/>
    <w:rsid w:val="00A24066"/>
    <w:rsid w:val="00A2502E"/>
    <w:rsid w:val="00A25073"/>
    <w:rsid w:val="00A2543D"/>
    <w:rsid w:val="00A26C45"/>
    <w:rsid w:val="00A3021B"/>
    <w:rsid w:val="00A323EB"/>
    <w:rsid w:val="00A32839"/>
    <w:rsid w:val="00A33794"/>
    <w:rsid w:val="00A33F68"/>
    <w:rsid w:val="00A34764"/>
    <w:rsid w:val="00A34F88"/>
    <w:rsid w:val="00A35DB7"/>
    <w:rsid w:val="00A365B9"/>
    <w:rsid w:val="00A37C63"/>
    <w:rsid w:val="00A4047A"/>
    <w:rsid w:val="00A40EEA"/>
    <w:rsid w:val="00A41531"/>
    <w:rsid w:val="00A42283"/>
    <w:rsid w:val="00A4228B"/>
    <w:rsid w:val="00A43630"/>
    <w:rsid w:val="00A45421"/>
    <w:rsid w:val="00A45E5B"/>
    <w:rsid w:val="00A470E1"/>
    <w:rsid w:val="00A50380"/>
    <w:rsid w:val="00A50557"/>
    <w:rsid w:val="00A50DC8"/>
    <w:rsid w:val="00A50F13"/>
    <w:rsid w:val="00A537D0"/>
    <w:rsid w:val="00A57241"/>
    <w:rsid w:val="00A57412"/>
    <w:rsid w:val="00A60100"/>
    <w:rsid w:val="00A60220"/>
    <w:rsid w:val="00A60273"/>
    <w:rsid w:val="00A624D2"/>
    <w:rsid w:val="00A63C81"/>
    <w:rsid w:val="00A649C7"/>
    <w:rsid w:val="00A64A18"/>
    <w:rsid w:val="00A64DD5"/>
    <w:rsid w:val="00A6532A"/>
    <w:rsid w:val="00A65D0E"/>
    <w:rsid w:val="00A66A54"/>
    <w:rsid w:val="00A675EB"/>
    <w:rsid w:val="00A677BA"/>
    <w:rsid w:val="00A67E64"/>
    <w:rsid w:val="00A67EDC"/>
    <w:rsid w:val="00A70E2A"/>
    <w:rsid w:val="00A70EC5"/>
    <w:rsid w:val="00A7182F"/>
    <w:rsid w:val="00A71A4B"/>
    <w:rsid w:val="00A73611"/>
    <w:rsid w:val="00A7369F"/>
    <w:rsid w:val="00A74255"/>
    <w:rsid w:val="00A74306"/>
    <w:rsid w:val="00A74CA8"/>
    <w:rsid w:val="00A7507B"/>
    <w:rsid w:val="00A75A26"/>
    <w:rsid w:val="00A76A5B"/>
    <w:rsid w:val="00A76CDC"/>
    <w:rsid w:val="00A77B29"/>
    <w:rsid w:val="00A80E1E"/>
    <w:rsid w:val="00A813F0"/>
    <w:rsid w:val="00A8232F"/>
    <w:rsid w:val="00A82402"/>
    <w:rsid w:val="00A82556"/>
    <w:rsid w:val="00A828D0"/>
    <w:rsid w:val="00A82EC1"/>
    <w:rsid w:val="00A838E9"/>
    <w:rsid w:val="00A84EE7"/>
    <w:rsid w:val="00A855D7"/>
    <w:rsid w:val="00A85C16"/>
    <w:rsid w:val="00A85D11"/>
    <w:rsid w:val="00A90031"/>
    <w:rsid w:val="00A900DF"/>
    <w:rsid w:val="00A90345"/>
    <w:rsid w:val="00A9156D"/>
    <w:rsid w:val="00A917CF"/>
    <w:rsid w:val="00A91D26"/>
    <w:rsid w:val="00A91DBC"/>
    <w:rsid w:val="00A91DE5"/>
    <w:rsid w:val="00A922FF"/>
    <w:rsid w:val="00A923FB"/>
    <w:rsid w:val="00A92BB0"/>
    <w:rsid w:val="00A94178"/>
    <w:rsid w:val="00A946EA"/>
    <w:rsid w:val="00A95B33"/>
    <w:rsid w:val="00A96A1D"/>
    <w:rsid w:val="00A97888"/>
    <w:rsid w:val="00AA040A"/>
    <w:rsid w:val="00AA0467"/>
    <w:rsid w:val="00AA108D"/>
    <w:rsid w:val="00AA1B1D"/>
    <w:rsid w:val="00AA1F30"/>
    <w:rsid w:val="00AA2143"/>
    <w:rsid w:val="00AA2381"/>
    <w:rsid w:val="00AA23E3"/>
    <w:rsid w:val="00AA277E"/>
    <w:rsid w:val="00AA2B7A"/>
    <w:rsid w:val="00AA35C7"/>
    <w:rsid w:val="00AA35D7"/>
    <w:rsid w:val="00AA4BA3"/>
    <w:rsid w:val="00AA5BB4"/>
    <w:rsid w:val="00AA6101"/>
    <w:rsid w:val="00AA795D"/>
    <w:rsid w:val="00AB0C5C"/>
    <w:rsid w:val="00AB1165"/>
    <w:rsid w:val="00AB148B"/>
    <w:rsid w:val="00AB22B9"/>
    <w:rsid w:val="00AB37AE"/>
    <w:rsid w:val="00AB65B0"/>
    <w:rsid w:val="00AB6DE8"/>
    <w:rsid w:val="00AC06E2"/>
    <w:rsid w:val="00AC0DC9"/>
    <w:rsid w:val="00AC27AA"/>
    <w:rsid w:val="00AC3BC8"/>
    <w:rsid w:val="00AC4071"/>
    <w:rsid w:val="00AC4978"/>
    <w:rsid w:val="00AC5255"/>
    <w:rsid w:val="00AC5737"/>
    <w:rsid w:val="00AC57B7"/>
    <w:rsid w:val="00AC58E1"/>
    <w:rsid w:val="00AC5A68"/>
    <w:rsid w:val="00AC6330"/>
    <w:rsid w:val="00AD01AD"/>
    <w:rsid w:val="00AD0660"/>
    <w:rsid w:val="00AD0742"/>
    <w:rsid w:val="00AD0B98"/>
    <w:rsid w:val="00AD0E14"/>
    <w:rsid w:val="00AD1FF0"/>
    <w:rsid w:val="00AD22B9"/>
    <w:rsid w:val="00AD3945"/>
    <w:rsid w:val="00AD4040"/>
    <w:rsid w:val="00AD43DB"/>
    <w:rsid w:val="00AD5231"/>
    <w:rsid w:val="00AD636F"/>
    <w:rsid w:val="00AD6BD2"/>
    <w:rsid w:val="00AD6DA1"/>
    <w:rsid w:val="00AD7621"/>
    <w:rsid w:val="00AD7DB6"/>
    <w:rsid w:val="00AE0143"/>
    <w:rsid w:val="00AE0AFE"/>
    <w:rsid w:val="00AE1487"/>
    <w:rsid w:val="00AE1771"/>
    <w:rsid w:val="00AE1DF4"/>
    <w:rsid w:val="00AE247C"/>
    <w:rsid w:val="00AE278F"/>
    <w:rsid w:val="00AE3384"/>
    <w:rsid w:val="00AE3641"/>
    <w:rsid w:val="00AE42FA"/>
    <w:rsid w:val="00AE46F9"/>
    <w:rsid w:val="00AE523D"/>
    <w:rsid w:val="00AE5C2B"/>
    <w:rsid w:val="00AE5E6A"/>
    <w:rsid w:val="00AE62EC"/>
    <w:rsid w:val="00AE670A"/>
    <w:rsid w:val="00AE7397"/>
    <w:rsid w:val="00AF0436"/>
    <w:rsid w:val="00AF11FA"/>
    <w:rsid w:val="00AF1431"/>
    <w:rsid w:val="00AF1633"/>
    <w:rsid w:val="00AF184D"/>
    <w:rsid w:val="00AF2911"/>
    <w:rsid w:val="00AF2D33"/>
    <w:rsid w:val="00AF4AB5"/>
    <w:rsid w:val="00AF56A9"/>
    <w:rsid w:val="00AF5C10"/>
    <w:rsid w:val="00AF5E4E"/>
    <w:rsid w:val="00AF6D57"/>
    <w:rsid w:val="00AF6E55"/>
    <w:rsid w:val="00AF79C9"/>
    <w:rsid w:val="00AF7EC9"/>
    <w:rsid w:val="00AF7F1D"/>
    <w:rsid w:val="00B0097B"/>
    <w:rsid w:val="00B0357C"/>
    <w:rsid w:val="00B038D9"/>
    <w:rsid w:val="00B03B42"/>
    <w:rsid w:val="00B03E31"/>
    <w:rsid w:val="00B04013"/>
    <w:rsid w:val="00B04401"/>
    <w:rsid w:val="00B04F60"/>
    <w:rsid w:val="00B05729"/>
    <w:rsid w:val="00B06AE9"/>
    <w:rsid w:val="00B06D54"/>
    <w:rsid w:val="00B0713E"/>
    <w:rsid w:val="00B105A5"/>
    <w:rsid w:val="00B107C4"/>
    <w:rsid w:val="00B10EEB"/>
    <w:rsid w:val="00B1248E"/>
    <w:rsid w:val="00B126DF"/>
    <w:rsid w:val="00B14340"/>
    <w:rsid w:val="00B17032"/>
    <w:rsid w:val="00B17536"/>
    <w:rsid w:val="00B20DC5"/>
    <w:rsid w:val="00B20E97"/>
    <w:rsid w:val="00B229F8"/>
    <w:rsid w:val="00B23821"/>
    <w:rsid w:val="00B23967"/>
    <w:rsid w:val="00B23BFF"/>
    <w:rsid w:val="00B24917"/>
    <w:rsid w:val="00B257FE"/>
    <w:rsid w:val="00B25993"/>
    <w:rsid w:val="00B30C58"/>
    <w:rsid w:val="00B33BB1"/>
    <w:rsid w:val="00B34888"/>
    <w:rsid w:val="00B34A54"/>
    <w:rsid w:val="00B35528"/>
    <w:rsid w:val="00B35D8E"/>
    <w:rsid w:val="00B36BFF"/>
    <w:rsid w:val="00B3723E"/>
    <w:rsid w:val="00B373E8"/>
    <w:rsid w:val="00B40FD7"/>
    <w:rsid w:val="00B41353"/>
    <w:rsid w:val="00B414D0"/>
    <w:rsid w:val="00B41B6D"/>
    <w:rsid w:val="00B42CA5"/>
    <w:rsid w:val="00B42F23"/>
    <w:rsid w:val="00B4314C"/>
    <w:rsid w:val="00B432A2"/>
    <w:rsid w:val="00B442A0"/>
    <w:rsid w:val="00B44898"/>
    <w:rsid w:val="00B452D4"/>
    <w:rsid w:val="00B4562D"/>
    <w:rsid w:val="00B45AF0"/>
    <w:rsid w:val="00B45B7F"/>
    <w:rsid w:val="00B46382"/>
    <w:rsid w:val="00B4691C"/>
    <w:rsid w:val="00B46AA9"/>
    <w:rsid w:val="00B50BA0"/>
    <w:rsid w:val="00B51E11"/>
    <w:rsid w:val="00B52824"/>
    <w:rsid w:val="00B545FD"/>
    <w:rsid w:val="00B549A4"/>
    <w:rsid w:val="00B54A16"/>
    <w:rsid w:val="00B54BE8"/>
    <w:rsid w:val="00B54F30"/>
    <w:rsid w:val="00B55267"/>
    <w:rsid w:val="00B55904"/>
    <w:rsid w:val="00B577E4"/>
    <w:rsid w:val="00B5798D"/>
    <w:rsid w:val="00B604CA"/>
    <w:rsid w:val="00B604F0"/>
    <w:rsid w:val="00B60F68"/>
    <w:rsid w:val="00B60F85"/>
    <w:rsid w:val="00B611A0"/>
    <w:rsid w:val="00B61341"/>
    <w:rsid w:val="00B61455"/>
    <w:rsid w:val="00B62596"/>
    <w:rsid w:val="00B6298C"/>
    <w:rsid w:val="00B62A45"/>
    <w:rsid w:val="00B63B63"/>
    <w:rsid w:val="00B63E15"/>
    <w:rsid w:val="00B64E70"/>
    <w:rsid w:val="00B65619"/>
    <w:rsid w:val="00B67BE9"/>
    <w:rsid w:val="00B70532"/>
    <w:rsid w:val="00B71105"/>
    <w:rsid w:val="00B725EC"/>
    <w:rsid w:val="00B72AEB"/>
    <w:rsid w:val="00B739C4"/>
    <w:rsid w:val="00B73F25"/>
    <w:rsid w:val="00B741B2"/>
    <w:rsid w:val="00B744A2"/>
    <w:rsid w:val="00B74CCB"/>
    <w:rsid w:val="00B74F96"/>
    <w:rsid w:val="00B74FE8"/>
    <w:rsid w:val="00B75047"/>
    <w:rsid w:val="00B75E1A"/>
    <w:rsid w:val="00B768AB"/>
    <w:rsid w:val="00B7773B"/>
    <w:rsid w:val="00B77843"/>
    <w:rsid w:val="00B77FAA"/>
    <w:rsid w:val="00B80413"/>
    <w:rsid w:val="00B8050A"/>
    <w:rsid w:val="00B8151D"/>
    <w:rsid w:val="00B81D08"/>
    <w:rsid w:val="00B834C7"/>
    <w:rsid w:val="00B83D45"/>
    <w:rsid w:val="00B84363"/>
    <w:rsid w:val="00B8621B"/>
    <w:rsid w:val="00B864DE"/>
    <w:rsid w:val="00B868E3"/>
    <w:rsid w:val="00B86D85"/>
    <w:rsid w:val="00B86E1A"/>
    <w:rsid w:val="00B91D73"/>
    <w:rsid w:val="00B92F81"/>
    <w:rsid w:val="00B9313F"/>
    <w:rsid w:val="00B947A5"/>
    <w:rsid w:val="00B9563E"/>
    <w:rsid w:val="00B95D31"/>
    <w:rsid w:val="00B9626B"/>
    <w:rsid w:val="00BA12B1"/>
    <w:rsid w:val="00BA1611"/>
    <w:rsid w:val="00BA1D5E"/>
    <w:rsid w:val="00BA23AC"/>
    <w:rsid w:val="00BA23E6"/>
    <w:rsid w:val="00BA2F17"/>
    <w:rsid w:val="00BA3F13"/>
    <w:rsid w:val="00BA514D"/>
    <w:rsid w:val="00BA6B74"/>
    <w:rsid w:val="00BA7E4E"/>
    <w:rsid w:val="00BB02E1"/>
    <w:rsid w:val="00BB181D"/>
    <w:rsid w:val="00BB1A73"/>
    <w:rsid w:val="00BB1DD5"/>
    <w:rsid w:val="00BB1E16"/>
    <w:rsid w:val="00BB37BE"/>
    <w:rsid w:val="00BB488D"/>
    <w:rsid w:val="00BB559A"/>
    <w:rsid w:val="00BB69CF"/>
    <w:rsid w:val="00BB711D"/>
    <w:rsid w:val="00BB7DBE"/>
    <w:rsid w:val="00BB7E44"/>
    <w:rsid w:val="00BC0116"/>
    <w:rsid w:val="00BC11EC"/>
    <w:rsid w:val="00BC2269"/>
    <w:rsid w:val="00BC33FC"/>
    <w:rsid w:val="00BC4F6A"/>
    <w:rsid w:val="00BC509B"/>
    <w:rsid w:val="00BC64AE"/>
    <w:rsid w:val="00BC6BDB"/>
    <w:rsid w:val="00BC7EB4"/>
    <w:rsid w:val="00BD0ABB"/>
    <w:rsid w:val="00BD0EDA"/>
    <w:rsid w:val="00BD309B"/>
    <w:rsid w:val="00BD49BC"/>
    <w:rsid w:val="00BD4A08"/>
    <w:rsid w:val="00BD5700"/>
    <w:rsid w:val="00BD691D"/>
    <w:rsid w:val="00BD709C"/>
    <w:rsid w:val="00BD741E"/>
    <w:rsid w:val="00BD7F9B"/>
    <w:rsid w:val="00BE0493"/>
    <w:rsid w:val="00BE0544"/>
    <w:rsid w:val="00BE0849"/>
    <w:rsid w:val="00BE143A"/>
    <w:rsid w:val="00BE1FB9"/>
    <w:rsid w:val="00BE2799"/>
    <w:rsid w:val="00BE28FC"/>
    <w:rsid w:val="00BE3F99"/>
    <w:rsid w:val="00BE4745"/>
    <w:rsid w:val="00BE49C7"/>
    <w:rsid w:val="00BE6464"/>
    <w:rsid w:val="00BE6D77"/>
    <w:rsid w:val="00BE70CE"/>
    <w:rsid w:val="00BF02A7"/>
    <w:rsid w:val="00BF1092"/>
    <w:rsid w:val="00BF344B"/>
    <w:rsid w:val="00BF41AB"/>
    <w:rsid w:val="00BF4B02"/>
    <w:rsid w:val="00BF4CB2"/>
    <w:rsid w:val="00BF5A7B"/>
    <w:rsid w:val="00BF5BEA"/>
    <w:rsid w:val="00BF70F0"/>
    <w:rsid w:val="00BF7A5D"/>
    <w:rsid w:val="00BF7BAC"/>
    <w:rsid w:val="00C00EEA"/>
    <w:rsid w:val="00C010F8"/>
    <w:rsid w:val="00C01CAD"/>
    <w:rsid w:val="00C0247F"/>
    <w:rsid w:val="00C02C38"/>
    <w:rsid w:val="00C03FB9"/>
    <w:rsid w:val="00C044AA"/>
    <w:rsid w:val="00C04660"/>
    <w:rsid w:val="00C050D9"/>
    <w:rsid w:val="00C0585F"/>
    <w:rsid w:val="00C061BD"/>
    <w:rsid w:val="00C062F8"/>
    <w:rsid w:val="00C07472"/>
    <w:rsid w:val="00C07C8E"/>
    <w:rsid w:val="00C1063D"/>
    <w:rsid w:val="00C115FA"/>
    <w:rsid w:val="00C1329B"/>
    <w:rsid w:val="00C13399"/>
    <w:rsid w:val="00C143D4"/>
    <w:rsid w:val="00C1455C"/>
    <w:rsid w:val="00C14EB0"/>
    <w:rsid w:val="00C169C4"/>
    <w:rsid w:val="00C16B46"/>
    <w:rsid w:val="00C16FE3"/>
    <w:rsid w:val="00C1740D"/>
    <w:rsid w:val="00C17553"/>
    <w:rsid w:val="00C20175"/>
    <w:rsid w:val="00C214FE"/>
    <w:rsid w:val="00C21AE1"/>
    <w:rsid w:val="00C21EAA"/>
    <w:rsid w:val="00C2233F"/>
    <w:rsid w:val="00C23BD7"/>
    <w:rsid w:val="00C24C63"/>
    <w:rsid w:val="00C257C0"/>
    <w:rsid w:val="00C268EB"/>
    <w:rsid w:val="00C26DCF"/>
    <w:rsid w:val="00C27D3E"/>
    <w:rsid w:val="00C3159F"/>
    <w:rsid w:val="00C318C5"/>
    <w:rsid w:val="00C31AB3"/>
    <w:rsid w:val="00C321DD"/>
    <w:rsid w:val="00C32E2A"/>
    <w:rsid w:val="00C332A4"/>
    <w:rsid w:val="00C33324"/>
    <w:rsid w:val="00C337BF"/>
    <w:rsid w:val="00C34080"/>
    <w:rsid w:val="00C3471E"/>
    <w:rsid w:val="00C34859"/>
    <w:rsid w:val="00C35097"/>
    <w:rsid w:val="00C351AF"/>
    <w:rsid w:val="00C37AFB"/>
    <w:rsid w:val="00C40A89"/>
    <w:rsid w:val="00C41911"/>
    <w:rsid w:val="00C41D0F"/>
    <w:rsid w:val="00C41DAC"/>
    <w:rsid w:val="00C42352"/>
    <w:rsid w:val="00C42758"/>
    <w:rsid w:val="00C42E5D"/>
    <w:rsid w:val="00C44009"/>
    <w:rsid w:val="00C44241"/>
    <w:rsid w:val="00C44F79"/>
    <w:rsid w:val="00C4550B"/>
    <w:rsid w:val="00C4598F"/>
    <w:rsid w:val="00C459EE"/>
    <w:rsid w:val="00C461BD"/>
    <w:rsid w:val="00C468B6"/>
    <w:rsid w:val="00C46A29"/>
    <w:rsid w:val="00C46B0E"/>
    <w:rsid w:val="00C46D3E"/>
    <w:rsid w:val="00C47B50"/>
    <w:rsid w:val="00C51942"/>
    <w:rsid w:val="00C54857"/>
    <w:rsid w:val="00C55533"/>
    <w:rsid w:val="00C557D1"/>
    <w:rsid w:val="00C55F06"/>
    <w:rsid w:val="00C60517"/>
    <w:rsid w:val="00C60B95"/>
    <w:rsid w:val="00C61166"/>
    <w:rsid w:val="00C61720"/>
    <w:rsid w:val="00C62202"/>
    <w:rsid w:val="00C6231F"/>
    <w:rsid w:val="00C631BD"/>
    <w:rsid w:val="00C63E15"/>
    <w:rsid w:val="00C65189"/>
    <w:rsid w:val="00C6604F"/>
    <w:rsid w:val="00C6626E"/>
    <w:rsid w:val="00C66FE1"/>
    <w:rsid w:val="00C67FB4"/>
    <w:rsid w:val="00C7138B"/>
    <w:rsid w:val="00C71798"/>
    <w:rsid w:val="00C71D0B"/>
    <w:rsid w:val="00C72437"/>
    <w:rsid w:val="00C7402B"/>
    <w:rsid w:val="00C74031"/>
    <w:rsid w:val="00C740DD"/>
    <w:rsid w:val="00C74521"/>
    <w:rsid w:val="00C74EC2"/>
    <w:rsid w:val="00C7546E"/>
    <w:rsid w:val="00C759B6"/>
    <w:rsid w:val="00C77D70"/>
    <w:rsid w:val="00C805E8"/>
    <w:rsid w:val="00C81EAD"/>
    <w:rsid w:val="00C82A84"/>
    <w:rsid w:val="00C82D1B"/>
    <w:rsid w:val="00C869E6"/>
    <w:rsid w:val="00C872B9"/>
    <w:rsid w:val="00C879AC"/>
    <w:rsid w:val="00C9043C"/>
    <w:rsid w:val="00C90507"/>
    <w:rsid w:val="00C91147"/>
    <w:rsid w:val="00C922E1"/>
    <w:rsid w:val="00C92499"/>
    <w:rsid w:val="00C944DA"/>
    <w:rsid w:val="00C9486D"/>
    <w:rsid w:val="00C95123"/>
    <w:rsid w:val="00C954A9"/>
    <w:rsid w:val="00C957AF"/>
    <w:rsid w:val="00C962AF"/>
    <w:rsid w:val="00C96F30"/>
    <w:rsid w:val="00CA007E"/>
    <w:rsid w:val="00CA1372"/>
    <w:rsid w:val="00CA142C"/>
    <w:rsid w:val="00CA1601"/>
    <w:rsid w:val="00CA1EBD"/>
    <w:rsid w:val="00CA2078"/>
    <w:rsid w:val="00CA2802"/>
    <w:rsid w:val="00CA2CC1"/>
    <w:rsid w:val="00CA4312"/>
    <w:rsid w:val="00CA4D79"/>
    <w:rsid w:val="00CA539D"/>
    <w:rsid w:val="00CA57F7"/>
    <w:rsid w:val="00CA595A"/>
    <w:rsid w:val="00CA5A26"/>
    <w:rsid w:val="00CA5FFA"/>
    <w:rsid w:val="00CA65F7"/>
    <w:rsid w:val="00CA6A8B"/>
    <w:rsid w:val="00CA72E1"/>
    <w:rsid w:val="00CA7820"/>
    <w:rsid w:val="00CB0739"/>
    <w:rsid w:val="00CB0946"/>
    <w:rsid w:val="00CB1974"/>
    <w:rsid w:val="00CB2852"/>
    <w:rsid w:val="00CB2C6A"/>
    <w:rsid w:val="00CB3A88"/>
    <w:rsid w:val="00CB4C79"/>
    <w:rsid w:val="00CB4FD5"/>
    <w:rsid w:val="00CB5B9C"/>
    <w:rsid w:val="00CB6466"/>
    <w:rsid w:val="00CB70FE"/>
    <w:rsid w:val="00CB762A"/>
    <w:rsid w:val="00CC0001"/>
    <w:rsid w:val="00CC14F2"/>
    <w:rsid w:val="00CC333B"/>
    <w:rsid w:val="00CC395D"/>
    <w:rsid w:val="00CC3B26"/>
    <w:rsid w:val="00CC5B99"/>
    <w:rsid w:val="00CC61F1"/>
    <w:rsid w:val="00CC6F3D"/>
    <w:rsid w:val="00CC7CF1"/>
    <w:rsid w:val="00CD0520"/>
    <w:rsid w:val="00CD2934"/>
    <w:rsid w:val="00CD346A"/>
    <w:rsid w:val="00CD3D1F"/>
    <w:rsid w:val="00CD62F6"/>
    <w:rsid w:val="00CD7682"/>
    <w:rsid w:val="00CD7840"/>
    <w:rsid w:val="00CD7C92"/>
    <w:rsid w:val="00CE08FC"/>
    <w:rsid w:val="00CE2FB3"/>
    <w:rsid w:val="00CE353E"/>
    <w:rsid w:val="00CE389B"/>
    <w:rsid w:val="00CE3AB1"/>
    <w:rsid w:val="00CE552F"/>
    <w:rsid w:val="00CE5D0C"/>
    <w:rsid w:val="00CE68F5"/>
    <w:rsid w:val="00CE6D03"/>
    <w:rsid w:val="00CE7286"/>
    <w:rsid w:val="00CF09D3"/>
    <w:rsid w:val="00CF0AEA"/>
    <w:rsid w:val="00CF0D24"/>
    <w:rsid w:val="00CF0DB7"/>
    <w:rsid w:val="00CF12D8"/>
    <w:rsid w:val="00CF135C"/>
    <w:rsid w:val="00CF2622"/>
    <w:rsid w:val="00CF31E1"/>
    <w:rsid w:val="00CF3612"/>
    <w:rsid w:val="00CF45A1"/>
    <w:rsid w:val="00CF4F52"/>
    <w:rsid w:val="00CF5FC5"/>
    <w:rsid w:val="00CF6A03"/>
    <w:rsid w:val="00CF6DEA"/>
    <w:rsid w:val="00CF73FB"/>
    <w:rsid w:val="00D00B67"/>
    <w:rsid w:val="00D01084"/>
    <w:rsid w:val="00D026EF"/>
    <w:rsid w:val="00D029F1"/>
    <w:rsid w:val="00D02B2D"/>
    <w:rsid w:val="00D02B97"/>
    <w:rsid w:val="00D02D31"/>
    <w:rsid w:val="00D02F94"/>
    <w:rsid w:val="00D04328"/>
    <w:rsid w:val="00D04570"/>
    <w:rsid w:val="00D04640"/>
    <w:rsid w:val="00D06455"/>
    <w:rsid w:val="00D07331"/>
    <w:rsid w:val="00D07EFE"/>
    <w:rsid w:val="00D11E8B"/>
    <w:rsid w:val="00D12381"/>
    <w:rsid w:val="00D13A19"/>
    <w:rsid w:val="00D16629"/>
    <w:rsid w:val="00D1720C"/>
    <w:rsid w:val="00D216AA"/>
    <w:rsid w:val="00D21C8C"/>
    <w:rsid w:val="00D224B9"/>
    <w:rsid w:val="00D22BDE"/>
    <w:rsid w:val="00D23812"/>
    <w:rsid w:val="00D247A6"/>
    <w:rsid w:val="00D24EBD"/>
    <w:rsid w:val="00D25591"/>
    <w:rsid w:val="00D2599F"/>
    <w:rsid w:val="00D25D4F"/>
    <w:rsid w:val="00D263E5"/>
    <w:rsid w:val="00D269ED"/>
    <w:rsid w:val="00D26A90"/>
    <w:rsid w:val="00D26E3D"/>
    <w:rsid w:val="00D2716C"/>
    <w:rsid w:val="00D272AC"/>
    <w:rsid w:val="00D27787"/>
    <w:rsid w:val="00D31078"/>
    <w:rsid w:val="00D31651"/>
    <w:rsid w:val="00D324A1"/>
    <w:rsid w:val="00D3254F"/>
    <w:rsid w:val="00D34BD4"/>
    <w:rsid w:val="00D34D29"/>
    <w:rsid w:val="00D351CE"/>
    <w:rsid w:val="00D35FF6"/>
    <w:rsid w:val="00D36496"/>
    <w:rsid w:val="00D373CC"/>
    <w:rsid w:val="00D41089"/>
    <w:rsid w:val="00D41CB3"/>
    <w:rsid w:val="00D421C4"/>
    <w:rsid w:val="00D42736"/>
    <w:rsid w:val="00D43BC8"/>
    <w:rsid w:val="00D440B6"/>
    <w:rsid w:val="00D44698"/>
    <w:rsid w:val="00D4494F"/>
    <w:rsid w:val="00D4497F"/>
    <w:rsid w:val="00D449E3"/>
    <w:rsid w:val="00D46BA8"/>
    <w:rsid w:val="00D47537"/>
    <w:rsid w:val="00D477C5"/>
    <w:rsid w:val="00D4792F"/>
    <w:rsid w:val="00D50307"/>
    <w:rsid w:val="00D50C80"/>
    <w:rsid w:val="00D510BD"/>
    <w:rsid w:val="00D51A81"/>
    <w:rsid w:val="00D523DB"/>
    <w:rsid w:val="00D524B5"/>
    <w:rsid w:val="00D5293D"/>
    <w:rsid w:val="00D5307A"/>
    <w:rsid w:val="00D53DB6"/>
    <w:rsid w:val="00D542DA"/>
    <w:rsid w:val="00D551FF"/>
    <w:rsid w:val="00D55486"/>
    <w:rsid w:val="00D56A92"/>
    <w:rsid w:val="00D6089C"/>
    <w:rsid w:val="00D62CA1"/>
    <w:rsid w:val="00D63C89"/>
    <w:rsid w:val="00D64926"/>
    <w:rsid w:val="00D64E42"/>
    <w:rsid w:val="00D65531"/>
    <w:rsid w:val="00D65795"/>
    <w:rsid w:val="00D678A7"/>
    <w:rsid w:val="00D7117D"/>
    <w:rsid w:val="00D71DEC"/>
    <w:rsid w:val="00D72EAF"/>
    <w:rsid w:val="00D737D1"/>
    <w:rsid w:val="00D748C7"/>
    <w:rsid w:val="00D7531B"/>
    <w:rsid w:val="00D754FF"/>
    <w:rsid w:val="00D75935"/>
    <w:rsid w:val="00D7600F"/>
    <w:rsid w:val="00D76670"/>
    <w:rsid w:val="00D76DBD"/>
    <w:rsid w:val="00D76EDA"/>
    <w:rsid w:val="00D7762A"/>
    <w:rsid w:val="00D802B8"/>
    <w:rsid w:val="00D8243D"/>
    <w:rsid w:val="00D836E5"/>
    <w:rsid w:val="00D84F8F"/>
    <w:rsid w:val="00D851F3"/>
    <w:rsid w:val="00D855EC"/>
    <w:rsid w:val="00D85C1E"/>
    <w:rsid w:val="00D85C65"/>
    <w:rsid w:val="00D87283"/>
    <w:rsid w:val="00D8775A"/>
    <w:rsid w:val="00D87E69"/>
    <w:rsid w:val="00D9067A"/>
    <w:rsid w:val="00D90A17"/>
    <w:rsid w:val="00D91DEF"/>
    <w:rsid w:val="00D92138"/>
    <w:rsid w:val="00D925FB"/>
    <w:rsid w:val="00D928F0"/>
    <w:rsid w:val="00D92A90"/>
    <w:rsid w:val="00D93225"/>
    <w:rsid w:val="00D93B3A"/>
    <w:rsid w:val="00D9403F"/>
    <w:rsid w:val="00D9454D"/>
    <w:rsid w:val="00D94F07"/>
    <w:rsid w:val="00D96014"/>
    <w:rsid w:val="00D973FF"/>
    <w:rsid w:val="00D97CD8"/>
    <w:rsid w:val="00D97F24"/>
    <w:rsid w:val="00DA152C"/>
    <w:rsid w:val="00DA1E29"/>
    <w:rsid w:val="00DA3176"/>
    <w:rsid w:val="00DA3326"/>
    <w:rsid w:val="00DA4D0D"/>
    <w:rsid w:val="00DA6073"/>
    <w:rsid w:val="00DA6C0F"/>
    <w:rsid w:val="00DA6ED2"/>
    <w:rsid w:val="00DA7164"/>
    <w:rsid w:val="00DB0B31"/>
    <w:rsid w:val="00DB1330"/>
    <w:rsid w:val="00DB13AB"/>
    <w:rsid w:val="00DB14B6"/>
    <w:rsid w:val="00DB19B9"/>
    <w:rsid w:val="00DB1B89"/>
    <w:rsid w:val="00DB2651"/>
    <w:rsid w:val="00DB3AD5"/>
    <w:rsid w:val="00DB3DC6"/>
    <w:rsid w:val="00DB40CB"/>
    <w:rsid w:val="00DB4AB3"/>
    <w:rsid w:val="00DB55E4"/>
    <w:rsid w:val="00DB5D81"/>
    <w:rsid w:val="00DB6065"/>
    <w:rsid w:val="00DB6535"/>
    <w:rsid w:val="00DB65C9"/>
    <w:rsid w:val="00DB6F97"/>
    <w:rsid w:val="00DC0041"/>
    <w:rsid w:val="00DC0597"/>
    <w:rsid w:val="00DC0E3A"/>
    <w:rsid w:val="00DC119F"/>
    <w:rsid w:val="00DC163B"/>
    <w:rsid w:val="00DC1CFB"/>
    <w:rsid w:val="00DC24BC"/>
    <w:rsid w:val="00DC2789"/>
    <w:rsid w:val="00DC3287"/>
    <w:rsid w:val="00DC3FCF"/>
    <w:rsid w:val="00DC4979"/>
    <w:rsid w:val="00DC4A70"/>
    <w:rsid w:val="00DC590F"/>
    <w:rsid w:val="00DC602E"/>
    <w:rsid w:val="00DC60AA"/>
    <w:rsid w:val="00DC6CFE"/>
    <w:rsid w:val="00DC6F44"/>
    <w:rsid w:val="00DD0140"/>
    <w:rsid w:val="00DD1143"/>
    <w:rsid w:val="00DD139F"/>
    <w:rsid w:val="00DD1ADB"/>
    <w:rsid w:val="00DD201D"/>
    <w:rsid w:val="00DD2672"/>
    <w:rsid w:val="00DD2B7D"/>
    <w:rsid w:val="00DD300F"/>
    <w:rsid w:val="00DD33C5"/>
    <w:rsid w:val="00DD3681"/>
    <w:rsid w:val="00DD3C9D"/>
    <w:rsid w:val="00DD4734"/>
    <w:rsid w:val="00DD5D2A"/>
    <w:rsid w:val="00DD695C"/>
    <w:rsid w:val="00DE0696"/>
    <w:rsid w:val="00DE0DB7"/>
    <w:rsid w:val="00DE128F"/>
    <w:rsid w:val="00DE2383"/>
    <w:rsid w:val="00DE4EFA"/>
    <w:rsid w:val="00DE4F0B"/>
    <w:rsid w:val="00DE4FCA"/>
    <w:rsid w:val="00DE5230"/>
    <w:rsid w:val="00DE6078"/>
    <w:rsid w:val="00DE638E"/>
    <w:rsid w:val="00DE71A0"/>
    <w:rsid w:val="00DF0622"/>
    <w:rsid w:val="00DF1F89"/>
    <w:rsid w:val="00DF3EE9"/>
    <w:rsid w:val="00DF48FC"/>
    <w:rsid w:val="00DF5584"/>
    <w:rsid w:val="00DF5846"/>
    <w:rsid w:val="00DF6750"/>
    <w:rsid w:val="00DF76BF"/>
    <w:rsid w:val="00E00E10"/>
    <w:rsid w:val="00E00F34"/>
    <w:rsid w:val="00E01132"/>
    <w:rsid w:val="00E02078"/>
    <w:rsid w:val="00E0335F"/>
    <w:rsid w:val="00E034C5"/>
    <w:rsid w:val="00E0370E"/>
    <w:rsid w:val="00E03E4E"/>
    <w:rsid w:val="00E04058"/>
    <w:rsid w:val="00E042EC"/>
    <w:rsid w:val="00E04EBD"/>
    <w:rsid w:val="00E05836"/>
    <w:rsid w:val="00E063E7"/>
    <w:rsid w:val="00E06933"/>
    <w:rsid w:val="00E06C3C"/>
    <w:rsid w:val="00E07136"/>
    <w:rsid w:val="00E07524"/>
    <w:rsid w:val="00E07910"/>
    <w:rsid w:val="00E1016C"/>
    <w:rsid w:val="00E103DA"/>
    <w:rsid w:val="00E10825"/>
    <w:rsid w:val="00E10A9B"/>
    <w:rsid w:val="00E119BA"/>
    <w:rsid w:val="00E12064"/>
    <w:rsid w:val="00E12C7C"/>
    <w:rsid w:val="00E13118"/>
    <w:rsid w:val="00E1423D"/>
    <w:rsid w:val="00E1549C"/>
    <w:rsid w:val="00E15792"/>
    <w:rsid w:val="00E17C26"/>
    <w:rsid w:val="00E20CC2"/>
    <w:rsid w:val="00E20D88"/>
    <w:rsid w:val="00E2266D"/>
    <w:rsid w:val="00E22A69"/>
    <w:rsid w:val="00E22C14"/>
    <w:rsid w:val="00E23980"/>
    <w:rsid w:val="00E24688"/>
    <w:rsid w:val="00E24A7E"/>
    <w:rsid w:val="00E258D2"/>
    <w:rsid w:val="00E26128"/>
    <w:rsid w:val="00E2671C"/>
    <w:rsid w:val="00E27F89"/>
    <w:rsid w:val="00E3016A"/>
    <w:rsid w:val="00E306D7"/>
    <w:rsid w:val="00E31A29"/>
    <w:rsid w:val="00E3298B"/>
    <w:rsid w:val="00E32D81"/>
    <w:rsid w:val="00E330D7"/>
    <w:rsid w:val="00E342FA"/>
    <w:rsid w:val="00E345B4"/>
    <w:rsid w:val="00E352E2"/>
    <w:rsid w:val="00E35AFA"/>
    <w:rsid w:val="00E36082"/>
    <w:rsid w:val="00E36FA9"/>
    <w:rsid w:val="00E3716C"/>
    <w:rsid w:val="00E37D47"/>
    <w:rsid w:val="00E405CE"/>
    <w:rsid w:val="00E41F4E"/>
    <w:rsid w:val="00E4242D"/>
    <w:rsid w:val="00E43F22"/>
    <w:rsid w:val="00E467E5"/>
    <w:rsid w:val="00E46F5D"/>
    <w:rsid w:val="00E50402"/>
    <w:rsid w:val="00E51C8F"/>
    <w:rsid w:val="00E53C4E"/>
    <w:rsid w:val="00E5533B"/>
    <w:rsid w:val="00E55747"/>
    <w:rsid w:val="00E56CBF"/>
    <w:rsid w:val="00E5788D"/>
    <w:rsid w:val="00E579BA"/>
    <w:rsid w:val="00E6183C"/>
    <w:rsid w:val="00E6281D"/>
    <w:rsid w:val="00E6413E"/>
    <w:rsid w:val="00E65343"/>
    <w:rsid w:val="00E655A8"/>
    <w:rsid w:val="00E66A30"/>
    <w:rsid w:val="00E673B7"/>
    <w:rsid w:val="00E70634"/>
    <w:rsid w:val="00E70AA0"/>
    <w:rsid w:val="00E70B8D"/>
    <w:rsid w:val="00E71A07"/>
    <w:rsid w:val="00E726E8"/>
    <w:rsid w:val="00E7436A"/>
    <w:rsid w:val="00E75046"/>
    <w:rsid w:val="00E75954"/>
    <w:rsid w:val="00E75A8A"/>
    <w:rsid w:val="00E766A6"/>
    <w:rsid w:val="00E7738C"/>
    <w:rsid w:val="00E7772E"/>
    <w:rsid w:val="00E81E9F"/>
    <w:rsid w:val="00E82D41"/>
    <w:rsid w:val="00E82D5D"/>
    <w:rsid w:val="00E8474D"/>
    <w:rsid w:val="00E84967"/>
    <w:rsid w:val="00E8523A"/>
    <w:rsid w:val="00E8730C"/>
    <w:rsid w:val="00E87585"/>
    <w:rsid w:val="00E9037E"/>
    <w:rsid w:val="00E91230"/>
    <w:rsid w:val="00E92718"/>
    <w:rsid w:val="00E93E14"/>
    <w:rsid w:val="00E948E8"/>
    <w:rsid w:val="00E94C4A"/>
    <w:rsid w:val="00E94F01"/>
    <w:rsid w:val="00E94F8A"/>
    <w:rsid w:val="00E94FE3"/>
    <w:rsid w:val="00E96203"/>
    <w:rsid w:val="00E968B3"/>
    <w:rsid w:val="00E96989"/>
    <w:rsid w:val="00E97495"/>
    <w:rsid w:val="00E977E2"/>
    <w:rsid w:val="00E97C1A"/>
    <w:rsid w:val="00EA0DAE"/>
    <w:rsid w:val="00EA1918"/>
    <w:rsid w:val="00EA3A82"/>
    <w:rsid w:val="00EA3CFD"/>
    <w:rsid w:val="00EA43CA"/>
    <w:rsid w:val="00EA467C"/>
    <w:rsid w:val="00EA4C5E"/>
    <w:rsid w:val="00EA5EA3"/>
    <w:rsid w:val="00EA643B"/>
    <w:rsid w:val="00EA6485"/>
    <w:rsid w:val="00EA6601"/>
    <w:rsid w:val="00EA6D7E"/>
    <w:rsid w:val="00EA6E53"/>
    <w:rsid w:val="00EA74DA"/>
    <w:rsid w:val="00EA7C02"/>
    <w:rsid w:val="00EA7FDB"/>
    <w:rsid w:val="00EB0898"/>
    <w:rsid w:val="00EB1162"/>
    <w:rsid w:val="00EB17F4"/>
    <w:rsid w:val="00EB1998"/>
    <w:rsid w:val="00EB32D4"/>
    <w:rsid w:val="00EB3362"/>
    <w:rsid w:val="00EB4F9F"/>
    <w:rsid w:val="00EB78B3"/>
    <w:rsid w:val="00EB7A9E"/>
    <w:rsid w:val="00EB7D96"/>
    <w:rsid w:val="00EC01B2"/>
    <w:rsid w:val="00EC03D5"/>
    <w:rsid w:val="00EC068B"/>
    <w:rsid w:val="00EC07D7"/>
    <w:rsid w:val="00EC154A"/>
    <w:rsid w:val="00EC1DD5"/>
    <w:rsid w:val="00EC1EB8"/>
    <w:rsid w:val="00EC2CBF"/>
    <w:rsid w:val="00EC362E"/>
    <w:rsid w:val="00EC472D"/>
    <w:rsid w:val="00EC4CF4"/>
    <w:rsid w:val="00EC526C"/>
    <w:rsid w:val="00EC5DB7"/>
    <w:rsid w:val="00EC6D57"/>
    <w:rsid w:val="00EC6D7A"/>
    <w:rsid w:val="00EC7229"/>
    <w:rsid w:val="00EC7ADA"/>
    <w:rsid w:val="00EC7E39"/>
    <w:rsid w:val="00ED03EE"/>
    <w:rsid w:val="00ED0C4E"/>
    <w:rsid w:val="00ED2193"/>
    <w:rsid w:val="00ED423A"/>
    <w:rsid w:val="00ED44FA"/>
    <w:rsid w:val="00ED692B"/>
    <w:rsid w:val="00ED78D3"/>
    <w:rsid w:val="00EE10B1"/>
    <w:rsid w:val="00EE1BD0"/>
    <w:rsid w:val="00EE21C3"/>
    <w:rsid w:val="00EE31A9"/>
    <w:rsid w:val="00EE3CF3"/>
    <w:rsid w:val="00EE68B3"/>
    <w:rsid w:val="00EE6C14"/>
    <w:rsid w:val="00EE6C1F"/>
    <w:rsid w:val="00EE7449"/>
    <w:rsid w:val="00EF0435"/>
    <w:rsid w:val="00EF0598"/>
    <w:rsid w:val="00EF0F50"/>
    <w:rsid w:val="00EF1B3B"/>
    <w:rsid w:val="00EF1B73"/>
    <w:rsid w:val="00EF2182"/>
    <w:rsid w:val="00EF230A"/>
    <w:rsid w:val="00EF2BA8"/>
    <w:rsid w:val="00EF3793"/>
    <w:rsid w:val="00EF423C"/>
    <w:rsid w:val="00EF4CD3"/>
    <w:rsid w:val="00EF51A1"/>
    <w:rsid w:val="00EF68A3"/>
    <w:rsid w:val="00EF69AB"/>
    <w:rsid w:val="00EF6F02"/>
    <w:rsid w:val="00EF77DA"/>
    <w:rsid w:val="00F00358"/>
    <w:rsid w:val="00F01081"/>
    <w:rsid w:val="00F01348"/>
    <w:rsid w:val="00F01A8E"/>
    <w:rsid w:val="00F02562"/>
    <w:rsid w:val="00F0258E"/>
    <w:rsid w:val="00F029B8"/>
    <w:rsid w:val="00F02A21"/>
    <w:rsid w:val="00F0402D"/>
    <w:rsid w:val="00F04141"/>
    <w:rsid w:val="00F043AF"/>
    <w:rsid w:val="00F049C5"/>
    <w:rsid w:val="00F04AC3"/>
    <w:rsid w:val="00F05350"/>
    <w:rsid w:val="00F055F6"/>
    <w:rsid w:val="00F057FA"/>
    <w:rsid w:val="00F068FF"/>
    <w:rsid w:val="00F07423"/>
    <w:rsid w:val="00F078C4"/>
    <w:rsid w:val="00F10A66"/>
    <w:rsid w:val="00F11514"/>
    <w:rsid w:val="00F12190"/>
    <w:rsid w:val="00F12396"/>
    <w:rsid w:val="00F133BA"/>
    <w:rsid w:val="00F138BF"/>
    <w:rsid w:val="00F13908"/>
    <w:rsid w:val="00F13FD6"/>
    <w:rsid w:val="00F143B8"/>
    <w:rsid w:val="00F144A4"/>
    <w:rsid w:val="00F16F2C"/>
    <w:rsid w:val="00F17BC1"/>
    <w:rsid w:val="00F17E02"/>
    <w:rsid w:val="00F203A4"/>
    <w:rsid w:val="00F21162"/>
    <w:rsid w:val="00F23803"/>
    <w:rsid w:val="00F23FBF"/>
    <w:rsid w:val="00F244ED"/>
    <w:rsid w:val="00F24B51"/>
    <w:rsid w:val="00F25E8E"/>
    <w:rsid w:val="00F26406"/>
    <w:rsid w:val="00F26717"/>
    <w:rsid w:val="00F27256"/>
    <w:rsid w:val="00F2745D"/>
    <w:rsid w:val="00F279D6"/>
    <w:rsid w:val="00F30C1F"/>
    <w:rsid w:val="00F32A2B"/>
    <w:rsid w:val="00F34F61"/>
    <w:rsid w:val="00F35051"/>
    <w:rsid w:val="00F36081"/>
    <w:rsid w:val="00F36AF5"/>
    <w:rsid w:val="00F3716E"/>
    <w:rsid w:val="00F37329"/>
    <w:rsid w:val="00F37D93"/>
    <w:rsid w:val="00F40013"/>
    <w:rsid w:val="00F410BF"/>
    <w:rsid w:val="00F41B59"/>
    <w:rsid w:val="00F41FB4"/>
    <w:rsid w:val="00F4350C"/>
    <w:rsid w:val="00F43F9E"/>
    <w:rsid w:val="00F4489E"/>
    <w:rsid w:val="00F45D9C"/>
    <w:rsid w:val="00F47493"/>
    <w:rsid w:val="00F47A7A"/>
    <w:rsid w:val="00F50888"/>
    <w:rsid w:val="00F520D7"/>
    <w:rsid w:val="00F52694"/>
    <w:rsid w:val="00F5364D"/>
    <w:rsid w:val="00F536EC"/>
    <w:rsid w:val="00F53C03"/>
    <w:rsid w:val="00F54B2D"/>
    <w:rsid w:val="00F5538C"/>
    <w:rsid w:val="00F56527"/>
    <w:rsid w:val="00F5699F"/>
    <w:rsid w:val="00F6062B"/>
    <w:rsid w:val="00F619B1"/>
    <w:rsid w:val="00F65775"/>
    <w:rsid w:val="00F66DFB"/>
    <w:rsid w:val="00F672FE"/>
    <w:rsid w:val="00F70434"/>
    <w:rsid w:val="00F716BD"/>
    <w:rsid w:val="00F71B97"/>
    <w:rsid w:val="00F72E09"/>
    <w:rsid w:val="00F7348F"/>
    <w:rsid w:val="00F75DCB"/>
    <w:rsid w:val="00F76145"/>
    <w:rsid w:val="00F76A42"/>
    <w:rsid w:val="00F77197"/>
    <w:rsid w:val="00F77E7F"/>
    <w:rsid w:val="00F80C2C"/>
    <w:rsid w:val="00F82026"/>
    <w:rsid w:val="00F84337"/>
    <w:rsid w:val="00F843EE"/>
    <w:rsid w:val="00F848B9"/>
    <w:rsid w:val="00F8595E"/>
    <w:rsid w:val="00F85F07"/>
    <w:rsid w:val="00F8604D"/>
    <w:rsid w:val="00F87176"/>
    <w:rsid w:val="00F87C8E"/>
    <w:rsid w:val="00F90819"/>
    <w:rsid w:val="00F90C6C"/>
    <w:rsid w:val="00F91E2C"/>
    <w:rsid w:val="00F9242F"/>
    <w:rsid w:val="00F9283E"/>
    <w:rsid w:val="00F929FB"/>
    <w:rsid w:val="00F92A1E"/>
    <w:rsid w:val="00F92D95"/>
    <w:rsid w:val="00F930D5"/>
    <w:rsid w:val="00F93794"/>
    <w:rsid w:val="00F93A6E"/>
    <w:rsid w:val="00F9472A"/>
    <w:rsid w:val="00F94D66"/>
    <w:rsid w:val="00F94F7B"/>
    <w:rsid w:val="00F96130"/>
    <w:rsid w:val="00F97AD6"/>
    <w:rsid w:val="00F97BBA"/>
    <w:rsid w:val="00FA08EA"/>
    <w:rsid w:val="00FA17C5"/>
    <w:rsid w:val="00FA1D03"/>
    <w:rsid w:val="00FA1EF2"/>
    <w:rsid w:val="00FA3FB7"/>
    <w:rsid w:val="00FA6EA1"/>
    <w:rsid w:val="00FB0736"/>
    <w:rsid w:val="00FB0E18"/>
    <w:rsid w:val="00FB0E98"/>
    <w:rsid w:val="00FB0FA6"/>
    <w:rsid w:val="00FB0FF5"/>
    <w:rsid w:val="00FB1692"/>
    <w:rsid w:val="00FB18E3"/>
    <w:rsid w:val="00FB19CD"/>
    <w:rsid w:val="00FB1BBE"/>
    <w:rsid w:val="00FB26A6"/>
    <w:rsid w:val="00FB3C97"/>
    <w:rsid w:val="00FB4223"/>
    <w:rsid w:val="00FB4C2E"/>
    <w:rsid w:val="00FB5AA3"/>
    <w:rsid w:val="00FB6525"/>
    <w:rsid w:val="00FB6CB9"/>
    <w:rsid w:val="00FB7226"/>
    <w:rsid w:val="00FB784C"/>
    <w:rsid w:val="00FC073F"/>
    <w:rsid w:val="00FC18CC"/>
    <w:rsid w:val="00FC3CCC"/>
    <w:rsid w:val="00FC4C40"/>
    <w:rsid w:val="00FC5058"/>
    <w:rsid w:val="00FC694C"/>
    <w:rsid w:val="00FD0467"/>
    <w:rsid w:val="00FD0843"/>
    <w:rsid w:val="00FD34F6"/>
    <w:rsid w:val="00FD3983"/>
    <w:rsid w:val="00FD44CC"/>
    <w:rsid w:val="00FD4E7F"/>
    <w:rsid w:val="00FD57E2"/>
    <w:rsid w:val="00FD5A20"/>
    <w:rsid w:val="00FD5E22"/>
    <w:rsid w:val="00FD5FC7"/>
    <w:rsid w:val="00FD69C7"/>
    <w:rsid w:val="00FD6FCC"/>
    <w:rsid w:val="00FD74B1"/>
    <w:rsid w:val="00FD7930"/>
    <w:rsid w:val="00FE067B"/>
    <w:rsid w:val="00FE211A"/>
    <w:rsid w:val="00FE2683"/>
    <w:rsid w:val="00FE288E"/>
    <w:rsid w:val="00FE29D1"/>
    <w:rsid w:val="00FE30F1"/>
    <w:rsid w:val="00FE3720"/>
    <w:rsid w:val="00FE4030"/>
    <w:rsid w:val="00FE443D"/>
    <w:rsid w:val="00FE4734"/>
    <w:rsid w:val="00FE4F43"/>
    <w:rsid w:val="00FE5D5A"/>
    <w:rsid w:val="00FE6CAD"/>
    <w:rsid w:val="00FE7B57"/>
    <w:rsid w:val="00FF1D84"/>
    <w:rsid w:val="00FF2F71"/>
    <w:rsid w:val="00FF30C1"/>
    <w:rsid w:val="00FF4478"/>
    <w:rsid w:val="00FF47E0"/>
    <w:rsid w:val="00FF54C6"/>
    <w:rsid w:val="00FF68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6213D9"/>
  <w15:docId w15:val="{7CD8D420-C74C-47D6-BC9C-00BCA1EE2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1825"/>
    <w:pPr>
      <w:widowControl w:val="0"/>
    </w:pPr>
    <w:rPr>
      <w:rFonts w:ascii="Arial" w:hAnsi="Arial"/>
      <w:snapToGrid w:val="0"/>
      <w:sz w:val="24"/>
      <w:lang w:val="es-ES_tradnl"/>
    </w:rPr>
  </w:style>
  <w:style w:type="paragraph" w:styleId="Ttulo1">
    <w:name w:val="heading 1"/>
    <w:basedOn w:val="Normal"/>
    <w:next w:val="Normal"/>
    <w:qFormat/>
    <w:rsid w:val="005F1825"/>
    <w:pPr>
      <w:spacing w:before="240"/>
      <w:jc w:val="center"/>
      <w:outlineLvl w:val="0"/>
    </w:pPr>
    <w:rPr>
      <w:color w:val="000000"/>
    </w:rPr>
  </w:style>
  <w:style w:type="paragraph" w:styleId="Ttulo2">
    <w:name w:val="heading 2"/>
    <w:basedOn w:val="Normal"/>
    <w:next w:val="Normal"/>
    <w:link w:val="Ttulo2Car"/>
    <w:qFormat/>
    <w:rsid w:val="005F1825"/>
    <w:pPr>
      <w:spacing w:before="240"/>
      <w:jc w:val="center"/>
      <w:outlineLvl w:val="1"/>
    </w:pPr>
    <w:rPr>
      <w:b/>
      <w:color w:val="000000"/>
      <w:sz w:val="28"/>
    </w:rPr>
  </w:style>
  <w:style w:type="paragraph" w:styleId="Ttulo3">
    <w:name w:val="heading 3"/>
    <w:basedOn w:val="Normal"/>
    <w:next w:val="Sangranormal"/>
    <w:qFormat/>
    <w:rsid w:val="005F1825"/>
    <w:pPr>
      <w:keepNext/>
      <w:spacing w:before="240"/>
      <w:outlineLvl w:val="2"/>
    </w:pPr>
    <w:rPr>
      <w:b/>
      <w:color w:val="80808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normal">
    <w:name w:val="Normal Indent"/>
    <w:basedOn w:val="Normal"/>
    <w:rsid w:val="005F1825"/>
    <w:pPr>
      <w:ind w:left="720"/>
    </w:pPr>
  </w:style>
  <w:style w:type="paragraph" w:styleId="Textonotaalfinal">
    <w:name w:val="endnote text"/>
    <w:basedOn w:val="Normal"/>
    <w:semiHidden/>
    <w:rsid w:val="005F1825"/>
    <w:rPr>
      <w:sz w:val="20"/>
    </w:rPr>
  </w:style>
  <w:style w:type="paragraph" w:customStyle="1" w:styleId="Asunto">
    <w:name w:val="Asunto"/>
    <w:basedOn w:val="Normal"/>
    <w:rsid w:val="005F1825"/>
    <w:pPr>
      <w:keepLines/>
      <w:spacing w:before="240"/>
      <w:ind w:left="5040" w:hanging="1267"/>
    </w:pPr>
    <w:rPr>
      <w:rFonts w:ascii="Univers" w:hAnsi="Univers"/>
      <w:color w:val="000000"/>
      <w:u w:val="single"/>
    </w:rPr>
  </w:style>
  <w:style w:type="paragraph" w:styleId="Piedepgina">
    <w:name w:val="footer"/>
    <w:basedOn w:val="Normal"/>
    <w:link w:val="PiedepginaCar"/>
    <w:uiPriority w:val="99"/>
    <w:rsid w:val="005F1825"/>
    <w:pPr>
      <w:tabs>
        <w:tab w:val="center" w:pos="4819"/>
        <w:tab w:val="right" w:pos="9071"/>
      </w:tabs>
    </w:pPr>
  </w:style>
  <w:style w:type="paragraph" w:styleId="Encabezado">
    <w:name w:val="header"/>
    <w:basedOn w:val="Normal"/>
    <w:link w:val="EncabezadoCar"/>
    <w:rsid w:val="005F1825"/>
    <w:pPr>
      <w:tabs>
        <w:tab w:val="center" w:pos="4819"/>
        <w:tab w:val="right" w:pos="9071"/>
      </w:tabs>
    </w:pPr>
  </w:style>
  <w:style w:type="paragraph" w:customStyle="1" w:styleId="p0">
    <w:name w:val="p0"/>
    <w:basedOn w:val="Normal"/>
    <w:rsid w:val="005F1825"/>
    <w:pPr>
      <w:keepLines/>
      <w:spacing w:before="240"/>
      <w:jc w:val="both"/>
    </w:pPr>
    <w:rPr>
      <w:color w:val="0000FF"/>
    </w:rPr>
  </w:style>
  <w:style w:type="paragraph" w:customStyle="1" w:styleId="n0">
    <w:name w:val="n0"/>
    <w:basedOn w:val="Normal"/>
    <w:rsid w:val="005F1825"/>
    <w:pPr>
      <w:keepLines/>
      <w:spacing w:before="240"/>
      <w:ind w:left="1080" w:hanging="1080"/>
      <w:jc w:val="both"/>
    </w:pPr>
    <w:rPr>
      <w:color w:val="800080"/>
    </w:rPr>
  </w:style>
  <w:style w:type="paragraph" w:customStyle="1" w:styleId="bullet">
    <w:name w:val="bullet"/>
    <w:basedOn w:val="Normal"/>
    <w:rsid w:val="005F1825"/>
    <w:pPr>
      <w:numPr>
        <w:numId w:val="19"/>
      </w:numPr>
      <w:spacing w:before="240"/>
      <w:ind w:right="1185"/>
      <w:jc w:val="both"/>
    </w:pPr>
    <w:rPr>
      <w:b/>
      <w:color w:val="000080"/>
      <w:sz w:val="22"/>
    </w:rPr>
  </w:style>
  <w:style w:type="paragraph" w:customStyle="1" w:styleId="fecha">
    <w:name w:val="fecha"/>
    <w:basedOn w:val="Normal"/>
    <w:rsid w:val="005F1825"/>
    <w:pPr>
      <w:jc w:val="right"/>
    </w:pPr>
  </w:style>
  <w:style w:type="paragraph" w:customStyle="1" w:styleId="parra-nota">
    <w:name w:val="parra-nota"/>
    <w:basedOn w:val="p0"/>
    <w:rsid w:val="005F1825"/>
    <w:pPr>
      <w:tabs>
        <w:tab w:val="left" w:pos="567"/>
      </w:tabs>
      <w:spacing w:before="600"/>
      <w:ind w:left="567" w:right="11" w:hanging="567"/>
    </w:pPr>
  </w:style>
  <w:style w:type="paragraph" w:customStyle="1" w:styleId="parra-nota1">
    <w:name w:val="parra-nota1"/>
    <w:basedOn w:val="parra-nota"/>
    <w:rsid w:val="005F1825"/>
    <w:pPr>
      <w:tabs>
        <w:tab w:val="clear" w:pos="567"/>
      </w:tabs>
      <w:ind w:firstLine="0"/>
    </w:pPr>
  </w:style>
  <w:style w:type="paragraph" w:customStyle="1" w:styleId="Normal1">
    <w:name w:val="Normal1"/>
    <w:rsid w:val="005F1825"/>
    <w:rPr>
      <w:rFonts w:ascii="CG Times" w:hAnsi="CG Times"/>
      <w:lang w:val="es-ES_tradnl"/>
    </w:rPr>
  </w:style>
  <w:style w:type="paragraph" w:styleId="Textoindependiente">
    <w:name w:val="Body Text"/>
    <w:basedOn w:val="Normal"/>
    <w:link w:val="TextoindependienteCar"/>
    <w:rsid w:val="005F1825"/>
    <w:pPr>
      <w:widowControl/>
    </w:pPr>
    <w:rPr>
      <w:color w:val="000000"/>
      <w:lang w:val="es-ES"/>
    </w:rPr>
  </w:style>
  <w:style w:type="character" w:styleId="Hipervnculo">
    <w:name w:val="Hyperlink"/>
    <w:basedOn w:val="Fuentedeprrafopredeter"/>
    <w:rsid w:val="005F1825"/>
    <w:rPr>
      <w:color w:val="0000FF"/>
      <w:u w:val="single"/>
    </w:rPr>
  </w:style>
  <w:style w:type="paragraph" w:styleId="Textodeglobo">
    <w:name w:val="Balloon Text"/>
    <w:basedOn w:val="Normal"/>
    <w:semiHidden/>
    <w:rsid w:val="005F1825"/>
    <w:rPr>
      <w:rFonts w:ascii="Tahoma" w:hAnsi="Tahoma" w:cs="Tahoma"/>
      <w:sz w:val="16"/>
      <w:szCs w:val="16"/>
    </w:rPr>
  </w:style>
  <w:style w:type="paragraph" w:styleId="NormalWeb">
    <w:name w:val="Normal (Web)"/>
    <w:basedOn w:val="Normal"/>
    <w:uiPriority w:val="99"/>
    <w:rsid w:val="002E5C03"/>
    <w:pPr>
      <w:widowControl/>
      <w:spacing w:before="100" w:beforeAutospacing="1" w:after="100" w:afterAutospacing="1"/>
    </w:pPr>
    <w:rPr>
      <w:rFonts w:cs="Arial"/>
      <w:snapToGrid/>
      <w:color w:val="000000"/>
      <w:sz w:val="16"/>
      <w:szCs w:val="16"/>
      <w:lang w:val="es-ES"/>
    </w:rPr>
  </w:style>
  <w:style w:type="paragraph" w:customStyle="1" w:styleId="parr2">
    <w:name w:val="parr2"/>
    <w:basedOn w:val="Normal"/>
    <w:rsid w:val="002A200D"/>
    <w:pPr>
      <w:widowControl/>
      <w:spacing w:before="600"/>
      <w:ind w:left="567" w:right="15"/>
      <w:jc w:val="both"/>
    </w:pPr>
    <w:rPr>
      <w:snapToGrid/>
    </w:rPr>
  </w:style>
  <w:style w:type="paragraph" w:customStyle="1" w:styleId="parrafo1">
    <w:name w:val="parrafo1"/>
    <w:basedOn w:val="p0"/>
    <w:rsid w:val="002D0297"/>
    <w:pPr>
      <w:keepLines w:val="0"/>
      <w:widowControl/>
      <w:spacing w:before="480"/>
      <w:ind w:left="426" w:right="443"/>
    </w:pPr>
    <w:rPr>
      <w:snapToGrid/>
      <w:color w:val="auto"/>
    </w:rPr>
  </w:style>
  <w:style w:type="paragraph" w:customStyle="1" w:styleId="titdoc">
    <w:name w:val="titdoc"/>
    <w:basedOn w:val="Normal"/>
    <w:rsid w:val="00E51C8F"/>
    <w:pPr>
      <w:widowControl/>
      <w:spacing w:before="120"/>
      <w:ind w:left="709" w:hanging="709"/>
      <w:jc w:val="both"/>
    </w:pPr>
    <w:rPr>
      <w:b/>
      <w:snapToGrid/>
    </w:rPr>
  </w:style>
  <w:style w:type="paragraph" w:styleId="Textoindependiente3">
    <w:name w:val="Body Text 3"/>
    <w:basedOn w:val="Normal"/>
    <w:link w:val="Textoindependiente3Car"/>
    <w:rsid w:val="00A00A68"/>
    <w:pPr>
      <w:spacing w:after="120"/>
    </w:pPr>
    <w:rPr>
      <w:sz w:val="16"/>
      <w:szCs w:val="16"/>
    </w:rPr>
  </w:style>
  <w:style w:type="character" w:customStyle="1" w:styleId="Textoindependiente3Car">
    <w:name w:val="Texto independiente 3 Car"/>
    <w:basedOn w:val="Fuentedeprrafopredeter"/>
    <w:link w:val="Textoindependiente3"/>
    <w:rsid w:val="00A00A68"/>
    <w:rPr>
      <w:rFonts w:ascii="Arial" w:hAnsi="Arial"/>
      <w:snapToGrid w:val="0"/>
      <w:sz w:val="16"/>
      <w:szCs w:val="16"/>
      <w:lang w:val="es-ES_tradnl"/>
    </w:rPr>
  </w:style>
  <w:style w:type="character" w:customStyle="1" w:styleId="EncabezadoCar">
    <w:name w:val="Encabezado Car"/>
    <w:basedOn w:val="Fuentedeprrafopredeter"/>
    <w:link w:val="Encabezado"/>
    <w:rsid w:val="00B06AE9"/>
    <w:rPr>
      <w:rFonts w:ascii="Arial" w:hAnsi="Arial"/>
      <w:snapToGrid w:val="0"/>
      <w:sz w:val="24"/>
      <w:lang w:val="es-ES_tradnl"/>
    </w:rPr>
  </w:style>
  <w:style w:type="paragraph" w:customStyle="1" w:styleId="p01">
    <w:name w:val="p01"/>
    <w:basedOn w:val="Normal1"/>
    <w:next w:val="p0"/>
    <w:rsid w:val="000C55BE"/>
    <w:pPr>
      <w:keepLines/>
      <w:spacing w:before="240"/>
      <w:jc w:val="both"/>
    </w:pPr>
    <w:rPr>
      <w:rFonts w:ascii="Univers" w:hAnsi="Univers"/>
      <w:color w:val="0000FF"/>
      <w:sz w:val="24"/>
    </w:rPr>
  </w:style>
  <w:style w:type="table" w:styleId="Tablaconcuadrcula">
    <w:name w:val="Table Grid"/>
    <w:basedOn w:val="Tablanormal"/>
    <w:rsid w:val="00663A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mbre">
    <w:name w:val="nombre"/>
    <w:basedOn w:val="Normal"/>
    <w:rsid w:val="003F26EB"/>
    <w:pPr>
      <w:keepLines/>
      <w:spacing w:before="240"/>
      <w:ind w:left="1080" w:hanging="1080"/>
    </w:pPr>
    <w:rPr>
      <w:rFonts w:ascii="Helvetica" w:hAnsi="Helvetica"/>
      <w:color w:val="0000FF"/>
    </w:rPr>
  </w:style>
  <w:style w:type="paragraph" w:styleId="Textonotapie">
    <w:name w:val="footnote text"/>
    <w:basedOn w:val="Normal"/>
    <w:link w:val="TextonotapieCar"/>
    <w:rsid w:val="0036725F"/>
    <w:pPr>
      <w:widowControl/>
    </w:pPr>
    <w:rPr>
      <w:rFonts w:ascii="Times New Roman" w:hAnsi="Times New Roman"/>
      <w:snapToGrid/>
      <w:sz w:val="20"/>
      <w:lang w:val="es-ES"/>
    </w:rPr>
  </w:style>
  <w:style w:type="character" w:customStyle="1" w:styleId="TextonotapieCar">
    <w:name w:val="Texto nota pie Car"/>
    <w:basedOn w:val="Fuentedeprrafopredeter"/>
    <w:link w:val="Textonotapie"/>
    <w:rsid w:val="0036725F"/>
  </w:style>
  <w:style w:type="character" w:styleId="Refdenotaalpie">
    <w:name w:val="footnote reference"/>
    <w:basedOn w:val="Fuentedeprrafopredeter"/>
    <w:rsid w:val="0036725F"/>
    <w:rPr>
      <w:rFonts w:cs="Arial"/>
      <w:b/>
      <w:smallCaps/>
      <w:sz w:val="22"/>
      <w:vertAlign w:val="superscript"/>
      <w:lang w:val="es-MX"/>
    </w:rPr>
  </w:style>
  <w:style w:type="character" w:customStyle="1" w:styleId="PiedepginaCar">
    <w:name w:val="Pie de página Car"/>
    <w:basedOn w:val="Fuentedeprrafopredeter"/>
    <w:link w:val="Piedepgina"/>
    <w:uiPriority w:val="99"/>
    <w:rsid w:val="00B577E4"/>
    <w:rPr>
      <w:rFonts w:ascii="Arial" w:hAnsi="Arial"/>
      <w:snapToGrid w:val="0"/>
      <w:sz w:val="24"/>
      <w:lang w:val="es-ES_tradnl" w:eastAsia="es-ES"/>
    </w:rPr>
  </w:style>
  <w:style w:type="character" w:styleId="Refdenotaalfinal">
    <w:name w:val="endnote reference"/>
    <w:basedOn w:val="Fuentedeprrafopredeter"/>
    <w:rsid w:val="00B577E4"/>
    <w:rPr>
      <w:vertAlign w:val="superscript"/>
    </w:rPr>
  </w:style>
  <w:style w:type="paragraph" w:customStyle="1" w:styleId="p02">
    <w:name w:val="p02"/>
    <w:basedOn w:val="Normal"/>
    <w:next w:val="p0"/>
    <w:rsid w:val="009C447D"/>
    <w:pPr>
      <w:keepLines/>
      <w:widowControl/>
      <w:spacing w:before="240"/>
      <w:ind w:right="11"/>
      <w:jc w:val="both"/>
    </w:pPr>
    <w:rPr>
      <w:rFonts w:ascii="Univers" w:hAnsi="Univers"/>
      <w:snapToGrid/>
      <w:color w:val="0000FF"/>
    </w:rPr>
  </w:style>
  <w:style w:type="paragraph" w:customStyle="1" w:styleId="Profesin">
    <w:name w:val="Profesión"/>
    <w:basedOn w:val="Normal"/>
    <w:rsid w:val="0005576F"/>
    <w:pPr>
      <w:widowControl/>
      <w:jc w:val="center"/>
    </w:pPr>
    <w:rPr>
      <w:b/>
      <w:caps/>
      <w:snapToGrid/>
      <w:spacing w:val="25"/>
      <w:sz w:val="28"/>
    </w:rPr>
  </w:style>
  <w:style w:type="paragraph" w:customStyle="1" w:styleId="n01">
    <w:name w:val="n01"/>
    <w:basedOn w:val="Normal"/>
    <w:rsid w:val="002169BE"/>
    <w:pPr>
      <w:keepLines/>
      <w:widowControl/>
      <w:spacing w:before="240"/>
      <w:ind w:left="720" w:hanging="720"/>
      <w:jc w:val="both"/>
    </w:pPr>
    <w:rPr>
      <w:rFonts w:ascii="Univers (W1)" w:hAnsi="Univers (W1)"/>
      <w:snapToGrid/>
      <w:color w:val="800080"/>
    </w:rPr>
  </w:style>
  <w:style w:type="paragraph" w:customStyle="1" w:styleId="Default">
    <w:name w:val="Default"/>
    <w:rsid w:val="002169BE"/>
    <w:pPr>
      <w:widowControl w:val="0"/>
      <w:autoSpaceDE w:val="0"/>
      <w:autoSpaceDN w:val="0"/>
      <w:adjustRightInd w:val="0"/>
    </w:pPr>
    <w:rPr>
      <w:rFonts w:ascii="Arial" w:eastAsiaTheme="minorEastAsia" w:hAnsi="Arial" w:cs="Arial"/>
      <w:color w:val="000000"/>
      <w:sz w:val="24"/>
      <w:szCs w:val="24"/>
    </w:rPr>
  </w:style>
  <w:style w:type="paragraph" w:styleId="Prrafodelista">
    <w:name w:val="List Paragraph"/>
    <w:basedOn w:val="Normal"/>
    <w:uiPriority w:val="34"/>
    <w:qFormat/>
    <w:rsid w:val="00A57241"/>
    <w:pPr>
      <w:ind w:left="720"/>
      <w:contextualSpacing/>
    </w:pPr>
  </w:style>
  <w:style w:type="character" w:styleId="Refdecomentario">
    <w:name w:val="annotation reference"/>
    <w:basedOn w:val="Fuentedeprrafopredeter"/>
    <w:rsid w:val="00C3471E"/>
    <w:rPr>
      <w:sz w:val="16"/>
      <w:szCs w:val="16"/>
    </w:rPr>
  </w:style>
  <w:style w:type="character" w:customStyle="1" w:styleId="tituloproy21">
    <w:name w:val="titulo_proy21"/>
    <w:basedOn w:val="Fuentedeprrafopredeter"/>
    <w:rsid w:val="002C2C06"/>
    <w:rPr>
      <w:rFonts w:ascii="Arial" w:hAnsi="Arial" w:cs="Arial" w:hint="default"/>
      <w:b/>
      <w:bCs/>
      <w:strike w:val="0"/>
      <w:dstrike w:val="0"/>
      <w:color w:val="000000"/>
      <w:sz w:val="30"/>
      <w:szCs w:val="30"/>
      <w:u w:val="none"/>
      <w:effect w:val="none"/>
    </w:rPr>
  </w:style>
  <w:style w:type="character" w:customStyle="1" w:styleId="st1">
    <w:name w:val="st1"/>
    <w:basedOn w:val="Fuentedeprrafopredeter"/>
    <w:rsid w:val="00610305"/>
  </w:style>
  <w:style w:type="paragraph" w:styleId="Textoindependiente2">
    <w:name w:val="Body Text 2"/>
    <w:basedOn w:val="Normal"/>
    <w:link w:val="Textoindependiente2Car"/>
    <w:unhideWhenUsed/>
    <w:rsid w:val="00607F08"/>
    <w:pPr>
      <w:spacing w:after="120" w:line="480" w:lineRule="auto"/>
    </w:pPr>
  </w:style>
  <w:style w:type="character" w:customStyle="1" w:styleId="Textoindependiente2Car">
    <w:name w:val="Texto independiente 2 Car"/>
    <w:basedOn w:val="Fuentedeprrafopredeter"/>
    <w:link w:val="Textoindependiente2"/>
    <w:rsid w:val="00607F08"/>
    <w:rPr>
      <w:rFonts w:ascii="Arial" w:hAnsi="Arial"/>
      <w:snapToGrid w:val="0"/>
      <w:sz w:val="24"/>
      <w:lang w:val="es-ES_tradnl"/>
    </w:rPr>
  </w:style>
  <w:style w:type="character" w:customStyle="1" w:styleId="TextoindependienteCar">
    <w:name w:val="Texto independiente Car"/>
    <w:basedOn w:val="Fuentedeprrafopredeter"/>
    <w:link w:val="Textoindependiente"/>
    <w:rsid w:val="00837C13"/>
    <w:rPr>
      <w:rFonts w:ascii="Arial" w:hAnsi="Arial"/>
      <w:snapToGrid w:val="0"/>
      <w:color w:val="000000"/>
      <w:sz w:val="24"/>
    </w:rPr>
  </w:style>
  <w:style w:type="character" w:customStyle="1" w:styleId="Ttulo2Car">
    <w:name w:val="Título 2 Car"/>
    <w:basedOn w:val="Fuentedeprrafopredeter"/>
    <w:link w:val="Ttulo2"/>
    <w:rsid w:val="00837C13"/>
    <w:rPr>
      <w:rFonts w:ascii="Arial" w:hAnsi="Arial"/>
      <w:b/>
      <w:snapToGrid w:val="0"/>
      <w:color w:val="000000"/>
      <w:sz w:val="28"/>
      <w:lang w:val="es-ES_tradnl"/>
    </w:rPr>
  </w:style>
  <w:style w:type="character" w:styleId="Hipervnculovisitado">
    <w:name w:val="FollowedHyperlink"/>
    <w:basedOn w:val="Fuentedeprrafopredeter"/>
    <w:semiHidden/>
    <w:unhideWhenUsed/>
    <w:rsid w:val="00350744"/>
    <w:rPr>
      <w:color w:val="800080" w:themeColor="followedHyperlink"/>
      <w:u w:val="single"/>
    </w:rPr>
  </w:style>
  <w:style w:type="paragraph" w:styleId="Textocomentario">
    <w:name w:val="annotation text"/>
    <w:basedOn w:val="Normal"/>
    <w:link w:val="TextocomentarioCar"/>
    <w:semiHidden/>
    <w:unhideWhenUsed/>
    <w:rsid w:val="004B179F"/>
    <w:rPr>
      <w:sz w:val="20"/>
    </w:rPr>
  </w:style>
  <w:style w:type="character" w:customStyle="1" w:styleId="TextocomentarioCar">
    <w:name w:val="Texto comentario Car"/>
    <w:basedOn w:val="Fuentedeprrafopredeter"/>
    <w:link w:val="Textocomentario"/>
    <w:semiHidden/>
    <w:rsid w:val="004B179F"/>
    <w:rPr>
      <w:rFonts w:ascii="Arial" w:hAnsi="Arial"/>
      <w:snapToGrid w:val="0"/>
      <w:lang w:val="es-ES_tradnl"/>
    </w:rPr>
  </w:style>
  <w:style w:type="paragraph" w:styleId="Asuntodelcomentario">
    <w:name w:val="annotation subject"/>
    <w:basedOn w:val="Textocomentario"/>
    <w:next w:val="Textocomentario"/>
    <w:link w:val="AsuntodelcomentarioCar"/>
    <w:semiHidden/>
    <w:unhideWhenUsed/>
    <w:rsid w:val="004B179F"/>
    <w:rPr>
      <w:b/>
      <w:bCs/>
    </w:rPr>
  </w:style>
  <w:style w:type="character" w:customStyle="1" w:styleId="AsuntodelcomentarioCar">
    <w:name w:val="Asunto del comentario Car"/>
    <w:basedOn w:val="TextocomentarioCar"/>
    <w:link w:val="Asuntodelcomentario"/>
    <w:semiHidden/>
    <w:rsid w:val="004B179F"/>
    <w:rPr>
      <w:rFonts w:ascii="Arial" w:hAnsi="Arial"/>
      <w:b/>
      <w:bCs/>
      <w:snapToGrid w:val="0"/>
      <w:lang w:val="es-ES_tradnl"/>
    </w:rPr>
  </w:style>
  <w:style w:type="character" w:customStyle="1" w:styleId="Mencinsinresolver1">
    <w:name w:val="Mención sin resolver1"/>
    <w:basedOn w:val="Fuentedeprrafopredeter"/>
    <w:uiPriority w:val="99"/>
    <w:semiHidden/>
    <w:unhideWhenUsed/>
    <w:rsid w:val="00386B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44973">
      <w:bodyDiv w:val="1"/>
      <w:marLeft w:val="0"/>
      <w:marRight w:val="0"/>
      <w:marTop w:val="0"/>
      <w:marBottom w:val="0"/>
      <w:divBdr>
        <w:top w:val="none" w:sz="0" w:space="0" w:color="auto"/>
        <w:left w:val="none" w:sz="0" w:space="0" w:color="auto"/>
        <w:bottom w:val="none" w:sz="0" w:space="0" w:color="auto"/>
        <w:right w:val="none" w:sz="0" w:space="0" w:color="auto"/>
      </w:divBdr>
    </w:div>
    <w:div w:id="179663901">
      <w:bodyDiv w:val="1"/>
      <w:marLeft w:val="0"/>
      <w:marRight w:val="0"/>
      <w:marTop w:val="0"/>
      <w:marBottom w:val="0"/>
      <w:divBdr>
        <w:top w:val="none" w:sz="0" w:space="0" w:color="auto"/>
        <w:left w:val="none" w:sz="0" w:space="0" w:color="auto"/>
        <w:bottom w:val="none" w:sz="0" w:space="0" w:color="auto"/>
        <w:right w:val="none" w:sz="0" w:space="0" w:color="auto"/>
      </w:divBdr>
    </w:div>
    <w:div w:id="1048989487">
      <w:bodyDiv w:val="1"/>
      <w:marLeft w:val="0"/>
      <w:marRight w:val="0"/>
      <w:marTop w:val="0"/>
      <w:marBottom w:val="0"/>
      <w:divBdr>
        <w:top w:val="none" w:sz="0" w:space="0" w:color="auto"/>
        <w:left w:val="none" w:sz="0" w:space="0" w:color="auto"/>
        <w:bottom w:val="none" w:sz="0" w:space="0" w:color="auto"/>
        <w:right w:val="none" w:sz="0" w:space="0" w:color="auto"/>
      </w:divBdr>
    </w:div>
    <w:div w:id="1054545712">
      <w:bodyDiv w:val="1"/>
      <w:marLeft w:val="0"/>
      <w:marRight w:val="0"/>
      <w:marTop w:val="0"/>
      <w:marBottom w:val="0"/>
      <w:divBdr>
        <w:top w:val="none" w:sz="0" w:space="0" w:color="auto"/>
        <w:left w:val="none" w:sz="0" w:space="0" w:color="auto"/>
        <w:bottom w:val="none" w:sz="0" w:space="0" w:color="auto"/>
        <w:right w:val="none" w:sz="0" w:space="0" w:color="auto"/>
      </w:divBdr>
    </w:div>
    <w:div w:id="1605266309">
      <w:bodyDiv w:val="1"/>
      <w:marLeft w:val="0"/>
      <w:marRight w:val="0"/>
      <w:marTop w:val="0"/>
      <w:marBottom w:val="0"/>
      <w:divBdr>
        <w:top w:val="none" w:sz="0" w:space="0" w:color="auto"/>
        <w:left w:val="none" w:sz="0" w:space="0" w:color="auto"/>
        <w:bottom w:val="none" w:sz="0" w:space="0" w:color="auto"/>
        <w:right w:val="none" w:sz="0" w:space="0" w:color="auto"/>
      </w:divBdr>
    </w:div>
    <w:div w:id="1971550127">
      <w:bodyDiv w:val="1"/>
      <w:marLeft w:val="0"/>
      <w:marRight w:val="0"/>
      <w:marTop w:val="0"/>
      <w:marBottom w:val="0"/>
      <w:divBdr>
        <w:top w:val="none" w:sz="0" w:space="0" w:color="auto"/>
        <w:left w:val="none" w:sz="0" w:space="0" w:color="auto"/>
        <w:bottom w:val="none" w:sz="0" w:space="0" w:color="auto"/>
        <w:right w:val="none" w:sz="0" w:space="0" w:color="auto"/>
      </w:divBdr>
    </w:div>
    <w:div w:id="2118601402">
      <w:bodyDiv w:val="1"/>
      <w:marLeft w:val="0"/>
      <w:marRight w:val="0"/>
      <w:marTop w:val="0"/>
      <w:marBottom w:val="0"/>
      <w:divBdr>
        <w:top w:val="none" w:sz="0" w:space="0" w:color="auto"/>
        <w:left w:val="none" w:sz="0" w:space="0" w:color="auto"/>
        <w:bottom w:val="none" w:sz="0" w:space="0" w:color="auto"/>
        <w:right w:val="none" w:sz="0" w:space="0" w:color="auto"/>
      </w:divBdr>
    </w:div>
    <w:div w:id="2126850444">
      <w:bodyDiv w:val="1"/>
      <w:marLeft w:val="0"/>
      <w:marRight w:val="0"/>
      <w:marTop w:val="0"/>
      <w:marBottom w:val="0"/>
      <w:divBdr>
        <w:top w:val="none" w:sz="0" w:space="0" w:color="auto"/>
        <w:left w:val="none" w:sz="0" w:space="0" w:color="auto"/>
        <w:bottom w:val="none" w:sz="0" w:space="0" w:color="auto"/>
        <w:right w:val="none" w:sz="0" w:space="0" w:color="auto"/>
      </w:divBdr>
      <w:divsChild>
        <w:div w:id="469592732">
          <w:marLeft w:val="0"/>
          <w:marRight w:val="0"/>
          <w:marTop w:val="0"/>
          <w:marBottom w:val="0"/>
          <w:divBdr>
            <w:top w:val="none" w:sz="0" w:space="0" w:color="auto"/>
            <w:left w:val="none" w:sz="0" w:space="0" w:color="auto"/>
            <w:bottom w:val="none" w:sz="0" w:space="0" w:color="auto"/>
            <w:right w:val="none" w:sz="0" w:space="0" w:color="auto"/>
          </w:divBdr>
          <w:divsChild>
            <w:div w:id="671837456">
              <w:marLeft w:val="0"/>
              <w:marRight w:val="0"/>
              <w:marTop w:val="0"/>
              <w:marBottom w:val="0"/>
              <w:divBdr>
                <w:top w:val="none" w:sz="0" w:space="0" w:color="auto"/>
                <w:left w:val="none" w:sz="0" w:space="0" w:color="auto"/>
                <w:bottom w:val="none" w:sz="0" w:space="0" w:color="auto"/>
                <w:right w:val="none" w:sz="0" w:space="0" w:color="auto"/>
              </w:divBdr>
              <w:divsChild>
                <w:div w:id="537086065">
                  <w:marLeft w:val="15"/>
                  <w:marRight w:val="0"/>
                  <w:marTop w:val="0"/>
                  <w:marBottom w:val="0"/>
                  <w:divBdr>
                    <w:top w:val="none" w:sz="0" w:space="0" w:color="auto"/>
                    <w:left w:val="none" w:sz="0" w:space="0" w:color="auto"/>
                    <w:bottom w:val="none" w:sz="0" w:space="0" w:color="auto"/>
                    <w:right w:val="none" w:sz="0" w:space="0" w:color="auto"/>
                  </w:divBdr>
                  <w:divsChild>
                    <w:div w:id="799305079">
                      <w:marLeft w:val="0"/>
                      <w:marRight w:val="0"/>
                      <w:marTop w:val="0"/>
                      <w:marBottom w:val="0"/>
                      <w:divBdr>
                        <w:top w:val="none" w:sz="0" w:space="0" w:color="auto"/>
                        <w:left w:val="none" w:sz="0" w:space="0" w:color="auto"/>
                        <w:bottom w:val="none" w:sz="0" w:space="0" w:color="auto"/>
                        <w:right w:val="none" w:sz="0" w:space="0" w:color="auto"/>
                      </w:divBdr>
                      <w:divsChild>
                        <w:div w:id="2140996372">
                          <w:marLeft w:val="0"/>
                          <w:marRight w:val="0"/>
                          <w:marTop w:val="0"/>
                          <w:marBottom w:val="0"/>
                          <w:divBdr>
                            <w:top w:val="none" w:sz="0" w:space="0" w:color="auto"/>
                            <w:left w:val="none" w:sz="0" w:space="0" w:color="auto"/>
                            <w:bottom w:val="none" w:sz="0" w:space="0" w:color="auto"/>
                            <w:right w:val="none" w:sz="0" w:space="0" w:color="auto"/>
                          </w:divBdr>
                          <w:divsChild>
                            <w:div w:id="486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2.xml"/><Relationship Id="rId29" Type="http://schemas.openxmlformats.org/officeDocument/2006/relationships/image" Target="media/image7.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footer" Target="footer3.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header" Target="header3.xml"/><Relationship Id="rId28" Type="http://schemas.openxmlformats.org/officeDocument/2006/relationships/hyperlink" Target="javascript:AddMetaDato('2951','Sistema%20de%20indicadores%20c&#237;clicos','');" TargetMode="Externa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footer" Target="footer2.xml"/><Relationship Id="rId27" Type="http://schemas.openxmlformats.org/officeDocument/2006/relationships/hyperlink" Target="https://www.inegi.org.mx/app/biblioteca/ficha.html?upc=702825099060" TargetMode="External"/><Relationship Id="rId30" Type="http://schemas.openxmlformats.org/officeDocument/2006/relationships/header" Target="header4.xml"/><Relationship Id="rId8" Type="http://schemas.openxmlformats.org/officeDocument/2006/relationships/hyperlink" Target="mailto:comunicacionsocial@inegi.org.m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oleObject" Target="file:///D:\PIBOportuno\Nueva%20Base%202013\2020\Graficas%20PIB%20constante%20(originales)_1er_T_2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PIBOportuno\Nueva%20Base%202013\2020\Graficas%20PIB%20constante%20(originales)_1er_T_20.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0"/>
      <c:rotY val="20"/>
      <c:depthPercent val="50"/>
      <c:rAngAx val="1"/>
    </c:view3D>
    <c:floor>
      <c:thickness val="0"/>
      <c:spPr>
        <a:noFill/>
        <a:ln>
          <a:noFill/>
        </a:ln>
        <a:effectLst/>
        <a:sp3d/>
      </c:spPr>
    </c:floor>
    <c:sideWall>
      <c:thickness val="0"/>
      <c:spPr>
        <a:noFill/>
        <a:ln>
          <a:solidFill>
            <a:schemeClr val="bg1">
              <a:lumMod val="85000"/>
            </a:schemeClr>
          </a:solidFill>
        </a:ln>
        <a:effectLst/>
        <a:sp3d>
          <a:contourClr>
            <a:schemeClr val="bg1">
              <a:lumMod val="85000"/>
            </a:schemeClr>
          </a:contourClr>
        </a:sp3d>
      </c:spPr>
    </c:sideWall>
    <c:backWall>
      <c:thickness val="0"/>
      <c:spPr>
        <a:noFill/>
        <a:ln>
          <a:solidFill>
            <a:schemeClr val="bg1">
              <a:lumMod val="85000"/>
            </a:schemeClr>
          </a:solidFill>
        </a:ln>
        <a:effectLst/>
        <a:sp3d>
          <a:contourClr>
            <a:schemeClr val="bg1">
              <a:lumMod val="85000"/>
            </a:schemeClr>
          </a:contourClr>
        </a:sp3d>
      </c:spPr>
    </c:backWall>
    <c:plotArea>
      <c:layout/>
      <c:bar3DChart>
        <c:barDir val="col"/>
        <c:grouping val="clustered"/>
        <c:varyColors val="0"/>
        <c:ser>
          <c:idx val="0"/>
          <c:order val="0"/>
          <c:spPr>
            <a:solidFill>
              <a:schemeClr val="accent6"/>
            </a:solidFill>
            <a:ln>
              <a:noFill/>
            </a:ln>
            <a:effectLst/>
            <a:sp3d/>
          </c:spPr>
          <c:invertIfNegative val="0"/>
          <c:dPt>
            <c:idx val="0"/>
            <c:invertIfNegative val="0"/>
            <c:bubble3D val="0"/>
            <c:spPr>
              <a:solidFill>
                <a:schemeClr val="accent1"/>
              </a:solidFill>
              <a:ln>
                <a:noFill/>
              </a:ln>
              <a:effectLst/>
              <a:sp3d/>
            </c:spPr>
            <c:extLst>
              <c:ext xmlns:c16="http://schemas.microsoft.com/office/drawing/2014/chart" uri="{C3380CC4-5D6E-409C-BE32-E72D297353CC}">
                <c16:uniqueId val="{00000001-8E18-4362-8125-9AD9F34460AD}"/>
              </c:ext>
            </c:extLst>
          </c:dPt>
          <c:dPt>
            <c:idx val="1"/>
            <c:invertIfNegative val="0"/>
            <c:bubble3D val="0"/>
            <c:spPr>
              <a:solidFill>
                <a:schemeClr val="accent3"/>
              </a:solidFill>
              <a:ln>
                <a:noFill/>
              </a:ln>
              <a:effectLst/>
              <a:sp3d/>
            </c:spPr>
            <c:extLst>
              <c:ext xmlns:c16="http://schemas.microsoft.com/office/drawing/2014/chart" uri="{C3380CC4-5D6E-409C-BE32-E72D297353CC}">
                <c16:uniqueId val="{00000003-8E18-4362-8125-9AD9F34460AD}"/>
              </c:ext>
            </c:extLst>
          </c:dPt>
          <c:dPt>
            <c:idx val="2"/>
            <c:invertIfNegative val="0"/>
            <c:bubble3D val="0"/>
            <c:spPr>
              <a:solidFill>
                <a:schemeClr val="accent2"/>
              </a:solidFill>
              <a:ln>
                <a:noFill/>
              </a:ln>
              <a:effectLst/>
              <a:sp3d/>
            </c:spPr>
            <c:extLst>
              <c:ext xmlns:c16="http://schemas.microsoft.com/office/drawing/2014/chart" uri="{C3380CC4-5D6E-409C-BE32-E72D297353CC}">
                <c16:uniqueId val="{00000005-8E18-4362-8125-9AD9F34460AD}"/>
              </c:ext>
            </c:extLst>
          </c:dPt>
          <c:dPt>
            <c:idx val="3"/>
            <c:invertIfNegative val="0"/>
            <c:bubble3D val="0"/>
            <c:spPr>
              <a:solidFill>
                <a:srgbClr val="FFC000"/>
              </a:solidFill>
              <a:ln>
                <a:noFill/>
              </a:ln>
              <a:effectLst/>
              <a:sp3d/>
            </c:spPr>
            <c:extLst>
              <c:ext xmlns:c16="http://schemas.microsoft.com/office/drawing/2014/chart" uri="{C3380CC4-5D6E-409C-BE32-E72D297353CC}">
                <c16:uniqueId val="{00000007-8E18-4362-8125-9AD9F34460AD}"/>
              </c:ext>
            </c:extLst>
          </c:dPt>
          <c:dLbls>
            <c:dLbl>
              <c:idx val="0"/>
              <c:layout>
                <c:manualLayout>
                  <c:x val="2.1989136797554303E-2"/>
                  <c:y val="-1.01607399668630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E18-4362-8125-9AD9F34460AD}"/>
                </c:ext>
              </c:extLst>
            </c:dLbl>
            <c:dLbl>
              <c:idx val="1"/>
              <c:layout>
                <c:manualLayout>
                  <c:x val="2.0520821638438755E-2"/>
                  <c:y val="-5.07961328422656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E18-4362-8125-9AD9F34460AD}"/>
                </c:ext>
              </c:extLst>
            </c:dLbl>
            <c:dLbl>
              <c:idx val="2"/>
              <c:layout>
                <c:manualLayout>
                  <c:x val="8.7817793345194746E-3"/>
                  <c:y val="-4.012521515576496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E18-4362-8125-9AD9F34460AD}"/>
                </c:ext>
              </c:extLst>
            </c:dLbl>
            <c:dLbl>
              <c:idx val="3"/>
              <c:layout>
                <c:manualLayout>
                  <c:x val="1.6132770529016224E-2"/>
                  <c:y val="-4.085580211564537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E18-4362-8125-9AD9F34460A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datos!$O$50:$O$53</c:f>
              <c:strCache>
                <c:ptCount val="4"/>
                <c:pt idx="0">
                  <c:v>PIB Total</c:v>
                </c:pt>
                <c:pt idx="1">
                  <c:v>Actividades Primarias</c:v>
                </c:pt>
                <c:pt idx="2">
                  <c:v>Actividades Secundarias</c:v>
                </c:pt>
                <c:pt idx="3">
                  <c:v>Actividades Terciarias</c:v>
                </c:pt>
              </c:strCache>
            </c:strRef>
          </c:cat>
          <c:val>
            <c:numRef>
              <c:f>datos!$P$50:$P$53</c:f>
              <c:numCache>
                <c:formatCode>0.0</c:formatCode>
                <c:ptCount val="4"/>
                <c:pt idx="0">
                  <c:v>-1.576404612975546</c:v>
                </c:pt>
                <c:pt idx="1">
                  <c:v>1.5026267081282851</c:v>
                </c:pt>
                <c:pt idx="2">
                  <c:v>-3.1877692138676084</c:v>
                </c:pt>
                <c:pt idx="3">
                  <c:v>-0.85780687515238929</c:v>
                </c:pt>
              </c:numCache>
            </c:numRef>
          </c:val>
          <c:extLst>
            <c:ext xmlns:c16="http://schemas.microsoft.com/office/drawing/2014/chart" uri="{C3380CC4-5D6E-409C-BE32-E72D297353CC}">
              <c16:uniqueId val="{00000008-8E18-4362-8125-9AD9F34460AD}"/>
            </c:ext>
          </c:extLst>
        </c:ser>
        <c:dLbls>
          <c:showLegendKey val="0"/>
          <c:showVal val="0"/>
          <c:showCatName val="0"/>
          <c:showSerName val="0"/>
          <c:showPercent val="0"/>
          <c:showBubbleSize val="0"/>
        </c:dLbls>
        <c:gapWidth val="99"/>
        <c:gapDepth val="58"/>
        <c:shape val="box"/>
        <c:axId val="210413848"/>
        <c:axId val="210415808"/>
        <c:axId val="0"/>
      </c:bar3DChart>
      <c:catAx>
        <c:axId val="210413848"/>
        <c:scaling>
          <c:orientation val="minMax"/>
        </c:scaling>
        <c:delete val="0"/>
        <c:axPos val="b"/>
        <c:numFmt formatCode="General" sourceLinked="1"/>
        <c:majorTickMark val="none"/>
        <c:minorTickMark val="none"/>
        <c:tickLblPos val="low"/>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210415808"/>
        <c:crossesAt val="0"/>
        <c:auto val="1"/>
        <c:lblAlgn val="ctr"/>
        <c:lblOffset val="100"/>
        <c:noMultiLvlLbl val="0"/>
      </c:catAx>
      <c:valAx>
        <c:axId val="210415808"/>
        <c:scaling>
          <c:orientation val="minMax"/>
          <c:max val="3"/>
          <c:min val="-4"/>
        </c:scaling>
        <c:delete val="0"/>
        <c:axPos val="l"/>
        <c:majorGridlines>
          <c:spPr>
            <a:ln w="0" cap="flat" cmpd="sng" algn="ctr">
              <a:solidFill>
                <a:schemeClr val="bg1">
                  <a:lumMod val="85000"/>
                </a:schemeClr>
              </a:solidFill>
              <a:round/>
            </a:ln>
            <a:effectLst/>
          </c:spPr>
        </c:majorGridlines>
        <c:numFmt formatCode="0.0" sourceLinked="1"/>
        <c:majorTickMark val="none"/>
        <c:minorTickMark val="none"/>
        <c:tickLblPos val="low"/>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210413848"/>
        <c:crosses val="autoZero"/>
        <c:crossBetween val="between"/>
        <c:majorUnit val="1"/>
      </c:valAx>
      <c:spPr>
        <a:noFill/>
        <a:ln>
          <a:noFill/>
        </a:ln>
        <a:effectLst/>
      </c:spPr>
    </c:plotArea>
    <c:plotVisOnly val="1"/>
    <c:dispBlanksAs val="gap"/>
    <c:showDLblsOverMax val="0"/>
  </c:chart>
  <c:spPr>
    <a:noFill/>
    <a:ln w="6350" cap="flat" cmpd="sng" algn="ctr">
      <a:solidFill>
        <a:schemeClr val="tx1"/>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20"/>
      <c:rAngAx val="0"/>
      <c:perspective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datos!$M$49</c:f>
              <c:strCache>
                <c:ptCount val="1"/>
                <c:pt idx="0">
                  <c:v>Crecimiento  Histórico</c:v>
                </c:pt>
              </c:strCache>
            </c:strRef>
          </c:tx>
          <c:spPr>
            <a:solidFill>
              <a:schemeClr val="tx2">
                <a:lumMod val="60000"/>
                <a:lumOff val="40000"/>
              </a:schemeClr>
            </a:solidFill>
            <a:ln>
              <a:noFill/>
            </a:ln>
            <a:effectLst/>
            <a:sp3d/>
          </c:spPr>
          <c:invertIfNegative val="0"/>
          <c:dPt>
            <c:idx val="12"/>
            <c:invertIfNegative val="0"/>
            <c:bubble3D val="0"/>
            <c:spPr>
              <a:solidFill>
                <a:srgbClr val="C00000"/>
              </a:solidFill>
              <a:ln>
                <a:noFill/>
              </a:ln>
              <a:effectLst/>
              <a:sp3d/>
            </c:spPr>
            <c:extLst>
              <c:ext xmlns:c16="http://schemas.microsoft.com/office/drawing/2014/chart" uri="{C3380CC4-5D6E-409C-BE32-E72D297353CC}">
                <c16:uniqueId val="{00000001-5289-4A4E-879B-0FBF0D8D2417}"/>
              </c:ext>
            </c:extLst>
          </c:dPt>
          <c:dPt>
            <c:idx val="13"/>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3-5289-4A4E-879B-0FBF0D8D2417}"/>
              </c:ext>
            </c:extLst>
          </c:dPt>
          <c:dPt>
            <c:idx val="14"/>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5-5289-4A4E-879B-0FBF0D8D2417}"/>
              </c:ext>
            </c:extLst>
          </c:dPt>
          <c:dPt>
            <c:idx val="15"/>
            <c:invertIfNegative val="0"/>
            <c:bubble3D val="0"/>
            <c:spPr>
              <a:solidFill>
                <a:srgbClr val="C00000"/>
              </a:solidFill>
              <a:ln>
                <a:noFill/>
              </a:ln>
              <a:effectLst/>
              <a:sp3d/>
            </c:spPr>
            <c:extLst>
              <c:ext xmlns:c16="http://schemas.microsoft.com/office/drawing/2014/chart" uri="{C3380CC4-5D6E-409C-BE32-E72D297353CC}">
                <c16:uniqueId val="{00000007-5289-4A4E-879B-0FBF0D8D2417}"/>
              </c:ext>
            </c:extLst>
          </c:dPt>
          <c:dPt>
            <c:idx val="16"/>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9-5289-4A4E-879B-0FBF0D8D2417}"/>
              </c:ext>
            </c:extLst>
          </c:dPt>
          <c:dPt>
            <c:idx val="17"/>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B-5289-4A4E-879B-0FBF0D8D2417}"/>
              </c:ext>
            </c:extLst>
          </c:dPt>
          <c:dPt>
            <c:idx val="18"/>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D-5289-4A4E-879B-0FBF0D8D2417}"/>
              </c:ext>
            </c:extLst>
          </c:dPt>
          <c:dPt>
            <c:idx val="19"/>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F-5289-4A4E-879B-0FBF0D8D2417}"/>
              </c:ext>
            </c:extLst>
          </c:dPt>
          <c:dLbls>
            <c:dLbl>
              <c:idx val="0"/>
              <c:layout>
                <c:manualLayout>
                  <c:x val="-1.347429189148081E-17"/>
                  <c:y val="1.51209677419354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5289-4A4E-879B-0FBF0D8D2417}"/>
                </c:ext>
              </c:extLst>
            </c:dLbl>
            <c:dLbl>
              <c:idx val="10"/>
              <c:layout>
                <c:manualLayout>
                  <c:x val="-1.0779433513184648E-16"/>
                  <c:y val="1.00806451612903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5289-4A4E-879B-0FBF0D8D2417}"/>
                </c:ext>
              </c:extLst>
            </c:dLbl>
            <c:dLbl>
              <c:idx val="11"/>
              <c:layout>
                <c:manualLayout>
                  <c:x val="0"/>
                  <c:y val="1.51209677419354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5289-4A4E-879B-0FBF0D8D2417}"/>
                </c:ext>
              </c:extLst>
            </c:dLbl>
            <c:dLbl>
              <c:idx val="13"/>
              <c:layout>
                <c:manualLayout>
                  <c:x val="5.4665519121202284E-3"/>
                  <c:y val="6.246718833053897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289-4A4E-879B-0FBF0D8D241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datos!$B$63:$C$75</c:f>
              <c:multiLvlStrCache>
                <c:ptCount val="13"/>
                <c:lvl>
                  <c:pt idx="0">
                    <c:v>I</c:v>
                  </c:pt>
                  <c:pt idx="1">
                    <c:v>II</c:v>
                  </c:pt>
                  <c:pt idx="2">
                    <c:v>III</c:v>
                  </c:pt>
                  <c:pt idx="3">
                    <c:v>IV</c:v>
                  </c:pt>
                  <c:pt idx="4">
                    <c:v>I</c:v>
                  </c:pt>
                  <c:pt idx="5">
                    <c:v>II</c:v>
                  </c:pt>
                  <c:pt idx="6">
                    <c:v>III</c:v>
                  </c:pt>
                  <c:pt idx="7">
                    <c:v>IV</c:v>
                  </c:pt>
                  <c:pt idx="8">
                    <c:v>I</c:v>
                  </c:pt>
                  <c:pt idx="9">
                    <c:v>II</c:v>
                  </c:pt>
                  <c:pt idx="10">
                    <c:v>III</c:v>
                  </c:pt>
                  <c:pt idx="11">
                    <c:v>IV</c:v>
                  </c:pt>
                  <c:pt idx="12">
                    <c:v>I</c:v>
                  </c:pt>
                </c:lvl>
                <c:lvl>
                  <c:pt idx="0">
                    <c:v>2017</c:v>
                  </c:pt>
                  <c:pt idx="4">
                    <c:v>2018</c:v>
                  </c:pt>
                  <c:pt idx="8">
                    <c:v>2019</c:v>
                  </c:pt>
                  <c:pt idx="12">
                    <c:v>2020</c:v>
                  </c:pt>
                </c:lvl>
              </c:multiLvlStrCache>
            </c:multiLvlStrRef>
          </c:cat>
          <c:val>
            <c:numRef>
              <c:f>datos!$M$63:$M$75</c:f>
              <c:numCache>
                <c:formatCode>0.0</c:formatCode>
                <c:ptCount val="13"/>
                <c:pt idx="0">
                  <c:v>3.4505468132480002</c:v>
                </c:pt>
                <c:pt idx="1">
                  <c:v>1.907907985167</c:v>
                </c:pt>
                <c:pt idx="2">
                  <c:v>1.567071563077</c:v>
                </c:pt>
                <c:pt idx="3">
                  <c:v>1.6072275934639999</c:v>
                </c:pt>
                <c:pt idx="4">
                  <c:v>1.5810920574759999</c:v>
                </c:pt>
                <c:pt idx="5">
                  <c:v>3.041289242395</c:v>
                </c:pt>
                <c:pt idx="6">
                  <c:v>2.5179231607260002</c:v>
                </c:pt>
                <c:pt idx="7">
                  <c:v>1.421365409564</c:v>
                </c:pt>
                <c:pt idx="8">
                  <c:v>1.160426525878</c:v>
                </c:pt>
                <c:pt idx="9">
                  <c:v>-0.94851599125800001</c:v>
                </c:pt>
                <c:pt idx="10">
                  <c:v>-0.25403034331800001</c:v>
                </c:pt>
                <c:pt idx="11">
                  <c:v>-0.49192558884400001</c:v>
                </c:pt>
                <c:pt idx="12">
                  <c:v>-1.576404612975546</c:v>
                </c:pt>
              </c:numCache>
            </c:numRef>
          </c:val>
          <c:extLst>
            <c:ext xmlns:c16="http://schemas.microsoft.com/office/drawing/2014/chart" uri="{C3380CC4-5D6E-409C-BE32-E72D297353CC}">
              <c16:uniqueId val="{00000010-5289-4A4E-879B-0FBF0D8D2417}"/>
            </c:ext>
          </c:extLst>
        </c:ser>
        <c:ser>
          <c:idx val="1"/>
          <c:order val="1"/>
          <c:tx>
            <c:strRef>
              <c:f>datos!$N$49</c:f>
              <c:strCache>
                <c:ptCount val="1"/>
                <c:pt idx="0">
                  <c:v>Estimación Oportuna</c:v>
                </c:pt>
              </c:strCache>
            </c:strRef>
          </c:tx>
          <c:spPr>
            <a:solidFill>
              <a:srgbClr val="FF0000"/>
            </a:solidFill>
            <a:ln>
              <a:noFill/>
            </a:ln>
            <a:effectLst/>
            <a:sp3d/>
          </c:spPr>
          <c:invertIfNegative val="0"/>
          <c:cat>
            <c:multiLvlStrRef>
              <c:f>datos!$B$63:$C$75</c:f>
              <c:multiLvlStrCache>
                <c:ptCount val="13"/>
                <c:lvl>
                  <c:pt idx="0">
                    <c:v>I</c:v>
                  </c:pt>
                  <c:pt idx="1">
                    <c:v>II</c:v>
                  </c:pt>
                  <c:pt idx="2">
                    <c:v>III</c:v>
                  </c:pt>
                  <c:pt idx="3">
                    <c:v>IV</c:v>
                  </c:pt>
                  <c:pt idx="4">
                    <c:v>I</c:v>
                  </c:pt>
                  <c:pt idx="5">
                    <c:v>II</c:v>
                  </c:pt>
                  <c:pt idx="6">
                    <c:v>III</c:v>
                  </c:pt>
                  <c:pt idx="7">
                    <c:v>IV</c:v>
                  </c:pt>
                  <c:pt idx="8">
                    <c:v>I</c:v>
                  </c:pt>
                  <c:pt idx="9">
                    <c:v>II</c:v>
                  </c:pt>
                  <c:pt idx="10">
                    <c:v>III</c:v>
                  </c:pt>
                  <c:pt idx="11">
                    <c:v>IV</c:v>
                  </c:pt>
                  <c:pt idx="12">
                    <c:v>I</c:v>
                  </c:pt>
                </c:lvl>
                <c:lvl>
                  <c:pt idx="0">
                    <c:v>2017</c:v>
                  </c:pt>
                  <c:pt idx="4">
                    <c:v>2018</c:v>
                  </c:pt>
                  <c:pt idx="8">
                    <c:v>2019</c:v>
                  </c:pt>
                  <c:pt idx="12">
                    <c:v>2020</c:v>
                  </c:pt>
                </c:lvl>
              </c:multiLvlStrCache>
            </c:multiLvlStrRef>
          </c:cat>
          <c:val>
            <c:numRef>
              <c:f>datos!$N$63:$N$75</c:f>
              <c:numCache>
                <c:formatCode>General</c:formatCode>
                <c:ptCount val="13"/>
                <c:pt idx="5">
                  <c:v>0</c:v>
                </c:pt>
              </c:numCache>
            </c:numRef>
          </c:val>
          <c:extLst>
            <c:ext xmlns:c16="http://schemas.microsoft.com/office/drawing/2014/chart" uri="{C3380CC4-5D6E-409C-BE32-E72D297353CC}">
              <c16:uniqueId val="{00000011-5289-4A4E-879B-0FBF0D8D2417}"/>
            </c:ext>
          </c:extLst>
        </c:ser>
        <c:dLbls>
          <c:showLegendKey val="0"/>
          <c:showVal val="0"/>
          <c:showCatName val="0"/>
          <c:showSerName val="0"/>
          <c:showPercent val="0"/>
          <c:showBubbleSize val="0"/>
        </c:dLbls>
        <c:gapWidth val="14"/>
        <c:gapDepth val="23"/>
        <c:shape val="box"/>
        <c:axId val="210415024"/>
        <c:axId val="210416592"/>
        <c:axId val="0"/>
      </c:bar3DChart>
      <c:catAx>
        <c:axId val="210415024"/>
        <c:scaling>
          <c:orientation val="minMax"/>
        </c:scaling>
        <c:delete val="0"/>
        <c:axPos val="b"/>
        <c:numFmt formatCode="General" sourceLinked="1"/>
        <c:majorTickMark val="none"/>
        <c:minorTickMark val="none"/>
        <c:tickLblPos val="low"/>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210416592"/>
        <c:crosses val="autoZero"/>
        <c:auto val="1"/>
        <c:lblAlgn val="ctr"/>
        <c:lblOffset val="100"/>
        <c:noMultiLvlLbl val="0"/>
      </c:catAx>
      <c:valAx>
        <c:axId val="210416592"/>
        <c:scaling>
          <c:orientation val="minMax"/>
          <c:max val="5"/>
          <c:min val="-3"/>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210415024"/>
        <c:crosses val="autoZero"/>
        <c:crossBetween val="between"/>
        <c:majorUnit val="2"/>
        <c:minorUnit val="0.5"/>
      </c:valAx>
      <c:spPr>
        <a:noFill/>
        <a:ln>
          <a:noFill/>
        </a:ln>
        <a:effectLst/>
      </c:spPr>
    </c:plotArea>
    <c:legend>
      <c:legendPos val="b"/>
      <c:layout>
        <c:manualLayout>
          <c:xMode val="edge"/>
          <c:yMode val="edge"/>
          <c:x val="0.15102369149321573"/>
          <c:y val="0.91021201104902205"/>
          <c:w val="0.81961121867760611"/>
          <c:h val="5.7483093091186183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ABDF7-43D8-4C0F-96BB-63CEDC9F9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1175</TotalTime>
  <Pages>7</Pages>
  <Words>1439</Words>
  <Characters>8450</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Comunicado de Prensa. Estimación Oportuna del Producto Interno Bruto en México. Primer Trimestre de 2020</vt:lpstr>
    </vt:vector>
  </TitlesOfParts>
  <Company>DGCNES y P.  "INEGI"</Company>
  <LinksUpToDate>false</LinksUpToDate>
  <CharactersWithSpaces>9870</CharactersWithSpaces>
  <SharedDoc>false</SharedDoc>
  <HLinks>
    <vt:vector size="24" baseType="variant">
      <vt:variant>
        <vt:i4>262227</vt:i4>
      </vt:variant>
      <vt:variant>
        <vt:i4>0</vt:i4>
      </vt:variant>
      <vt:variant>
        <vt:i4>0</vt:i4>
      </vt:variant>
      <vt:variant>
        <vt:i4>5</vt:i4>
      </vt:variant>
      <vt:variant>
        <vt:lpwstr>http://www.inegi.org.mx/</vt:lpwstr>
      </vt:variant>
      <vt:variant>
        <vt:lpwstr/>
      </vt:variant>
      <vt:variant>
        <vt:i4>196687</vt:i4>
      </vt:variant>
      <vt:variant>
        <vt:i4>0</vt:i4>
      </vt:variant>
      <vt:variant>
        <vt:i4>0</vt:i4>
      </vt:variant>
      <vt:variant>
        <vt:i4>5</vt:i4>
      </vt:variant>
      <vt:variant>
        <vt:lpwstr>http://www.censo2010.org.mx/</vt:lpwstr>
      </vt:variant>
      <vt:variant>
        <vt:lpwstr/>
      </vt:variant>
      <vt:variant>
        <vt:i4>196687</vt:i4>
      </vt:variant>
      <vt:variant>
        <vt:i4>-1</vt:i4>
      </vt:variant>
      <vt:variant>
        <vt:i4>9217</vt:i4>
      </vt:variant>
      <vt:variant>
        <vt:i4>4</vt:i4>
      </vt:variant>
      <vt:variant>
        <vt:lpwstr>http://www.censo2010.org.mx/</vt:lpwstr>
      </vt:variant>
      <vt:variant>
        <vt:lpwstr/>
      </vt:variant>
      <vt:variant>
        <vt:i4>196687</vt:i4>
      </vt:variant>
      <vt:variant>
        <vt:i4>-1</vt:i4>
      </vt:variant>
      <vt:variant>
        <vt:i4>1026</vt:i4>
      </vt:variant>
      <vt:variant>
        <vt:i4>4</vt:i4>
      </vt:variant>
      <vt:variant>
        <vt:lpwstr>http://www.censo2010.org.mx/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Estimación Oportuna del Producto Interno Bruto en México. Primer Trimestre de 2020</dc:title>
  <dc:creator>Laura Calles</dc:creator>
  <cp:lastModifiedBy>GUILLEN MEDINA MOISES</cp:lastModifiedBy>
  <cp:revision>279</cp:revision>
  <cp:lastPrinted>2020-01-29T18:40:00Z</cp:lastPrinted>
  <dcterms:created xsi:type="dcterms:W3CDTF">2018-01-29T21:14:00Z</dcterms:created>
  <dcterms:modified xsi:type="dcterms:W3CDTF">2020-04-29T22:31:00Z</dcterms:modified>
</cp:coreProperties>
</file>