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8E184" w14:textId="77777777" w:rsidR="002424EB" w:rsidRDefault="002424EB" w:rsidP="008C2DCC">
      <w:pPr>
        <w:pStyle w:val="Default"/>
        <w:ind w:left="-567" w:right="-142"/>
        <w:jc w:val="center"/>
        <w:rPr>
          <w:b/>
          <w:bCs/>
        </w:rPr>
      </w:pPr>
    </w:p>
    <w:p w14:paraId="172A0F76" w14:textId="2148BA5B" w:rsidR="00FF1326" w:rsidRDefault="0004518F" w:rsidP="008C2DCC">
      <w:pPr>
        <w:pStyle w:val="Default"/>
        <w:ind w:left="-567" w:right="-142"/>
        <w:jc w:val="center"/>
        <w:rPr>
          <w:b/>
          <w:bCs/>
        </w:rPr>
      </w:pPr>
      <w:bookmarkStart w:id="0" w:name="_GoBack"/>
      <w:bookmarkEnd w:id="0"/>
      <w:r>
        <w:rPr>
          <w:b/>
          <w:bCs/>
        </w:rPr>
        <w:t>RESULTADOS DE</w:t>
      </w:r>
      <w:r w:rsidR="00AA14DE">
        <w:rPr>
          <w:b/>
          <w:bCs/>
        </w:rPr>
        <w:t xml:space="preserve"> LOS</w:t>
      </w:r>
      <w:r w:rsidRPr="00610160">
        <w:rPr>
          <w:b/>
          <w:bCs/>
        </w:rPr>
        <w:t xml:space="preserve"> CENSO</w:t>
      </w:r>
      <w:r w:rsidR="00AA14DE">
        <w:rPr>
          <w:b/>
          <w:bCs/>
        </w:rPr>
        <w:t>S</w:t>
      </w:r>
      <w:r w:rsidRPr="00610160">
        <w:rPr>
          <w:b/>
          <w:bCs/>
        </w:rPr>
        <w:t xml:space="preserve"> NACIONAL</w:t>
      </w:r>
      <w:r w:rsidR="00AA14DE">
        <w:rPr>
          <w:b/>
          <w:bCs/>
        </w:rPr>
        <w:t>ES</w:t>
      </w:r>
      <w:r w:rsidR="007A2F90">
        <w:rPr>
          <w:b/>
          <w:bCs/>
        </w:rPr>
        <w:t xml:space="preserve"> </w:t>
      </w:r>
      <w:r w:rsidRPr="00610160">
        <w:rPr>
          <w:b/>
          <w:bCs/>
        </w:rPr>
        <w:t xml:space="preserve">DE </w:t>
      </w:r>
      <w:r w:rsidR="00FA6B98">
        <w:rPr>
          <w:b/>
          <w:bCs/>
        </w:rPr>
        <w:t>DERECHOS HUMANOS</w:t>
      </w:r>
      <w:r w:rsidR="007A2F90">
        <w:rPr>
          <w:b/>
          <w:bCs/>
        </w:rPr>
        <w:t xml:space="preserve"> </w:t>
      </w:r>
    </w:p>
    <w:p w14:paraId="3C3710C7" w14:textId="0AE6FBD9" w:rsidR="0004518F" w:rsidRPr="001F5BAC" w:rsidRDefault="007A2F90" w:rsidP="008C2DCC">
      <w:pPr>
        <w:pStyle w:val="Default"/>
        <w:ind w:left="-567" w:right="-142"/>
        <w:jc w:val="center"/>
      </w:pPr>
      <w:r>
        <w:rPr>
          <w:b/>
          <w:bCs/>
        </w:rPr>
        <w:t>EN LOS ÁMBITOS FEDERAL Y ESTATAL</w:t>
      </w:r>
      <w:r w:rsidR="0004518F" w:rsidRPr="00610160">
        <w:rPr>
          <w:b/>
          <w:bCs/>
        </w:rPr>
        <w:t xml:space="preserve"> (CN</w:t>
      </w:r>
      <w:r w:rsidR="0072105B">
        <w:rPr>
          <w:b/>
          <w:bCs/>
        </w:rPr>
        <w:t>DH</w:t>
      </w:r>
      <w:r>
        <w:rPr>
          <w:b/>
          <w:bCs/>
        </w:rPr>
        <w:t>F-E</w:t>
      </w:r>
      <w:r w:rsidR="0004518F" w:rsidRPr="00610160">
        <w:rPr>
          <w:b/>
          <w:bCs/>
        </w:rPr>
        <w:t>)</w:t>
      </w:r>
      <w:r w:rsidR="0004518F">
        <w:rPr>
          <w:b/>
          <w:bCs/>
        </w:rPr>
        <w:t xml:space="preserve"> 202</w:t>
      </w:r>
      <w:r w:rsidR="00513737">
        <w:rPr>
          <w:b/>
          <w:bCs/>
        </w:rPr>
        <w:t>1</w:t>
      </w:r>
    </w:p>
    <w:p w14:paraId="278B6AFA" w14:textId="77777777" w:rsidR="0004518F" w:rsidRPr="008C2DCC" w:rsidRDefault="0004518F" w:rsidP="008C2DCC">
      <w:pPr>
        <w:spacing w:after="0" w:line="240" w:lineRule="auto"/>
        <w:jc w:val="center"/>
        <w:rPr>
          <w:rFonts w:ascii="Arial" w:hAnsi="Arial" w:cs="Arial"/>
          <w:b/>
          <w:bCs/>
        </w:rPr>
      </w:pPr>
    </w:p>
    <w:p w14:paraId="146BAB79" w14:textId="3BFB762C" w:rsidR="00DF146A" w:rsidRPr="00966F08" w:rsidRDefault="002D03B5" w:rsidP="00813E17">
      <w:pPr>
        <w:pStyle w:val="Prrafodelista"/>
        <w:numPr>
          <w:ilvl w:val="0"/>
          <w:numId w:val="1"/>
        </w:numPr>
        <w:spacing w:after="0" w:line="240" w:lineRule="auto"/>
        <w:ind w:left="-142" w:right="284" w:hanging="284"/>
        <w:jc w:val="both"/>
        <w:rPr>
          <w:rFonts w:ascii="Arial" w:hAnsi="Arial" w:cs="Arial"/>
          <w:bCs/>
          <w:iCs/>
          <w:noProof/>
          <w:sz w:val="21"/>
          <w:szCs w:val="21"/>
          <w:lang w:eastAsia="es-MX"/>
        </w:rPr>
      </w:pPr>
      <w:r w:rsidRPr="00966F08">
        <w:rPr>
          <w:rFonts w:ascii="Arial" w:hAnsi="Arial" w:cs="Arial"/>
          <w:bCs/>
          <w:iCs/>
          <w:noProof/>
          <w:sz w:val="21"/>
          <w:szCs w:val="21"/>
          <w:lang w:eastAsia="es-MX"/>
        </w:rPr>
        <w:t xml:space="preserve">Al cierre de </w:t>
      </w:r>
      <w:r w:rsidR="0026099F" w:rsidRPr="00966F08">
        <w:rPr>
          <w:rFonts w:ascii="Arial" w:hAnsi="Arial" w:cs="Arial"/>
          <w:bCs/>
          <w:iCs/>
          <w:noProof/>
          <w:sz w:val="21"/>
          <w:szCs w:val="21"/>
          <w:lang w:eastAsia="es-MX"/>
        </w:rPr>
        <w:t xml:space="preserve">2020, </w:t>
      </w:r>
      <w:r w:rsidRPr="00966F08">
        <w:rPr>
          <w:rFonts w:ascii="Arial" w:hAnsi="Arial" w:cs="Arial"/>
          <w:bCs/>
          <w:iCs/>
          <w:noProof/>
          <w:sz w:val="21"/>
          <w:szCs w:val="21"/>
          <w:lang w:eastAsia="es-MX"/>
        </w:rPr>
        <w:t xml:space="preserve">la Comisión Nacional de </w:t>
      </w:r>
      <w:r w:rsidR="00446306" w:rsidRPr="00966F08">
        <w:rPr>
          <w:rFonts w:ascii="Arial" w:hAnsi="Arial" w:cs="Arial"/>
          <w:bCs/>
          <w:iCs/>
          <w:noProof/>
          <w:sz w:val="21"/>
          <w:szCs w:val="21"/>
          <w:lang w:eastAsia="es-MX"/>
        </w:rPr>
        <w:t xml:space="preserve">los </w:t>
      </w:r>
      <w:r w:rsidRPr="00966F08">
        <w:rPr>
          <w:rFonts w:ascii="Arial" w:hAnsi="Arial" w:cs="Arial"/>
          <w:bCs/>
          <w:iCs/>
          <w:noProof/>
          <w:sz w:val="21"/>
          <w:szCs w:val="21"/>
          <w:lang w:eastAsia="es-MX"/>
        </w:rPr>
        <w:t>Derechos Humanos (CNDH) y los Organismos Públicos de Derechos Humanos (OPDH) de las entidades federativas reportaron un personal de 5 844 servidoras y se</w:t>
      </w:r>
      <w:r w:rsidR="00A72C55" w:rsidRPr="00966F08">
        <w:rPr>
          <w:rFonts w:ascii="Arial" w:hAnsi="Arial" w:cs="Arial"/>
          <w:bCs/>
          <w:iCs/>
          <w:noProof/>
          <w:sz w:val="21"/>
          <w:szCs w:val="21"/>
          <w:lang w:eastAsia="es-MX"/>
        </w:rPr>
        <w:t>r</w:t>
      </w:r>
      <w:r w:rsidRPr="00966F08">
        <w:rPr>
          <w:rFonts w:ascii="Arial" w:hAnsi="Arial" w:cs="Arial"/>
          <w:bCs/>
          <w:iCs/>
          <w:noProof/>
          <w:sz w:val="21"/>
          <w:szCs w:val="21"/>
          <w:lang w:eastAsia="es-MX"/>
        </w:rPr>
        <w:t xml:space="preserve">vidores públicos y un presupuesto ejercido de 3 430 millones de pesos. </w:t>
      </w:r>
    </w:p>
    <w:p w14:paraId="019E0D17" w14:textId="77777777" w:rsidR="00DF146A" w:rsidRPr="00966F08" w:rsidRDefault="00DF146A" w:rsidP="00F056AA">
      <w:pPr>
        <w:spacing w:after="0" w:line="240" w:lineRule="auto"/>
        <w:ind w:right="284"/>
        <w:jc w:val="both"/>
        <w:rPr>
          <w:rFonts w:ascii="Arial" w:hAnsi="Arial" w:cs="Arial"/>
          <w:bCs/>
          <w:iCs/>
          <w:noProof/>
          <w:sz w:val="21"/>
          <w:szCs w:val="21"/>
          <w:highlight w:val="yellow"/>
          <w:lang w:eastAsia="es-MX"/>
        </w:rPr>
      </w:pPr>
    </w:p>
    <w:p w14:paraId="2768CD73" w14:textId="578C0906" w:rsidR="00DF146A" w:rsidRPr="00966F08" w:rsidRDefault="0026099F" w:rsidP="00813E17">
      <w:pPr>
        <w:pStyle w:val="Prrafodelista"/>
        <w:numPr>
          <w:ilvl w:val="0"/>
          <w:numId w:val="1"/>
        </w:numPr>
        <w:spacing w:after="0" w:line="240" w:lineRule="auto"/>
        <w:ind w:left="-142" w:right="284" w:hanging="284"/>
        <w:jc w:val="both"/>
        <w:rPr>
          <w:rFonts w:ascii="Arial" w:hAnsi="Arial" w:cs="Arial"/>
          <w:bCs/>
          <w:iCs/>
          <w:noProof/>
          <w:sz w:val="21"/>
          <w:szCs w:val="21"/>
          <w:lang w:eastAsia="es-MX"/>
        </w:rPr>
      </w:pPr>
      <w:r w:rsidRPr="00966F08">
        <w:rPr>
          <w:rFonts w:ascii="Arial" w:hAnsi="Arial" w:cs="Arial"/>
          <w:bCs/>
          <w:iCs/>
          <w:noProof/>
          <w:sz w:val="21"/>
          <w:szCs w:val="21"/>
          <w:lang w:eastAsia="es-MX"/>
        </w:rPr>
        <w:t>En el mismo periodo, se registraron 252 066 hechos presuntamente violatorios registrados en los expedientes de queja calificados como presuntamente violatorios de derechos humanos.</w:t>
      </w:r>
      <w:r w:rsidR="00ED7194" w:rsidRPr="00966F08">
        <w:rPr>
          <w:rFonts w:ascii="Arial" w:hAnsi="Arial" w:cs="Arial"/>
          <w:sz w:val="21"/>
          <w:szCs w:val="21"/>
        </w:rPr>
        <w:t xml:space="preserve"> </w:t>
      </w:r>
      <w:r w:rsidR="002D03B5" w:rsidRPr="00966F08">
        <w:rPr>
          <w:rFonts w:ascii="Arial" w:hAnsi="Arial" w:cs="Arial"/>
          <w:bCs/>
          <w:iCs/>
          <w:noProof/>
          <w:sz w:val="21"/>
          <w:szCs w:val="21"/>
          <w:lang w:eastAsia="es-MX"/>
        </w:rPr>
        <w:t>Los tipos de hechos que presentaron mayores incrementos fueron violación al principio de legalidad en el desempeño de la función pública, daño ambiental y omisión en el suministro de medicamentos.</w:t>
      </w:r>
      <w:r w:rsidR="00ED7194" w:rsidRPr="00966F08">
        <w:rPr>
          <w:rFonts w:ascii="Arial" w:hAnsi="Arial" w:cs="Arial"/>
          <w:sz w:val="21"/>
          <w:szCs w:val="21"/>
        </w:rPr>
        <w:t xml:space="preserve"> </w:t>
      </w:r>
    </w:p>
    <w:p w14:paraId="7A9E810D" w14:textId="77777777" w:rsidR="00DF146A" w:rsidRPr="00966F08" w:rsidRDefault="00DF146A" w:rsidP="00813E17">
      <w:pPr>
        <w:pStyle w:val="Prrafodelista"/>
        <w:spacing w:after="0" w:line="240" w:lineRule="auto"/>
        <w:ind w:left="-142" w:right="284" w:hanging="284"/>
        <w:jc w:val="both"/>
        <w:rPr>
          <w:rFonts w:ascii="Arial" w:hAnsi="Arial" w:cs="Arial"/>
          <w:bCs/>
          <w:iCs/>
          <w:noProof/>
          <w:sz w:val="21"/>
          <w:szCs w:val="21"/>
          <w:highlight w:val="yellow"/>
          <w:lang w:eastAsia="es-MX"/>
        </w:rPr>
      </w:pPr>
    </w:p>
    <w:p w14:paraId="2DC9D7FB" w14:textId="4BE4485A" w:rsidR="00DF146A" w:rsidRPr="00966F08" w:rsidRDefault="00ED7194" w:rsidP="00813E17">
      <w:pPr>
        <w:pStyle w:val="Prrafodelista"/>
        <w:numPr>
          <w:ilvl w:val="0"/>
          <w:numId w:val="1"/>
        </w:numPr>
        <w:spacing w:after="0" w:line="240" w:lineRule="auto"/>
        <w:ind w:left="-142" w:right="284" w:hanging="284"/>
        <w:jc w:val="both"/>
        <w:rPr>
          <w:rFonts w:ascii="Arial" w:hAnsi="Arial" w:cs="Arial"/>
          <w:bCs/>
          <w:iCs/>
          <w:noProof/>
          <w:sz w:val="21"/>
          <w:szCs w:val="21"/>
          <w:lang w:eastAsia="es-MX"/>
        </w:rPr>
      </w:pPr>
      <w:r w:rsidRPr="00966F08">
        <w:rPr>
          <w:rFonts w:ascii="Arial" w:hAnsi="Arial" w:cs="Arial"/>
          <w:bCs/>
          <w:iCs/>
          <w:noProof/>
          <w:sz w:val="21"/>
          <w:szCs w:val="21"/>
          <w:lang w:eastAsia="es-MX"/>
        </w:rPr>
        <w:t>Derivado de las recomendaciones emitidas por la CNDH y los OPDH, durante 2020</w:t>
      </w:r>
      <w:r w:rsidR="00EA3409" w:rsidRPr="00966F08">
        <w:rPr>
          <w:rFonts w:ascii="Arial" w:hAnsi="Arial" w:cs="Arial"/>
          <w:bCs/>
          <w:iCs/>
          <w:noProof/>
          <w:sz w:val="21"/>
          <w:szCs w:val="21"/>
          <w:lang w:eastAsia="es-MX"/>
        </w:rPr>
        <w:t>,</w:t>
      </w:r>
      <w:r w:rsidRPr="00966F08">
        <w:rPr>
          <w:rFonts w:ascii="Arial" w:hAnsi="Arial" w:cs="Arial"/>
          <w:bCs/>
          <w:iCs/>
          <w:noProof/>
          <w:sz w:val="21"/>
          <w:szCs w:val="21"/>
          <w:lang w:eastAsia="es-MX"/>
        </w:rPr>
        <w:t xml:space="preserve"> se sancionó a 489 servidoras y servidores públicos, cifra que representó una disminución de 38.3%, respecto de lo reportado en 2019</w:t>
      </w:r>
      <w:r w:rsidR="00DF146A" w:rsidRPr="00966F08">
        <w:rPr>
          <w:rFonts w:ascii="Arial" w:hAnsi="Arial" w:cs="Arial"/>
          <w:bCs/>
          <w:iCs/>
          <w:noProof/>
          <w:sz w:val="21"/>
          <w:szCs w:val="21"/>
          <w:lang w:eastAsia="es-MX"/>
        </w:rPr>
        <w:t xml:space="preserve">. </w:t>
      </w:r>
      <w:r w:rsidR="008C2DCC" w:rsidRPr="00966F08">
        <w:rPr>
          <w:rFonts w:ascii="Arial" w:hAnsi="Arial" w:cs="Arial"/>
          <w:bCs/>
          <w:iCs/>
          <w:noProof/>
          <w:sz w:val="21"/>
          <w:szCs w:val="21"/>
          <w:lang w:eastAsia="es-MX"/>
        </w:rPr>
        <w:t>Del total de servidores públicos sancionados,</w:t>
      </w:r>
      <w:r w:rsidR="00DF146A" w:rsidRPr="00966F08">
        <w:rPr>
          <w:rFonts w:ascii="Arial" w:hAnsi="Arial" w:cs="Arial"/>
          <w:bCs/>
          <w:iCs/>
          <w:noProof/>
          <w:sz w:val="21"/>
          <w:szCs w:val="21"/>
          <w:lang w:eastAsia="es-MX"/>
        </w:rPr>
        <w:t xml:space="preserve"> </w:t>
      </w:r>
      <w:r w:rsidR="004D2A1E" w:rsidRPr="00966F08">
        <w:rPr>
          <w:rFonts w:ascii="Arial" w:hAnsi="Arial" w:cs="Arial"/>
          <w:bCs/>
          <w:iCs/>
          <w:noProof/>
          <w:sz w:val="21"/>
          <w:szCs w:val="21"/>
          <w:lang w:eastAsia="es-MX"/>
        </w:rPr>
        <w:t>46.0%</w:t>
      </w:r>
      <w:r w:rsidR="00DF146A" w:rsidRPr="00966F08">
        <w:rPr>
          <w:rFonts w:ascii="Arial" w:hAnsi="Arial" w:cs="Arial"/>
          <w:bCs/>
          <w:iCs/>
          <w:noProof/>
          <w:sz w:val="21"/>
          <w:szCs w:val="21"/>
          <w:lang w:eastAsia="es-MX"/>
        </w:rPr>
        <w:t xml:space="preserve"> provenía de las instituciones encargadas de la función de seguridad pública y/o vialidad</w:t>
      </w:r>
      <w:r w:rsidR="00FB6FF8" w:rsidRPr="00966F08">
        <w:rPr>
          <w:rFonts w:ascii="Arial" w:hAnsi="Arial" w:cs="Arial"/>
          <w:bCs/>
          <w:iCs/>
          <w:noProof/>
          <w:sz w:val="21"/>
          <w:szCs w:val="21"/>
          <w:lang w:eastAsia="es-MX"/>
        </w:rPr>
        <w:t>.</w:t>
      </w:r>
    </w:p>
    <w:p w14:paraId="264BDEC7" w14:textId="77777777" w:rsidR="0004518F" w:rsidRPr="00966F08" w:rsidRDefault="0004518F" w:rsidP="008C2DCC">
      <w:pPr>
        <w:pStyle w:val="Prrafodelista"/>
        <w:spacing w:after="0" w:line="240" w:lineRule="auto"/>
        <w:ind w:left="284" w:right="567"/>
        <w:jc w:val="both"/>
        <w:rPr>
          <w:rFonts w:ascii="Arial" w:hAnsi="Arial" w:cs="Arial"/>
          <w:sz w:val="21"/>
          <w:szCs w:val="21"/>
        </w:rPr>
      </w:pPr>
    </w:p>
    <w:p w14:paraId="04F67B03" w14:textId="51F6ECF7" w:rsidR="00B64CC5" w:rsidRPr="00966F08" w:rsidRDefault="0004518F" w:rsidP="008C2DCC">
      <w:pPr>
        <w:spacing w:after="0" w:line="240" w:lineRule="auto"/>
        <w:ind w:left="-567"/>
        <w:jc w:val="both"/>
        <w:rPr>
          <w:rFonts w:ascii="Arial" w:hAnsi="Arial" w:cs="Arial"/>
          <w:color w:val="000000"/>
          <w:sz w:val="21"/>
          <w:szCs w:val="21"/>
        </w:rPr>
      </w:pPr>
      <w:r w:rsidRPr="00966F08">
        <w:rPr>
          <w:rFonts w:ascii="Arial" w:hAnsi="Arial" w:cs="Arial"/>
          <w:color w:val="000000"/>
          <w:sz w:val="21"/>
          <w:szCs w:val="21"/>
        </w:rPr>
        <w:t xml:space="preserve">El Instituto Nacional de Estadística y Geografía (INEGI) da a conocer </w:t>
      </w:r>
      <w:r w:rsidR="0035301D" w:rsidRPr="00966F08">
        <w:rPr>
          <w:rFonts w:ascii="Arial" w:hAnsi="Arial" w:cs="Arial"/>
          <w:color w:val="000000"/>
          <w:sz w:val="21"/>
          <w:szCs w:val="21"/>
        </w:rPr>
        <w:t>los</w:t>
      </w:r>
      <w:r w:rsidRPr="00966F08">
        <w:rPr>
          <w:rFonts w:ascii="Arial" w:hAnsi="Arial" w:cs="Arial"/>
          <w:color w:val="000000"/>
          <w:sz w:val="21"/>
          <w:szCs w:val="21"/>
        </w:rPr>
        <w:t xml:space="preserve"> Censo</w:t>
      </w:r>
      <w:r w:rsidR="0035301D" w:rsidRPr="00966F08">
        <w:rPr>
          <w:rFonts w:ascii="Arial" w:hAnsi="Arial" w:cs="Arial"/>
          <w:color w:val="000000"/>
          <w:sz w:val="21"/>
          <w:szCs w:val="21"/>
        </w:rPr>
        <w:t>s</w:t>
      </w:r>
      <w:r w:rsidRPr="00966F08">
        <w:rPr>
          <w:rFonts w:ascii="Arial" w:hAnsi="Arial" w:cs="Arial"/>
          <w:color w:val="000000"/>
          <w:sz w:val="21"/>
          <w:szCs w:val="21"/>
        </w:rPr>
        <w:t xml:space="preserve"> Nacional</w:t>
      </w:r>
      <w:r w:rsidR="0035301D" w:rsidRPr="00966F08">
        <w:rPr>
          <w:rFonts w:ascii="Arial" w:hAnsi="Arial" w:cs="Arial"/>
          <w:color w:val="000000"/>
          <w:sz w:val="21"/>
          <w:szCs w:val="21"/>
        </w:rPr>
        <w:t>es</w:t>
      </w:r>
      <w:r w:rsidRPr="00966F08">
        <w:rPr>
          <w:rFonts w:ascii="Arial" w:hAnsi="Arial" w:cs="Arial"/>
          <w:color w:val="000000"/>
          <w:sz w:val="21"/>
          <w:szCs w:val="21"/>
        </w:rPr>
        <w:t xml:space="preserve"> de </w:t>
      </w:r>
      <w:r w:rsidR="0072105B" w:rsidRPr="00966F08">
        <w:rPr>
          <w:rFonts w:ascii="Arial" w:hAnsi="Arial" w:cs="Arial"/>
          <w:color w:val="000000"/>
          <w:sz w:val="21"/>
          <w:szCs w:val="21"/>
        </w:rPr>
        <w:t>Derechos Humanos</w:t>
      </w:r>
      <w:r w:rsidR="007A2F90" w:rsidRPr="00966F08">
        <w:rPr>
          <w:rFonts w:ascii="Arial" w:hAnsi="Arial" w:cs="Arial"/>
          <w:color w:val="000000"/>
          <w:sz w:val="21"/>
          <w:szCs w:val="21"/>
        </w:rPr>
        <w:t xml:space="preserve"> en los ámbitos federal y estatal</w:t>
      </w:r>
      <w:r w:rsidRPr="00966F08">
        <w:rPr>
          <w:rFonts w:ascii="Arial" w:hAnsi="Arial" w:cs="Arial"/>
          <w:color w:val="000000"/>
          <w:sz w:val="21"/>
          <w:szCs w:val="21"/>
        </w:rPr>
        <w:t xml:space="preserve"> (CN</w:t>
      </w:r>
      <w:r w:rsidR="0072105B" w:rsidRPr="00966F08">
        <w:rPr>
          <w:rFonts w:ascii="Arial" w:hAnsi="Arial" w:cs="Arial"/>
          <w:color w:val="000000"/>
          <w:sz w:val="21"/>
          <w:szCs w:val="21"/>
        </w:rPr>
        <w:t>DH</w:t>
      </w:r>
      <w:r w:rsidRPr="00966F08">
        <w:rPr>
          <w:rFonts w:ascii="Arial" w:hAnsi="Arial" w:cs="Arial"/>
          <w:color w:val="000000"/>
          <w:sz w:val="21"/>
          <w:szCs w:val="21"/>
        </w:rPr>
        <w:t>F</w:t>
      </w:r>
      <w:r w:rsidR="007A2F90" w:rsidRPr="00966F08">
        <w:rPr>
          <w:rFonts w:ascii="Arial" w:hAnsi="Arial" w:cs="Arial"/>
          <w:color w:val="000000"/>
          <w:sz w:val="21"/>
          <w:szCs w:val="21"/>
        </w:rPr>
        <w:t>-E</w:t>
      </w:r>
      <w:r w:rsidRPr="00966F08">
        <w:rPr>
          <w:rFonts w:ascii="Arial" w:hAnsi="Arial" w:cs="Arial"/>
          <w:color w:val="000000"/>
          <w:sz w:val="21"/>
          <w:szCs w:val="21"/>
        </w:rPr>
        <w:t>) 202</w:t>
      </w:r>
      <w:r w:rsidR="0072756B" w:rsidRPr="00966F08">
        <w:rPr>
          <w:rFonts w:ascii="Arial" w:hAnsi="Arial" w:cs="Arial"/>
          <w:color w:val="000000"/>
          <w:sz w:val="21"/>
          <w:szCs w:val="21"/>
        </w:rPr>
        <w:t>1</w:t>
      </w:r>
      <w:r w:rsidRPr="00966F08">
        <w:rPr>
          <w:rFonts w:ascii="Arial" w:hAnsi="Arial" w:cs="Arial"/>
          <w:color w:val="000000"/>
          <w:sz w:val="21"/>
          <w:szCs w:val="21"/>
        </w:rPr>
        <w:t>, programa</w:t>
      </w:r>
      <w:r w:rsidR="0035301D" w:rsidRPr="00966F08">
        <w:rPr>
          <w:rFonts w:ascii="Arial" w:hAnsi="Arial" w:cs="Arial"/>
          <w:color w:val="000000"/>
          <w:sz w:val="21"/>
          <w:szCs w:val="21"/>
        </w:rPr>
        <w:t>s</w:t>
      </w:r>
      <w:r w:rsidRPr="00966F08">
        <w:rPr>
          <w:rFonts w:ascii="Arial" w:hAnsi="Arial" w:cs="Arial"/>
          <w:color w:val="000000"/>
          <w:sz w:val="21"/>
          <w:szCs w:val="21"/>
        </w:rPr>
        <w:t xml:space="preserve"> estadístico</w:t>
      </w:r>
      <w:r w:rsidR="0035301D" w:rsidRPr="00966F08">
        <w:rPr>
          <w:rFonts w:ascii="Arial" w:hAnsi="Arial" w:cs="Arial"/>
          <w:color w:val="000000"/>
          <w:sz w:val="21"/>
          <w:szCs w:val="21"/>
        </w:rPr>
        <w:t>s</w:t>
      </w:r>
      <w:r w:rsidRPr="00966F08">
        <w:rPr>
          <w:rFonts w:ascii="Arial" w:hAnsi="Arial" w:cs="Arial"/>
          <w:color w:val="000000"/>
          <w:sz w:val="21"/>
          <w:szCs w:val="21"/>
        </w:rPr>
        <w:t xml:space="preserve"> que ofrece</w:t>
      </w:r>
      <w:r w:rsidR="0035301D" w:rsidRPr="00966F08">
        <w:rPr>
          <w:rFonts w:ascii="Arial" w:hAnsi="Arial" w:cs="Arial"/>
          <w:color w:val="000000"/>
          <w:sz w:val="21"/>
          <w:szCs w:val="21"/>
        </w:rPr>
        <w:t>n</w:t>
      </w:r>
      <w:r w:rsidRPr="00966F08">
        <w:rPr>
          <w:rFonts w:ascii="Arial" w:hAnsi="Arial" w:cs="Arial"/>
          <w:color w:val="000000"/>
          <w:sz w:val="21"/>
          <w:szCs w:val="21"/>
        </w:rPr>
        <w:t xml:space="preserve"> información relevante sobre la estructura organizacional, recursos y ejercicio de la función de</w:t>
      </w:r>
      <w:r w:rsidR="003073C1" w:rsidRPr="00966F08">
        <w:rPr>
          <w:rFonts w:ascii="Arial" w:hAnsi="Arial" w:cs="Arial"/>
          <w:color w:val="000000"/>
          <w:sz w:val="21"/>
          <w:szCs w:val="21"/>
        </w:rPr>
        <w:t xml:space="preserve"> la Comisión Nacional de </w:t>
      </w:r>
      <w:r w:rsidR="00446306" w:rsidRPr="00966F08">
        <w:rPr>
          <w:rFonts w:ascii="Arial" w:hAnsi="Arial" w:cs="Arial"/>
          <w:color w:val="000000"/>
          <w:sz w:val="21"/>
          <w:szCs w:val="21"/>
        </w:rPr>
        <w:t xml:space="preserve">los </w:t>
      </w:r>
      <w:r w:rsidR="003073C1" w:rsidRPr="00966F08">
        <w:rPr>
          <w:rFonts w:ascii="Arial" w:hAnsi="Arial" w:cs="Arial"/>
          <w:color w:val="000000"/>
          <w:sz w:val="21"/>
          <w:szCs w:val="21"/>
        </w:rPr>
        <w:t xml:space="preserve">Derechos Humanos (CNDH) y </w:t>
      </w:r>
      <w:r w:rsidR="00CE5546" w:rsidRPr="00966F08">
        <w:rPr>
          <w:rFonts w:ascii="Arial" w:hAnsi="Arial" w:cs="Arial"/>
          <w:color w:val="000000"/>
          <w:sz w:val="21"/>
          <w:szCs w:val="21"/>
        </w:rPr>
        <w:t>de</w:t>
      </w:r>
      <w:r w:rsidR="0035301D" w:rsidRPr="00966F08">
        <w:rPr>
          <w:rFonts w:ascii="Arial" w:hAnsi="Arial" w:cs="Arial"/>
          <w:color w:val="000000"/>
          <w:sz w:val="21"/>
          <w:szCs w:val="21"/>
        </w:rPr>
        <w:t xml:space="preserve"> </w:t>
      </w:r>
      <w:r w:rsidR="003073C1" w:rsidRPr="00966F08">
        <w:rPr>
          <w:rFonts w:ascii="Arial" w:hAnsi="Arial" w:cs="Arial"/>
          <w:color w:val="000000"/>
          <w:sz w:val="21"/>
          <w:szCs w:val="21"/>
        </w:rPr>
        <w:t xml:space="preserve">los </w:t>
      </w:r>
      <w:r w:rsidR="00091DA1" w:rsidRPr="00966F08">
        <w:rPr>
          <w:rFonts w:ascii="Arial" w:hAnsi="Arial" w:cs="Arial"/>
          <w:color w:val="000000"/>
          <w:sz w:val="21"/>
          <w:szCs w:val="21"/>
        </w:rPr>
        <w:t>O</w:t>
      </w:r>
      <w:r w:rsidR="00181373" w:rsidRPr="00966F08">
        <w:rPr>
          <w:rFonts w:ascii="Arial" w:hAnsi="Arial" w:cs="Arial"/>
          <w:color w:val="000000"/>
          <w:sz w:val="21"/>
          <w:szCs w:val="21"/>
        </w:rPr>
        <w:t xml:space="preserve">rganismos </w:t>
      </w:r>
      <w:r w:rsidR="00091DA1" w:rsidRPr="00966F08">
        <w:rPr>
          <w:rFonts w:ascii="Arial" w:hAnsi="Arial" w:cs="Arial"/>
          <w:color w:val="000000"/>
          <w:sz w:val="21"/>
          <w:szCs w:val="21"/>
        </w:rPr>
        <w:t>P</w:t>
      </w:r>
      <w:r w:rsidR="00181373" w:rsidRPr="00966F08">
        <w:rPr>
          <w:rFonts w:ascii="Arial" w:hAnsi="Arial" w:cs="Arial"/>
          <w:color w:val="000000"/>
          <w:sz w:val="21"/>
          <w:szCs w:val="21"/>
        </w:rPr>
        <w:t xml:space="preserve">úblicos de </w:t>
      </w:r>
      <w:r w:rsidR="00091DA1" w:rsidRPr="00966F08">
        <w:rPr>
          <w:rFonts w:ascii="Arial" w:hAnsi="Arial" w:cs="Arial"/>
          <w:color w:val="000000"/>
          <w:sz w:val="21"/>
          <w:szCs w:val="21"/>
        </w:rPr>
        <w:t>D</w:t>
      </w:r>
      <w:r w:rsidR="00181373" w:rsidRPr="00966F08">
        <w:rPr>
          <w:rFonts w:ascii="Arial" w:hAnsi="Arial" w:cs="Arial"/>
          <w:color w:val="000000"/>
          <w:sz w:val="21"/>
          <w:szCs w:val="21"/>
        </w:rPr>
        <w:t xml:space="preserve">erechos </w:t>
      </w:r>
      <w:r w:rsidR="00091DA1" w:rsidRPr="00966F08">
        <w:rPr>
          <w:rFonts w:ascii="Arial" w:hAnsi="Arial" w:cs="Arial"/>
          <w:color w:val="000000"/>
          <w:sz w:val="21"/>
          <w:szCs w:val="21"/>
        </w:rPr>
        <w:t>H</w:t>
      </w:r>
      <w:r w:rsidR="00181373" w:rsidRPr="00966F08">
        <w:rPr>
          <w:rFonts w:ascii="Arial" w:hAnsi="Arial" w:cs="Arial"/>
          <w:color w:val="000000"/>
          <w:sz w:val="21"/>
          <w:szCs w:val="21"/>
        </w:rPr>
        <w:t xml:space="preserve">umanos </w:t>
      </w:r>
      <w:r w:rsidR="004D16E3" w:rsidRPr="00966F08">
        <w:rPr>
          <w:rFonts w:ascii="Arial" w:hAnsi="Arial" w:cs="Arial"/>
          <w:color w:val="000000"/>
          <w:sz w:val="21"/>
          <w:szCs w:val="21"/>
        </w:rPr>
        <w:t>de las entidades federativas (O</w:t>
      </w:r>
      <w:r w:rsidR="003073C1" w:rsidRPr="00966F08">
        <w:rPr>
          <w:rFonts w:ascii="Arial" w:hAnsi="Arial" w:cs="Arial"/>
          <w:color w:val="000000"/>
          <w:sz w:val="21"/>
          <w:szCs w:val="21"/>
        </w:rPr>
        <w:t>PDH</w:t>
      </w:r>
      <w:r w:rsidR="004D16E3" w:rsidRPr="00966F08">
        <w:rPr>
          <w:rFonts w:ascii="Arial" w:hAnsi="Arial" w:cs="Arial"/>
          <w:color w:val="000000"/>
          <w:sz w:val="21"/>
          <w:szCs w:val="21"/>
        </w:rPr>
        <w:t>)</w:t>
      </w:r>
      <w:r w:rsidR="00F41EB0" w:rsidRPr="00966F08">
        <w:rPr>
          <w:rFonts w:ascii="Arial" w:hAnsi="Arial" w:cs="Arial"/>
          <w:color w:val="000000"/>
          <w:sz w:val="21"/>
          <w:szCs w:val="21"/>
        </w:rPr>
        <w:t>,</w:t>
      </w:r>
      <w:r w:rsidR="00C5592F" w:rsidRPr="00966F08">
        <w:rPr>
          <w:rFonts w:ascii="Arial" w:hAnsi="Arial" w:cs="Arial"/>
          <w:sz w:val="21"/>
          <w:szCs w:val="21"/>
        </w:rPr>
        <w:t xml:space="preserve"> </w:t>
      </w:r>
      <w:r w:rsidR="00B64CC5" w:rsidRPr="00966F08">
        <w:rPr>
          <w:rFonts w:ascii="Arial" w:hAnsi="Arial" w:cs="Arial"/>
          <w:color w:val="000000"/>
          <w:sz w:val="21"/>
          <w:szCs w:val="21"/>
        </w:rPr>
        <w:t xml:space="preserve">específicamente en </w:t>
      </w:r>
      <w:r w:rsidR="0072105B" w:rsidRPr="00966F08">
        <w:rPr>
          <w:rFonts w:ascii="Arial" w:hAnsi="Arial" w:cs="Arial"/>
          <w:color w:val="000000"/>
          <w:sz w:val="21"/>
          <w:szCs w:val="21"/>
        </w:rPr>
        <w:t>funciones de gobierno y capacitación, difusión, defensa y protección de los derechos humanos</w:t>
      </w:r>
      <w:r w:rsidR="00B64CC5" w:rsidRPr="00966F08">
        <w:rPr>
          <w:rFonts w:ascii="Arial" w:hAnsi="Arial" w:cs="Arial"/>
          <w:color w:val="000000"/>
          <w:sz w:val="21"/>
          <w:szCs w:val="21"/>
        </w:rPr>
        <w:t xml:space="preserve">, con la finalidad de que </w:t>
      </w:r>
      <w:r w:rsidR="00C15E92" w:rsidRPr="00966F08">
        <w:rPr>
          <w:rFonts w:ascii="Arial" w:hAnsi="Arial" w:cs="Arial"/>
          <w:color w:val="000000"/>
          <w:sz w:val="21"/>
          <w:szCs w:val="21"/>
        </w:rPr>
        <w:t>é</w:t>
      </w:r>
      <w:r w:rsidR="00B64CC5" w:rsidRPr="00966F08">
        <w:rPr>
          <w:rFonts w:ascii="Arial" w:hAnsi="Arial" w:cs="Arial"/>
          <w:color w:val="000000"/>
          <w:sz w:val="21"/>
          <w:szCs w:val="21"/>
        </w:rPr>
        <w:t>sta se vincule con el quehacer gubernamental dentro del proceso de diseño, implementación, monitoreo y evaluación de las políticas públicas de alcance nacional en los referidos temas</w:t>
      </w:r>
      <w:r w:rsidR="007E4676" w:rsidRPr="00966F08">
        <w:rPr>
          <w:rStyle w:val="Refdenotaalpie"/>
          <w:rFonts w:ascii="Arial" w:hAnsi="Arial" w:cs="Arial"/>
          <w:color w:val="000000"/>
          <w:sz w:val="21"/>
          <w:szCs w:val="21"/>
        </w:rPr>
        <w:footnoteReference w:id="1"/>
      </w:r>
      <w:r w:rsidR="00B64CC5" w:rsidRPr="00966F08">
        <w:rPr>
          <w:rFonts w:ascii="Arial" w:hAnsi="Arial" w:cs="Arial"/>
          <w:color w:val="000000"/>
          <w:sz w:val="21"/>
          <w:szCs w:val="21"/>
        </w:rPr>
        <w:t>.</w:t>
      </w:r>
    </w:p>
    <w:p w14:paraId="0B61B530" w14:textId="77777777" w:rsidR="00091DA1" w:rsidRPr="00966F08" w:rsidRDefault="00091DA1" w:rsidP="008C2DCC">
      <w:pPr>
        <w:spacing w:after="0" w:line="240" w:lineRule="auto"/>
        <w:ind w:left="-567"/>
        <w:jc w:val="both"/>
        <w:rPr>
          <w:rFonts w:ascii="Arial" w:hAnsi="Arial" w:cs="Arial"/>
          <w:color w:val="000000"/>
          <w:sz w:val="21"/>
          <w:szCs w:val="21"/>
        </w:rPr>
      </w:pPr>
    </w:p>
    <w:p w14:paraId="3E7D7D15" w14:textId="1FDE6AEB" w:rsidR="000973C0" w:rsidRPr="00966F08" w:rsidRDefault="008C6EF0" w:rsidP="000973C0">
      <w:pPr>
        <w:spacing w:after="0" w:line="240" w:lineRule="auto"/>
        <w:ind w:left="-567"/>
        <w:jc w:val="both"/>
        <w:rPr>
          <w:rFonts w:ascii="Arial" w:hAnsi="Arial" w:cs="Arial"/>
          <w:color w:val="000000"/>
          <w:sz w:val="21"/>
          <w:szCs w:val="21"/>
        </w:rPr>
      </w:pPr>
      <w:r w:rsidRPr="008C6EF0">
        <w:rPr>
          <w:rFonts w:ascii="Arial" w:hAnsi="Arial" w:cs="Arial"/>
          <w:color w:val="000000"/>
          <w:sz w:val="21"/>
          <w:szCs w:val="21"/>
        </w:rPr>
        <w:t>Es preciso advertir que la contingencia sanitaria derivada de la pandemia generada por el virus SARS-COV2 (COVID-19) y la implementación de medidas oficiales para evitar su propagación, como la disminución de la capacidad instalada y la reducción parcial de actividades, repercutieron en la cantidad de: eventos de capacitación y difusión y personas participantes, servicios de atención inmediata, solicitudes de queja recibidas y expedientes de queja conocidos (atendidos, calificados, concluidos y pendientes).</w:t>
      </w:r>
    </w:p>
    <w:p w14:paraId="04AC7B52" w14:textId="2FEC2692" w:rsidR="0004518F" w:rsidRPr="00966F08" w:rsidRDefault="0004518F" w:rsidP="008C2DCC">
      <w:pPr>
        <w:spacing w:after="0" w:line="240" w:lineRule="auto"/>
        <w:ind w:left="-567"/>
        <w:jc w:val="both"/>
        <w:rPr>
          <w:rFonts w:ascii="Arial" w:hAnsi="Arial" w:cs="Arial"/>
          <w:color w:val="000000"/>
          <w:sz w:val="21"/>
          <w:szCs w:val="21"/>
        </w:rPr>
      </w:pPr>
      <w:r w:rsidRPr="00966F08">
        <w:rPr>
          <w:rFonts w:ascii="Arial" w:hAnsi="Arial" w:cs="Arial"/>
          <w:color w:val="000000"/>
          <w:sz w:val="21"/>
          <w:szCs w:val="21"/>
        </w:rPr>
        <w:t>Entre los datos que aporta</w:t>
      </w:r>
      <w:r w:rsidR="008C2DCC" w:rsidRPr="00966F08">
        <w:rPr>
          <w:rFonts w:ascii="Arial" w:hAnsi="Arial" w:cs="Arial"/>
          <w:color w:val="000000"/>
          <w:sz w:val="21"/>
          <w:szCs w:val="21"/>
        </w:rPr>
        <w:t>n</w:t>
      </w:r>
      <w:r w:rsidRPr="00966F08">
        <w:rPr>
          <w:rFonts w:ascii="Arial" w:hAnsi="Arial" w:cs="Arial"/>
          <w:color w:val="000000"/>
          <w:sz w:val="21"/>
          <w:szCs w:val="21"/>
        </w:rPr>
        <w:t xml:space="preserve"> est</w:t>
      </w:r>
      <w:r w:rsidR="008C2DCC" w:rsidRPr="00966F08">
        <w:rPr>
          <w:rFonts w:ascii="Arial" w:hAnsi="Arial" w:cs="Arial"/>
          <w:color w:val="000000"/>
          <w:sz w:val="21"/>
          <w:szCs w:val="21"/>
        </w:rPr>
        <w:t>os</w:t>
      </w:r>
      <w:r w:rsidRPr="00966F08">
        <w:rPr>
          <w:rFonts w:ascii="Arial" w:hAnsi="Arial" w:cs="Arial"/>
          <w:color w:val="000000"/>
          <w:sz w:val="21"/>
          <w:szCs w:val="21"/>
        </w:rPr>
        <w:t xml:space="preserve"> Censo</w:t>
      </w:r>
      <w:r w:rsidR="008C2DCC" w:rsidRPr="00966F08">
        <w:rPr>
          <w:rFonts w:ascii="Arial" w:hAnsi="Arial" w:cs="Arial"/>
          <w:color w:val="000000"/>
          <w:sz w:val="21"/>
          <w:szCs w:val="21"/>
        </w:rPr>
        <w:t>s</w:t>
      </w:r>
      <w:r w:rsidRPr="00966F08">
        <w:rPr>
          <w:rFonts w:ascii="Arial" w:hAnsi="Arial" w:cs="Arial"/>
          <w:color w:val="000000"/>
          <w:sz w:val="21"/>
          <w:szCs w:val="21"/>
        </w:rPr>
        <w:t>, se encuentran</w:t>
      </w:r>
      <w:r w:rsidR="00CC4187" w:rsidRPr="00966F08">
        <w:rPr>
          <w:rFonts w:ascii="Arial" w:hAnsi="Arial" w:cs="Arial"/>
          <w:color w:val="000000"/>
          <w:sz w:val="21"/>
          <w:szCs w:val="21"/>
        </w:rPr>
        <w:t xml:space="preserve"> que</w:t>
      </w:r>
      <w:r w:rsidRPr="00966F08">
        <w:rPr>
          <w:rFonts w:ascii="Arial" w:hAnsi="Arial" w:cs="Arial"/>
          <w:color w:val="000000"/>
          <w:sz w:val="21"/>
          <w:szCs w:val="21"/>
        </w:rPr>
        <w:t>:</w:t>
      </w:r>
    </w:p>
    <w:p w14:paraId="68039CAD" w14:textId="77777777" w:rsidR="0004518F" w:rsidRPr="00966F08" w:rsidRDefault="0004518F" w:rsidP="008C2DCC">
      <w:pPr>
        <w:spacing w:after="0" w:line="240" w:lineRule="auto"/>
        <w:jc w:val="both"/>
        <w:rPr>
          <w:rFonts w:ascii="Arial" w:hAnsi="Arial" w:cs="Arial"/>
          <w:sz w:val="21"/>
          <w:szCs w:val="21"/>
        </w:rPr>
      </w:pPr>
    </w:p>
    <w:p w14:paraId="27EB6C5D" w14:textId="162FA74B" w:rsidR="00FF4C08" w:rsidRPr="00966F08" w:rsidRDefault="00FF4C08" w:rsidP="008C2DCC">
      <w:pPr>
        <w:pStyle w:val="Prrafodelista"/>
        <w:numPr>
          <w:ilvl w:val="0"/>
          <w:numId w:val="14"/>
        </w:numPr>
        <w:spacing w:after="0" w:line="240" w:lineRule="auto"/>
        <w:ind w:left="-284" w:hanging="283"/>
        <w:jc w:val="both"/>
        <w:rPr>
          <w:rFonts w:ascii="Arial" w:hAnsi="Arial" w:cs="Arial"/>
          <w:sz w:val="21"/>
          <w:szCs w:val="21"/>
        </w:rPr>
      </w:pPr>
      <w:r w:rsidRPr="00966F08">
        <w:rPr>
          <w:rFonts w:ascii="Arial" w:hAnsi="Arial" w:cs="Arial"/>
          <w:sz w:val="21"/>
          <w:szCs w:val="21"/>
        </w:rPr>
        <w:t>Al cierre de 2020, se encontraron constituidos 29 Consejos Consultivos en los OPDH y uno más en la CNDH. En dichos Consejos Consultivos, se reportaron 190 consejer</w:t>
      </w:r>
      <w:r w:rsidR="003943B8" w:rsidRPr="00966F08">
        <w:rPr>
          <w:rFonts w:ascii="Arial" w:hAnsi="Arial" w:cs="Arial"/>
          <w:sz w:val="21"/>
          <w:szCs w:val="21"/>
        </w:rPr>
        <w:t>a</w:t>
      </w:r>
      <w:r w:rsidRPr="00966F08">
        <w:rPr>
          <w:rFonts w:ascii="Arial" w:hAnsi="Arial" w:cs="Arial"/>
          <w:sz w:val="21"/>
          <w:szCs w:val="21"/>
        </w:rPr>
        <w:t>s y consejeros, de los cuales, 53.7% fueron hombres y 46.3% fueron mujeres.</w:t>
      </w:r>
    </w:p>
    <w:p w14:paraId="2CAF8A22" w14:textId="77777777" w:rsidR="007E4676" w:rsidRPr="00966F08" w:rsidRDefault="007E4676" w:rsidP="0035301D">
      <w:pPr>
        <w:spacing w:after="0" w:line="240" w:lineRule="auto"/>
        <w:jc w:val="both"/>
        <w:rPr>
          <w:rFonts w:ascii="Arial" w:hAnsi="Arial" w:cs="Arial"/>
          <w:sz w:val="21"/>
          <w:szCs w:val="21"/>
        </w:rPr>
      </w:pPr>
    </w:p>
    <w:p w14:paraId="2B40E3A1" w14:textId="25059A55" w:rsidR="00FF4C08" w:rsidRPr="00966F08" w:rsidRDefault="00FF4C08" w:rsidP="008C2DCC">
      <w:pPr>
        <w:pStyle w:val="Prrafodelista"/>
        <w:numPr>
          <w:ilvl w:val="0"/>
          <w:numId w:val="14"/>
        </w:numPr>
        <w:spacing w:after="0" w:line="240" w:lineRule="auto"/>
        <w:ind w:left="-284" w:hanging="283"/>
        <w:jc w:val="both"/>
        <w:rPr>
          <w:rFonts w:ascii="Arial" w:hAnsi="Arial" w:cs="Arial"/>
          <w:sz w:val="21"/>
          <w:szCs w:val="21"/>
        </w:rPr>
      </w:pPr>
      <w:r w:rsidRPr="00966F08">
        <w:rPr>
          <w:rFonts w:ascii="Arial" w:hAnsi="Arial" w:cs="Arial"/>
          <w:sz w:val="21"/>
          <w:szCs w:val="21"/>
        </w:rPr>
        <w:t>Respecto del personal adscrito a la CNDH</w:t>
      </w:r>
      <w:r w:rsidR="0035301D" w:rsidRPr="00966F08">
        <w:rPr>
          <w:rFonts w:ascii="Arial" w:hAnsi="Arial" w:cs="Arial"/>
          <w:sz w:val="21"/>
          <w:szCs w:val="21"/>
        </w:rPr>
        <w:t>,</w:t>
      </w:r>
      <w:r w:rsidRPr="00966F08">
        <w:rPr>
          <w:rFonts w:ascii="Arial" w:hAnsi="Arial" w:cs="Arial"/>
          <w:sz w:val="21"/>
          <w:szCs w:val="21"/>
        </w:rPr>
        <w:t xml:space="preserve"> al cierre de 2020 se reportaron 1 689 personas</w:t>
      </w:r>
      <w:r w:rsidR="0035301D" w:rsidRPr="00966F08">
        <w:rPr>
          <w:rFonts w:ascii="Arial" w:hAnsi="Arial" w:cs="Arial"/>
          <w:sz w:val="21"/>
          <w:szCs w:val="21"/>
        </w:rPr>
        <w:t>. E</w:t>
      </w:r>
      <w:r w:rsidRPr="00966F08">
        <w:rPr>
          <w:rFonts w:ascii="Arial" w:hAnsi="Arial" w:cs="Arial"/>
          <w:sz w:val="21"/>
          <w:szCs w:val="21"/>
        </w:rPr>
        <w:t xml:space="preserve">sta cifra representó una disminución de 2.9% respecto a 2019. En </w:t>
      </w:r>
      <w:r w:rsidR="009E72B5" w:rsidRPr="00966F08">
        <w:rPr>
          <w:rFonts w:ascii="Arial" w:hAnsi="Arial" w:cs="Arial"/>
          <w:sz w:val="21"/>
          <w:szCs w:val="21"/>
        </w:rPr>
        <w:t>cambio</w:t>
      </w:r>
      <w:r w:rsidRPr="00966F08">
        <w:rPr>
          <w:rFonts w:ascii="Arial" w:hAnsi="Arial" w:cs="Arial"/>
          <w:sz w:val="21"/>
          <w:szCs w:val="21"/>
        </w:rPr>
        <w:t>, la cifra reportada por los OPDH fue de 4 155 personas</w:t>
      </w:r>
      <w:r w:rsidR="0035301D" w:rsidRPr="00966F08">
        <w:rPr>
          <w:rFonts w:ascii="Arial" w:hAnsi="Arial" w:cs="Arial"/>
          <w:sz w:val="21"/>
          <w:szCs w:val="21"/>
        </w:rPr>
        <w:t>;</w:t>
      </w:r>
      <w:r w:rsidRPr="00966F08">
        <w:rPr>
          <w:rFonts w:ascii="Arial" w:hAnsi="Arial" w:cs="Arial"/>
          <w:sz w:val="21"/>
          <w:szCs w:val="21"/>
        </w:rPr>
        <w:t xml:space="preserve"> esto representó un aumento de 0.1% en comparación </w:t>
      </w:r>
      <w:r w:rsidR="003943B8" w:rsidRPr="00966F08">
        <w:rPr>
          <w:rFonts w:ascii="Arial" w:hAnsi="Arial" w:cs="Arial"/>
          <w:sz w:val="21"/>
          <w:szCs w:val="21"/>
        </w:rPr>
        <w:t>con</w:t>
      </w:r>
      <w:r w:rsidRPr="00966F08">
        <w:rPr>
          <w:rFonts w:ascii="Arial" w:hAnsi="Arial" w:cs="Arial"/>
          <w:sz w:val="21"/>
          <w:szCs w:val="21"/>
        </w:rPr>
        <w:t xml:space="preserve"> 2019.</w:t>
      </w:r>
    </w:p>
    <w:p w14:paraId="21CEC4AD" w14:textId="77777777" w:rsidR="00FF4C08" w:rsidRPr="00966F08" w:rsidRDefault="00FF4C08" w:rsidP="008C2DCC">
      <w:pPr>
        <w:pStyle w:val="Prrafodelista"/>
        <w:spacing w:after="0" w:line="240" w:lineRule="auto"/>
        <w:rPr>
          <w:rFonts w:ascii="Arial" w:hAnsi="Arial" w:cs="Arial"/>
          <w:sz w:val="21"/>
          <w:szCs w:val="21"/>
        </w:rPr>
      </w:pPr>
    </w:p>
    <w:p w14:paraId="531EA503" w14:textId="41EBEE84" w:rsidR="003943B8" w:rsidRPr="00966F08" w:rsidRDefault="00D847C9" w:rsidP="008C2DCC">
      <w:pPr>
        <w:pStyle w:val="Prrafodelista"/>
        <w:numPr>
          <w:ilvl w:val="0"/>
          <w:numId w:val="14"/>
        </w:numPr>
        <w:spacing w:after="0" w:line="240" w:lineRule="auto"/>
        <w:ind w:left="-284" w:hanging="283"/>
        <w:jc w:val="both"/>
        <w:rPr>
          <w:rFonts w:ascii="Arial" w:hAnsi="Arial" w:cs="Arial"/>
          <w:sz w:val="21"/>
          <w:szCs w:val="21"/>
        </w:rPr>
      </w:pPr>
      <w:r>
        <w:rPr>
          <w:rFonts w:ascii="Arial" w:hAnsi="Arial" w:cs="Arial"/>
          <w:sz w:val="21"/>
          <w:szCs w:val="21"/>
        </w:rPr>
        <w:t>En</w:t>
      </w:r>
      <w:r w:rsidR="003943B8" w:rsidRPr="00966F08">
        <w:rPr>
          <w:rFonts w:ascii="Arial" w:hAnsi="Arial" w:cs="Arial"/>
          <w:sz w:val="21"/>
          <w:szCs w:val="21"/>
        </w:rPr>
        <w:t xml:space="preserve"> relación </w:t>
      </w:r>
      <w:r>
        <w:rPr>
          <w:rFonts w:ascii="Arial" w:hAnsi="Arial" w:cs="Arial"/>
          <w:sz w:val="21"/>
          <w:szCs w:val="21"/>
        </w:rPr>
        <w:t>con e</w:t>
      </w:r>
      <w:r w:rsidR="003943B8" w:rsidRPr="00966F08">
        <w:rPr>
          <w:rFonts w:ascii="Arial" w:hAnsi="Arial" w:cs="Arial"/>
          <w:sz w:val="21"/>
          <w:szCs w:val="21"/>
        </w:rPr>
        <w:t>l presupuesto ejercido durante 2020, la cifra nacional fue de 3 430 709 738 pesos. Dicho presupuesto representó una disminución de 10.8% en comparación con lo ejercido en 2019.</w:t>
      </w:r>
    </w:p>
    <w:p w14:paraId="59AD4412" w14:textId="77777777" w:rsidR="003943B8" w:rsidRPr="00966F08" w:rsidRDefault="003943B8" w:rsidP="008C2DCC">
      <w:pPr>
        <w:pStyle w:val="Prrafodelista"/>
        <w:spacing w:after="0" w:line="240" w:lineRule="auto"/>
        <w:rPr>
          <w:rFonts w:ascii="Arial" w:hAnsi="Arial" w:cs="Arial"/>
          <w:sz w:val="21"/>
          <w:szCs w:val="21"/>
        </w:rPr>
      </w:pPr>
    </w:p>
    <w:p w14:paraId="653AF4D0" w14:textId="09A782B2" w:rsidR="00FF4C08" w:rsidRPr="00966F08" w:rsidRDefault="00FF4C08" w:rsidP="008C2DCC">
      <w:pPr>
        <w:pStyle w:val="Prrafodelista"/>
        <w:numPr>
          <w:ilvl w:val="0"/>
          <w:numId w:val="14"/>
        </w:numPr>
        <w:spacing w:after="0" w:line="240" w:lineRule="auto"/>
        <w:ind w:left="-284" w:hanging="283"/>
        <w:jc w:val="both"/>
        <w:rPr>
          <w:rFonts w:ascii="Arial" w:hAnsi="Arial" w:cs="Arial"/>
          <w:sz w:val="21"/>
          <w:szCs w:val="21"/>
        </w:rPr>
      </w:pPr>
      <w:r w:rsidRPr="00966F08">
        <w:rPr>
          <w:rFonts w:ascii="Arial" w:hAnsi="Arial" w:cs="Arial"/>
          <w:sz w:val="21"/>
          <w:szCs w:val="21"/>
        </w:rPr>
        <w:t xml:space="preserve">Por lo que respecta a las visitadurías con las que contaban la CNDH y los OPDH, al cierre de 2020 se registraron en total 273 </w:t>
      </w:r>
      <w:r w:rsidR="0035301D" w:rsidRPr="00966F08">
        <w:rPr>
          <w:rFonts w:ascii="Arial" w:hAnsi="Arial" w:cs="Arial"/>
          <w:sz w:val="21"/>
          <w:szCs w:val="21"/>
        </w:rPr>
        <w:t>(</w:t>
      </w:r>
      <w:r w:rsidRPr="00966F08">
        <w:rPr>
          <w:rFonts w:ascii="Arial" w:hAnsi="Arial" w:cs="Arial"/>
          <w:sz w:val="21"/>
          <w:szCs w:val="21"/>
        </w:rPr>
        <w:t>seis y 267 respectivamente</w:t>
      </w:r>
      <w:r w:rsidR="0035301D" w:rsidRPr="00966F08">
        <w:rPr>
          <w:rFonts w:ascii="Arial" w:hAnsi="Arial" w:cs="Arial"/>
          <w:sz w:val="21"/>
          <w:szCs w:val="21"/>
        </w:rPr>
        <w:t>)</w:t>
      </w:r>
      <w:r w:rsidRPr="00966F08">
        <w:rPr>
          <w:rFonts w:ascii="Arial" w:hAnsi="Arial" w:cs="Arial"/>
          <w:sz w:val="21"/>
          <w:szCs w:val="21"/>
        </w:rPr>
        <w:t>. Del total nacional, 38.8% fue visitadurías generales o subprocuradurías.</w:t>
      </w:r>
    </w:p>
    <w:p w14:paraId="7A4DAEF7" w14:textId="77777777" w:rsidR="0060789E" w:rsidRPr="00966F08" w:rsidRDefault="0060789E" w:rsidP="0060789E">
      <w:pPr>
        <w:spacing w:after="0" w:line="240" w:lineRule="auto"/>
        <w:jc w:val="both"/>
        <w:rPr>
          <w:rFonts w:ascii="Arial" w:hAnsi="Arial" w:cs="Arial"/>
          <w:sz w:val="21"/>
          <w:szCs w:val="21"/>
        </w:rPr>
      </w:pPr>
    </w:p>
    <w:p w14:paraId="6E40C0FD" w14:textId="64A70F26" w:rsidR="00FF4C08" w:rsidRPr="00966F08" w:rsidRDefault="003943B8" w:rsidP="008C2DCC">
      <w:pPr>
        <w:pStyle w:val="Prrafodelista"/>
        <w:numPr>
          <w:ilvl w:val="0"/>
          <w:numId w:val="14"/>
        </w:numPr>
        <w:spacing w:after="0" w:line="240" w:lineRule="auto"/>
        <w:ind w:left="-284" w:hanging="283"/>
        <w:jc w:val="both"/>
        <w:rPr>
          <w:rFonts w:ascii="Arial" w:hAnsi="Arial" w:cs="Arial"/>
          <w:sz w:val="21"/>
          <w:szCs w:val="21"/>
        </w:rPr>
      </w:pPr>
      <w:r w:rsidRPr="00966F08">
        <w:rPr>
          <w:rFonts w:ascii="Arial" w:hAnsi="Arial" w:cs="Arial"/>
          <w:sz w:val="21"/>
          <w:szCs w:val="21"/>
        </w:rPr>
        <w:lastRenderedPageBreak/>
        <w:t>D</w:t>
      </w:r>
      <w:r w:rsidR="00FF4C08" w:rsidRPr="00966F08">
        <w:rPr>
          <w:rFonts w:ascii="Arial" w:hAnsi="Arial" w:cs="Arial"/>
          <w:sz w:val="21"/>
          <w:szCs w:val="21"/>
        </w:rPr>
        <w:t>urante 2020, a nivel nacional se realizaron 22 823 eventos de capacitación y difusión para el fortalecimiento de la cultura de derechos humanos</w:t>
      </w:r>
      <w:r w:rsidR="0035301D" w:rsidRPr="00966F08">
        <w:rPr>
          <w:rFonts w:ascii="Arial" w:hAnsi="Arial" w:cs="Arial"/>
          <w:sz w:val="21"/>
          <w:szCs w:val="21"/>
        </w:rPr>
        <w:t>:</w:t>
      </w:r>
      <w:r w:rsidR="00FF4C08" w:rsidRPr="00966F08">
        <w:rPr>
          <w:rFonts w:ascii="Arial" w:hAnsi="Arial" w:cs="Arial"/>
          <w:sz w:val="21"/>
          <w:szCs w:val="21"/>
        </w:rPr>
        <w:t xml:space="preserve"> 2 961 en la CNDH y 19 862 en los OPDH. Respecto a 2019, la cantidad de eventos realizados disminuyó 45.4% en 2020.</w:t>
      </w:r>
    </w:p>
    <w:p w14:paraId="64F2B56A" w14:textId="77777777" w:rsidR="00FF4C08" w:rsidRPr="00966F08" w:rsidRDefault="00FF4C08" w:rsidP="008C2DCC">
      <w:pPr>
        <w:pStyle w:val="Prrafodelista"/>
        <w:spacing w:after="0" w:line="240" w:lineRule="auto"/>
        <w:rPr>
          <w:rFonts w:ascii="Arial" w:hAnsi="Arial" w:cs="Arial"/>
          <w:sz w:val="21"/>
          <w:szCs w:val="21"/>
        </w:rPr>
      </w:pPr>
    </w:p>
    <w:p w14:paraId="5D8C284B" w14:textId="447BFB2B" w:rsidR="00FF4C08" w:rsidRPr="00966F08" w:rsidRDefault="00FF4C08" w:rsidP="008C2DCC">
      <w:pPr>
        <w:pStyle w:val="Prrafodelista"/>
        <w:numPr>
          <w:ilvl w:val="0"/>
          <w:numId w:val="14"/>
        </w:numPr>
        <w:spacing w:after="0" w:line="240" w:lineRule="auto"/>
        <w:ind w:left="-284" w:hanging="283"/>
        <w:jc w:val="both"/>
        <w:rPr>
          <w:rFonts w:ascii="Arial" w:hAnsi="Arial" w:cs="Arial"/>
          <w:sz w:val="21"/>
          <w:szCs w:val="21"/>
        </w:rPr>
      </w:pPr>
      <w:r w:rsidRPr="00966F08">
        <w:rPr>
          <w:rFonts w:ascii="Arial" w:hAnsi="Arial" w:cs="Arial"/>
          <w:sz w:val="21"/>
          <w:szCs w:val="21"/>
        </w:rPr>
        <w:t xml:space="preserve">En 2020, la cantidad de servicios de atención inmediata realizados por la CNDH y los OPDH fue de 206 766 (37 120 y 169 646, respectivamente), cifra que representó una disminución de 44.7% respecto a lo reportado en 2019. Del total de servicios realizados, 55.6% se trató de </w:t>
      </w:r>
      <w:r w:rsidR="0035301D" w:rsidRPr="00966F08">
        <w:rPr>
          <w:rFonts w:ascii="Arial" w:hAnsi="Arial" w:cs="Arial"/>
          <w:sz w:val="21"/>
          <w:szCs w:val="21"/>
        </w:rPr>
        <w:t>a</w:t>
      </w:r>
      <w:r w:rsidRPr="00966F08">
        <w:rPr>
          <w:rFonts w:ascii="Arial" w:hAnsi="Arial" w:cs="Arial"/>
          <w:sz w:val="21"/>
          <w:szCs w:val="21"/>
        </w:rPr>
        <w:t>sesoría u orientación integral.</w:t>
      </w:r>
    </w:p>
    <w:p w14:paraId="76FDB718" w14:textId="77777777" w:rsidR="00FF4C08" w:rsidRPr="00966F08" w:rsidRDefault="00FF4C08" w:rsidP="008C2DCC">
      <w:pPr>
        <w:pStyle w:val="Prrafodelista"/>
        <w:spacing w:after="0" w:line="240" w:lineRule="auto"/>
        <w:rPr>
          <w:rFonts w:ascii="Arial" w:hAnsi="Arial" w:cs="Arial"/>
          <w:sz w:val="21"/>
          <w:szCs w:val="21"/>
        </w:rPr>
      </w:pPr>
    </w:p>
    <w:p w14:paraId="6F96606A" w14:textId="543D2EA4" w:rsidR="00FF4C08" w:rsidRPr="00966F08" w:rsidRDefault="00FF4C08" w:rsidP="008C2DCC">
      <w:pPr>
        <w:pStyle w:val="Prrafodelista"/>
        <w:numPr>
          <w:ilvl w:val="0"/>
          <w:numId w:val="14"/>
        </w:numPr>
        <w:spacing w:after="0" w:line="240" w:lineRule="auto"/>
        <w:ind w:left="-284" w:hanging="283"/>
        <w:jc w:val="both"/>
        <w:rPr>
          <w:rFonts w:ascii="Arial" w:hAnsi="Arial" w:cs="Arial"/>
          <w:sz w:val="21"/>
          <w:szCs w:val="21"/>
        </w:rPr>
      </w:pPr>
      <w:r w:rsidRPr="00966F08">
        <w:rPr>
          <w:rFonts w:ascii="Arial" w:hAnsi="Arial" w:cs="Arial"/>
          <w:sz w:val="21"/>
          <w:szCs w:val="21"/>
        </w:rPr>
        <w:t>En el mismo periodo, se reportaron 164 888 solicitudes de queja</w:t>
      </w:r>
      <w:r w:rsidR="0035301D" w:rsidRPr="00966F08">
        <w:rPr>
          <w:rFonts w:ascii="Arial" w:hAnsi="Arial" w:cs="Arial"/>
          <w:sz w:val="21"/>
          <w:szCs w:val="21"/>
        </w:rPr>
        <w:t>:</w:t>
      </w:r>
      <w:r w:rsidRPr="00966F08">
        <w:rPr>
          <w:rFonts w:ascii="Arial" w:hAnsi="Arial" w:cs="Arial"/>
          <w:sz w:val="21"/>
          <w:szCs w:val="21"/>
        </w:rPr>
        <w:t xml:space="preserve"> 35.6% (58 722) en la CNDH y 64.4% (106 166) en los OPDH. Respecto a las solicitudes de queja recibidas en 2019 se presentó una disminución de 23.7% en 2020.</w:t>
      </w:r>
    </w:p>
    <w:p w14:paraId="3D94A6A0" w14:textId="77777777" w:rsidR="00FF4C08" w:rsidRPr="00966F08" w:rsidRDefault="00FF4C08" w:rsidP="008C2DCC">
      <w:pPr>
        <w:pStyle w:val="Prrafodelista"/>
        <w:spacing w:after="0" w:line="240" w:lineRule="auto"/>
        <w:rPr>
          <w:rFonts w:ascii="Arial" w:hAnsi="Arial" w:cs="Arial"/>
          <w:sz w:val="21"/>
          <w:szCs w:val="21"/>
        </w:rPr>
      </w:pPr>
    </w:p>
    <w:p w14:paraId="5E9963C0" w14:textId="4A333793" w:rsidR="00FF4C08" w:rsidRPr="00966F08" w:rsidRDefault="00FF4C08" w:rsidP="008C2DCC">
      <w:pPr>
        <w:pStyle w:val="Prrafodelista"/>
        <w:numPr>
          <w:ilvl w:val="0"/>
          <w:numId w:val="14"/>
        </w:numPr>
        <w:spacing w:after="0" w:line="240" w:lineRule="auto"/>
        <w:ind w:left="-284" w:hanging="283"/>
        <w:jc w:val="both"/>
        <w:rPr>
          <w:rFonts w:ascii="Arial" w:hAnsi="Arial" w:cs="Arial"/>
          <w:sz w:val="21"/>
          <w:szCs w:val="21"/>
        </w:rPr>
      </w:pPr>
      <w:r w:rsidRPr="00966F08">
        <w:rPr>
          <w:rFonts w:ascii="Arial" w:hAnsi="Arial" w:cs="Arial"/>
          <w:sz w:val="21"/>
          <w:szCs w:val="21"/>
        </w:rPr>
        <w:t>Durante 2020, se registraron 252 066 hechos presuntamente violatorios registrados en los expedientes de queja calificados como presuntamente violatorios de derechos humanos; en la CNDH la cifra reportada fue de 26 743, mientras que en los OPDH fue de 225 323. En comparación con lo reportado en 2019, la cantidad de hechos presuntamente violatorios aumentó 35.7% en 2020.</w:t>
      </w:r>
    </w:p>
    <w:p w14:paraId="493FB223" w14:textId="77777777" w:rsidR="00FF4C08" w:rsidRPr="00966F08" w:rsidRDefault="00FF4C08" w:rsidP="008C2DCC">
      <w:pPr>
        <w:pStyle w:val="Prrafodelista"/>
        <w:spacing w:after="0" w:line="240" w:lineRule="auto"/>
        <w:rPr>
          <w:rFonts w:ascii="Arial" w:hAnsi="Arial" w:cs="Arial"/>
          <w:sz w:val="21"/>
          <w:szCs w:val="21"/>
        </w:rPr>
      </w:pPr>
    </w:p>
    <w:p w14:paraId="561D9DE8" w14:textId="52176675" w:rsidR="00FF4C08" w:rsidRPr="00966F08" w:rsidRDefault="00FF4C08" w:rsidP="008C2DCC">
      <w:pPr>
        <w:pStyle w:val="Prrafodelista"/>
        <w:numPr>
          <w:ilvl w:val="0"/>
          <w:numId w:val="14"/>
        </w:numPr>
        <w:spacing w:after="0" w:line="240" w:lineRule="auto"/>
        <w:ind w:left="-284" w:hanging="283"/>
        <w:jc w:val="both"/>
        <w:rPr>
          <w:rFonts w:ascii="Arial" w:hAnsi="Arial" w:cs="Arial"/>
          <w:sz w:val="21"/>
          <w:szCs w:val="21"/>
        </w:rPr>
      </w:pPr>
      <w:r w:rsidRPr="00966F08">
        <w:rPr>
          <w:rFonts w:ascii="Arial" w:hAnsi="Arial" w:cs="Arial"/>
          <w:sz w:val="21"/>
          <w:szCs w:val="21"/>
        </w:rPr>
        <w:t>En relación con las</w:t>
      </w:r>
      <w:r w:rsidR="003943B8" w:rsidRPr="00966F08">
        <w:rPr>
          <w:rFonts w:ascii="Arial" w:hAnsi="Arial" w:cs="Arial"/>
          <w:sz w:val="21"/>
          <w:szCs w:val="21"/>
        </w:rPr>
        <w:t xml:space="preserve"> personas</w:t>
      </w:r>
      <w:r w:rsidRPr="00966F08">
        <w:rPr>
          <w:rFonts w:ascii="Arial" w:hAnsi="Arial" w:cs="Arial"/>
          <w:sz w:val="21"/>
          <w:szCs w:val="21"/>
        </w:rPr>
        <w:t xml:space="preserve"> quejos</w:t>
      </w:r>
      <w:r w:rsidR="003943B8" w:rsidRPr="00966F08">
        <w:rPr>
          <w:rFonts w:ascii="Arial" w:hAnsi="Arial" w:cs="Arial"/>
          <w:sz w:val="21"/>
          <w:szCs w:val="21"/>
        </w:rPr>
        <w:t>a</w:t>
      </w:r>
      <w:r w:rsidRPr="00966F08">
        <w:rPr>
          <w:rFonts w:ascii="Arial" w:hAnsi="Arial" w:cs="Arial"/>
          <w:sz w:val="21"/>
          <w:szCs w:val="21"/>
        </w:rPr>
        <w:t>s y/o agraviad</w:t>
      </w:r>
      <w:r w:rsidR="003943B8" w:rsidRPr="00966F08">
        <w:rPr>
          <w:rFonts w:ascii="Arial" w:hAnsi="Arial" w:cs="Arial"/>
          <w:sz w:val="21"/>
          <w:szCs w:val="21"/>
        </w:rPr>
        <w:t>a</w:t>
      </w:r>
      <w:r w:rsidRPr="00966F08">
        <w:rPr>
          <w:rFonts w:ascii="Arial" w:hAnsi="Arial" w:cs="Arial"/>
          <w:sz w:val="21"/>
          <w:szCs w:val="21"/>
        </w:rPr>
        <w:t>s registrad</w:t>
      </w:r>
      <w:r w:rsidR="003943B8" w:rsidRPr="00966F08">
        <w:rPr>
          <w:rFonts w:ascii="Arial" w:hAnsi="Arial" w:cs="Arial"/>
          <w:sz w:val="21"/>
          <w:szCs w:val="21"/>
        </w:rPr>
        <w:t>a</w:t>
      </w:r>
      <w:r w:rsidRPr="00966F08">
        <w:rPr>
          <w:rFonts w:ascii="Arial" w:hAnsi="Arial" w:cs="Arial"/>
          <w:sz w:val="21"/>
          <w:szCs w:val="21"/>
        </w:rPr>
        <w:t>s en los expedientes de queja calificados como presuntamente violatorios de derechos humanos</w:t>
      </w:r>
      <w:r w:rsidR="003943B8" w:rsidRPr="00966F08">
        <w:rPr>
          <w:rFonts w:ascii="Arial" w:hAnsi="Arial" w:cs="Arial"/>
          <w:sz w:val="21"/>
          <w:szCs w:val="21"/>
        </w:rPr>
        <w:t>,</w:t>
      </w:r>
      <w:r w:rsidRPr="00966F08">
        <w:rPr>
          <w:rFonts w:ascii="Arial" w:hAnsi="Arial" w:cs="Arial"/>
          <w:sz w:val="21"/>
          <w:szCs w:val="21"/>
        </w:rPr>
        <w:t xml:space="preserve"> durante 2020 se reportaron</w:t>
      </w:r>
      <w:r w:rsidR="003943B8" w:rsidRPr="00966F08">
        <w:rPr>
          <w:rFonts w:ascii="Arial" w:hAnsi="Arial" w:cs="Arial"/>
          <w:sz w:val="21"/>
          <w:szCs w:val="21"/>
        </w:rPr>
        <w:br/>
      </w:r>
      <w:r w:rsidRPr="00966F08">
        <w:rPr>
          <w:rFonts w:ascii="Arial" w:hAnsi="Arial" w:cs="Arial"/>
          <w:sz w:val="21"/>
          <w:szCs w:val="21"/>
        </w:rPr>
        <w:t xml:space="preserve">112 275 (26 278 en la CNDH y 85 997 en los OPDH), cifra </w:t>
      </w:r>
      <w:r w:rsidR="003943B8" w:rsidRPr="00966F08">
        <w:rPr>
          <w:rFonts w:ascii="Arial" w:hAnsi="Arial" w:cs="Arial"/>
          <w:sz w:val="21"/>
          <w:szCs w:val="21"/>
        </w:rPr>
        <w:t xml:space="preserve">que </w:t>
      </w:r>
      <w:r w:rsidRPr="00966F08">
        <w:rPr>
          <w:rFonts w:ascii="Arial" w:hAnsi="Arial" w:cs="Arial"/>
          <w:sz w:val="21"/>
          <w:szCs w:val="21"/>
        </w:rPr>
        <w:t>representó una disminución de 18.6%</w:t>
      </w:r>
      <w:r w:rsidR="00F952A9" w:rsidRPr="00966F08">
        <w:rPr>
          <w:rFonts w:ascii="Arial" w:hAnsi="Arial" w:cs="Arial"/>
          <w:sz w:val="21"/>
          <w:szCs w:val="21"/>
        </w:rPr>
        <w:t>,</w:t>
      </w:r>
      <w:r w:rsidRPr="00966F08">
        <w:rPr>
          <w:rFonts w:ascii="Arial" w:hAnsi="Arial" w:cs="Arial"/>
          <w:sz w:val="21"/>
          <w:szCs w:val="21"/>
        </w:rPr>
        <w:t xml:space="preserve"> respecto de lo reportado en 2019.</w:t>
      </w:r>
    </w:p>
    <w:p w14:paraId="549161BB" w14:textId="77777777" w:rsidR="00FF4C08" w:rsidRPr="00966F08" w:rsidRDefault="00FF4C08" w:rsidP="008C2DCC">
      <w:pPr>
        <w:pStyle w:val="Prrafodelista"/>
        <w:spacing w:after="0" w:line="240" w:lineRule="auto"/>
        <w:rPr>
          <w:rFonts w:ascii="Arial" w:hAnsi="Arial" w:cs="Arial"/>
          <w:sz w:val="21"/>
          <w:szCs w:val="21"/>
        </w:rPr>
      </w:pPr>
    </w:p>
    <w:p w14:paraId="384F4831" w14:textId="6939CB3B" w:rsidR="00FF4C08" w:rsidRPr="00966F08" w:rsidRDefault="00FF4C08" w:rsidP="008C2DCC">
      <w:pPr>
        <w:pStyle w:val="Prrafodelista"/>
        <w:numPr>
          <w:ilvl w:val="0"/>
          <w:numId w:val="14"/>
        </w:numPr>
        <w:spacing w:after="0" w:line="240" w:lineRule="auto"/>
        <w:ind w:left="-284" w:hanging="283"/>
        <w:jc w:val="both"/>
        <w:rPr>
          <w:rFonts w:ascii="Arial" w:hAnsi="Arial" w:cs="Arial"/>
          <w:sz w:val="21"/>
          <w:szCs w:val="21"/>
        </w:rPr>
      </w:pPr>
      <w:r w:rsidRPr="00966F08">
        <w:rPr>
          <w:rFonts w:ascii="Arial" w:hAnsi="Arial" w:cs="Arial"/>
          <w:sz w:val="21"/>
          <w:szCs w:val="21"/>
        </w:rPr>
        <w:t xml:space="preserve">En cuanto a las instituciones señaladas como probables responsables registradas en los expedientes de queja calificados como presuntamente violatorios de derechos humanos por la CNDH, en 25.8% de los expedientes se señaló al Instituto Mexicano del Seguro Social; </w:t>
      </w:r>
      <w:r w:rsidR="00C92112" w:rsidRPr="00966F08">
        <w:rPr>
          <w:rFonts w:ascii="Arial" w:hAnsi="Arial" w:cs="Arial"/>
          <w:sz w:val="21"/>
          <w:szCs w:val="21"/>
        </w:rPr>
        <w:t xml:space="preserve">en </w:t>
      </w:r>
      <w:r w:rsidRPr="00966F08">
        <w:rPr>
          <w:rFonts w:ascii="Arial" w:hAnsi="Arial" w:cs="Arial"/>
          <w:sz w:val="21"/>
          <w:szCs w:val="21"/>
        </w:rPr>
        <w:t xml:space="preserve">lo que respecta a los OPDH, en 29.3% de los expedientes la institución señalada fue </w:t>
      </w:r>
      <w:r w:rsidR="0035301D" w:rsidRPr="00966F08">
        <w:rPr>
          <w:rFonts w:ascii="Arial" w:hAnsi="Arial" w:cs="Arial"/>
          <w:sz w:val="21"/>
          <w:szCs w:val="21"/>
        </w:rPr>
        <w:t>p</w:t>
      </w:r>
      <w:r w:rsidRPr="00966F08">
        <w:rPr>
          <w:rFonts w:ascii="Arial" w:hAnsi="Arial" w:cs="Arial"/>
          <w:sz w:val="21"/>
          <w:szCs w:val="21"/>
        </w:rPr>
        <w:t>residente(a) municipal o alcalde(</w:t>
      </w:r>
      <w:proofErr w:type="spellStart"/>
      <w:r w:rsidRPr="00966F08">
        <w:rPr>
          <w:rFonts w:ascii="Arial" w:hAnsi="Arial" w:cs="Arial"/>
          <w:sz w:val="21"/>
          <w:szCs w:val="21"/>
        </w:rPr>
        <w:t>sa</w:t>
      </w:r>
      <w:proofErr w:type="spellEnd"/>
      <w:r w:rsidRPr="00966F08">
        <w:rPr>
          <w:rFonts w:ascii="Arial" w:hAnsi="Arial" w:cs="Arial"/>
          <w:sz w:val="21"/>
          <w:szCs w:val="21"/>
        </w:rPr>
        <w:t>).</w:t>
      </w:r>
    </w:p>
    <w:p w14:paraId="1B3E66FC" w14:textId="77777777" w:rsidR="00FF4C08" w:rsidRPr="00966F08" w:rsidRDefault="00FF4C08" w:rsidP="008C2DCC">
      <w:pPr>
        <w:pStyle w:val="Prrafodelista"/>
        <w:spacing w:after="0" w:line="240" w:lineRule="auto"/>
        <w:rPr>
          <w:rFonts w:ascii="Arial" w:hAnsi="Arial" w:cs="Arial"/>
          <w:sz w:val="21"/>
          <w:szCs w:val="21"/>
        </w:rPr>
      </w:pPr>
    </w:p>
    <w:p w14:paraId="2B8EAAE2" w14:textId="38B3452B" w:rsidR="00FF4C08" w:rsidRPr="00966F08" w:rsidRDefault="0035301D" w:rsidP="008C2DCC">
      <w:pPr>
        <w:pStyle w:val="Prrafodelista"/>
        <w:numPr>
          <w:ilvl w:val="0"/>
          <w:numId w:val="14"/>
        </w:numPr>
        <w:spacing w:after="0" w:line="240" w:lineRule="auto"/>
        <w:ind w:left="-284" w:hanging="283"/>
        <w:jc w:val="both"/>
        <w:rPr>
          <w:rFonts w:ascii="Arial" w:hAnsi="Arial" w:cs="Arial"/>
          <w:sz w:val="21"/>
          <w:szCs w:val="21"/>
        </w:rPr>
      </w:pPr>
      <w:bookmarkStart w:id="1" w:name="_Hlk89770023"/>
      <w:r w:rsidRPr="00966F08">
        <w:rPr>
          <w:rFonts w:ascii="Arial" w:hAnsi="Arial" w:cs="Arial"/>
          <w:sz w:val="21"/>
          <w:szCs w:val="21"/>
        </w:rPr>
        <w:t>L</w:t>
      </w:r>
      <w:r w:rsidR="00FF4C08" w:rsidRPr="00966F08">
        <w:rPr>
          <w:rFonts w:ascii="Arial" w:hAnsi="Arial" w:cs="Arial"/>
          <w:sz w:val="21"/>
          <w:szCs w:val="21"/>
        </w:rPr>
        <w:t>a CNDH reportó 10 204</w:t>
      </w:r>
      <w:r w:rsidRPr="00966F08">
        <w:rPr>
          <w:rFonts w:ascii="Arial" w:hAnsi="Arial" w:cs="Arial"/>
          <w:sz w:val="21"/>
          <w:szCs w:val="21"/>
        </w:rPr>
        <w:t xml:space="preserve"> expediente </w:t>
      </w:r>
      <w:r w:rsidR="00FF4C08" w:rsidRPr="00966F08">
        <w:rPr>
          <w:rFonts w:ascii="Arial" w:hAnsi="Arial" w:cs="Arial"/>
          <w:sz w:val="21"/>
          <w:szCs w:val="21"/>
        </w:rPr>
        <w:t>conclu</w:t>
      </w:r>
      <w:r w:rsidRPr="00966F08">
        <w:rPr>
          <w:rFonts w:ascii="Arial" w:hAnsi="Arial" w:cs="Arial"/>
          <w:sz w:val="21"/>
          <w:szCs w:val="21"/>
        </w:rPr>
        <w:t>idos</w:t>
      </w:r>
      <w:r w:rsidR="00FF4C08" w:rsidRPr="00966F08">
        <w:rPr>
          <w:rFonts w:ascii="Arial" w:hAnsi="Arial" w:cs="Arial"/>
          <w:sz w:val="21"/>
          <w:szCs w:val="21"/>
        </w:rPr>
        <w:t xml:space="preserve"> totalmente</w:t>
      </w:r>
      <w:r w:rsidRPr="00966F08">
        <w:rPr>
          <w:rFonts w:ascii="Arial" w:hAnsi="Arial" w:cs="Arial"/>
          <w:sz w:val="21"/>
          <w:szCs w:val="21"/>
        </w:rPr>
        <w:t>. E</w:t>
      </w:r>
      <w:r w:rsidR="00FF4C08" w:rsidRPr="00966F08">
        <w:rPr>
          <w:rFonts w:ascii="Arial" w:hAnsi="Arial" w:cs="Arial"/>
          <w:sz w:val="21"/>
          <w:szCs w:val="21"/>
        </w:rPr>
        <w:t xml:space="preserve">n comparación con lo reportado en 2019, los expedientes concluidos disminuyeron 8.7% en 2020. Por su parte, los OPDH </w:t>
      </w:r>
      <w:r w:rsidR="007C6513" w:rsidRPr="00966F08">
        <w:rPr>
          <w:rFonts w:ascii="Arial" w:hAnsi="Arial" w:cs="Arial"/>
          <w:sz w:val="21"/>
          <w:szCs w:val="21"/>
        </w:rPr>
        <w:t>reportaron 44</w:t>
      </w:r>
      <w:r w:rsidR="00005B4C" w:rsidRPr="00966F08">
        <w:rPr>
          <w:rFonts w:ascii="Arial" w:hAnsi="Arial" w:cs="Arial"/>
          <w:sz w:val="21"/>
          <w:szCs w:val="21"/>
        </w:rPr>
        <w:t xml:space="preserve"> 686</w:t>
      </w:r>
      <w:r w:rsidR="009E72B5" w:rsidRPr="00966F08">
        <w:rPr>
          <w:rFonts w:ascii="Arial" w:hAnsi="Arial" w:cs="Arial"/>
          <w:sz w:val="21"/>
          <w:szCs w:val="21"/>
        </w:rPr>
        <w:t xml:space="preserve"> expedientes concluidos</w:t>
      </w:r>
      <w:r w:rsidR="00FF4C08" w:rsidRPr="00966F08">
        <w:rPr>
          <w:rFonts w:ascii="Arial" w:hAnsi="Arial" w:cs="Arial"/>
          <w:sz w:val="21"/>
          <w:szCs w:val="21"/>
        </w:rPr>
        <w:t>, de los cuales</w:t>
      </w:r>
      <w:r w:rsidR="009E72B5" w:rsidRPr="00966F08">
        <w:rPr>
          <w:rFonts w:ascii="Arial" w:hAnsi="Arial" w:cs="Arial"/>
          <w:sz w:val="21"/>
          <w:szCs w:val="21"/>
        </w:rPr>
        <w:t>,</w:t>
      </w:r>
      <w:r w:rsidR="00FF4C08" w:rsidRPr="00966F08">
        <w:rPr>
          <w:rFonts w:ascii="Arial" w:hAnsi="Arial" w:cs="Arial"/>
          <w:sz w:val="21"/>
          <w:szCs w:val="21"/>
        </w:rPr>
        <w:t xml:space="preserve"> 99.8% fueron concluidos totalmente y 0.2% parcialmente</w:t>
      </w:r>
      <w:r w:rsidR="009E72B5" w:rsidRPr="00966F08">
        <w:rPr>
          <w:rFonts w:ascii="Arial" w:hAnsi="Arial" w:cs="Arial"/>
          <w:sz w:val="21"/>
          <w:szCs w:val="21"/>
        </w:rPr>
        <w:t>;</w:t>
      </w:r>
      <w:r w:rsidR="00FF4C08" w:rsidRPr="00966F08">
        <w:rPr>
          <w:rFonts w:ascii="Arial" w:hAnsi="Arial" w:cs="Arial"/>
          <w:sz w:val="21"/>
          <w:szCs w:val="21"/>
        </w:rPr>
        <w:t xml:space="preserve"> respecto a 2019, los expedientes concluidos disminuyeron </w:t>
      </w:r>
      <w:r w:rsidR="00005B4C" w:rsidRPr="00966F08">
        <w:rPr>
          <w:rFonts w:ascii="Arial" w:hAnsi="Arial" w:cs="Arial"/>
          <w:sz w:val="21"/>
          <w:szCs w:val="21"/>
        </w:rPr>
        <w:t>25.4</w:t>
      </w:r>
      <w:r w:rsidR="00FF4C08" w:rsidRPr="00966F08">
        <w:rPr>
          <w:rFonts w:ascii="Arial" w:hAnsi="Arial" w:cs="Arial"/>
          <w:sz w:val="21"/>
          <w:szCs w:val="21"/>
        </w:rPr>
        <w:t>% en 2020.</w:t>
      </w:r>
    </w:p>
    <w:bookmarkEnd w:id="1"/>
    <w:p w14:paraId="54D1FD40" w14:textId="77777777" w:rsidR="00FF4C08" w:rsidRPr="00966F08" w:rsidRDefault="00FF4C08" w:rsidP="008C2DCC">
      <w:pPr>
        <w:pStyle w:val="Prrafodelista"/>
        <w:spacing w:after="0" w:line="240" w:lineRule="auto"/>
        <w:rPr>
          <w:rFonts w:ascii="Arial" w:hAnsi="Arial" w:cs="Arial"/>
          <w:sz w:val="21"/>
          <w:szCs w:val="21"/>
        </w:rPr>
      </w:pPr>
    </w:p>
    <w:p w14:paraId="19AB1F07" w14:textId="47B6EFFB" w:rsidR="00FF4C08" w:rsidRPr="00966F08" w:rsidRDefault="00FF4C08" w:rsidP="008C2DCC">
      <w:pPr>
        <w:pStyle w:val="Prrafodelista"/>
        <w:numPr>
          <w:ilvl w:val="0"/>
          <w:numId w:val="14"/>
        </w:numPr>
        <w:spacing w:after="0" w:line="240" w:lineRule="auto"/>
        <w:ind w:left="-284" w:hanging="283"/>
        <w:jc w:val="both"/>
        <w:rPr>
          <w:rFonts w:ascii="Arial" w:hAnsi="Arial" w:cs="Arial"/>
          <w:sz w:val="21"/>
          <w:szCs w:val="21"/>
        </w:rPr>
      </w:pPr>
      <w:r w:rsidRPr="00966F08">
        <w:rPr>
          <w:rFonts w:ascii="Arial" w:hAnsi="Arial" w:cs="Arial"/>
          <w:sz w:val="21"/>
          <w:szCs w:val="21"/>
        </w:rPr>
        <w:t xml:space="preserve">Derivado de las recomendaciones emitidas por la CNDH y los OPDH, durante 2020 se sancionó a 489 servidoras y servidores públicos, cifra que representó una disminución de 38.3%, respecto de lo reportado en 2019. </w:t>
      </w:r>
    </w:p>
    <w:p w14:paraId="6985BA4C" w14:textId="77777777" w:rsidR="00ED2521" w:rsidRPr="00966F08" w:rsidRDefault="00ED2521" w:rsidP="0035301D">
      <w:pPr>
        <w:spacing w:after="0" w:line="240" w:lineRule="auto"/>
        <w:jc w:val="both"/>
        <w:rPr>
          <w:rFonts w:ascii="Arial" w:hAnsi="Arial" w:cs="Arial"/>
          <w:sz w:val="21"/>
          <w:szCs w:val="21"/>
        </w:rPr>
      </w:pPr>
    </w:p>
    <w:p w14:paraId="67EC0DB2" w14:textId="57542E7A" w:rsidR="00ED2521" w:rsidRPr="00966F08" w:rsidRDefault="0004518F" w:rsidP="008C2DCC">
      <w:pPr>
        <w:spacing w:after="0" w:line="240" w:lineRule="auto"/>
        <w:ind w:left="-567"/>
        <w:jc w:val="both"/>
        <w:rPr>
          <w:rFonts w:ascii="Arial" w:hAnsi="Arial" w:cs="Arial"/>
          <w:color w:val="000000"/>
          <w:sz w:val="21"/>
          <w:szCs w:val="21"/>
          <w:highlight w:val="yellow"/>
        </w:rPr>
      </w:pPr>
      <w:r w:rsidRPr="00966F08">
        <w:rPr>
          <w:rFonts w:ascii="Arial" w:hAnsi="Arial" w:cs="Arial"/>
          <w:sz w:val="21"/>
          <w:szCs w:val="21"/>
        </w:rPr>
        <w:t>En su versión 202</w:t>
      </w:r>
      <w:r w:rsidR="007276ED" w:rsidRPr="00966F08">
        <w:rPr>
          <w:rFonts w:ascii="Arial" w:hAnsi="Arial" w:cs="Arial"/>
          <w:sz w:val="21"/>
          <w:szCs w:val="21"/>
        </w:rPr>
        <w:t>1</w:t>
      </w:r>
      <w:r w:rsidRPr="00966F08">
        <w:rPr>
          <w:rFonts w:ascii="Arial" w:hAnsi="Arial" w:cs="Arial"/>
          <w:sz w:val="21"/>
          <w:szCs w:val="21"/>
        </w:rPr>
        <w:t>, los resultados de</w:t>
      </w:r>
      <w:r w:rsidR="0011751C" w:rsidRPr="00966F08">
        <w:rPr>
          <w:rFonts w:ascii="Arial" w:hAnsi="Arial" w:cs="Arial"/>
          <w:sz w:val="21"/>
          <w:szCs w:val="21"/>
        </w:rPr>
        <w:t xml:space="preserve"> </w:t>
      </w:r>
      <w:r w:rsidRPr="00966F08">
        <w:rPr>
          <w:rFonts w:ascii="Arial" w:hAnsi="Arial" w:cs="Arial"/>
          <w:sz w:val="21"/>
          <w:szCs w:val="21"/>
        </w:rPr>
        <w:t>l</w:t>
      </w:r>
      <w:r w:rsidR="0011751C" w:rsidRPr="00966F08">
        <w:rPr>
          <w:rFonts w:ascii="Arial" w:hAnsi="Arial" w:cs="Arial"/>
          <w:sz w:val="21"/>
          <w:szCs w:val="21"/>
        </w:rPr>
        <w:t>os</w:t>
      </w:r>
      <w:r w:rsidRPr="00966F08">
        <w:rPr>
          <w:rFonts w:ascii="Arial" w:hAnsi="Arial" w:cs="Arial"/>
          <w:sz w:val="21"/>
          <w:szCs w:val="21"/>
        </w:rPr>
        <w:t xml:space="preserve"> C</w:t>
      </w:r>
      <w:r w:rsidR="004D16E3" w:rsidRPr="00966F08">
        <w:rPr>
          <w:rFonts w:ascii="Arial" w:hAnsi="Arial" w:cs="Arial"/>
          <w:sz w:val="21"/>
          <w:szCs w:val="21"/>
        </w:rPr>
        <w:t>N</w:t>
      </w:r>
      <w:r w:rsidR="003073C1" w:rsidRPr="00966F08">
        <w:rPr>
          <w:rFonts w:ascii="Arial" w:hAnsi="Arial" w:cs="Arial"/>
          <w:sz w:val="21"/>
          <w:szCs w:val="21"/>
        </w:rPr>
        <w:t>DH</w:t>
      </w:r>
      <w:r w:rsidR="00266E1C" w:rsidRPr="00966F08">
        <w:rPr>
          <w:rFonts w:ascii="Arial" w:hAnsi="Arial" w:cs="Arial"/>
          <w:sz w:val="21"/>
          <w:szCs w:val="21"/>
        </w:rPr>
        <w:t>F-E</w:t>
      </w:r>
      <w:r w:rsidRPr="00966F08">
        <w:rPr>
          <w:rFonts w:ascii="Arial" w:hAnsi="Arial" w:cs="Arial"/>
          <w:sz w:val="21"/>
          <w:szCs w:val="21"/>
        </w:rPr>
        <w:t xml:space="preserve"> integran información correspondiente </w:t>
      </w:r>
      <w:r w:rsidRPr="00966F08">
        <w:rPr>
          <w:rFonts w:ascii="Arial" w:hAnsi="Arial" w:cs="Arial"/>
          <w:color w:val="000000"/>
          <w:sz w:val="21"/>
          <w:szCs w:val="21"/>
        </w:rPr>
        <w:t xml:space="preserve">a </w:t>
      </w:r>
      <w:r w:rsidR="007276ED" w:rsidRPr="00966F08">
        <w:rPr>
          <w:rFonts w:ascii="Arial" w:hAnsi="Arial" w:cs="Arial"/>
          <w:color w:val="000000"/>
          <w:sz w:val="21"/>
          <w:szCs w:val="21"/>
        </w:rPr>
        <w:t>2020 y 2021</w:t>
      </w:r>
      <w:r w:rsidR="0011751C" w:rsidRPr="00966F08">
        <w:rPr>
          <w:rFonts w:ascii="Arial" w:hAnsi="Arial" w:cs="Arial"/>
          <w:color w:val="000000"/>
          <w:sz w:val="21"/>
          <w:szCs w:val="21"/>
        </w:rPr>
        <w:t>;</w:t>
      </w:r>
      <w:r w:rsidR="007276ED" w:rsidRPr="00966F08">
        <w:rPr>
          <w:rFonts w:ascii="Arial" w:hAnsi="Arial" w:cs="Arial"/>
          <w:color w:val="000000"/>
          <w:sz w:val="21"/>
          <w:szCs w:val="21"/>
        </w:rPr>
        <w:t xml:space="preserve"> este último s</w:t>
      </w:r>
      <w:r w:rsidR="003943B8" w:rsidRPr="00966F08">
        <w:rPr>
          <w:rFonts w:ascii="Arial" w:hAnsi="Arial" w:cs="Arial"/>
          <w:color w:val="000000"/>
          <w:sz w:val="21"/>
          <w:szCs w:val="21"/>
        </w:rPr>
        <w:t>ó</w:t>
      </w:r>
      <w:r w:rsidR="007276ED" w:rsidRPr="00966F08">
        <w:rPr>
          <w:rFonts w:ascii="Arial" w:hAnsi="Arial" w:cs="Arial"/>
          <w:color w:val="000000"/>
          <w:sz w:val="21"/>
          <w:szCs w:val="21"/>
        </w:rPr>
        <w:t>lo para las preguntas que solicitan datos al momento de la aplicación del cuestionario</w:t>
      </w:r>
      <w:r w:rsidR="00A330DC" w:rsidRPr="00966F08">
        <w:rPr>
          <w:rFonts w:ascii="Arial" w:hAnsi="Arial" w:cs="Arial"/>
          <w:color w:val="000000"/>
          <w:sz w:val="21"/>
          <w:szCs w:val="21"/>
        </w:rPr>
        <w:t xml:space="preserve">, la cual </w:t>
      </w:r>
      <w:r w:rsidRPr="00966F08">
        <w:rPr>
          <w:rFonts w:ascii="Arial" w:hAnsi="Arial" w:cs="Arial"/>
          <w:color w:val="000000"/>
          <w:sz w:val="21"/>
          <w:szCs w:val="21"/>
        </w:rPr>
        <w:t xml:space="preserve">se presenta mediante cuadros estadísticos organizados en </w:t>
      </w:r>
      <w:r w:rsidR="003523DE" w:rsidRPr="00966F08">
        <w:rPr>
          <w:rFonts w:ascii="Arial" w:hAnsi="Arial" w:cs="Arial"/>
          <w:color w:val="000000"/>
          <w:sz w:val="21"/>
          <w:szCs w:val="21"/>
        </w:rPr>
        <w:t xml:space="preserve">los siguientes </w:t>
      </w:r>
      <w:r w:rsidRPr="00966F08">
        <w:rPr>
          <w:rFonts w:ascii="Arial" w:hAnsi="Arial" w:cs="Arial"/>
          <w:color w:val="000000"/>
          <w:sz w:val="21"/>
          <w:szCs w:val="21"/>
        </w:rPr>
        <w:t>apartados:</w:t>
      </w:r>
      <w:r w:rsidR="0017152B" w:rsidRPr="00966F08">
        <w:rPr>
          <w:rFonts w:ascii="Arial" w:hAnsi="Arial" w:cs="Arial"/>
          <w:color w:val="000000"/>
          <w:sz w:val="21"/>
          <w:szCs w:val="21"/>
        </w:rPr>
        <w:t xml:space="preserve"> </w:t>
      </w:r>
      <w:r w:rsidR="003523DE" w:rsidRPr="00966F08">
        <w:rPr>
          <w:rFonts w:ascii="Arial" w:hAnsi="Arial" w:cs="Arial"/>
          <w:color w:val="000000"/>
          <w:sz w:val="21"/>
          <w:szCs w:val="21"/>
        </w:rPr>
        <w:t>1) Estructura organizacional y recursos</w:t>
      </w:r>
      <w:r w:rsidR="00235EFC" w:rsidRPr="00966F08">
        <w:rPr>
          <w:rFonts w:ascii="Arial" w:hAnsi="Arial" w:cs="Arial"/>
          <w:color w:val="000000"/>
          <w:sz w:val="21"/>
          <w:szCs w:val="21"/>
        </w:rPr>
        <w:t>, y 2</w:t>
      </w:r>
      <w:r w:rsidR="003523DE" w:rsidRPr="00966F08">
        <w:rPr>
          <w:rFonts w:ascii="Arial" w:hAnsi="Arial" w:cs="Arial"/>
          <w:color w:val="000000"/>
          <w:sz w:val="21"/>
          <w:szCs w:val="21"/>
        </w:rPr>
        <w:t>) Protección de derechos humanos.</w:t>
      </w:r>
      <w:r w:rsidR="00CF54FE" w:rsidRPr="00966F08">
        <w:rPr>
          <w:rFonts w:ascii="Arial" w:hAnsi="Arial" w:cs="Arial"/>
          <w:color w:val="000000"/>
          <w:sz w:val="21"/>
          <w:szCs w:val="21"/>
        </w:rPr>
        <w:t xml:space="preserve"> </w:t>
      </w:r>
    </w:p>
    <w:p w14:paraId="69AD8E3F" w14:textId="77777777" w:rsidR="00ED2521" w:rsidRPr="00966F08" w:rsidRDefault="00ED2521" w:rsidP="008C2DCC">
      <w:pPr>
        <w:spacing w:after="0" w:line="240" w:lineRule="auto"/>
        <w:ind w:left="-567"/>
        <w:jc w:val="both"/>
        <w:rPr>
          <w:rFonts w:ascii="Arial" w:hAnsi="Arial" w:cs="Arial"/>
          <w:color w:val="000000"/>
          <w:sz w:val="21"/>
          <w:szCs w:val="21"/>
          <w:highlight w:val="yellow"/>
        </w:rPr>
      </w:pPr>
    </w:p>
    <w:p w14:paraId="7B377C57" w14:textId="1E94D2F8" w:rsidR="0004518F" w:rsidRPr="00966F08" w:rsidRDefault="0004518F" w:rsidP="008C2DCC">
      <w:pPr>
        <w:spacing w:after="0" w:line="240" w:lineRule="auto"/>
        <w:ind w:left="-567"/>
        <w:jc w:val="both"/>
        <w:rPr>
          <w:rFonts w:ascii="Arial" w:hAnsi="Arial" w:cs="Arial"/>
          <w:color w:val="000000"/>
          <w:sz w:val="21"/>
          <w:szCs w:val="21"/>
        </w:rPr>
      </w:pPr>
      <w:r w:rsidRPr="00966F08">
        <w:rPr>
          <w:rFonts w:ascii="Arial" w:hAnsi="Arial" w:cs="Arial"/>
          <w:color w:val="000000"/>
          <w:sz w:val="21"/>
          <w:szCs w:val="21"/>
        </w:rPr>
        <w:t>La información se puede consultar en l</w:t>
      </w:r>
      <w:r w:rsidR="00266E1C" w:rsidRPr="00966F08">
        <w:rPr>
          <w:rFonts w:ascii="Arial" w:hAnsi="Arial" w:cs="Arial"/>
          <w:color w:val="000000"/>
          <w:sz w:val="21"/>
          <w:szCs w:val="21"/>
        </w:rPr>
        <w:t>os</w:t>
      </w:r>
      <w:r w:rsidRPr="00966F08">
        <w:rPr>
          <w:rFonts w:ascii="Arial" w:hAnsi="Arial" w:cs="Arial"/>
          <w:color w:val="000000"/>
          <w:sz w:val="21"/>
          <w:szCs w:val="21"/>
        </w:rPr>
        <w:t xml:space="preserve"> sitio</w:t>
      </w:r>
      <w:r w:rsidR="00266E1C" w:rsidRPr="00966F08">
        <w:rPr>
          <w:rFonts w:ascii="Arial" w:hAnsi="Arial" w:cs="Arial"/>
          <w:color w:val="000000"/>
          <w:sz w:val="21"/>
          <w:szCs w:val="21"/>
        </w:rPr>
        <w:t>s</w:t>
      </w:r>
      <w:r w:rsidRPr="00966F08">
        <w:rPr>
          <w:rFonts w:ascii="Arial" w:hAnsi="Arial" w:cs="Arial"/>
          <w:color w:val="000000"/>
          <w:sz w:val="21"/>
          <w:szCs w:val="21"/>
        </w:rPr>
        <w:t>:</w:t>
      </w:r>
      <w:r w:rsidR="00ED2521" w:rsidRPr="00966F08">
        <w:rPr>
          <w:rFonts w:ascii="Arial" w:hAnsi="Arial" w:cs="Arial"/>
          <w:color w:val="000000"/>
          <w:sz w:val="21"/>
          <w:szCs w:val="21"/>
        </w:rPr>
        <w:t xml:space="preserve"> </w:t>
      </w:r>
      <w:hyperlink r:id="rId8" w:history="1">
        <w:r w:rsidR="00ED2521" w:rsidRPr="00966F08">
          <w:rPr>
            <w:rStyle w:val="Hipervnculo"/>
            <w:rFonts w:ascii="Arial" w:hAnsi="Arial" w:cs="Arial"/>
            <w:sz w:val="21"/>
            <w:szCs w:val="21"/>
          </w:rPr>
          <w:t>https://www.inegi.org.mx/programas/cndhf/2021/</w:t>
        </w:r>
      </w:hyperlink>
      <w:r w:rsidR="00266E1C" w:rsidRPr="00966F08">
        <w:rPr>
          <w:rFonts w:ascii="Arial" w:hAnsi="Arial" w:cs="Arial"/>
          <w:color w:val="000000"/>
          <w:sz w:val="21"/>
          <w:szCs w:val="21"/>
        </w:rPr>
        <w:t xml:space="preserve"> y </w:t>
      </w:r>
      <w:hyperlink r:id="rId9" w:history="1">
        <w:r w:rsidR="007276ED" w:rsidRPr="00966F08">
          <w:rPr>
            <w:rStyle w:val="Hipervnculo"/>
            <w:rFonts w:ascii="Arial" w:hAnsi="Arial" w:cs="Arial"/>
            <w:sz w:val="21"/>
            <w:szCs w:val="21"/>
          </w:rPr>
          <w:t>https://www.inegi.org.mx/programas/cndhe/2021/</w:t>
        </w:r>
      </w:hyperlink>
    </w:p>
    <w:p w14:paraId="1AAA06C0" w14:textId="77777777" w:rsidR="0004518F" w:rsidRPr="008C2DCC" w:rsidRDefault="0004518F" w:rsidP="008C2DCC">
      <w:pPr>
        <w:spacing w:after="0" w:line="240" w:lineRule="auto"/>
      </w:pPr>
    </w:p>
    <w:p w14:paraId="1E2F65F5" w14:textId="77777777" w:rsidR="002424EB" w:rsidRPr="008C2DCC" w:rsidRDefault="0004518F" w:rsidP="00883FAB">
      <w:pPr>
        <w:pStyle w:val="Default"/>
        <w:ind w:left="-567"/>
        <w:jc w:val="center"/>
        <w:rPr>
          <w:b/>
          <w:bCs/>
          <w:sz w:val="22"/>
          <w:szCs w:val="22"/>
        </w:rPr>
        <w:sectPr w:rsidR="002424EB" w:rsidRPr="008C2DCC" w:rsidSect="0035301D">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17" w:right="1183" w:bottom="993" w:left="1701" w:header="708" w:footer="435" w:gutter="0"/>
          <w:cols w:space="708"/>
          <w:docGrid w:linePitch="360"/>
        </w:sectPr>
      </w:pPr>
      <w:r w:rsidRPr="008C2DCC">
        <w:rPr>
          <w:b/>
          <w:bCs/>
          <w:sz w:val="22"/>
          <w:szCs w:val="22"/>
        </w:rPr>
        <w:t>Se anexa nota técnica</w:t>
      </w:r>
    </w:p>
    <w:p w14:paraId="17C7EED6" w14:textId="77777777" w:rsidR="00ED2521" w:rsidRPr="008C2DCC" w:rsidRDefault="00ED2521" w:rsidP="00ED2521">
      <w:pPr>
        <w:pStyle w:val="NormalWeb"/>
        <w:spacing w:before="0" w:beforeAutospacing="0" w:after="0" w:afterAutospacing="0"/>
        <w:ind w:left="-567"/>
        <w:contextualSpacing/>
        <w:jc w:val="center"/>
        <w:rPr>
          <w:rFonts w:ascii="Arial" w:hAnsi="Arial" w:cs="Arial"/>
          <w:sz w:val="22"/>
          <w:szCs w:val="22"/>
        </w:rPr>
      </w:pPr>
      <w:r w:rsidRPr="008C2DCC">
        <w:rPr>
          <w:rFonts w:ascii="Arial" w:hAnsi="Arial" w:cs="Arial"/>
          <w:sz w:val="22"/>
          <w:szCs w:val="22"/>
        </w:rPr>
        <w:t xml:space="preserve">Para consultas de medios y periodistas, contactar a: </w:t>
      </w:r>
      <w:hyperlink r:id="rId16" w:history="1">
        <w:r w:rsidRPr="008C2DCC">
          <w:rPr>
            <w:rStyle w:val="Hipervnculo"/>
            <w:rFonts w:ascii="Arial" w:hAnsi="Arial" w:cs="Arial"/>
            <w:sz w:val="22"/>
            <w:szCs w:val="22"/>
          </w:rPr>
          <w:t>comunicacionsocial@inegi.org.mx</w:t>
        </w:r>
      </w:hyperlink>
      <w:r w:rsidRPr="008C2DCC">
        <w:rPr>
          <w:rFonts w:ascii="Arial" w:hAnsi="Arial" w:cs="Arial"/>
          <w:sz w:val="22"/>
          <w:szCs w:val="22"/>
        </w:rPr>
        <w:t xml:space="preserve"> </w:t>
      </w:r>
    </w:p>
    <w:p w14:paraId="6C2251EB" w14:textId="0640C3EF" w:rsidR="00ED2521" w:rsidRDefault="00ED2521" w:rsidP="00ED2521">
      <w:pPr>
        <w:pStyle w:val="NormalWeb"/>
        <w:spacing w:before="0" w:beforeAutospacing="0" w:after="0" w:afterAutospacing="0"/>
        <w:ind w:left="-567"/>
        <w:contextualSpacing/>
        <w:jc w:val="center"/>
        <w:rPr>
          <w:rFonts w:ascii="Arial" w:hAnsi="Arial" w:cs="Arial"/>
          <w:sz w:val="22"/>
          <w:szCs w:val="22"/>
        </w:rPr>
      </w:pPr>
      <w:r w:rsidRPr="008C2DCC">
        <w:rPr>
          <w:rFonts w:ascii="Arial" w:hAnsi="Arial" w:cs="Arial"/>
          <w:sz w:val="22"/>
          <w:szCs w:val="22"/>
        </w:rPr>
        <w:t xml:space="preserve">o llamar al teléfono (55) 52-78-10-00, </w:t>
      </w:r>
      <w:proofErr w:type="spellStart"/>
      <w:r w:rsidRPr="008C2DCC">
        <w:rPr>
          <w:rFonts w:ascii="Arial" w:hAnsi="Arial" w:cs="Arial"/>
          <w:sz w:val="22"/>
          <w:szCs w:val="22"/>
        </w:rPr>
        <w:t>exts</w:t>
      </w:r>
      <w:proofErr w:type="spellEnd"/>
      <w:r w:rsidRPr="008C2DCC">
        <w:rPr>
          <w:rFonts w:ascii="Arial" w:hAnsi="Arial" w:cs="Arial"/>
          <w:sz w:val="22"/>
          <w:szCs w:val="22"/>
        </w:rPr>
        <w:t>. 1134, 1260 y 1241</w:t>
      </w:r>
      <w:r w:rsidRPr="00D949DE">
        <w:rPr>
          <w:rFonts w:ascii="Arial" w:hAnsi="Arial" w:cs="Arial"/>
          <w:sz w:val="22"/>
          <w:szCs w:val="22"/>
        </w:rPr>
        <w:t>.</w:t>
      </w:r>
    </w:p>
    <w:p w14:paraId="7DA951B5" w14:textId="77777777" w:rsidR="00966F08" w:rsidRDefault="00966F08" w:rsidP="00ED2521">
      <w:pPr>
        <w:pStyle w:val="NormalWeb"/>
        <w:spacing w:before="0" w:beforeAutospacing="0" w:after="0" w:afterAutospacing="0"/>
        <w:ind w:left="-567"/>
        <w:contextualSpacing/>
        <w:jc w:val="center"/>
        <w:rPr>
          <w:rFonts w:ascii="Arial" w:hAnsi="Arial" w:cs="Arial"/>
          <w:sz w:val="22"/>
          <w:szCs w:val="22"/>
        </w:rPr>
      </w:pPr>
    </w:p>
    <w:p w14:paraId="4E8CB8CA" w14:textId="77777777" w:rsidR="00ED2521" w:rsidRPr="00756B55" w:rsidRDefault="00ED2521" w:rsidP="00ED2521">
      <w:pPr>
        <w:ind w:left="-567"/>
        <w:contextualSpacing/>
        <w:jc w:val="center"/>
        <w:rPr>
          <w:noProof/>
          <w:lang w:eastAsia="es-MX"/>
        </w:rPr>
        <w:sectPr w:rsidR="00ED2521" w:rsidRPr="00756B55" w:rsidSect="0076666E">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701" w:right="1183" w:bottom="993" w:left="1701" w:header="142" w:footer="708" w:gutter="0"/>
          <w:cols w:space="708"/>
          <w:docGrid w:linePitch="360"/>
        </w:sectPr>
      </w:pPr>
      <w:r w:rsidRPr="00756B55">
        <w:rPr>
          <w:noProof/>
          <w:lang w:eastAsia="es-MX"/>
        </w:rPr>
        <w:drawing>
          <wp:inline distT="0" distB="0" distL="0" distR="0" wp14:anchorId="37C261FC" wp14:editId="11981845">
            <wp:extent cx="218157" cy="220859"/>
            <wp:effectExtent l="0" t="0" r="0" b="8255"/>
            <wp:docPr id="49" name="Imagen 49" descr="C:\Users\saladeprensa\Desktop\NVOS LOGOS\F.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120" cy="236007"/>
                    </a:xfrm>
                    <a:prstGeom prst="rect">
                      <a:avLst/>
                    </a:prstGeom>
                    <a:noFill/>
                    <a:ln>
                      <a:noFill/>
                    </a:ln>
                  </pic:spPr>
                </pic:pic>
              </a:graphicData>
            </a:graphic>
          </wp:inline>
        </w:drawing>
      </w:r>
      <w:r w:rsidRPr="00756B55">
        <w:rPr>
          <w:noProof/>
          <w:lang w:eastAsia="es-MX"/>
        </w:rPr>
        <w:t xml:space="preserve"> </w:t>
      </w:r>
      <w:r w:rsidRPr="00756B55">
        <w:rPr>
          <w:noProof/>
          <w:lang w:eastAsia="es-MX"/>
        </w:rPr>
        <w:drawing>
          <wp:inline distT="0" distB="0" distL="0" distR="0" wp14:anchorId="26DCE717" wp14:editId="76344598">
            <wp:extent cx="230169" cy="228600"/>
            <wp:effectExtent l="0" t="0" r="0" b="0"/>
            <wp:docPr id="50" name="Imagen 50" descr="C:\Users\saladeprensa\Desktop\NVOS LOGOS\I.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618" cy="322405"/>
                    </a:xfrm>
                    <a:prstGeom prst="rect">
                      <a:avLst/>
                    </a:prstGeom>
                    <a:noFill/>
                    <a:ln>
                      <a:noFill/>
                    </a:ln>
                  </pic:spPr>
                </pic:pic>
              </a:graphicData>
            </a:graphic>
          </wp:inline>
        </w:drawing>
      </w:r>
      <w:r w:rsidRPr="00756B55">
        <w:rPr>
          <w:noProof/>
          <w:lang w:eastAsia="es-MX"/>
        </w:rPr>
        <w:t xml:space="preserve"> </w:t>
      </w:r>
      <w:r w:rsidRPr="00756B55">
        <w:rPr>
          <w:noProof/>
          <w:lang w:eastAsia="es-MX"/>
        </w:rPr>
        <w:drawing>
          <wp:inline distT="0" distB="0" distL="0" distR="0" wp14:anchorId="49704272" wp14:editId="079A306B">
            <wp:extent cx="219075" cy="220996"/>
            <wp:effectExtent l="0" t="0" r="0" b="7620"/>
            <wp:docPr id="35" name="Imagen 35" descr="C:\Users\saladeprensa\Desktop\NVOS LOGOS\T.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300" cy="230302"/>
                    </a:xfrm>
                    <a:prstGeom prst="rect">
                      <a:avLst/>
                    </a:prstGeom>
                    <a:noFill/>
                    <a:ln>
                      <a:noFill/>
                    </a:ln>
                  </pic:spPr>
                </pic:pic>
              </a:graphicData>
            </a:graphic>
          </wp:inline>
        </w:drawing>
      </w:r>
      <w:r w:rsidRPr="00756B55">
        <w:rPr>
          <w:noProof/>
          <w:lang w:eastAsia="es-MX"/>
        </w:rPr>
        <w:t xml:space="preserve"> </w:t>
      </w:r>
      <w:r w:rsidRPr="00756B55">
        <w:rPr>
          <w:noProof/>
          <w:lang w:eastAsia="es-MX"/>
        </w:rPr>
        <w:drawing>
          <wp:inline distT="0" distB="0" distL="0" distR="0" wp14:anchorId="2F56A863" wp14:editId="77C95073">
            <wp:extent cx="219075" cy="222688"/>
            <wp:effectExtent l="0" t="0" r="0" b="6350"/>
            <wp:docPr id="51" name="Imagen 51" descr="C:\Users\saladeprensa\Desktop\NVOS LOGOS\Y.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709" cy="261959"/>
                    </a:xfrm>
                    <a:prstGeom prst="rect">
                      <a:avLst/>
                    </a:prstGeom>
                    <a:noFill/>
                    <a:ln>
                      <a:noFill/>
                    </a:ln>
                  </pic:spPr>
                </pic:pic>
              </a:graphicData>
            </a:graphic>
          </wp:inline>
        </w:drawing>
      </w:r>
      <w:r w:rsidRPr="00756B55">
        <w:rPr>
          <w:noProof/>
          <w:lang w:eastAsia="es-MX"/>
        </w:rPr>
        <w:t xml:space="preserve">  </w:t>
      </w:r>
      <w:r w:rsidRPr="00756B55">
        <w:rPr>
          <w:noProof/>
          <w:sz w:val="14"/>
          <w:szCs w:val="18"/>
          <w:lang w:eastAsia="es-MX"/>
        </w:rPr>
        <w:drawing>
          <wp:inline distT="0" distB="0" distL="0" distR="0" wp14:anchorId="0DE72445" wp14:editId="33144B99">
            <wp:extent cx="1795463" cy="247095"/>
            <wp:effectExtent l="0" t="0" r="0" b="635"/>
            <wp:docPr id="52" name="Imagen 5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3602" cy="289502"/>
                    </a:xfrm>
                    <a:prstGeom prst="rect">
                      <a:avLst/>
                    </a:prstGeom>
                    <a:noFill/>
                    <a:ln>
                      <a:noFill/>
                    </a:ln>
                  </pic:spPr>
                </pic:pic>
              </a:graphicData>
            </a:graphic>
          </wp:inline>
        </w:drawing>
      </w:r>
    </w:p>
    <w:p w14:paraId="5FF6E1FA" w14:textId="47B3C07B" w:rsidR="0011751C" w:rsidRDefault="0011751C" w:rsidP="00962103">
      <w:pPr>
        <w:autoSpaceDE w:val="0"/>
        <w:autoSpaceDN w:val="0"/>
        <w:adjustRightInd w:val="0"/>
        <w:spacing w:after="0" w:line="240" w:lineRule="auto"/>
        <w:ind w:left="-567"/>
        <w:jc w:val="center"/>
        <w:rPr>
          <w:rFonts w:ascii="Arial" w:hAnsi="Arial" w:cs="Arial"/>
          <w:b/>
          <w:bCs/>
          <w:color w:val="000000"/>
          <w:sz w:val="24"/>
          <w:szCs w:val="24"/>
        </w:rPr>
      </w:pPr>
      <w:bookmarkStart w:id="2" w:name="_Hlk57644132"/>
      <w:bookmarkEnd w:id="2"/>
    </w:p>
    <w:p w14:paraId="55EBFCE8" w14:textId="3C6A5D45" w:rsidR="00CF6170" w:rsidRDefault="00CF6170" w:rsidP="00962103">
      <w:pPr>
        <w:autoSpaceDE w:val="0"/>
        <w:autoSpaceDN w:val="0"/>
        <w:adjustRightInd w:val="0"/>
        <w:spacing w:after="0" w:line="240" w:lineRule="auto"/>
        <w:ind w:left="-567"/>
        <w:jc w:val="center"/>
        <w:rPr>
          <w:rFonts w:ascii="Arial" w:hAnsi="Arial" w:cs="Arial"/>
          <w:b/>
          <w:bCs/>
          <w:color w:val="000000"/>
          <w:sz w:val="24"/>
          <w:szCs w:val="24"/>
        </w:rPr>
      </w:pPr>
    </w:p>
    <w:p w14:paraId="5788EB12" w14:textId="26992670" w:rsidR="00CF6170" w:rsidRDefault="00CF6170" w:rsidP="00962103">
      <w:pPr>
        <w:autoSpaceDE w:val="0"/>
        <w:autoSpaceDN w:val="0"/>
        <w:adjustRightInd w:val="0"/>
        <w:spacing w:after="0" w:line="240" w:lineRule="auto"/>
        <w:ind w:left="-567"/>
        <w:jc w:val="center"/>
        <w:rPr>
          <w:rFonts w:ascii="Arial" w:hAnsi="Arial" w:cs="Arial"/>
          <w:b/>
          <w:bCs/>
          <w:color w:val="000000"/>
          <w:sz w:val="24"/>
          <w:szCs w:val="24"/>
        </w:rPr>
      </w:pPr>
    </w:p>
    <w:p w14:paraId="5C64545A" w14:textId="77777777" w:rsidR="00CF6170" w:rsidRDefault="00CF6170" w:rsidP="00962103">
      <w:pPr>
        <w:autoSpaceDE w:val="0"/>
        <w:autoSpaceDN w:val="0"/>
        <w:adjustRightInd w:val="0"/>
        <w:spacing w:after="0" w:line="240" w:lineRule="auto"/>
        <w:ind w:left="-567"/>
        <w:jc w:val="center"/>
        <w:rPr>
          <w:rFonts w:ascii="Arial" w:hAnsi="Arial" w:cs="Arial"/>
          <w:b/>
          <w:bCs/>
          <w:color w:val="000000"/>
          <w:sz w:val="24"/>
          <w:szCs w:val="24"/>
        </w:rPr>
      </w:pPr>
    </w:p>
    <w:p w14:paraId="4238F281" w14:textId="56AAC19B" w:rsidR="00962103" w:rsidRDefault="00962103" w:rsidP="00962103">
      <w:pPr>
        <w:autoSpaceDE w:val="0"/>
        <w:autoSpaceDN w:val="0"/>
        <w:adjustRightInd w:val="0"/>
        <w:spacing w:after="0" w:line="240" w:lineRule="auto"/>
        <w:ind w:left="-567"/>
        <w:jc w:val="center"/>
        <w:rPr>
          <w:rFonts w:ascii="Arial" w:hAnsi="Arial" w:cs="Arial"/>
          <w:b/>
          <w:bCs/>
          <w:color w:val="000000"/>
          <w:sz w:val="24"/>
          <w:szCs w:val="24"/>
        </w:rPr>
      </w:pPr>
      <w:r w:rsidRPr="00532488">
        <w:rPr>
          <w:rFonts w:ascii="Arial" w:hAnsi="Arial" w:cs="Arial"/>
          <w:b/>
          <w:bCs/>
          <w:color w:val="000000"/>
          <w:sz w:val="24"/>
          <w:szCs w:val="24"/>
        </w:rPr>
        <w:t xml:space="preserve">INEGI PRESENTA </w:t>
      </w:r>
      <w:r w:rsidR="00AA14DE">
        <w:rPr>
          <w:rFonts w:ascii="Arial" w:hAnsi="Arial" w:cs="Arial"/>
          <w:b/>
          <w:bCs/>
          <w:color w:val="000000"/>
          <w:sz w:val="24"/>
          <w:szCs w:val="24"/>
        </w:rPr>
        <w:t>LOS</w:t>
      </w:r>
      <w:r>
        <w:rPr>
          <w:rFonts w:ascii="Arial" w:hAnsi="Arial" w:cs="Arial"/>
          <w:b/>
          <w:bCs/>
          <w:color w:val="000000"/>
          <w:sz w:val="24"/>
          <w:szCs w:val="24"/>
        </w:rPr>
        <w:t xml:space="preserve"> </w:t>
      </w:r>
      <w:r w:rsidRPr="005B03CE">
        <w:rPr>
          <w:rFonts w:ascii="Arial" w:hAnsi="Arial" w:cs="Arial"/>
          <w:b/>
          <w:bCs/>
          <w:color w:val="000000"/>
          <w:sz w:val="24"/>
          <w:szCs w:val="24"/>
        </w:rPr>
        <w:t>CENSO</w:t>
      </w:r>
      <w:r w:rsidR="00AA14DE">
        <w:rPr>
          <w:rFonts w:ascii="Arial" w:hAnsi="Arial" w:cs="Arial"/>
          <w:b/>
          <w:bCs/>
          <w:color w:val="000000"/>
          <w:sz w:val="24"/>
          <w:szCs w:val="24"/>
        </w:rPr>
        <w:t>S</w:t>
      </w:r>
      <w:r w:rsidRPr="005B03CE">
        <w:rPr>
          <w:rFonts w:ascii="Arial" w:hAnsi="Arial" w:cs="Arial"/>
          <w:b/>
          <w:bCs/>
          <w:color w:val="000000"/>
          <w:sz w:val="24"/>
          <w:szCs w:val="24"/>
        </w:rPr>
        <w:t xml:space="preserve"> NACIONAL</w:t>
      </w:r>
      <w:r w:rsidR="00AA14DE">
        <w:rPr>
          <w:rFonts w:ascii="Arial" w:hAnsi="Arial" w:cs="Arial"/>
          <w:b/>
          <w:bCs/>
          <w:color w:val="000000"/>
          <w:sz w:val="24"/>
          <w:szCs w:val="24"/>
        </w:rPr>
        <w:t>ES</w:t>
      </w:r>
      <w:r w:rsidRPr="005B03CE">
        <w:rPr>
          <w:rFonts w:ascii="Arial" w:hAnsi="Arial" w:cs="Arial"/>
          <w:b/>
          <w:bCs/>
          <w:color w:val="000000"/>
          <w:sz w:val="24"/>
          <w:szCs w:val="24"/>
        </w:rPr>
        <w:t xml:space="preserve"> DE </w:t>
      </w:r>
      <w:r>
        <w:rPr>
          <w:rFonts w:ascii="Arial" w:hAnsi="Arial" w:cs="Arial"/>
          <w:b/>
          <w:bCs/>
          <w:color w:val="000000"/>
          <w:sz w:val="24"/>
          <w:szCs w:val="24"/>
        </w:rPr>
        <w:t>DERECHOS HUMANOS</w:t>
      </w:r>
    </w:p>
    <w:p w14:paraId="1DBC1436" w14:textId="77777777" w:rsidR="00962103" w:rsidRDefault="00962103" w:rsidP="00962103">
      <w:pPr>
        <w:autoSpaceDE w:val="0"/>
        <w:autoSpaceDN w:val="0"/>
        <w:adjustRightInd w:val="0"/>
        <w:spacing w:after="0" w:line="240" w:lineRule="auto"/>
        <w:ind w:left="-567"/>
        <w:jc w:val="center"/>
        <w:rPr>
          <w:rFonts w:ascii="Arial" w:hAnsi="Arial" w:cs="Arial"/>
          <w:b/>
          <w:bCs/>
          <w:color w:val="000000"/>
          <w:sz w:val="24"/>
          <w:szCs w:val="24"/>
        </w:rPr>
      </w:pPr>
      <w:r w:rsidRPr="005B03CE">
        <w:rPr>
          <w:rFonts w:ascii="Arial" w:hAnsi="Arial" w:cs="Arial"/>
          <w:b/>
          <w:bCs/>
          <w:color w:val="000000"/>
          <w:sz w:val="24"/>
          <w:szCs w:val="24"/>
        </w:rPr>
        <w:t xml:space="preserve">EN LOS ÁMBITOS FEDERAL Y ESTATAL </w:t>
      </w:r>
    </w:p>
    <w:p w14:paraId="53600AD2" w14:textId="77777777" w:rsidR="00962103" w:rsidRDefault="00962103" w:rsidP="00962103">
      <w:pPr>
        <w:autoSpaceDE w:val="0"/>
        <w:autoSpaceDN w:val="0"/>
        <w:adjustRightInd w:val="0"/>
        <w:spacing w:after="0" w:line="240" w:lineRule="auto"/>
        <w:ind w:left="-567"/>
        <w:jc w:val="center"/>
        <w:rPr>
          <w:rFonts w:ascii="Arial" w:hAnsi="Arial" w:cs="Arial"/>
          <w:b/>
          <w:bCs/>
          <w:color w:val="000000"/>
        </w:rPr>
      </w:pPr>
    </w:p>
    <w:p w14:paraId="268C04C4" w14:textId="08ED91EE" w:rsidR="00962103" w:rsidRPr="00684295" w:rsidRDefault="00962103" w:rsidP="00962103">
      <w:pPr>
        <w:pStyle w:val="Prrafodelista"/>
        <w:numPr>
          <w:ilvl w:val="0"/>
          <w:numId w:val="4"/>
        </w:numPr>
        <w:autoSpaceDE w:val="0"/>
        <w:autoSpaceDN w:val="0"/>
        <w:adjustRightInd w:val="0"/>
        <w:spacing w:after="0" w:line="240" w:lineRule="auto"/>
        <w:ind w:right="333"/>
        <w:jc w:val="both"/>
        <w:rPr>
          <w:rFonts w:ascii="Arial" w:hAnsi="Arial" w:cs="Arial"/>
          <w:color w:val="000000"/>
        </w:rPr>
      </w:pPr>
      <w:r w:rsidRPr="00684295">
        <w:rPr>
          <w:rFonts w:ascii="Arial" w:hAnsi="Arial" w:cs="Arial"/>
          <w:b/>
          <w:bCs/>
          <w:color w:val="000000"/>
        </w:rPr>
        <w:t>Se constituye</w:t>
      </w:r>
      <w:r w:rsidR="00AA14DE">
        <w:rPr>
          <w:rFonts w:ascii="Arial" w:hAnsi="Arial" w:cs="Arial"/>
          <w:b/>
          <w:bCs/>
          <w:color w:val="000000"/>
        </w:rPr>
        <w:t>n</w:t>
      </w:r>
      <w:r w:rsidRPr="00684295">
        <w:rPr>
          <w:rFonts w:ascii="Arial" w:hAnsi="Arial" w:cs="Arial"/>
          <w:b/>
          <w:bCs/>
          <w:color w:val="000000"/>
        </w:rPr>
        <w:t xml:space="preserve"> como programa</w:t>
      </w:r>
      <w:r w:rsidR="00AA14DE">
        <w:rPr>
          <w:rFonts w:ascii="Arial" w:hAnsi="Arial" w:cs="Arial"/>
          <w:b/>
          <w:bCs/>
          <w:color w:val="000000"/>
        </w:rPr>
        <w:t>s</w:t>
      </w:r>
      <w:r w:rsidRPr="00684295">
        <w:rPr>
          <w:rFonts w:ascii="Arial" w:hAnsi="Arial" w:cs="Arial"/>
          <w:b/>
          <w:bCs/>
          <w:color w:val="000000"/>
        </w:rPr>
        <w:t xml:space="preserve"> estadístico</w:t>
      </w:r>
      <w:r w:rsidR="00AA14DE">
        <w:rPr>
          <w:rFonts w:ascii="Arial" w:hAnsi="Arial" w:cs="Arial"/>
          <w:b/>
          <w:bCs/>
          <w:color w:val="000000"/>
        </w:rPr>
        <w:t>s</w:t>
      </w:r>
      <w:r w:rsidRPr="00684295">
        <w:rPr>
          <w:rFonts w:ascii="Arial" w:hAnsi="Arial" w:cs="Arial"/>
          <w:b/>
          <w:bCs/>
          <w:color w:val="000000"/>
        </w:rPr>
        <w:t xml:space="preserve"> que se realiza</w:t>
      </w:r>
      <w:r w:rsidR="00AA14DE">
        <w:rPr>
          <w:rFonts w:ascii="Arial" w:hAnsi="Arial" w:cs="Arial"/>
          <w:b/>
          <w:bCs/>
          <w:color w:val="000000"/>
        </w:rPr>
        <w:t>n</w:t>
      </w:r>
      <w:r w:rsidRPr="00684295">
        <w:rPr>
          <w:rFonts w:ascii="Arial" w:hAnsi="Arial" w:cs="Arial"/>
          <w:b/>
          <w:bCs/>
          <w:color w:val="000000"/>
        </w:rPr>
        <w:t xml:space="preserve"> en los ámbitos federal y estatal del Estado Mexicano y, en conjunto, ofrece</w:t>
      </w:r>
      <w:r w:rsidR="00CE5546">
        <w:rPr>
          <w:rFonts w:ascii="Arial" w:hAnsi="Arial" w:cs="Arial"/>
          <w:b/>
          <w:bCs/>
          <w:color w:val="000000"/>
        </w:rPr>
        <w:t>n</w:t>
      </w:r>
      <w:r w:rsidRPr="00684295">
        <w:rPr>
          <w:rFonts w:ascii="Arial" w:hAnsi="Arial" w:cs="Arial"/>
          <w:b/>
          <w:bCs/>
          <w:color w:val="000000"/>
        </w:rPr>
        <w:t xml:space="preserve"> información relevante de la estructura, organización, recursos y ejercicio de la función de</w:t>
      </w:r>
      <w:r>
        <w:rPr>
          <w:rFonts w:ascii="Arial" w:hAnsi="Arial" w:cs="Arial"/>
          <w:b/>
          <w:bCs/>
          <w:color w:val="000000"/>
        </w:rPr>
        <w:t xml:space="preserve"> </w:t>
      </w:r>
      <w:r w:rsidRPr="00684295">
        <w:rPr>
          <w:rFonts w:ascii="Arial" w:hAnsi="Arial" w:cs="Arial"/>
          <w:b/>
          <w:bCs/>
          <w:color w:val="000000"/>
        </w:rPr>
        <w:t>l</w:t>
      </w:r>
      <w:r>
        <w:rPr>
          <w:rFonts w:ascii="Arial" w:hAnsi="Arial" w:cs="Arial"/>
          <w:b/>
          <w:bCs/>
          <w:color w:val="000000"/>
        </w:rPr>
        <w:t xml:space="preserve">a Comisión Nacional de </w:t>
      </w:r>
      <w:r w:rsidR="00446306">
        <w:rPr>
          <w:rFonts w:ascii="Arial" w:hAnsi="Arial" w:cs="Arial"/>
          <w:b/>
          <w:bCs/>
          <w:color w:val="000000"/>
        </w:rPr>
        <w:t xml:space="preserve">los </w:t>
      </w:r>
      <w:r>
        <w:rPr>
          <w:rFonts w:ascii="Arial" w:hAnsi="Arial" w:cs="Arial"/>
          <w:b/>
          <w:bCs/>
          <w:color w:val="000000"/>
        </w:rPr>
        <w:t xml:space="preserve">Derechos Humanos y </w:t>
      </w:r>
      <w:r w:rsidR="003943B8">
        <w:rPr>
          <w:rFonts w:ascii="Arial" w:hAnsi="Arial" w:cs="Arial"/>
          <w:b/>
          <w:bCs/>
          <w:color w:val="000000"/>
        </w:rPr>
        <w:t xml:space="preserve">los </w:t>
      </w:r>
      <w:r w:rsidR="00091DA1">
        <w:rPr>
          <w:rFonts w:ascii="Arial" w:hAnsi="Arial" w:cs="Arial"/>
          <w:b/>
          <w:bCs/>
          <w:color w:val="000000"/>
        </w:rPr>
        <w:t>O</w:t>
      </w:r>
      <w:r w:rsidR="00091DA1" w:rsidRPr="00091DA1">
        <w:rPr>
          <w:rFonts w:ascii="Arial" w:hAnsi="Arial" w:cs="Arial"/>
          <w:b/>
          <w:bCs/>
          <w:color w:val="000000"/>
        </w:rPr>
        <w:t xml:space="preserve">rganismos </w:t>
      </w:r>
      <w:r w:rsidR="00091DA1">
        <w:rPr>
          <w:rFonts w:ascii="Arial" w:hAnsi="Arial" w:cs="Arial"/>
          <w:b/>
          <w:bCs/>
          <w:color w:val="000000"/>
        </w:rPr>
        <w:t>P</w:t>
      </w:r>
      <w:r w:rsidR="00091DA1" w:rsidRPr="00091DA1">
        <w:rPr>
          <w:rFonts w:ascii="Arial" w:hAnsi="Arial" w:cs="Arial"/>
          <w:b/>
          <w:bCs/>
          <w:color w:val="000000"/>
        </w:rPr>
        <w:t xml:space="preserve">úblicos de </w:t>
      </w:r>
      <w:r w:rsidR="00091DA1">
        <w:rPr>
          <w:rFonts w:ascii="Arial" w:hAnsi="Arial" w:cs="Arial"/>
          <w:b/>
          <w:bCs/>
          <w:color w:val="000000"/>
        </w:rPr>
        <w:t>D</w:t>
      </w:r>
      <w:r w:rsidR="00091DA1" w:rsidRPr="00091DA1">
        <w:rPr>
          <w:rFonts w:ascii="Arial" w:hAnsi="Arial" w:cs="Arial"/>
          <w:b/>
          <w:bCs/>
          <w:color w:val="000000"/>
        </w:rPr>
        <w:t xml:space="preserve">erechos </w:t>
      </w:r>
      <w:r w:rsidR="00091DA1">
        <w:rPr>
          <w:rFonts w:ascii="Arial" w:hAnsi="Arial" w:cs="Arial"/>
          <w:b/>
          <w:bCs/>
          <w:color w:val="000000"/>
        </w:rPr>
        <w:t>H</w:t>
      </w:r>
      <w:r w:rsidR="00091DA1" w:rsidRPr="00091DA1">
        <w:rPr>
          <w:rFonts w:ascii="Arial" w:hAnsi="Arial" w:cs="Arial"/>
          <w:b/>
          <w:bCs/>
          <w:color w:val="000000"/>
        </w:rPr>
        <w:t>umanos</w:t>
      </w:r>
      <w:r>
        <w:rPr>
          <w:rFonts w:ascii="Arial" w:hAnsi="Arial" w:cs="Arial"/>
          <w:b/>
          <w:bCs/>
          <w:color w:val="000000"/>
        </w:rPr>
        <w:t xml:space="preserve"> en</w:t>
      </w:r>
      <w:r w:rsidRPr="00684295">
        <w:rPr>
          <w:rFonts w:ascii="Arial" w:hAnsi="Arial" w:cs="Arial"/>
          <w:b/>
          <w:bCs/>
          <w:color w:val="000000"/>
        </w:rPr>
        <w:t xml:space="preserve"> las entidades federativas</w:t>
      </w:r>
      <w:r>
        <w:rPr>
          <w:rFonts w:ascii="Arial" w:hAnsi="Arial" w:cs="Arial"/>
          <w:b/>
          <w:bCs/>
          <w:color w:val="000000"/>
        </w:rPr>
        <w:t>.</w:t>
      </w:r>
      <w:r w:rsidRPr="00684295">
        <w:rPr>
          <w:rFonts w:ascii="Arial" w:hAnsi="Arial" w:cs="Arial"/>
          <w:b/>
          <w:bCs/>
          <w:color w:val="000000"/>
        </w:rPr>
        <w:t xml:space="preserve"> </w:t>
      </w:r>
    </w:p>
    <w:p w14:paraId="649F8AF3" w14:textId="77777777" w:rsidR="00962103" w:rsidRDefault="00962103" w:rsidP="00962103">
      <w:pPr>
        <w:autoSpaceDE w:val="0"/>
        <w:autoSpaceDN w:val="0"/>
        <w:adjustRightInd w:val="0"/>
        <w:spacing w:after="0" w:line="240" w:lineRule="auto"/>
        <w:ind w:left="-567"/>
        <w:jc w:val="both"/>
        <w:rPr>
          <w:rFonts w:ascii="Arial" w:hAnsi="Arial" w:cs="Arial"/>
          <w:color w:val="000000"/>
          <w:sz w:val="24"/>
        </w:rPr>
      </w:pPr>
    </w:p>
    <w:p w14:paraId="57A26B83" w14:textId="47E6FCC6" w:rsidR="00962103" w:rsidRPr="00CF6170" w:rsidRDefault="00962103" w:rsidP="00962103">
      <w:pPr>
        <w:autoSpaceDE w:val="0"/>
        <w:autoSpaceDN w:val="0"/>
        <w:adjustRightInd w:val="0"/>
        <w:spacing w:after="0" w:line="240" w:lineRule="auto"/>
        <w:ind w:left="-567"/>
        <w:jc w:val="both"/>
        <w:rPr>
          <w:rFonts w:ascii="Arial" w:hAnsi="Arial" w:cs="Arial"/>
          <w:color w:val="000000"/>
        </w:rPr>
      </w:pPr>
      <w:r w:rsidRPr="00CF6170">
        <w:rPr>
          <w:rFonts w:ascii="Arial" w:hAnsi="Arial" w:cs="Arial"/>
          <w:color w:val="000000"/>
        </w:rPr>
        <w:t>El Instituto Nacional de Estadística y Geografía (INEGI) da a conocer hoy la información de</w:t>
      </w:r>
      <w:r w:rsidR="0011751C" w:rsidRPr="00CF6170">
        <w:rPr>
          <w:rFonts w:ascii="Arial" w:hAnsi="Arial" w:cs="Arial"/>
          <w:color w:val="000000"/>
        </w:rPr>
        <w:t xml:space="preserve"> </w:t>
      </w:r>
      <w:r w:rsidRPr="00CF6170">
        <w:rPr>
          <w:rFonts w:ascii="Arial" w:hAnsi="Arial" w:cs="Arial"/>
          <w:color w:val="000000"/>
        </w:rPr>
        <w:t>l</w:t>
      </w:r>
      <w:r w:rsidR="0011751C" w:rsidRPr="00CF6170">
        <w:rPr>
          <w:rFonts w:ascii="Arial" w:hAnsi="Arial" w:cs="Arial"/>
          <w:color w:val="000000"/>
        </w:rPr>
        <w:t>os</w:t>
      </w:r>
      <w:r w:rsidRPr="00CF6170">
        <w:rPr>
          <w:rFonts w:ascii="Arial" w:hAnsi="Arial" w:cs="Arial"/>
          <w:color w:val="000000"/>
        </w:rPr>
        <w:t xml:space="preserve"> Censo</w:t>
      </w:r>
      <w:r w:rsidR="0011751C" w:rsidRPr="00CF6170">
        <w:rPr>
          <w:rFonts w:ascii="Arial" w:hAnsi="Arial" w:cs="Arial"/>
          <w:color w:val="000000"/>
        </w:rPr>
        <w:t>s</w:t>
      </w:r>
      <w:r w:rsidRPr="00CF6170">
        <w:rPr>
          <w:rFonts w:ascii="Arial" w:hAnsi="Arial" w:cs="Arial"/>
          <w:color w:val="000000"/>
        </w:rPr>
        <w:t xml:space="preserve"> Nacional</w:t>
      </w:r>
      <w:r w:rsidR="0011751C" w:rsidRPr="00CF6170">
        <w:rPr>
          <w:rFonts w:ascii="Arial" w:hAnsi="Arial" w:cs="Arial"/>
          <w:color w:val="000000"/>
        </w:rPr>
        <w:t>es</w:t>
      </w:r>
      <w:r w:rsidRPr="00CF6170">
        <w:rPr>
          <w:rFonts w:ascii="Arial" w:hAnsi="Arial" w:cs="Arial"/>
          <w:color w:val="000000"/>
        </w:rPr>
        <w:t xml:space="preserve"> de Derechos Humanos en los ámbitos federal y estatal (CNDHF-E) 202</w:t>
      </w:r>
      <w:r w:rsidR="007276ED" w:rsidRPr="00CF6170">
        <w:rPr>
          <w:rFonts w:ascii="Arial" w:hAnsi="Arial" w:cs="Arial"/>
          <w:color w:val="000000"/>
        </w:rPr>
        <w:t>1</w:t>
      </w:r>
      <w:r w:rsidR="00B108B9" w:rsidRPr="00CF6170">
        <w:rPr>
          <w:rStyle w:val="Refdenotaalpie"/>
          <w:rFonts w:ascii="Arial" w:hAnsi="Arial" w:cs="Arial"/>
          <w:color w:val="000000"/>
        </w:rPr>
        <w:footnoteReference w:id="2"/>
      </w:r>
      <w:r w:rsidRPr="00CF6170">
        <w:rPr>
          <w:rFonts w:ascii="Arial" w:hAnsi="Arial" w:cs="Arial"/>
          <w:color w:val="000000"/>
        </w:rPr>
        <w:t>.</w:t>
      </w:r>
    </w:p>
    <w:p w14:paraId="0D035543" w14:textId="77777777" w:rsidR="00962103" w:rsidRPr="00CF6170" w:rsidRDefault="00962103" w:rsidP="00962103">
      <w:pPr>
        <w:autoSpaceDE w:val="0"/>
        <w:autoSpaceDN w:val="0"/>
        <w:adjustRightInd w:val="0"/>
        <w:spacing w:after="0" w:line="240" w:lineRule="auto"/>
        <w:ind w:left="-567"/>
        <w:jc w:val="both"/>
        <w:rPr>
          <w:rFonts w:ascii="Arial" w:hAnsi="Arial" w:cs="Arial"/>
          <w:color w:val="000000"/>
        </w:rPr>
      </w:pPr>
    </w:p>
    <w:p w14:paraId="53EAA88E" w14:textId="081EB881" w:rsidR="00962103" w:rsidRPr="00CF6170" w:rsidRDefault="00962103" w:rsidP="00962103">
      <w:pPr>
        <w:autoSpaceDE w:val="0"/>
        <w:autoSpaceDN w:val="0"/>
        <w:adjustRightInd w:val="0"/>
        <w:spacing w:after="0" w:line="240" w:lineRule="auto"/>
        <w:ind w:left="-567"/>
        <w:jc w:val="both"/>
        <w:rPr>
          <w:rFonts w:ascii="Arial" w:hAnsi="Arial" w:cs="Arial"/>
          <w:color w:val="000000"/>
        </w:rPr>
      </w:pPr>
      <w:r w:rsidRPr="00CF6170">
        <w:rPr>
          <w:rFonts w:ascii="Arial" w:hAnsi="Arial" w:cs="Arial"/>
          <w:color w:val="000000"/>
        </w:rPr>
        <w:t>El objetivo general es</w:t>
      </w:r>
      <w:r w:rsidRPr="00CF6170">
        <w:rPr>
          <w:rFonts w:ascii="Arial" w:hAnsi="Arial" w:cs="Arial"/>
        </w:rPr>
        <w:t xml:space="preserve"> </w:t>
      </w:r>
      <w:r w:rsidRPr="00CF6170">
        <w:rPr>
          <w:rFonts w:ascii="Arial" w:hAnsi="Arial" w:cs="Arial"/>
          <w:color w:val="000000"/>
        </w:rPr>
        <w:t>generar información estadística y geográfica sobre la gestión y desempeño de la Comisión Nacional de</w:t>
      </w:r>
      <w:r w:rsidR="00446306" w:rsidRPr="00CF6170">
        <w:rPr>
          <w:rFonts w:ascii="Arial" w:hAnsi="Arial" w:cs="Arial"/>
          <w:color w:val="000000"/>
        </w:rPr>
        <w:t xml:space="preserve"> los</w:t>
      </w:r>
      <w:r w:rsidRPr="00CF6170">
        <w:rPr>
          <w:rFonts w:ascii="Arial" w:hAnsi="Arial" w:cs="Arial"/>
          <w:color w:val="000000"/>
        </w:rPr>
        <w:t xml:space="preserve"> Derechos Humanos (CNDH), así como de los </w:t>
      </w:r>
      <w:r w:rsidR="00091DA1" w:rsidRPr="00CF6170">
        <w:rPr>
          <w:rFonts w:ascii="Arial" w:hAnsi="Arial" w:cs="Arial"/>
          <w:color w:val="000000"/>
        </w:rPr>
        <w:t xml:space="preserve">Organismos Públicos de Derechos Humanos </w:t>
      </w:r>
      <w:r w:rsidRPr="00CF6170">
        <w:rPr>
          <w:rFonts w:ascii="Arial" w:hAnsi="Arial" w:cs="Arial"/>
          <w:color w:val="000000"/>
        </w:rPr>
        <w:t>de las entidades federativas (OPDH), específicamente en las funciones de gobierno y capacitación, difusión, defensa y protección de los derechos humanos, con la finalidad de que ésta se vincule con el quehacer gubernamental dentro del proceso de diseño, implementación, monitoreo y evaluación de las políticas públicas de alcance nacional en los referidos temas.</w:t>
      </w:r>
    </w:p>
    <w:p w14:paraId="6C5138C8" w14:textId="77777777" w:rsidR="00962103" w:rsidRPr="00CF6170" w:rsidRDefault="00962103" w:rsidP="00962103">
      <w:pPr>
        <w:autoSpaceDE w:val="0"/>
        <w:autoSpaceDN w:val="0"/>
        <w:adjustRightInd w:val="0"/>
        <w:spacing w:after="0" w:line="240" w:lineRule="auto"/>
        <w:ind w:left="-567"/>
        <w:jc w:val="both"/>
        <w:rPr>
          <w:rFonts w:ascii="Arial" w:hAnsi="Arial" w:cs="Arial"/>
          <w:color w:val="000000"/>
        </w:rPr>
      </w:pPr>
    </w:p>
    <w:p w14:paraId="02FC51C3" w14:textId="0CC1D590" w:rsidR="00962103" w:rsidRPr="00CF6170" w:rsidRDefault="00962103" w:rsidP="00962103">
      <w:pPr>
        <w:ind w:left="-567"/>
        <w:jc w:val="both"/>
        <w:rPr>
          <w:rFonts w:ascii="Arial" w:hAnsi="Arial" w:cs="Arial"/>
          <w:color w:val="000000"/>
        </w:rPr>
      </w:pPr>
      <w:r w:rsidRPr="00CF6170">
        <w:rPr>
          <w:rFonts w:ascii="Arial" w:hAnsi="Arial" w:cs="Arial"/>
          <w:color w:val="000000"/>
        </w:rPr>
        <w:t>En relación con los aspectos metodológicos de</w:t>
      </w:r>
      <w:r w:rsidR="0011751C" w:rsidRPr="00CF6170">
        <w:rPr>
          <w:rFonts w:ascii="Arial" w:hAnsi="Arial" w:cs="Arial"/>
          <w:color w:val="000000"/>
        </w:rPr>
        <w:t xml:space="preserve"> </w:t>
      </w:r>
      <w:r w:rsidRPr="00CF6170">
        <w:rPr>
          <w:rFonts w:ascii="Arial" w:hAnsi="Arial" w:cs="Arial"/>
          <w:color w:val="000000"/>
        </w:rPr>
        <w:t>l</w:t>
      </w:r>
      <w:r w:rsidR="0011751C" w:rsidRPr="00CF6170">
        <w:rPr>
          <w:rFonts w:ascii="Arial" w:hAnsi="Arial" w:cs="Arial"/>
          <w:color w:val="000000"/>
        </w:rPr>
        <w:t>os</w:t>
      </w:r>
      <w:r w:rsidRPr="00CF6170">
        <w:rPr>
          <w:rFonts w:ascii="Arial" w:hAnsi="Arial" w:cs="Arial"/>
          <w:color w:val="000000"/>
        </w:rPr>
        <w:t xml:space="preserve"> CNDHF-E 202</w:t>
      </w:r>
      <w:r w:rsidR="007276ED" w:rsidRPr="00CF6170">
        <w:rPr>
          <w:rFonts w:ascii="Arial" w:hAnsi="Arial" w:cs="Arial"/>
          <w:color w:val="000000"/>
        </w:rPr>
        <w:t>1</w:t>
      </w:r>
      <w:r w:rsidRPr="00CF6170">
        <w:rPr>
          <w:rFonts w:ascii="Arial" w:hAnsi="Arial" w:cs="Arial"/>
          <w:color w:val="000000"/>
        </w:rPr>
        <w:t>, se destaca que la cobertura geográfica es federal y estatal, en tanto que la temporalidad de la información corresponde a 2</w:t>
      </w:r>
      <w:r w:rsidR="007276ED" w:rsidRPr="00CF6170">
        <w:rPr>
          <w:rFonts w:ascii="Arial" w:hAnsi="Arial" w:cs="Arial"/>
          <w:color w:val="000000"/>
        </w:rPr>
        <w:t>020 y 2021</w:t>
      </w:r>
      <w:r w:rsidRPr="00CF6170">
        <w:rPr>
          <w:rFonts w:ascii="Arial" w:hAnsi="Arial" w:cs="Arial"/>
          <w:color w:val="000000"/>
        </w:rPr>
        <w:t>, este último s</w:t>
      </w:r>
      <w:r w:rsidR="003943B8" w:rsidRPr="00CF6170">
        <w:rPr>
          <w:rFonts w:ascii="Arial" w:hAnsi="Arial" w:cs="Arial"/>
          <w:color w:val="000000"/>
        </w:rPr>
        <w:t>ó</w:t>
      </w:r>
      <w:r w:rsidRPr="00CF6170">
        <w:rPr>
          <w:rFonts w:ascii="Arial" w:hAnsi="Arial" w:cs="Arial"/>
          <w:color w:val="000000"/>
        </w:rPr>
        <w:t>lo para las preguntas que solicitan datos al momento de la aplicación del cuestionario. Las unidades de análisis son la Comisión Nacional de los Derechos Humanos (CN</w:t>
      </w:r>
      <w:r w:rsidR="0005150E" w:rsidRPr="00CF6170">
        <w:rPr>
          <w:rFonts w:ascii="Arial" w:hAnsi="Arial" w:cs="Arial"/>
          <w:color w:val="000000"/>
        </w:rPr>
        <w:t>DH</w:t>
      </w:r>
      <w:r w:rsidRPr="00CF6170">
        <w:rPr>
          <w:rFonts w:ascii="Arial" w:hAnsi="Arial" w:cs="Arial"/>
          <w:color w:val="000000"/>
        </w:rPr>
        <w:t xml:space="preserve">), los </w:t>
      </w:r>
      <w:r w:rsidR="00091DA1" w:rsidRPr="00CF6170">
        <w:rPr>
          <w:rFonts w:ascii="Arial" w:hAnsi="Arial" w:cs="Arial"/>
          <w:color w:val="000000"/>
        </w:rPr>
        <w:t xml:space="preserve">Organismos Públicos de Derechos Humanos </w:t>
      </w:r>
      <w:r w:rsidRPr="00CF6170">
        <w:rPr>
          <w:rFonts w:ascii="Arial" w:hAnsi="Arial" w:cs="Arial"/>
          <w:color w:val="000000"/>
        </w:rPr>
        <w:t xml:space="preserve">de las entidades federativas (OPDH), así como las Visitadurías en los ámbitos federal y estatal. El periodo de levantamiento ocurrió del </w:t>
      </w:r>
      <w:r w:rsidR="007B7F91" w:rsidRPr="00CF6170">
        <w:rPr>
          <w:rFonts w:ascii="Arial" w:hAnsi="Arial" w:cs="Arial"/>
          <w:color w:val="000000"/>
        </w:rPr>
        <w:t>04 de junio al 05 de octubre de 2021</w:t>
      </w:r>
      <w:r w:rsidRPr="00CF6170">
        <w:rPr>
          <w:rFonts w:ascii="Arial" w:hAnsi="Arial" w:cs="Arial"/>
          <w:color w:val="000000"/>
        </w:rPr>
        <w:t xml:space="preserve"> en el ámbito federal y del </w:t>
      </w:r>
      <w:r w:rsidR="007B7F91" w:rsidRPr="00CF6170">
        <w:rPr>
          <w:rFonts w:ascii="Arial" w:hAnsi="Arial" w:cs="Arial"/>
          <w:color w:val="000000"/>
        </w:rPr>
        <w:t>14</w:t>
      </w:r>
      <w:r w:rsidRPr="00CF6170">
        <w:rPr>
          <w:rFonts w:ascii="Arial" w:hAnsi="Arial" w:cs="Arial"/>
          <w:color w:val="000000"/>
        </w:rPr>
        <w:t xml:space="preserve"> de junio al 1</w:t>
      </w:r>
      <w:r w:rsidR="007B7F91" w:rsidRPr="00CF6170">
        <w:rPr>
          <w:rFonts w:ascii="Arial" w:hAnsi="Arial" w:cs="Arial"/>
          <w:color w:val="000000"/>
        </w:rPr>
        <w:t xml:space="preserve">0 </w:t>
      </w:r>
      <w:r w:rsidRPr="00CF6170">
        <w:rPr>
          <w:rFonts w:ascii="Arial" w:hAnsi="Arial" w:cs="Arial"/>
          <w:color w:val="000000"/>
        </w:rPr>
        <w:t xml:space="preserve">de </w:t>
      </w:r>
      <w:r w:rsidR="007B7F91" w:rsidRPr="00CF6170">
        <w:rPr>
          <w:rFonts w:ascii="Arial" w:hAnsi="Arial" w:cs="Arial"/>
          <w:color w:val="000000"/>
        </w:rPr>
        <w:t>noviembre</w:t>
      </w:r>
      <w:r w:rsidRPr="00CF6170">
        <w:rPr>
          <w:rFonts w:ascii="Arial" w:hAnsi="Arial" w:cs="Arial"/>
          <w:color w:val="000000"/>
        </w:rPr>
        <w:t xml:space="preserve"> de 202</w:t>
      </w:r>
      <w:r w:rsidR="007B7F91" w:rsidRPr="00CF6170">
        <w:rPr>
          <w:rFonts w:ascii="Arial" w:hAnsi="Arial" w:cs="Arial"/>
          <w:color w:val="000000"/>
        </w:rPr>
        <w:t>1</w:t>
      </w:r>
      <w:r w:rsidRPr="00CF6170">
        <w:rPr>
          <w:rFonts w:ascii="Arial" w:hAnsi="Arial" w:cs="Arial"/>
          <w:color w:val="000000"/>
        </w:rPr>
        <w:t xml:space="preserve"> en el ámbito estatal. La publicación de resultados se realiza el 10 de diciembre de 202</w:t>
      </w:r>
      <w:r w:rsidR="007B7F91" w:rsidRPr="00CF6170">
        <w:rPr>
          <w:rFonts w:ascii="Arial" w:hAnsi="Arial" w:cs="Arial"/>
          <w:color w:val="000000"/>
        </w:rPr>
        <w:t>1</w:t>
      </w:r>
      <w:r w:rsidRPr="00CF6170">
        <w:rPr>
          <w:rFonts w:ascii="Arial" w:hAnsi="Arial" w:cs="Arial"/>
          <w:color w:val="000000"/>
        </w:rPr>
        <w:t xml:space="preserve">. </w:t>
      </w:r>
    </w:p>
    <w:p w14:paraId="02ABEE31" w14:textId="302B97C9" w:rsidR="0060789E" w:rsidRPr="00CF6170" w:rsidRDefault="00CF6170" w:rsidP="00B1413D">
      <w:pPr>
        <w:spacing w:after="0" w:line="240" w:lineRule="auto"/>
        <w:ind w:left="-567"/>
        <w:jc w:val="both"/>
        <w:rPr>
          <w:rFonts w:ascii="Arial" w:hAnsi="Arial" w:cs="Arial"/>
          <w:color w:val="000000"/>
        </w:rPr>
      </w:pPr>
      <w:r w:rsidRPr="00CF6170">
        <w:rPr>
          <w:rFonts w:ascii="Arial" w:hAnsi="Arial" w:cs="Arial"/>
          <w:color w:val="000000"/>
        </w:rPr>
        <w:t>Es preciso advertir que la contingencia sanitaria derivada de la pandemia generada por el virus SARS-COV2 (COVID-19) y la implementación de medidas oficiales para evitar su propagación, como la disminución de la capacidad instalada y la reducción parcial de actividades, repercutieron en la cantidad de: eventos de capacitación y difusión y personas participantes, servicios de atención inmediata, solicitudes de queja recibidas y expedientes de queja conocidos (atendidos, calificados, concluidos y pendientes).</w:t>
      </w:r>
    </w:p>
    <w:p w14:paraId="136AC015" w14:textId="77777777" w:rsidR="00CF6170" w:rsidRPr="00CF6170" w:rsidRDefault="00CF6170" w:rsidP="00B1413D">
      <w:pPr>
        <w:spacing w:after="0" w:line="240" w:lineRule="auto"/>
        <w:ind w:left="-567"/>
        <w:jc w:val="both"/>
        <w:rPr>
          <w:rFonts w:ascii="Arial" w:hAnsi="Arial" w:cs="Arial"/>
          <w:color w:val="000000"/>
        </w:rPr>
      </w:pPr>
    </w:p>
    <w:p w14:paraId="41164C2B" w14:textId="6F38D22D" w:rsidR="00962103" w:rsidRPr="00CF6170" w:rsidRDefault="00962103" w:rsidP="00B1413D">
      <w:pPr>
        <w:spacing w:after="0" w:line="240" w:lineRule="auto"/>
        <w:ind w:left="-567"/>
        <w:jc w:val="both"/>
        <w:rPr>
          <w:rFonts w:ascii="Arial" w:hAnsi="Arial" w:cs="Arial"/>
          <w:color w:val="000000"/>
        </w:rPr>
      </w:pPr>
      <w:r w:rsidRPr="00CF6170">
        <w:rPr>
          <w:rFonts w:ascii="Arial" w:hAnsi="Arial" w:cs="Arial"/>
          <w:color w:val="000000"/>
        </w:rPr>
        <w:t>Los resultados de la cuarta edición de</w:t>
      </w:r>
      <w:r w:rsidR="0011751C" w:rsidRPr="00CF6170">
        <w:rPr>
          <w:rFonts w:ascii="Arial" w:hAnsi="Arial" w:cs="Arial"/>
          <w:color w:val="000000"/>
        </w:rPr>
        <w:t xml:space="preserve"> </w:t>
      </w:r>
      <w:r w:rsidRPr="00CF6170">
        <w:rPr>
          <w:rFonts w:ascii="Arial" w:hAnsi="Arial" w:cs="Arial"/>
          <w:color w:val="000000"/>
        </w:rPr>
        <w:t>l</w:t>
      </w:r>
      <w:r w:rsidR="0011751C" w:rsidRPr="00CF6170">
        <w:rPr>
          <w:rFonts w:ascii="Arial" w:hAnsi="Arial" w:cs="Arial"/>
          <w:color w:val="000000"/>
        </w:rPr>
        <w:t>os</w:t>
      </w:r>
      <w:r w:rsidRPr="00CF6170">
        <w:rPr>
          <w:rFonts w:ascii="Arial" w:hAnsi="Arial" w:cs="Arial"/>
          <w:color w:val="000000"/>
        </w:rPr>
        <w:t xml:space="preserve"> CNDHF-E 202</w:t>
      </w:r>
      <w:r w:rsidR="007B7F91" w:rsidRPr="00CF6170">
        <w:rPr>
          <w:rFonts w:ascii="Arial" w:hAnsi="Arial" w:cs="Arial"/>
          <w:color w:val="000000"/>
        </w:rPr>
        <w:t>1</w:t>
      </w:r>
      <w:r w:rsidRPr="00CF6170">
        <w:rPr>
          <w:rFonts w:ascii="Arial" w:hAnsi="Arial" w:cs="Arial"/>
          <w:color w:val="000000"/>
        </w:rPr>
        <w:t xml:space="preserve"> se presentan en cuadros estadísticos organizados en</w:t>
      </w:r>
      <w:r w:rsidR="00B1413D" w:rsidRPr="00CF6170">
        <w:rPr>
          <w:rFonts w:ascii="Arial" w:hAnsi="Arial" w:cs="Arial"/>
          <w:color w:val="000000"/>
        </w:rPr>
        <w:t xml:space="preserve"> los siguientes a</w:t>
      </w:r>
      <w:r w:rsidRPr="00CF6170">
        <w:rPr>
          <w:rFonts w:ascii="Arial" w:hAnsi="Arial" w:cs="Arial"/>
          <w:color w:val="000000"/>
        </w:rPr>
        <w:t>partados:</w:t>
      </w:r>
      <w:r w:rsidR="00B1413D" w:rsidRPr="00CF6170">
        <w:rPr>
          <w:rFonts w:ascii="Arial" w:hAnsi="Arial" w:cs="Arial"/>
        </w:rPr>
        <w:t xml:space="preserve"> </w:t>
      </w:r>
      <w:r w:rsidR="00235EFC" w:rsidRPr="00CF6170">
        <w:rPr>
          <w:rFonts w:ascii="Arial" w:hAnsi="Arial" w:cs="Arial"/>
          <w:color w:val="000000"/>
        </w:rPr>
        <w:t>1) Estructura organizacional y recursos, y 2) Protección de derechos humanos.</w:t>
      </w:r>
    </w:p>
    <w:p w14:paraId="41EA6193" w14:textId="77777777" w:rsidR="00235EFC" w:rsidRPr="00CF6170" w:rsidRDefault="00235EFC" w:rsidP="00B1413D">
      <w:pPr>
        <w:spacing w:after="0" w:line="240" w:lineRule="auto"/>
        <w:ind w:left="-567"/>
        <w:jc w:val="both"/>
        <w:rPr>
          <w:rFonts w:ascii="Arial" w:hAnsi="Arial" w:cs="Arial"/>
          <w:color w:val="000000"/>
        </w:rPr>
      </w:pPr>
    </w:p>
    <w:p w14:paraId="50C7A1F9" w14:textId="73918530" w:rsidR="0011751C" w:rsidRPr="00CF6170" w:rsidRDefault="00BD5323" w:rsidP="00BD5323">
      <w:pPr>
        <w:ind w:left="-567"/>
        <w:jc w:val="both"/>
        <w:rPr>
          <w:rFonts w:ascii="Arial" w:hAnsi="Arial" w:cs="Arial"/>
          <w:color w:val="000000"/>
        </w:rPr>
      </w:pPr>
      <w:r w:rsidRPr="00CF6170">
        <w:rPr>
          <w:rFonts w:ascii="Arial" w:hAnsi="Arial" w:cs="Arial"/>
          <w:color w:val="000000"/>
        </w:rPr>
        <w:t xml:space="preserve">La información se puede consultar en los </w:t>
      </w:r>
      <w:r w:rsidR="0011751C" w:rsidRPr="00CF6170">
        <w:rPr>
          <w:rFonts w:ascii="Arial" w:hAnsi="Arial" w:cs="Arial"/>
          <w:color w:val="000000"/>
        </w:rPr>
        <w:t xml:space="preserve">siguientes </w:t>
      </w:r>
      <w:r w:rsidRPr="00CF6170">
        <w:rPr>
          <w:rFonts w:ascii="Arial" w:hAnsi="Arial" w:cs="Arial"/>
          <w:color w:val="000000"/>
        </w:rPr>
        <w:t xml:space="preserve">sitios: </w:t>
      </w:r>
    </w:p>
    <w:p w14:paraId="20336DF4" w14:textId="02B09539" w:rsidR="00BD5323" w:rsidRPr="00CF6170" w:rsidRDefault="00FB58C9" w:rsidP="00BD5323">
      <w:pPr>
        <w:ind w:left="-567"/>
        <w:jc w:val="both"/>
        <w:rPr>
          <w:rStyle w:val="Hipervnculo"/>
          <w:rFonts w:ascii="Arial" w:hAnsi="Arial" w:cs="Arial"/>
        </w:rPr>
      </w:pPr>
      <w:hyperlink r:id="rId33" w:history="1">
        <w:r w:rsidR="0011751C" w:rsidRPr="00CF6170">
          <w:rPr>
            <w:rStyle w:val="Hipervnculo"/>
            <w:rFonts w:ascii="Arial" w:hAnsi="Arial" w:cs="Arial"/>
          </w:rPr>
          <w:t>https://www.inegi.org.mx/programas/cndhf/2021/</w:t>
        </w:r>
      </w:hyperlink>
      <w:r w:rsidR="00BD5323" w:rsidRPr="00CF6170">
        <w:rPr>
          <w:rFonts w:ascii="Arial" w:hAnsi="Arial" w:cs="Arial"/>
          <w:color w:val="000000"/>
        </w:rPr>
        <w:t xml:space="preserve">  </w:t>
      </w:r>
      <w:hyperlink r:id="rId34" w:history="1">
        <w:r w:rsidR="00BD5323" w:rsidRPr="00CF6170">
          <w:rPr>
            <w:rStyle w:val="Hipervnculo"/>
            <w:rFonts w:ascii="Arial" w:hAnsi="Arial" w:cs="Arial"/>
          </w:rPr>
          <w:t>https://www.inegi.org.mx/programas/cndhe/2021/</w:t>
        </w:r>
      </w:hyperlink>
    </w:p>
    <w:p w14:paraId="4FDECA45" w14:textId="77777777" w:rsidR="00235EFC" w:rsidRPr="000E4ADF" w:rsidRDefault="00235EFC" w:rsidP="00BD5323">
      <w:pPr>
        <w:ind w:left="-567"/>
        <w:jc w:val="both"/>
        <w:rPr>
          <w:rFonts w:ascii="Arial" w:hAnsi="Arial" w:cs="Arial"/>
          <w:color w:val="000000"/>
          <w:sz w:val="24"/>
        </w:rPr>
      </w:pPr>
    </w:p>
    <w:p w14:paraId="7665F880" w14:textId="7EA3E485" w:rsidR="00643797" w:rsidRDefault="00643797" w:rsidP="00962103">
      <w:pPr>
        <w:autoSpaceDE w:val="0"/>
        <w:autoSpaceDN w:val="0"/>
        <w:adjustRightInd w:val="0"/>
        <w:spacing w:after="0" w:line="240" w:lineRule="auto"/>
        <w:ind w:left="-567"/>
        <w:jc w:val="both"/>
        <w:rPr>
          <w:rFonts w:ascii="Arial" w:hAnsi="Arial" w:cs="Arial"/>
          <w:b/>
          <w:bCs/>
          <w:sz w:val="24"/>
          <w:szCs w:val="24"/>
        </w:rPr>
      </w:pPr>
    </w:p>
    <w:p w14:paraId="6C201A2D" w14:textId="2709CEA1" w:rsidR="00CF6170" w:rsidRDefault="00CF6170" w:rsidP="00962103">
      <w:pPr>
        <w:autoSpaceDE w:val="0"/>
        <w:autoSpaceDN w:val="0"/>
        <w:adjustRightInd w:val="0"/>
        <w:spacing w:after="0" w:line="240" w:lineRule="auto"/>
        <w:ind w:left="-567"/>
        <w:jc w:val="both"/>
        <w:rPr>
          <w:rFonts w:ascii="Arial" w:hAnsi="Arial" w:cs="Arial"/>
          <w:b/>
          <w:bCs/>
          <w:sz w:val="24"/>
          <w:szCs w:val="24"/>
        </w:rPr>
      </w:pPr>
    </w:p>
    <w:p w14:paraId="3E48C17E" w14:textId="77777777" w:rsidR="007A0EAC" w:rsidRDefault="007A0EAC" w:rsidP="00962103">
      <w:pPr>
        <w:autoSpaceDE w:val="0"/>
        <w:autoSpaceDN w:val="0"/>
        <w:adjustRightInd w:val="0"/>
        <w:spacing w:after="0" w:line="240" w:lineRule="auto"/>
        <w:ind w:left="-567"/>
        <w:jc w:val="both"/>
        <w:rPr>
          <w:rFonts w:ascii="Arial" w:hAnsi="Arial" w:cs="Arial"/>
          <w:b/>
          <w:bCs/>
          <w:sz w:val="24"/>
          <w:szCs w:val="24"/>
        </w:rPr>
      </w:pPr>
    </w:p>
    <w:p w14:paraId="4C5920BD" w14:textId="56AAED7F" w:rsidR="00962103" w:rsidRPr="00CF2511" w:rsidRDefault="00962103" w:rsidP="00962103">
      <w:pPr>
        <w:autoSpaceDE w:val="0"/>
        <w:autoSpaceDN w:val="0"/>
        <w:adjustRightInd w:val="0"/>
        <w:spacing w:after="0" w:line="240" w:lineRule="auto"/>
        <w:ind w:left="-567"/>
        <w:jc w:val="both"/>
        <w:rPr>
          <w:rFonts w:ascii="Arial" w:hAnsi="Arial" w:cs="Arial"/>
          <w:color w:val="000000"/>
          <w:sz w:val="24"/>
          <w:szCs w:val="24"/>
        </w:rPr>
      </w:pPr>
      <w:r w:rsidRPr="00CF2511">
        <w:rPr>
          <w:rFonts w:ascii="Arial" w:hAnsi="Arial" w:cs="Arial"/>
          <w:b/>
          <w:bCs/>
          <w:sz w:val="24"/>
          <w:szCs w:val="24"/>
        </w:rPr>
        <w:t xml:space="preserve">Estructura organizacional </w:t>
      </w:r>
      <w:r>
        <w:rPr>
          <w:rFonts w:ascii="Arial" w:hAnsi="Arial" w:cs="Arial"/>
          <w:b/>
          <w:bCs/>
          <w:sz w:val="24"/>
          <w:szCs w:val="24"/>
        </w:rPr>
        <w:t>y recursos</w:t>
      </w:r>
    </w:p>
    <w:p w14:paraId="357BED8F" w14:textId="77777777" w:rsidR="00962103" w:rsidRDefault="00962103" w:rsidP="00962103">
      <w:pPr>
        <w:pStyle w:val="Default"/>
        <w:ind w:left="-567"/>
        <w:jc w:val="both"/>
      </w:pPr>
      <w:bookmarkStart w:id="3" w:name="_Hlk56788583"/>
    </w:p>
    <w:p w14:paraId="23989715" w14:textId="53F7F028" w:rsidR="00090227" w:rsidRDefault="003943B8" w:rsidP="00962103">
      <w:pPr>
        <w:pStyle w:val="Default"/>
        <w:ind w:left="-567"/>
        <w:jc w:val="both"/>
        <w:rPr>
          <w:color w:val="auto"/>
        </w:rPr>
      </w:pPr>
      <w:r>
        <w:t>Con respecto a</w:t>
      </w:r>
      <w:r w:rsidR="00962103" w:rsidRPr="00670E94">
        <w:t xml:space="preserve"> las características de la estructura organizacional </w:t>
      </w:r>
      <w:r w:rsidR="00962103" w:rsidRPr="00263756">
        <w:t xml:space="preserve">y recursos con los que </w:t>
      </w:r>
      <w:bookmarkEnd w:id="3"/>
      <w:r>
        <w:t xml:space="preserve">contaron </w:t>
      </w:r>
      <w:r w:rsidR="00962103">
        <w:t xml:space="preserve">la Comisión Nacional de </w:t>
      </w:r>
      <w:r w:rsidR="00446306">
        <w:t xml:space="preserve">los </w:t>
      </w:r>
      <w:r w:rsidR="00962103">
        <w:t>Derechos Humanos (CNDH)</w:t>
      </w:r>
      <w:r w:rsidR="00962103" w:rsidRPr="006B2FA8">
        <w:t xml:space="preserve"> y los </w:t>
      </w:r>
      <w:r w:rsidR="00BD5323">
        <w:t>O</w:t>
      </w:r>
      <w:r w:rsidR="00BD5323" w:rsidRPr="00BD5323">
        <w:t xml:space="preserve">rganismos </w:t>
      </w:r>
      <w:r w:rsidR="00BD5323">
        <w:t>P</w:t>
      </w:r>
      <w:r w:rsidR="00BD5323" w:rsidRPr="00BD5323">
        <w:t xml:space="preserve">úblicos de </w:t>
      </w:r>
      <w:r w:rsidR="00BD5323">
        <w:t>D</w:t>
      </w:r>
      <w:r w:rsidR="00BD5323" w:rsidRPr="00BD5323">
        <w:t xml:space="preserve">erechos </w:t>
      </w:r>
      <w:r w:rsidR="00BD5323">
        <w:t>H</w:t>
      </w:r>
      <w:r w:rsidR="00BD5323" w:rsidRPr="00BD5323">
        <w:t>umanos</w:t>
      </w:r>
      <w:r w:rsidR="00BD5323">
        <w:t xml:space="preserve"> </w:t>
      </w:r>
      <w:r w:rsidR="00962103">
        <w:t>de las entidades federativas (OPDH)</w:t>
      </w:r>
      <w:r w:rsidR="00962103" w:rsidRPr="00263756">
        <w:t xml:space="preserve"> se </w:t>
      </w:r>
      <w:r w:rsidR="00962103" w:rsidRPr="00FC2897">
        <w:rPr>
          <w:color w:val="auto"/>
        </w:rPr>
        <w:t>destaca que, al cierre de 20</w:t>
      </w:r>
      <w:r w:rsidR="004D57F0">
        <w:rPr>
          <w:color w:val="auto"/>
        </w:rPr>
        <w:t>20</w:t>
      </w:r>
      <w:r w:rsidR="00962103" w:rsidRPr="00FC2897">
        <w:rPr>
          <w:color w:val="auto"/>
        </w:rPr>
        <w:t>, la CNDH contó con 1</w:t>
      </w:r>
      <w:r w:rsidR="00090227">
        <w:rPr>
          <w:color w:val="auto"/>
        </w:rPr>
        <w:t>1</w:t>
      </w:r>
      <w:r w:rsidR="00962103" w:rsidRPr="00FC2897">
        <w:rPr>
          <w:color w:val="auto"/>
        </w:rPr>
        <w:t xml:space="preserve"> unidades administrativas y los OPDH con </w:t>
      </w:r>
      <w:r w:rsidR="00090227">
        <w:rPr>
          <w:color w:val="auto"/>
        </w:rPr>
        <w:t>448</w:t>
      </w:r>
      <w:r w:rsidR="00962103" w:rsidRPr="00FC2897">
        <w:rPr>
          <w:color w:val="auto"/>
        </w:rPr>
        <w:t>.</w:t>
      </w:r>
      <w:r w:rsidR="00090227">
        <w:rPr>
          <w:color w:val="auto"/>
        </w:rPr>
        <w:t xml:space="preserve"> Comparado con lo reportado en 2019</w:t>
      </w:r>
      <w:r w:rsidR="00090227">
        <w:rPr>
          <w:rStyle w:val="Refdenotaalpie"/>
          <w:color w:val="auto"/>
        </w:rPr>
        <w:footnoteReference w:id="3"/>
      </w:r>
      <w:r w:rsidR="00090227">
        <w:rPr>
          <w:color w:val="auto"/>
        </w:rPr>
        <w:t>, en ambos casos se presentó una disminución de unidades administrativas de 35.3% y 35.9%, respectivamente.</w:t>
      </w:r>
      <w:r w:rsidR="00004F16">
        <w:rPr>
          <w:color w:val="auto"/>
        </w:rPr>
        <w:t xml:space="preserve"> De acuerdo con</w:t>
      </w:r>
      <w:r w:rsidR="00071B9B" w:rsidRPr="00FC2897">
        <w:rPr>
          <w:color w:val="auto"/>
        </w:rPr>
        <w:t xml:space="preserve"> la función que </w:t>
      </w:r>
      <w:r w:rsidR="00071B9B">
        <w:rPr>
          <w:color w:val="auto"/>
        </w:rPr>
        <w:t>desarrollaron dichas unidades, 10.9% correspond</w:t>
      </w:r>
      <w:r w:rsidR="002619E9">
        <w:rPr>
          <w:color w:val="auto"/>
        </w:rPr>
        <w:t xml:space="preserve">ió a </w:t>
      </w:r>
      <w:r w:rsidR="0011751C">
        <w:rPr>
          <w:color w:val="auto"/>
        </w:rPr>
        <w:t>a</w:t>
      </w:r>
      <w:r w:rsidR="002619E9">
        <w:rPr>
          <w:color w:val="auto"/>
        </w:rPr>
        <w:t xml:space="preserve">dministración y finanzas. </w:t>
      </w:r>
    </w:p>
    <w:p w14:paraId="5B91A103" w14:textId="77777777" w:rsidR="00962103" w:rsidRDefault="00962103" w:rsidP="00962103">
      <w:pPr>
        <w:pStyle w:val="Default"/>
        <w:ind w:left="-567"/>
        <w:jc w:val="both"/>
      </w:pPr>
    </w:p>
    <w:p w14:paraId="7CDAD3F7" w14:textId="55B0992A" w:rsidR="00962103" w:rsidRPr="0063747B" w:rsidRDefault="00962103" w:rsidP="00962103">
      <w:pPr>
        <w:pStyle w:val="Default"/>
        <w:spacing w:after="10"/>
        <w:ind w:left="-567" w:right="-518"/>
        <w:jc w:val="center"/>
        <w:rPr>
          <w:b/>
          <w:bCs/>
          <w:i/>
          <w:iCs/>
          <w:color w:val="87AD8A"/>
          <w:sz w:val="18"/>
        </w:rPr>
      </w:pPr>
      <w:r w:rsidRPr="0063747B">
        <w:rPr>
          <w:b/>
          <w:bCs/>
          <w:i/>
          <w:iCs/>
          <w:color w:val="87AD8A"/>
          <w:sz w:val="18"/>
        </w:rPr>
        <w:t>Gráfica 1. Distribución porcentual de unidades administrativas de la CNDH y OPDH, por función, 20</w:t>
      </w:r>
      <w:r w:rsidR="00004F16" w:rsidRPr="0063747B">
        <w:rPr>
          <w:b/>
          <w:bCs/>
          <w:i/>
          <w:iCs/>
          <w:color w:val="87AD8A"/>
          <w:sz w:val="18"/>
        </w:rPr>
        <w:t>20</w:t>
      </w:r>
    </w:p>
    <w:p w14:paraId="7202AFCD" w14:textId="7CAA28F4" w:rsidR="00962103" w:rsidRDefault="00C2266D" w:rsidP="00962103">
      <w:pPr>
        <w:pStyle w:val="Default"/>
        <w:spacing w:after="10"/>
        <w:ind w:left="-567" w:right="-283"/>
        <w:jc w:val="center"/>
        <w:rPr>
          <w:b/>
          <w:bCs/>
          <w:i/>
          <w:iCs/>
          <w:color w:val="63716D"/>
          <w:sz w:val="20"/>
        </w:rPr>
      </w:pPr>
      <w:r>
        <w:rPr>
          <w:noProof/>
        </w:rPr>
        <w:drawing>
          <wp:inline distT="0" distB="0" distL="0" distR="0" wp14:anchorId="581D4F29" wp14:editId="37C35AE7">
            <wp:extent cx="5037826" cy="5114925"/>
            <wp:effectExtent l="0" t="0" r="0" b="0"/>
            <wp:docPr id="1" name="Gráfico 1">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6F20477" w14:textId="3B305AA2" w:rsidR="00B108B9" w:rsidRPr="00B108B9" w:rsidRDefault="00B108B9" w:rsidP="00962103">
      <w:pPr>
        <w:pStyle w:val="Default"/>
        <w:spacing w:after="10"/>
        <w:ind w:left="-567" w:right="-283"/>
        <w:jc w:val="center"/>
        <w:rPr>
          <w:bCs/>
          <w:iCs/>
          <w:color w:val="63716D"/>
          <w:sz w:val="20"/>
        </w:rPr>
      </w:pPr>
      <w:r w:rsidRPr="00B108B9">
        <w:rPr>
          <w:bCs/>
          <w:iCs/>
          <w:color w:val="000000" w:themeColor="text1"/>
          <w:sz w:val="16"/>
        </w:rPr>
        <w:t>*Acceso a la información pública y protección de datos personales</w:t>
      </w:r>
      <w:r>
        <w:rPr>
          <w:bCs/>
          <w:iCs/>
          <w:color w:val="000000" w:themeColor="text1"/>
          <w:sz w:val="16"/>
        </w:rPr>
        <w:t>.</w:t>
      </w:r>
    </w:p>
    <w:p w14:paraId="35715EF7" w14:textId="77777777" w:rsidR="00962103" w:rsidRDefault="00962103" w:rsidP="00962103">
      <w:pPr>
        <w:spacing w:after="0"/>
        <w:ind w:left="-567"/>
        <w:rPr>
          <w:rFonts w:ascii="Arial" w:hAnsi="Arial" w:cs="Arial"/>
          <w:b/>
          <w:bCs/>
          <w:iCs/>
          <w:noProof/>
          <w:sz w:val="24"/>
          <w:szCs w:val="24"/>
          <w:lang w:eastAsia="es-MX"/>
        </w:rPr>
      </w:pPr>
    </w:p>
    <w:p w14:paraId="63D3A0EC" w14:textId="77777777" w:rsidR="00BD5323" w:rsidRDefault="00BD5323" w:rsidP="00DC2EE6">
      <w:pPr>
        <w:autoSpaceDE w:val="0"/>
        <w:autoSpaceDN w:val="0"/>
        <w:adjustRightInd w:val="0"/>
        <w:spacing w:after="0" w:line="240" w:lineRule="auto"/>
        <w:ind w:left="-567"/>
        <w:jc w:val="both"/>
        <w:rPr>
          <w:rFonts w:ascii="Arial" w:hAnsi="Arial" w:cs="Arial"/>
          <w:color w:val="000000"/>
          <w:sz w:val="24"/>
          <w:szCs w:val="24"/>
        </w:rPr>
      </w:pPr>
    </w:p>
    <w:p w14:paraId="1BEB76A7" w14:textId="77777777" w:rsidR="00BD5323" w:rsidRDefault="00BD5323" w:rsidP="00DC2EE6">
      <w:pPr>
        <w:autoSpaceDE w:val="0"/>
        <w:autoSpaceDN w:val="0"/>
        <w:adjustRightInd w:val="0"/>
        <w:spacing w:after="0" w:line="240" w:lineRule="auto"/>
        <w:ind w:left="-567"/>
        <w:jc w:val="both"/>
        <w:rPr>
          <w:rFonts w:ascii="Arial" w:hAnsi="Arial" w:cs="Arial"/>
          <w:color w:val="000000"/>
          <w:sz w:val="24"/>
          <w:szCs w:val="24"/>
        </w:rPr>
      </w:pPr>
    </w:p>
    <w:p w14:paraId="6D82FC79" w14:textId="0B16B0C3" w:rsidR="00FF4C08" w:rsidRDefault="00BB62B6" w:rsidP="00DC2EE6">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Destacan estado de México, Zacatecas, Baja California y Sonora, al ser las entidades que concentraron el mayor número de unidades administrativas.  </w:t>
      </w:r>
    </w:p>
    <w:p w14:paraId="2763AF58" w14:textId="77777777" w:rsidR="00DC2EE6" w:rsidRDefault="00DC2EE6" w:rsidP="00DC2EE6">
      <w:pPr>
        <w:autoSpaceDE w:val="0"/>
        <w:autoSpaceDN w:val="0"/>
        <w:adjustRightInd w:val="0"/>
        <w:spacing w:after="0" w:line="240" w:lineRule="auto"/>
        <w:ind w:left="-567"/>
        <w:jc w:val="both"/>
        <w:rPr>
          <w:rFonts w:ascii="Arial" w:hAnsi="Arial" w:cs="Arial"/>
          <w:color w:val="000000"/>
          <w:sz w:val="24"/>
          <w:szCs w:val="24"/>
        </w:rPr>
      </w:pPr>
    </w:p>
    <w:p w14:paraId="5EE89C23" w14:textId="44F2D324" w:rsidR="00DC2EE6" w:rsidRDefault="00DC2EE6" w:rsidP="00DC2EE6">
      <w:pPr>
        <w:autoSpaceDE w:val="0"/>
        <w:autoSpaceDN w:val="0"/>
        <w:adjustRightInd w:val="0"/>
        <w:spacing w:after="0" w:line="240" w:lineRule="auto"/>
        <w:ind w:left="-567"/>
        <w:jc w:val="center"/>
        <w:rPr>
          <w:rFonts w:ascii="Arial" w:hAnsi="Arial" w:cs="Arial"/>
          <w:b/>
          <w:bCs/>
          <w:i/>
          <w:iCs/>
          <w:color w:val="87AD8A"/>
          <w:sz w:val="18"/>
          <w:szCs w:val="24"/>
        </w:rPr>
      </w:pPr>
      <w:r w:rsidRPr="00DC2EE6">
        <w:rPr>
          <w:rFonts w:ascii="Arial" w:hAnsi="Arial" w:cs="Arial"/>
          <w:b/>
          <w:bCs/>
          <w:i/>
          <w:iCs/>
          <w:color w:val="87AD8A"/>
          <w:sz w:val="18"/>
          <w:szCs w:val="24"/>
        </w:rPr>
        <w:t>Mapa 1. Distribución de unidades administrativas de la CNDH y OPDH,</w:t>
      </w:r>
      <w:r w:rsidR="00B00071">
        <w:rPr>
          <w:rFonts w:ascii="Arial" w:hAnsi="Arial" w:cs="Arial"/>
          <w:b/>
          <w:bCs/>
          <w:i/>
          <w:iCs/>
          <w:color w:val="87AD8A"/>
          <w:sz w:val="18"/>
          <w:szCs w:val="24"/>
        </w:rPr>
        <w:t xml:space="preserve"> según entidad federativa,</w:t>
      </w:r>
      <w:r w:rsidRPr="00DC2EE6">
        <w:rPr>
          <w:rFonts w:ascii="Arial" w:hAnsi="Arial" w:cs="Arial"/>
          <w:b/>
          <w:bCs/>
          <w:i/>
          <w:iCs/>
          <w:color w:val="87AD8A"/>
          <w:sz w:val="18"/>
          <w:szCs w:val="24"/>
        </w:rPr>
        <w:t xml:space="preserve"> 20</w:t>
      </w:r>
      <w:r>
        <w:rPr>
          <w:rFonts w:ascii="Arial" w:hAnsi="Arial" w:cs="Arial"/>
          <w:b/>
          <w:bCs/>
          <w:i/>
          <w:iCs/>
          <w:color w:val="87AD8A"/>
          <w:sz w:val="18"/>
          <w:szCs w:val="24"/>
        </w:rPr>
        <w:t>20</w:t>
      </w:r>
    </w:p>
    <w:p w14:paraId="792FA92B" w14:textId="77777777" w:rsidR="00C2266D" w:rsidRDefault="00C2266D" w:rsidP="00DC2EE6">
      <w:pPr>
        <w:autoSpaceDE w:val="0"/>
        <w:autoSpaceDN w:val="0"/>
        <w:adjustRightInd w:val="0"/>
        <w:spacing w:after="0" w:line="240" w:lineRule="auto"/>
        <w:ind w:left="-567"/>
        <w:jc w:val="center"/>
        <w:rPr>
          <w:rFonts w:ascii="Arial" w:hAnsi="Arial" w:cs="Arial"/>
          <w:b/>
          <w:bCs/>
          <w:i/>
          <w:iCs/>
          <w:color w:val="87AD8A"/>
          <w:sz w:val="18"/>
          <w:szCs w:val="24"/>
        </w:rPr>
      </w:pPr>
    </w:p>
    <w:p w14:paraId="00657103" w14:textId="3308B690" w:rsidR="00BB62B6" w:rsidRDefault="00B00071" w:rsidP="00B00071">
      <w:pPr>
        <w:autoSpaceDE w:val="0"/>
        <w:autoSpaceDN w:val="0"/>
        <w:adjustRightInd w:val="0"/>
        <w:spacing w:after="0" w:line="240" w:lineRule="auto"/>
        <w:ind w:left="-567"/>
        <w:jc w:val="right"/>
        <w:rPr>
          <w:rFonts w:ascii="Arial" w:hAnsi="Arial" w:cs="Arial"/>
          <w:b/>
          <w:bCs/>
          <w:i/>
          <w:iCs/>
          <w:color w:val="87AD8A"/>
          <w:sz w:val="18"/>
          <w:szCs w:val="24"/>
        </w:rPr>
      </w:pPr>
      <w:r>
        <w:rPr>
          <w:rFonts w:ascii="Arial" w:hAnsi="Arial" w:cs="Arial"/>
          <w:b/>
          <w:bCs/>
          <w:i/>
          <w:iCs/>
          <w:noProof/>
          <w:color w:val="87AD8A"/>
          <w:sz w:val="18"/>
          <w:szCs w:val="24"/>
        </w:rPr>
        <w:drawing>
          <wp:inline distT="0" distB="0" distL="0" distR="0" wp14:anchorId="23CFB569" wp14:editId="18252451">
            <wp:extent cx="6455391" cy="323899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5378" cy="3249023"/>
                    </a:xfrm>
                    <a:prstGeom prst="rect">
                      <a:avLst/>
                    </a:prstGeom>
                    <a:noFill/>
                  </pic:spPr>
                </pic:pic>
              </a:graphicData>
            </a:graphic>
          </wp:inline>
        </w:drawing>
      </w:r>
    </w:p>
    <w:p w14:paraId="031B6C15" w14:textId="77777777" w:rsidR="00DC2EE6" w:rsidRDefault="00DC2EE6" w:rsidP="00DC2EE6">
      <w:pPr>
        <w:autoSpaceDE w:val="0"/>
        <w:autoSpaceDN w:val="0"/>
        <w:adjustRightInd w:val="0"/>
        <w:spacing w:after="0" w:line="240" w:lineRule="auto"/>
        <w:ind w:left="-567"/>
        <w:jc w:val="center"/>
        <w:rPr>
          <w:rFonts w:ascii="Arial" w:hAnsi="Arial" w:cs="Arial"/>
          <w:color w:val="000000"/>
          <w:sz w:val="24"/>
          <w:szCs w:val="24"/>
        </w:rPr>
      </w:pPr>
    </w:p>
    <w:p w14:paraId="60BC2BE0" w14:textId="45906409" w:rsidR="00DC2EE6" w:rsidRPr="00FD2D78" w:rsidRDefault="00BB62B6" w:rsidP="00BB62B6">
      <w:pPr>
        <w:autoSpaceDE w:val="0"/>
        <w:autoSpaceDN w:val="0"/>
        <w:adjustRightInd w:val="0"/>
        <w:spacing w:after="0" w:line="240" w:lineRule="auto"/>
        <w:ind w:left="-567"/>
        <w:jc w:val="both"/>
        <w:rPr>
          <w:rFonts w:ascii="Arial" w:hAnsi="Arial" w:cs="Arial"/>
          <w:color w:val="000000"/>
          <w:sz w:val="24"/>
          <w:szCs w:val="24"/>
        </w:rPr>
      </w:pPr>
      <w:r w:rsidRPr="00B5015A">
        <w:rPr>
          <w:rFonts w:ascii="Arial" w:hAnsi="Arial" w:cs="Arial"/>
          <w:color w:val="000000"/>
          <w:sz w:val="24"/>
          <w:szCs w:val="24"/>
        </w:rPr>
        <w:t>Al cierre de 20</w:t>
      </w:r>
      <w:r w:rsidR="002938CE" w:rsidRPr="00B5015A">
        <w:rPr>
          <w:rFonts w:ascii="Arial" w:hAnsi="Arial" w:cs="Arial"/>
          <w:color w:val="000000"/>
          <w:sz w:val="24"/>
          <w:szCs w:val="24"/>
        </w:rPr>
        <w:t>20</w:t>
      </w:r>
      <w:r w:rsidRPr="00B5015A">
        <w:rPr>
          <w:rFonts w:ascii="Arial" w:hAnsi="Arial" w:cs="Arial"/>
          <w:color w:val="000000"/>
          <w:sz w:val="24"/>
          <w:szCs w:val="24"/>
        </w:rPr>
        <w:t xml:space="preserve"> se reportaron 2</w:t>
      </w:r>
      <w:r w:rsidR="001C23E6" w:rsidRPr="00B5015A">
        <w:rPr>
          <w:rFonts w:ascii="Arial" w:hAnsi="Arial" w:cs="Arial"/>
          <w:color w:val="000000"/>
          <w:sz w:val="24"/>
          <w:szCs w:val="24"/>
        </w:rPr>
        <w:t>61</w:t>
      </w:r>
      <w:r w:rsidRPr="00B5015A">
        <w:rPr>
          <w:rFonts w:ascii="Arial" w:hAnsi="Arial" w:cs="Arial"/>
          <w:color w:val="000000"/>
          <w:sz w:val="24"/>
          <w:szCs w:val="24"/>
        </w:rPr>
        <w:t xml:space="preserve"> oficinas, 25 de ellas en la CNDH y 2</w:t>
      </w:r>
      <w:r w:rsidR="001C23E6" w:rsidRPr="00B5015A">
        <w:rPr>
          <w:rFonts w:ascii="Arial" w:hAnsi="Arial" w:cs="Arial"/>
          <w:color w:val="000000"/>
          <w:sz w:val="24"/>
          <w:szCs w:val="24"/>
        </w:rPr>
        <w:t>36</w:t>
      </w:r>
      <w:r w:rsidRPr="00B5015A">
        <w:rPr>
          <w:rFonts w:ascii="Arial" w:hAnsi="Arial" w:cs="Arial"/>
          <w:color w:val="000000"/>
          <w:sz w:val="24"/>
          <w:szCs w:val="24"/>
        </w:rPr>
        <w:t xml:space="preserve"> en los OPDH. Del</w:t>
      </w:r>
      <w:r w:rsidR="001C23E6" w:rsidRPr="00B5015A">
        <w:rPr>
          <w:rFonts w:ascii="Arial" w:hAnsi="Arial" w:cs="Arial"/>
          <w:color w:val="000000"/>
          <w:sz w:val="24"/>
          <w:szCs w:val="24"/>
        </w:rPr>
        <w:t xml:space="preserve"> </w:t>
      </w:r>
      <w:r w:rsidRPr="00B5015A">
        <w:rPr>
          <w:rFonts w:ascii="Arial" w:hAnsi="Arial" w:cs="Arial"/>
          <w:color w:val="000000"/>
          <w:sz w:val="24"/>
          <w:szCs w:val="24"/>
        </w:rPr>
        <w:t>total, 80.</w:t>
      </w:r>
      <w:r w:rsidR="002938CE" w:rsidRPr="00B5015A">
        <w:rPr>
          <w:rFonts w:ascii="Arial" w:hAnsi="Arial" w:cs="Arial"/>
          <w:color w:val="000000"/>
          <w:sz w:val="24"/>
          <w:szCs w:val="24"/>
        </w:rPr>
        <w:t>1</w:t>
      </w:r>
      <w:r w:rsidRPr="00B5015A">
        <w:rPr>
          <w:rFonts w:ascii="Arial" w:hAnsi="Arial" w:cs="Arial"/>
          <w:color w:val="000000"/>
          <w:sz w:val="24"/>
          <w:szCs w:val="24"/>
        </w:rPr>
        <w:t>% eran foráneas y 19.</w:t>
      </w:r>
      <w:r w:rsidR="002938CE" w:rsidRPr="00B5015A">
        <w:rPr>
          <w:rFonts w:ascii="Arial" w:hAnsi="Arial" w:cs="Arial"/>
          <w:color w:val="000000"/>
          <w:sz w:val="24"/>
          <w:szCs w:val="24"/>
        </w:rPr>
        <w:t>9</w:t>
      </w:r>
      <w:r w:rsidRPr="00B5015A">
        <w:rPr>
          <w:rFonts w:ascii="Arial" w:hAnsi="Arial" w:cs="Arial"/>
          <w:color w:val="000000"/>
          <w:sz w:val="24"/>
          <w:szCs w:val="24"/>
        </w:rPr>
        <w:t xml:space="preserve">%, centrales. </w:t>
      </w:r>
      <w:r w:rsidR="002938CE" w:rsidRPr="00B5015A">
        <w:rPr>
          <w:rFonts w:ascii="Arial" w:hAnsi="Arial" w:cs="Arial"/>
          <w:color w:val="000000"/>
          <w:sz w:val="24"/>
          <w:szCs w:val="24"/>
        </w:rPr>
        <w:t>Respecto a la cifra reportada en 2019</w:t>
      </w:r>
      <w:r w:rsidR="00115D74" w:rsidRPr="00B5015A">
        <w:rPr>
          <w:rStyle w:val="Refdenotaalpie"/>
          <w:rFonts w:ascii="Arial" w:hAnsi="Arial" w:cs="Arial"/>
          <w:color w:val="000000"/>
          <w:sz w:val="24"/>
          <w:szCs w:val="24"/>
        </w:rPr>
        <w:footnoteReference w:id="4"/>
      </w:r>
      <w:r w:rsidR="002938CE" w:rsidRPr="00B5015A">
        <w:rPr>
          <w:rFonts w:ascii="Arial" w:hAnsi="Arial" w:cs="Arial"/>
          <w:color w:val="000000"/>
          <w:sz w:val="24"/>
          <w:szCs w:val="24"/>
        </w:rPr>
        <w:t xml:space="preserve">, </w:t>
      </w:r>
      <w:r w:rsidR="00115D74" w:rsidRPr="00B5015A">
        <w:rPr>
          <w:rFonts w:ascii="Arial" w:hAnsi="Arial" w:cs="Arial"/>
          <w:color w:val="000000"/>
          <w:sz w:val="24"/>
          <w:szCs w:val="24"/>
        </w:rPr>
        <w:t xml:space="preserve">las oficinas adscritas a los OPDH aumentaron </w:t>
      </w:r>
      <w:r w:rsidR="002019CA">
        <w:rPr>
          <w:rFonts w:ascii="Arial" w:hAnsi="Arial" w:cs="Arial"/>
          <w:color w:val="000000"/>
          <w:sz w:val="24"/>
          <w:szCs w:val="24"/>
        </w:rPr>
        <w:t>1.7</w:t>
      </w:r>
      <w:r w:rsidR="0011751C">
        <w:rPr>
          <w:rFonts w:ascii="Arial" w:hAnsi="Arial" w:cs="Arial"/>
          <w:color w:val="000000"/>
          <w:sz w:val="24"/>
          <w:szCs w:val="24"/>
        </w:rPr>
        <w:t>%</w:t>
      </w:r>
      <w:r w:rsidR="00115D74" w:rsidRPr="00B5015A">
        <w:rPr>
          <w:rFonts w:ascii="Arial" w:hAnsi="Arial" w:cs="Arial"/>
          <w:color w:val="000000"/>
          <w:sz w:val="24"/>
          <w:szCs w:val="24"/>
        </w:rPr>
        <w:t xml:space="preserve"> en 2020</w:t>
      </w:r>
      <w:r w:rsidR="00FC6A3C">
        <w:rPr>
          <w:rFonts w:ascii="Arial" w:hAnsi="Arial" w:cs="Arial"/>
          <w:color w:val="000000"/>
          <w:sz w:val="24"/>
          <w:szCs w:val="24"/>
        </w:rPr>
        <w:t>, mientras que las oficinas de la CNDH mantuvieron la misma cantidad.</w:t>
      </w:r>
      <w:r w:rsidR="00115D74" w:rsidRPr="00B5015A">
        <w:rPr>
          <w:rFonts w:ascii="Arial" w:hAnsi="Arial" w:cs="Arial"/>
          <w:color w:val="000000"/>
          <w:sz w:val="24"/>
          <w:szCs w:val="24"/>
        </w:rPr>
        <w:t xml:space="preserve"> Por su parte, </w:t>
      </w:r>
      <w:r w:rsidRPr="00B5015A">
        <w:rPr>
          <w:rFonts w:ascii="Arial" w:hAnsi="Arial" w:cs="Arial"/>
          <w:color w:val="000000"/>
          <w:sz w:val="24"/>
          <w:szCs w:val="24"/>
        </w:rPr>
        <w:t>Jalisco fue la entidad federativa que registró la</w:t>
      </w:r>
      <w:r w:rsidR="001C23E6" w:rsidRPr="00B5015A">
        <w:rPr>
          <w:rFonts w:ascii="Arial" w:hAnsi="Arial" w:cs="Arial"/>
          <w:color w:val="000000"/>
          <w:sz w:val="24"/>
          <w:szCs w:val="24"/>
        </w:rPr>
        <w:t xml:space="preserve"> </w:t>
      </w:r>
      <w:r w:rsidRPr="00B5015A">
        <w:rPr>
          <w:rFonts w:ascii="Arial" w:hAnsi="Arial" w:cs="Arial"/>
          <w:color w:val="000000"/>
          <w:sz w:val="24"/>
          <w:szCs w:val="24"/>
        </w:rPr>
        <w:t xml:space="preserve">mayor cantidad de oficinas con </w:t>
      </w:r>
      <w:r w:rsidR="00B5015A" w:rsidRPr="00B5015A">
        <w:rPr>
          <w:rFonts w:ascii="Arial" w:hAnsi="Arial" w:cs="Arial"/>
          <w:color w:val="000000"/>
          <w:sz w:val="24"/>
          <w:szCs w:val="24"/>
        </w:rPr>
        <w:t>21.</w:t>
      </w:r>
    </w:p>
    <w:p w14:paraId="5954FF5F" w14:textId="6F0CE1DD" w:rsidR="00962103" w:rsidRDefault="00962103" w:rsidP="00962103">
      <w:pPr>
        <w:spacing w:after="0"/>
        <w:ind w:left="-567"/>
        <w:rPr>
          <w:rFonts w:ascii="Arial" w:hAnsi="Arial" w:cs="Arial"/>
          <w:b/>
          <w:bCs/>
          <w:iCs/>
          <w:noProof/>
          <w:sz w:val="24"/>
          <w:szCs w:val="24"/>
          <w:lang w:eastAsia="es-MX"/>
        </w:rPr>
      </w:pPr>
    </w:p>
    <w:p w14:paraId="42F5CEC6" w14:textId="3202BAE1" w:rsidR="00B5015A" w:rsidRPr="00B5015A" w:rsidRDefault="00115D74" w:rsidP="00B5015A">
      <w:pPr>
        <w:autoSpaceDE w:val="0"/>
        <w:autoSpaceDN w:val="0"/>
        <w:adjustRightInd w:val="0"/>
        <w:spacing w:after="0" w:line="240" w:lineRule="auto"/>
        <w:ind w:left="-567"/>
        <w:jc w:val="center"/>
        <w:rPr>
          <w:rFonts w:ascii="Arial" w:hAnsi="Arial" w:cs="Arial"/>
          <w:b/>
          <w:bCs/>
          <w:i/>
          <w:iCs/>
          <w:color w:val="87AD8A"/>
          <w:sz w:val="18"/>
          <w:szCs w:val="24"/>
        </w:rPr>
      </w:pPr>
      <w:r w:rsidRPr="00115D74">
        <w:rPr>
          <w:rFonts w:ascii="Arial" w:hAnsi="Arial" w:cs="Arial"/>
          <w:b/>
          <w:bCs/>
          <w:i/>
          <w:iCs/>
          <w:color w:val="87AD8A"/>
          <w:sz w:val="18"/>
          <w:szCs w:val="24"/>
        </w:rPr>
        <w:t xml:space="preserve">Gráfica </w:t>
      </w:r>
      <w:r w:rsidR="00C60BEF">
        <w:rPr>
          <w:rFonts w:ascii="Arial" w:hAnsi="Arial" w:cs="Arial"/>
          <w:b/>
          <w:bCs/>
          <w:i/>
          <w:iCs/>
          <w:color w:val="87AD8A"/>
          <w:sz w:val="18"/>
          <w:szCs w:val="24"/>
        </w:rPr>
        <w:t>2</w:t>
      </w:r>
      <w:r w:rsidRPr="00115D74">
        <w:rPr>
          <w:rFonts w:ascii="Arial" w:hAnsi="Arial" w:cs="Arial"/>
          <w:b/>
          <w:bCs/>
          <w:i/>
          <w:iCs/>
          <w:color w:val="87AD8A"/>
          <w:sz w:val="18"/>
          <w:szCs w:val="24"/>
        </w:rPr>
        <w:t xml:space="preserve">. </w:t>
      </w:r>
      <w:r w:rsidR="00B5015A" w:rsidRPr="00B5015A">
        <w:rPr>
          <w:rFonts w:ascii="Arial" w:hAnsi="Arial" w:cs="Arial"/>
          <w:b/>
          <w:bCs/>
          <w:i/>
          <w:iCs/>
          <w:color w:val="87AD8A"/>
          <w:sz w:val="18"/>
          <w:szCs w:val="24"/>
        </w:rPr>
        <w:t>Distribución de oficinas centrales y foráneas de la CNDH y OPDH,</w:t>
      </w:r>
    </w:p>
    <w:p w14:paraId="06E73096" w14:textId="6D2A4CA0" w:rsidR="00115D74" w:rsidRDefault="00B5015A" w:rsidP="00B5015A">
      <w:pPr>
        <w:autoSpaceDE w:val="0"/>
        <w:autoSpaceDN w:val="0"/>
        <w:adjustRightInd w:val="0"/>
        <w:spacing w:after="0" w:line="240" w:lineRule="auto"/>
        <w:ind w:left="-567"/>
        <w:jc w:val="center"/>
        <w:rPr>
          <w:rFonts w:ascii="Arial" w:hAnsi="Arial" w:cs="Arial"/>
          <w:b/>
          <w:bCs/>
          <w:iCs/>
          <w:noProof/>
          <w:sz w:val="24"/>
          <w:szCs w:val="24"/>
          <w:lang w:eastAsia="es-MX"/>
        </w:rPr>
      </w:pPr>
      <w:r w:rsidRPr="00B5015A">
        <w:rPr>
          <w:rFonts w:ascii="Arial" w:hAnsi="Arial" w:cs="Arial"/>
          <w:b/>
          <w:bCs/>
          <w:i/>
          <w:iCs/>
          <w:color w:val="87AD8A"/>
          <w:sz w:val="18"/>
          <w:szCs w:val="24"/>
        </w:rPr>
        <w:t>por entidad federativa, 20</w:t>
      </w:r>
      <w:r>
        <w:rPr>
          <w:rFonts w:ascii="Arial" w:hAnsi="Arial" w:cs="Arial"/>
          <w:b/>
          <w:bCs/>
          <w:i/>
          <w:iCs/>
          <w:color w:val="87AD8A"/>
          <w:sz w:val="18"/>
          <w:szCs w:val="24"/>
        </w:rPr>
        <w:t>20</w:t>
      </w:r>
    </w:p>
    <w:p w14:paraId="1A70BB33" w14:textId="53142712" w:rsidR="00115D74" w:rsidRDefault="00B5015A" w:rsidP="00962103">
      <w:pPr>
        <w:spacing w:after="0"/>
        <w:ind w:left="-567"/>
        <w:rPr>
          <w:rFonts w:ascii="Arial" w:hAnsi="Arial" w:cs="Arial"/>
          <w:b/>
          <w:bCs/>
          <w:iCs/>
          <w:noProof/>
          <w:sz w:val="24"/>
          <w:szCs w:val="24"/>
          <w:lang w:eastAsia="es-MX"/>
        </w:rPr>
      </w:pPr>
      <w:r w:rsidRPr="00B5015A">
        <w:rPr>
          <w:rFonts w:ascii="Arial" w:hAnsi="Arial" w:cs="Arial"/>
          <w:b/>
          <w:bCs/>
          <w:iCs/>
          <w:noProof/>
          <w:sz w:val="24"/>
          <w:szCs w:val="24"/>
          <w:lang w:eastAsia="es-MX"/>
        </w:rPr>
        <w:drawing>
          <wp:inline distT="0" distB="0" distL="0" distR="0" wp14:anchorId="472BAE2A" wp14:editId="5E030F25">
            <wp:extent cx="6385560" cy="1899139"/>
            <wp:effectExtent l="0" t="0" r="0" b="6350"/>
            <wp:docPr id="60" name="Gráfico 60">
              <a:extLst xmlns:a="http://schemas.openxmlformats.org/drawingml/2006/main">
                <a:ext uri="{FF2B5EF4-FFF2-40B4-BE49-F238E27FC236}">
                  <a16:creationId xmlns:a16="http://schemas.microsoft.com/office/drawing/2014/main" id="{8B181915-0E04-4AE3-9ACE-065ECCACD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B46AD9" w14:textId="77777777" w:rsidR="00FF4C08" w:rsidRDefault="00FF4C08" w:rsidP="002C08EA">
      <w:pPr>
        <w:spacing w:after="0"/>
        <w:ind w:left="-567"/>
        <w:jc w:val="both"/>
        <w:rPr>
          <w:rFonts w:ascii="Arial" w:hAnsi="Arial" w:cs="Arial"/>
          <w:color w:val="000000"/>
          <w:sz w:val="24"/>
          <w:szCs w:val="24"/>
        </w:rPr>
      </w:pPr>
      <w:bookmarkStart w:id="4" w:name="_Hlk89279028"/>
    </w:p>
    <w:p w14:paraId="47043C7A" w14:textId="77777777" w:rsidR="007A0EAC" w:rsidRDefault="007A0EAC" w:rsidP="002C08EA">
      <w:pPr>
        <w:spacing w:after="0"/>
        <w:ind w:left="-567"/>
        <w:jc w:val="both"/>
        <w:rPr>
          <w:rFonts w:ascii="Arial" w:hAnsi="Arial" w:cs="Arial"/>
          <w:color w:val="000000"/>
          <w:sz w:val="24"/>
          <w:szCs w:val="24"/>
        </w:rPr>
      </w:pPr>
    </w:p>
    <w:p w14:paraId="39982F22" w14:textId="0833D1CC" w:rsidR="00115D74" w:rsidRDefault="00EF1C1E" w:rsidP="002C08EA">
      <w:pPr>
        <w:spacing w:after="0"/>
        <w:ind w:left="-567"/>
        <w:jc w:val="both"/>
        <w:rPr>
          <w:rFonts w:ascii="Arial" w:hAnsi="Arial" w:cs="Arial"/>
          <w:color w:val="000000"/>
          <w:sz w:val="24"/>
          <w:szCs w:val="24"/>
        </w:rPr>
      </w:pPr>
      <w:r w:rsidRPr="00EF1C1E">
        <w:rPr>
          <w:rFonts w:ascii="Arial" w:hAnsi="Arial" w:cs="Arial"/>
          <w:color w:val="000000"/>
          <w:sz w:val="24"/>
          <w:szCs w:val="24"/>
        </w:rPr>
        <w:t>Al cierre de 20</w:t>
      </w:r>
      <w:r>
        <w:rPr>
          <w:rFonts w:ascii="Arial" w:hAnsi="Arial" w:cs="Arial"/>
          <w:color w:val="000000"/>
          <w:sz w:val="24"/>
          <w:szCs w:val="24"/>
        </w:rPr>
        <w:t>20</w:t>
      </w:r>
      <w:r w:rsidRPr="00EF1C1E">
        <w:rPr>
          <w:rFonts w:ascii="Arial" w:hAnsi="Arial" w:cs="Arial"/>
          <w:color w:val="000000"/>
          <w:sz w:val="24"/>
          <w:szCs w:val="24"/>
        </w:rPr>
        <w:t xml:space="preserve">, se encontraron constituidos </w:t>
      </w:r>
      <w:r>
        <w:rPr>
          <w:rFonts w:ascii="Arial" w:hAnsi="Arial" w:cs="Arial"/>
          <w:color w:val="000000"/>
          <w:sz w:val="24"/>
          <w:szCs w:val="24"/>
        </w:rPr>
        <w:t>29</w:t>
      </w:r>
      <w:r w:rsidRPr="00EF1C1E">
        <w:rPr>
          <w:rFonts w:ascii="Arial" w:hAnsi="Arial" w:cs="Arial"/>
          <w:color w:val="000000"/>
          <w:sz w:val="24"/>
          <w:szCs w:val="24"/>
        </w:rPr>
        <w:t xml:space="preserve"> Consejos Consultivos en los OPDH y uno más en la CNDH. En dichos Consejos Consultivos, se reportaron </w:t>
      </w:r>
      <w:r w:rsidR="0065175D">
        <w:rPr>
          <w:rFonts w:ascii="Arial" w:hAnsi="Arial" w:cs="Arial"/>
          <w:color w:val="000000"/>
          <w:sz w:val="24"/>
          <w:szCs w:val="24"/>
        </w:rPr>
        <w:t>190</w:t>
      </w:r>
      <w:r w:rsidRPr="00EF1C1E">
        <w:rPr>
          <w:rFonts w:ascii="Arial" w:hAnsi="Arial" w:cs="Arial"/>
          <w:color w:val="000000"/>
          <w:sz w:val="24"/>
          <w:szCs w:val="24"/>
        </w:rPr>
        <w:t xml:space="preserve"> </w:t>
      </w:r>
      <w:r w:rsidR="003943B8">
        <w:rPr>
          <w:rFonts w:ascii="Arial" w:hAnsi="Arial" w:cs="Arial"/>
          <w:color w:val="000000"/>
          <w:sz w:val="24"/>
          <w:szCs w:val="24"/>
        </w:rPr>
        <w:t xml:space="preserve">personas como </w:t>
      </w:r>
      <w:r w:rsidR="009B6AB9">
        <w:rPr>
          <w:rFonts w:ascii="Arial" w:hAnsi="Arial" w:cs="Arial"/>
          <w:color w:val="000000"/>
          <w:sz w:val="24"/>
          <w:szCs w:val="24"/>
        </w:rPr>
        <w:t>consejer</w:t>
      </w:r>
      <w:r w:rsidR="003943B8">
        <w:rPr>
          <w:rFonts w:ascii="Arial" w:hAnsi="Arial" w:cs="Arial"/>
          <w:color w:val="000000"/>
          <w:sz w:val="24"/>
          <w:szCs w:val="24"/>
        </w:rPr>
        <w:t>a</w:t>
      </w:r>
      <w:r w:rsidR="009B6AB9">
        <w:rPr>
          <w:rFonts w:ascii="Arial" w:hAnsi="Arial" w:cs="Arial"/>
          <w:color w:val="000000"/>
          <w:sz w:val="24"/>
          <w:szCs w:val="24"/>
        </w:rPr>
        <w:t>s</w:t>
      </w:r>
      <w:r w:rsidR="0065175D">
        <w:rPr>
          <w:rStyle w:val="Refdenotaalpie"/>
          <w:rFonts w:ascii="Arial" w:hAnsi="Arial" w:cs="Arial"/>
          <w:color w:val="000000"/>
          <w:sz w:val="24"/>
          <w:szCs w:val="24"/>
        </w:rPr>
        <w:footnoteReference w:id="5"/>
      </w:r>
      <w:r w:rsidRPr="00EF1C1E">
        <w:rPr>
          <w:rFonts w:ascii="Arial" w:hAnsi="Arial" w:cs="Arial"/>
          <w:color w:val="000000"/>
          <w:sz w:val="24"/>
          <w:szCs w:val="24"/>
        </w:rPr>
        <w:t>, de l</w:t>
      </w:r>
      <w:r w:rsidR="003943B8">
        <w:rPr>
          <w:rFonts w:ascii="Arial" w:hAnsi="Arial" w:cs="Arial"/>
          <w:color w:val="000000"/>
          <w:sz w:val="24"/>
          <w:szCs w:val="24"/>
        </w:rPr>
        <w:t>a</w:t>
      </w:r>
      <w:r w:rsidRPr="00EF1C1E">
        <w:rPr>
          <w:rFonts w:ascii="Arial" w:hAnsi="Arial" w:cs="Arial"/>
          <w:color w:val="000000"/>
          <w:sz w:val="24"/>
          <w:szCs w:val="24"/>
        </w:rPr>
        <w:t>s cuales, 5</w:t>
      </w:r>
      <w:r w:rsidR="0065175D">
        <w:rPr>
          <w:rFonts w:ascii="Arial" w:hAnsi="Arial" w:cs="Arial"/>
          <w:color w:val="000000"/>
          <w:sz w:val="24"/>
          <w:szCs w:val="24"/>
        </w:rPr>
        <w:t>3.7</w:t>
      </w:r>
      <w:r w:rsidRPr="00EF1C1E">
        <w:rPr>
          <w:rFonts w:ascii="Arial" w:hAnsi="Arial" w:cs="Arial"/>
          <w:color w:val="000000"/>
          <w:sz w:val="24"/>
          <w:szCs w:val="24"/>
        </w:rPr>
        <w:t>% fueron hombres y 4</w:t>
      </w:r>
      <w:r w:rsidR="0065175D">
        <w:rPr>
          <w:rFonts w:ascii="Arial" w:hAnsi="Arial" w:cs="Arial"/>
          <w:color w:val="000000"/>
          <w:sz w:val="24"/>
          <w:szCs w:val="24"/>
        </w:rPr>
        <w:t>6.3</w:t>
      </w:r>
      <w:r w:rsidRPr="00EF1C1E">
        <w:rPr>
          <w:rFonts w:ascii="Arial" w:hAnsi="Arial" w:cs="Arial"/>
          <w:color w:val="000000"/>
          <w:sz w:val="24"/>
          <w:szCs w:val="24"/>
        </w:rPr>
        <w:t>% mujeres.</w:t>
      </w:r>
      <w:bookmarkEnd w:id="4"/>
      <w:r w:rsidR="0065175D">
        <w:rPr>
          <w:rFonts w:ascii="Arial" w:hAnsi="Arial" w:cs="Arial"/>
          <w:color w:val="000000"/>
          <w:sz w:val="24"/>
          <w:szCs w:val="24"/>
        </w:rPr>
        <w:t xml:space="preserve"> Comparado con la cifra reportada en 2019</w:t>
      </w:r>
      <w:r w:rsidR="009B6AB9">
        <w:rPr>
          <w:rStyle w:val="Refdenotaalpie"/>
          <w:rFonts w:ascii="Arial" w:hAnsi="Arial" w:cs="Arial"/>
          <w:color w:val="000000"/>
          <w:sz w:val="24"/>
          <w:szCs w:val="24"/>
        </w:rPr>
        <w:footnoteReference w:id="6"/>
      </w:r>
      <w:r w:rsidR="0065175D">
        <w:rPr>
          <w:rFonts w:ascii="Arial" w:hAnsi="Arial" w:cs="Arial"/>
          <w:color w:val="000000"/>
          <w:sz w:val="24"/>
          <w:szCs w:val="24"/>
        </w:rPr>
        <w:t xml:space="preserve">, </w:t>
      </w:r>
      <w:r w:rsidR="009B6AB9">
        <w:rPr>
          <w:rFonts w:ascii="Arial" w:hAnsi="Arial" w:cs="Arial"/>
          <w:color w:val="000000"/>
          <w:sz w:val="24"/>
          <w:szCs w:val="24"/>
        </w:rPr>
        <w:t xml:space="preserve">la disminución de </w:t>
      </w:r>
      <w:r w:rsidR="002C08EA">
        <w:rPr>
          <w:rFonts w:ascii="Arial" w:hAnsi="Arial" w:cs="Arial"/>
          <w:color w:val="000000"/>
          <w:sz w:val="24"/>
          <w:szCs w:val="24"/>
        </w:rPr>
        <w:t xml:space="preserve">las y los </w:t>
      </w:r>
      <w:r w:rsidR="009B6AB9">
        <w:rPr>
          <w:rFonts w:ascii="Arial" w:hAnsi="Arial" w:cs="Arial"/>
          <w:color w:val="000000"/>
          <w:sz w:val="24"/>
          <w:szCs w:val="24"/>
        </w:rPr>
        <w:t>consejeros fue de 5.0</w:t>
      </w:r>
      <w:r w:rsidR="002C08EA">
        <w:rPr>
          <w:rFonts w:ascii="Arial" w:hAnsi="Arial" w:cs="Arial"/>
          <w:color w:val="000000"/>
          <w:sz w:val="24"/>
          <w:szCs w:val="24"/>
        </w:rPr>
        <w:t>% en 2020</w:t>
      </w:r>
      <w:r w:rsidR="009B6AB9">
        <w:rPr>
          <w:rFonts w:ascii="Arial" w:hAnsi="Arial" w:cs="Arial"/>
          <w:color w:val="000000"/>
          <w:sz w:val="24"/>
          <w:szCs w:val="24"/>
        </w:rPr>
        <w:t xml:space="preserve">. </w:t>
      </w:r>
      <w:r w:rsidR="002C08EA" w:rsidRPr="002C08EA">
        <w:rPr>
          <w:rFonts w:ascii="Arial" w:hAnsi="Arial" w:cs="Arial"/>
          <w:color w:val="000000"/>
          <w:sz w:val="24"/>
          <w:szCs w:val="24"/>
        </w:rPr>
        <w:t xml:space="preserve">La distribución </w:t>
      </w:r>
      <w:r w:rsidR="005E2775">
        <w:rPr>
          <w:rFonts w:ascii="Arial" w:hAnsi="Arial" w:cs="Arial"/>
          <w:color w:val="000000"/>
          <w:sz w:val="24"/>
          <w:szCs w:val="24"/>
        </w:rPr>
        <w:t xml:space="preserve">de </w:t>
      </w:r>
      <w:r w:rsidR="00C60BEF">
        <w:rPr>
          <w:rFonts w:ascii="Arial" w:hAnsi="Arial" w:cs="Arial"/>
          <w:color w:val="000000"/>
          <w:sz w:val="24"/>
          <w:szCs w:val="24"/>
        </w:rPr>
        <w:t xml:space="preserve">las y los consejeros que integraban los </w:t>
      </w:r>
      <w:r w:rsidR="00C60BEF" w:rsidRPr="00EF1C1E">
        <w:rPr>
          <w:rFonts w:ascii="Arial" w:hAnsi="Arial" w:cs="Arial"/>
          <w:color w:val="000000"/>
          <w:sz w:val="24"/>
          <w:szCs w:val="24"/>
        </w:rPr>
        <w:t>Consejos Consultivos</w:t>
      </w:r>
      <w:r w:rsidR="00C60BEF" w:rsidRPr="002C08EA">
        <w:rPr>
          <w:rFonts w:ascii="Arial" w:hAnsi="Arial" w:cs="Arial"/>
          <w:color w:val="000000"/>
          <w:sz w:val="24"/>
          <w:szCs w:val="24"/>
        </w:rPr>
        <w:t xml:space="preserve"> </w:t>
      </w:r>
      <w:r w:rsidR="002C08EA" w:rsidRPr="002C08EA">
        <w:rPr>
          <w:rFonts w:ascii="Arial" w:hAnsi="Arial" w:cs="Arial"/>
          <w:color w:val="000000"/>
          <w:sz w:val="24"/>
          <w:szCs w:val="24"/>
        </w:rPr>
        <w:t>se presenta a continuación:</w:t>
      </w:r>
    </w:p>
    <w:p w14:paraId="1AA41697" w14:textId="77777777" w:rsidR="00C60BEF" w:rsidRDefault="00C60BEF" w:rsidP="002C08EA">
      <w:pPr>
        <w:spacing w:after="0"/>
        <w:ind w:left="-567"/>
        <w:jc w:val="both"/>
        <w:rPr>
          <w:rFonts w:ascii="Arial" w:hAnsi="Arial" w:cs="Arial"/>
          <w:color w:val="000000"/>
          <w:sz w:val="24"/>
          <w:szCs w:val="24"/>
        </w:rPr>
      </w:pPr>
    </w:p>
    <w:p w14:paraId="270DAF01" w14:textId="4DDEF20A" w:rsidR="00E22E87" w:rsidRPr="00E22E87" w:rsidRDefault="00E22E87" w:rsidP="00E22E87">
      <w:pPr>
        <w:spacing w:after="0"/>
        <w:ind w:left="-567"/>
        <w:jc w:val="center"/>
        <w:rPr>
          <w:rFonts w:ascii="Arial" w:hAnsi="Arial" w:cs="Arial"/>
          <w:b/>
          <w:bCs/>
          <w:i/>
          <w:iCs/>
          <w:color w:val="87AD8A"/>
          <w:sz w:val="18"/>
          <w:szCs w:val="24"/>
        </w:rPr>
      </w:pPr>
      <w:r w:rsidRPr="00E22E87">
        <w:rPr>
          <w:rFonts w:ascii="Arial" w:hAnsi="Arial" w:cs="Arial"/>
          <w:b/>
          <w:bCs/>
          <w:i/>
          <w:iCs/>
          <w:color w:val="87AD8A"/>
          <w:sz w:val="18"/>
          <w:szCs w:val="24"/>
        </w:rPr>
        <w:t xml:space="preserve">Gráfica </w:t>
      </w:r>
      <w:r w:rsidR="00B33631">
        <w:rPr>
          <w:rFonts w:ascii="Arial" w:hAnsi="Arial" w:cs="Arial"/>
          <w:b/>
          <w:bCs/>
          <w:i/>
          <w:iCs/>
          <w:color w:val="87AD8A"/>
          <w:sz w:val="18"/>
          <w:szCs w:val="24"/>
        </w:rPr>
        <w:t>3</w:t>
      </w:r>
      <w:r w:rsidRPr="00E22E87">
        <w:rPr>
          <w:rFonts w:ascii="Arial" w:hAnsi="Arial" w:cs="Arial"/>
          <w:b/>
          <w:bCs/>
          <w:i/>
          <w:iCs/>
          <w:color w:val="87AD8A"/>
          <w:sz w:val="18"/>
          <w:szCs w:val="24"/>
        </w:rPr>
        <w:t xml:space="preserve">. Distribución porcentual de las </w:t>
      </w:r>
      <w:r w:rsidR="0076666E">
        <w:rPr>
          <w:rFonts w:ascii="Arial" w:hAnsi="Arial" w:cs="Arial"/>
          <w:b/>
          <w:bCs/>
          <w:i/>
          <w:iCs/>
          <w:color w:val="87AD8A"/>
          <w:sz w:val="18"/>
          <w:szCs w:val="24"/>
        </w:rPr>
        <w:t>personas</w:t>
      </w:r>
      <w:r w:rsidRPr="00E22E87">
        <w:rPr>
          <w:rFonts w:ascii="Arial" w:hAnsi="Arial" w:cs="Arial"/>
          <w:b/>
          <w:bCs/>
          <w:i/>
          <w:iCs/>
          <w:color w:val="87AD8A"/>
          <w:sz w:val="18"/>
          <w:szCs w:val="24"/>
        </w:rPr>
        <w:t xml:space="preserve"> consejer</w:t>
      </w:r>
      <w:r w:rsidR="0076666E">
        <w:rPr>
          <w:rFonts w:ascii="Arial" w:hAnsi="Arial" w:cs="Arial"/>
          <w:b/>
          <w:bCs/>
          <w:i/>
          <w:iCs/>
          <w:color w:val="87AD8A"/>
          <w:sz w:val="18"/>
          <w:szCs w:val="24"/>
        </w:rPr>
        <w:t>a</w:t>
      </w:r>
      <w:r w:rsidRPr="00E22E87">
        <w:rPr>
          <w:rFonts w:ascii="Arial" w:hAnsi="Arial" w:cs="Arial"/>
          <w:b/>
          <w:bCs/>
          <w:i/>
          <w:iCs/>
          <w:color w:val="87AD8A"/>
          <w:sz w:val="18"/>
          <w:szCs w:val="24"/>
        </w:rPr>
        <w:t>s que integraban los Consejos Consultivos</w:t>
      </w:r>
    </w:p>
    <w:p w14:paraId="223A6432" w14:textId="24C4E916" w:rsidR="00C60BEF" w:rsidRDefault="00E22E87" w:rsidP="00E22E87">
      <w:pPr>
        <w:spacing w:after="0"/>
        <w:ind w:left="-567"/>
        <w:jc w:val="center"/>
        <w:rPr>
          <w:rFonts w:ascii="Arial" w:hAnsi="Arial" w:cs="Arial"/>
          <w:b/>
          <w:bCs/>
          <w:i/>
          <w:iCs/>
          <w:color w:val="87AD8A"/>
          <w:sz w:val="18"/>
          <w:szCs w:val="24"/>
        </w:rPr>
      </w:pPr>
      <w:r w:rsidRPr="00E22E87">
        <w:rPr>
          <w:rFonts w:ascii="Arial" w:hAnsi="Arial" w:cs="Arial"/>
          <w:b/>
          <w:bCs/>
          <w:i/>
          <w:iCs/>
          <w:color w:val="87AD8A"/>
          <w:sz w:val="18"/>
          <w:szCs w:val="24"/>
        </w:rPr>
        <w:t>de la CNDH y OPDH, por entidad federativa y sexo, 20</w:t>
      </w:r>
      <w:r>
        <w:rPr>
          <w:rFonts w:ascii="Arial" w:hAnsi="Arial" w:cs="Arial"/>
          <w:b/>
          <w:bCs/>
          <w:i/>
          <w:iCs/>
          <w:color w:val="87AD8A"/>
          <w:sz w:val="18"/>
          <w:szCs w:val="24"/>
        </w:rPr>
        <w:t>20</w:t>
      </w:r>
    </w:p>
    <w:p w14:paraId="47261976" w14:textId="50291505" w:rsidR="00E22E87" w:rsidRDefault="00B736DC" w:rsidP="00E22E87">
      <w:pPr>
        <w:spacing w:after="0"/>
        <w:ind w:left="-567"/>
        <w:jc w:val="center"/>
        <w:rPr>
          <w:rFonts w:ascii="Arial" w:hAnsi="Arial" w:cs="Arial"/>
          <w:color w:val="000000"/>
          <w:sz w:val="24"/>
          <w:szCs w:val="24"/>
        </w:rPr>
      </w:pPr>
      <w:r w:rsidRPr="00B736DC">
        <w:rPr>
          <w:rFonts w:ascii="Arial" w:hAnsi="Arial" w:cs="Arial"/>
          <w:noProof/>
          <w:color w:val="000000"/>
          <w:sz w:val="24"/>
          <w:szCs w:val="24"/>
        </w:rPr>
        <w:drawing>
          <wp:inline distT="0" distB="0" distL="0" distR="0" wp14:anchorId="53183FE6" wp14:editId="6C17AA9B">
            <wp:extent cx="5254388" cy="4333165"/>
            <wp:effectExtent l="0" t="0" r="3810" b="0"/>
            <wp:docPr id="65" name="Gráfico 65">
              <a:extLst xmlns:a="http://schemas.openxmlformats.org/drawingml/2006/main">
                <a:ext uri="{FF2B5EF4-FFF2-40B4-BE49-F238E27FC236}">
                  <a16:creationId xmlns:a16="http://schemas.microsoft.com/office/drawing/2014/main" id="{77895281-CA97-491B-9E39-755BE700C6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FAFB69A" w14:textId="37E9EE5D" w:rsidR="009B6AB9" w:rsidRPr="00E22E87" w:rsidRDefault="00E22E87" w:rsidP="00E22E87">
      <w:pPr>
        <w:spacing w:after="0"/>
        <w:ind w:left="-567"/>
        <w:jc w:val="center"/>
        <w:rPr>
          <w:rFonts w:ascii="Arial" w:hAnsi="Arial" w:cs="Arial"/>
          <w:color w:val="000000"/>
          <w:sz w:val="16"/>
          <w:szCs w:val="24"/>
        </w:rPr>
      </w:pPr>
      <w:r w:rsidRPr="00E22E87">
        <w:rPr>
          <w:rFonts w:ascii="Arial" w:hAnsi="Arial" w:cs="Arial"/>
          <w:color w:val="000000"/>
          <w:sz w:val="16"/>
          <w:szCs w:val="24"/>
        </w:rPr>
        <w:t>Nota: no se incluye información de Coahuila</w:t>
      </w:r>
      <w:r>
        <w:rPr>
          <w:rFonts w:ascii="Arial" w:hAnsi="Arial" w:cs="Arial"/>
          <w:color w:val="000000"/>
          <w:sz w:val="16"/>
          <w:szCs w:val="24"/>
        </w:rPr>
        <w:t xml:space="preserve">, </w:t>
      </w:r>
      <w:r w:rsidRPr="00E22E87">
        <w:rPr>
          <w:rFonts w:ascii="Arial" w:hAnsi="Arial" w:cs="Arial"/>
          <w:color w:val="000000"/>
          <w:sz w:val="16"/>
          <w:szCs w:val="24"/>
        </w:rPr>
        <w:t>Chiapas</w:t>
      </w:r>
      <w:r>
        <w:rPr>
          <w:rFonts w:ascii="Arial" w:hAnsi="Arial" w:cs="Arial"/>
          <w:color w:val="000000"/>
          <w:sz w:val="16"/>
          <w:szCs w:val="24"/>
        </w:rPr>
        <w:t xml:space="preserve"> y Tabasco</w:t>
      </w:r>
      <w:r w:rsidRPr="00E22E87">
        <w:rPr>
          <w:rFonts w:ascii="Arial" w:hAnsi="Arial" w:cs="Arial"/>
          <w:color w:val="000000"/>
          <w:sz w:val="16"/>
          <w:szCs w:val="24"/>
        </w:rPr>
        <w:t xml:space="preserve"> debido a que reportaron que el Consejo Consultivo no se encontraba constituido.</w:t>
      </w:r>
    </w:p>
    <w:p w14:paraId="3D398B8B" w14:textId="73A3CC21" w:rsidR="00115D74" w:rsidRDefault="00115D74" w:rsidP="000821B2">
      <w:pPr>
        <w:spacing w:after="0"/>
        <w:ind w:left="-567"/>
        <w:jc w:val="both"/>
        <w:rPr>
          <w:rFonts w:ascii="Arial" w:hAnsi="Arial" w:cs="Arial"/>
          <w:b/>
          <w:bCs/>
          <w:iCs/>
          <w:noProof/>
          <w:sz w:val="24"/>
          <w:szCs w:val="24"/>
          <w:lang w:eastAsia="es-MX"/>
        </w:rPr>
      </w:pPr>
    </w:p>
    <w:p w14:paraId="6DDAF4B6" w14:textId="03EAEB86" w:rsidR="000821B2" w:rsidRDefault="000821B2" w:rsidP="00F54725">
      <w:pPr>
        <w:spacing w:after="0"/>
        <w:ind w:left="-567"/>
        <w:jc w:val="both"/>
        <w:rPr>
          <w:rFonts w:ascii="Arial" w:hAnsi="Arial" w:cs="Arial"/>
          <w:b/>
          <w:bCs/>
          <w:iCs/>
          <w:noProof/>
          <w:sz w:val="24"/>
          <w:szCs w:val="24"/>
          <w:lang w:eastAsia="es-MX"/>
        </w:rPr>
      </w:pPr>
    </w:p>
    <w:p w14:paraId="4E0E2E54" w14:textId="77777777" w:rsidR="00BD5323" w:rsidRDefault="00BD5323" w:rsidP="00F54725">
      <w:pPr>
        <w:spacing w:after="0"/>
        <w:ind w:left="-567"/>
        <w:jc w:val="both"/>
        <w:rPr>
          <w:rFonts w:ascii="Arial" w:hAnsi="Arial" w:cs="Arial"/>
          <w:color w:val="000000"/>
          <w:sz w:val="24"/>
          <w:szCs w:val="24"/>
        </w:rPr>
      </w:pPr>
    </w:p>
    <w:p w14:paraId="4F7A46ED" w14:textId="77777777" w:rsidR="00BD5323" w:rsidRDefault="00BD5323" w:rsidP="00F54725">
      <w:pPr>
        <w:spacing w:after="0"/>
        <w:ind w:left="-567"/>
        <w:jc w:val="both"/>
        <w:rPr>
          <w:rFonts w:ascii="Arial" w:hAnsi="Arial" w:cs="Arial"/>
          <w:color w:val="000000"/>
          <w:sz w:val="24"/>
          <w:szCs w:val="24"/>
        </w:rPr>
      </w:pPr>
    </w:p>
    <w:p w14:paraId="0FA16EFA" w14:textId="77777777" w:rsidR="00BD5323" w:rsidRDefault="00BD5323" w:rsidP="00F54725">
      <w:pPr>
        <w:spacing w:after="0"/>
        <w:ind w:left="-567"/>
        <w:jc w:val="both"/>
        <w:rPr>
          <w:rFonts w:ascii="Arial" w:hAnsi="Arial" w:cs="Arial"/>
          <w:color w:val="000000"/>
          <w:sz w:val="24"/>
          <w:szCs w:val="24"/>
        </w:rPr>
      </w:pPr>
    </w:p>
    <w:p w14:paraId="73EA7C22" w14:textId="77777777" w:rsidR="00BD5323" w:rsidRDefault="00BD5323" w:rsidP="00F54725">
      <w:pPr>
        <w:spacing w:after="0"/>
        <w:ind w:left="-567"/>
        <w:jc w:val="both"/>
        <w:rPr>
          <w:rFonts w:ascii="Arial" w:hAnsi="Arial" w:cs="Arial"/>
          <w:color w:val="000000"/>
          <w:sz w:val="24"/>
          <w:szCs w:val="24"/>
        </w:rPr>
      </w:pPr>
    </w:p>
    <w:p w14:paraId="4317A257" w14:textId="77777777" w:rsidR="00BD5323" w:rsidRDefault="00BD5323" w:rsidP="00F54725">
      <w:pPr>
        <w:spacing w:after="0"/>
        <w:ind w:left="-567"/>
        <w:jc w:val="both"/>
        <w:rPr>
          <w:rFonts w:ascii="Arial" w:hAnsi="Arial" w:cs="Arial"/>
          <w:color w:val="000000"/>
          <w:sz w:val="24"/>
          <w:szCs w:val="24"/>
        </w:rPr>
      </w:pPr>
    </w:p>
    <w:p w14:paraId="68EEA7B4" w14:textId="77777777" w:rsidR="006F56BA" w:rsidRDefault="006F56BA" w:rsidP="00F54725">
      <w:pPr>
        <w:spacing w:after="0"/>
        <w:ind w:left="-567"/>
        <w:jc w:val="both"/>
        <w:rPr>
          <w:rFonts w:ascii="Arial" w:hAnsi="Arial" w:cs="Arial"/>
          <w:color w:val="000000"/>
          <w:sz w:val="24"/>
          <w:szCs w:val="24"/>
        </w:rPr>
      </w:pPr>
    </w:p>
    <w:p w14:paraId="0D754C57" w14:textId="2F096452" w:rsidR="000821B2" w:rsidRDefault="000821B2" w:rsidP="00F54725">
      <w:pPr>
        <w:spacing w:after="0"/>
        <w:ind w:left="-567"/>
        <w:jc w:val="both"/>
        <w:rPr>
          <w:rFonts w:ascii="Arial" w:hAnsi="Arial" w:cs="Arial"/>
          <w:color w:val="000000"/>
          <w:sz w:val="24"/>
          <w:szCs w:val="24"/>
        </w:rPr>
      </w:pPr>
      <w:r w:rsidRPr="000821B2">
        <w:rPr>
          <w:rFonts w:ascii="Arial" w:hAnsi="Arial" w:cs="Arial"/>
          <w:color w:val="000000"/>
          <w:sz w:val="24"/>
          <w:szCs w:val="24"/>
        </w:rPr>
        <w:t>Durante 20</w:t>
      </w:r>
      <w:r w:rsidR="001164D4">
        <w:rPr>
          <w:rFonts w:ascii="Arial" w:hAnsi="Arial" w:cs="Arial"/>
          <w:color w:val="000000"/>
          <w:sz w:val="24"/>
          <w:szCs w:val="24"/>
        </w:rPr>
        <w:t>20</w:t>
      </w:r>
      <w:r w:rsidRPr="000821B2">
        <w:rPr>
          <w:rFonts w:ascii="Arial" w:hAnsi="Arial" w:cs="Arial"/>
          <w:color w:val="000000"/>
          <w:sz w:val="24"/>
          <w:szCs w:val="24"/>
        </w:rPr>
        <w:t xml:space="preserve">, el total de sesiones convocadas por los Consejos Consultivos de los OPDH y de la CNDH fue de </w:t>
      </w:r>
      <w:r w:rsidR="00606538">
        <w:rPr>
          <w:rFonts w:ascii="Arial" w:hAnsi="Arial" w:cs="Arial"/>
          <w:color w:val="000000"/>
          <w:sz w:val="24"/>
          <w:szCs w:val="24"/>
        </w:rPr>
        <w:t xml:space="preserve">272, cifra que representó una disminución </w:t>
      </w:r>
      <w:r w:rsidR="00F54725">
        <w:rPr>
          <w:rFonts w:ascii="Arial" w:hAnsi="Arial" w:cs="Arial"/>
          <w:color w:val="000000"/>
          <w:sz w:val="24"/>
          <w:szCs w:val="24"/>
        </w:rPr>
        <w:t>de 14.7% en comparación con lo reportado en 2019</w:t>
      </w:r>
      <w:r w:rsidR="00F54725">
        <w:rPr>
          <w:rStyle w:val="Refdenotaalpie"/>
          <w:rFonts w:ascii="Arial" w:hAnsi="Arial" w:cs="Arial"/>
          <w:color w:val="000000"/>
          <w:sz w:val="24"/>
          <w:szCs w:val="24"/>
        </w:rPr>
        <w:footnoteReference w:id="7"/>
      </w:r>
      <w:r w:rsidR="00F54725">
        <w:rPr>
          <w:rFonts w:ascii="Arial" w:hAnsi="Arial" w:cs="Arial"/>
          <w:color w:val="000000"/>
          <w:sz w:val="24"/>
          <w:szCs w:val="24"/>
        </w:rPr>
        <w:t>.</w:t>
      </w:r>
      <w:r>
        <w:rPr>
          <w:rFonts w:ascii="Arial" w:hAnsi="Arial" w:cs="Arial"/>
          <w:color w:val="000000"/>
          <w:sz w:val="24"/>
          <w:szCs w:val="24"/>
        </w:rPr>
        <w:t xml:space="preserve"> </w:t>
      </w:r>
      <w:r w:rsidR="00F54725">
        <w:rPr>
          <w:rFonts w:ascii="Arial" w:hAnsi="Arial" w:cs="Arial"/>
          <w:color w:val="000000"/>
          <w:sz w:val="24"/>
          <w:szCs w:val="24"/>
        </w:rPr>
        <w:t>Por su parte</w:t>
      </w:r>
      <w:r w:rsidRPr="000821B2">
        <w:rPr>
          <w:rFonts w:ascii="Arial" w:hAnsi="Arial" w:cs="Arial"/>
          <w:color w:val="000000"/>
          <w:sz w:val="24"/>
          <w:szCs w:val="24"/>
        </w:rPr>
        <w:t>, la cantidad de sesiones efectuadas en el mismo</w:t>
      </w:r>
      <w:r w:rsidR="00F54725">
        <w:rPr>
          <w:rFonts w:ascii="Arial" w:hAnsi="Arial" w:cs="Arial"/>
          <w:color w:val="000000"/>
          <w:sz w:val="24"/>
          <w:szCs w:val="24"/>
        </w:rPr>
        <w:t xml:space="preserve"> </w:t>
      </w:r>
      <w:r w:rsidRPr="000821B2">
        <w:rPr>
          <w:rFonts w:ascii="Arial" w:hAnsi="Arial" w:cs="Arial"/>
          <w:color w:val="000000"/>
          <w:sz w:val="24"/>
          <w:szCs w:val="24"/>
        </w:rPr>
        <w:t>periodo</w:t>
      </w:r>
      <w:r>
        <w:rPr>
          <w:rFonts w:ascii="Arial" w:hAnsi="Arial" w:cs="Arial"/>
          <w:color w:val="000000"/>
          <w:sz w:val="24"/>
          <w:szCs w:val="24"/>
        </w:rPr>
        <w:t xml:space="preserve"> </w:t>
      </w:r>
      <w:r w:rsidRPr="000821B2">
        <w:rPr>
          <w:rFonts w:ascii="Arial" w:hAnsi="Arial" w:cs="Arial"/>
          <w:color w:val="000000"/>
          <w:sz w:val="24"/>
          <w:szCs w:val="24"/>
        </w:rPr>
        <w:t xml:space="preserve">fue de </w:t>
      </w:r>
      <w:r w:rsidR="00F54725">
        <w:rPr>
          <w:rFonts w:ascii="Arial" w:hAnsi="Arial" w:cs="Arial"/>
          <w:color w:val="000000"/>
          <w:sz w:val="24"/>
          <w:szCs w:val="24"/>
        </w:rPr>
        <w:t>271</w:t>
      </w:r>
      <w:r w:rsidR="0011751C">
        <w:rPr>
          <w:rFonts w:ascii="Arial" w:hAnsi="Arial" w:cs="Arial"/>
          <w:color w:val="000000"/>
          <w:sz w:val="24"/>
          <w:szCs w:val="24"/>
        </w:rPr>
        <w:t>. D</w:t>
      </w:r>
      <w:r w:rsidRPr="000821B2">
        <w:rPr>
          <w:rFonts w:ascii="Arial" w:hAnsi="Arial" w:cs="Arial"/>
          <w:color w:val="000000"/>
          <w:sz w:val="24"/>
          <w:szCs w:val="24"/>
        </w:rPr>
        <w:t>e ellas, 8</w:t>
      </w:r>
      <w:r w:rsidR="00F54725">
        <w:rPr>
          <w:rFonts w:ascii="Arial" w:hAnsi="Arial" w:cs="Arial"/>
          <w:color w:val="000000"/>
          <w:sz w:val="24"/>
          <w:szCs w:val="24"/>
        </w:rPr>
        <w:t>4.9</w:t>
      </w:r>
      <w:r w:rsidRPr="000821B2">
        <w:rPr>
          <w:rFonts w:ascii="Arial" w:hAnsi="Arial" w:cs="Arial"/>
          <w:color w:val="000000"/>
          <w:sz w:val="24"/>
          <w:szCs w:val="24"/>
        </w:rPr>
        <w:t>% fueron ordinarias y</w:t>
      </w:r>
      <w:r>
        <w:rPr>
          <w:rFonts w:ascii="Arial" w:hAnsi="Arial" w:cs="Arial"/>
          <w:color w:val="000000"/>
          <w:sz w:val="24"/>
          <w:szCs w:val="24"/>
        </w:rPr>
        <w:t xml:space="preserve"> </w:t>
      </w:r>
      <w:r w:rsidRPr="000821B2">
        <w:rPr>
          <w:rFonts w:ascii="Arial" w:hAnsi="Arial" w:cs="Arial"/>
          <w:color w:val="000000"/>
          <w:sz w:val="24"/>
          <w:szCs w:val="24"/>
        </w:rPr>
        <w:t>1</w:t>
      </w:r>
      <w:r w:rsidR="00F54725">
        <w:rPr>
          <w:rFonts w:ascii="Arial" w:hAnsi="Arial" w:cs="Arial"/>
          <w:color w:val="000000"/>
          <w:sz w:val="24"/>
          <w:szCs w:val="24"/>
        </w:rPr>
        <w:t>5.1</w:t>
      </w:r>
      <w:r w:rsidRPr="000821B2">
        <w:rPr>
          <w:rFonts w:ascii="Arial" w:hAnsi="Arial" w:cs="Arial"/>
          <w:color w:val="000000"/>
          <w:sz w:val="24"/>
          <w:szCs w:val="24"/>
        </w:rPr>
        <w:t>% extraordinarias.</w:t>
      </w:r>
    </w:p>
    <w:p w14:paraId="71CD7657" w14:textId="77777777" w:rsidR="008A2251" w:rsidRDefault="008A2251" w:rsidP="00F54725">
      <w:pPr>
        <w:spacing w:after="0"/>
        <w:ind w:left="-567"/>
        <w:jc w:val="both"/>
        <w:rPr>
          <w:rFonts w:ascii="Arial" w:hAnsi="Arial" w:cs="Arial"/>
          <w:b/>
          <w:bCs/>
          <w:iCs/>
          <w:noProof/>
          <w:sz w:val="24"/>
          <w:szCs w:val="24"/>
          <w:lang w:eastAsia="es-MX"/>
        </w:rPr>
      </w:pPr>
    </w:p>
    <w:p w14:paraId="0E725D16" w14:textId="6131AA1F" w:rsidR="005C6ED3" w:rsidRDefault="005C6ED3" w:rsidP="005C6ED3">
      <w:pPr>
        <w:spacing w:after="0"/>
        <w:ind w:left="-567"/>
        <w:jc w:val="center"/>
      </w:pPr>
      <w:r w:rsidRPr="005C6ED3">
        <w:rPr>
          <w:rFonts w:ascii="Arial" w:hAnsi="Arial" w:cs="Arial"/>
          <w:b/>
          <w:bCs/>
          <w:i/>
          <w:iCs/>
          <w:color w:val="87AD8A"/>
          <w:sz w:val="18"/>
          <w:szCs w:val="24"/>
        </w:rPr>
        <w:t xml:space="preserve">Gráfica </w:t>
      </w:r>
      <w:r w:rsidR="00B33631">
        <w:rPr>
          <w:rFonts w:ascii="Arial" w:hAnsi="Arial" w:cs="Arial"/>
          <w:b/>
          <w:bCs/>
          <w:i/>
          <w:iCs/>
          <w:color w:val="87AD8A"/>
          <w:sz w:val="18"/>
          <w:szCs w:val="24"/>
        </w:rPr>
        <w:t>4</w:t>
      </w:r>
      <w:r w:rsidRPr="005C6ED3">
        <w:rPr>
          <w:rFonts w:ascii="Arial" w:hAnsi="Arial" w:cs="Arial"/>
          <w:b/>
          <w:bCs/>
          <w:i/>
          <w:iCs/>
          <w:color w:val="87AD8A"/>
          <w:sz w:val="18"/>
          <w:szCs w:val="24"/>
        </w:rPr>
        <w:t>. Sesiones en la CNDH y OPDH, por organismo y tipo, 2019</w:t>
      </w:r>
      <w:r>
        <w:rPr>
          <w:rFonts w:ascii="Arial" w:hAnsi="Arial" w:cs="Arial"/>
          <w:b/>
          <w:bCs/>
          <w:i/>
          <w:iCs/>
          <w:color w:val="87AD8A"/>
          <w:sz w:val="18"/>
          <w:szCs w:val="24"/>
        </w:rPr>
        <w:t xml:space="preserve"> a 2020</w:t>
      </w:r>
    </w:p>
    <w:p w14:paraId="5E5CAF7B" w14:textId="77777777" w:rsidR="005C6ED3" w:rsidRDefault="005C6ED3" w:rsidP="00962103">
      <w:pPr>
        <w:spacing w:after="0"/>
        <w:ind w:left="-567"/>
        <w:rPr>
          <w:rFonts w:ascii="Arial" w:hAnsi="Arial" w:cs="Arial"/>
          <w:b/>
          <w:bCs/>
          <w:iCs/>
          <w:noProof/>
          <w:sz w:val="24"/>
          <w:szCs w:val="24"/>
          <w:lang w:eastAsia="es-MX"/>
        </w:rPr>
      </w:pPr>
    </w:p>
    <w:p w14:paraId="2194430F" w14:textId="078E6630" w:rsidR="000821B2" w:rsidRDefault="00CD5DCB" w:rsidP="00962103">
      <w:pPr>
        <w:spacing w:after="0"/>
        <w:ind w:left="-567"/>
        <w:rPr>
          <w:rFonts w:ascii="Arial" w:hAnsi="Arial" w:cs="Arial"/>
          <w:b/>
          <w:bCs/>
          <w:iCs/>
          <w:noProof/>
          <w:sz w:val="24"/>
          <w:szCs w:val="24"/>
          <w:lang w:eastAsia="es-MX"/>
        </w:rPr>
      </w:pPr>
      <w:r>
        <w:rPr>
          <w:rFonts w:ascii="Arial" w:hAnsi="Arial" w:cs="Arial"/>
          <w:b/>
          <w:bCs/>
          <w:iCs/>
          <w:noProof/>
          <w:sz w:val="24"/>
          <w:szCs w:val="24"/>
          <w:lang w:eastAsia="es-MX"/>
        </w:rPr>
        <w:drawing>
          <wp:inline distT="0" distB="0" distL="0" distR="0" wp14:anchorId="138A9444" wp14:editId="5D0B4A0E">
            <wp:extent cx="6291618" cy="166056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24438" cy="1669230"/>
                    </a:xfrm>
                    <a:prstGeom prst="rect">
                      <a:avLst/>
                    </a:prstGeom>
                    <a:noFill/>
                  </pic:spPr>
                </pic:pic>
              </a:graphicData>
            </a:graphic>
          </wp:inline>
        </w:drawing>
      </w:r>
    </w:p>
    <w:p w14:paraId="0EE1C9B0" w14:textId="77777777" w:rsidR="0063747B" w:rsidRDefault="0063747B" w:rsidP="001C4115">
      <w:pPr>
        <w:autoSpaceDE w:val="0"/>
        <w:autoSpaceDN w:val="0"/>
        <w:adjustRightInd w:val="0"/>
        <w:spacing w:after="0" w:line="240" w:lineRule="auto"/>
        <w:ind w:left="-567"/>
        <w:jc w:val="both"/>
        <w:rPr>
          <w:rFonts w:ascii="Arial" w:hAnsi="Arial" w:cs="Arial"/>
          <w:color w:val="000000"/>
          <w:sz w:val="24"/>
          <w:szCs w:val="24"/>
        </w:rPr>
      </w:pPr>
    </w:p>
    <w:p w14:paraId="707FE9E6" w14:textId="2B2ECBE7" w:rsidR="00DC0F4F" w:rsidRDefault="0074414F" w:rsidP="001C4115">
      <w:pPr>
        <w:autoSpaceDE w:val="0"/>
        <w:autoSpaceDN w:val="0"/>
        <w:adjustRightInd w:val="0"/>
        <w:spacing w:after="0" w:line="240" w:lineRule="auto"/>
        <w:ind w:left="-567"/>
        <w:jc w:val="both"/>
        <w:rPr>
          <w:rFonts w:ascii="Arial" w:hAnsi="Arial" w:cs="Arial"/>
          <w:color w:val="000000"/>
          <w:sz w:val="24"/>
          <w:szCs w:val="24"/>
        </w:rPr>
      </w:pPr>
      <w:bookmarkStart w:id="5" w:name="_Hlk89279065"/>
      <w:r w:rsidRPr="0074414F">
        <w:rPr>
          <w:rFonts w:ascii="Arial" w:hAnsi="Arial" w:cs="Arial"/>
          <w:color w:val="000000"/>
          <w:sz w:val="24"/>
          <w:szCs w:val="24"/>
        </w:rPr>
        <w:t>Respecto del personal adscrito a la CNDH</w:t>
      </w:r>
      <w:r w:rsidR="0076666E">
        <w:rPr>
          <w:rFonts w:ascii="Arial" w:hAnsi="Arial" w:cs="Arial"/>
          <w:color w:val="000000"/>
          <w:sz w:val="24"/>
          <w:szCs w:val="24"/>
        </w:rPr>
        <w:t>,</w:t>
      </w:r>
      <w:r w:rsidRPr="0074414F">
        <w:rPr>
          <w:rFonts w:ascii="Arial" w:hAnsi="Arial" w:cs="Arial"/>
          <w:color w:val="000000"/>
          <w:sz w:val="24"/>
          <w:szCs w:val="24"/>
        </w:rPr>
        <w:t xml:space="preserve"> al cierre de 20</w:t>
      </w:r>
      <w:r>
        <w:rPr>
          <w:rFonts w:ascii="Arial" w:hAnsi="Arial" w:cs="Arial"/>
          <w:color w:val="000000"/>
          <w:sz w:val="24"/>
          <w:szCs w:val="24"/>
        </w:rPr>
        <w:t>20</w:t>
      </w:r>
      <w:r w:rsidRPr="0074414F">
        <w:rPr>
          <w:rFonts w:ascii="Arial" w:hAnsi="Arial" w:cs="Arial"/>
          <w:color w:val="000000"/>
          <w:sz w:val="24"/>
          <w:szCs w:val="24"/>
        </w:rPr>
        <w:t xml:space="preserve"> se reportaron 1</w:t>
      </w:r>
      <w:r>
        <w:rPr>
          <w:rFonts w:ascii="Arial" w:hAnsi="Arial" w:cs="Arial"/>
          <w:color w:val="000000"/>
          <w:sz w:val="24"/>
          <w:szCs w:val="24"/>
        </w:rPr>
        <w:t xml:space="preserve"> </w:t>
      </w:r>
      <w:r w:rsidRPr="0074414F">
        <w:rPr>
          <w:rFonts w:ascii="Arial" w:hAnsi="Arial" w:cs="Arial"/>
          <w:color w:val="000000"/>
          <w:sz w:val="24"/>
          <w:szCs w:val="24"/>
        </w:rPr>
        <w:t>689</w:t>
      </w:r>
      <w:r>
        <w:rPr>
          <w:rFonts w:ascii="Arial" w:hAnsi="Arial" w:cs="Arial"/>
          <w:color w:val="000000"/>
          <w:sz w:val="24"/>
          <w:szCs w:val="24"/>
        </w:rPr>
        <w:t xml:space="preserve"> </w:t>
      </w:r>
      <w:r w:rsidRPr="0074414F">
        <w:rPr>
          <w:rFonts w:ascii="Arial" w:hAnsi="Arial" w:cs="Arial"/>
          <w:color w:val="000000"/>
          <w:sz w:val="24"/>
          <w:szCs w:val="24"/>
        </w:rPr>
        <w:t>personas</w:t>
      </w:r>
      <w:r w:rsidR="0011751C">
        <w:rPr>
          <w:rFonts w:ascii="Arial" w:hAnsi="Arial" w:cs="Arial"/>
          <w:color w:val="000000"/>
          <w:sz w:val="24"/>
          <w:szCs w:val="24"/>
        </w:rPr>
        <w:t>;</w:t>
      </w:r>
      <w:r>
        <w:rPr>
          <w:rFonts w:ascii="Arial" w:hAnsi="Arial" w:cs="Arial"/>
          <w:color w:val="000000"/>
          <w:sz w:val="24"/>
          <w:szCs w:val="24"/>
        </w:rPr>
        <w:t xml:space="preserve"> esta cifra representó una disminuc</w:t>
      </w:r>
      <w:r w:rsidR="001C4115">
        <w:rPr>
          <w:rFonts w:ascii="Arial" w:hAnsi="Arial" w:cs="Arial"/>
          <w:color w:val="000000"/>
          <w:sz w:val="24"/>
          <w:szCs w:val="24"/>
        </w:rPr>
        <w:t>ión de 2.9% respecto a la cifra reportada en 2019. E</w:t>
      </w:r>
      <w:r w:rsidRPr="0074414F">
        <w:rPr>
          <w:rFonts w:ascii="Arial" w:hAnsi="Arial" w:cs="Arial"/>
          <w:color w:val="000000"/>
          <w:sz w:val="24"/>
          <w:szCs w:val="24"/>
        </w:rPr>
        <w:t xml:space="preserve">n </w:t>
      </w:r>
      <w:r w:rsidR="0076666E">
        <w:rPr>
          <w:rFonts w:ascii="Arial" w:hAnsi="Arial" w:cs="Arial"/>
          <w:color w:val="000000"/>
          <w:sz w:val="24"/>
          <w:szCs w:val="24"/>
        </w:rPr>
        <w:t>cambio</w:t>
      </w:r>
      <w:r w:rsidRPr="0074414F">
        <w:rPr>
          <w:rFonts w:ascii="Arial" w:hAnsi="Arial" w:cs="Arial"/>
          <w:color w:val="000000"/>
          <w:sz w:val="24"/>
          <w:szCs w:val="24"/>
        </w:rPr>
        <w:t>, la cifra</w:t>
      </w:r>
      <w:r>
        <w:rPr>
          <w:rFonts w:ascii="Arial" w:hAnsi="Arial" w:cs="Arial"/>
          <w:color w:val="000000"/>
          <w:sz w:val="24"/>
          <w:szCs w:val="24"/>
        </w:rPr>
        <w:t xml:space="preserve"> </w:t>
      </w:r>
      <w:r w:rsidRPr="0074414F">
        <w:rPr>
          <w:rFonts w:ascii="Arial" w:hAnsi="Arial" w:cs="Arial"/>
          <w:color w:val="000000"/>
          <w:sz w:val="24"/>
          <w:szCs w:val="24"/>
        </w:rPr>
        <w:t xml:space="preserve">reportada por los OPDH fue de </w:t>
      </w:r>
      <w:r w:rsidR="001C4115" w:rsidRPr="001C4115">
        <w:rPr>
          <w:rFonts w:ascii="Arial" w:hAnsi="Arial" w:cs="Arial"/>
          <w:color w:val="000000"/>
          <w:sz w:val="24"/>
          <w:szCs w:val="24"/>
        </w:rPr>
        <w:t>4</w:t>
      </w:r>
      <w:r w:rsidR="001C4115">
        <w:rPr>
          <w:rFonts w:ascii="Arial" w:hAnsi="Arial" w:cs="Arial"/>
          <w:color w:val="000000"/>
          <w:sz w:val="24"/>
          <w:szCs w:val="24"/>
        </w:rPr>
        <w:t xml:space="preserve"> </w:t>
      </w:r>
      <w:r w:rsidR="001C4115" w:rsidRPr="001C4115">
        <w:rPr>
          <w:rFonts w:ascii="Arial" w:hAnsi="Arial" w:cs="Arial"/>
          <w:color w:val="000000"/>
          <w:sz w:val="24"/>
          <w:szCs w:val="24"/>
        </w:rPr>
        <w:t>155</w:t>
      </w:r>
      <w:r w:rsidR="001C4115">
        <w:rPr>
          <w:rFonts w:ascii="Arial" w:hAnsi="Arial" w:cs="Arial"/>
          <w:color w:val="000000"/>
          <w:sz w:val="24"/>
          <w:szCs w:val="24"/>
        </w:rPr>
        <w:t xml:space="preserve"> </w:t>
      </w:r>
      <w:r w:rsidRPr="0074414F">
        <w:rPr>
          <w:rFonts w:ascii="Arial" w:hAnsi="Arial" w:cs="Arial"/>
          <w:color w:val="000000"/>
          <w:sz w:val="24"/>
          <w:szCs w:val="24"/>
        </w:rPr>
        <w:t>personas</w:t>
      </w:r>
      <w:r w:rsidR="0011751C">
        <w:rPr>
          <w:rFonts w:ascii="Arial" w:hAnsi="Arial" w:cs="Arial"/>
          <w:color w:val="000000"/>
          <w:sz w:val="24"/>
          <w:szCs w:val="24"/>
        </w:rPr>
        <w:t>;</w:t>
      </w:r>
      <w:r w:rsidR="001C4115">
        <w:rPr>
          <w:rFonts w:ascii="Arial" w:hAnsi="Arial" w:cs="Arial"/>
          <w:color w:val="000000"/>
          <w:sz w:val="24"/>
          <w:szCs w:val="24"/>
        </w:rPr>
        <w:t xml:space="preserve"> esto representó un aumento de 0.1% en comparación </w:t>
      </w:r>
      <w:r w:rsidR="0076666E">
        <w:rPr>
          <w:rFonts w:ascii="Arial" w:hAnsi="Arial" w:cs="Arial"/>
          <w:color w:val="000000"/>
          <w:sz w:val="24"/>
          <w:szCs w:val="24"/>
        </w:rPr>
        <w:t>con</w:t>
      </w:r>
      <w:r w:rsidR="001C4115">
        <w:rPr>
          <w:rFonts w:ascii="Arial" w:hAnsi="Arial" w:cs="Arial"/>
          <w:color w:val="000000"/>
          <w:sz w:val="24"/>
          <w:szCs w:val="24"/>
        </w:rPr>
        <w:t xml:space="preserve"> 2019.</w:t>
      </w:r>
      <w:bookmarkEnd w:id="5"/>
      <w:r w:rsidR="001C4115">
        <w:rPr>
          <w:rFonts w:ascii="Arial" w:hAnsi="Arial" w:cs="Arial"/>
          <w:color w:val="000000"/>
          <w:sz w:val="24"/>
          <w:szCs w:val="24"/>
        </w:rPr>
        <w:t xml:space="preserve"> </w:t>
      </w:r>
    </w:p>
    <w:p w14:paraId="1F02B2B4" w14:textId="77777777" w:rsidR="0063747B" w:rsidRDefault="0063747B" w:rsidP="001C4115">
      <w:pPr>
        <w:autoSpaceDE w:val="0"/>
        <w:autoSpaceDN w:val="0"/>
        <w:adjustRightInd w:val="0"/>
        <w:spacing w:after="0" w:line="240" w:lineRule="auto"/>
        <w:ind w:left="-567"/>
        <w:jc w:val="both"/>
        <w:rPr>
          <w:rFonts w:ascii="Arial" w:hAnsi="Arial" w:cs="Arial"/>
          <w:color w:val="000000"/>
          <w:sz w:val="24"/>
          <w:szCs w:val="24"/>
        </w:rPr>
      </w:pPr>
    </w:p>
    <w:p w14:paraId="57D91A25" w14:textId="77777777" w:rsidR="00F95761" w:rsidRDefault="00F95761" w:rsidP="001C4115">
      <w:pPr>
        <w:autoSpaceDE w:val="0"/>
        <w:autoSpaceDN w:val="0"/>
        <w:adjustRightInd w:val="0"/>
        <w:spacing w:after="0" w:line="240" w:lineRule="auto"/>
        <w:ind w:left="-567"/>
        <w:jc w:val="both"/>
        <w:rPr>
          <w:rFonts w:ascii="Arial" w:hAnsi="Arial" w:cs="Arial"/>
          <w:color w:val="000000"/>
          <w:sz w:val="24"/>
          <w:szCs w:val="24"/>
        </w:rPr>
      </w:pPr>
    </w:p>
    <w:p w14:paraId="788088DF" w14:textId="458E7690" w:rsidR="00F95761" w:rsidRDefault="00F95761" w:rsidP="00F95761">
      <w:pPr>
        <w:autoSpaceDE w:val="0"/>
        <w:autoSpaceDN w:val="0"/>
        <w:adjustRightInd w:val="0"/>
        <w:spacing w:after="0" w:line="240" w:lineRule="auto"/>
        <w:ind w:left="-567"/>
        <w:jc w:val="center"/>
        <w:rPr>
          <w:rFonts w:ascii="Arial" w:hAnsi="Arial" w:cs="Arial"/>
          <w:b/>
          <w:bCs/>
          <w:i/>
          <w:iCs/>
          <w:color w:val="87AD8A"/>
          <w:sz w:val="18"/>
          <w:szCs w:val="24"/>
        </w:rPr>
      </w:pPr>
      <w:r w:rsidRPr="00AE7928">
        <w:rPr>
          <w:rFonts w:ascii="Arial" w:hAnsi="Arial" w:cs="Arial"/>
          <w:b/>
          <w:bCs/>
          <w:i/>
          <w:iCs/>
          <w:color w:val="87AD8A"/>
          <w:sz w:val="18"/>
          <w:szCs w:val="24"/>
        </w:rPr>
        <w:t xml:space="preserve">Gráfica </w:t>
      </w:r>
      <w:r w:rsidR="00B33631">
        <w:rPr>
          <w:rFonts w:ascii="Arial" w:hAnsi="Arial" w:cs="Arial"/>
          <w:b/>
          <w:bCs/>
          <w:i/>
          <w:iCs/>
          <w:color w:val="87AD8A"/>
          <w:sz w:val="18"/>
          <w:szCs w:val="24"/>
        </w:rPr>
        <w:t>5</w:t>
      </w:r>
      <w:r w:rsidRPr="00AE7928">
        <w:rPr>
          <w:rFonts w:ascii="Arial" w:hAnsi="Arial" w:cs="Arial"/>
          <w:b/>
          <w:bCs/>
          <w:i/>
          <w:iCs/>
          <w:color w:val="87AD8A"/>
          <w:sz w:val="18"/>
          <w:szCs w:val="24"/>
        </w:rPr>
        <w:t xml:space="preserve">. </w:t>
      </w:r>
      <w:r>
        <w:rPr>
          <w:rFonts w:ascii="Arial" w:hAnsi="Arial" w:cs="Arial"/>
          <w:b/>
          <w:bCs/>
          <w:i/>
          <w:iCs/>
          <w:color w:val="87AD8A"/>
          <w:sz w:val="18"/>
          <w:szCs w:val="24"/>
        </w:rPr>
        <w:t>P</w:t>
      </w:r>
      <w:r w:rsidRPr="00AE7928">
        <w:rPr>
          <w:rFonts w:ascii="Arial" w:hAnsi="Arial" w:cs="Arial"/>
          <w:b/>
          <w:bCs/>
          <w:i/>
          <w:iCs/>
          <w:color w:val="87AD8A"/>
          <w:sz w:val="18"/>
          <w:szCs w:val="24"/>
        </w:rPr>
        <w:t xml:space="preserve">ersonal adscrito a la CNDH y OPDH, </w:t>
      </w:r>
      <w:r>
        <w:rPr>
          <w:rFonts w:ascii="Arial" w:hAnsi="Arial" w:cs="Arial"/>
          <w:b/>
          <w:bCs/>
          <w:i/>
          <w:iCs/>
          <w:color w:val="87AD8A"/>
          <w:sz w:val="18"/>
          <w:szCs w:val="24"/>
        </w:rPr>
        <w:t>2016 a 2020</w:t>
      </w:r>
    </w:p>
    <w:p w14:paraId="05673D9F" w14:textId="77777777" w:rsidR="0063747B" w:rsidRDefault="0063747B" w:rsidP="00F95761">
      <w:pPr>
        <w:autoSpaceDE w:val="0"/>
        <w:autoSpaceDN w:val="0"/>
        <w:adjustRightInd w:val="0"/>
        <w:spacing w:after="0" w:line="240" w:lineRule="auto"/>
        <w:ind w:left="-567"/>
        <w:jc w:val="center"/>
        <w:rPr>
          <w:rFonts w:ascii="Arial" w:hAnsi="Arial" w:cs="Arial"/>
          <w:b/>
          <w:bCs/>
          <w:i/>
          <w:iCs/>
          <w:color w:val="87AD8A"/>
          <w:sz w:val="18"/>
          <w:szCs w:val="24"/>
        </w:rPr>
      </w:pPr>
    </w:p>
    <w:p w14:paraId="14A97654" w14:textId="542323FD" w:rsidR="00F95761" w:rsidRPr="0074414F" w:rsidRDefault="00F95761" w:rsidP="00F95761">
      <w:pPr>
        <w:autoSpaceDE w:val="0"/>
        <w:autoSpaceDN w:val="0"/>
        <w:adjustRightInd w:val="0"/>
        <w:spacing w:after="0" w:line="240" w:lineRule="auto"/>
        <w:ind w:left="-567"/>
        <w:jc w:val="center"/>
        <w:rPr>
          <w:rFonts w:ascii="Arial" w:hAnsi="Arial" w:cs="Arial"/>
          <w:color w:val="000000"/>
          <w:sz w:val="24"/>
          <w:szCs w:val="24"/>
        </w:rPr>
      </w:pPr>
      <w:r w:rsidRPr="00F95761">
        <w:rPr>
          <w:rFonts w:ascii="Arial" w:hAnsi="Arial" w:cs="Arial"/>
          <w:noProof/>
          <w:color w:val="000000"/>
          <w:sz w:val="24"/>
          <w:szCs w:val="24"/>
        </w:rPr>
        <w:drawing>
          <wp:inline distT="0" distB="0" distL="0" distR="0" wp14:anchorId="632876C7" wp14:editId="02C53087">
            <wp:extent cx="5899469" cy="2175432"/>
            <wp:effectExtent l="0" t="0" r="6350" b="0"/>
            <wp:docPr id="4" name="Gráfico 4">
              <a:extLst xmlns:a="http://schemas.openxmlformats.org/drawingml/2006/main">
                <a:ext uri="{FF2B5EF4-FFF2-40B4-BE49-F238E27FC236}">
                  <a16:creationId xmlns:a16="http://schemas.microsoft.com/office/drawing/2014/main" id="{14DE4671-A3B4-4B94-987C-80E60CA85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60D71E" w14:textId="77777777" w:rsidR="00F95761" w:rsidRDefault="00F95761" w:rsidP="001C4115">
      <w:pPr>
        <w:autoSpaceDE w:val="0"/>
        <w:autoSpaceDN w:val="0"/>
        <w:adjustRightInd w:val="0"/>
        <w:spacing w:after="0" w:line="240" w:lineRule="auto"/>
        <w:ind w:left="-567"/>
        <w:jc w:val="both"/>
        <w:rPr>
          <w:rFonts w:ascii="Arial" w:hAnsi="Arial" w:cs="Arial"/>
          <w:color w:val="000000"/>
          <w:sz w:val="24"/>
          <w:szCs w:val="24"/>
        </w:rPr>
      </w:pPr>
    </w:p>
    <w:p w14:paraId="1F23ABA5" w14:textId="77777777" w:rsidR="00DC0F4F" w:rsidRDefault="00DC0F4F" w:rsidP="001C4115">
      <w:pPr>
        <w:autoSpaceDE w:val="0"/>
        <w:autoSpaceDN w:val="0"/>
        <w:adjustRightInd w:val="0"/>
        <w:spacing w:after="0" w:line="240" w:lineRule="auto"/>
        <w:ind w:left="-567"/>
        <w:jc w:val="both"/>
        <w:rPr>
          <w:rFonts w:ascii="Arial" w:hAnsi="Arial" w:cs="Arial"/>
          <w:color w:val="000000"/>
          <w:sz w:val="24"/>
          <w:szCs w:val="24"/>
        </w:rPr>
      </w:pPr>
    </w:p>
    <w:p w14:paraId="59E4E3B4" w14:textId="77777777" w:rsidR="0063747B" w:rsidRDefault="0063747B" w:rsidP="001C4115">
      <w:pPr>
        <w:autoSpaceDE w:val="0"/>
        <w:autoSpaceDN w:val="0"/>
        <w:adjustRightInd w:val="0"/>
        <w:spacing w:after="0" w:line="240" w:lineRule="auto"/>
        <w:ind w:left="-567"/>
        <w:jc w:val="both"/>
        <w:rPr>
          <w:rFonts w:ascii="Arial" w:hAnsi="Arial" w:cs="Arial"/>
          <w:color w:val="000000"/>
          <w:sz w:val="24"/>
          <w:szCs w:val="24"/>
        </w:rPr>
      </w:pPr>
    </w:p>
    <w:p w14:paraId="53C9F5F4" w14:textId="77777777" w:rsidR="0063747B" w:rsidRDefault="0063747B" w:rsidP="001C4115">
      <w:pPr>
        <w:autoSpaceDE w:val="0"/>
        <w:autoSpaceDN w:val="0"/>
        <w:adjustRightInd w:val="0"/>
        <w:spacing w:after="0" w:line="240" w:lineRule="auto"/>
        <w:ind w:left="-567"/>
        <w:jc w:val="both"/>
        <w:rPr>
          <w:rFonts w:ascii="Arial" w:hAnsi="Arial" w:cs="Arial"/>
          <w:color w:val="000000"/>
          <w:sz w:val="24"/>
          <w:szCs w:val="24"/>
        </w:rPr>
      </w:pPr>
    </w:p>
    <w:p w14:paraId="7F528A16" w14:textId="77777777" w:rsidR="0063747B" w:rsidRDefault="0063747B" w:rsidP="001C4115">
      <w:pPr>
        <w:autoSpaceDE w:val="0"/>
        <w:autoSpaceDN w:val="0"/>
        <w:adjustRightInd w:val="0"/>
        <w:spacing w:after="0" w:line="240" w:lineRule="auto"/>
        <w:ind w:left="-567"/>
        <w:jc w:val="both"/>
        <w:rPr>
          <w:rFonts w:ascii="Arial" w:hAnsi="Arial" w:cs="Arial"/>
          <w:color w:val="000000"/>
          <w:sz w:val="24"/>
          <w:szCs w:val="24"/>
        </w:rPr>
      </w:pPr>
    </w:p>
    <w:p w14:paraId="6115EC6C" w14:textId="77777777" w:rsidR="0063747B" w:rsidRDefault="0063747B" w:rsidP="001C4115">
      <w:pPr>
        <w:autoSpaceDE w:val="0"/>
        <w:autoSpaceDN w:val="0"/>
        <w:adjustRightInd w:val="0"/>
        <w:spacing w:after="0" w:line="240" w:lineRule="auto"/>
        <w:ind w:left="-567"/>
        <w:jc w:val="both"/>
        <w:rPr>
          <w:rFonts w:ascii="Arial" w:hAnsi="Arial" w:cs="Arial"/>
          <w:color w:val="000000"/>
          <w:sz w:val="24"/>
          <w:szCs w:val="24"/>
        </w:rPr>
      </w:pPr>
    </w:p>
    <w:p w14:paraId="3EB26321" w14:textId="47C52881" w:rsidR="00F95761" w:rsidRDefault="0074414F" w:rsidP="001C4115">
      <w:pPr>
        <w:autoSpaceDE w:val="0"/>
        <w:autoSpaceDN w:val="0"/>
        <w:adjustRightInd w:val="0"/>
        <w:spacing w:after="0" w:line="240" w:lineRule="auto"/>
        <w:ind w:left="-567"/>
        <w:jc w:val="both"/>
        <w:rPr>
          <w:rFonts w:ascii="Arial" w:hAnsi="Arial" w:cs="Arial"/>
          <w:color w:val="000000"/>
          <w:sz w:val="24"/>
          <w:szCs w:val="24"/>
        </w:rPr>
      </w:pPr>
      <w:r w:rsidRPr="0074414F">
        <w:rPr>
          <w:rFonts w:ascii="Arial" w:hAnsi="Arial" w:cs="Arial"/>
          <w:color w:val="000000"/>
          <w:sz w:val="24"/>
          <w:szCs w:val="24"/>
        </w:rPr>
        <w:t xml:space="preserve">Del </w:t>
      </w:r>
      <w:r w:rsidR="0076666E">
        <w:rPr>
          <w:rFonts w:ascii="Arial" w:hAnsi="Arial" w:cs="Arial"/>
          <w:color w:val="000000"/>
          <w:sz w:val="24"/>
          <w:szCs w:val="24"/>
        </w:rPr>
        <w:t xml:space="preserve">personal </w:t>
      </w:r>
      <w:r w:rsidRPr="0074414F">
        <w:rPr>
          <w:rFonts w:ascii="Arial" w:hAnsi="Arial" w:cs="Arial"/>
          <w:color w:val="000000"/>
          <w:sz w:val="24"/>
          <w:szCs w:val="24"/>
        </w:rPr>
        <w:t xml:space="preserve">total </w:t>
      </w:r>
      <w:r w:rsidR="0076666E">
        <w:rPr>
          <w:rFonts w:ascii="Arial" w:hAnsi="Arial" w:cs="Arial"/>
          <w:color w:val="000000"/>
          <w:sz w:val="24"/>
          <w:szCs w:val="24"/>
        </w:rPr>
        <w:t xml:space="preserve">a nivel </w:t>
      </w:r>
      <w:r w:rsidRPr="0074414F">
        <w:rPr>
          <w:rFonts w:ascii="Arial" w:hAnsi="Arial" w:cs="Arial"/>
          <w:color w:val="000000"/>
          <w:sz w:val="24"/>
          <w:szCs w:val="24"/>
        </w:rPr>
        <w:t>nacional (</w:t>
      </w:r>
      <w:r w:rsidR="001C4115" w:rsidRPr="001C4115">
        <w:rPr>
          <w:rFonts w:ascii="Arial" w:hAnsi="Arial" w:cs="Arial"/>
          <w:color w:val="000000"/>
          <w:sz w:val="24"/>
          <w:szCs w:val="24"/>
        </w:rPr>
        <w:t>5</w:t>
      </w:r>
      <w:r w:rsidR="001C4115">
        <w:rPr>
          <w:rFonts w:ascii="Arial" w:hAnsi="Arial" w:cs="Arial"/>
          <w:color w:val="000000"/>
          <w:sz w:val="24"/>
          <w:szCs w:val="24"/>
        </w:rPr>
        <w:t xml:space="preserve"> </w:t>
      </w:r>
      <w:r w:rsidR="001C4115" w:rsidRPr="001C4115">
        <w:rPr>
          <w:rFonts w:ascii="Arial" w:hAnsi="Arial" w:cs="Arial"/>
          <w:color w:val="000000"/>
          <w:sz w:val="24"/>
          <w:szCs w:val="24"/>
        </w:rPr>
        <w:t>844</w:t>
      </w:r>
      <w:r w:rsidRPr="0074414F">
        <w:rPr>
          <w:rFonts w:ascii="Arial" w:hAnsi="Arial" w:cs="Arial"/>
          <w:color w:val="000000"/>
          <w:sz w:val="24"/>
          <w:szCs w:val="24"/>
        </w:rPr>
        <w:t>), 5</w:t>
      </w:r>
      <w:r w:rsidR="001C4115">
        <w:rPr>
          <w:rFonts w:ascii="Arial" w:hAnsi="Arial" w:cs="Arial"/>
          <w:color w:val="000000"/>
          <w:sz w:val="24"/>
          <w:szCs w:val="24"/>
        </w:rPr>
        <w:t>3.1</w:t>
      </w:r>
      <w:r w:rsidRPr="0074414F">
        <w:rPr>
          <w:rFonts w:ascii="Arial" w:hAnsi="Arial" w:cs="Arial"/>
          <w:color w:val="000000"/>
          <w:sz w:val="24"/>
          <w:szCs w:val="24"/>
        </w:rPr>
        <w:t>% fueron mujeres y 4</w:t>
      </w:r>
      <w:r w:rsidR="001C4115">
        <w:rPr>
          <w:rFonts w:ascii="Arial" w:hAnsi="Arial" w:cs="Arial"/>
          <w:color w:val="000000"/>
          <w:sz w:val="24"/>
          <w:szCs w:val="24"/>
        </w:rPr>
        <w:t>6.9</w:t>
      </w:r>
      <w:r w:rsidRPr="0074414F">
        <w:rPr>
          <w:rFonts w:ascii="Arial" w:hAnsi="Arial" w:cs="Arial"/>
          <w:color w:val="000000"/>
          <w:sz w:val="24"/>
          <w:szCs w:val="24"/>
        </w:rPr>
        <w:t xml:space="preserve">% hombres. Su distribución por sexo y entidad </w:t>
      </w:r>
      <w:r w:rsidR="0063747B" w:rsidRPr="0074414F">
        <w:rPr>
          <w:rFonts w:ascii="Arial" w:hAnsi="Arial" w:cs="Arial"/>
          <w:color w:val="000000"/>
          <w:sz w:val="24"/>
          <w:szCs w:val="24"/>
        </w:rPr>
        <w:t>federativa</w:t>
      </w:r>
      <w:r w:rsidRPr="0074414F">
        <w:rPr>
          <w:rFonts w:ascii="Arial" w:hAnsi="Arial" w:cs="Arial"/>
          <w:color w:val="000000"/>
          <w:sz w:val="24"/>
          <w:szCs w:val="24"/>
        </w:rPr>
        <w:t xml:space="preserve"> se presenta a continuación:</w:t>
      </w:r>
    </w:p>
    <w:p w14:paraId="202AD380" w14:textId="77777777" w:rsidR="0063747B" w:rsidRDefault="0063747B" w:rsidP="001C4115">
      <w:pPr>
        <w:autoSpaceDE w:val="0"/>
        <w:autoSpaceDN w:val="0"/>
        <w:adjustRightInd w:val="0"/>
        <w:spacing w:after="0" w:line="240" w:lineRule="auto"/>
        <w:ind w:left="-567"/>
        <w:jc w:val="both"/>
        <w:rPr>
          <w:rFonts w:ascii="Arial" w:hAnsi="Arial" w:cs="Arial"/>
          <w:color w:val="000000"/>
          <w:sz w:val="24"/>
          <w:szCs w:val="24"/>
        </w:rPr>
      </w:pPr>
    </w:p>
    <w:p w14:paraId="14FD420D" w14:textId="260097AA" w:rsidR="00431845" w:rsidRDefault="00AE7928" w:rsidP="00AE7928">
      <w:pPr>
        <w:autoSpaceDE w:val="0"/>
        <w:autoSpaceDN w:val="0"/>
        <w:adjustRightInd w:val="0"/>
        <w:spacing w:after="0" w:line="240" w:lineRule="auto"/>
        <w:ind w:left="-567"/>
        <w:jc w:val="center"/>
        <w:rPr>
          <w:rFonts w:ascii="Arial" w:hAnsi="Arial" w:cs="Arial"/>
          <w:b/>
          <w:bCs/>
          <w:i/>
          <w:iCs/>
          <w:color w:val="87AD8A"/>
          <w:sz w:val="18"/>
          <w:szCs w:val="24"/>
        </w:rPr>
      </w:pPr>
      <w:r w:rsidRPr="00AE7928">
        <w:rPr>
          <w:rFonts w:ascii="Arial" w:hAnsi="Arial" w:cs="Arial"/>
          <w:b/>
          <w:bCs/>
          <w:i/>
          <w:iCs/>
          <w:color w:val="87AD8A"/>
          <w:sz w:val="18"/>
          <w:szCs w:val="24"/>
        </w:rPr>
        <w:t xml:space="preserve">Gráfica </w:t>
      </w:r>
      <w:r w:rsidR="00B33631">
        <w:rPr>
          <w:rFonts w:ascii="Arial" w:hAnsi="Arial" w:cs="Arial"/>
          <w:b/>
          <w:bCs/>
          <w:i/>
          <w:iCs/>
          <w:color w:val="87AD8A"/>
          <w:sz w:val="18"/>
          <w:szCs w:val="24"/>
        </w:rPr>
        <w:t>6</w:t>
      </w:r>
      <w:r w:rsidRPr="00AE7928">
        <w:rPr>
          <w:rFonts w:ascii="Arial" w:hAnsi="Arial" w:cs="Arial"/>
          <w:b/>
          <w:bCs/>
          <w:i/>
          <w:iCs/>
          <w:color w:val="87AD8A"/>
          <w:sz w:val="18"/>
          <w:szCs w:val="24"/>
        </w:rPr>
        <w:t>. Distribución porcentual del personal adscrito a la CNDH y OPDH, por sexo, 20</w:t>
      </w:r>
      <w:r>
        <w:rPr>
          <w:rFonts w:ascii="Arial" w:hAnsi="Arial" w:cs="Arial"/>
          <w:b/>
          <w:bCs/>
          <w:i/>
          <w:iCs/>
          <w:color w:val="87AD8A"/>
          <w:sz w:val="18"/>
          <w:szCs w:val="24"/>
        </w:rPr>
        <w:t>20</w:t>
      </w:r>
    </w:p>
    <w:p w14:paraId="7FC71724" w14:textId="77777777" w:rsidR="0063747B" w:rsidRPr="0074414F" w:rsidRDefault="0063747B" w:rsidP="00AE7928">
      <w:pPr>
        <w:autoSpaceDE w:val="0"/>
        <w:autoSpaceDN w:val="0"/>
        <w:adjustRightInd w:val="0"/>
        <w:spacing w:after="0" w:line="240" w:lineRule="auto"/>
        <w:ind w:left="-567"/>
        <w:jc w:val="center"/>
        <w:rPr>
          <w:rFonts w:ascii="Arial" w:hAnsi="Arial" w:cs="Arial"/>
          <w:color w:val="000000"/>
          <w:sz w:val="24"/>
          <w:szCs w:val="24"/>
        </w:rPr>
      </w:pPr>
    </w:p>
    <w:p w14:paraId="39EE42CB" w14:textId="4A07C3D3" w:rsidR="00115D74" w:rsidRDefault="00431845" w:rsidP="00431845">
      <w:pPr>
        <w:spacing w:after="0"/>
        <w:ind w:left="-567"/>
        <w:jc w:val="center"/>
        <w:rPr>
          <w:rFonts w:ascii="Arial" w:hAnsi="Arial" w:cs="Arial"/>
          <w:b/>
          <w:bCs/>
          <w:iCs/>
          <w:noProof/>
          <w:sz w:val="24"/>
          <w:szCs w:val="24"/>
          <w:lang w:eastAsia="es-MX"/>
        </w:rPr>
      </w:pPr>
      <w:r w:rsidRPr="00431845">
        <w:rPr>
          <w:rFonts w:ascii="Arial" w:hAnsi="Arial" w:cs="Arial"/>
          <w:b/>
          <w:bCs/>
          <w:iCs/>
          <w:noProof/>
          <w:sz w:val="24"/>
          <w:szCs w:val="24"/>
          <w:lang w:eastAsia="es-MX"/>
        </w:rPr>
        <w:drawing>
          <wp:inline distT="0" distB="0" distL="0" distR="0" wp14:anchorId="26F0430E" wp14:editId="0F7125D6">
            <wp:extent cx="4617218" cy="4124848"/>
            <wp:effectExtent l="0" t="0" r="0" b="0"/>
            <wp:docPr id="2" name="Gráfico 2">
              <a:extLst xmlns:a="http://schemas.openxmlformats.org/drawingml/2006/main">
                <a:ext uri="{FF2B5EF4-FFF2-40B4-BE49-F238E27FC236}">
                  <a16:creationId xmlns:a16="http://schemas.microsoft.com/office/drawing/2014/main" id="{C8212F48-983E-434F-AD00-ACBEE28EE0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A18F8C3" w14:textId="77777777" w:rsidR="00AE7928" w:rsidRDefault="00AE7928" w:rsidP="00AE7928">
      <w:pPr>
        <w:spacing w:after="0"/>
        <w:ind w:left="-567"/>
        <w:jc w:val="both"/>
        <w:rPr>
          <w:rFonts w:ascii="Arial" w:hAnsi="Arial" w:cs="Arial"/>
          <w:color w:val="000000"/>
          <w:sz w:val="24"/>
          <w:szCs w:val="24"/>
        </w:rPr>
      </w:pPr>
    </w:p>
    <w:p w14:paraId="2B51F120" w14:textId="77777777" w:rsidR="00F95761" w:rsidRDefault="00F95761" w:rsidP="00AE7928">
      <w:pPr>
        <w:spacing w:after="0"/>
        <w:ind w:left="-567"/>
        <w:jc w:val="both"/>
        <w:rPr>
          <w:rFonts w:ascii="Arial" w:hAnsi="Arial" w:cs="Arial"/>
          <w:color w:val="000000"/>
          <w:sz w:val="24"/>
          <w:szCs w:val="24"/>
        </w:rPr>
      </w:pPr>
    </w:p>
    <w:p w14:paraId="244234C3" w14:textId="41CB3235" w:rsidR="00AE7928" w:rsidRPr="00AE7928" w:rsidRDefault="00AE7928" w:rsidP="00AE7928">
      <w:pPr>
        <w:spacing w:after="0"/>
        <w:ind w:left="-567"/>
        <w:jc w:val="both"/>
        <w:rPr>
          <w:rFonts w:ascii="Arial" w:hAnsi="Arial" w:cs="Arial"/>
          <w:color w:val="000000"/>
          <w:sz w:val="24"/>
          <w:szCs w:val="24"/>
        </w:rPr>
      </w:pPr>
      <w:r w:rsidRPr="00AE7928">
        <w:rPr>
          <w:rFonts w:ascii="Arial" w:hAnsi="Arial" w:cs="Arial"/>
          <w:color w:val="000000"/>
          <w:sz w:val="24"/>
          <w:szCs w:val="24"/>
        </w:rPr>
        <w:t>De acuerdo con la función ejercida por las y los servidores públicos en la CNDH y los OPDH,</w:t>
      </w:r>
    </w:p>
    <w:p w14:paraId="05753FB9" w14:textId="3A152BF1" w:rsidR="00115D74" w:rsidRDefault="00AE7928" w:rsidP="00AE7928">
      <w:pPr>
        <w:spacing w:after="0"/>
        <w:ind w:left="-567"/>
        <w:jc w:val="both"/>
        <w:rPr>
          <w:rFonts w:ascii="Arial" w:hAnsi="Arial" w:cs="Arial"/>
          <w:color w:val="000000"/>
          <w:sz w:val="24"/>
          <w:szCs w:val="24"/>
        </w:rPr>
      </w:pPr>
      <w:r w:rsidRPr="00AE7928">
        <w:rPr>
          <w:rFonts w:ascii="Arial" w:hAnsi="Arial" w:cs="Arial"/>
          <w:color w:val="000000"/>
          <w:sz w:val="24"/>
          <w:szCs w:val="24"/>
        </w:rPr>
        <w:t xml:space="preserve">el porcentaje más alto se registró en </w:t>
      </w:r>
      <w:r w:rsidR="00DC0F4F">
        <w:rPr>
          <w:rFonts w:ascii="Arial" w:hAnsi="Arial" w:cs="Arial"/>
          <w:color w:val="000000"/>
          <w:sz w:val="24"/>
          <w:szCs w:val="24"/>
        </w:rPr>
        <w:t>Administración y finanzas</w:t>
      </w:r>
      <w:r w:rsidRPr="00AE7928">
        <w:rPr>
          <w:rFonts w:ascii="Arial" w:hAnsi="Arial" w:cs="Arial"/>
          <w:color w:val="000000"/>
          <w:sz w:val="24"/>
          <w:szCs w:val="24"/>
        </w:rPr>
        <w:t xml:space="preserve"> (</w:t>
      </w:r>
      <w:r w:rsidR="00FF2CDF">
        <w:rPr>
          <w:rFonts w:ascii="Arial" w:hAnsi="Arial" w:cs="Arial"/>
          <w:color w:val="000000"/>
          <w:sz w:val="24"/>
          <w:szCs w:val="24"/>
        </w:rPr>
        <w:t>28.6</w:t>
      </w:r>
      <w:r w:rsidR="00DC0F4F">
        <w:rPr>
          <w:rFonts w:ascii="Arial" w:hAnsi="Arial" w:cs="Arial"/>
          <w:color w:val="000000"/>
          <w:sz w:val="24"/>
          <w:szCs w:val="24"/>
        </w:rPr>
        <w:t>%</w:t>
      </w:r>
      <w:r w:rsidRPr="00AE7928">
        <w:rPr>
          <w:rFonts w:ascii="Arial" w:hAnsi="Arial" w:cs="Arial"/>
          <w:color w:val="000000"/>
          <w:sz w:val="24"/>
          <w:szCs w:val="24"/>
        </w:rPr>
        <w:t>), le siguió con</w:t>
      </w:r>
      <w:r>
        <w:rPr>
          <w:rFonts w:ascii="Arial" w:hAnsi="Arial" w:cs="Arial"/>
          <w:color w:val="000000"/>
          <w:sz w:val="24"/>
          <w:szCs w:val="24"/>
        </w:rPr>
        <w:t xml:space="preserve"> </w:t>
      </w:r>
      <w:r w:rsidR="00FF2CDF">
        <w:rPr>
          <w:rFonts w:ascii="Arial" w:hAnsi="Arial" w:cs="Arial"/>
          <w:color w:val="000000"/>
          <w:sz w:val="24"/>
          <w:szCs w:val="24"/>
        </w:rPr>
        <w:t>12.6</w:t>
      </w:r>
      <w:r w:rsidRPr="00AE7928">
        <w:rPr>
          <w:rFonts w:ascii="Arial" w:hAnsi="Arial" w:cs="Arial"/>
          <w:color w:val="000000"/>
          <w:sz w:val="24"/>
          <w:szCs w:val="24"/>
        </w:rPr>
        <w:t>%</w:t>
      </w:r>
      <w:r>
        <w:rPr>
          <w:rFonts w:ascii="Arial" w:hAnsi="Arial" w:cs="Arial"/>
          <w:color w:val="000000"/>
          <w:sz w:val="24"/>
          <w:szCs w:val="24"/>
        </w:rPr>
        <w:t xml:space="preserve"> </w:t>
      </w:r>
      <w:r w:rsidRPr="00AE7928">
        <w:rPr>
          <w:rFonts w:ascii="Arial" w:hAnsi="Arial" w:cs="Arial"/>
          <w:color w:val="000000"/>
          <w:sz w:val="24"/>
          <w:szCs w:val="24"/>
        </w:rPr>
        <w:t xml:space="preserve">el personal que desempeñó funciones </w:t>
      </w:r>
      <w:r w:rsidR="00DC0F4F">
        <w:rPr>
          <w:rFonts w:ascii="Arial" w:hAnsi="Arial" w:cs="Arial"/>
          <w:color w:val="000000"/>
          <w:sz w:val="24"/>
          <w:szCs w:val="24"/>
        </w:rPr>
        <w:t xml:space="preserve">en el área de quejas, orientación y gestoría. </w:t>
      </w:r>
    </w:p>
    <w:p w14:paraId="5B74C883" w14:textId="2A3D2A53" w:rsidR="00F95761" w:rsidRDefault="00F95761" w:rsidP="00AE7928">
      <w:pPr>
        <w:spacing w:after="0"/>
        <w:ind w:left="-567"/>
        <w:jc w:val="both"/>
        <w:rPr>
          <w:rFonts w:ascii="Arial" w:hAnsi="Arial" w:cs="Arial"/>
          <w:color w:val="000000"/>
          <w:sz w:val="24"/>
          <w:szCs w:val="24"/>
        </w:rPr>
      </w:pPr>
    </w:p>
    <w:p w14:paraId="078D8434" w14:textId="5B156E65" w:rsidR="00F95761" w:rsidRDefault="00F95761" w:rsidP="00AE7928">
      <w:pPr>
        <w:spacing w:after="0"/>
        <w:ind w:left="-567"/>
        <w:jc w:val="both"/>
        <w:rPr>
          <w:rFonts w:ascii="Arial" w:hAnsi="Arial" w:cs="Arial"/>
          <w:color w:val="000000"/>
          <w:sz w:val="24"/>
          <w:szCs w:val="24"/>
        </w:rPr>
      </w:pPr>
    </w:p>
    <w:p w14:paraId="6038F8AC" w14:textId="04A8D27A" w:rsidR="00F95761" w:rsidRDefault="00F95761" w:rsidP="00AE7928">
      <w:pPr>
        <w:spacing w:after="0"/>
        <w:ind w:left="-567"/>
        <w:jc w:val="both"/>
        <w:rPr>
          <w:rFonts w:ascii="Arial" w:hAnsi="Arial" w:cs="Arial"/>
          <w:color w:val="000000"/>
          <w:sz w:val="24"/>
          <w:szCs w:val="24"/>
        </w:rPr>
      </w:pPr>
    </w:p>
    <w:p w14:paraId="5B9F4CB0" w14:textId="094DE8E3" w:rsidR="00F95761" w:rsidRDefault="00F95761" w:rsidP="00AE7928">
      <w:pPr>
        <w:spacing w:after="0"/>
        <w:ind w:left="-567"/>
        <w:jc w:val="both"/>
        <w:rPr>
          <w:rFonts w:ascii="Arial" w:hAnsi="Arial" w:cs="Arial"/>
          <w:color w:val="000000"/>
          <w:sz w:val="24"/>
          <w:szCs w:val="24"/>
        </w:rPr>
      </w:pPr>
    </w:p>
    <w:p w14:paraId="0CEC03FD" w14:textId="5561CB3D" w:rsidR="00F95761" w:rsidRDefault="00F95761" w:rsidP="00AE7928">
      <w:pPr>
        <w:spacing w:after="0"/>
        <w:ind w:left="-567"/>
        <w:jc w:val="both"/>
        <w:rPr>
          <w:rFonts w:ascii="Arial" w:hAnsi="Arial" w:cs="Arial"/>
          <w:color w:val="000000"/>
          <w:sz w:val="24"/>
          <w:szCs w:val="24"/>
        </w:rPr>
      </w:pPr>
    </w:p>
    <w:p w14:paraId="23BEC432" w14:textId="68796E41" w:rsidR="00F95761" w:rsidRDefault="00F95761" w:rsidP="00AE7928">
      <w:pPr>
        <w:spacing w:after="0"/>
        <w:ind w:left="-567"/>
        <w:jc w:val="both"/>
        <w:rPr>
          <w:rFonts w:ascii="Arial" w:hAnsi="Arial" w:cs="Arial"/>
          <w:color w:val="000000"/>
          <w:sz w:val="24"/>
          <w:szCs w:val="24"/>
        </w:rPr>
      </w:pPr>
    </w:p>
    <w:p w14:paraId="1587A761" w14:textId="102D0012" w:rsidR="00F95761" w:rsidRDefault="00F95761" w:rsidP="00AE7928">
      <w:pPr>
        <w:spacing w:after="0"/>
        <w:ind w:left="-567"/>
        <w:jc w:val="both"/>
        <w:rPr>
          <w:rFonts w:ascii="Arial" w:hAnsi="Arial" w:cs="Arial"/>
          <w:color w:val="000000"/>
          <w:sz w:val="24"/>
          <w:szCs w:val="24"/>
        </w:rPr>
      </w:pPr>
    </w:p>
    <w:p w14:paraId="29685F20" w14:textId="24160506" w:rsidR="00F95761" w:rsidRDefault="00F95761" w:rsidP="00AE7928">
      <w:pPr>
        <w:spacing w:after="0"/>
        <w:ind w:left="-567"/>
        <w:jc w:val="both"/>
        <w:rPr>
          <w:rFonts w:ascii="Arial" w:hAnsi="Arial" w:cs="Arial"/>
          <w:color w:val="000000"/>
          <w:sz w:val="24"/>
          <w:szCs w:val="24"/>
        </w:rPr>
      </w:pPr>
    </w:p>
    <w:p w14:paraId="7BCB8C12" w14:textId="4AC98706" w:rsidR="00F95761" w:rsidRDefault="00F95761" w:rsidP="00AE7928">
      <w:pPr>
        <w:spacing w:after="0"/>
        <w:ind w:left="-567"/>
        <w:jc w:val="both"/>
        <w:rPr>
          <w:rFonts w:ascii="Arial" w:hAnsi="Arial" w:cs="Arial"/>
          <w:color w:val="000000"/>
          <w:sz w:val="24"/>
          <w:szCs w:val="24"/>
        </w:rPr>
      </w:pPr>
    </w:p>
    <w:p w14:paraId="691DE94B" w14:textId="3573EF48" w:rsidR="008A2251" w:rsidRDefault="008A2251" w:rsidP="00AE7928">
      <w:pPr>
        <w:spacing w:after="0"/>
        <w:ind w:left="-567"/>
        <w:jc w:val="both"/>
        <w:rPr>
          <w:rFonts w:ascii="Arial" w:hAnsi="Arial" w:cs="Arial"/>
          <w:color w:val="000000"/>
          <w:sz w:val="24"/>
          <w:szCs w:val="24"/>
        </w:rPr>
      </w:pPr>
    </w:p>
    <w:p w14:paraId="3BAF7EF0" w14:textId="77777777" w:rsidR="00FF4C08" w:rsidRDefault="00FF4C08" w:rsidP="00AE7928">
      <w:pPr>
        <w:spacing w:after="0"/>
        <w:ind w:left="-567"/>
        <w:jc w:val="both"/>
        <w:rPr>
          <w:rFonts w:ascii="Arial" w:hAnsi="Arial" w:cs="Arial"/>
          <w:color w:val="000000"/>
          <w:sz w:val="24"/>
          <w:szCs w:val="24"/>
        </w:rPr>
      </w:pPr>
    </w:p>
    <w:p w14:paraId="799FFE86" w14:textId="3708904C" w:rsidR="00AE7928" w:rsidRDefault="00AE7928" w:rsidP="00AE7928">
      <w:pPr>
        <w:spacing w:after="0"/>
        <w:ind w:left="-567"/>
        <w:jc w:val="center"/>
        <w:rPr>
          <w:rFonts w:ascii="Arial" w:hAnsi="Arial" w:cs="Arial"/>
          <w:b/>
          <w:bCs/>
          <w:i/>
          <w:iCs/>
          <w:color w:val="87AD8A"/>
          <w:sz w:val="18"/>
          <w:szCs w:val="24"/>
        </w:rPr>
      </w:pPr>
      <w:r w:rsidRPr="00AE7928">
        <w:rPr>
          <w:rFonts w:ascii="Arial" w:hAnsi="Arial" w:cs="Arial"/>
          <w:b/>
          <w:bCs/>
          <w:i/>
          <w:iCs/>
          <w:color w:val="87AD8A"/>
          <w:sz w:val="18"/>
          <w:szCs w:val="24"/>
        </w:rPr>
        <w:t>Gráfica 7. Distribución porcentual del personal adscrito a la CNDH y OPDH, por función</w:t>
      </w:r>
      <w:r w:rsidR="00DC0F4F">
        <w:rPr>
          <w:rFonts w:ascii="Arial" w:hAnsi="Arial" w:cs="Arial"/>
          <w:b/>
          <w:bCs/>
          <w:i/>
          <w:iCs/>
          <w:color w:val="87AD8A"/>
          <w:sz w:val="18"/>
          <w:szCs w:val="24"/>
        </w:rPr>
        <w:t xml:space="preserve"> principal ejercida</w:t>
      </w:r>
      <w:r w:rsidRPr="00AE7928">
        <w:rPr>
          <w:rFonts w:ascii="Arial" w:hAnsi="Arial" w:cs="Arial"/>
          <w:b/>
          <w:bCs/>
          <w:i/>
          <w:iCs/>
          <w:color w:val="87AD8A"/>
          <w:sz w:val="18"/>
          <w:szCs w:val="24"/>
        </w:rPr>
        <w:t>, 20</w:t>
      </w:r>
      <w:r>
        <w:rPr>
          <w:rFonts w:ascii="Arial" w:hAnsi="Arial" w:cs="Arial"/>
          <w:b/>
          <w:bCs/>
          <w:i/>
          <w:iCs/>
          <w:color w:val="87AD8A"/>
          <w:sz w:val="18"/>
          <w:szCs w:val="24"/>
        </w:rPr>
        <w:t>20</w:t>
      </w:r>
    </w:p>
    <w:p w14:paraId="740D1820" w14:textId="7F811E33" w:rsidR="00DC0F4F" w:rsidRDefault="003441F2" w:rsidP="003441F2">
      <w:pPr>
        <w:spacing w:after="0"/>
        <w:ind w:left="-567"/>
        <w:jc w:val="center"/>
        <w:rPr>
          <w:rFonts w:ascii="Arial" w:hAnsi="Arial" w:cs="Arial"/>
          <w:b/>
          <w:bCs/>
          <w:i/>
          <w:iCs/>
          <w:color w:val="87AD8A"/>
          <w:sz w:val="18"/>
          <w:szCs w:val="24"/>
        </w:rPr>
      </w:pPr>
      <w:r w:rsidRPr="003441F2">
        <w:rPr>
          <w:rFonts w:ascii="Arial" w:hAnsi="Arial" w:cs="Arial"/>
          <w:b/>
          <w:bCs/>
          <w:i/>
          <w:iCs/>
          <w:noProof/>
          <w:color w:val="87AD8A"/>
          <w:sz w:val="18"/>
          <w:szCs w:val="24"/>
        </w:rPr>
        <w:drawing>
          <wp:inline distT="0" distB="0" distL="0" distR="0" wp14:anchorId="4F37080E" wp14:editId="0F4C5C64">
            <wp:extent cx="6663055" cy="4126727"/>
            <wp:effectExtent l="0" t="0" r="4445" b="7620"/>
            <wp:docPr id="11" name="Gráfico 11">
              <a:extLst xmlns:a="http://schemas.openxmlformats.org/drawingml/2006/main">
                <a:ext uri="{FF2B5EF4-FFF2-40B4-BE49-F238E27FC236}">
                  <a16:creationId xmlns:a16="http://schemas.microsoft.com/office/drawing/2014/main" id="{84E05928-E2AB-45AE-8F4F-963002E0B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1A2AB1" w14:textId="77777777" w:rsidR="00FF2CDF" w:rsidRPr="00FF2CDF" w:rsidRDefault="00FF2CDF" w:rsidP="00FF2CDF">
      <w:pPr>
        <w:jc w:val="center"/>
        <w:rPr>
          <w:rFonts w:ascii="Arial" w:hAnsi="Arial" w:cs="Arial"/>
          <w:sz w:val="16"/>
          <w:szCs w:val="16"/>
        </w:rPr>
      </w:pPr>
      <w:r w:rsidRPr="00FF2CDF">
        <w:rPr>
          <w:rFonts w:ascii="Arial" w:hAnsi="Arial" w:cs="Arial"/>
          <w:iCs/>
          <w:sz w:val="16"/>
          <w:szCs w:val="16"/>
        </w:rPr>
        <w:t>Nota: no se incluye al personal de las visitadurías.</w:t>
      </w:r>
    </w:p>
    <w:p w14:paraId="17707B5F" w14:textId="77777777" w:rsidR="00FF2CDF" w:rsidRDefault="00FF2CDF" w:rsidP="003441F2">
      <w:pPr>
        <w:spacing w:after="0"/>
        <w:ind w:left="-567"/>
        <w:jc w:val="center"/>
        <w:rPr>
          <w:rFonts w:ascii="Arial" w:hAnsi="Arial" w:cs="Arial"/>
          <w:b/>
          <w:bCs/>
          <w:i/>
          <w:iCs/>
          <w:color w:val="87AD8A"/>
          <w:sz w:val="18"/>
          <w:szCs w:val="24"/>
        </w:rPr>
      </w:pPr>
    </w:p>
    <w:p w14:paraId="7CBF8DEF" w14:textId="0E4DF4E6" w:rsidR="0063747B" w:rsidRDefault="00D847C9" w:rsidP="00F95761">
      <w:pPr>
        <w:spacing w:after="0"/>
        <w:ind w:left="-567"/>
        <w:jc w:val="both"/>
        <w:rPr>
          <w:rFonts w:ascii="Arial" w:hAnsi="Arial" w:cs="Arial"/>
          <w:color w:val="000000"/>
          <w:sz w:val="24"/>
          <w:szCs w:val="24"/>
        </w:rPr>
      </w:pPr>
      <w:r>
        <w:rPr>
          <w:rFonts w:ascii="Arial" w:hAnsi="Arial" w:cs="Arial"/>
          <w:color w:val="000000"/>
          <w:sz w:val="24"/>
          <w:szCs w:val="24"/>
        </w:rPr>
        <w:t>En</w:t>
      </w:r>
      <w:r w:rsidR="00F95761" w:rsidRPr="00F95761">
        <w:rPr>
          <w:rFonts w:ascii="Arial" w:hAnsi="Arial" w:cs="Arial"/>
          <w:color w:val="000000"/>
          <w:sz w:val="24"/>
          <w:szCs w:val="24"/>
        </w:rPr>
        <w:t xml:space="preserve"> relación </w:t>
      </w:r>
      <w:r>
        <w:rPr>
          <w:rFonts w:ascii="Arial" w:hAnsi="Arial" w:cs="Arial"/>
          <w:color w:val="000000"/>
          <w:sz w:val="24"/>
          <w:szCs w:val="24"/>
        </w:rPr>
        <w:t>con e</w:t>
      </w:r>
      <w:r w:rsidR="00F95761" w:rsidRPr="00F95761">
        <w:rPr>
          <w:rFonts w:ascii="Arial" w:hAnsi="Arial" w:cs="Arial"/>
          <w:color w:val="000000"/>
          <w:sz w:val="24"/>
          <w:szCs w:val="24"/>
        </w:rPr>
        <w:t>l presupuesto ejercido durante 20</w:t>
      </w:r>
      <w:r w:rsidR="00A46EB9">
        <w:rPr>
          <w:rFonts w:ascii="Arial" w:hAnsi="Arial" w:cs="Arial"/>
          <w:color w:val="000000"/>
          <w:sz w:val="24"/>
          <w:szCs w:val="24"/>
        </w:rPr>
        <w:t>20</w:t>
      </w:r>
      <w:r w:rsidR="00F95761" w:rsidRPr="00F95761">
        <w:rPr>
          <w:rFonts w:ascii="Arial" w:hAnsi="Arial" w:cs="Arial"/>
          <w:color w:val="000000"/>
          <w:sz w:val="24"/>
          <w:szCs w:val="24"/>
        </w:rPr>
        <w:t xml:space="preserve">, la cifra nacional fue de </w:t>
      </w:r>
      <w:r w:rsidR="00C56659" w:rsidRPr="00C56659">
        <w:rPr>
          <w:rFonts w:ascii="Arial" w:hAnsi="Arial" w:cs="Arial"/>
          <w:color w:val="000000"/>
          <w:sz w:val="24"/>
          <w:szCs w:val="24"/>
        </w:rPr>
        <w:t>3</w:t>
      </w:r>
      <w:r w:rsidR="00C56659">
        <w:rPr>
          <w:rFonts w:ascii="Arial" w:hAnsi="Arial" w:cs="Arial"/>
          <w:color w:val="000000"/>
          <w:sz w:val="24"/>
          <w:szCs w:val="24"/>
        </w:rPr>
        <w:t xml:space="preserve"> </w:t>
      </w:r>
      <w:r w:rsidR="00C56659" w:rsidRPr="00C56659">
        <w:rPr>
          <w:rFonts w:ascii="Arial" w:hAnsi="Arial" w:cs="Arial"/>
          <w:color w:val="000000"/>
          <w:sz w:val="24"/>
          <w:szCs w:val="24"/>
        </w:rPr>
        <w:t>430</w:t>
      </w:r>
      <w:r w:rsidR="00C56659">
        <w:rPr>
          <w:rFonts w:ascii="Arial" w:hAnsi="Arial" w:cs="Arial"/>
          <w:color w:val="000000"/>
          <w:sz w:val="24"/>
          <w:szCs w:val="24"/>
        </w:rPr>
        <w:t xml:space="preserve"> </w:t>
      </w:r>
      <w:r w:rsidR="00C56659" w:rsidRPr="00C56659">
        <w:rPr>
          <w:rFonts w:ascii="Arial" w:hAnsi="Arial" w:cs="Arial"/>
          <w:color w:val="000000"/>
          <w:sz w:val="24"/>
          <w:szCs w:val="24"/>
        </w:rPr>
        <w:t>709</w:t>
      </w:r>
      <w:r w:rsidR="00C56659">
        <w:rPr>
          <w:rFonts w:ascii="Arial" w:hAnsi="Arial" w:cs="Arial"/>
          <w:color w:val="000000"/>
          <w:sz w:val="24"/>
          <w:szCs w:val="24"/>
        </w:rPr>
        <w:t xml:space="preserve"> </w:t>
      </w:r>
      <w:r w:rsidR="00C56659" w:rsidRPr="00C56659">
        <w:rPr>
          <w:rFonts w:ascii="Arial" w:hAnsi="Arial" w:cs="Arial"/>
          <w:color w:val="000000"/>
          <w:sz w:val="24"/>
          <w:szCs w:val="24"/>
        </w:rPr>
        <w:t>738</w:t>
      </w:r>
      <w:r w:rsidR="00C56659">
        <w:rPr>
          <w:rFonts w:ascii="Arial" w:hAnsi="Arial" w:cs="Arial"/>
          <w:color w:val="000000"/>
          <w:sz w:val="24"/>
          <w:szCs w:val="24"/>
        </w:rPr>
        <w:t xml:space="preserve"> </w:t>
      </w:r>
      <w:r w:rsidR="00F95761" w:rsidRPr="00F95761">
        <w:rPr>
          <w:rFonts w:ascii="Arial" w:hAnsi="Arial" w:cs="Arial"/>
          <w:color w:val="000000"/>
          <w:sz w:val="24"/>
          <w:szCs w:val="24"/>
        </w:rPr>
        <w:t xml:space="preserve">pesos. </w:t>
      </w:r>
      <w:r w:rsidR="00B33631">
        <w:rPr>
          <w:rFonts w:ascii="Arial" w:hAnsi="Arial" w:cs="Arial"/>
          <w:color w:val="000000"/>
          <w:sz w:val="24"/>
          <w:szCs w:val="24"/>
        </w:rPr>
        <w:t xml:space="preserve">Dicho presupuesto representó una disminución de 10.8% en comparación </w:t>
      </w:r>
      <w:r w:rsidR="0076666E">
        <w:rPr>
          <w:rFonts w:ascii="Arial" w:hAnsi="Arial" w:cs="Arial"/>
          <w:color w:val="000000"/>
          <w:sz w:val="24"/>
          <w:szCs w:val="24"/>
        </w:rPr>
        <w:t>con</w:t>
      </w:r>
      <w:r w:rsidR="00B33631">
        <w:rPr>
          <w:rFonts w:ascii="Arial" w:hAnsi="Arial" w:cs="Arial"/>
          <w:color w:val="000000"/>
          <w:sz w:val="24"/>
          <w:szCs w:val="24"/>
        </w:rPr>
        <w:t xml:space="preserve"> lo ejercido en 2019. </w:t>
      </w:r>
      <w:r w:rsidR="00F95761" w:rsidRPr="00F95761">
        <w:rPr>
          <w:rFonts w:ascii="Arial" w:hAnsi="Arial" w:cs="Arial"/>
          <w:color w:val="000000"/>
          <w:sz w:val="24"/>
          <w:szCs w:val="24"/>
        </w:rPr>
        <w:t>Del total del</w:t>
      </w:r>
      <w:r w:rsidR="00F95761">
        <w:rPr>
          <w:rFonts w:ascii="Arial" w:hAnsi="Arial" w:cs="Arial"/>
          <w:color w:val="000000"/>
          <w:sz w:val="24"/>
          <w:szCs w:val="24"/>
        </w:rPr>
        <w:t xml:space="preserve"> </w:t>
      </w:r>
      <w:r w:rsidR="00F95761" w:rsidRPr="00F95761">
        <w:rPr>
          <w:rFonts w:ascii="Arial" w:hAnsi="Arial" w:cs="Arial"/>
          <w:color w:val="000000"/>
          <w:sz w:val="24"/>
          <w:szCs w:val="24"/>
        </w:rPr>
        <w:t>presupuesto ejercido, 4</w:t>
      </w:r>
      <w:r w:rsidR="00C56659">
        <w:rPr>
          <w:rFonts w:ascii="Arial" w:hAnsi="Arial" w:cs="Arial"/>
          <w:color w:val="000000"/>
          <w:sz w:val="24"/>
          <w:szCs w:val="24"/>
        </w:rPr>
        <w:t>0.6</w:t>
      </w:r>
      <w:r w:rsidR="00F95761" w:rsidRPr="00F95761">
        <w:rPr>
          <w:rFonts w:ascii="Arial" w:hAnsi="Arial" w:cs="Arial"/>
          <w:color w:val="000000"/>
          <w:sz w:val="24"/>
          <w:szCs w:val="24"/>
        </w:rPr>
        <w:t>% correspondió a la CNDH y 5</w:t>
      </w:r>
      <w:r w:rsidR="00C56659">
        <w:rPr>
          <w:rFonts w:ascii="Arial" w:hAnsi="Arial" w:cs="Arial"/>
          <w:color w:val="000000"/>
          <w:sz w:val="24"/>
          <w:szCs w:val="24"/>
        </w:rPr>
        <w:t>9.4</w:t>
      </w:r>
      <w:r w:rsidR="00F95761" w:rsidRPr="00F95761">
        <w:rPr>
          <w:rFonts w:ascii="Arial" w:hAnsi="Arial" w:cs="Arial"/>
          <w:color w:val="000000"/>
          <w:sz w:val="24"/>
          <w:szCs w:val="24"/>
        </w:rPr>
        <w:t>% a los OPDH. Por su parte, 1</w:t>
      </w:r>
      <w:r w:rsidR="00DC12A2">
        <w:rPr>
          <w:rFonts w:ascii="Arial" w:hAnsi="Arial" w:cs="Arial"/>
          <w:color w:val="000000"/>
          <w:sz w:val="24"/>
          <w:szCs w:val="24"/>
        </w:rPr>
        <w:t>1.6</w:t>
      </w:r>
      <w:r w:rsidR="00F95761" w:rsidRPr="00F95761">
        <w:rPr>
          <w:rFonts w:ascii="Arial" w:hAnsi="Arial" w:cs="Arial"/>
          <w:color w:val="000000"/>
          <w:sz w:val="24"/>
          <w:szCs w:val="24"/>
        </w:rPr>
        <w:t>% del total del</w:t>
      </w:r>
      <w:r w:rsidR="00F95761">
        <w:rPr>
          <w:rFonts w:ascii="Arial" w:hAnsi="Arial" w:cs="Arial"/>
          <w:color w:val="000000"/>
          <w:sz w:val="24"/>
          <w:szCs w:val="24"/>
        </w:rPr>
        <w:t xml:space="preserve"> </w:t>
      </w:r>
      <w:r w:rsidR="00F95761" w:rsidRPr="00F95761">
        <w:rPr>
          <w:rFonts w:ascii="Arial" w:hAnsi="Arial" w:cs="Arial"/>
          <w:color w:val="000000"/>
          <w:sz w:val="24"/>
          <w:szCs w:val="24"/>
        </w:rPr>
        <w:t>presupuesto se destinó a la realización de eventos de capacitación y difusión para el fortalecimiento de la cultura</w:t>
      </w:r>
      <w:r w:rsidR="00F95761">
        <w:rPr>
          <w:rFonts w:ascii="Arial" w:hAnsi="Arial" w:cs="Arial"/>
          <w:color w:val="000000"/>
          <w:sz w:val="24"/>
          <w:szCs w:val="24"/>
        </w:rPr>
        <w:t xml:space="preserve"> </w:t>
      </w:r>
      <w:r w:rsidR="00F95761" w:rsidRPr="00F95761">
        <w:rPr>
          <w:rFonts w:ascii="Arial" w:hAnsi="Arial" w:cs="Arial"/>
          <w:color w:val="000000"/>
          <w:sz w:val="24"/>
          <w:szCs w:val="24"/>
        </w:rPr>
        <w:t>de derechos humanos.</w:t>
      </w:r>
    </w:p>
    <w:p w14:paraId="332EA5F6" w14:textId="1FA18CEF" w:rsidR="00FB6FF8" w:rsidRDefault="00FB6FF8" w:rsidP="00F95761">
      <w:pPr>
        <w:spacing w:after="0"/>
        <w:ind w:left="-567"/>
        <w:jc w:val="both"/>
        <w:rPr>
          <w:rFonts w:ascii="Arial" w:hAnsi="Arial" w:cs="Arial"/>
          <w:color w:val="000000"/>
          <w:sz w:val="24"/>
          <w:szCs w:val="24"/>
        </w:rPr>
      </w:pPr>
    </w:p>
    <w:p w14:paraId="15EDC7EA" w14:textId="16654E72" w:rsidR="00B33631" w:rsidRPr="00B33631" w:rsidRDefault="00196B29" w:rsidP="00B33631">
      <w:pPr>
        <w:spacing w:after="0"/>
        <w:ind w:left="-567"/>
        <w:jc w:val="center"/>
        <w:rPr>
          <w:rFonts w:ascii="Arial" w:hAnsi="Arial" w:cs="Arial"/>
          <w:b/>
          <w:bCs/>
          <w:i/>
          <w:iCs/>
          <w:color w:val="87AD8A"/>
          <w:sz w:val="18"/>
          <w:szCs w:val="24"/>
        </w:rPr>
      </w:pPr>
      <w:r w:rsidRPr="00AE7928">
        <w:rPr>
          <w:rFonts w:ascii="Arial" w:hAnsi="Arial" w:cs="Arial"/>
          <w:b/>
          <w:bCs/>
          <w:i/>
          <w:iCs/>
          <w:color w:val="87AD8A"/>
          <w:sz w:val="18"/>
          <w:szCs w:val="24"/>
        </w:rPr>
        <w:t xml:space="preserve">Gráfica </w:t>
      </w:r>
      <w:r w:rsidR="00B33631">
        <w:rPr>
          <w:rFonts w:ascii="Arial" w:hAnsi="Arial" w:cs="Arial"/>
          <w:b/>
          <w:bCs/>
          <w:i/>
          <w:iCs/>
          <w:color w:val="87AD8A"/>
          <w:sz w:val="18"/>
          <w:szCs w:val="24"/>
        </w:rPr>
        <w:t>8</w:t>
      </w:r>
      <w:r w:rsidRPr="00AE7928">
        <w:rPr>
          <w:rFonts w:ascii="Arial" w:hAnsi="Arial" w:cs="Arial"/>
          <w:b/>
          <w:bCs/>
          <w:i/>
          <w:iCs/>
          <w:color w:val="87AD8A"/>
          <w:sz w:val="18"/>
          <w:szCs w:val="24"/>
        </w:rPr>
        <w:t xml:space="preserve">. </w:t>
      </w:r>
      <w:r w:rsidR="00B33631" w:rsidRPr="00B33631">
        <w:rPr>
          <w:rFonts w:ascii="Arial" w:hAnsi="Arial" w:cs="Arial"/>
          <w:b/>
          <w:bCs/>
          <w:i/>
          <w:iCs/>
          <w:color w:val="87AD8A"/>
          <w:sz w:val="18"/>
          <w:szCs w:val="24"/>
        </w:rPr>
        <w:t>Presupuesto ejercido por la CNDH y OPDH, 2016 a 20</w:t>
      </w:r>
      <w:r w:rsidR="00C2266D">
        <w:rPr>
          <w:rFonts w:ascii="Arial" w:hAnsi="Arial" w:cs="Arial"/>
          <w:b/>
          <w:bCs/>
          <w:i/>
          <w:iCs/>
          <w:color w:val="87AD8A"/>
          <w:sz w:val="18"/>
          <w:szCs w:val="24"/>
        </w:rPr>
        <w:t>20</w:t>
      </w:r>
    </w:p>
    <w:p w14:paraId="617894AD" w14:textId="6473C03F" w:rsidR="00196B29" w:rsidRPr="00DC0F4F" w:rsidRDefault="00C30086" w:rsidP="00FF2CDF">
      <w:pPr>
        <w:spacing w:after="0"/>
        <w:ind w:left="-567"/>
        <w:jc w:val="center"/>
        <w:rPr>
          <w:rFonts w:ascii="Arial" w:hAnsi="Arial" w:cs="Arial"/>
          <w:color w:val="000000"/>
          <w:sz w:val="16"/>
          <w:szCs w:val="24"/>
        </w:rPr>
      </w:pPr>
      <w:r>
        <w:rPr>
          <w:rFonts w:ascii="Arial" w:hAnsi="Arial" w:cs="Arial"/>
          <w:b/>
          <w:bCs/>
          <w:i/>
          <w:iCs/>
          <w:color w:val="87AD8A"/>
          <w:sz w:val="18"/>
          <w:szCs w:val="24"/>
        </w:rPr>
        <w:t>(</w:t>
      </w:r>
      <w:r w:rsidR="00B33631" w:rsidRPr="00B33631">
        <w:rPr>
          <w:rFonts w:ascii="Arial" w:hAnsi="Arial" w:cs="Arial"/>
          <w:b/>
          <w:bCs/>
          <w:i/>
          <w:iCs/>
          <w:color w:val="87AD8A"/>
          <w:sz w:val="18"/>
          <w:szCs w:val="24"/>
        </w:rPr>
        <w:t>Millones de pesos</w:t>
      </w:r>
      <w:r>
        <w:rPr>
          <w:rFonts w:ascii="Arial" w:hAnsi="Arial" w:cs="Arial"/>
          <w:b/>
          <w:bCs/>
          <w:i/>
          <w:iCs/>
          <w:color w:val="87AD8A"/>
          <w:sz w:val="18"/>
          <w:szCs w:val="24"/>
        </w:rPr>
        <w:t>)</w:t>
      </w:r>
      <w:r w:rsidR="00196B29" w:rsidRPr="00196B29">
        <w:rPr>
          <w:rFonts w:ascii="Arial" w:hAnsi="Arial" w:cs="Arial"/>
          <w:noProof/>
          <w:color w:val="000000"/>
          <w:sz w:val="16"/>
          <w:szCs w:val="24"/>
        </w:rPr>
        <w:drawing>
          <wp:inline distT="0" distB="0" distL="0" distR="0" wp14:anchorId="6A14D3DD" wp14:editId="49744956">
            <wp:extent cx="6074797" cy="1812290"/>
            <wp:effectExtent l="0" t="0" r="2540" b="0"/>
            <wp:docPr id="6" name="Gráfico 6">
              <a:extLst xmlns:a="http://schemas.openxmlformats.org/drawingml/2006/main">
                <a:ext uri="{FF2B5EF4-FFF2-40B4-BE49-F238E27FC236}">
                  <a16:creationId xmlns:a16="http://schemas.microsoft.com/office/drawing/2014/main" id="{F10E9AD3-2A12-40F3-B218-CB9E206F2B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7E94E45" w14:textId="0C6C6E42" w:rsidR="00AE7928" w:rsidRDefault="00AE7928" w:rsidP="00AE7928">
      <w:pPr>
        <w:spacing w:after="0"/>
        <w:ind w:left="-567"/>
        <w:jc w:val="center"/>
        <w:rPr>
          <w:rFonts w:ascii="Arial" w:hAnsi="Arial" w:cs="Arial"/>
          <w:b/>
          <w:bCs/>
          <w:iCs/>
          <w:noProof/>
          <w:sz w:val="24"/>
          <w:szCs w:val="24"/>
          <w:lang w:eastAsia="es-MX"/>
        </w:rPr>
      </w:pPr>
    </w:p>
    <w:p w14:paraId="585B09D2" w14:textId="1F2EE201" w:rsidR="00B33631" w:rsidRDefault="0076666E" w:rsidP="00B33631">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Los OPDH de la</w:t>
      </w:r>
      <w:r w:rsidR="00B33631">
        <w:rPr>
          <w:rFonts w:ascii="Arial" w:hAnsi="Arial" w:cs="Arial"/>
          <w:color w:val="000000"/>
          <w:sz w:val="24"/>
          <w:szCs w:val="24"/>
        </w:rPr>
        <w:t xml:space="preserve"> </w:t>
      </w:r>
      <w:r w:rsidR="009C36FB">
        <w:rPr>
          <w:rFonts w:ascii="Arial" w:hAnsi="Arial" w:cs="Arial"/>
          <w:color w:val="000000"/>
          <w:sz w:val="24"/>
          <w:szCs w:val="24"/>
        </w:rPr>
        <w:t>Ciudad de México</w:t>
      </w:r>
      <w:r w:rsidR="00B33631">
        <w:rPr>
          <w:rFonts w:ascii="Arial" w:hAnsi="Arial" w:cs="Arial"/>
          <w:color w:val="000000"/>
          <w:sz w:val="24"/>
          <w:szCs w:val="24"/>
        </w:rPr>
        <w:t xml:space="preserve">, </w:t>
      </w:r>
      <w:r w:rsidR="009C36FB">
        <w:rPr>
          <w:rFonts w:ascii="Arial" w:hAnsi="Arial" w:cs="Arial"/>
          <w:color w:val="000000"/>
          <w:sz w:val="24"/>
          <w:szCs w:val="24"/>
        </w:rPr>
        <w:t>estado de México</w:t>
      </w:r>
      <w:r w:rsidR="00B33631">
        <w:rPr>
          <w:rFonts w:ascii="Arial" w:hAnsi="Arial" w:cs="Arial"/>
          <w:color w:val="000000"/>
          <w:sz w:val="24"/>
          <w:szCs w:val="24"/>
        </w:rPr>
        <w:t xml:space="preserve"> y </w:t>
      </w:r>
      <w:r w:rsidR="009C36FB">
        <w:rPr>
          <w:rFonts w:ascii="Arial" w:hAnsi="Arial" w:cs="Arial"/>
          <w:color w:val="000000"/>
          <w:sz w:val="24"/>
          <w:szCs w:val="24"/>
        </w:rPr>
        <w:t>Jalisco</w:t>
      </w:r>
      <w:r w:rsidR="00B33631">
        <w:rPr>
          <w:rFonts w:ascii="Arial" w:hAnsi="Arial" w:cs="Arial"/>
          <w:color w:val="000000"/>
          <w:sz w:val="24"/>
          <w:szCs w:val="24"/>
        </w:rPr>
        <w:t xml:space="preserve"> concentraron </w:t>
      </w:r>
      <w:r w:rsidR="00ED5586">
        <w:rPr>
          <w:rFonts w:ascii="Arial" w:hAnsi="Arial" w:cs="Arial"/>
          <w:color w:val="000000"/>
          <w:sz w:val="24"/>
          <w:szCs w:val="24"/>
        </w:rPr>
        <w:t>24.0</w:t>
      </w:r>
      <w:r w:rsidR="00B33631">
        <w:rPr>
          <w:rFonts w:ascii="Arial" w:hAnsi="Arial" w:cs="Arial"/>
          <w:color w:val="000000"/>
          <w:sz w:val="24"/>
          <w:szCs w:val="24"/>
        </w:rPr>
        <w:t xml:space="preserve">% del total del presupuesto ejercido. </w:t>
      </w:r>
    </w:p>
    <w:p w14:paraId="6866BB1F" w14:textId="77777777" w:rsidR="009C36FB" w:rsidRDefault="009C36FB" w:rsidP="00B33631">
      <w:pPr>
        <w:autoSpaceDE w:val="0"/>
        <w:autoSpaceDN w:val="0"/>
        <w:adjustRightInd w:val="0"/>
        <w:spacing w:after="0" w:line="240" w:lineRule="auto"/>
        <w:ind w:left="-567"/>
        <w:jc w:val="both"/>
        <w:rPr>
          <w:rFonts w:ascii="Arial" w:hAnsi="Arial" w:cs="Arial"/>
          <w:color w:val="000000"/>
          <w:sz w:val="24"/>
          <w:szCs w:val="24"/>
        </w:rPr>
      </w:pPr>
    </w:p>
    <w:p w14:paraId="0D352E95" w14:textId="32B726A2" w:rsidR="009C36FB" w:rsidRPr="00B33631" w:rsidRDefault="009C36FB" w:rsidP="009C36FB">
      <w:pPr>
        <w:spacing w:after="0"/>
        <w:ind w:left="-567"/>
        <w:jc w:val="center"/>
        <w:rPr>
          <w:rFonts w:ascii="Arial" w:hAnsi="Arial" w:cs="Arial"/>
          <w:b/>
          <w:bCs/>
          <w:i/>
          <w:iCs/>
          <w:color w:val="87AD8A"/>
          <w:sz w:val="18"/>
          <w:szCs w:val="24"/>
        </w:rPr>
      </w:pPr>
      <w:r w:rsidRPr="00AE7928">
        <w:rPr>
          <w:rFonts w:ascii="Arial" w:hAnsi="Arial" w:cs="Arial"/>
          <w:b/>
          <w:bCs/>
          <w:i/>
          <w:iCs/>
          <w:color w:val="87AD8A"/>
          <w:sz w:val="18"/>
          <w:szCs w:val="24"/>
        </w:rPr>
        <w:t xml:space="preserve">Gráfica </w:t>
      </w:r>
      <w:r>
        <w:rPr>
          <w:rFonts w:ascii="Arial" w:hAnsi="Arial" w:cs="Arial"/>
          <w:b/>
          <w:bCs/>
          <w:i/>
          <w:iCs/>
          <w:color w:val="87AD8A"/>
          <w:sz w:val="18"/>
          <w:szCs w:val="24"/>
        </w:rPr>
        <w:t>9</w:t>
      </w:r>
      <w:r w:rsidRPr="00AE7928">
        <w:rPr>
          <w:rFonts w:ascii="Arial" w:hAnsi="Arial" w:cs="Arial"/>
          <w:b/>
          <w:bCs/>
          <w:i/>
          <w:iCs/>
          <w:color w:val="87AD8A"/>
          <w:sz w:val="18"/>
          <w:szCs w:val="24"/>
        </w:rPr>
        <w:t xml:space="preserve">. </w:t>
      </w:r>
      <w:r w:rsidRPr="00B33631">
        <w:rPr>
          <w:rFonts w:ascii="Arial" w:hAnsi="Arial" w:cs="Arial"/>
          <w:b/>
          <w:bCs/>
          <w:i/>
          <w:iCs/>
          <w:color w:val="87AD8A"/>
          <w:sz w:val="18"/>
          <w:szCs w:val="24"/>
        </w:rPr>
        <w:t xml:space="preserve">Presupuesto ejercido por la CNDH y OPDH, </w:t>
      </w:r>
      <w:r>
        <w:rPr>
          <w:rFonts w:ascii="Arial" w:hAnsi="Arial" w:cs="Arial"/>
          <w:b/>
          <w:bCs/>
          <w:i/>
          <w:iCs/>
          <w:color w:val="87AD8A"/>
          <w:sz w:val="18"/>
          <w:szCs w:val="24"/>
        </w:rPr>
        <w:t>según entidad federativa, 2020</w:t>
      </w:r>
      <w:r w:rsidRPr="00B33631">
        <w:rPr>
          <w:rFonts w:ascii="Arial" w:hAnsi="Arial" w:cs="Arial"/>
          <w:b/>
          <w:bCs/>
          <w:i/>
          <w:iCs/>
          <w:color w:val="87AD8A"/>
          <w:sz w:val="18"/>
          <w:szCs w:val="24"/>
        </w:rPr>
        <w:t>.</w:t>
      </w:r>
    </w:p>
    <w:p w14:paraId="7A6A3C3C" w14:textId="734C7CF0" w:rsidR="009C36FB" w:rsidRPr="00FD2D78" w:rsidRDefault="00C30086" w:rsidP="009C36FB">
      <w:pPr>
        <w:spacing w:after="0"/>
        <w:ind w:left="-567"/>
        <w:jc w:val="center"/>
        <w:rPr>
          <w:rFonts w:ascii="Arial" w:hAnsi="Arial" w:cs="Arial"/>
          <w:color w:val="000000"/>
          <w:sz w:val="24"/>
          <w:szCs w:val="24"/>
        </w:rPr>
      </w:pPr>
      <w:r>
        <w:rPr>
          <w:rFonts w:ascii="Arial" w:hAnsi="Arial" w:cs="Arial"/>
          <w:b/>
          <w:bCs/>
          <w:i/>
          <w:iCs/>
          <w:color w:val="87AD8A"/>
          <w:sz w:val="18"/>
          <w:szCs w:val="24"/>
        </w:rPr>
        <w:t>(</w:t>
      </w:r>
      <w:r w:rsidR="009C36FB" w:rsidRPr="00B33631">
        <w:rPr>
          <w:rFonts w:ascii="Arial" w:hAnsi="Arial" w:cs="Arial"/>
          <w:b/>
          <w:bCs/>
          <w:i/>
          <w:iCs/>
          <w:color w:val="87AD8A"/>
          <w:sz w:val="18"/>
          <w:szCs w:val="24"/>
        </w:rPr>
        <w:t>Millones de pesos</w:t>
      </w:r>
      <w:r>
        <w:rPr>
          <w:rFonts w:ascii="Arial" w:hAnsi="Arial" w:cs="Arial"/>
          <w:b/>
          <w:bCs/>
          <w:i/>
          <w:iCs/>
          <w:color w:val="87AD8A"/>
          <w:sz w:val="18"/>
          <w:szCs w:val="24"/>
        </w:rPr>
        <w:t>)</w:t>
      </w:r>
    </w:p>
    <w:p w14:paraId="36CE8E81" w14:textId="65F208E2" w:rsidR="00AE7928" w:rsidRDefault="009C36FB" w:rsidP="00AE7928">
      <w:pPr>
        <w:spacing w:after="0"/>
        <w:ind w:left="-567"/>
        <w:jc w:val="center"/>
        <w:rPr>
          <w:rFonts w:ascii="Arial" w:hAnsi="Arial" w:cs="Arial"/>
          <w:b/>
          <w:bCs/>
          <w:iCs/>
          <w:noProof/>
          <w:sz w:val="24"/>
          <w:szCs w:val="24"/>
          <w:lang w:eastAsia="es-MX"/>
        </w:rPr>
      </w:pPr>
      <w:r w:rsidRPr="009C36FB">
        <w:rPr>
          <w:rFonts w:ascii="Arial" w:hAnsi="Arial" w:cs="Arial"/>
          <w:b/>
          <w:bCs/>
          <w:iCs/>
          <w:noProof/>
          <w:sz w:val="24"/>
          <w:szCs w:val="24"/>
          <w:lang w:eastAsia="es-MX"/>
        </w:rPr>
        <w:drawing>
          <wp:inline distT="0" distB="0" distL="0" distR="0" wp14:anchorId="114BB1ED" wp14:editId="7CB72F5C">
            <wp:extent cx="6415873" cy="2130251"/>
            <wp:effectExtent l="0" t="0" r="4445" b="3810"/>
            <wp:docPr id="7" name="Gráfico 7">
              <a:extLst xmlns:a="http://schemas.openxmlformats.org/drawingml/2006/main">
                <a:ext uri="{FF2B5EF4-FFF2-40B4-BE49-F238E27FC236}">
                  <a16:creationId xmlns:a16="http://schemas.microsoft.com/office/drawing/2014/main" id="{555EEBC9-ADD2-4EC6-BF1E-9D0218C729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59F256E" w14:textId="77777777" w:rsidR="00BF1BC1" w:rsidRDefault="00BF1BC1" w:rsidP="00D31D69">
      <w:pPr>
        <w:autoSpaceDE w:val="0"/>
        <w:autoSpaceDN w:val="0"/>
        <w:adjustRightInd w:val="0"/>
        <w:spacing w:after="0" w:line="240" w:lineRule="auto"/>
        <w:ind w:left="-567"/>
        <w:jc w:val="both"/>
        <w:rPr>
          <w:rFonts w:ascii="Arial" w:hAnsi="Arial" w:cs="Arial"/>
          <w:color w:val="000000"/>
          <w:sz w:val="24"/>
          <w:szCs w:val="24"/>
        </w:rPr>
      </w:pPr>
    </w:p>
    <w:p w14:paraId="4B17E2AC" w14:textId="77777777" w:rsidR="0063747B" w:rsidRDefault="0063747B" w:rsidP="001F2C8E">
      <w:pPr>
        <w:spacing w:after="0"/>
        <w:ind w:left="-567"/>
        <w:jc w:val="both"/>
        <w:rPr>
          <w:rFonts w:ascii="Arial" w:hAnsi="Arial" w:cs="Arial"/>
          <w:color w:val="000000"/>
          <w:sz w:val="24"/>
          <w:szCs w:val="24"/>
        </w:rPr>
      </w:pPr>
    </w:p>
    <w:p w14:paraId="5DF44EE2" w14:textId="2F58039C" w:rsidR="00D672FE" w:rsidRPr="00D672FE" w:rsidRDefault="00D672FE" w:rsidP="00D672FE">
      <w:pPr>
        <w:autoSpaceDE w:val="0"/>
        <w:autoSpaceDN w:val="0"/>
        <w:adjustRightInd w:val="0"/>
        <w:spacing w:after="0" w:line="240" w:lineRule="auto"/>
        <w:ind w:left="-567"/>
        <w:jc w:val="both"/>
        <w:rPr>
          <w:rFonts w:ascii="Arial" w:hAnsi="Arial" w:cs="Arial"/>
          <w:color w:val="000000"/>
          <w:sz w:val="24"/>
          <w:szCs w:val="24"/>
        </w:rPr>
      </w:pPr>
      <w:bookmarkStart w:id="6" w:name="_Hlk89279123"/>
      <w:r w:rsidRPr="00D672FE">
        <w:rPr>
          <w:rFonts w:ascii="Arial" w:hAnsi="Arial" w:cs="Arial"/>
          <w:color w:val="000000"/>
          <w:sz w:val="24"/>
          <w:szCs w:val="24"/>
        </w:rPr>
        <w:t>Por lo que respecta a las visitadurías con las que contaban la CNDH y los OPDH, al cierre de</w:t>
      </w:r>
    </w:p>
    <w:p w14:paraId="6A940727" w14:textId="530B9245" w:rsidR="00B14366" w:rsidRDefault="00D672FE" w:rsidP="00D672FE">
      <w:pPr>
        <w:autoSpaceDE w:val="0"/>
        <w:autoSpaceDN w:val="0"/>
        <w:adjustRightInd w:val="0"/>
        <w:spacing w:after="0" w:line="240" w:lineRule="auto"/>
        <w:ind w:left="-567"/>
        <w:jc w:val="both"/>
        <w:rPr>
          <w:rFonts w:ascii="Arial" w:hAnsi="Arial" w:cs="Arial"/>
          <w:color w:val="000000"/>
          <w:sz w:val="24"/>
          <w:szCs w:val="24"/>
        </w:rPr>
      </w:pPr>
      <w:r w:rsidRPr="00D672FE">
        <w:rPr>
          <w:rFonts w:ascii="Arial" w:hAnsi="Arial" w:cs="Arial"/>
          <w:color w:val="000000"/>
          <w:sz w:val="24"/>
          <w:szCs w:val="24"/>
        </w:rPr>
        <w:t>20</w:t>
      </w:r>
      <w:r w:rsidR="00B14366">
        <w:rPr>
          <w:rFonts w:ascii="Arial" w:hAnsi="Arial" w:cs="Arial"/>
          <w:color w:val="000000"/>
          <w:sz w:val="24"/>
          <w:szCs w:val="24"/>
        </w:rPr>
        <w:t>20</w:t>
      </w:r>
      <w:r w:rsidRPr="00D672FE">
        <w:rPr>
          <w:rFonts w:ascii="Arial" w:hAnsi="Arial" w:cs="Arial"/>
          <w:color w:val="000000"/>
          <w:sz w:val="24"/>
          <w:szCs w:val="24"/>
        </w:rPr>
        <w:t xml:space="preserve"> se registraron en total 2</w:t>
      </w:r>
      <w:r w:rsidR="00B14366">
        <w:rPr>
          <w:rFonts w:ascii="Arial" w:hAnsi="Arial" w:cs="Arial"/>
          <w:color w:val="000000"/>
          <w:sz w:val="24"/>
          <w:szCs w:val="24"/>
        </w:rPr>
        <w:t>73</w:t>
      </w:r>
      <w:r w:rsidRPr="00D672FE">
        <w:rPr>
          <w:rFonts w:ascii="Arial" w:hAnsi="Arial" w:cs="Arial"/>
          <w:color w:val="000000"/>
          <w:sz w:val="24"/>
          <w:szCs w:val="24"/>
        </w:rPr>
        <w:t>, seis</w:t>
      </w:r>
      <w:r w:rsidR="00732141">
        <w:rPr>
          <w:rStyle w:val="Refdenotaalpie"/>
          <w:rFonts w:ascii="Arial" w:hAnsi="Arial" w:cs="Arial"/>
          <w:color w:val="000000"/>
          <w:sz w:val="24"/>
          <w:szCs w:val="24"/>
        </w:rPr>
        <w:footnoteReference w:id="8"/>
      </w:r>
      <w:r w:rsidR="00B14366">
        <w:rPr>
          <w:rFonts w:ascii="Arial" w:hAnsi="Arial" w:cs="Arial"/>
          <w:color w:val="000000"/>
          <w:sz w:val="24"/>
          <w:szCs w:val="24"/>
        </w:rPr>
        <w:t xml:space="preserve"> </w:t>
      </w:r>
      <w:r w:rsidRPr="00D672FE">
        <w:rPr>
          <w:rFonts w:ascii="Arial" w:hAnsi="Arial" w:cs="Arial"/>
          <w:color w:val="000000"/>
          <w:sz w:val="24"/>
          <w:szCs w:val="24"/>
        </w:rPr>
        <w:t>y 2</w:t>
      </w:r>
      <w:r w:rsidR="00B14366">
        <w:rPr>
          <w:rFonts w:ascii="Arial" w:hAnsi="Arial" w:cs="Arial"/>
          <w:color w:val="000000"/>
          <w:sz w:val="24"/>
          <w:szCs w:val="24"/>
        </w:rPr>
        <w:t>67</w:t>
      </w:r>
      <w:r w:rsidRPr="00D672FE">
        <w:rPr>
          <w:rFonts w:ascii="Arial" w:hAnsi="Arial" w:cs="Arial"/>
          <w:color w:val="000000"/>
          <w:sz w:val="24"/>
          <w:szCs w:val="24"/>
        </w:rPr>
        <w:t xml:space="preserve">, respectivamente. Del total nacional, </w:t>
      </w:r>
      <w:r w:rsidR="00B14366">
        <w:rPr>
          <w:rFonts w:ascii="Arial" w:hAnsi="Arial" w:cs="Arial"/>
          <w:color w:val="000000"/>
          <w:sz w:val="24"/>
          <w:szCs w:val="24"/>
        </w:rPr>
        <w:t>38.8%</w:t>
      </w:r>
      <w:r w:rsidRPr="00D672FE">
        <w:rPr>
          <w:rFonts w:ascii="Arial" w:hAnsi="Arial" w:cs="Arial"/>
          <w:color w:val="000000"/>
          <w:sz w:val="24"/>
          <w:szCs w:val="24"/>
        </w:rPr>
        <w:t xml:space="preserve"> fue visitadurías </w:t>
      </w:r>
      <w:r w:rsidR="00B14366">
        <w:rPr>
          <w:rFonts w:ascii="Arial" w:hAnsi="Arial" w:cs="Arial"/>
          <w:color w:val="000000"/>
          <w:sz w:val="24"/>
          <w:szCs w:val="24"/>
        </w:rPr>
        <w:t>generales o subprocuradurías</w:t>
      </w:r>
      <w:bookmarkEnd w:id="6"/>
      <w:r w:rsidRPr="00D672FE">
        <w:rPr>
          <w:rFonts w:ascii="Arial" w:hAnsi="Arial" w:cs="Arial"/>
          <w:color w:val="000000"/>
          <w:sz w:val="24"/>
          <w:szCs w:val="24"/>
        </w:rPr>
        <w:t xml:space="preserve">. </w:t>
      </w:r>
    </w:p>
    <w:p w14:paraId="0361E1DD" w14:textId="77777777" w:rsidR="0063747B" w:rsidRDefault="0063747B" w:rsidP="00D672FE">
      <w:pPr>
        <w:autoSpaceDE w:val="0"/>
        <w:autoSpaceDN w:val="0"/>
        <w:adjustRightInd w:val="0"/>
        <w:spacing w:after="0" w:line="240" w:lineRule="auto"/>
        <w:ind w:left="-567"/>
        <w:jc w:val="both"/>
        <w:rPr>
          <w:rFonts w:ascii="Arial" w:hAnsi="Arial" w:cs="Arial"/>
          <w:color w:val="000000"/>
          <w:sz w:val="24"/>
          <w:szCs w:val="24"/>
        </w:rPr>
      </w:pPr>
    </w:p>
    <w:p w14:paraId="3833C03B" w14:textId="77777777" w:rsidR="002A0A48" w:rsidRDefault="002A0A48" w:rsidP="00D672FE">
      <w:pPr>
        <w:autoSpaceDE w:val="0"/>
        <w:autoSpaceDN w:val="0"/>
        <w:adjustRightInd w:val="0"/>
        <w:spacing w:after="0" w:line="240" w:lineRule="auto"/>
        <w:ind w:left="-567"/>
        <w:jc w:val="both"/>
        <w:rPr>
          <w:rFonts w:ascii="Arial" w:hAnsi="Arial" w:cs="Arial"/>
          <w:color w:val="000000"/>
          <w:sz w:val="24"/>
          <w:szCs w:val="24"/>
        </w:rPr>
      </w:pPr>
    </w:p>
    <w:p w14:paraId="648CA901" w14:textId="33635486" w:rsidR="002A0A48" w:rsidRDefault="002A0A48" w:rsidP="002A0A48">
      <w:pPr>
        <w:spacing w:after="0"/>
        <w:ind w:left="-567"/>
        <w:jc w:val="center"/>
        <w:rPr>
          <w:rFonts w:ascii="Arial" w:hAnsi="Arial" w:cs="Arial"/>
          <w:b/>
          <w:bCs/>
          <w:i/>
          <w:iCs/>
          <w:color w:val="87AD8A"/>
          <w:sz w:val="18"/>
          <w:szCs w:val="24"/>
        </w:rPr>
      </w:pPr>
      <w:r w:rsidRPr="00AE7928">
        <w:rPr>
          <w:rFonts w:ascii="Arial" w:hAnsi="Arial" w:cs="Arial"/>
          <w:b/>
          <w:bCs/>
          <w:i/>
          <w:iCs/>
          <w:color w:val="87AD8A"/>
          <w:sz w:val="18"/>
          <w:szCs w:val="24"/>
        </w:rPr>
        <w:t xml:space="preserve">Gráfica </w:t>
      </w:r>
      <w:r>
        <w:rPr>
          <w:rFonts w:ascii="Arial" w:hAnsi="Arial" w:cs="Arial"/>
          <w:b/>
          <w:bCs/>
          <w:i/>
          <w:iCs/>
          <w:color w:val="87AD8A"/>
          <w:sz w:val="18"/>
          <w:szCs w:val="24"/>
        </w:rPr>
        <w:t>1</w:t>
      </w:r>
      <w:r w:rsidR="00F050CA">
        <w:rPr>
          <w:rFonts w:ascii="Arial" w:hAnsi="Arial" w:cs="Arial"/>
          <w:b/>
          <w:bCs/>
          <w:i/>
          <w:iCs/>
          <w:color w:val="87AD8A"/>
          <w:sz w:val="18"/>
          <w:szCs w:val="24"/>
        </w:rPr>
        <w:t>0</w:t>
      </w:r>
      <w:r w:rsidRPr="00AE7928">
        <w:rPr>
          <w:rFonts w:ascii="Arial" w:hAnsi="Arial" w:cs="Arial"/>
          <w:b/>
          <w:bCs/>
          <w:i/>
          <w:iCs/>
          <w:color w:val="87AD8A"/>
          <w:sz w:val="18"/>
          <w:szCs w:val="24"/>
        </w:rPr>
        <w:t xml:space="preserve">. </w:t>
      </w:r>
      <w:r w:rsidR="00BD287D">
        <w:rPr>
          <w:rFonts w:ascii="Arial" w:hAnsi="Arial" w:cs="Arial"/>
          <w:b/>
          <w:bCs/>
          <w:i/>
          <w:iCs/>
          <w:color w:val="87AD8A"/>
          <w:sz w:val="18"/>
          <w:szCs w:val="24"/>
        </w:rPr>
        <w:t>V</w:t>
      </w:r>
      <w:r w:rsidRPr="002A0A48">
        <w:rPr>
          <w:rFonts w:ascii="Arial" w:hAnsi="Arial" w:cs="Arial"/>
          <w:b/>
          <w:bCs/>
          <w:i/>
          <w:iCs/>
          <w:color w:val="87AD8A"/>
          <w:sz w:val="18"/>
          <w:szCs w:val="24"/>
        </w:rPr>
        <w:t>isitadurías de la CNDH y OPDH, por tipo, 20</w:t>
      </w:r>
      <w:r>
        <w:rPr>
          <w:rFonts w:ascii="Arial" w:hAnsi="Arial" w:cs="Arial"/>
          <w:b/>
          <w:bCs/>
          <w:i/>
          <w:iCs/>
          <w:color w:val="87AD8A"/>
          <w:sz w:val="18"/>
          <w:szCs w:val="24"/>
        </w:rPr>
        <w:t>20</w:t>
      </w:r>
    </w:p>
    <w:p w14:paraId="0FE016A1" w14:textId="77777777" w:rsidR="0063747B" w:rsidRDefault="0063747B" w:rsidP="002A0A48">
      <w:pPr>
        <w:spacing w:after="0"/>
        <w:ind w:left="-567"/>
        <w:jc w:val="center"/>
        <w:rPr>
          <w:rFonts w:ascii="Arial" w:hAnsi="Arial" w:cs="Arial"/>
          <w:b/>
          <w:bCs/>
          <w:i/>
          <w:iCs/>
          <w:color w:val="87AD8A"/>
          <w:sz w:val="18"/>
          <w:szCs w:val="24"/>
        </w:rPr>
      </w:pPr>
    </w:p>
    <w:p w14:paraId="24CC6AD1" w14:textId="77777777" w:rsidR="007A631E" w:rsidRDefault="007A631E" w:rsidP="002A0A48">
      <w:pPr>
        <w:spacing w:after="0"/>
        <w:ind w:left="-567"/>
        <w:jc w:val="center"/>
        <w:rPr>
          <w:rFonts w:ascii="Arial" w:hAnsi="Arial" w:cs="Arial"/>
          <w:color w:val="000000"/>
          <w:sz w:val="24"/>
          <w:szCs w:val="24"/>
        </w:rPr>
      </w:pPr>
    </w:p>
    <w:p w14:paraId="79CD561F" w14:textId="5000AC5D" w:rsidR="002A0A48" w:rsidRDefault="002A0A48" w:rsidP="00D672FE">
      <w:pPr>
        <w:autoSpaceDE w:val="0"/>
        <w:autoSpaceDN w:val="0"/>
        <w:adjustRightInd w:val="0"/>
        <w:spacing w:after="0" w:line="240" w:lineRule="auto"/>
        <w:ind w:left="-567"/>
        <w:jc w:val="both"/>
        <w:rPr>
          <w:rFonts w:ascii="Arial" w:hAnsi="Arial" w:cs="Arial"/>
          <w:color w:val="000000"/>
          <w:sz w:val="24"/>
          <w:szCs w:val="24"/>
        </w:rPr>
      </w:pPr>
      <w:r w:rsidRPr="002A0A48">
        <w:rPr>
          <w:rFonts w:ascii="Arial" w:hAnsi="Arial" w:cs="Arial"/>
          <w:noProof/>
          <w:color w:val="000000"/>
          <w:sz w:val="24"/>
          <w:szCs w:val="24"/>
        </w:rPr>
        <w:drawing>
          <wp:inline distT="0" distB="0" distL="0" distR="0" wp14:anchorId="44E143C0" wp14:editId="0CFD793A">
            <wp:extent cx="6089015" cy="1426866"/>
            <wp:effectExtent l="0" t="0" r="6985" b="1905"/>
            <wp:docPr id="10" name="Gráfico 10">
              <a:extLst xmlns:a="http://schemas.openxmlformats.org/drawingml/2006/main">
                <a:ext uri="{FF2B5EF4-FFF2-40B4-BE49-F238E27FC236}">
                  <a16:creationId xmlns:a16="http://schemas.microsoft.com/office/drawing/2014/main" id="{15AC8FA8-40BA-4C08-A5A7-930B4717A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5467155" w14:textId="77777777" w:rsidR="0063747B" w:rsidRDefault="0063747B" w:rsidP="00D672FE">
      <w:pPr>
        <w:autoSpaceDE w:val="0"/>
        <w:autoSpaceDN w:val="0"/>
        <w:adjustRightInd w:val="0"/>
        <w:spacing w:after="0" w:line="240" w:lineRule="auto"/>
        <w:ind w:left="-567"/>
        <w:jc w:val="both"/>
        <w:rPr>
          <w:rFonts w:ascii="Arial" w:hAnsi="Arial" w:cs="Arial"/>
          <w:color w:val="000000"/>
          <w:sz w:val="24"/>
          <w:szCs w:val="24"/>
        </w:rPr>
      </w:pPr>
    </w:p>
    <w:p w14:paraId="69332E9E" w14:textId="77777777" w:rsidR="0076666E" w:rsidRDefault="0076666E" w:rsidP="00D672FE">
      <w:pPr>
        <w:autoSpaceDE w:val="0"/>
        <w:autoSpaceDN w:val="0"/>
        <w:adjustRightInd w:val="0"/>
        <w:spacing w:after="0" w:line="240" w:lineRule="auto"/>
        <w:ind w:left="-567"/>
        <w:jc w:val="both"/>
        <w:rPr>
          <w:rFonts w:ascii="Arial" w:hAnsi="Arial" w:cs="Arial"/>
          <w:color w:val="000000"/>
          <w:sz w:val="24"/>
          <w:szCs w:val="24"/>
        </w:rPr>
      </w:pPr>
    </w:p>
    <w:p w14:paraId="1A4D3F05" w14:textId="77777777" w:rsidR="0076666E" w:rsidRDefault="0076666E" w:rsidP="00D672FE">
      <w:pPr>
        <w:autoSpaceDE w:val="0"/>
        <w:autoSpaceDN w:val="0"/>
        <w:adjustRightInd w:val="0"/>
        <w:spacing w:after="0" w:line="240" w:lineRule="auto"/>
        <w:ind w:left="-567"/>
        <w:jc w:val="both"/>
        <w:rPr>
          <w:rFonts w:ascii="Arial" w:hAnsi="Arial" w:cs="Arial"/>
          <w:color w:val="000000"/>
          <w:sz w:val="24"/>
          <w:szCs w:val="24"/>
        </w:rPr>
      </w:pPr>
    </w:p>
    <w:p w14:paraId="207227AD" w14:textId="77777777" w:rsidR="0076666E" w:rsidRDefault="0076666E" w:rsidP="00D672FE">
      <w:pPr>
        <w:autoSpaceDE w:val="0"/>
        <w:autoSpaceDN w:val="0"/>
        <w:adjustRightInd w:val="0"/>
        <w:spacing w:after="0" w:line="240" w:lineRule="auto"/>
        <w:ind w:left="-567"/>
        <w:jc w:val="both"/>
        <w:rPr>
          <w:rFonts w:ascii="Arial" w:hAnsi="Arial" w:cs="Arial"/>
          <w:color w:val="000000"/>
          <w:sz w:val="24"/>
          <w:szCs w:val="24"/>
        </w:rPr>
      </w:pPr>
    </w:p>
    <w:p w14:paraId="0D97BD77" w14:textId="77777777" w:rsidR="0076666E" w:rsidRDefault="0076666E" w:rsidP="00D672FE">
      <w:pPr>
        <w:autoSpaceDE w:val="0"/>
        <w:autoSpaceDN w:val="0"/>
        <w:adjustRightInd w:val="0"/>
        <w:spacing w:after="0" w:line="240" w:lineRule="auto"/>
        <w:ind w:left="-567"/>
        <w:jc w:val="both"/>
        <w:rPr>
          <w:rFonts w:ascii="Arial" w:hAnsi="Arial" w:cs="Arial"/>
          <w:color w:val="000000"/>
          <w:sz w:val="24"/>
          <w:szCs w:val="24"/>
        </w:rPr>
      </w:pPr>
    </w:p>
    <w:p w14:paraId="343B317F" w14:textId="77777777" w:rsidR="0076666E" w:rsidRDefault="0076666E" w:rsidP="00D672FE">
      <w:pPr>
        <w:autoSpaceDE w:val="0"/>
        <w:autoSpaceDN w:val="0"/>
        <w:adjustRightInd w:val="0"/>
        <w:spacing w:after="0" w:line="240" w:lineRule="auto"/>
        <w:ind w:left="-567"/>
        <w:jc w:val="both"/>
        <w:rPr>
          <w:rFonts w:ascii="Arial" w:hAnsi="Arial" w:cs="Arial"/>
          <w:color w:val="000000"/>
          <w:sz w:val="24"/>
          <w:szCs w:val="24"/>
        </w:rPr>
      </w:pPr>
    </w:p>
    <w:p w14:paraId="717DF069" w14:textId="77777777" w:rsidR="0076666E" w:rsidRDefault="0076666E" w:rsidP="00D672FE">
      <w:pPr>
        <w:autoSpaceDE w:val="0"/>
        <w:autoSpaceDN w:val="0"/>
        <w:adjustRightInd w:val="0"/>
        <w:spacing w:after="0" w:line="240" w:lineRule="auto"/>
        <w:ind w:left="-567"/>
        <w:jc w:val="both"/>
        <w:rPr>
          <w:rFonts w:ascii="Arial" w:hAnsi="Arial" w:cs="Arial"/>
          <w:color w:val="000000"/>
          <w:sz w:val="24"/>
          <w:szCs w:val="24"/>
        </w:rPr>
      </w:pPr>
    </w:p>
    <w:p w14:paraId="2EA7C4A7" w14:textId="77777777" w:rsidR="00C2266D" w:rsidRDefault="00C2266D" w:rsidP="00D672FE">
      <w:pPr>
        <w:autoSpaceDE w:val="0"/>
        <w:autoSpaceDN w:val="0"/>
        <w:adjustRightInd w:val="0"/>
        <w:spacing w:after="0" w:line="240" w:lineRule="auto"/>
        <w:ind w:left="-567"/>
        <w:jc w:val="both"/>
        <w:rPr>
          <w:rFonts w:ascii="Arial" w:hAnsi="Arial" w:cs="Arial"/>
          <w:color w:val="000000"/>
          <w:sz w:val="24"/>
          <w:szCs w:val="24"/>
        </w:rPr>
      </w:pPr>
    </w:p>
    <w:p w14:paraId="4CD25BF7" w14:textId="77777777" w:rsidR="00C2266D" w:rsidRDefault="00C2266D" w:rsidP="00D672FE">
      <w:pPr>
        <w:autoSpaceDE w:val="0"/>
        <w:autoSpaceDN w:val="0"/>
        <w:adjustRightInd w:val="0"/>
        <w:spacing w:after="0" w:line="240" w:lineRule="auto"/>
        <w:ind w:left="-567"/>
        <w:jc w:val="both"/>
        <w:rPr>
          <w:rFonts w:ascii="Arial" w:hAnsi="Arial" w:cs="Arial"/>
          <w:color w:val="000000"/>
          <w:sz w:val="24"/>
          <w:szCs w:val="24"/>
        </w:rPr>
      </w:pPr>
    </w:p>
    <w:p w14:paraId="45FB74E7" w14:textId="2788E453" w:rsidR="00BF1BC1" w:rsidRDefault="0011751C" w:rsidP="00D672FE">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Los </w:t>
      </w:r>
      <w:r w:rsidR="00D672FE" w:rsidRPr="00D672FE">
        <w:rPr>
          <w:rFonts w:ascii="Arial" w:hAnsi="Arial" w:cs="Arial"/>
          <w:color w:val="000000"/>
          <w:sz w:val="24"/>
          <w:szCs w:val="24"/>
        </w:rPr>
        <w:t xml:space="preserve"> estado</w:t>
      </w:r>
      <w:r>
        <w:rPr>
          <w:rFonts w:ascii="Arial" w:hAnsi="Arial" w:cs="Arial"/>
          <w:color w:val="000000"/>
          <w:sz w:val="24"/>
          <w:szCs w:val="24"/>
        </w:rPr>
        <w:t>s</w:t>
      </w:r>
      <w:r w:rsidR="00D672FE" w:rsidRPr="00D672FE">
        <w:rPr>
          <w:rFonts w:ascii="Arial" w:hAnsi="Arial" w:cs="Arial"/>
          <w:color w:val="000000"/>
          <w:sz w:val="24"/>
          <w:szCs w:val="24"/>
        </w:rPr>
        <w:t xml:space="preserve"> de México</w:t>
      </w:r>
      <w:r w:rsidR="005D7152">
        <w:rPr>
          <w:rFonts w:ascii="Arial" w:hAnsi="Arial" w:cs="Arial"/>
          <w:color w:val="000000"/>
          <w:sz w:val="24"/>
          <w:szCs w:val="24"/>
        </w:rPr>
        <w:t xml:space="preserve"> y Oaxaca</w:t>
      </w:r>
      <w:r w:rsidR="00D672FE" w:rsidRPr="00D672FE">
        <w:rPr>
          <w:rFonts w:ascii="Arial" w:hAnsi="Arial" w:cs="Arial"/>
          <w:color w:val="000000"/>
          <w:sz w:val="24"/>
          <w:szCs w:val="24"/>
        </w:rPr>
        <w:t xml:space="preserve"> concentraron la mayor cantidad, con </w:t>
      </w:r>
      <w:r w:rsidR="005D7152">
        <w:rPr>
          <w:rFonts w:ascii="Arial" w:hAnsi="Arial" w:cs="Arial"/>
          <w:color w:val="000000"/>
          <w:sz w:val="24"/>
          <w:szCs w:val="24"/>
        </w:rPr>
        <w:t>33</w:t>
      </w:r>
      <w:r w:rsidR="00D672FE" w:rsidRPr="00D672FE">
        <w:rPr>
          <w:rFonts w:ascii="Arial" w:hAnsi="Arial" w:cs="Arial"/>
          <w:color w:val="000000"/>
          <w:sz w:val="24"/>
          <w:szCs w:val="24"/>
        </w:rPr>
        <w:t xml:space="preserve"> y 2</w:t>
      </w:r>
      <w:r w:rsidR="005D7152">
        <w:rPr>
          <w:rFonts w:ascii="Arial" w:hAnsi="Arial" w:cs="Arial"/>
          <w:color w:val="000000"/>
          <w:sz w:val="24"/>
          <w:szCs w:val="24"/>
        </w:rPr>
        <w:t>9</w:t>
      </w:r>
      <w:r w:rsidR="00D672FE" w:rsidRPr="00D672FE">
        <w:rPr>
          <w:rFonts w:ascii="Arial" w:hAnsi="Arial" w:cs="Arial"/>
          <w:color w:val="000000"/>
          <w:sz w:val="24"/>
          <w:szCs w:val="24"/>
        </w:rPr>
        <w:t xml:space="preserve"> visitadurías</w:t>
      </w:r>
      <w:r w:rsidR="005D7152">
        <w:rPr>
          <w:rFonts w:ascii="Arial" w:hAnsi="Arial" w:cs="Arial"/>
          <w:color w:val="000000"/>
          <w:sz w:val="24"/>
          <w:szCs w:val="24"/>
        </w:rPr>
        <w:t xml:space="preserve">, respectivamente. </w:t>
      </w:r>
    </w:p>
    <w:p w14:paraId="131D4F14" w14:textId="666F6E22" w:rsidR="00EF586C" w:rsidRDefault="00EF586C" w:rsidP="00D672FE">
      <w:pPr>
        <w:autoSpaceDE w:val="0"/>
        <w:autoSpaceDN w:val="0"/>
        <w:adjustRightInd w:val="0"/>
        <w:spacing w:after="0" w:line="240" w:lineRule="auto"/>
        <w:ind w:left="-567"/>
        <w:jc w:val="both"/>
        <w:rPr>
          <w:rFonts w:ascii="Arial" w:hAnsi="Arial" w:cs="Arial"/>
          <w:color w:val="000000"/>
          <w:sz w:val="24"/>
          <w:szCs w:val="24"/>
        </w:rPr>
      </w:pPr>
    </w:p>
    <w:p w14:paraId="4448F671" w14:textId="70D48ACB" w:rsidR="007A631E" w:rsidRDefault="005D7152" w:rsidP="005D7152">
      <w:pPr>
        <w:autoSpaceDE w:val="0"/>
        <w:autoSpaceDN w:val="0"/>
        <w:adjustRightInd w:val="0"/>
        <w:spacing w:after="0" w:line="240" w:lineRule="auto"/>
        <w:ind w:left="-567"/>
        <w:jc w:val="center"/>
        <w:rPr>
          <w:rFonts w:ascii="Arial" w:hAnsi="Arial" w:cs="Arial"/>
          <w:b/>
          <w:bCs/>
          <w:i/>
          <w:iCs/>
          <w:color w:val="87AD8A"/>
          <w:sz w:val="18"/>
          <w:szCs w:val="24"/>
        </w:rPr>
      </w:pPr>
      <w:r w:rsidRPr="005D7152">
        <w:rPr>
          <w:rFonts w:ascii="Arial" w:hAnsi="Arial" w:cs="Arial"/>
          <w:b/>
          <w:bCs/>
          <w:i/>
          <w:iCs/>
          <w:color w:val="87AD8A"/>
          <w:sz w:val="18"/>
          <w:szCs w:val="24"/>
        </w:rPr>
        <w:t xml:space="preserve">Mapa </w:t>
      </w:r>
      <w:r>
        <w:rPr>
          <w:rFonts w:ascii="Arial" w:hAnsi="Arial" w:cs="Arial"/>
          <w:b/>
          <w:bCs/>
          <w:i/>
          <w:iCs/>
          <w:color w:val="87AD8A"/>
          <w:sz w:val="18"/>
          <w:szCs w:val="24"/>
        </w:rPr>
        <w:t>2</w:t>
      </w:r>
      <w:r w:rsidRPr="005D7152">
        <w:rPr>
          <w:rFonts w:ascii="Arial" w:hAnsi="Arial" w:cs="Arial"/>
          <w:b/>
          <w:bCs/>
          <w:i/>
          <w:iCs/>
          <w:color w:val="87AD8A"/>
          <w:sz w:val="18"/>
          <w:szCs w:val="24"/>
        </w:rPr>
        <w:t>. Distribución de visitadurías de la CNDH y OPDH, por entidad federativa, 20</w:t>
      </w:r>
      <w:r>
        <w:rPr>
          <w:rFonts w:ascii="Arial" w:hAnsi="Arial" w:cs="Arial"/>
          <w:b/>
          <w:bCs/>
          <w:i/>
          <w:iCs/>
          <w:color w:val="87AD8A"/>
          <w:sz w:val="18"/>
          <w:szCs w:val="24"/>
        </w:rPr>
        <w:t>20</w:t>
      </w:r>
    </w:p>
    <w:p w14:paraId="6E311B0E" w14:textId="77777777" w:rsidR="005D7152" w:rsidRDefault="005D7152" w:rsidP="005D7152">
      <w:pPr>
        <w:autoSpaceDE w:val="0"/>
        <w:autoSpaceDN w:val="0"/>
        <w:adjustRightInd w:val="0"/>
        <w:spacing w:after="0" w:line="240" w:lineRule="auto"/>
        <w:ind w:left="-567"/>
        <w:jc w:val="center"/>
        <w:rPr>
          <w:rFonts w:ascii="Arial" w:hAnsi="Arial" w:cs="Arial"/>
          <w:color w:val="000000"/>
          <w:sz w:val="24"/>
          <w:szCs w:val="24"/>
        </w:rPr>
      </w:pPr>
    </w:p>
    <w:p w14:paraId="1CF0F524" w14:textId="7C059FA2" w:rsidR="007A631E" w:rsidRPr="00D672FE" w:rsidRDefault="00732141" w:rsidP="00732141">
      <w:pPr>
        <w:autoSpaceDE w:val="0"/>
        <w:autoSpaceDN w:val="0"/>
        <w:adjustRightInd w:val="0"/>
        <w:spacing w:after="0" w:line="240" w:lineRule="auto"/>
        <w:ind w:left="-567"/>
        <w:jc w:val="center"/>
        <w:rPr>
          <w:rFonts w:ascii="Arial" w:hAnsi="Arial" w:cs="Arial"/>
          <w:color w:val="000000"/>
          <w:sz w:val="24"/>
          <w:szCs w:val="24"/>
        </w:rPr>
      </w:pPr>
      <w:r>
        <w:rPr>
          <w:rFonts w:ascii="Arial" w:hAnsi="Arial" w:cs="Arial"/>
          <w:noProof/>
          <w:color w:val="000000"/>
          <w:sz w:val="24"/>
          <w:szCs w:val="24"/>
        </w:rPr>
        <w:drawing>
          <wp:inline distT="0" distB="0" distL="0" distR="0" wp14:anchorId="24E5D9C8" wp14:editId="13FE4877">
            <wp:extent cx="5835912" cy="36041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3872" cy="3609077"/>
                    </a:xfrm>
                    <a:prstGeom prst="rect">
                      <a:avLst/>
                    </a:prstGeom>
                    <a:noFill/>
                  </pic:spPr>
                </pic:pic>
              </a:graphicData>
            </a:graphic>
          </wp:inline>
        </w:drawing>
      </w:r>
    </w:p>
    <w:p w14:paraId="2AED6A19" w14:textId="77777777" w:rsidR="00BF1BC1" w:rsidRDefault="00BF1BC1" w:rsidP="00AE7928">
      <w:pPr>
        <w:spacing w:after="0"/>
        <w:ind w:left="-567"/>
        <w:jc w:val="both"/>
        <w:rPr>
          <w:rFonts w:ascii="Arial" w:hAnsi="Arial" w:cs="Arial"/>
          <w:b/>
          <w:bCs/>
          <w:iCs/>
          <w:noProof/>
          <w:sz w:val="24"/>
          <w:szCs w:val="24"/>
          <w:lang w:eastAsia="es-MX"/>
        </w:rPr>
      </w:pPr>
    </w:p>
    <w:p w14:paraId="271B2812" w14:textId="77777777" w:rsidR="007A631E" w:rsidRDefault="007A631E" w:rsidP="00C24243">
      <w:pPr>
        <w:spacing w:after="0"/>
        <w:ind w:left="-567"/>
        <w:jc w:val="both"/>
        <w:rPr>
          <w:rFonts w:ascii="Arial" w:hAnsi="Arial" w:cs="Arial"/>
          <w:b/>
          <w:bCs/>
          <w:iCs/>
          <w:noProof/>
          <w:sz w:val="24"/>
          <w:szCs w:val="24"/>
          <w:lang w:eastAsia="es-MX"/>
        </w:rPr>
      </w:pPr>
    </w:p>
    <w:p w14:paraId="13DFD50A" w14:textId="77777777" w:rsidR="00F050CA" w:rsidRDefault="00F050CA" w:rsidP="00C24243">
      <w:pPr>
        <w:spacing w:after="0"/>
        <w:ind w:left="-567"/>
        <w:jc w:val="both"/>
        <w:rPr>
          <w:rFonts w:ascii="Arial" w:hAnsi="Arial" w:cs="Arial"/>
          <w:color w:val="000000"/>
          <w:sz w:val="24"/>
          <w:szCs w:val="24"/>
        </w:rPr>
      </w:pPr>
    </w:p>
    <w:p w14:paraId="54CFD98B" w14:textId="77777777" w:rsidR="00F050CA" w:rsidRDefault="00F050CA" w:rsidP="00C24243">
      <w:pPr>
        <w:spacing w:after="0"/>
        <w:ind w:left="-567"/>
        <w:jc w:val="both"/>
        <w:rPr>
          <w:rFonts w:ascii="Arial" w:hAnsi="Arial" w:cs="Arial"/>
          <w:color w:val="000000"/>
          <w:sz w:val="24"/>
          <w:szCs w:val="24"/>
        </w:rPr>
      </w:pPr>
    </w:p>
    <w:p w14:paraId="441AA870" w14:textId="77777777" w:rsidR="00F050CA" w:rsidRDefault="00F050CA" w:rsidP="00C24243">
      <w:pPr>
        <w:spacing w:after="0"/>
        <w:ind w:left="-567"/>
        <w:jc w:val="both"/>
        <w:rPr>
          <w:rFonts w:ascii="Arial" w:hAnsi="Arial" w:cs="Arial"/>
          <w:color w:val="000000"/>
          <w:sz w:val="24"/>
          <w:szCs w:val="24"/>
        </w:rPr>
      </w:pPr>
    </w:p>
    <w:p w14:paraId="3E2C558D" w14:textId="6C932EBA" w:rsidR="0063747B" w:rsidRDefault="00F050CA" w:rsidP="00C24243">
      <w:pPr>
        <w:spacing w:after="0"/>
        <w:ind w:left="-567"/>
        <w:jc w:val="both"/>
        <w:rPr>
          <w:rFonts w:ascii="Arial" w:hAnsi="Arial" w:cs="Arial"/>
          <w:color w:val="000000"/>
          <w:sz w:val="24"/>
          <w:szCs w:val="24"/>
        </w:rPr>
      </w:pPr>
      <w:r>
        <w:rPr>
          <w:rFonts w:ascii="Arial" w:hAnsi="Arial" w:cs="Arial"/>
          <w:color w:val="000000"/>
          <w:sz w:val="24"/>
          <w:szCs w:val="24"/>
        </w:rPr>
        <w:t>Adicionalmente</w:t>
      </w:r>
      <w:r w:rsidR="00C24243">
        <w:rPr>
          <w:rFonts w:ascii="Arial" w:hAnsi="Arial" w:cs="Arial"/>
          <w:color w:val="000000"/>
          <w:sz w:val="24"/>
          <w:szCs w:val="24"/>
        </w:rPr>
        <w:t xml:space="preserve">, </w:t>
      </w:r>
      <w:r w:rsidR="00C24243" w:rsidRPr="00C24243">
        <w:rPr>
          <w:rFonts w:ascii="Arial" w:hAnsi="Arial" w:cs="Arial"/>
          <w:color w:val="000000"/>
          <w:sz w:val="24"/>
          <w:szCs w:val="24"/>
        </w:rPr>
        <w:t>se repo</w:t>
      </w:r>
      <w:r w:rsidR="00C24243">
        <w:rPr>
          <w:rFonts w:ascii="Arial" w:hAnsi="Arial" w:cs="Arial"/>
          <w:color w:val="000000"/>
          <w:sz w:val="24"/>
          <w:szCs w:val="24"/>
        </w:rPr>
        <w:t>rtaron</w:t>
      </w:r>
      <w:r w:rsidR="00C24243" w:rsidRPr="00C24243">
        <w:rPr>
          <w:rFonts w:ascii="Arial" w:hAnsi="Arial" w:cs="Arial"/>
          <w:color w:val="000000"/>
          <w:sz w:val="24"/>
          <w:szCs w:val="24"/>
        </w:rPr>
        <w:t xml:space="preserve"> 2</w:t>
      </w:r>
      <w:r w:rsidR="006B035D">
        <w:rPr>
          <w:rFonts w:ascii="Arial" w:hAnsi="Arial" w:cs="Arial"/>
          <w:color w:val="000000"/>
          <w:sz w:val="24"/>
          <w:szCs w:val="24"/>
        </w:rPr>
        <w:t>64</w:t>
      </w:r>
      <w:r w:rsidR="00C24243" w:rsidRPr="00C24243">
        <w:rPr>
          <w:rFonts w:ascii="Arial" w:hAnsi="Arial" w:cs="Arial"/>
          <w:color w:val="000000"/>
          <w:sz w:val="24"/>
          <w:szCs w:val="24"/>
        </w:rPr>
        <w:t xml:space="preserve"> </w:t>
      </w:r>
      <w:r>
        <w:rPr>
          <w:rFonts w:ascii="Arial" w:hAnsi="Arial" w:cs="Arial"/>
          <w:color w:val="000000"/>
          <w:sz w:val="24"/>
          <w:szCs w:val="24"/>
        </w:rPr>
        <w:t xml:space="preserve">personas como titulares </w:t>
      </w:r>
      <w:r w:rsidR="00C24243" w:rsidRPr="00C24243">
        <w:rPr>
          <w:rFonts w:ascii="Arial" w:hAnsi="Arial" w:cs="Arial"/>
          <w:color w:val="000000"/>
          <w:sz w:val="24"/>
          <w:szCs w:val="24"/>
        </w:rPr>
        <w:t xml:space="preserve">en las visitadurías de </w:t>
      </w:r>
      <w:r w:rsidR="00C24243">
        <w:rPr>
          <w:rFonts w:ascii="Arial" w:hAnsi="Arial" w:cs="Arial"/>
          <w:color w:val="000000"/>
          <w:sz w:val="24"/>
          <w:szCs w:val="24"/>
        </w:rPr>
        <w:t xml:space="preserve">los </w:t>
      </w:r>
      <w:r w:rsidR="00C24243" w:rsidRPr="00C24243">
        <w:rPr>
          <w:rFonts w:ascii="Arial" w:hAnsi="Arial" w:cs="Arial"/>
          <w:color w:val="000000"/>
          <w:sz w:val="24"/>
          <w:szCs w:val="24"/>
        </w:rPr>
        <w:t>OPDH</w:t>
      </w:r>
      <w:r w:rsidR="00C24243">
        <w:rPr>
          <w:rStyle w:val="Refdenotaalpie"/>
          <w:rFonts w:ascii="Arial" w:hAnsi="Arial" w:cs="Arial"/>
          <w:color w:val="000000"/>
          <w:sz w:val="24"/>
          <w:szCs w:val="24"/>
        </w:rPr>
        <w:footnoteReference w:id="9"/>
      </w:r>
      <w:r w:rsidR="00C24243" w:rsidRPr="00C24243">
        <w:rPr>
          <w:rFonts w:ascii="Arial" w:hAnsi="Arial" w:cs="Arial"/>
          <w:color w:val="000000"/>
          <w:sz w:val="24"/>
          <w:szCs w:val="24"/>
        </w:rPr>
        <w:t xml:space="preserve">, de </w:t>
      </w:r>
      <w:r>
        <w:rPr>
          <w:rFonts w:ascii="Arial" w:hAnsi="Arial" w:cs="Arial"/>
          <w:color w:val="000000"/>
          <w:sz w:val="24"/>
          <w:szCs w:val="24"/>
        </w:rPr>
        <w:t>las cuales</w:t>
      </w:r>
      <w:r w:rsidR="00C24243" w:rsidRPr="00C24243">
        <w:rPr>
          <w:rFonts w:ascii="Arial" w:hAnsi="Arial" w:cs="Arial"/>
          <w:color w:val="000000"/>
          <w:sz w:val="24"/>
          <w:szCs w:val="24"/>
        </w:rPr>
        <w:t>, 5</w:t>
      </w:r>
      <w:r w:rsidR="006D6AB7">
        <w:rPr>
          <w:rFonts w:ascii="Arial" w:hAnsi="Arial" w:cs="Arial"/>
          <w:color w:val="000000"/>
          <w:sz w:val="24"/>
          <w:szCs w:val="24"/>
        </w:rPr>
        <w:t>6.1</w:t>
      </w:r>
      <w:r w:rsidR="00C24243" w:rsidRPr="00C24243">
        <w:rPr>
          <w:rFonts w:ascii="Arial" w:hAnsi="Arial" w:cs="Arial"/>
          <w:color w:val="000000"/>
          <w:sz w:val="24"/>
          <w:szCs w:val="24"/>
        </w:rPr>
        <w:t>% fueron hombres y 4</w:t>
      </w:r>
      <w:r w:rsidR="006D6AB7">
        <w:rPr>
          <w:rFonts w:ascii="Arial" w:hAnsi="Arial" w:cs="Arial"/>
          <w:color w:val="000000"/>
          <w:sz w:val="24"/>
          <w:szCs w:val="24"/>
        </w:rPr>
        <w:t>3.9</w:t>
      </w:r>
      <w:r w:rsidR="00C24243" w:rsidRPr="00C24243">
        <w:rPr>
          <w:rFonts w:ascii="Arial" w:hAnsi="Arial" w:cs="Arial"/>
          <w:color w:val="000000"/>
          <w:sz w:val="24"/>
          <w:szCs w:val="24"/>
        </w:rPr>
        <w:t>%</w:t>
      </w:r>
      <w:r w:rsidR="006D6AB7">
        <w:rPr>
          <w:rFonts w:ascii="Arial" w:hAnsi="Arial" w:cs="Arial"/>
          <w:color w:val="000000"/>
          <w:sz w:val="24"/>
          <w:szCs w:val="24"/>
        </w:rPr>
        <w:t xml:space="preserve"> </w:t>
      </w:r>
      <w:r w:rsidR="00C24243" w:rsidRPr="00C24243">
        <w:rPr>
          <w:rFonts w:ascii="Arial" w:hAnsi="Arial" w:cs="Arial"/>
          <w:color w:val="000000"/>
          <w:sz w:val="24"/>
          <w:szCs w:val="24"/>
        </w:rPr>
        <w:t>mujeres</w:t>
      </w:r>
      <w:r w:rsidR="006D6AB7">
        <w:rPr>
          <w:rStyle w:val="Refdenotaalpie"/>
          <w:rFonts w:ascii="Arial" w:hAnsi="Arial" w:cs="Arial"/>
          <w:color w:val="000000"/>
          <w:sz w:val="24"/>
          <w:szCs w:val="24"/>
        </w:rPr>
        <w:footnoteReference w:id="10"/>
      </w:r>
      <w:r w:rsidR="00C24243" w:rsidRPr="00C24243">
        <w:rPr>
          <w:rFonts w:ascii="Arial" w:hAnsi="Arial" w:cs="Arial"/>
          <w:color w:val="000000"/>
          <w:sz w:val="24"/>
          <w:szCs w:val="24"/>
        </w:rPr>
        <w:t>. En l</w:t>
      </w:r>
      <w:r w:rsidR="0053612E">
        <w:rPr>
          <w:rFonts w:ascii="Arial" w:hAnsi="Arial" w:cs="Arial"/>
          <w:color w:val="000000"/>
          <w:sz w:val="24"/>
          <w:szCs w:val="24"/>
        </w:rPr>
        <w:t xml:space="preserve">os </w:t>
      </w:r>
      <w:r w:rsidR="00CA4DBF">
        <w:rPr>
          <w:rFonts w:ascii="Arial" w:hAnsi="Arial" w:cs="Arial"/>
          <w:color w:val="000000"/>
          <w:sz w:val="24"/>
          <w:szCs w:val="24"/>
        </w:rPr>
        <w:t>OPDH</w:t>
      </w:r>
      <w:r w:rsidR="00C24243" w:rsidRPr="00C24243">
        <w:rPr>
          <w:rFonts w:ascii="Arial" w:hAnsi="Arial" w:cs="Arial"/>
          <w:color w:val="000000"/>
          <w:sz w:val="24"/>
          <w:szCs w:val="24"/>
        </w:rPr>
        <w:t>, los titulares</w:t>
      </w:r>
      <w:r w:rsidR="00C24243">
        <w:rPr>
          <w:rFonts w:ascii="Arial" w:hAnsi="Arial" w:cs="Arial"/>
          <w:color w:val="000000"/>
          <w:sz w:val="24"/>
          <w:szCs w:val="24"/>
        </w:rPr>
        <w:t xml:space="preserve"> </w:t>
      </w:r>
      <w:r w:rsidR="00CA4DBF">
        <w:rPr>
          <w:rFonts w:ascii="Arial" w:hAnsi="Arial" w:cs="Arial"/>
          <w:color w:val="000000"/>
          <w:sz w:val="24"/>
          <w:szCs w:val="24"/>
        </w:rPr>
        <w:t>de</w:t>
      </w:r>
      <w:r w:rsidR="00C24243" w:rsidRPr="00C24243">
        <w:rPr>
          <w:rFonts w:ascii="Arial" w:hAnsi="Arial" w:cs="Arial"/>
          <w:color w:val="000000"/>
          <w:sz w:val="24"/>
          <w:szCs w:val="24"/>
        </w:rPr>
        <w:t xml:space="preserve"> las visitadurías de</w:t>
      </w:r>
      <w:r w:rsidR="00C24243">
        <w:rPr>
          <w:rFonts w:ascii="Arial" w:hAnsi="Arial" w:cs="Arial"/>
          <w:color w:val="000000"/>
          <w:sz w:val="24"/>
          <w:szCs w:val="24"/>
        </w:rPr>
        <w:t xml:space="preserve"> </w:t>
      </w:r>
      <w:r w:rsidR="00C24243" w:rsidRPr="00C24243">
        <w:rPr>
          <w:rFonts w:ascii="Arial" w:hAnsi="Arial" w:cs="Arial"/>
          <w:color w:val="000000"/>
          <w:sz w:val="24"/>
          <w:szCs w:val="24"/>
        </w:rPr>
        <w:t>Jalisco,</w:t>
      </w:r>
      <w:r w:rsidR="00CA4DBF">
        <w:rPr>
          <w:rFonts w:ascii="Arial" w:hAnsi="Arial" w:cs="Arial"/>
          <w:color w:val="000000"/>
          <w:sz w:val="24"/>
          <w:szCs w:val="24"/>
        </w:rPr>
        <w:t xml:space="preserve"> Michoacán,</w:t>
      </w:r>
      <w:r w:rsidR="00C24243" w:rsidRPr="00C24243">
        <w:rPr>
          <w:rFonts w:ascii="Arial" w:hAnsi="Arial" w:cs="Arial"/>
          <w:color w:val="000000"/>
          <w:sz w:val="24"/>
          <w:szCs w:val="24"/>
        </w:rPr>
        <w:t xml:space="preserve"> Nayarit y Quintana Roo se integraron totalmente por hombres</w:t>
      </w:r>
      <w:r>
        <w:rPr>
          <w:rFonts w:ascii="Arial" w:hAnsi="Arial" w:cs="Arial"/>
          <w:color w:val="000000"/>
          <w:sz w:val="24"/>
          <w:szCs w:val="24"/>
        </w:rPr>
        <w:t>,</w:t>
      </w:r>
      <w:r w:rsidR="00C24243" w:rsidRPr="00C24243">
        <w:rPr>
          <w:rFonts w:ascii="Arial" w:hAnsi="Arial" w:cs="Arial"/>
          <w:color w:val="000000"/>
          <w:sz w:val="24"/>
          <w:szCs w:val="24"/>
        </w:rPr>
        <w:t xml:space="preserve"> </w:t>
      </w:r>
      <w:r>
        <w:rPr>
          <w:rFonts w:ascii="Arial" w:hAnsi="Arial" w:cs="Arial"/>
          <w:color w:val="000000"/>
          <w:sz w:val="24"/>
          <w:szCs w:val="24"/>
        </w:rPr>
        <w:t>mientras</w:t>
      </w:r>
      <w:r w:rsidR="00C24243" w:rsidRPr="00C24243">
        <w:rPr>
          <w:rFonts w:ascii="Arial" w:hAnsi="Arial" w:cs="Arial"/>
          <w:color w:val="000000"/>
          <w:sz w:val="24"/>
          <w:szCs w:val="24"/>
        </w:rPr>
        <w:t xml:space="preserve"> que en</w:t>
      </w:r>
      <w:r w:rsidR="00C24243">
        <w:rPr>
          <w:rFonts w:ascii="Arial" w:hAnsi="Arial" w:cs="Arial"/>
          <w:color w:val="000000"/>
          <w:sz w:val="24"/>
          <w:szCs w:val="24"/>
        </w:rPr>
        <w:t xml:space="preserve"> </w:t>
      </w:r>
      <w:r w:rsidR="00C24243" w:rsidRPr="00C24243">
        <w:rPr>
          <w:rFonts w:ascii="Arial" w:hAnsi="Arial" w:cs="Arial"/>
          <w:color w:val="000000"/>
          <w:sz w:val="24"/>
          <w:szCs w:val="24"/>
        </w:rPr>
        <w:t>Aguascalientes</w:t>
      </w:r>
      <w:r w:rsidR="00CA4DBF">
        <w:rPr>
          <w:rFonts w:ascii="Arial" w:hAnsi="Arial" w:cs="Arial"/>
          <w:color w:val="000000"/>
          <w:sz w:val="24"/>
          <w:szCs w:val="24"/>
        </w:rPr>
        <w:t>, Baja California, Chihuahua</w:t>
      </w:r>
      <w:r w:rsidR="00C24243" w:rsidRPr="00C24243">
        <w:rPr>
          <w:rFonts w:ascii="Arial" w:hAnsi="Arial" w:cs="Arial"/>
          <w:color w:val="000000"/>
          <w:sz w:val="24"/>
          <w:szCs w:val="24"/>
        </w:rPr>
        <w:t xml:space="preserve"> y Querétaro, la ocupación en estos cargos fue únicamente por mujeres</w:t>
      </w:r>
      <w:r w:rsidR="00CA4DBF">
        <w:rPr>
          <w:rFonts w:ascii="Arial" w:hAnsi="Arial" w:cs="Arial"/>
          <w:color w:val="000000"/>
          <w:sz w:val="24"/>
          <w:szCs w:val="24"/>
        </w:rPr>
        <w:t xml:space="preserve">. </w:t>
      </w:r>
    </w:p>
    <w:p w14:paraId="2BF34F38" w14:textId="3D1EE36E" w:rsidR="00ED2521" w:rsidRDefault="00ED2521" w:rsidP="00C24243">
      <w:pPr>
        <w:spacing w:after="0"/>
        <w:ind w:left="-567"/>
        <w:jc w:val="both"/>
        <w:rPr>
          <w:rFonts w:ascii="Arial" w:hAnsi="Arial" w:cs="Arial"/>
          <w:color w:val="000000"/>
          <w:sz w:val="24"/>
          <w:szCs w:val="24"/>
        </w:rPr>
      </w:pPr>
    </w:p>
    <w:p w14:paraId="6507BE7D" w14:textId="75239ED8" w:rsidR="00C2266D" w:rsidRDefault="00C2266D" w:rsidP="00C24243">
      <w:pPr>
        <w:spacing w:after="0"/>
        <w:ind w:left="-567"/>
        <w:jc w:val="both"/>
        <w:rPr>
          <w:rFonts w:ascii="Arial" w:hAnsi="Arial" w:cs="Arial"/>
          <w:color w:val="000000"/>
          <w:sz w:val="24"/>
          <w:szCs w:val="24"/>
        </w:rPr>
      </w:pPr>
    </w:p>
    <w:p w14:paraId="7291B1B6" w14:textId="5A5B8D06" w:rsidR="00C2266D" w:rsidRDefault="00C2266D" w:rsidP="00C24243">
      <w:pPr>
        <w:spacing w:after="0"/>
        <w:ind w:left="-567"/>
        <w:jc w:val="both"/>
        <w:rPr>
          <w:rFonts w:ascii="Arial" w:hAnsi="Arial" w:cs="Arial"/>
          <w:color w:val="000000"/>
          <w:sz w:val="24"/>
          <w:szCs w:val="24"/>
        </w:rPr>
      </w:pPr>
    </w:p>
    <w:p w14:paraId="053E0D67" w14:textId="3894E350" w:rsidR="00C2266D" w:rsidRDefault="00C2266D" w:rsidP="00C24243">
      <w:pPr>
        <w:spacing w:after="0"/>
        <w:ind w:left="-567"/>
        <w:jc w:val="both"/>
        <w:rPr>
          <w:rFonts w:ascii="Arial" w:hAnsi="Arial" w:cs="Arial"/>
          <w:color w:val="000000"/>
          <w:sz w:val="24"/>
          <w:szCs w:val="24"/>
        </w:rPr>
      </w:pPr>
    </w:p>
    <w:p w14:paraId="42E1450F" w14:textId="572337D9" w:rsidR="00C2266D" w:rsidRDefault="00C2266D" w:rsidP="00C24243">
      <w:pPr>
        <w:spacing w:after="0"/>
        <w:ind w:left="-567"/>
        <w:jc w:val="both"/>
        <w:rPr>
          <w:rFonts w:ascii="Arial" w:hAnsi="Arial" w:cs="Arial"/>
          <w:color w:val="000000"/>
          <w:sz w:val="24"/>
          <w:szCs w:val="24"/>
        </w:rPr>
      </w:pPr>
    </w:p>
    <w:p w14:paraId="7D227325" w14:textId="2DA84130" w:rsidR="00C2266D" w:rsidRDefault="00C2266D" w:rsidP="00C24243">
      <w:pPr>
        <w:spacing w:after="0"/>
        <w:ind w:left="-567"/>
        <w:jc w:val="both"/>
        <w:rPr>
          <w:rFonts w:ascii="Arial" w:hAnsi="Arial" w:cs="Arial"/>
          <w:color w:val="000000"/>
          <w:sz w:val="24"/>
          <w:szCs w:val="24"/>
        </w:rPr>
      </w:pPr>
    </w:p>
    <w:p w14:paraId="2AD993E6" w14:textId="77777777" w:rsidR="00C2266D" w:rsidRDefault="00C2266D" w:rsidP="00C24243">
      <w:pPr>
        <w:spacing w:after="0"/>
        <w:ind w:left="-567"/>
        <w:jc w:val="both"/>
        <w:rPr>
          <w:rFonts w:ascii="Arial" w:hAnsi="Arial" w:cs="Arial"/>
          <w:color w:val="000000"/>
          <w:sz w:val="24"/>
          <w:szCs w:val="24"/>
        </w:rPr>
      </w:pPr>
    </w:p>
    <w:p w14:paraId="068946E1" w14:textId="65748942" w:rsidR="00CA4DBF" w:rsidRPr="00CA4DBF" w:rsidRDefault="0053612E" w:rsidP="00CA4DBF">
      <w:pPr>
        <w:spacing w:after="0"/>
        <w:ind w:left="-567"/>
        <w:jc w:val="center"/>
        <w:rPr>
          <w:rFonts w:ascii="Arial" w:hAnsi="Arial" w:cs="Arial"/>
          <w:b/>
          <w:bCs/>
          <w:i/>
          <w:iCs/>
          <w:color w:val="87AD8A"/>
          <w:sz w:val="18"/>
          <w:szCs w:val="24"/>
        </w:rPr>
      </w:pPr>
      <w:r w:rsidRPr="00AE7928">
        <w:rPr>
          <w:rFonts w:ascii="Arial" w:hAnsi="Arial" w:cs="Arial"/>
          <w:b/>
          <w:bCs/>
          <w:i/>
          <w:iCs/>
          <w:color w:val="87AD8A"/>
          <w:sz w:val="18"/>
          <w:szCs w:val="24"/>
        </w:rPr>
        <w:t xml:space="preserve">Gráfica </w:t>
      </w:r>
      <w:r>
        <w:rPr>
          <w:rFonts w:ascii="Arial" w:hAnsi="Arial" w:cs="Arial"/>
          <w:b/>
          <w:bCs/>
          <w:i/>
          <w:iCs/>
          <w:color w:val="87AD8A"/>
          <w:sz w:val="18"/>
          <w:szCs w:val="24"/>
        </w:rPr>
        <w:t>1</w:t>
      </w:r>
      <w:r w:rsidR="00F050CA">
        <w:rPr>
          <w:rFonts w:ascii="Arial" w:hAnsi="Arial" w:cs="Arial"/>
          <w:b/>
          <w:bCs/>
          <w:i/>
          <w:iCs/>
          <w:color w:val="87AD8A"/>
          <w:sz w:val="18"/>
          <w:szCs w:val="24"/>
        </w:rPr>
        <w:t>1</w:t>
      </w:r>
      <w:r w:rsidRPr="00AE7928">
        <w:rPr>
          <w:rFonts w:ascii="Arial" w:hAnsi="Arial" w:cs="Arial"/>
          <w:b/>
          <w:bCs/>
          <w:i/>
          <w:iCs/>
          <w:color w:val="87AD8A"/>
          <w:sz w:val="18"/>
          <w:szCs w:val="24"/>
        </w:rPr>
        <w:t xml:space="preserve">. </w:t>
      </w:r>
      <w:r w:rsidR="00CA4DBF" w:rsidRPr="00CA4DBF">
        <w:rPr>
          <w:rFonts w:ascii="Arial" w:hAnsi="Arial" w:cs="Arial"/>
          <w:b/>
          <w:bCs/>
          <w:i/>
          <w:iCs/>
          <w:color w:val="87AD8A"/>
          <w:sz w:val="18"/>
          <w:szCs w:val="24"/>
        </w:rPr>
        <w:t>Distribución porcentual de las y los titulares de las visitadurías de l</w:t>
      </w:r>
      <w:r w:rsidR="00CA4DBF">
        <w:rPr>
          <w:rFonts w:ascii="Arial" w:hAnsi="Arial" w:cs="Arial"/>
          <w:b/>
          <w:bCs/>
          <w:i/>
          <w:iCs/>
          <w:color w:val="87AD8A"/>
          <w:sz w:val="18"/>
          <w:szCs w:val="24"/>
        </w:rPr>
        <w:t>os</w:t>
      </w:r>
      <w:r w:rsidR="00CA4DBF" w:rsidRPr="00CA4DBF">
        <w:rPr>
          <w:rFonts w:ascii="Arial" w:hAnsi="Arial" w:cs="Arial"/>
          <w:b/>
          <w:bCs/>
          <w:i/>
          <w:iCs/>
          <w:color w:val="87AD8A"/>
          <w:sz w:val="18"/>
          <w:szCs w:val="24"/>
        </w:rPr>
        <w:t xml:space="preserve"> OPDH,</w:t>
      </w:r>
    </w:p>
    <w:p w14:paraId="327CEF47" w14:textId="54FA3270" w:rsidR="006D6AB7" w:rsidRDefault="00CA4DBF" w:rsidP="00CA4DBF">
      <w:pPr>
        <w:spacing w:after="0"/>
        <w:ind w:left="-567"/>
        <w:jc w:val="center"/>
        <w:rPr>
          <w:rFonts w:ascii="Arial" w:hAnsi="Arial" w:cs="Arial"/>
          <w:b/>
          <w:bCs/>
          <w:iCs/>
          <w:noProof/>
          <w:sz w:val="24"/>
          <w:szCs w:val="24"/>
          <w:lang w:eastAsia="es-MX"/>
        </w:rPr>
      </w:pPr>
      <w:r w:rsidRPr="00CA4DBF">
        <w:rPr>
          <w:rFonts w:ascii="Arial" w:hAnsi="Arial" w:cs="Arial"/>
          <w:b/>
          <w:bCs/>
          <w:i/>
          <w:iCs/>
          <w:color w:val="87AD8A"/>
          <w:sz w:val="18"/>
          <w:szCs w:val="24"/>
        </w:rPr>
        <w:t>por entidad federativa y sexo, 20</w:t>
      </w:r>
      <w:r>
        <w:rPr>
          <w:rFonts w:ascii="Arial" w:hAnsi="Arial" w:cs="Arial"/>
          <w:b/>
          <w:bCs/>
          <w:i/>
          <w:iCs/>
          <w:color w:val="87AD8A"/>
          <w:sz w:val="18"/>
          <w:szCs w:val="24"/>
        </w:rPr>
        <w:t>20</w:t>
      </w:r>
    </w:p>
    <w:p w14:paraId="411AD654" w14:textId="1ECFAEBE" w:rsidR="006D6AB7" w:rsidRDefault="006D6AB7" w:rsidP="0053612E">
      <w:pPr>
        <w:spacing w:after="0"/>
        <w:ind w:left="-567"/>
        <w:jc w:val="center"/>
        <w:rPr>
          <w:rFonts w:ascii="Arial" w:hAnsi="Arial" w:cs="Arial"/>
          <w:b/>
          <w:bCs/>
          <w:iCs/>
          <w:noProof/>
          <w:sz w:val="24"/>
          <w:szCs w:val="24"/>
          <w:lang w:eastAsia="es-MX"/>
        </w:rPr>
      </w:pPr>
      <w:r w:rsidRPr="006D6AB7">
        <w:rPr>
          <w:rFonts w:ascii="Arial" w:hAnsi="Arial" w:cs="Arial"/>
          <w:b/>
          <w:bCs/>
          <w:iCs/>
          <w:noProof/>
          <w:sz w:val="24"/>
          <w:szCs w:val="24"/>
          <w:lang w:eastAsia="es-MX"/>
        </w:rPr>
        <w:drawing>
          <wp:inline distT="0" distB="0" distL="0" distR="0" wp14:anchorId="206F66B3" wp14:editId="7CC8315F">
            <wp:extent cx="5443267" cy="4813540"/>
            <wp:effectExtent l="0" t="0" r="5080" b="6350"/>
            <wp:docPr id="8" name="Gráfico 8">
              <a:extLst xmlns:a="http://schemas.openxmlformats.org/drawingml/2006/main">
                <a:ext uri="{FF2B5EF4-FFF2-40B4-BE49-F238E27FC236}">
                  <a16:creationId xmlns:a16="http://schemas.microsoft.com/office/drawing/2014/main" id="{728C90F4-962F-4726-95AF-A66ADA187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ADD6FA5" w14:textId="77777777" w:rsidR="00FC6A3C" w:rsidRDefault="00FC6A3C" w:rsidP="008A4B20">
      <w:pPr>
        <w:spacing w:after="0"/>
        <w:ind w:left="-567"/>
        <w:jc w:val="both"/>
        <w:rPr>
          <w:rFonts w:ascii="Arial" w:hAnsi="Arial" w:cs="Arial"/>
          <w:color w:val="000000"/>
          <w:sz w:val="24"/>
          <w:szCs w:val="24"/>
        </w:rPr>
      </w:pPr>
    </w:p>
    <w:p w14:paraId="389FE91A" w14:textId="28B36131" w:rsidR="00BD7278" w:rsidRDefault="00D847C9" w:rsidP="008A4B20">
      <w:pPr>
        <w:spacing w:after="0"/>
        <w:ind w:left="-567"/>
        <w:jc w:val="both"/>
        <w:rPr>
          <w:rFonts w:ascii="Arial" w:hAnsi="Arial" w:cs="Arial"/>
          <w:color w:val="000000"/>
          <w:sz w:val="24"/>
          <w:szCs w:val="24"/>
        </w:rPr>
      </w:pPr>
      <w:r>
        <w:rPr>
          <w:rFonts w:ascii="Arial" w:hAnsi="Arial" w:cs="Arial"/>
          <w:color w:val="000000"/>
          <w:sz w:val="24"/>
          <w:szCs w:val="24"/>
        </w:rPr>
        <w:t>En</w:t>
      </w:r>
      <w:r w:rsidR="008A4B20">
        <w:rPr>
          <w:rFonts w:ascii="Arial" w:hAnsi="Arial" w:cs="Arial"/>
          <w:color w:val="000000"/>
          <w:sz w:val="24"/>
          <w:szCs w:val="24"/>
        </w:rPr>
        <w:t xml:space="preserve"> relación</w:t>
      </w:r>
      <w:r>
        <w:rPr>
          <w:rFonts w:ascii="Arial" w:hAnsi="Arial" w:cs="Arial"/>
          <w:color w:val="000000"/>
          <w:sz w:val="24"/>
          <w:szCs w:val="24"/>
        </w:rPr>
        <w:t xml:space="preserve"> con</w:t>
      </w:r>
      <w:r w:rsidR="008A4B20" w:rsidRPr="008A4B20">
        <w:rPr>
          <w:rFonts w:ascii="Arial" w:hAnsi="Arial" w:cs="Arial"/>
          <w:color w:val="000000"/>
          <w:sz w:val="24"/>
          <w:szCs w:val="24"/>
        </w:rPr>
        <w:t xml:space="preserve"> </w:t>
      </w:r>
      <w:r>
        <w:rPr>
          <w:rFonts w:ascii="Arial" w:hAnsi="Arial" w:cs="Arial"/>
          <w:color w:val="000000"/>
          <w:sz w:val="24"/>
          <w:szCs w:val="24"/>
        </w:rPr>
        <w:t>e</w:t>
      </w:r>
      <w:r w:rsidR="008A4B20" w:rsidRPr="008A4B20">
        <w:rPr>
          <w:rFonts w:ascii="Arial" w:hAnsi="Arial" w:cs="Arial"/>
          <w:color w:val="000000"/>
          <w:sz w:val="24"/>
          <w:szCs w:val="24"/>
        </w:rPr>
        <w:t xml:space="preserve">l personal con el que contaron dichas visitadurías, a nivel nacional se reportaron </w:t>
      </w:r>
      <w:r w:rsidR="008072F7" w:rsidRPr="008072F7">
        <w:rPr>
          <w:rFonts w:ascii="Arial" w:hAnsi="Arial" w:cs="Arial"/>
          <w:color w:val="000000"/>
          <w:sz w:val="24"/>
          <w:szCs w:val="24"/>
        </w:rPr>
        <w:t>2</w:t>
      </w:r>
      <w:r w:rsidR="008072F7">
        <w:rPr>
          <w:rFonts w:ascii="Arial" w:hAnsi="Arial" w:cs="Arial"/>
          <w:color w:val="000000"/>
          <w:sz w:val="24"/>
          <w:szCs w:val="24"/>
        </w:rPr>
        <w:t xml:space="preserve"> </w:t>
      </w:r>
      <w:r w:rsidR="008072F7" w:rsidRPr="008072F7">
        <w:rPr>
          <w:rFonts w:ascii="Arial" w:hAnsi="Arial" w:cs="Arial"/>
          <w:color w:val="000000"/>
          <w:sz w:val="24"/>
          <w:szCs w:val="24"/>
        </w:rPr>
        <w:t>457</w:t>
      </w:r>
      <w:r w:rsidR="008072F7">
        <w:rPr>
          <w:rFonts w:ascii="Arial" w:hAnsi="Arial" w:cs="Arial"/>
          <w:color w:val="000000"/>
          <w:sz w:val="24"/>
          <w:szCs w:val="24"/>
        </w:rPr>
        <w:t xml:space="preserve"> </w:t>
      </w:r>
      <w:r w:rsidR="008A4B20" w:rsidRPr="008A4B20">
        <w:rPr>
          <w:rFonts w:ascii="Arial" w:hAnsi="Arial" w:cs="Arial"/>
          <w:color w:val="000000"/>
          <w:sz w:val="24"/>
          <w:szCs w:val="24"/>
        </w:rPr>
        <w:t>personas</w:t>
      </w:r>
      <w:r w:rsidR="00C064FB">
        <w:rPr>
          <w:rFonts w:ascii="Arial" w:hAnsi="Arial" w:cs="Arial"/>
          <w:color w:val="000000"/>
          <w:sz w:val="24"/>
          <w:szCs w:val="24"/>
        </w:rPr>
        <w:t>:</w:t>
      </w:r>
      <w:r w:rsidR="008A4B20" w:rsidRPr="008A4B20">
        <w:rPr>
          <w:rFonts w:ascii="Arial" w:hAnsi="Arial" w:cs="Arial"/>
          <w:color w:val="000000"/>
          <w:sz w:val="24"/>
          <w:szCs w:val="24"/>
        </w:rPr>
        <w:t xml:space="preserve"> </w:t>
      </w:r>
      <w:r w:rsidR="001E4DCB">
        <w:rPr>
          <w:rFonts w:ascii="Arial" w:hAnsi="Arial" w:cs="Arial"/>
          <w:color w:val="000000"/>
          <w:sz w:val="24"/>
          <w:szCs w:val="24"/>
        </w:rPr>
        <w:t>878</w:t>
      </w:r>
      <w:r w:rsidR="008A4B20">
        <w:rPr>
          <w:rFonts w:ascii="Arial" w:hAnsi="Arial" w:cs="Arial"/>
          <w:color w:val="000000"/>
          <w:sz w:val="24"/>
          <w:szCs w:val="24"/>
        </w:rPr>
        <w:t xml:space="preserve"> </w:t>
      </w:r>
      <w:r w:rsidR="008A4B20" w:rsidRPr="008A4B20">
        <w:rPr>
          <w:rFonts w:ascii="Arial" w:hAnsi="Arial" w:cs="Arial"/>
          <w:color w:val="000000"/>
          <w:sz w:val="24"/>
          <w:szCs w:val="24"/>
        </w:rPr>
        <w:t>correspondieron a la CNDH y 1 5</w:t>
      </w:r>
      <w:r w:rsidR="001E4DCB">
        <w:rPr>
          <w:rFonts w:ascii="Arial" w:hAnsi="Arial" w:cs="Arial"/>
          <w:color w:val="000000"/>
          <w:sz w:val="24"/>
          <w:szCs w:val="24"/>
        </w:rPr>
        <w:t>79</w:t>
      </w:r>
      <w:r w:rsidR="008A4B20" w:rsidRPr="008A4B20">
        <w:rPr>
          <w:rFonts w:ascii="Arial" w:hAnsi="Arial" w:cs="Arial"/>
          <w:color w:val="000000"/>
          <w:sz w:val="24"/>
          <w:szCs w:val="24"/>
        </w:rPr>
        <w:t xml:space="preserve"> a los OPDH. </w:t>
      </w:r>
      <w:r w:rsidR="00BD7278">
        <w:rPr>
          <w:rFonts w:ascii="Arial" w:hAnsi="Arial" w:cs="Arial"/>
          <w:color w:val="000000"/>
          <w:sz w:val="24"/>
          <w:szCs w:val="24"/>
        </w:rPr>
        <w:t>En comparación con lo reportado en 2019</w:t>
      </w:r>
      <w:r w:rsidR="00BD7278">
        <w:rPr>
          <w:rStyle w:val="Refdenotaalpie"/>
          <w:rFonts w:ascii="Arial" w:hAnsi="Arial" w:cs="Arial"/>
          <w:color w:val="000000"/>
          <w:sz w:val="24"/>
          <w:szCs w:val="24"/>
        </w:rPr>
        <w:footnoteReference w:id="11"/>
      </w:r>
      <w:r w:rsidR="00BD7278">
        <w:rPr>
          <w:rFonts w:ascii="Arial" w:hAnsi="Arial" w:cs="Arial"/>
          <w:color w:val="000000"/>
          <w:sz w:val="24"/>
          <w:szCs w:val="24"/>
        </w:rPr>
        <w:t xml:space="preserve">, la cantidad de personal disminuyó 1.3% en 2020. </w:t>
      </w:r>
      <w:r w:rsidR="008A4B20" w:rsidRPr="008A4B20">
        <w:rPr>
          <w:rFonts w:ascii="Arial" w:hAnsi="Arial" w:cs="Arial"/>
          <w:color w:val="000000"/>
          <w:sz w:val="24"/>
          <w:szCs w:val="24"/>
        </w:rPr>
        <w:t>Del total nacional, 45.</w:t>
      </w:r>
      <w:r w:rsidR="001E4DCB">
        <w:rPr>
          <w:rFonts w:ascii="Arial" w:hAnsi="Arial" w:cs="Arial"/>
          <w:color w:val="000000"/>
          <w:sz w:val="24"/>
          <w:szCs w:val="24"/>
        </w:rPr>
        <w:t>1</w:t>
      </w:r>
      <w:r w:rsidR="008A4B20" w:rsidRPr="008A4B20">
        <w:rPr>
          <w:rFonts w:ascii="Arial" w:hAnsi="Arial" w:cs="Arial"/>
          <w:color w:val="000000"/>
          <w:sz w:val="24"/>
          <w:szCs w:val="24"/>
        </w:rPr>
        <w:t>% fueron hombres y 54.</w:t>
      </w:r>
      <w:r w:rsidR="001E4DCB">
        <w:rPr>
          <w:rFonts w:ascii="Arial" w:hAnsi="Arial" w:cs="Arial"/>
          <w:color w:val="000000"/>
          <w:sz w:val="24"/>
          <w:szCs w:val="24"/>
        </w:rPr>
        <w:t>9</w:t>
      </w:r>
      <w:r w:rsidR="008A4B20" w:rsidRPr="008A4B20">
        <w:rPr>
          <w:rFonts w:ascii="Arial" w:hAnsi="Arial" w:cs="Arial"/>
          <w:color w:val="000000"/>
          <w:sz w:val="24"/>
          <w:szCs w:val="24"/>
        </w:rPr>
        <w:t>% mujeres. De</w:t>
      </w:r>
      <w:r w:rsidR="008A4B20">
        <w:rPr>
          <w:rFonts w:ascii="Arial" w:hAnsi="Arial" w:cs="Arial"/>
          <w:color w:val="000000"/>
          <w:sz w:val="24"/>
          <w:szCs w:val="24"/>
        </w:rPr>
        <w:t xml:space="preserve"> </w:t>
      </w:r>
      <w:r w:rsidR="008A4B20" w:rsidRPr="008A4B20">
        <w:rPr>
          <w:rFonts w:ascii="Arial" w:hAnsi="Arial" w:cs="Arial"/>
          <w:color w:val="000000"/>
          <w:sz w:val="24"/>
          <w:szCs w:val="24"/>
        </w:rPr>
        <w:t xml:space="preserve">acuerdo con </w:t>
      </w:r>
      <w:r w:rsidR="00BD7278">
        <w:rPr>
          <w:rFonts w:ascii="Arial" w:hAnsi="Arial" w:cs="Arial"/>
          <w:color w:val="000000"/>
          <w:sz w:val="24"/>
          <w:szCs w:val="24"/>
        </w:rPr>
        <w:t xml:space="preserve">el cargo </w:t>
      </w:r>
      <w:r w:rsidR="00F050CA">
        <w:rPr>
          <w:rFonts w:ascii="Arial" w:hAnsi="Arial" w:cs="Arial"/>
          <w:color w:val="000000"/>
          <w:sz w:val="24"/>
          <w:szCs w:val="24"/>
        </w:rPr>
        <w:t>ejercido</w:t>
      </w:r>
      <w:r w:rsidR="008A4B20" w:rsidRPr="008A4B20">
        <w:rPr>
          <w:rFonts w:ascii="Arial" w:hAnsi="Arial" w:cs="Arial"/>
          <w:color w:val="000000"/>
          <w:sz w:val="24"/>
          <w:szCs w:val="24"/>
        </w:rPr>
        <w:t xml:space="preserve">, </w:t>
      </w:r>
      <w:r w:rsidR="00BD7278">
        <w:rPr>
          <w:rFonts w:ascii="Arial" w:hAnsi="Arial" w:cs="Arial"/>
          <w:color w:val="000000"/>
          <w:sz w:val="24"/>
          <w:szCs w:val="24"/>
        </w:rPr>
        <w:t>51.2</w:t>
      </w:r>
      <w:r w:rsidR="008A4B20" w:rsidRPr="008A4B20">
        <w:rPr>
          <w:rFonts w:ascii="Arial" w:hAnsi="Arial" w:cs="Arial"/>
          <w:color w:val="000000"/>
          <w:sz w:val="24"/>
          <w:szCs w:val="24"/>
        </w:rPr>
        <w:t xml:space="preserve">% del personal </w:t>
      </w:r>
      <w:r w:rsidR="001E4DCB">
        <w:rPr>
          <w:rFonts w:ascii="Arial" w:hAnsi="Arial" w:cs="Arial"/>
          <w:color w:val="000000"/>
          <w:sz w:val="24"/>
          <w:szCs w:val="24"/>
        </w:rPr>
        <w:t xml:space="preserve">se </w:t>
      </w:r>
      <w:r w:rsidR="00BD7278">
        <w:rPr>
          <w:rFonts w:ascii="Arial" w:hAnsi="Arial" w:cs="Arial"/>
          <w:color w:val="000000"/>
          <w:sz w:val="24"/>
          <w:szCs w:val="24"/>
        </w:rPr>
        <w:t>desempeñó</w:t>
      </w:r>
      <w:r w:rsidR="001E4DCB">
        <w:rPr>
          <w:rFonts w:ascii="Arial" w:hAnsi="Arial" w:cs="Arial"/>
          <w:color w:val="000000"/>
          <w:sz w:val="24"/>
          <w:szCs w:val="24"/>
        </w:rPr>
        <w:t xml:space="preserve"> </w:t>
      </w:r>
      <w:r w:rsidR="00BD7278">
        <w:rPr>
          <w:rFonts w:ascii="Arial" w:hAnsi="Arial" w:cs="Arial"/>
          <w:color w:val="000000"/>
          <w:sz w:val="24"/>
          <w:szCs w:val="24"/>
        </w:rPr>
        <w:t>como visitadores.</w:t>
      </w:r>
    </w:p>
    <w:p w14:paraId="711E955B" w14:textId="3D54C5E9" w:rsidR="00C2266D" w:rsidRDefault="00C2266D" w:rsidP="008A4B20">
      <w:pPr>
        <w:spacing w:after="0"/>
        <w:ind w:left="-567"/>
        <w:jc w:val="both"/>
        <w:rPr>
          <w:rFonts w:ascii="Arial" w:hAnsi="Arial" w:cs="Arial"/>
          <w:color w:val="000000"/>
          <w:sz w:val="24"/>
          <w:szCs w:val="24"/>
        </w:rPr>
      </w:pPr>
    </w:p>
    <w:p w14:paraId="78394D3D" w14:textId="77777777" w:rsidR="00C2266D" w:rsidRDefault="00C2266D" w:rsidP="008A4B20">
      <w:pPr>
        <w:spacing w:after="0"/>
        <w:ind w:left="-567"/>
        <w:jc w:val="both"/>
        <w:rPr>
          <w:rFonts w:ascii="Arial" w:hAnsi="Arial" w:cs="Arial"/>
          <w:color w:val="000000"/>
          <w:sz w:val="24"/>
          <w:szCs w:val="24"/>
        </w:rPr>
      </w:pPr>
    </w:p>
    <w:p w14:paraId="445CE142" w14:textId="271AF662" w:rsidR="00BD7278" w:rsidRDefault="00BD7278" w:rsidP="008A4B20">
      <w:pPr>
        <w:spacing w:after="0"/>
        <w:ind w:left="-567"/>
        <w:jc w:val="both"/>
        <w:rPr>
          <w:rFonts w:ascii="Arial" w:hAnsi="Arial" w:cs="Arial"/>
          <w:color w:val="000000"/>
          <w:sz w:val="24"/>
          <w:szCs w:val="24"/>
        </w:rPr>
      </w:pPr>
    </w:p>
    <w:p w14:paraId="506AE498" w14:textId="369459F6" w:rsidR="00C2266D" w:rsidRDefault="00C2266D" w:rsidP="008A4B20">
      <w:pPr>
        <w:spacing w:after="0"/>
        <w:ind w:left="-567"/>
        <w:jc w:val="both"/>
        <w:rPr>
          <w:rFonts w:ascii="Arial" w:hAnsi="Arial" w:cs="Arial"/>
          <w:color w:val="000000"/>
          <w:sz w:val="24"/>
          <w:szCs w:val="24"/>
        </w:rPr>
      </w:pPr>
    </w:p>
    <w:p w14:paraId="6A7DF9C0" w14:textId="7DE32119" w:rsidR="00C2266D" w:rsidRDefault="00C2266D" w:rsidP="008A4B20">
      <w:pPr>
        <w:spacing w:after="0"/>
        <w:ind w:left="-567"/>
        <w:jc w:val="both"/>
        <w:rPr>
          <w:rFonts w:ascii="Arial" w:hAnsi="Arial" w:cs="Arial"/>
          <w:color w:val="000000"/>
          <w:sz w:val="24"/>
          <w:szCs w:val="24"/>
        </w:rPr>
      </w:pPr>
    </w:p>
    <w:p w14:paraId="0D79C0EF" w14:textId="77777777" w:rsidR="00C2266D" w:rsidRDefault="00C2266D" w:rsidP="008A4B20">
      <w:pPr>
        <w:spacing w:after="0"/>
        <w:ind w:left="-567"/>
        <w:jc w:val="both"/>
        <w:rPr>
          <w:rFonts w:ascii="Arial" w:hAnsi="Arial" w:cs="Arial"/>
          <w:color w:val="000000"/>
          <w:sz w:val="24"/>
          <w:szCs w:val="24"/>
        </w:rPr>
      </w:pPr>
    </w:p>
    <w:p w14:paraId="4DBEF724" w14:textId="2CEE9AF2" w:rsidR="00183A5A" w:rsidRDefault="00183A5A" w:rsidP="008A4B20">
      <w:pPr>
        <w:spacing w:after="0"/>
        <w:ind w:left="-567"/>
        <w:jc w:val="both"/>
        <w:rPr>
          <w:rFonts w:ascii="Arial" w:hAnsi="Arial" w:cs="Arial"/>
          <w:color w:val="000000"/>
          <w:sz w:val="24"/>
          <w:szCs w:val="24"/>
        </w:rPr>
      </w:pPr>
    </w:p>
    <w:p w14:paraId="0832BFC9" w14:textId="77777777" w:rsidR="00C2266D" w:rsidRDefault="00C2266D" w:rsidP="00BD7278">
      <w:pPr>
        <w:spacing w:after="0"/>
        <w:ind w:left="-567"/>
        <w:jc w:val="center"/>
        <w:rPr>
          <w:rFonts w:ascii="Arial" w:hAnsi="Arial" w:cs="Arial"/>
          <w:b/>
          <w:bCs/>
          <w:i/>
          <w:iCs/>
          <w:color w:val="87AD8A"/>
          <w:sz w:val="18"/>
          <w:szCs w:val="24"/>
        </w:rPr>
      </w:pPr>
    </w:p>
    <w:p w14:paraId="40CAAD58" w14:textId="7C349485" w:rsidR="00BD7278" w:rsidRDefault="00BD7278" w:rsidP="00BD7278">
      <w:pPr>
        <w:spacing w:after="0"/>
        <w:ind w:left="-567"/>
        <w:jc w:val="center"/>
        <w:rPr>
          <w:rFonts w:ascii="Arial" w:hAnsi="Arial" w:cs="Arial"/>
          <w:b/>
          <w:bCs/>
          <w:i/>
          <w:iCs/>
          <w:color w:val="87AD8A"/>
          <w:sz w:val="18"/>
          <w:szCs w:val="24"/>
        </w:rPr>
      </w:pPr>
      <w:r w:rsidRPr="00AE7928">
        <w:rPr>
          <w:rFonts w:ascii="Arial" w:hAnsi="Arial" w:cs="Arial"/>
          <w:b/>
          <w:bCs/>
          <w:i/>
          <w:iCs/>
          <w:color w:val="87AD8A"/>
          <w:sz w:val="18"/>
          <w:szCs w:val="24"/>
        </w:rPr>
        <w:t xml:space="preserve">Gráfica </w:t>
      </w:r>
      <w:r>
        <w:rPr>
          <w:rFonts w:ascii="Arial" w:hAnsi="Arial" w:cs="Arial"/>
          <w:b/>
          <w:bCs/>
          <w:i/>
          <w:iCs/>
          <w:color w:val="87AD8A"/>
          <w:sz w:val="18"/>
          <w:szCs w:val="24"/>
        </w:rPr>
        <w:t>1</w:t>
      </w:r>
      <w:r w:rsidR="00F050CA">
        <w:rPr>
          <w:rFonts w:ascii="Arial" w:hAnsi="Arial" w:cs="Arial"/>
          <w:b/>
          <w:bCs/>
          <w:i/>
          <w:iCs/>
          <w:color w:val="87AD8A"/>
          <w:sz w:val="18"/>
          <w:szCs w:val="24"/>
        </w:rPr>
        <w:t>2</w:t>
      </w:r>
      <w:r w:rsidRPr="00AE7928">
        <w:rPr>
          <w:rFonts w:ascii="Arial" w:hAnsi="Arial" w:cs="Arial"/>
          <w:b/>
          <w:bCs/>
          <w:i/>
          <w:iCs/>
          <w:color w:val="87AD8A"/>
          <w:sz w:val="18"/>
          <w:szCs w:val="24"/>
        </w:rPr>
        <w:t xml:space="preserve">. </w:t>
      </w:r>
      <w:r w:rsidRPr="0063747B">
        <w:rPr>
          <w:rFonts w:ascii="Arial" w:hAnsi="Arial" w:cs="Arial"/>
          <w:b/>
          <w:bCs/>
          <w:i/>
          <w:iCs/>
          <w:color w:val="87AD8A"/>
          <w:sz w:val="18"/>
          <w:szCs w:val="24"/>
        </w:rPr>
        <w:t>Distribución porcentual de</w:t>
      </w:r>
      <w:r w:rsidR="00F050CA">
        <w:rPr>
          <w:rFonts w:ascii="Arial" w:hAnsi="Arial" w:cs="Arial"/>
          <w:b/>
          <w:bCs/>
          <w:i/>
          <w:iCs/>
          <w:color w:val="87AD8A"/>
          <w:sz w:val="18"/>
          <w:szCs w:val="24"/>
        </w:rPr>
        <w:t>l</w:t>
      </w:r>
      <w:r w:rsidRPr="0063747B">
        <w:rPr>
          <w:rFonts w:ascii="Arial" w:hAnsi="Arial" w:cs="Arial"/>
          <w:b/>
          <w:bCs/>
          <w:i/>
          <w:iCs/>
          <w:color w:val="87AD8A"/>
          <w:sz w:val="18"/>
          <w:szCs w:val="24"/>
        </w:rPr>
        <w:t xml:space="preserve"> personal adscrito a las visitadurías de la CNDH y OPDH,</w:t>
      </w:r>
      <w:r>
        <w:rPr>
          <w:rFonts w:ascii="Arial" w:hAnsi="Arial" w:cs="Arial"/>
          <w:b/>
          <w:bCs/>
          <w:i/>
          <w:iCs/>
          <w:color w:val="87AD8A"/>
          <w:sz w:val="18"/>
          <w:szCs w:val="24"/>
        </w:rPr>
        <w:t xml:space="preserve"> </w:t>
      </w:r>
    </w:p>
    <w:p w14:paraId="5C61093F" w14:textId="4B081E94" w:rsidR="00BD7278" w:rsidRDefault="00BD7278" w:rsidP="00BD7278">
      <w:pPr>
        <w:spacing w:after="0"/>
        <w:ind w:left="-567"/>
        <w:jc w:val="center"/>
        <w:rPr>
          <w:rFonts w:ascii="Arial" w:hAnsi="Arial" w:cs="Arial"/>
          <w:color w:val="000000"/>
          <w:sz w:val="24"/>
          <w:szCs w:val="24"/>
        </w:rPr>
      </w:pPr>
      <w:r>
        <w:rPr>
          <w:rFonts w:ascii="Arial" w:hAnsi="Arial" w:cs="Arial"/>
          <w:b/>
          <w:bCs/>
          <w:i/>
          <w:iCs/>
          <w:color w:val="87AD8A"/>
          <w:sz w:val="18"/>
          <w:szCs w:val="24"/>
        </w:rPr>
        <w:t>según cargo</w:t>
      </w:r>
      <w:r w:rsidRPr="0063747B">
        <w:rPr>
          <w:rFonts w:ascii="Arial" w:hAnsi="Arial" w:cs="Arial"/>
          <w:b/>
          <w:bCs/>
          <w:i/>
          <w:iCs/>
          <w:color w:val="87AD8A"/>
          <w:sz w:val="18"/>
          <w:szCs w:val="24"/>
        </w:rPr>
        <w:t>, 20</w:t>
      </w:r>
      <w:r>
        <w:rPr>
          <w:rFonts w:ascii="Arial" w:hAnsi="Arial" w:cs="Arial"/>
          <w:b/>
          <w:bCs/>
          <w:i/>
          <w:iCs/>
          <w:color w:val="87AD8A"/>
          <w:sz w:val="18"/>
          <w:szCs w:val="24"/>
        </w:rPr>
        <w:t>20</w:t>
      </w:r>
    </w:p>
    <w:p w14:paraId="54627FF3" w14:textId="5CEEBB37" w:rsidR="00BD7278" w:rsidRDefault="00BD7278" w:rsidP="00BD7278">
      <w:pPr>
        <w:spacing w:after="0"/>
        <w:ind w:left="-567"/>
        <w:jc w:val="center"/>
        <w:rPr>
          <w:rFonts w:ascii="Arial" w:hAnsi="Arial" w:cs="Arial"/>
          <w:color w:val="000000"/>
          <w:sz w:val="24"/>
          <w:szCs w:val="24"/>
        </w:rPr>
      </w:pPr>
      <w:r w:rsidRPr="00BD7278">
        <w:rPr>
          <w:rFonts w:ascii="Arial" w:hAnsi="Arial" w:cs="Arial"/>
          <w:noProof/>
          <w:color w:val="000000"/>
          <w:sz w:val="24"/>
          <w:szCs w:val="24"/>
        </w:rPr>
        <w:drawing>
          <wp:inline distT="0" distB="0" distL="0" distR="0" wp14:anchorId="0F6F5D73" wp14:editId="6005245C">
            <wp:extent cx="4554747" cy="2156603"/>
            <wp:effectExtent l="0" t="0" r="0" b="0"/>
            <wp:docPr id="13" name="Gráfico 13">
              <a:extLst xmlns:a="http://schemas.openxmlformats.org/drawingml/2006/main">
                <a:ext uri="{FF2B5EF4-FFF2-40B4-BE49-F238E27FC236}">
                  <a16:creationId xmlns:a16="http://schemas.microsoft.com/office/drawing/2014/main" id="{581AF4A6-01EE-475A-8628-2B82AFC2B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D9114D5" w14:textId="0579BB7A" w:rsidR="00C2266D" w:rsidRPr="00C61D77" w:rsidRDefault="00C2266D" w:rsidP="00C61D77">
      <w:pPr>
        <w:spacing w:after="0"/>
        <w:ind w:left="-567"/>
        <w:jc w:val="center"/>
        <w:rPr>
          <w:rFonts w:ascii="Arial" w:hAnsi="Arial" w:cs="Arial"/>
          <w:color w:val="000000"/>
          <w:sz w:val="16"/>
          <w:szCs w:val="24"/>
        </w:rPr>
      </w:pPr>
      <w:r w:rsidRPr="00C61D77">
        <w:rPr>
          <w:rFonts w:ascii="Arial" w:hAnsi="Arial" w:cs="Arial"/>
          <w:color w:val="000000"/>
          <w:sz w:val="16"/>
          <w:szCs w:val="24"/>
        </w:rPr>
        <w:t>Nota: no se grafica la categoría “No especificado”</w:t>
      </w:r>
      <w:r w:rsidR="00C61D77" w:rsidRPr="00C61D77">
        <w:rPr>
          <w:rFonts w:ascii="Arial" w:hAnsi="Arial" w:cs="Arial"/>
          <w:color w:val="000000"/>
          <w:sz w:val="16"/>
          <w:szCs w:val="24"/>
        </w:rPr>
        <w:t xml:space="preserve"> correspondiente al 0.2 por ciento.</w:t>
      </w:r>
    </w:p>
    <w:p w14:paraId="48D94F93" w14:textId="2A19DE0F" w:rsidR="00FC6A3C" w:rsidRDefault="00FC6A3C" w:rsidP="0063747B">
      <w:pPr>
        <w:spacing w:after="0"/>
        <w:ind w:left="-567"/>
        <w:jc w:val="center"/>
        <w:rPr>
          <w:rFonts w:ascii="Arial" w:hAnsi="Arial" w:cs="Arial"/>
          <w:b/>
          <w:bCs/>
          <w:i/>
          <w:iCs/>
          <w:color w:val="87AD8A"/>
          <w:sz w:val="18"/>
          <w:szCs w:val="24"/>
        </w:rPr>
      </w:pPr>
    </w:p>
    <w:p w14:paraId="3D68BBC4" w14:textId="77777777" w:rsidR="00C61D77" w:rsidRDefault="00C61D77" w:rsidP="0063747B">
      <w:pPr>
        <w:spacing w:after="0"/>
        <w:ind w:left="-567"/>
        <w:jc w:val="center"/>
        <w:rPr>
          <w:rFonts w:ascii="Arial" w:hAnsi="Arial" w:cs="Arial"/>
          <w:b/>
          <w:bCs/>
          <w:i/>
          <w:iCs/>
          <w:color w:val="87AD8A"/>
          <w:sz w:val="18"/>
          <w:szCs w:val="24"/>
        </w:rPr>
      </w:pPr>
    </w:p>
    <w:p w14:paraId="2A6DC3D4" w14:textId="3598C0BA" w:rsidR="0063747B" w:rsidRPr="0063747B" w:rsidRDefault="0063747B" w:rsidP="0063747B">
      <w:pPr>
        <w:spacing w:after="0"/>
        <w:ind w:left="-567"/>
        <w:jc w:val="center"/>
        <w:rPr>
          <w:rFonts w:ascii="Arial" w:hAnsi="Arial" w:cs="Arial"/>
          <w:b/>
          <w:bCs/>
          <w:i/>
          <w:iCs/>
          <w:color w:val="87AD8A"/>
          <w:sz w:val="18"/>
          <w:szCs w:val="24"/>
        </w:rPr>
      </w:pPr>
      <w:r w:rsidRPr="00AE7928">
        <w:rPr>
          <w:rFonts w:ascii="Arial" w:hAnsi="Arial" w:cs="Arial"/>
          <w:b/>
          <w:bCs/>
          <w:i/>
          <w:iCs/>
          <w:color w:val="87AD8A"/>
          <w:sz w:val="18"/>
          <w:szCs w:val="24"/>
        </w:rPr>
        <w:t xml:space="preserve">Gráfica </w:t>
      </w:r>
      <w:r>
        <w:rPr>
          <w:rFonts w:ascii="Arial" w:hAnsi="Arial" w:cs="Arial"/>
          <w:b/>
          <w:bCs/>
          <w:i/>
          <w:iCs/>
          <w:color w:val="87AD8A"/>
          <w:sz w:val="18"/>
          <w:szCs w:val="24"/>
        </w:rPr>
        <w:t>1</w:t>
      </w:r>
      <w:r w:rsidR="00F050CA">
        <w:rPr>
          <w:rFonts w:ascii="Arial" w:hAnsi="Arial" w:cs="Arial"/>
          <w:b/>
          <w:bCs/>
          <w:i/>
          <w:iCs/>
          <w:color w:val="87AD8A"/>
          <w:sz w:val="18"/>
          <w:szCs w:val="24"/>
        </w:rPr>
        <w:t>3</w:t>
      </w:r>
      <w:r w:rsidRPr="00AE7928">
        <w:rPr>
          <w:rFonts w:ascii="Arial" w:hAnsi="Arial" w:cs="Arial"/>
          <w:b/>
          <w:bCs/>
          <w:i/>
          <w:iCs/>
          <w:color w:val="87AD8A"/>
          <w:sz w:val="18"/>
          <w:szCs w:val="24"/>
        </w:rPr>
        <w:t xml:space="preserve">. </w:t>
      </w:r>
      <w:r w:rsidRPr="0063747B">
        <w:rPr>
          <w:rFonts w:ascii="Arial" w:hAnsi="Arial" w:cs="Arial"/>
          <w:b/>
          <w:bCs/>
          <w:i/>
          <w:iCs/>
          <w:color w:val="87AD8A"/>
          <w:sz w:val="18"/>
          <w:szCs w:val="24"/>
        </w:rPr>
        <w:t>Distribución porcentual de personal adscrito a las visitadurías de la CNDH y OPDH,</w:t>
      </w:r>
    </w:p>
    <w:p w14:paraId="3DE933C7" w14:textId="3650E79A" w:rsidR="0063747B" w:rsidRDefault="0063747B" w:rsidP="0063747B">
      <w:pPr>
        <w:spacing w:after="0"/>
        <w:ind w:left="-567"/>
        <w:jc w:val="center"/>
        <w:rPr>
          <w:rFonts w:ascii="Arial" w:hAnsi="Arial" w:cs="Arial"/>
          <w:color w:val="000000"/>
          <w:sz w:val="24"/>
          <w:szCs w:val="24"/>
        </w:rPr>
      </w:pPr>
      <w:r w:rsidRPr="0063747B">
        <w:rPr>
          <w:rFonts w:ascii="Arial" w:hAnsi="Arial" w:cs="Arial"/>
          <w:b/>
          <w:bCs/>
          <w:i/>
          <w:iCs/>
          <w:color w:val="87AD8A"/>
          <w:sz w:val="18"/>
          <w:szCs w:val="24"/>
        </w:rPr>
        <w:t>por entidad federativa y sexo, 20</w:t>
      </w:r>
      <w:r>
        <w:rPr>
          <w:rFonts w:ascii="Arial" w:hAnsi="Arial" w:cs="Arial"/>
          <w:b/>
          <w:bCs/>
          <w:i/>
          <w:iCs/>
          <w:color w:val="87AD8A"/>
          <w:sz w:val="18"/>
          <w:szCs w:val="24"/>
        </w:rPr>
        <w:t>20</w:t>
      </w:r>
    </w:p>
    <w:p w14:paraId="22E030C4" w14:textId="6364698F" w:rsidR="0063747B" w:rsidRDefault="0063747B" w:rsidP="0063747B">
      <w:pPr>
        <w:spacing w:after="0"/>
        <w:ind w:left="-567"/>
        <w:jc w:val="center"/>
        <w:rPr>
          <w:rFonts w:ascii="Arial" w:hAnsi="Arial" w:cs="Arial"/>
          <w:color w:val="000000"/>
          <w:sz w:val="24"/>
          <w:szCs w:val="24"/>
        </w:rPr>
      </w:pPr>
      <w:r w:rsidRPr="0063747B">
        <w:rPr>
          <w:rFonts w:ascii="Arial" w:hAnsi="Arial" w:cs="Arial"/>
          <w:noProof/>
          <w:color w:val="000000"/>
          <w:sz w:val="24"/>
          <w:szCs w:val="24"/>
        </w:rPr>
        <w:drawing>
          <wp:inline distT="0" distB="0" distL="0" distR="0" wp14:anchorId="1E326FF0" wp14:editId="79AB4E2B">
            <wp:extent cx="4873625" cy="4641012"/>
            <wp:effectExtent l="0" t="0" r="3175" b="7620"/>
            <wp:docPr id="12" name="Gráfico 12">
              <a:extLst xmlns:a="http://schemas.openxmlformats.org/drawingml/2006/main">
                <a:ext uri="{FF2B5EF4-FFF2-40B4-BE49-F238E27FC236}">
                  <a16:creationId xmlns:a16="http://schemas.microsoft.com/office/drawing/2014/main" id="{D50B2556-6855-442F-9A52-59752EF80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2C55C3B" w14:textId="453FFB39" w:rsidR="0063747B" w:rsidRPr="00FB336D" w:rsidRDefault="00FB336D" w:rsidP="00FB336D">
      <w:pPr>
        <w:spacing w:after="0"/>
        <w:ind w:left="-567"/>
        <w:rPr>
          <w:rFonts w:ascii="Arial" w:hAnsi="Arial" w:cs="Arial"/>
          <w:b/>
          <w:bCs/>
          <w:iCs/>
          <w:noProof/>
          <w:sz w:val="24"/>
          <w:szCs w:val="24"/>
          <w:lang w:eastAsia="es-MX"/>
        </w:rPr>
      </w:pPr>
      <w:r w:rsidRPr="00FB336D">
        <w:rPr>
          <w:rFonts w:ascii="Arial" w:hAnsi="Arial" w:cs="Arial"/>
          <w:b/>
          <w:bCs/>
          <w:iCs/>
          <w:noProof/>
          <w:sz w:val="24"/>
          <w:szCs w:val="24"/>
          <w:lang w:eastAsia="es-MX"/>
        </w:rPr>
        <w:lastRenderedPageBreak/>
        <w:t>Capacitación y difusión para el fortalecimiento de la cultura de derechos humanos</w:t>
      </w:r>
      <w:r w:rsidR="00272B24">
        <w:rPr>
          <w:rStyle w:val="Refdenotaalpie"/>
          <w:rFonts w:ascii="Arial" w:hAnsi="Arial" w:cs="Arial"/>
          <w:b/>
          <w:bCs/>
          <w:iCs/>
          <w:noProof/>
          <w:sz w:val="24"/>
          <w:szCs w:val="24"/>
          <w:lang w:eastAsia="es-MX"/>
        </w:rPr>
        <w:footnoteReference w:id="12"/>
      </w:r>
    </w:p>
    <w:p w14:paraId="5D54184D" w14:textId="7E35380E" w:rsidR="0063747B" w:rsidRDefault="0063747B" w:rsidP="0063747B">
      <w:pPr>
        <w:autoSpaceDE w:val="0"/>
        <w:autoSpaceDN w:val="0"/>
        <w:adjustRightInd w:val="0"/>
        <w:spacing w:after="0" w:line="240" w:lineRule="auto"/>
        <w:ind w:left="-567"/>
        <w:jc w:val="both"/>
        <w:rPr>
          <w:rFonts w:ascii="Arial" w:hAnsi="Arial" w:cs="Arial"/>
          <w:color w:val="000000"/>
          <w:sz w:val="24"/>
          <w:szCs w:val="24"/>
        </w:rPr>
      </w:pPr>
    </w:p>
    <w:p w14:paraId="67759BAF" w14:textId="43146138" w:rsidR="00ED5586" w:rsidRDefault="00FF1923" w:rsidP="00144559">
      <w:pPr>
        <w:autoSpaceDE w:val="0"/>
        <w:autoSpaceDN w:val="0"/>
        <w:adjustRightInd w:val="0"/>
        <w:spacing w:after="0" w:line="240" w:lineRule="auto"/>
        <w:ind w:left="-567"/>
        <w:jc w:val="both"/>
        <w:rPr>
          <w:rFonts w:ascii="Arial" w:hAnsi="Arial" w:cs="Arial"/>
          <w:color w:val="000000"/>
          <w:sz w:val="24"/>
          <w:szCs w:val="24"/>
        </w:rPr>
      </w:pPr>
      <w:bookmarkStart w:id="7" w:name="_Hlk89279207"/>
      <w:r>
        <w:rPr>
          <w:rFonts w:ascii="Arial" w:hAnsi="Arial" w:cs="Arial"/>
          <w:color w:val="000000"/>
          <w:sz w:val="24"/>
          <w:szCs w:val="24"/>
        </w:rPr>
        <w:t>Durante 2020, a nivel nacional</w:t>
      </w:r>
      <w:r w:rsidR="00144559" w:rsidRPr="00144559">
        <w:rPr>
          <w:rFonts w:ascii="Arial" w:hAnsi="Arial" w:cs="Arial"/>
          <w:color w:val="000000"/>
          <w:sz w:val="24"/>
          <w:szCs w:val="24"/>
        </w:rPr>
        <w:t xml:space="preserve"> se realizaron </w:t>
      </w:r>
      <w:r>
        <w:rPr>
          <w:rFonts w:ascii="Arial" w:hAnsi="Arial" w:cs="Arial"/>
          <w:color w:val="000000"/>
          <w:sz w:val="24"/>
          <w:szCs w:val="24"/>
        </w:rPr>
        <w:t>22 823</w:t>
      </w:r>
      <w:r w:rsidR="00144559" w:rsidRPr="00144559">
        <w:rPr>
          <w:rFonts w:ascii="Arial" w:hAnsi="Arial" w:cs="Arial"/>
          <w:color w:val="000000"/>
          <w:sz w:val="24"/>
          <w:szCs w:val="24"/>
        </w:rPr>
        <w:t xml:space="preserve"> eventos de capacitación y difusión para el fortalecimiento de la</w:t>
      </w:r>
      <w:r>
        <w:rPr>
          <w:rFonts w:ascii="Arial" w:hAnsi="Arial" w:cs="Arial"/>
          <w:color w:val="000000"/>
          <w:sz w:val="24"/>
          <w:szCs w:val="24"/>
        </w:rPr>
        <w:t xml:space="preserve"> </w:t>
      </w:r>
      <w:r w:rsidR="00144559" w:rsidRPr="00144559">
        <w:rPr>
          <w:rFonts w:ascii="Arial" w:hAnsi="Arial" w:cs="Arial"/>
          <w:color w:val="000000"/>
          <w:sz w:val="24"/>
          <w:szCs w:val="24"/>
        </w:rPr>
        <w:t>cultura de derechos humanos</w:t>
      </w:r>
      <w:r w:rsidR="006E7170">
        <w:rPr>
          <w:rFonts w:ascii="Arial" w:hAnsi="Arial" w:cs="Arial"/>
          <w:color w:val="000000"/>
          <w:sz w:val="24"/>
          <w:szCs w:val="24"/>
        </w:rPr>
        <w:t>:</w:t>
      </w:r>
      <w:r w:rsidR="00144559" w:rsidRPr="00144559">
        <w:rPr>
          <w:rFonts w:ascii="Arial" w:hAnsi="Arial" w:cs="Arial"/>
          <w:color w:val="000000"/>
          <w:sz w:val="24"/>
          <w:szCs w:val="24"/>
        </w:rPr>
        <w:t xml:space="preserve"> </w:t>
      </w:r>
      <w:r w:rsidRPr="00FF1923">
        <w:rPr>
          <w:rFonts w:ascii="Arial" w:hAnsi="Arial" w:cs="Arial"/>
          <w:color w:val="000000"/>
          <w:sz w:val="24"/>
          <w:szCs w:val="24"/>
        </w:rPr>
        <w:t>2</w:t>
      </w:r>
      <w:r>
        <w:rPr>
          <w:rFonts w:ascii="Arial" w:hAnsi="Arial" w:cs="Arial"/>
          <w:color w:val="000000"/>
          <w:sz w:val="24"/>
          <w:szCs w:val="24"/>
        </w:rPr>
        <w:t xml:space="preserve"> </w:t>
      </w:r>
      <w:r w:rsidRPr="00FF1923">
        <w:rPr>
          <w:rFonts w:ascii="Arial" w:hAnsi="Arial" w:cs="Arial"/>
          <w:color w:val="000000"/>
          <w:sz w:val="24"/>
          <w:szCs w:val="24"/>
        </w:rPr>
        <w:t>961</w:t>
      </w:r>
      <w:r w:rsidR="00651194">
        <w:rPr>
          <w:rFonts w:ascii="Arial" w:hAnsi="Arial" w:cs="Arial"/>
          <w:color w:val="000000"/>
          <w:sz w:val="24"/>
          <w:szCs w:val="24"/>
        </w:rPr>
        <w:t xml:space="preserve"> </w:t>
      </w:r>
      <w:r w:rsidR="00144559" w:rsidRPr="00144559">
        <w:rPr>
          <w:rFonts w:ascii="Arial" w:hAnsi="Arial" w:cs="Arial"/>
          <w:color w:val="000000"/>
          <w:sz w:val="24"/>
          <w:szCs w:val="24"/>
        </w:rPr>
        <w:t xml:space="preserve">en la CNDH y </w:t>
      </w:r>
      <w:r w:rsidRPr="00FF1923">
        <w:rPr>
          <w:rFonts w:ascii="Arial" w:hAnsi="Arial" w:cs="Arial"/>
          <w:color w:val="000000"/>
          <w:sz w:val="24"/>
          <w:szCs w:val="24"/>
        </w:rPr>
        <w:t>19</w:t>
      </w:r>
      <w:r>
        <w:rPr>
          <w:rFonts w:ascii="Arial" w:hAnsi="Arial" w:cs="Arial"/>
          <w:color w:val="000000"/>
          <w:sz w:val="24"/>
          <w:szCs w:val="24"/>
        </w:rPr>
        <w:t xml:space="preserve"> </w:t>
      </w:r>
      <w:r w:rsidRPr="00FF1923">
        <w:rPr>
          <w:rFonts w:ascii="Arial" w:hAnsi="Arial" w:cs="Arial"/>
          <w:color w:val="000000"/>
          <w:sz w:val="24"/>
          <w:szCs w:val="24"/>
        </w:rPr>
        <w:t>862</w:t>
      </w:r>
      <w:r w:rsidR="00651194">
        <w:rPr>
          <w:rFonts w:ascii="Arial" w:hAnsi="Arial" w:cs="Arial"/>
          <w:color w:val="000000"/>
          <w:sz w:val="24"/>
          <w:szCs w:val="24"/>
        </w:rPr>
        <w:t xml:space="preserve"> </w:t>
      </w:r>
      <w:r w:rsidR="00144559" w:rsidRPr="00144559">
        <w:rPr>
          <w:rFonts w:ascii="Arial" w:hAnsi="Arial" w:cs="Arial"/>
          <w:color w:val="000000"/>
          <w:sz w:val="24"/>
          <w:szCs w:val="24"/>
        </w:rPr>
        <w:t>en los OPDH.</w:t>
      </w:r>
      <w:r>
        <w:rPr>
          <w:rFonts w:ascii="Arial" w:hAnsi="Arial" w:cs="Arial"/>
          <w:color w:val="000000"/>
          <w:sz w:val="24"/>
          <w:szCs w:val="24"/>
        </w:rPr>
        <w:t xml:space="preserve"> </w:t>
      </w:r>
      <w:r w:rsidR="00F050CA">
        <w:rPr>
          <w:rFonts w:ascii="Arial" w:hAnsi="Arial" w:cs="Arial"/>
          <w:color w:val="000000"/>
          <w:sz w:val="24"/>
          <w:szCs w:val="24"/>
        </w:rPr>
        <w:t>Comparado con</w:t>
      </w:r>
      <w:r w:rsidR="00105B04">
        <w:rPr>
          <w:rFonts w:ascii="Arial" w:hAnsi="Arial" w:cs="Arial"/>
          <w:color w:val="000000"/>
          <w:sz w:val="24"/>
          <w:szCs w:val="24"/>
        </w:rPr>
        <w:t xml:space="preserve"> 2019</w:t>
      </w:r>
      <w:r w:rsidR="00105B04">
        <w:rPr>
          <w:rStyle w:val="Refdenotaalpie"/>
          <w:rFonts w:ascii="Arial" w:hAnsi="Arial" w:cs="Arial"/>
          <w:color w:val="000000"/>
          <w:sz w:val="24"/>
          <w:szCs w:val="24"/>
        </w:rPr>
        <w:footnoteReference w:id="13"/>
      </w:r>
      <w:r w:rsidR="00105B04">
        <w:rPr>
          <w:rFonts w:ascii="Arial" w:hAnsi="Arial" w:cs="Arial"/>
          <w:color w:val="000000"/>
          <w:sz w:val="24"/>
          <w:szCs w:val="24"/>
        </w:rPr>
        <w:t>, la cantidad de eventos realizados disminuyó 45.4% en 2020</w:t>
      </w:r>
      <w:bookmarkEnd w:id="7"/>
      <w:r w:rsidR="00105B04">
        <w:rPr>
          <w:rFonts w:ascii="Arial" w:hAnsi="Arial" w:cs="Arial"/>
          <w:color w:val="000000"/>
          <w:sz w:val="24"/>
          <w:szCs w:val="24"/>
        </w:rPr>
        <w:t xml:space="preserve">. </w:t>
      </w:r>
      <w:r>
        <w:rPr>
          <w:rFonts w:ascii="Arial" w:hAnsi="Arial" w:cs="Arial"/>
          <w:color w:val="000000"/>
          <w:sz w:val="24"/>
          <w:szCs w:val="24"/>
        </w:rPr>
        <w:t>Del total nacional, de acuerdo con el medio de presentación</w:t>
      </w:r>
      <w:r w:rsidR="00F050CA">
        <w:rPr>
          <w:rFonts w:ascii="Arial" w:hAnsi="Arial" w:cs="Arial"/>
          <w:color w:val="000000"/>
          <w:sz w:val="24"/>
          <w:szCs w:val="24"/>
        </w:rPr>
        <w:t>,</w:t>
      </w:r>
      <w:r>
        <w:rPr>
          <w:rFonts w:ascii="Arial" w:hAnsi="Arial" w:cs="Arial"/>
          <w:color w:val="000000"/>
          <w:sz w:val="24"/>
          <w:szCs w:val="24"/>
        </w:rPr>
        <w:t xml:space="preserve"> </w:t>
      </w:r>
      <w:r w:rsidR="00F050CA">
        <w:rPr>
          <w:rFonts w:ascii="Arial" w:hAnsi="Arial" w:cs="Arial"/>
          <w:color w:val="000000"/>
          <w:sz w:val="24"/>
          <w:szCs w:val="24"/>
        </w:rPr>
        <w:t xml:space="preserve">43.0% fue </w:t>
      </w:r>
      <w:r>
        <w:rPr>
          <w:rFonts w:ascii="Arial" w:hAnsi="Arial" w:cs="Arial"/>
          <w:color w:val="000000"/>
          <w:sz w:val="24"/>
          <w:szCs w:val="24"/>
        </w:rPr>
        <w:t xml:space="preserve">realizado </w:t>
      </w:r>
      <w:r w:rsidR="007D720A">
        <w:rPr>
          <w:rFonts w:ascii="Arial" w:hAnsi="Arial" w:cs="Arial"/>
          <w:color w:val="000000"/>
          <w:sz w:val="24"/>
          <w:szCs w:val="24"/>
        </w:rPr>
        <w:t>en línea</w:t>
      </w:r>
      <w:r w:rsidR="00ED5586">
        <w:rPr>
          <w:rFonts w:ascii="Arial" w:hAnsi="Arial" w:cs="Arial"/>
          <w:color w:val="000000"/>
          <w:sz w:val="24"/>
          <w:szCs w:val="24"/>
        </w:rPr>
        <w:t>, 39.7% fue presencial y 17.3% fue síncrono.</w:t>
      </w:r>
    </w:p>
    <w:p w14:paraId="64346115" w14:textId="77777777" w:rsidR="00272B24" w:rsidRDefault="00272B24" w:rsidP="00144559">
      <w:pPr>
        <w:autoSpaceDE w:val="0"/>
        <w:autoSpaceDN w:val="0"/>
        <w:adjustRightInd w:val="0"/>
        <w:spacing w:after="0" w:line="240" w:lineRule="auto"/>
        <w:ind w:left="-567"/>
        <w:jc w:val="both"/>
        <w:rPr>
          <w:rFonts w:ascii="Arial" w:hAnsi="Arial" w:cs="Arial"/>
          <w:color w:val="000000"/>
          <w:sz w:val="24"/>
          <w:szCs w:val="24"/>
        </w:rPr>
      </w:pPr>
    </w:p>
    <w:p w14:paraId="189D7F18" w14:textId="59E53D76" w:rsidR="00CD5DCB" w:rsidRDefault="00272B24" w:rsidP="00272B24">
      <w:pPr>
        <w:spacing w:after="0"/>
        <w:ind w:left="-567"/>
        <w:jc w:val="center"/>
        <w:rPr>
          <w:rFonts w:ascii="Arial" w:hAnsi="Arial" w:cs="Arial"/>
          <w:b/>
          <w:bCs/>
          <w:i/>
          <w:iCs/>
          <w:color w:val="87AD8A"/>
          <w:sz w:val="18"/>
          <w:szCs w:val="24"/>
        </w:rPr>
      </w:pPr>
      <w:r w:rsidRPr="00AE7928">
        <w:rPr>
          <w:rFonts w:ascii="Arial" w:hAnsi="Arial" w:cs="Arial"/>
          <w:b/>
          <w:bCs/>
          <w:i/>
          <w:iCs/>
          <w:color w:val="87AD8A"/>
          <w:sz w:val="18"/>
          <w:szCs w:val="24"/>
        </w:rPr>
        <w:t xml:space="preserve">Gráfica </w:t>
      </w:r>
      <w:r>
        <w:rPr>
          <w:rFonts w:ascii="Arial" w:hAnsi="Arial" w:cs="Arial"/>
          <w:b/>
          <w:bCs/>
          <w:i/>
          <w:iCs/>
          <w:color w:val="87AD8A"/>
          <w:sz w:val="18"/>
          <w:szCs w:val="24"/>
        </w:rPr>
        <w:t>1</w:t>
      </w:r>
      <w:r w:rsidR="00F050CA">
        <w:rPr>
          <w:rFonts w:ascii="Arial" w:hAnsi="Arial" w:cs="Arial"/>
          <w:b/>
          <w:bCs/>
          <w:i/>
          <w:iCs/>
          <w:color w:val="87AD8A"/>
          <w:sz w:val="18"/>
          <w:szCs w:val="24"/>
        </w:rPr>
        <w:t>4</w:t>
      </w:r>
      <w:r w:rsidRPr="00AE7928">
        <w:rPr>
          <w:rFonts w:ascii="Arial" w:hAnsi="Arial" w:cs="Arial"/>
          <w:b/>
          <w:bCs/>
          <w:i/>
          <w:iCs/>
          <w:color w:val="87AD8A"/>
          <w:sz w:val="18"/>
          <w:szCs w:val="24"/>
        </w:rPr>
        <w:t xml:space="preserve">. </w:t>
      </w:r>
      <w:r w:rsidR="00F050CA">
        <w:rPr>
          <w:rFonts w:ascii="Arial" w:hAnsi="Arial" w:cs="Arial"/>
          <w:b/>
          <w:bCs/>
          <w:i/>
          <w:iCs/>
          <w:color w:val="87AD8A"/>
          <w:sz w:val="18"/>
          <w:szCs w:val="24"/>
        </w:rPr>
        <w:t>E</w:t>
      </w:r>
      <w:r w:rsidRPr="00272B24">
        <w:rPr>
          <w:rFonts w:ascii="Arial" w:hAnsi="Arial" w:cs="Arial"/>
          <w:b/>
          <w:bCs/>
          <w:i/>
          <w:iCs/>
          <w:color w:val="87AD8A"/>
          <w:sz w:val="18"/>
          <w:szCs w:val="24"/>
        </w:rPr>
        <w:t>ventos de capacitación y difusión para el fortalecimiento de la cultura de derechos humanos</w:t>
      </w:r>
    </w:p>
    <w:p w14:paraId="52F88E2A" w14:textId="1CC02A04" w:rsidR="00ED5586" w:rsidRDefault="00272B24" w:rsidP="00272B24">
      <w:pPr>
        <w:spacing w:after="0"/>
        <w:ind w:left="-567"/>
        <w:jc w:val="center"/>
        <w:rPr>
          <w:rFonts w:ascii="Arial" w:hAnsi="Arial" w:cs="Arial"/>
          <w:b/>
          <w:bCs/>
          <w:i/>
          <w:iCs/>
          <w:color w:val="87AD8A"/>
          <w:sz w:val="18"/>
          <w:szCs w:val="24"/>
        </w:rPr>
      </w:pPr>
      <w:r w:rsidRPr="00272B24">
        <w:rPr>
          <w:rFonts w:ascii="Arial" w:hAnsi="Arial" w:cs="Arial"/>
          <w:b/>
          <w:bCs/>
          <w:i/>
          <w:iCs/>
          <w:color w:val="87AD8A"/>
          <w:sz w:val="18"/>
          <w:szCs w:val="24"/>
        </w:rPr>
        <w:t xml:space="preserve">realizados, </w:t>
      </w:r>
      <w:r w:rsidR="00235EFC">
        <w:rPr>
          <w:rFonts w:ascii="Arial" w:hAnsi="Arial" w:cs="Arial"/>
          <w:b/>
          <w:bCs/>
          <w:i/>
          <w:iCs/>
          <w:color w:val="87AD8A"/>
          <w:sz w:val="18"/>
          <w:szCs w:val="24"/>
        </w:rPr>
        <w:t xml:space="preserve">2017 a </w:t>
      </w:r>
      <w:r>
        <w:rPr>
          <w:rFonts w:ascii="Arial" w:hAnsi="Arial" w:cs="Arial"/>
          <w:b/>
          <w:bCs/>
          <w:i/>
          <w:iCs/>
          <w:color w:val="87AD8A"/>
          <w:sz w:val="18"/>
          <w:szCs w:val="24"/>
        </w:rPr>
        <w:t>2020</w:t>
      </w:r>
    </w:p>
    <w:p w14:paraId="63A03BAA" w14:textId="037C74D2" w:rsidR="006F56BA" w:rsidRDefault="006F56BA" w:rsidP="00272B24">
      <w:pPr>
        <w:spacing w:after="0"/>
        <w:ind w:left="-567"/>
        <w:jc w:val="center"/>
        <w:rPr>
          <w:rFonts w:ascii="Arial" w:hAnsi="Arial" w:cs="Arial"/>
          <w:noProof/>
          <w:color w:val="000000"/>
          <w:sz w:val="24"/>
          <w:szCs w:val="24"/>
        </w:rPr>
      </w:pPr>
      <w:r w:rsidRPr="006F56BA">
        <w:rPr>
          <w:rFonts w:ascii="Arial" w:hAnsi="Arial" w:cs="Arial"/>
          <w:noProof/>
          <w:color w:val="000000"/>
          <w:sz w:val="24"/>
          <w:szCs w:val="24"/>
        </w:rPr>
        <w:drawing>
          <wp:inline distT="0" distB="0" distL="0" distR="0" wp14:anchorId="589A45F3" wp14:editId="37CB1617">
            <wp:extent cx="5745192" cy="1846053"/>
            <wp:effectExtent l="0" t="0" r="8255" b="1905"/>
            <wp:docPr id="15" name="Gráfico 15">
              <a:extLst xmlns:a="http://schemas.openxmlformats.org/drawingml/2006/main">
                <a:ext uri="{FF2B5EF4-FFF2-40B4-BE49-F238E27FC236}">
                  <a16:creationId xmlns:a16="http://schemas.microsoft.com/office/drawing/2014/main" id="{D1D64764-F3D7-479C-91C8-FF5A567224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7954820" w14:textId="7FE26AB2" w:rsidR="00105B04" w:rsidRDefault="00105B04" w:rsidP="00487CAC">
      <w:pPr>
        <w:autoSpaceDE w:val="0"/>
        <w:autoSpaceDN w:val="0"/>
        <w:adjustRightInd w:val="0"/>
        <w:spacing w:after="0" w:line="240" w:lineRule="auto"/>
        <w:ind w:left="-567"/>
        <w:jc w:val="both"/>
        <w:rPr>
          <w:rFonts w:ascii="Arial" w:hAnsi="Arial" w:cs="Arial"/>
          <w:color w:val="000000"/>
          <w:sz w:val="24"/>
          <w:szCs w:val="24"/>
        </w:rPr>
      </w:pPr>
      <w:r w:rsidRPr="00144559">
        <w:rPr>
          <w:rFonts w:ascii="Arial" w:hAnsi="Arial" w:cs="Arial"/>
          <w:color w:val="000000"/>
          <w:sz w:val="24"/>
          <w:szCs w:val="24"/>
        </w:rPr>
        <w:t>Las entidades donde</w:t>
      </w:r>
      <w:r>
        <w:rPr>
          <w:rFonts w:ascii="Arial" w:hAnsi="Arial" w:cs="Arial"/>
          <w:color w:val="000000"/>
          <w:sz w:val="24"/>
          <w:szCs w:val="24"/>
        </w:rPr>
        <w:t xml:space="preserve"> </w:t>
      </w:r>
      <w:r w:rsidRPr="00144559">
        <w:rPr>
          <w:rFonts w:ascii="Arial" w:hAnsi="Arial" w:cs="Arial"/>
          <w:color w:val="000000"/>
          <w:sz w:val="24"/>
          <w:szCs w:val="24"/>
        </w:rPr>
        <w:t xml:space="preserve">se realizaron </w:t>
      </w:r>
      <w:r w:rsidR="00487CAC">
        <w:rPr>
          <w:rFonts w:ascii="Arial" w:hAnsi="Arial" w:cs="Arial"/>
          <w:color w:val="000000"/>
          <w:sz w:val="24"/>
          <w:szCs w:val="24"/>
        </w:rPr>
        <w:t>más</w:t>
      </w:r>
      <w:r w:rsidRPr="00144559">
        <w:rPr>
          <w:rFonts w:ascii="Arial" w:hAnsi="Arial" w:cs="Arial"/>
          <w:color w:val="000000"/>
          <w:sz w:val="24"/>
          <w:szCs w:val="24"/>
        </w:rPr>
        <w:t xml:space="preserve"> eventos fueron México (</w:t>
      </w:r>
      <w:r w:rsidR="004E5EDC" w:rsidRPr="004E5EDC">
        <w:rPr>
          <w:rFonts w:ascii="Arial" w:hAnsi="Arial" w:cs="Arial"/>
          <w:color w:val="000000"/>
          <w:sz w:val="24"/>
          <w:szCs w:val="24"/>
        </w:rPr>
        <w:t>2</w:t>
      </w:r>
      <w:r w:rsidR="004E5EDC">
        <w:rPr>
          <w:rFonts w:ascii="Arial" w:hAnsi="Arial" w:cs="Arial"/>
          <w:color w:val="000000"/>
          <w:sz w:val="24"/>
          <w:szCs w:val="24"/>
        </w:rPr>
        <w:t xml:space="preserve"> </w:t>
      </w:r>
      <w:r w:rsidR="004E5EDC" w:rsidRPr="004E5EDC">
        <w:rPr>
          <w:rFonts w:ascii="Arial" w:hAnsi="Arial" w:cs="Arial"/>
          <w:color w:val="000000"/>
          <w:sz w:val="24"/>
          <w:szCs w:val="24"/>
        </w:rPr>
        <w:t>841</w:t>
      </w:r>
      <w:r w:rsidRPr="00144559">
        <w:rPr>
          <w:rFonts w:ascii="Arial" w:hAnsi="Arial" w:cs="Arial"/>
          <w:color w:val="000000"/>
          <w:sz w:val="24"/>
          <w:szCs w:val="24"/>
        </w:rPr>
        <w:t>) y Coahuila de</w:t>
      </w:r>
      <w:r>
        <w:rPr>
          <w:rFonts w:ascii="Arial" w:hAnsi="Arial" w:cs="Arial"/>
          <w:color w:val="000000"/>
          <w:sz w:val="24"/>
          <w:szCs w:val="24"/>
        </w:rPr>
        <w:t xml:space="preserve"> </w:t>
      </w:r>
      <w:r w:rsidRPr="00144559">
        <w:rPr>
          <w:rFonts w:ascii="Arial" w:hAnsi="Arial" w:cs="Arial"/>
          <w:color w:val="000000"/>
          <w:sz w:val="24"/>
          <w:szCs w:val="24"/>
        </w:rPr>
        <w:t>Zaragoza (</w:t>
      </w:r>
      <w:r w:rsidR="007E6CB8" w:rsidRPr="007E6CB8">
        <w:rPr>
          <w:rFonts w:ascii="Arial" w:hAnsi="Arial" w:cs="Arial"/>
          <w:color w:val="000000"/>
          <w:sz w:val="24"/>
          <w:szCs w:val="24"/>
        </w:rPr>
        <w:t>2</w:t>
      </w:r>
      <w:r w:rsidR="007E6CB8">
        <w:rPr>
          <w:rFonts w:ascii="Arial" w:hAnsi="Arial" w:cs="Arial"/>
          <w:color w:val="000000"/>
          <w:sz w:val="24"/>
          <w:szCs w:val="24"/>
        </w:rPr>
        <w:t xml:space="preserve"> </w:t>
      </w:r>
      <w:r w:rsidR="007E6CB8" w:rsidRPr="007E6CB8">
        <w:rPr>
          <w:rFonts w:ascii="Arial" w:hAnsi="Arial" w:cs="Arial"/>
          <w:color w:val="000000"/>
          <w:sz w:val="24"/>
          <w:szCs w:val="24"/>
        </w:rPr>
        <w:t>007</w:t>
      </w:r>
      <w:r w:rsidRPr="00144559">
        <w:rPr>
          <w:rFonts w:ascii="Arial" w:hAnsi="Arial" w:cs="Arial"/>
          <w:color w:val="000000"/>
          <w:sz w:val="24"/>
          <w:szCs w:val="24"/>
        </w:rPr>
        <w:t>).</w:t>
      </w:r>
    </w:p>
    <w:p w14:paraId="03271309" w14:textId="77777777" w:rsidR="007E6CB8" w:rsidRDefault="007E6CB8" w:rsidP="007E6CB8">
      <w:pPr>
        <w:autoSpaceDE w:val="0"/>
        <w:autoSpaceDN w:val="0"/>
        <w:adjustRightInd w:val="0"/>
        <w:spacing w:after="0" w:line="240" w:lineRule="auto"/>
        <w:ind w:left="-567"/>
        <w:jc w:val="center"/>
        <w:rPr>
          <w:rFonts w:ascii="Arial" w:hAnsi="Arial" w:cs="Arial"/>
          <w:color w:val="000000"/>
          <w:sz w:val="24"/>
          <w:szCs w:val="24"/>
        </w:rPr>
      </w:pPr>
    </w:p>
    <w:p w14:paraId="032F6B39" w14:textId="1EC3A30E" w:rsidR="007E6CB8" w:rsidRPr="007E6CB8" w:rsidRDefault="00B13603" w:rsidP="007E6CB8">
      <w:pPr>
        <w:autoSpaceDE w:val="0"/>
        <w:autoSpaceDN w:val="0"/>
        <w:adjustRightInd w:val="0"/>
        <w:spacing w:after="0" w:line="240" w:lineRule="auto"/>
        <w:ind w:left="-567"/>
        <w:jc w:val="center"/>
        <w:rPr>
          <w:rFonts w:ascii="Arial" w:hAnsi="Arial" w:cs="Arial"/>
          <w:b/>
          <w:bCs/>
          <w:i/>
          <w:iCs/>
          <w:color w:val="87AD8A"/>
          <w:sz w:val="18"/>
          <w:szCs w:val="24"/>
        </w:rPr>
      </w:pPr>
      <w:r>
        <w:rPr>
          <w:rFonts w:ascii="Arial" w:hAnsi="Arial" w:cs="Arial"/>
          <w:b/>
          <w:bCs/>
          <w:i/>
          <w:iCs/>
          <w:color w:val="87AD8A"/>
          <w:sz w:val="18"/>
          <w:szCs w:val="24"/>
        </w:rPr>
        <w:t xml:space="preserve">Mapa </w:t>
      </w:r>
      <w:r w:rsidR="007E6CB8">
        <w:rPr>
          <w:rFonts w:ascii="Arial" w:hAnsi="Arial" w:cs="Arial"/>
          <w:b/>
          <w:bCs/>
          <w:i/>
          <w:iCs/>
          <w:color w:val="87AD8A"/>
          <w:sz w:val="18"/>
          <w:szCs w:val="24"/>
        </w:rPr>
        <w:t>3</w:t>
      </w:r>
      <w:r w:rsidR="007E6CB8" w:rsidRPr="00AE7928">
        <w:rPr>
          <w:rFonts w:ascii="Arial" w:hAnsi="Arial" w:cs="Arial"/>
          <w:b/>
          <w:bCs/>
          <w:i/>
          <w:iCs/>
          <w:color w:val="87AD8A"/>
          <w:sz w:val="18"/>
          <w:szCs w:val="24"/>
        </w:rPr>
        <w:t xml:space="preserve">. </w:t>
      </w:r>
      <w:r w:rsidR="00F050CA">
        <w:rPr>
          <w:rFonts w:ascii="Arial" w:hAnsi="Arial" w:cs="Arial"/>
          <w:b/>
          <w:bCs/>
          <w:i/>
          <w:iCs/>
          <w:color w:val="87AD8A"/>
          <w:sz w:val="18"/>
          <w:szCs w:val="24"/>
        </w:rPr>
        <w:t>E</w:t>
      </w:r>
      <w:r w:rsidR="007E6CB8" w:rsidRPr="007E6CB8">
        <w:rPr>
          <w:rFonts w:ascii="Arial" w:hAnsi="Arial" w:cs="Arial"/>
          <w:b/>
          <w:bCs/>
          <w:i/>
          <w:iCs/>
          <w:color w:val="87AD8A"/>
          <w:sz w:val="18"/>
          <w:szCs w:val="24"/>
        </w:rPr>
        <w:t>ventos de capacitación y difusión para el fortalecimiento de la cultura de derechos</w:t>
      </w:r>
    </w:p>
    <w:p w14:paraId="4A47380F" w14:textId="77777777" w:rsidR="00B66B2F" w:rsidRDefault="007E6CB8" w:rsidP="00FF1059">
      <w:pPr>
        <w:autoSpaceDE w:val="0"/>
        <w:autoSpaceDN w:val="0"/>
        <w:adjustRightInd w:val="0"/>
        <w:spacing w:after="0" w:line="240" w:lineRule="auto"/>
        <w:ind w:left="-567"/>
        <w:jc w:val="center"/>
        <w:rPr>
          <w:rFonts w:ascii="Arial" w:hAnsi="Arial" w:cs="Arial"/>
          <w:b/>
          <w:bCs/>
          <w:i/>
          <w:iCs/>
          <w:color w:val="87AD8A"/>
          <w:sz w:val="18"/>
          <w:szCs w:val="24"/>
        </w:rPr>
      </w:pPr>
      <w:r w:rsidRPr="007E6CB8">
        <w:rPr>
          <w:rFonts w:ascii="Arial" w:hAnsi="Arial" w:cs="Arial"/>
          <w:b/>
          <w:bCs/>
          <w:i/>
          <w:iCs/>
          <w:color w:val="87AD8A"/>
          <w:sz w:val="18"/>
          <w:szCs w:val="24"/>
        </w:rPr>
        <w:t>humanos realizados por la CNDH y OPDH, por entidad federativa, 20</w:t>
      </w:r>
      <w:r w:rsidR="00B13603">
        <w:rPr>
          <w:rFonts w:ascii="Arial" w:hAnsi="Arial" w:cs="Arial"/>
          <w:b/>
          <w:bCs/>
          <w:i/>
          <w:iCs/>
          <w:color w:val="87AD8A"/>
          <w:sz w:val="18"/>
          <w:szCs w:val="24"/>
        </w:rPr>
        <w:t>20</w:t>
      </w:r>
    </w:p>
    <w:p w14:paraId="4D4FC069" w14:textId="417BED31" w:rsidR="00105B04" w:rsidRDefault="007E6CB8" w:rsidP="00FF1059">
      <w:pPr>
        <w:autoSpaceDE w:val="0"/>
        <w:autoSpaceDN w:val="0"/>
        <w:adjustRightInd w:val="0"/>
        <w:spacing w:after="0" w:line="240" w:lineRule="auto"/>
        <w:ind w:left="-567"/>
        <w:jc w:val="center"/>
        <w:rPr>
          <w:rFonts w:ascii="Arial" w:hAnsi="Arial" w:cs="Arial"/>
          <w:color w:val="000000"/>
          <w:sz w:val="24"/>
          <w:szCs w:val="24"/>
        </w:rPr>
      </w:pPr>
      <w:r w:rsidRPr="007E6CB8">
        <w:rPr>
          <w:rFonts w:ascii="Arial" w:hAnsi="Arial" w:cs="Arial"/>
          <w:b/>
          <w:bCs/>
          <w:i/>
          <w:iCs/>
          <w:color w:val="87AD8A"/>
          <w:sz w:val="18"/>
          <w:szCs w:val="24"/>
        </w:rPr>
        <w:cr/>
      </w:r>
      <w:r>
        <w:rPr>
          <w:rFonts w:ascii="Arial" w:hAnsi="Arial" w:cs="Arial"/>
          <w:noProof/>
          <w:color w:val="000000"/>
          <w:sz w:val="24"/>
          <w:szCs w:val="24"/>
        </w:rPr>
        <w:drawing>
          <wp:inline distT="0" distB="0" distL="0" distR="0" wp14:anchorId="3E5A086E" wp14:editId="30EFAFDC">
            <wp:extent cx="4801265" cy="303649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79988" cy="3086285"/>
                    </a:xfrm>
                    <a:prstGeom prst="rect">
                      <a:avLst/>
                    </a:prstGeom>
                    <a:noFill/>
                  </pic:spPr>
                </pic:pic>
              </a:graphicData>
            </a:graphic>
          </wp:inline>
        </w:drawing>
      </w:r>
    </w:p>
    <w:p w14:paraId="0E384C80" w14:textId="717C9F8D" w:rsidR="0063747B" w:rsidRDefault="0063747B" w:rsidP="0063747B">
      <w:pPr>
        <w:autoSpaceDE w:val="0"/>
        <w:autoSpaceDN w:val="0"/>
        <w:adjustRightInd w:val="0"/>
        <w:spacing w:after="0" w:line="240" w:lineRule="auto"/>
        <w:ind w:left="-567"/>
        <w:jc w:val="both"/>
        <w:rPr>
          <w:rFonts w:ascii="Arial" w:hAnsi="Arial" w:cs="Arial"/>
          <w:color w:val="000000"/>
          <w:sz w:val="24"/>
          <w:szCs w:val="24"/>
        </w:rPr>
      </w:pPr>
    </w:p>
    <w:p w14:paraId="1BCE5D3F" w14:textId="1664F0C6" w:rsidR="00216ADE" w:rsidRDefault="00254ED9" w:rsidP="00254ED9">
      <w:pPr>
        <w:autoSpaceDE w:val="0"/>
        <w:autoSpaceDN w:val="0"/>
        <w:adjustRightInd w:val="0"/>
        <w:spacing w:after="0" w:line="240" w:lineRule="auto"/>
        <w:ind w:left="-567"/>
        <w:jc w:val="both"/>
        <w:rPr>
          <w:rFonts w:ascii="Arial" w:hAnsi="Arial" w:cs="Arial"/>
          <w:color w:val="000000"/>
          <w:sz w:val="24"/>
          <w:szCs w:val="24"/>
        </w:rPr>
      </w:pPr>
      <w:r w:rsidRPr="00254ED9">
        <w:rPr>
          <w:rFonts w:ascii="Arial" w:hAnsi="Arial" w:cs="Arial"/>
          <w:color w:val="000000"/>
          <w:sz w:val="24"/>
          <w:szCs w:val="24"/>
        </w:rPr>
        <w:t xml:space="preserve">De acuerdo con los temas </w:t>
      </w:r>
      <w:r w:rsidR="008649CC">
        <w:rPr>
          <w:rFonts w:ascii="Arial" w:hAnsi="Arial" w:cs="Arial"/>
          <w:color w:val="000000"/>
          <w:sz w:val="24"/>
          <w:szCs w:val="24"/>
        </w:rPr>
        <w:t>impartidos en</w:t>
      </w:r>
      <w:r w:rsidRPr="00254ED9">
        <w:rPr>
          <w:rFonts w:ascii="Arial" w:hAnsi="Arial" w:cs="Arial"/>
          <w:color w:val="000000"/>
          <w:sz w:val="24"/>
          <w:szCs w:val="24"/>
        </w:rPr>
        <w:t xml:space="preserve"> los eventos</w:t>
      </w:r>
      <w:r w:rsidR="008649CC">
        <w:rPr>
          <w:rFonts w:ascii="Arial" w:hAnsi="Arial" w:cs="Arial"/>
          <w:color w:val="000000"/>
          <w:sz w:val="24"/>
          <w:szCs w:val="24"/>
        </w:rPr>
        <w:t xml:space="preserve"> de capacitación</w:t>
      </w:r>
      <w:r w:rsidRPr="00254ED9">
        <w:rPr>
          <w:rFonts w:ascii="Arial" w:hAnsi="Arial" w:cs="Arial"/>
          <w:color w:val="000000"/>
          <w:sz w:val="24"/>
          <w:szCs w:val="24"/>
        </w:rPr>
        <w:t xml:space="preserve"> realizados </w:t>
      </w:r>
      <w:r w:rsidR="00824043">
        <w:rPr>
          <w:rFonts w:ascii="Arial" w:hAnsi="Arial" w:cs="Arial"/>
          <w:color w:val="000000"/>
          <w:sz w:val="24"/>
          <w:szCs w:val="24"/>
        </w:rPr>
        <w:t>por</w:t>
      </w:r>
      <w:r w:rsidR="00824043" w:rsidRPr="00254ED9">
        <w:rPr>
          <w:rFonts w:ascii="Arial" w:hAnsi="Arial" w:cs="Arial"/>
          <w:color w:val="000000"/>
          <w:sz w:val="24"/>
          <w:szCs w:val="24"/>
        </w:rPr>
        <w:t xml:space="preserve"> </w:t>
      </w:r>
      <w:r w:rsidRPr="00254ED9">
        <w:rPr>
          <w:rFonts w:ascii="Arial" w:hAnsi="Arial" w:cs="Arial"/>
          <w:color w:val="000000"/>
          <w:sz w:val="24"/>
          <w:szCs w:val="24"/>
        </w:rPr>
        <w:t>la CNDH y los OPDH, se registró</w:t>
      </w:r>
      <w:r>
        <w:rPr>
          <w:rFonts w:ascii="Arial" w:hAnsi="Arial" w:cs="Arial"/>
          <w:color w:val="000000"/>
          <w:sz w:val="24"/>
          <w:szCs w:val="24"/>
        </w:rPr>
        <w:t xml:space="preserve"> </w:t>
      </w:r>
      <w:r w:rsidRPr="00254ED9">
        <w:rPr>
          <w:rFonts w:ascii="Arial" w:hAnsi="Arial" w:cs="Arial"/>
          <w:color w:val="000000"/>
          <w:sz w:val="24"/>
          <w:szCs w:val="24"/>
        </w:rPr>
        <w:t xml:space="preserve">que </w:t>
      </w:r>
      <w:r w:rsidR="00A810DC">
        <w:rPr>
          <w:rFonts w:ascii="Arial" w:hAnsi="Arial" w:cs="Arial"/>
          <w:color w:val="000000"/>
          <w:sz w:val="24"/>
          <w:szCs w:val="24"/>
        </w:rPr>
        <w:t xml:space="preserve">la mayor parte de </w:t>
      </w:r>
      <w:r w:rsidR="006E7170">
        <w:rPr>
          <w:rFonts w:ascii="Arial" w:hAnsi="Arial" w:cs="Arial"/>
          <w:color w:val="000000"/>
          <w:sz w:val="24"/>
          <w:szCs w:val="24"/>
        </w:rPr>
        <w:t>e</w:t>
      </w:r>
      <w:r w:rsidR="00A810DC">
        <w:rPr>
          <w:rFonts w:ascii="Arial" w:hAnsi="Arial" w:cs="Arial"/>
          <w:color w:val="000000"/>
          <w:sz w:val="24"/>
          <w:szCs w:val="24"/>
        </w:rPr>
        <w:t>stos (3 233), abordó el tema de l</w:t>
      </w:r>
      <w:r w:rsidRPr="00254ED9">
        <w:rPr>
          <w:rFonts w:ascii="Arial" w:hAnsi="Arial" w:cs="Arial"/>
          <w:color w:val="000000"/>
          <w:sz w:val="24"/>
          <w:szCs w:val="24"/>
        </w:rPr>
        <w:t>os derechos de las niñas, niños y adolescentes.</w:t>
      </w:r>
    </w:p>
    <w:p w14:paraId="6FA31F84" w14:textId="77777777" w:rsidR="00254ED9" w:rsidRDefault="00254ED9" w:rsidP="00254ED9">
      <w:pPr>
        <w:autoSpaceDE w:val="0"/>
        <w:autoSpaceDN w:val="0"/>
        <w:adjustRightInd w:val="0"/>
        <w:spacing w:after="0" w:line="240" w:lineRule="auto"/>
        <w:ind w:left="-567"/>
        <w:jc w:val="both"/>
        <w:rPr>
          <w:rFonts w:ascii="Arial" w:hAnsi="Arial" w:cs="Arial"/>
          <w:color w:val="000000"/>
          <w:sz w:val="24"/>
          <w:szCs w:val="24"/>
        </w:rPr>
      </w:pPr>
    </w:p>
    <w:p w14:paraId="489C3058" w14:textId="442730B8" w:rsidR="003642AC" w:rsidRPr="003642AC" w:rsidRDefault="003642AC" w:rsidP="003642AC">
      <w:pPr>
        <w:autoSpaceDE w:val="0"/>
        <w:autoSpaceDN w:val="0"/>
        <w:adjustRightInd w:val="0"/>
        <w:spacing w:after="0" w:line="240" w:lineRule="auto"/>
        <w:ind w:left="-567"/>
        <w:jc w:val="center"/>
        <w:rPr>
          <w:rFonts w:ascii="Arial" w:hAnsi="Arial" w:cs="Arial"/>
          <w:b/>
          <w:bCs/>
          <w:i/>
          <w:iCs/>
          <w:color w:val="87AD8A"/>
          <w:sz w:val="18"/>
          <w:szCs w:val="24"/>
        </w:rPr>
      </w:pPr>
      <w:r>
        <w:rPr>
          <w:rFonts w:ascii="Arial" w:hAnsi="Arial" w:cs="Arial"/>
          <w:b/>
          <w:bCs/>
          <w:i/>
          <w:iCs/>
          <w:color w:val="87AD8A"/>
          <w:sz w:val="18"/>
          <w:szCs w:val="24"/>
        </w:rPr>
        <w:t>Gráfica 1</w:t>
      </w:r>
      <w:r w:rsidR="00EA63AE">
        <w:rPr>
          <w:rFonts w:ascii="Arial" w:hAnsi="Arial" w:cs="Arial"/>
          <w:b/>
          <w:bCs/>
          <w:i/>
          <w:iCs/>
          <w:color w:val="87AD8A"/>
          <w:sz w:val="18"/>
          <w:szCs w:val="24"/>
        </w:rPr>
        <w:t>5</w:t>
      </w:r>
      <w:r w:rsidR="00216ADE" w:rsidRPr="00AE7928">
        <w:rPr>
          <w:rFonts w:ascii="Arial" w:hAnsi="Arial" w:cs="Arial"/>
          <w:b/>
          <w:bCs/>
          <w:i/>
          <w:iCs/>
          <w:color w:val="87AD8A"/>
          <w:sz w:val="18"/>
          <w:szCs w:val="24"/>
        </w:rPr>
        <w:t xml:space="preserve">. </w:t>
      </w:r>
      <w:r w:rsidR="00824043">
        <w:rPr>
          <w:rFonts w:ascii="Arial" w:hAnsi="Arial" w:cs="Arial"/>
          <w:b/>
          <w:bCs/>
          <w:i/>
          <w:iCs/>
          <w:color w:val="87AD8A"/>
          <w:sz w:val="18"/>
          <w:szCs w:val="24"/>
        </w:rPr>
        <w:t>E</w:t>
      </w:r>
      <w:r w:rsidRPr="003642AC">
        <w:rPr>
          <w:rFonts w:ascii="Arial" w:hAnsi="Arial" w:cs="Arial"/>
          <w:b/>
          <w:bCs/>
          <w:i/>
          <w:iCs/>
          <w:color w:val="87AD8A"/>
          <w:sz w:val="18"/>
          <w:szCs w:val="24"/>
        </w:rPr>
        <w:t>ventos de capacitación y difusión para el fortalecimiento</w:t>
      </w:r>
    </w:p>
    <w:p w14:paraId="67B36690" w14:textId="1ABD2E9D" w:rsidR="00272B24" w:rsidRDefault="003642AC" w:rsidP="003642AC">
      <w:pPr>
        <w:autoSpaceDE w:val="0"/>
        <w:autoSpaceDN w:val="0"/>
        <w:adjustRightInd w:val="0"/>
        <w:spacing w:after="0" w:line="240" w:lineRule="auto"/>
        <w:ind w:left="-567"/>
        <w:jc w:val="center"/>
        <w:rPr>
          <w:rFonts w:ascii="Arial" w:hAnsi="Arial" w:cs="Arial"/>
          <w:color w:val="000000"/>
          <w:sz w:val="24"/>
          <w:szCs w:val="24"/>
        </w:rPr>
      </w:pPr>
      <w:r w:rsidRPr="003642AC">
        <w:rPr>
          <w:rFonts w:ascii="Arial" w:hAnsi="Arial" w:cs="Arial"/>
          <w:b/>
          <w:bCs/>
          <w:i/>
          <w:iCs/>
          <w:color w:val="87AD8A"/>
          <w:sz w:val="18"/>
          <w:szCs w:val="24"/>
        </w:rPr>
        <w:t>de la cultura de derechos humanos realizados por la CNDH y OPDH, por tema, 20</w:t>
      </w:r>
      <w:r>
        <w:rPr>
          <w:rFonts w:ascii="Arial" w:hAnsi="Arial" w:cs="Arial"/>
          <w:b/>
          <w:bCs/>
          <w:i/>
          <w:iCs/>
          <w:color w:val="87AD8A"/>
          <w:sz w:val="18"/>
          <w:szCs w:val="24"/>
        </w:rPr>
        <w:t>20</w:t>
      </w:r>
      <w:r w:rsidR="00216ADE" w:rsidRPr="00216ADE">
        <w:rPr>
          <w:rFonts w:ascii="Arial" w:hAnsi="Arial" w:cs="Arial"/>
          <w:noProof/>
          <w:color w:val="000000"/>
          <w:sz w:val="24"/>
          <w:szCs w:val="24"/>
        </w:rPr>
        <w:drawing>
          <wp:inline distT="0" distB="0" distL="0" distR="0" wp14:anchorId="777EF406" wp14:editId="23489378">
            <wp:extent cx="7297387" cy="5183505"/>
            <wp:effectExtent l="0" t="0" r="0" b="0"/>
            <wp:docPr id="18" name="Gráfico 18">
              <a:extLst xmlns:a="http://schemas.openxmlformats.org/drawingml/2006/main">
                <a:ext uri="{FF2B5EF4-FFF2-40B4-BE49-F238E27FC236}">
                  <a16:creationId xmlns:a16="http://schemas.microsoft.com/office/drawing/2014/main" id="{002A078B-EEFD-4436-B2AA-66C5AC8F46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C3F8844" w14:textId="7C5B4103" w:rsidR="00272B24" w:rsidRDefault="00272B24" w:rsidP="0063747B">
      <w:pPr>
        <w:autoSpaceDE w:val="0"/>
        <w:autoSpaceDN w:val="0"/>
        <w:adjustRightInd w:val="0"/>
        <w:spacing w:after="0" w:line="240" w:lineRule="auto"/>
        <w:ind w:left="-567"/>
        <w:jc w:val="both"/>
        <w:rPr>
          <w:rFonts w:ascii="Arial" w:hAnsi="Arial" w:cs="Arial"/>
          <w:color w:val="000000"/>
          <w:sz w:val="24"/>
          <w:szCs w:val="24"/>
        </w:rPr>
      </w:pPr>
    </w:p>
    <w:p w14:paraId="2F667543" w14:textId="77777777" w:rsidR="003E7551" w:rsidRDefault="00216ADE" w:rsidP="003E7551">
      <w:pPr>
        <w:spacing w:after="0"/>
        <w:jc w:val="center"/>
        <w:rPr>
          <w:rFonts w:ascii="Arial" w:eastAsia="Times New Roman" w:hAnsi="Arial" w:cs="Arial"/>
          <w:color w:val="000000"/>
          <w:sz w:val="16"/>
          <w:szCs w:val="16"/>
          <w:lang w:eastAsia="es-MX"/>
        </w:rPr>
      </w:pPr>
      <w:r w:rsidRPr="00216ADE">
        <w:rPr>
          <w:rFonts w:ascii="Arial" w:hAnsi="Arial" w:cs="Arial"/>
          <w:color w:val="000000"/>
          <w:sz w:val="16"/>
          <w:szCs w:val="16"/>
        </w:rPr>
        <w:t>*</w:t>
      </w:r>
      <w:r w:rsidRPr="00216ADE">
        <w:rPr>
          <w:rFonts w:ascii="Arial" w:eastAsia="Times New Roman" w:hAnsi="Arial" w:cs="Arial"/>
          <w:color w:val="000000"/>
          <w:sz w:val="16"/>
          <w:szCs w:val="16"/>
          <w:lang w:eastAsia="es-MX"/>
        </w:rPr>
        <w:t>Introducción a la operación y funcionamiento de los organismos públicos de derechos humanos</w:t>
      </w:r>
      <w:r>
        <w:rPr>
          <w:rFonts w:ascii="Arial" w:eastAsia="Times New Roman" w:hAnsi="Arial" w:cs="Arial"/>
          <w:color w:val="000000"/>
          <w:sz w:val="16"/>
          <w:szCs w:val="16"/>
          <w:lang w:eastAsia="es-MX"/>
        </w:rPr>
        <w:t>.</w:t>
      </w:r>
    </w:p>
    <w:p w14:paraId="7AC3A0B8" w14:textId="22C9F400" w:rsidR="00216ADE" w:rsidRDefault="00216ADE" w:rsidP="003E7551">
      <w:pPr>
        <w:spacing w:after="0"/>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w:t>
      </w:r>
      <w:r w:rsidRPr="00216ADE">
        <w:t xml:space="preserve"> </w:t>
      </w:r>
      <w:r w:rsidRPr="00216ADE">
        <w:rPr>
          <w:rFonts w:ascii="Arial" w:eastAsia="Times New Roman" w:hAnsi="Arial" w:cs="Arial"/>
          <w:color w:val="000000"/>
          <w:sz w:val="16"/>
          <w:szCs w:val="16"/>
          <w:lang w:eastAsia="es-MX"/>
        </w:rPr>
        <w:t xml:space="preserve">Derechos de las personas </w:t>
      </w:r>
      <w:proofErr w:type="spellStart"/>
      <w:r w:rsidRPr="00216ADE">
        <w:rPr>
          <w:rFonts w:ascii="Arial" w:eastAsia="Times New Roman" w:hAnsi="Arial" w:cs="Arial"/>
          <w:color w:val="000000"/>
          <w:sz w:val="16"/>
          <w:szCs w:val="16"/>
          <w:lang w:eastAsia="es-MX"/>
        </w:rPr>
        <w:t>afromexicanas</w:t>
      </w:r>
      <w:proofErr w:type="spellEnd"/>
      <w:r w:rsidRPr="00216ADE">
        <w:rPr>
          <w:rFonts w:ascii="Arial" w:eastAsia="Times New Roman" w:hAnsi="Arial" w:cs="Arial"/>
          <w:color w:val="000000"/>
          <w:sz w:val="16"/>
          <w:szCs w:val="16"/>
          <w:lang w:eastAsia="es-MX"/>
        </w:rPr>
        <w:t xml:space="preserve"> y afrodescendientes</w:t>
      </w:r>
      <w:r>
        <w:rPr>
          <w:rFonts w:ascii="Arial" w:eastAsia="Times New Roman" w:hAnsi="Arial" w:cs="Arial"/>
          <w:color w:val="000000"/>
          <w:sz w:val="16"/>
          <w:szCs w:val="16"/>
          <w:lang w:eastAsia="es-MX"/>
        </w:rPr>
        <w:t>.</w:t>
      </w:r>
    </w:p>
    <w:p w14:paraId="38A269E9" w14:textId="361912AA" w:rsidR="00245FDE" w:rsidRDefault="00245FDE" w:rsidP="003E7551">
      <w:pPr>
        <w:spacing w:after="0"/>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Nota: la distribución de eventos según tema se realizó sobre 22 748, toda vez que el estado de Durango no contó con datos o elementos para responder sobre el tipo de tema </w:t>
      </w:r>
      <w:r w:rsidR="008649CC">
        <w:rPr>
          <w:rFonts w:ascii="Arial" w:eastAsia="Times New Roman" w:hAnsi="Arial" w:cs="Arial"/>
          <w:color w:val="000000"/>
          <w:sz w:val="16"/>
          <w:szCs w:val="16"/>
          <w:lang w:eastAsia="es-MX"/>
        </w:rPr>
        <w:t>impartido en</w:t>
      </w:r>
      <w:r>
        <w:rPr>
          <w:rFonts w:ascii="Arial" w:eastAsia="Times New Roman" w:hAnsi="Arial" w:cs="Arial"/>
          <w:color w:val="000000"/>
          <w:sz w:val="16"/>
          <w:szCs w:val="16"/>
          <w:lang w:eastAsia="es-MX"/>
        </w:rPr>
        <w:t xml:space="preserve"> sus eventos.  </w:t>
      </w:r>
    </w:p>
    <w:p w14:paraId="53DA05A7" w14:textId="324E3A30" w:rsidR="00272B24" w:rsidRDefault="00272B24" w:rsidP="0063747B">
      <w:pPr>
        <w:autoSpaceDE w:val="0"/>
        <w:autoSpaceDN w:val="0"/>
        <w:adjustRightInd w:val="0"/>
        <w:spacing w:after="0" w:line="240" w:lineRule="auto"/>
        <w:ind w:left="-567"/>
        <w:jc w:val="both"/>
        <w:rPr>
          <w:rFonts w:ascii="Arial" w:hAnsi="Arial" w:cs="Arial"/>
          <w:color w:val="000000"/>
          <w:sz w:val="24"/>
          <w:szCs w:val="24"/>
        </w:rPr>
      </w:pPr>
    </w:p>
    <w:p w14:paraId="1DFBDA29" w14:textId="61ED1229" w:rsidR="00272B24" w:rsidRDefault="00272B24" w:rsidP="0063747B">
      <w:pPr>
        <w:autoSpaceDE w:val="0"/>
        <w:autoSpaceDN w:val="0"/>
        <w:adjustRightInd w:val="0"/>
        <w:spacing w:after="0" w:line="240" w:lineRule="auto"/>
        <w:ind w:left="-567"/>
        <w:jc w:val="both"/>
        <w:rPr>
          <w:rFonts w:ascii="Arial" w:hAnsi="Arial" w:cs="Arial"/>
          <w:color w:val="000000"/>
          <w:sz w:val="24"/>
          <w:szCs w:val="24"/>
        </w:rPr>
      </w:pPr>
    </w:p>
    <w:p w14:paraId="5EDEA2BB" w14:textId="1E15D918" w:rsidR="00272B24" w:rsidRDefault="00272B24" w:rsidP="0063747B">
      <w:pPr>
        <w:autoSpaceDE w:val="0"/>
        <w:autoSpaceDN w:val="0"/>
        <w:adjustRightInd w:val="0"/>
        <w:spacing w:after="0" w:line="240" w:lineRule="auto"/>
        <w:ind w:left="-567"/>
        <w:jc w:val="both"/>
        <w:rPr>
          <w:rFonts w:ascii="Arial" w:hAnsi="Arial" w:cs="Arial"/>
          <w:color w:val="000000"/>
          <w:sz w:val="24"/>
          <w:szCs w:val="24"/>
        </w:rPr>
      </w:pPr>
    </w:p>
    <w:p w14:paraId="47363C8B" w14:textId="06BD7DA3" w:rsidR="00272B24" w:rsidRDefault="00272B24" w:rsidP="0063747B">
      <w:pPr>
        <w:autoSpaceDE w:val="0"/>
        <w:autoSpaceDN w:val="0"/>
        <w:adjustRightInd w:val="0"/>
        <w:spacing w:after="0" w:line="240" w:lineRule="auto"/>
        <w:ind w:left="-567"/>
        <w:jc w:val="both"/>
        <w:rPr>
          <w:rFonts w:ascii="Arial" w:hAnsi="Arial" w:cs="Arial"/>
          <w:color w:val="000000"/>
          <w:sz w:val="24"/>
          <w:szCs w:val="24"/>
        </w:rPr>
      </w:pPr>
    </w:p>
    <w:p w14:paraId="2E89813A" w14:textId="6C2F4B96" w:rsidR="00272B24" w:rsidRDefault="00272B24" w:rsidP="0063747B">
      <w:pPr>
        <w:autoSpaceDE w:val="0"/>
        <w:autoSpaceDN w:val="0"/>
        <w:adjustRightInd w:val="0"/>
        <w:spacing w:after="0" w:line="240" w:lineRule="auto"/>
        <w:ind w:left="-567"/>
        <w:jc w:val="both"/>
        <w:rPr>
          <w:rFonts w:ascii="Arial" w:hAnsi="Arial" w:cs="Arial"/>
          <w:color w:val="000000"/>
          <w:sz w:val="24"/>
          <w:szCs w:val="24"/>
        </w:rPr>
      </w:pPr>
    </w:p>
    <w:p w14:paraId="6D739833" w14:textId="06A2CD26" w:rsidR="00272B24" w:rsidRDefault="00272B24" w:rsidP="0063747B">
      <w:pPr>
        <w:autoSpaceDE w:val="0"/>
        <w:autoSpaceDN w:val="0"/>
        <w:adjustRightInd w:val="0"/>
        <w:spacing w:after="0" w:line="240" w:lineRule="auto"/>
        <w:ind w:left="-567"/>
        <w:jc w:val="both"/>
        <w:rPr>
          <w:rFonts w:ascii="Arial" w:hAnsi="Arial" w:cs="Arial"/>
          <w:color w:val="000000"/>
          <w:sz w:val="24"/>
          <w:szCs w:val="24"/>
        </w:rPr>
      </w:pPr>
    </w:p>
    <w:p w14:paraId="2EA4DE95" w14:textId="05FBC151" w:rsidR="00272B24" w:rsidRDefault="00272B24" w:rsidP="0063747B">
      <w:pPr>
        <w:autoSpaceDE w:val="0"/>
        <w:autoSpaceDN w:val="0"/>
        <w:adjustRightInd w:val="0"/>
        <w:spacing w:after="0" w:line="240" w:lineRule="auto"/>
        <w:ind w:left="-567"/>
        <w:jc w:val="both"/>
        <w:rPr>
          <w:rFonts w:ascii="Arial" w:hAnsi="Arial" w:cs="Arial"/>
          <w:color w:val="000000"/>
          <w:sz w:val="24"/>
          <w:szCs w:val="24"/>
        </w:rPr>
      </w:pPr>
    </w:p>
    <w:p w14:paraId="2633E2F8" w14:textId="41AA9213" w:rsidR="00272B24" w:rsidRDefault="00302093" w:rsidP="00302093">
      <w:pPr>
        <w:autoSpaceDE w:val="0"/>
        <w:autoSpaceDN w:val="0"/>
        <w:adjustRightInd w:val="0"/>
        <w:spacing w:after="0" w:line="240" w:lineRule="auto"/>
        <w:ind w:left="-567"/>
        <w:jc w:val="both"/>
        <w:rPr>
          <w:rFonts w:ascii="Arial" w:hAnsi="Arial" w:cs="Arial"/>
          <w:color w:val="000000"/>
          <w:sz w:val="24"/>
          <w:szCs w:val="24"/>
        </w:rPr>
      </w:pPr>
      <w:r w:rsidRPr="00302093">
        <w:rPr>
          <w:rFonts w:ascii="Arial" w:hAnsi="Arial" w:cs="Arial"/>
          <w:color w:val="000000"/>
          <w:sz w:val="24"/>
          <w:szCs w:val="24"/>
        </w:rPr>
        <w:t xml:space="preserve">En cuanto a las y los servidores públicos que asistieron a dichos eventos, en la CNDH se reportaron </w:t>
      </w:r>
      <w:r w:rsidR="00301D4C" w:rsidRPr="00301D4C">
        <w:rPr>
          <w:rFonts w:ascii="Arial" w:hAnsi="Arial" w:cs="Arial"/>
          <w:color w:val="000000"/>
          <w:sz w:val="24"/>
          <w:szCs w:val="24"/>
        </w:rPr>
        <w:t>280</w:t>
      </w:r>
      <w:r w:rsidR="00301D4C">
        <w:rPr>
          <w:rFonts w:ascii="Arial" w:hAnsi="Arial" w:cs="Arial"/>
          <w:color w:val="000000"/>
          <w:sz w:val="24"/>
          <w:szCs w:val="24"/>
        </w:rPr>
        <w:t xml:space="preserve"> </w:t>
      </w:r>
      <w:r w:rsidR="00301D4C" w:rsidRPr="00301D4C">
        <w:rPr>
          <w:rFonts w:ascii="Arial" w:hAnsi="Arial" w:cs="Arial"/>
          <w:color w:val="000000"/>
          <w:sz w:val="24"/>
          <w:szCs w:val="24"/>
        </w:rPr>
        <w:t>954</w:t>
      </w:r>
      <w:r w:rsidRPr="00302093">
        <w:rPr>
          <w:rFonts w:ascii="Arial" w:hAnsi="Arial" w:cs="Arial"/>
          <w:color w:val="000000"/>
          <w:sz w:val="24"/>
          <w:szCs w:val="24"/>
        </w:rPr>
        <w:t xml:space="preserve">, </w:t>
      </w:r>
      <w:r w:rsidR="00B84921">
        <w:rPr>
          <w:rFonts w:ascii="Arial" w:hAnsi="Arial" w:cs="Arial"/>
          <w:color w:val="000000"/>
          <w:sz w:val="24"/>
          <w:szCs w:val="24"/>
        </w:rPr>
        <w:t>cifra</w:t>
      </w:r>
      <w:r w:rsidR="00EA63AE">
        <w:rPr>
          <w:rFonts w:ascii="Arial" w:hAnsi="Arial" w:cs="Arial"/>
          <w:color w:val="000000"/>
          <w:sz w:val="24"/>
          <w:szCs w:val="24"/>
        </w:rPr>
        <w:t xml:space="preserve"> que</w:t>
      </w:r>
      <w:r w:rsidR="00B84921">
        <w:rPr>
          <w:rFonts w:ascii="Arial" w:hAnsi="Arial" w:cs="Arial"/>
          <w:color w:val="000000"/>
          <w:sz w:val="24"/>
          <w:szCs w:val="24"/>
        </w:rPr>
        <w:t xml:space="preserve"> represent</w:t>
      </w:r>
      <w:r w:rsidR="00F06147">
        <w:rPr>
          <w:rFonts w:ascii="Arial" w:hAnsi="Arial" w:cs="Arial"/>
          <w:color w:val="000000"/>
          <w:sz w:val="24"/>
          <w:szCs w:val="24"/>
        </w:rPr>
        <w:t>ó</w:t>
      </w:r>
      <w:r w:rsidR="00B84921">
        <w:rPr>
          <w:rFonts w:ascii="Arial" w:hAnsi="Arial" w:cs="Arial"/>
          <w:color w:val="000000"/>
          <w:sz w:val="24"/>
          <w:szCs w:val="24"/>
        </w:rPr>
        <w:t xml:space="preserve"> una disminución de 37.6% en comparación con la cantidad reportada en 2019</w:t>
      </w:r>
      <w:r w:rsidR="00B84921">
        <w:rPr>
          <w:rStyle w:val="Refdenotaalpie"/>
          <w:rFonts w:ascii="Arial" w:hAnsi="Arial" w:cs="Arial"/>
          <w:color w:val="000000"/>
          <w:sz w:val="24"/>
          <w:szCs w:val="24"/>
        </w:rPr>
        <w:footnoteReference w:id="14"/>
      </w:r>
      <w:r w:rsidR="00B84921">
        <w:rPr>
          <w:rFonts w:ascii="Arial" w:hAnsi="Arial" w:cs="Arial"/>
          <w:color w:val="000000"/>
          <w:sz w:val="24"/>
          <w:szCs w:val="24"/>
        </w:rPr>
        <w:t>. Del total de servidoras y servidores públicos que asistieron a dichos eventos, 55.8%</w:t>
      </w:r>
      <w:r w:rsidRPr="00302093">
        <w:rPr>
          <w:rFonts w:ascii="Arial" w:hAnsi="Arial" w:cs="Arial"/>
          <w:color w:val="000000"/>
          <w:sz w:val="24"/>
          <w:szCs w:val="24"/>
        </w:rPr>
        <w:t xml:space="preserve"> provenía de instituciones del ámbito federal, </w:t>
      </w:r>
      <w:r w:rsidR="00B84921">
        <w:rPr>
          <w:rFonts w:ascii="Arial" w:hAnsi="Arial" w:cs="Arial"/>
          <w:color w:val="000000"/>
          <w:sz w:val="24"/>
          <w:szCs w:val="24"/>
        </w:rPr>
        <w:t>24.6%</w:t>
      </w:r>
      <w:r w:rsidRPr="00302093">
        <w:rPr>
          <w:rFonts w:ascii="Arial" w:hAnsi="Arial" w:cs="Arial"/>
          <w:color w:val="000000"/>
          <w:sz w:val="24"/>
          <w:szCs w:val="24"/>
        </w:rPr>
        <w:t xml:space="preserve"> del estatal</w:t>
      </w:r>
      <w:r w:rsidR="00B84921">
        <w:rPr>
          <w:rFonts w:ascii="Arial" w:hAnsi="Arial" w:cs="Arial"/>
          <w:color w:val="000000"/>
          <w:sz w:val="24"/>
          <w:szCs w:val="24"/>
        </w:rPr>
        <w:t>,</w:t>
      </w:r>
      <w:r w:rsidRPr="00302093">
        <w:rPr>
          <w:rFonts w:ascii="Arial" w:hAnsi="Arial" w:cs="Arial"/>
          <w:color w:val="000000"/>
          <w:sz w:val="24"/>
          <w:szCs w:val="24"/>
        </w:rPr>
        <w:t xml:space="preserve"> </w:t>
      </w:r>
      <w:r w:rsidR="00B84921">
        <w:rPr>
          <w:rFonts w:ascii="Arial" w:hAnsi="Arial" w:cs="Arial"/>
          <w:color w:val="000000"/>
          <w:sz w:val="24"/>
          <w:szCs w:val="24"/>
        </w:rPr>
        <w:t>2.2%</w:t>
      </w:r>
      <w:r w:rsidRPr="00302093">
        <w:rPr>
          <w:rFonts w:ascii="Arial" w:hAnsi="Arial" w:cs="Arial"/>
          <w:color w:val="000000"/>
          <w:sz w:val="24"/>
          <w:szCs w:val="24"/>
        </w:rPr>
        <w:t xml:space="preserve"> del municipal</w:t>
      </w:r>
      <w:r w:rsidR="00B84921">
        <w:rPr>
          <w:rFonts w:ascii="Arial" w:hAnsi="Arial" w:cs="Arial"/>
          <w:color w:val="000000"/>
          <w:sz w:val="24"/>
          <w:szCs w:val="24"/>
        </w:rPr>
        <w:t xml:space="preserve"> y 17.4% de otras instituciones</w:t>
      </w:r>
      <w:r w:rsidRPr="00302093">
        <w:rPr>
          <w:rFonts w:ascii="Arial" w:hAnsi="Arial" w:cs="Arial"/>
          <w:color w:val="000000"/>
          <w:sz w:val="24"/>
          <w:szCs w:val="24"/>
        </w:rPr>
        <w:t>. De acuerdo con</w:t>
      </w:r>
      <w:r>
        <w:rPr>
          <w:rFonts w:ascii="Arial" w:hAnsi="Arial" w:cs="Arial"/>
          <w:color w:val="000000"/>
          <w:sz w:val="24"/>
          <w:szCs w:val="24"/>
        </w:rPr>
        <w:t xml:space="preserve"> </w:t>
      </w:r>
      <w:r w:rsidRPr="00302093">
        <w:rPr>
          <w:rFonts w:ascii="Arial" w:hAnsi="Arial" w:cs="Arial"/>
          <w:color w:val="000000"/>
          <w:sz w:val="24"/>
          <w:szCs w:val="24"/>
        </w:rPr>
        <w:t>la institución de procedencia, la Secretaría de la Defensa Nacional fue la</w:t>
      </w:r>
      <w:r w:rsidR="00A02ED2">
        <w:rPr>
          <w:rFonts w:ascii="Arial" w:hAnsi="Arial" w:cs="Arial"/>
          <w:color w:val="000000"/>
          <w:sz w:val="24"/>
          <w:szCs w:val="24"/>
        </w:rPr>
        <w:t xml:space="preserve"> </w:t>
      </w:r>
      <w:r w:rsidRPr="00302093">
        <w:rPr>
          <w:rFonts w:ascii="Arial" w:hAnsi="Arial" w:cs="Arial"/>
          <w:color w:val="000000"/>
          <w:sz w:val="24"/>
          <w:szCs w:val="24"/>
        </w:rPr>
        <w:t xml:space="preserve">institución que presentó la mayor proporción de asistencia a estos eventos con </w:t>
      </w:r>
      <w:r w:rsidR="00B84921">
        <w:rPr>
          <w:rFonts w:ascii="Arial" w:hAnsi="Arial" w:cs="Arial"/>
          <w:color w:val="000000"/>
          <w:sz w:val="24"/>
          <w:szCs w:val="24"/>
        </w:rPr>
        <w:t>16.1</w:t>
      </w:r>
      <w:r w:rsidRPr="00302093">
        <w:rPr>
          <w:rFonts w:ascii="Arial" w:hAnsi="Arial" w:cs="Arial"/>
          <w:color w:val="000000"/>
          <w:sz w:val="24"/>
          <w:szCs w:val="24"/>
        </w:rPr>
        <w:t>% del total.</w:t>
      </w:r>
    </w:p>
    <w:p w14:paraId="0BA50331" w14:textId="77777777" w:rsidR="00B84921" w:rsidRDefault="00B84921" w:rsidP="00302093">
      <w:pPr>
        <w:autoSpaceDE w:val="0"/>
        <w:autoSpaceDN w:val="0"/>
        <w:adjustRightInd w:val="0"/>
        <w:spacing w:after="0" w:line="240" w:lineRule="auto"/>
        <w:ind w:left="-567"/>
        <w:jc w:val="both"/>
        <w:rPr>
          <w:rFonts w:ascii="Arial" w:hAnsi="Arial" w:cs="Arial"/>
          <w:color w:val="000000"/>
          <w:sz w:val="24"/>
          <w:szCs w:val="24"/>
        </w:rPr>
      </w:pPr>
    </w:p>
    <w:p w14:paraId="3D968235" w14:textId="6919A435" w:rsidR="00B84921" w:rsidRDefault="00B84921" w:rsidP="00B84921">
      <w:pPr>
        <w:autoSpaceDE w:val="0"/>
        <w:autoSpaceDN w:val="0"/>
        <w:adjustRightInd w:val="0"/>
        <w:spacing w:after="0" w:line="240" w:lineRule="auto"/>
        <w:ind w:left="-567"/>
        <w:jc w:val="center"/>
        <w:rPr>
          <w:rFonts w:ascii="Arial" w:hAnsi="Arial" w:cs="Arial"/>
          <w:b/>
          <w:bCs/>
          <w:i/>
          <w:iCs/>
          <w:color w:val="87AD8A"/>
          <w:sz w:val="18"/>
          <w:szCs w:val="24"/>
        </w:rPr>
      </w:pPr>
      <w:r>
        <w:rPr>
          <w:rFonts w:ascii="Arial" w:hAnsi="Arial" w:cs="Arial"/>
          <w:b/>
          <w:bCs/>
          <w:i/>
          <w:iCs/>
          <w:color w:val="87AD8A"/>
          <w:sz w:val="18"/>
          <w:szCs w:val="24"/>
        </w:rPr>
        <w:t>Gráfica 1</w:t>
      </w:r>
      <w:r w:rsidR="00EA63AE">
        <w:rPr>
          <w:rFonts w:ascii="Arial" w:hAnsi="Arial" w:cs="Arial"/>
          <w:b/>
          <w:bCs/>
          <w:i/>
          <w:iCs/>
          <w:color w:val="87AD8A"/>
          <w:sz w:val="18"/>
          <w:szCs w:val="24"/>
        </w:rPr>
        <w:t>6</w:t>
      </w:r>
      <w:r>
        <w:rPr>
          <w:rFonts w:ascii="Arial" w:hAnsi="Arial" w:cs="Arial"/>
          <w:b/>
          <w:bCs/>
          <w:i/>
          <w:iCs/>
          <w:color w:val="87AD8A"/>
          <w:sz w:val="18"/>
          <w:szCs w:val="24"/>
        </w:rPr>
        <w:t xml:space="preserve">. </w:t>
      </w:r>
      <w:r w:rsidR="00EA63AE">
        <w:rPr>
          <w:rFonts w:ascii="Arial" w:hAnsi="Arial" w:cs="Arial"/>
          <w:b/>
          <w:bCs/>
          <w:i/>
          <w:iCs/>
          <w:color w:val="87AD8A"/>
          <w:sz w:val="18"/>
          <w:szCs w:val="24"/>
        </w:rPr>
        <w:t>S</w:t>
      </w:r>
      <w:r w:rsidRPr="00B84921">
        <w:rPr>
          <w:rFonts w:ascii="Arial" w:hAnsi="Arial" w:cs="Arial"/>
          <w:b/>
          <w:bCs/>
          <w:i/>
          <w:iCs/>
          <w:color w:val="87AD8A"/>
          <w:sz w:val="18"/>
          <w:szCs w:val="24"/>
        </w:rPr>
        <w:t>ervidores públicos que asistieron a los eventos de capacitación y difusión realizados por la CNDH, según institución de procedencia, 20</w:t>
      </w:r>
      <w:r>
        <w:rPr>
          <w:rFonts w:ascii="Arial" w:hAnsi="Arial" w:cs="Arial"/>
          <w:b/>
          <w:bCs/>
          <w:i/>
          <w:iCs/>
          <w:color w:val="87AD8A"/>
          <w:sz w:val="18"/>
          <w:szCs w:val="24"/>
        </w:rPr>
        <w:t>20</w:t>
      </w:r>
    </w:p>
    <w:p w14:paraId="17BD6FCD" w14:textId="401E5E29" w:rsidR="00530268" w:rsidRPr="00B84921" w:rsidRDefault="00530268" w:rsidP="00B84921">
      <w:pPr>
        <w:autoSpaceDE w:val="0"/>
        <w:autoSpaceDN w:val="0"/>
        <w:adjustRightInd w:val="0"/>
        <w:spacing w:after="0" w:line="240" w:lineRule="auto"/>
        <w:ind w:left="-567"/>
        <w:jc w:val="center"/>
        <w:rPr>
          <w:rFonts w:ascii="Arial" w:hAnsi="Arial" w:cs="Arial"/>
          <w:b/>
          <w:bCs/>
          <w:i/>
          <w:iCs/>
          <w:color w:val="87AD8A"/>
          <w:sz w:val="18"/>
          <w:szCs w:val="24"/>
        </w:rPr>
      </w:pPr>
      <w:r w:rsidRPr="00530268">
        <w:rPr>
          <w:rFonts w:ascii="Arial" w:hAnsi="Arial" w:cs="Arial"/>
          <w:b/>
          <w:bCs/>
          <w:i/>
          <w:iCs/>
          <w:noProof/>
          <w:color w:val="87AD8A"/>
          <w:sz w:val="18"/>
          <w:szCs w:val="24"/>
        </w:rPr>
        <w:drawing>
          <wp:inline distT="0" distB="0" distL="0" distR="0" wp14:anchorId="680F319E" wp14:editId="621277D0">
            <wp:extent cx="6018663" cy="1958453"/>
            <wp:effectExtent l="0" t="0" r="1270" b="3810"/>
            <wp:docPr id="29" name="Gráfico 29">
              <a:extLst xmlns:a="http://schemas.openxmlformats.org/drawingml/2006/main">
                <a:ext uri="{FF2B5EF4-FFF2-40B4-BE49-F238E27FC236}">
                  <a16:creationId xmlns:a16="http://schemas.microsoft.com/office/drawing/2014/main" id="{00000000-0008-0000-1B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EEB6112" w14:textId="77777777" w:rsidR="00F048EE" w:rsidRDefault="00F048EE" w:rsidP="00F048EE">
      <w:pPr>
        <w:autoSpaceDE w:val="0"/>
        <w:autoSpaceDN w:val="0"/>
        <w:adjustRightInd w:val="0"/>
        <w:spacing w:after="0" w:line="240" w:lineRule="auto"/>
        <w:ind w:left="-567"/>
        <w:jc w:val="center"/>
        <w:rPr>
          <w:rFonts w:ascii="Arial" w:hAnsi="Arial" w:cs="Arial"/>
          <w:color w:val="000000"/>
          <w:sz w:val="16"/>
          <w:szCs w:val="24"/>
        </w:rPr>
      </w:pPr>
      <w:r>
        <w:rPr>
          <w:rFonts w:ascii="Arial" w:hAnsi="Arial" w:cs="Arial"/>
          <w:color w:val="000000"/>
          <w:sz w:val="16"/>
          <w:szCs w:val="24"/>
        </w:rPr>
        <w:t>Nota: se muestran las diez principales instituciones</w:t>
      </w:r>
      <w:r w:rsidRPr="00B84921">
        <w:rPr>
          <w:rFonts w:ascii="Arial" w:hAnsi="Arial" w:cs="Arial"/>
          <w:color w:val="000000"/>
          <w:sz w:val="16"/>
          <w:szCs w:val="24"/>
        </w:rPr>
        <w:t xml:space="preserve"> de procedencia</w:t>
      </w:r>
      <w:r>
        <w:rPr>
          <w:rFonts w:ascii="Arial" w:hAnsi="Arial" w:cs="Arial"/>
          <w:color w:val="000000"/>
          <w:sz w:val="16"/>
          <w:szCs w:val="24"/>
        </w:rPr>
        <w:t>,</w:t>
      </w:r>
      <w:r w:rsidRPr="00B84921">
        <w:t xml:space="preserve"> </w:t>
      </w:r>
      <w:r w:rsidRPr="00B84921">
        <w:rPr>
          <w:rFonts w:ascii="Arial" w:hAnsi="Arial" w:cs="Arial"/>
          <w:color w:val="000000"/>
          <w:sz w:val="16"/>
          <w:szCs w:val="24"/>
        </w:rPr>
        <w:t>de acuerdo con la mayor frecuencia de registros.</w:t>
      </w:r>
    </w:p>
    <w:p w14:paraId="5816AAFB" w14:textId="17B728C2" w:rsidR="00D2459D" w:rsidRPr="00D2459D" w:rsidRDefault="00D2459D" w:rsidP="00D2459D">
      <w:pPr>
        <w:autoSpaceDE w:val="0"/>
        <w:autoSpaceDN w:val="0"/>
        <w:adjustRightInd w:val="0"/>
        <w:spacing w:after="0" w:line="240" w:lineRule="auto"/>
        <w:ind w:left="-567"/>
        <w:jc w:val="center"/>
        <w:rPr>
          <w:rFonts w:ascii="Arial" w:hAnsi="Arial" w:cs="Arial"/>
          <w:color w:val="000000"/>
          <w:sz w:val="16"/>
          <w:szCs w:val="24"/>
        </w:rPr>
      </w:pPr>
      <w:r w:rsidRPr="00D2459D">
        <w:rPr>
          <w:rFonts w:ascii="Arial" w:hAnsi="Arial" w:cs="Arial"/>
          <w:color w:val="000000"/>
          <w:sz w:val="16"/>
          <w:szCs w:val="24"/>
        </w:rPr>
        <w:t xml:space="preserve">*Procuraduría General de Justicia o Fiscalía General (sin incluir, en su caso, a la unidad </w:t>
      </w:r>
      <w:proofErr w:type="spellStart"/>
      <w:r w:rsidRPr="00D2459D">
        <w:rPr>
          <w:rFonts w:ascii="Arial" w:hAnsi="Arial" w:cs="Arial"/>
          <w:color w:val="000000"/>
          <w:sz w:val="16"/>
          <w:szCs w:val="24"/>
        </w:rPr>
        <w:t>u</w:t>
      </w:r>
      <w:proofErr w:type="spellEnd"/>
      <w:r w:rsidRPr="00D2459D">
        <w:rPr>
          <w:rFonts w:ascii="Arial" w:hAnsi="Arial" w:cs="Arial"/>
          <w:color w:val="000000"/>
          <w:sz w:val="16"/>
          <w:szCs w:val="24"/>
        </w:rPr>
        <w:t xml:space="preserve"> homóloga encargada de la seguridad pública y/o al Centro de Justicia para las Mujeres).</w:t>
      </w:r>
    </w:p>
    <w:p w14:paraId="78AA3BB8" w14:textId="77777777" w:rsidR="00D2459D" w:rsidRPr="00D2459D" w:rsidRDefault="00D2459D" w:rsidP="00D2459D">
      <w:pPr>
        <w:autoSpaceDE w:val="0"/>
        <w:autoSpaceDN w:val="0"/>
        <w:adjustRightInd w:val="0"/>
        <w:spacing w:after="0" w:line="240" w:lineRule="auto"/>
        <w:ind w:left="-567"/>
        <w:jc w:val="center"/>
        <w:rPr>
          <w:rFonts w:ascii="Arial" w:hAnsi="Arial" w:cs="Arial"/>
          <w:color w:val="000000"/>
          <w:sz w:val="16"/>
          <w:szCs w:val="24"/>
        </w:rPr>
      </w:pPr>
      <w:r w:rsidRPr="00D2459D">
        <w:rPr>
          <w:rFonts w:ascii="Arial" w:hAnsi="Arial" w:cs="Arial"/>
          <w:color w:val="000000"/>
          <w:sz w:val="16"/>
          <w:szCs w:val="24"/>
        </w:rPr>
        <w:t xml:space="preserve">**Secretaría de Gobierno </w:t>
      </w:r>
      <w:proofErr w:type="spellStart"/>
      <w:r w:rsidRPr="00D2459D">
        <w:rPr>
          <w:rFonts w:ascii="Arial" w:hAnsi="Arial" w:cs="Arial"/>
          <w:color w:val="000000"/>
          <w:sz w:val="16"/>
          <w:szCs w:val="24"/>
        </w:rPr>
        <w:t>u</w:t>
      </w:r>
      <w:proofErr w:type="spellEnd"/>
      <w:r w:rsidRPr="00D2459D">
        <w:rPr>
          <w:rFonts w:ascii="Arial" w:hAnsi="Arial" w:cs="Arial"/>
          <w:color w:val="000000"/>
          <w:sz w:val="16"/>
          <w:szCs w:val="24"/>
        </w:rPr>
        <w:t xml:space="preserve"> homóloga (sin incluir, en su caso, a la unidad </w:t>
      </w:r>
      <w:proofErr w:type="spellStart"/>
      <w:r w:rsidRPr="00D2459D">
        <w:rPr>
          <w:rFonts w:ascii="Arial" w:hAnsi="Arial" w:cs="Arial"/>
          <w:color w:val="000000"/>
          <w:sz w:val="16"/>
          <w:szCs w:val="24"/>
        </w:rPr>
        <w:t>u</w:t>
      </w:r>
      <w:proofErr w:type="spellEnd"/>
      <w:r w:rsidRPr="00D2459D">
        <w:rPr>
          <w:rFonts w:ascii="Arial" w:hAnsi="Arial" w:cs="Arial"/>
          <w:color w:val="000000"/>
          <w:sz w:val="16"/>
          <w:szCs w:val="24"/>
        </w:rPr>
        <w:t xml:space="preserve"> homóloga encargada de la función de seguridad pública y/o de las funciones penitenciarias y/o al Centro de Justicia para las Mujeres y/o al organismo público encargado del sistema de agua).</w:t>
      </w:r>
    </w:p>
    <w:p w14:paraId="35C1E832" w14:textId="77777777" w:rsidR="00D2459D" w:rsidRPr="00D2459D" w:rsidRDefault="00D2459D" w:rsidP="00D2459D">
      <w:pPr>
        <w:autoSpaceDE w:val="0"/>
        <w:autoSpaceDN w:val="0"/>
        <w:adjustRightInd w:val="0"/>
        <w:spacing w:after="0" w:line="240" w:lineRule="auto"/>
        <w:ind w:left="-567"/>
        <w:jc w:val="center"/>
        <w:rPr>
          <w:rFonts w:ascii="Arial" w:hAnsi="Arial" w:cs="Arial"/>
          <w:color w:val="000000"/>
          <w:sz w:val="16"/>
          <w:szCs w:val="24"/>
        </w:rPr>
      </w:pPr>
      <w:r w:rsidRPr="00D2459D">
        <w:rPr>
          <w:rFonts w:ascii="Arial" w:hAnsi="Arial" w:cs="Arial"/>
          <w:color w:val="000000"/>
          <w:sz w:val="16"/>
          <w:szCs w:val="24"/>
        </w:rPr>
        <w:t>***Poder Judicial Estatal (sin incluir, en su caso, al Centro de Justicia para las Mujeres).</w:t>
      </w:r>
    </w:p>
    <w:p w14:paraId="2CD55DB7" w14:textId="0E98D1D9" w:rsidR="00A810DC" w:rsidRDefault="00A810DC" w:rsidP="00AE43F3">
      <w:pPr>
        <w:autoSpaceDE w:val="0"/>
        <w:autoSpaceDN w:val="0"/>
        <w:adjustRightInd w:val="0"/>
        <w:spacing w:after="0" w:line="240" w:lineRule="auto"/>
        <w:ind w:left="-567"/>
        <w:jc w:val="center"/>
        <w:rPr>
          <w:rFonts w:ascii="Arial" w:hAnsi="Arial" w:cs="Arial"/>
          <w:color w:val="000000"/>
          <w:sz w:val="16"/>
          <w:szCs w:val="24"/>
        </w:rPr>
      </w:pPr>
    </w:p>
    <w:p w14:paraId="68F2AE04" w14:textId="77777777" w:rsidR="00AE43F3" w:rsidRDefault="00AE43F3" w:rsidP="00AE43F3">
      <w:pPr>
        <w:autoSpaceDE w:val="0"/>
        <w:autoSpaceDN w:val="0"/>
        <w:adjustRightInd w:val="0"/>
        <w:spacing w:after="0" w:line="240" w:lineRule="auto"/>
        <w:ind w:left="-567"/>
        <w:jc w:val="center"/>
        <w:rPr>
          <w:rFonts w:ascii="Arial" w:hAnsi="Arial" w:cs="Arial"/>
          <w:color w:val="000000"/>
          <w:sz w:val="24"/>
          <w:szCs w:val="24"/>
        </w:rPr>
      </w:pPr>
    </w:p>
    <w:p w14:paraId="78B316BC" w14:textId="77777777" w:rsidR="008A2251" w:rsidRDefault="008A2251" w:rsidP="00302093">
      <w:pPr>
        <w:autoSpaceDE w:val="0"/>
        <w:autoSpaceDN w:val="0"/>
        <w:adjustRightInd w:val="0"/>
        <w:spacing w:after="0" w:line="240" w:lineRule="auto"/>
        <w:ind w:left="-567"/>
        <w:jc w:val="both"/>
        <w:rPr>
          <w:rFonts w:ascii="Arial" w:hAnsi="Arial" w:cs="Arial"/>
          <w:color w:val="000000"/>
          <w:sz w:val="24"/>
          <w:szCs w:val="24"/>
        </w:rPr>
      </w:pPr>
    </w:p>
    <w:p w14:paraId="72092BF8" w14:textId="0DAE3AE1" w:rsidR="00A02ED2" w:rsidRDefault="009A0161" w:rsidP="00302093">
      <w:pPr>
        <w:autoSpaceDE w:val="0"/>
        <w:autoSpaceDN w:val="0"/>
        <w:adjustRightInd w:val="0"/>
        <w:spacing w:after="0" w:line="240" w:lineRule="auto"/>
        <w:ind w:left="-567"/>
        <w:jc w:val="both"/>
        <w:rPr>
          <w:rFonts w:ascii="Arial" w:hAnsi="Arial" w:cs="Arial"/>
          <w:color w:val="000000"/>
          <w:sz w:val="24"/>
          <w:szCs w:val="24"/>
        </w:rPr>
      </w:pPr>
      <w:r w:rsidRPr="009A0161">
        <w:rPr>
          <w:rFonts w:ascii="Arial" w:hAnsi="Arial" w:cs="Arial"/>
          <w:color w:val="000000"/>
          <w:sz w:val="24"/>
          <w:szCs w:val="24"/>
        </w:rPr>
        <w:t xml:space="preserve">Por su parte, en los OPDH la cifra de servidores públicos que asistieron a dichos eventos fue de </w:t>
      </w:r>
      <w:r w:rsidR="00851FF4" w:rsidRPr="00851FF4">
        <w:rPr>
          <w:rFonts w:ascii="Arial" w:hAnsi="Arial" w:cs="Arial"/>
          <w:color w:val="000000"/>
          <w:sz w:val="24"/>
          <w:szCs w:val="24"/>
        </w:rPr>
        <w:t>514</w:t>
      </w:r>
      <w:r w:rsidR="00851FF4">
        <w:rPr>
          <w:rFonts w:ascii="Arial" w:hAnsi="Arial" w:cs="Arial"/>
          <w:color w:val="000000"/>
          <w:sz w:val="24"/>
          <w:szCs w:val="24"/>
        </w:rPr>
        <w:t xml:space="preserve"> </w:t>
      </w:r>
      <w:r w:rsidR="00851FF4" w:rsidRPr="00851FF4">
        <w:rPr>
          <w:rFonts w:ascii="Arial" w:hAnsi="Arial" w:cs="Arial"/>
          <w:color w:val="000000"/>
          <w:sz w:val="24"/>
          <w:szCs w:val="24"/>
        </w:rPr>
        <w:t>913</w:t>
      </w:r>
      <w:r w:rsidRPr="009A0161">
        <w:rPr>
          <w:rFonts w:ascii="Arial" w:hAnsi="Arial" w:cs="Arial"/>
          <w:color w:val="000000"/>
          <w:sz w:val="24"/>
          <w:szCs w:val="24"/>
        </w:rPr>
        <w:t>,</w:t>
      </w:r>
      <w:r w:rsidR="00F06147">
        <w:rPr>
          <w:rFonts w:ascii="Arial" w:hAnsi="Arial" w:cs="Arial"/>
          <w:color w:val="000000"/>
          <w:sz w:val="24"/>
          <w:szCs w:val="24"/>
        </w:rPr>
        <w:t xml:space="preserve"> </w:t>
      </w:r>
      <w:r w:rsidR="00EA63AE">
        <w:rPr>
          <w:rFonts w:ascii="Arial" w:hAnsi="Arial" w:cs="Arial"/>
          <w:color w:val="000000"/>
          <w:sz w:val="24"/>
          <w:szCs w:val="24"/>
        </w:rPr>
        <w:t>comparado con</w:t>
      </w:r>
      <w:r w:rsidR="00F06147">
        <w:rPr>
          <w:rFonts w:ascii="Arial" w:hAnsi="Arial" w:cs="Arial"/>
          <w:color w:val="000000"/>
          <w:sz w:val="24"/>
          <w:szCs w:val="24"/>
        </w:rPr>
        <w:t xml:space="preserve"> la cifra reportada en 2019</w:t>
      </w:r>
      <w:r w:rsidR="00AE43F3">
        <w:rPr>
          <w:rStyle w:val="Refdenotaalpie"/>
          <w:rFonts w:ascii="Arial" w:hAnsi="Arial" w:cs="Arial"/>
          <w:color w:val="000000"/>
          <w:sz w:val="24"/>
          <w:szCs w:val="24"/>
        </w:rPr>
        <w:footnoteReference w:id="15"/>
      </w:r>
      <w:r w:rsidR="00F06147">
        <w:rPr>
          <w:rFonts w:ascii="Arial" w:hAnsi="Arial" w:cs="Arial"/>
          <w:color w:val="000000"/>
          <w:sz w:val="24"/>
          <w:szCs w:val="24"/>
        </w:rPr>
        <w:t xml:space="preserve">, la asistencia de servidores públicos a dichos eventos incrementó </w:t>
      </w:r>
      <w:r w:rsidR="0097043F">
        <w:rPr>
          <w:rFonts w:ascii="Arial" w:hAnsi="Arial" w:cs="Arial"/>
          <w:color w:val="000000"/>
          <w:sz w:val="24"/>
          <w:szCs w:val="24"/>
        </w:rPr>
        <w:t>21.5</w:t>
      </w:r>
      <w:r w:rsidR="00F06147">
        <w:rPr>
          <w:rFonts w:ascii="Arial" w:hAnsi="Arial" w:cs="Arial"/>
          <w:color w:val="000000"/>
          <w:sz w:val="24"/>
          <w:szCs w:val="24"/>
        </w:rPr>
        <w:t xml:space="preserve">% en 2020. Del total de asistentes, </w:t>
      </w:r>
      <w:r w:rsidR="001521DB">
        <w:rPr>
          <w:rFonts w:ascii="Arial" w:hAnsi="Arial" w:cs="Arial"/>
          <w:color w:val="000000"/>
          <w:sz w:val="24"/>
          <w:szCs w:val="24"/>
        </w:rPr>
        <w:t>75.9%</w:t>
      </w:r>
      <w:r w:rsidRPr="009A0161">
        <w:rPr>
          <w:rFonts w:ascii="Arial" w:hAnsi="Arial" w:cs="Arial"/>
          <w:color w:val="000000"/>
          <w:sz w:val="24"/>
          <w:szCs w:val="24"/>
        </w:rPr>
        <w:t xml:space="preserve"> provenían de instituciones del ámbito estatal,</w:t>
      </w:r>
      <w:r w:rsidR="001521DB">
        <w:rPr>
          <w:rFonts w:ascii="Arial" w:hAnsi="Arial" w:cs="Arial"/>
          <w:color w:val="000000"/>
          <w:sz w:val="24"/>
          <w:szCs w:val="24"/>
        </w:rPr>
        <w:t xml:space="preserve"> 13.6%</w:t>
      </w:r>
      <w:r w:rsidRPr="009A0161">
        <w:rPr>
          <w:rFonts w:ascii="Arial" w:hAnsi="Arial" w:cs="Arial"/>
          <w:color w:val="000000"/>
          <w:sz w:val="24"/>
          <w:szCs w:val="24"/>
        </w:rPr>
        <w:t xml:space="preserve"> del ámbito municipal</w:t>
      </w:r>
      <w:r w:rsidR="001521DB">
        <w:rPr>
          <w:rFonts w:ascii="Arial" w:hAnsi="Arial" w:cs="Arial"/>
          <w:color w:val="000000"/>
          <w:sz w:val="24"/>
          <w:szCs w:val="24"/>
        </w:rPr>
        <w:t xml:space="preserve"> y 7.5% de otras instituciones</w:t>
      </w:r>
      <w:r w:rsidR="001521DB">
        <w:rPr>
          <w:rStyle w:val="Refdenotaalpie"/>
          <w:rFonts w:ascii="Arial" w:hAnsi="Arial" w:cs="Arial"/>
          <w:color w:val="000000"/>
          <w:sz w:val="24"/>
          <w:szCs w:val="24"/>
        </w:rPr>
        <w:footnoteReference w:id="16"/>
      </w:r>
      <w:r w:rsidR="001521DB">
        <w:rPr>
          <w:rFonts w:ascii="Arial" w:hAnsi="Arial" w:cs="Arial"/>
          <w:color w:val="000000"/>
          <w:sz w:val="24"/>
          <w:szCs w:val="24"/>
        </w:rPr>
        <w:t>.</w:t>
      </w:r>
      <w:r w:rsidRPr="009A0161">
        <w:rPr>
          <w:rFonts w:ascii="Arial" w:hAnsi="Arial" w:cs="Arial"/>
          <w:color w:val="000000"/>
          <w:sz w:val="24"/>
          <w:szCs w:val="24"/>
        </w:rPr>
        <w:t xml:space="preserve"> </w:t>
      </w:r>
      <w:r w:rsidR="00EA63AE">
        <w:rPr>
          <w:rFonts w:ascii="Arial" w:hAnsi="Arial" w:cs="Arial"/>
          <w:color w:val="000000"/>
          <w:sz w:val="24"/>
          <w:szCs w:val="24"/>
        </w:rPr>
        <w:t>L</w:t>
      </w:r>
      <w:r w:rsidRPr="009A0161">
        <w:rPr>
          <w:rFonts w:ascii="Arial" w:hAnsi="Arial" w:cs="Arial"/>
          <w:color w:val="000000"/>
          <w:sz w:val="24"/>
          <w:szCs w:val="24"/>
        </w:rPr>
        <w:t>a mayor proporción (</w:t>
      </w:r>
      <w:r w:rsidR="00F06147">
        <w:rPr>
          <w:rFonts w:ascii="Arial" w:hAnsi="Arial" w:cs="Arial"/>
          <w:color w:val="000000"/>
          <w:sz w:val="24"/>
          <w:szCs w:val="24"/>
        </w:rPr>
        <w:t>38.7</w:t>
      </w:r>
      <w:r w:rsidRPr="009A0161">
        <w:rPr>
          <w:rFonts w:ascii="Arial" w:hAnsi="Arial" w:cs="Arial"/>
          <w:color w:val="000000"/>
          <w:sz w:val="24"/>
          <w:szCs w:val="24"/>
        </w:rPr>
        <w:t>%) de asistencia por parte de los servidores públicos a estos eventos</w:t>
      </w:r>
      <w:r w:rsidR="00EA63AE">
        <w:rPr>
          <w:rFonts w:ascii="Arial" w:hAnsi="Arial" w:cs="Arial"/>
          <w:color w:val="000000"/>
          <w:sz w:val="24"/>
          <w:szCs w:val="24"/>
        </w:rPr>
        <w:t xml:space="preserve"> fue por parte de</w:t>
      </w:r>
      <w:r w:rsidRPr="009A0161">
        <w:rPr>
          <w:rFonts w:ascii="Arial" w:hAnsi="Arial" w:cs="Arial"/>
          <w:color w:val="000000"/>
          <w:sz w:val="24"/>
          <w:szCs w:val="24"/>
        </w:rPr>
        <w:t xml:space="preserve"> la Secretaría de Educación Pública de la entidad federativa.</w:t>
      </w:r>
    </w:p>
    <w:p w14:paraId="4EB09AB0" w14:textId="0BD145C2" w:rsidR="00A02ED2" w:rsidRDefault="00A02ED2" w:rsidP="00302093">
      <w:pPr>
        <w:autoSpaceDE w:val="0"/>
        <w:autoSpaceDN w:val="0"/>
        <w:adjustRightInd w:val="0"/>
        <w:spacing w:after="0" w:line="240" w:lineRule="auto"/>
        <w:ind w:left="-567"/>
        <w:jc w:val="both"/>
        <w:rPr>
          <w:rFonts w:ascii="Arial" w:hAnsi="Arial" w:cs="Arial"/>
          <w:color w:val="000000"/>
          <w:sz w:val="24"/>
          <w:szCs w:val="24"/>
        </w:rPr>
      </w:pPr>
    </w:p>
    <w:p w14:paraId="766DE75C" w14:textId="7151A3FD" w:rsidR="00B84921" w:rsidRDefault="00B84921" w:rsidP="00302093">
      <w:pPr>
        <w:autoSpaceDE w:val="0"/>
        <w:autoSpaceDN w:val="0"/>
        <w:adjustRightInd w:val="0"/>
        <w:spacing w:after="0" w:line="240" w:lineRule="auto"/>
        <w:ind w:left="-567"/>
        <w:jc w:val="both"/>
        <w:rPr>
          <w:rFonts w:ascii="Arial" w:hAnsi="Arial" w:cs="Arial"/>
          <w:color w:val="000000"/>
          <w:sz w:val="24"/>
          <w:szCs w:val="24"/>
        </w:rPr>
      </w:pPr>
    </w:p>
    <w:p w14:paraId="640D0C95" w14:textId="63A88AB7" w:rsidR="00B84921" w:rsidRDefault="00B84921" w:rsidP="00302093">
      <w:pPr>
        <w:autoSpaceDE w:val="0"/>
        <w:autoSpaceDN w:val="0"/>
        <w:adjustRightInd w:val="0"/>
        <w:spacing w:after="0" w:line="240" w:lineRule="auto"/>
        <w:ind w:left="-567"/>
        <w:jc w:val="both"/>
        <w:rPr>
          <w:rFonts w:ascii="Arial" w:hAnsi="Arial" w:cs="Arial"/>
          <w:color w:val="000000"/>
          <w:sz w:val="24"/>
          <w:szCs w:val="24"/>
        </w:rPr>
      </w:pPr>
    </w:p>
    <w:p w14:paraId="0C571876" w14:textId="17DBEB85" w:rsidR="00D2459D" w:rsidRDefault="00D2459D" w:rsidP="00D2459D">
      <w:pPr>
        <w:autoSpaceDE w:val="0"/>
        <w:autoSpaceDN w:val="0"/>
        <w:adjustRightInd w:val="0"/>
        <w:spacing w:after="0" w:line="240" w:lineRule="auto"/>
        <w:ind w:left="-567"/>
        <w:jc w:val="both"/>
        <w:rPr>
          <w:rFonts w:ascii="Arial" w:hAnsi="Arial" w:cs="Arial"/>
          <w:color w:val="000000"/>
          <w:sz w:val="24"/>
          <w:szCs w:val="24"/>
        </w:rPr>
      </w:pPr>
    </w:p>
    <w:p w14:paraId="6AE6FE3E" w14:textId="77777777" w:rsidR="00D2459D" w:rsidRDefault="00D2459D" w:rsidP="00D2459D">
      <w:pPr>
        <w:autoSpaceDE w:val="0"/>
        <w:autoSpaceDN w:val="0"/>
        <w:adjustRightInd w:val="0"/>
        <w:spacing w:after="0" w:line="240" w:lineRule="auto"/>
        <w:ind w:left="-567"/>
        <w:jc w:val="both"/>
        <w:rPr>
          <w:rFonts w:ascii="Arial" w:hAnsi="Arial" w:cs="Arial"/>
          <w:color w:val="000000"/>
          <w:sz w:val="24"/>
          <w:szCs w:val="24"/>
        </w:rPr>
      </w:pPr>
    </w:p>
    <w:p w14:paraId="6CA4CF78" w14:textId="03110E81" w:rsidR="00B84921" w:rsidRDefault="00B84921" w:rsidP="00302093">
      <w:pPr>
        <w:autoSpaceDE w:val="0"/>
        <w:autoSpaceDN w:val="0"/>
        <w:adjustRightInd w:val="0"/>
        <w:spacing w:after="0" w:line="240" w:lineRule="auto"/>
        <w:ind w:left="-567"/>
        <w:jc w:val="both"/>
        <w:rPr>
          <w:rFonts w:ascii="Arial" w:hAnsi="Arial" w:cs="Arial"/>
          <w:color w:val="000000"/>
          <w:sz w:val="24"/>
          <w:szCs w:val="24"/>
        </w:rPr>
      </w:pPr>
    </w:p>
    <w:p w14:paraId="4AB33381" w14:textId="77777777" w:rsidR="00AE43F3" w:rsidRDefault="00AE43F3" w:rsidP="00AE43F3">
      <w:pPr>
        <w:autoSpaceDE w:val="0"/>
        <w:autoSpaceDN w:val="0"/>
        <w:adjustRightInd w:val="0"/>
        <w:spacing w:after="0" w:line="240" w:lineRule="auto"/>
        <w:ind w:left="-567"/>
        <w:jc w:val="center"/>
        <w:rPr>
          <w:rFonts w:ascii="Arial" w:hAnsi="Arial" w:cs="Arial"/>
          <w:b/>
          <w:bCs/>
          <w:i/>
          <w:iCs/>
          <w:color w:val="87AD8A"/>
          <w:sz w:val="18"/>
          <w:szCs w:val="24"/>
        </w:rPr>
      </w:pPr>
    </w:p>
    <w:p w14:paraId="3BB91B11" w14:textId="77777777" w:rsidR="00AE43F3" w:rsidRDefault="00AE43F3" w:rsidP="00AE43F3">
      <w:pPr>
        <w:autoSpaceDE w:val="0"/>
        <w:autoSpaceDN w:val="0"/>
        <w:adjustRightInd w:val="0"/>
        <w:spacing w:after="0" w:line="240" w:lineRule="auto"/>
        <w:ind w:left="-567"/>
        <w:jc w:val="center"/>
        <w:rPr>
          <w:rFonts w:ascii="Arial" w:hAnsi="Arial" w:cs="Arial"/>
          <w:b/>
          <w:bCs/>
          <w:i/>
          <w:iCs/>
          <w:color w:val="87AD8A"/>
          <w:sz w:val="18"/>
          <w:szCs w:val="24"/>
        </w:rPr>
      </w:pPr>
    </w:p>
    <w:p w14:paraId="4AE52307" w14:textId="77777777" w:rsidR="00D2459D" w:rsidRDefault="00D2459D" w:rsidP="00AE43F3">
      <w:pPr>
        <w:autoSpaceDE w:val="0"/>
        <w:autoSpaceDN w:val="0"/>
        <w:adjustRightInd w:val="0"/>
        <w:spacing w:after="0" w:line="240" w:lineRule="auto"/>
        <w:ind w:left="-567"/>
        <w:jc w:val="center"/>
        <w:rPr>
          <w:rFonts w:ascii="Arial" w:hAnsi="Arial" w:cs="Arial"/>
          <w:b/>
          <w:bCs/>
          <w:i/>
          <w:iCs/>
          <w:color w:val="87AD8A"/>
          <w:sz w:val="18"/>
          <w:szCs w:val="24"/>
        </w:rPr>
      </w:pPr>
    </w:p>
    <w:p w14:paraId="185B8420" w14:textId="77777777" w:rsidR="00D2459D" w:rsidRDefault="00D2459D" w:rsidP="00AE43F3">
      <w:pPr>
        <w:autoSpaceDE w:val="0"/>
        <w:autoSpaceDN w:val="0"/>
        <w:adjustRightInd w:val="0"/>
        <w:spacing w:after="0" w:line="240" w:lineRule="auto"/>
        <w:ind w:left="-567"/>
        <w:jc w:val="center"/>
        <w:rPr>
          <w:rFonts w:ascii="Arial" w:hAnsi="Arial" w:cs="Arial"/>
          <w:b/>
          <w:bCs/>
          <w:i/>
          <w:iCs/>
          <w:color w:val="87AD8A"/>
          <w:sz w:val="18"/>
          <w:szCs w:val="24"/>
        </w:rPr>
      </w:pPr>
    </w:p>
    <w:p w14:paraId="7165B616" w14:textId="537DB37C" w:rsidR="00F06147" w:rsidRDefault="00F06147" w:rsidP="00AE43F3">
      <w:pPr>
        <w:autoSpaceDE w:val="0"/>
        <w:autoSpaceDN w:val="0"/>
        <w:adjustRightInd w:val="0"/>
        <w:spacing w:after="0" w:line="240" w:lineRule="auto"/>
        <w:ind w:left="-567"/>
        <w:jc w:val="center"/>
        <w:rPr>
          <w:rFonts w:ascii="Arial" w:hAnsi="Arial" w:cs="Arial"/>
          <w:b/>
          <w:bCs/>
          <w:i/>
          <w:iCs/>
          <w:color w:val="87AD8A"/>
          <w:sz w:val="18"/>
          <w:szCs w:val="24"/>
        </w:rPr>
      </w:pPr>
      <w:r>
        <w:rPr>
          <w:rFonts w:ascii="Arial" w:hAnsi="Arial" w:cs="Arial"/>
          <w:b/>
          <w:bCs/>
          <w:i/>
          <w:iCs/>
          <w:color w:val="87AD8A"/>
          <w:sz w:val="18"/>
          <w:szCs w:val="24"/>
        </w:rPr>
        <w:t>Gráfica 1</w:t>
      </w:r>
      <w:r w:rsidR="00EA63AE">
        <w:rPr>
          <w:rFonts w:ascii="Arial" w:hAnsi="Arial" w:cs="Arial"/>
          <w:b/>
          <w:bCs/>
          <w:i/>
          <w:iCs/>
          <w:color w:val="87AD8A"/>
          <w:sz w:val="18"/>
          <w:szCs w:val="24"/>
        </w:rPr>
        <w:t>7</w:t>
      </w:r>
      <w:r>
        <w:rPr>
          <w:rFonts w:ascii="Arial" w:hAnsi="Arial" w:cs="Arial"/>
          <w:b/>
          <w:bCs/>
          <w:i/>
          <w:iCs/>
          <w:color w:val="87AD8A"/>
          <w:sz w:val="18"/>
          <w:szCs w:val="24"/>
        </w:rPr>
        <w:t xml:space="preserve">. </w:t>
      </w:r>
      <w:r w:rsidR="00EA63AE">
        <w:rPr>
          <w:rFonts w:ascii="Arial" w:hAnsi="Arial" w:cs="Arial"/>
          <w:b/>
          <w:bCs/>
          <w:i/>
          <w:iCs/>
          <w:color w:val="87AD8A"/>
          <w:sz w:val="18"/>
          <w:szCs w:val="24"/>
        </w:rPr>
        <w:t>S</w:t>
      </w:r>
      <w:r w:rsidRPr="00B84921">
        <w:rPr>
          <w:rFonts w:ascii="Arial" w:hAnsi="Arial" w:cs="Arial"/>
          <w:b/>
          <w:bCs/>
          <w:i/>
          <w:iCs/>
          <w:color w:val="87AD8A"/>
          <w:sz w:val="18"/>
          <w:szCs w:val="24"/>
        </w:rPr>
        <w:t>ervidores públicos que asistieron a los eventos de capacitación y difusión realizados por l</w:t>
      </w:r>
      <w:r>
        <w:rPr>
          <w:rFonts w:ascii="Arial" w:hAnsi="Arial" w:cs="Arial"/>
          <w:b/>
          <w:bCs/>
          <w:i/>
          <w:iCs/>
          <w:color w:val="87AD8A"/>
          <w:sz w:val="18"/>
          <w:szCs w:val="24"/>
        </w:rPr>
        <w:t>os OPDH</w:t>
      </w:r>
      <w:r w:rsidRPr="00B84921">
        <w:rPr>
          <w:rFonts w:ascii="Arial" w:hAnsi="Arial" w:cs="Arial"/>
          <w:b/>
          <w:bCs/>
          <w:i/>
          <w:iCs/>
          <w:color w:val="87AD8A"/>
          <w:sz w:val="18"/>
          <w:szCs w:val="24"/>
        </w:rPr>
        <w:t>, según institución de procedencia, 20</w:t>
      </w:r>
      <w:r>
        <w:rPr>
          <w:rFonts w:ascii="Arial" w:hAnsi="Arial" w:cs="Arial"/>
          <w:b/>
          <w:bCs/>
          <w:i/>
          <w:iCs/>
          <w:color w:val="87AD8A"/>
          <w:sz w:val="18"/>
          <w:szCs w:val="24"/>
        </w:rPr>
        <w:t>20</w:t>
      </w:r>
    </w:p>
    <w:p w14:paraId="207D30AC" w14:textId="6AF6053D" w:rsidR="00D2459D" w:rsidRDefault="00D2459D" w:rsidP="00AE43F3">
      <w:pPr>
        <w:autoSpaceDE w:val="0"/>
        <w:autoSpaceDN w:val="0"/>
        <w:adjustRightInd w:val="0"/>
        <w:spacing w:after="0" w:line="240" w:lineRule="auto"/>
        <w:ind w:left="-567"/>
        <w:jc w:val="center"/>
        <w:rPr>
          <w:rFonts w:ascii="Arial" w:hAnsi="Arial" w:cs="Arial"/>
          <w:color w:val="000000"/>
          <w:sz w:val="24"/>
          <w:szCs w:val="24"/>
        </w:rPr>
      </w:pPr>
      <w:r w:rsidRPr="00D2459D">
        <w:rPr>
          <w:rFonts w:ascii="Arial" w:hAnsi="Arial" w:cs="Arial"/>
          <w:noProof/>
          <w:color w:val="000000"/>
          <w:sz w:val="24"/>
          <w:szCs w:val="24"/>
        </w:rPr>
        <w:drawing>
          <wp:inline distT="0" distB="0" distL="0" distR="0" wp14:anchorId="7B33D3CB" wp14:editId="7A7468B9">
            <wp:extent cx="6359525" cy="2654490"/>
            <wp:effectExtent l="0" t="0" r="3175" b="0"/>
            <wp:docPr id="31" name="Gráfico 31">
              <a:extLst xmlns:a="http://schemas.openxmlformats.org/drawingml/2006/main">
                <a:ext uri="{FF2B5EF4-FFF2-40B4-BE49-F238E27FC236}">
                  <a16:creationId xmlns:a16="http://schemas.microsoft.com/office/drawing/2014/main" id="{3A357011-CEFC-4970-BAF9-3655A8935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DED69CD" w14:textId="3AB481D1" w:rsidR="00B84921" w:rsidRDefault="00B84921" w:rsidP="00302093">
      <w:pPr>
        <w:autoSpaceDE w:val="0"/>
        <w:autoSpaceDN w:val="0"/>
        <w:adjustRightInd w:val="0"/>
        <w:spacing w:after="0" w:line="240" w:lineRule="auto"/>
        <w:ind w:left="-567"/>
        <w:jc w:val="both"/>
        <w:rPr>
          <w:rFonts w:ascii="Arial" w:hAnsi="Arial" w:cs="Arial"/>
          <w:color w:val="000000"/>
          <w:sz w:val="24"/>
          <w:szCs w:val="24"/>
        </w:rPr>
      </w:pPr>
    </w:p>
    <w:p w14:paraId="4BD839DB" w14:textId="77777777" w:rsidR="00F048EE" w:rsidRPr="00F048EE" w:rsidRDefault="00F048EE" w:rsidP="00F048EE">
      <w:pPr>
        <w:autoSpaceDE w:val="0"/>
        <w:autoSpaceDN w:val="0"/>
        <w:adjustRightInd w:val="0"/>
        <w:spacing w:after="0" w:line="240" w:lineRule="auto"/>
        <w:ind w:left="-567"/>
        <w:jc w:val="center"/>
        <w:rPr>
          <w:rFonts w:ascii="Arial" w:hAnsi="Arial" w:cs="Arial"/>
          <w:color w:val="000000"/>
          <w:sz w:val="16"/>
          <w:szCs w:val="24"/>
        </w:rPr>
      </w:pPr>
      <w:r w:rsidRPr="00F048EE">
        <w:rPr>
          <w:rFonts w:ascii="Arial" w:hAnsi="Arial" w:cs="Arial"/>
          <w:color w:val="000000"/>
          <w:sz w:val="16"/>
          <w:szCs w:val="24"/>
        </w:rPr>
        <w:t>Nota: se muestran las diez principales instituciones de procedencia, de acuerdo con la mayor frecuencia de registros.</w:t>
      </w:r>
    </w:p>
    <w:p w14:paraId="2B86112F" w14:textId="4BDFF66E" w:rsidR="00F048EE" w:rsidRDefault="00F048EE" w:rsidP="00F048EE">
      <w:pPr>
        <w:autoSpaceDE w:val="0"/>
        <w:autoSpaceDN w:val="0"/>
        <w:adjustRightInd w:val="0"/>
        <w:spacing w:after="0" w:line="240" w:lineRule="auto"/>
        <w:ind w:left="-567"/>
        <w:jc w:val="center"/>
        <w:rPr>
          <w:rFonts w:ascii="Arial" w:hAnsi="Arial" w:cs="Arial"/>
          <w:color w:val="000000"/>
          <w:sz w:val="16"/>
          <w:szCs w:val="24"/>
        </w:rPr>
      </w:pPr>
      <w:r w:rsidRPr="00F048EE">
        <w:rPr>
          <w:rFonts w:ascii="Arial" w:hAnsi="Arial" w:cs="Arial"/>
          <w:color w:val="000000"/>
          <w:sz w:val="16"/>
          <w:szCs w:val="24"/>
        </w:rPr>
        <w:t xml:space="preserve">*Institución encargada de la función de seguridad pública (sin incluir, en su caso, a la unidad </w:t>
      </w:r>
      <w:proofErr w:type="spellStart"/>
      <w:r w:rsidRPr="00F048EE">
        <w:rPr>
          <w:rFonts w:ascii="Arial" w:hAnsi="Arial" w:cs="Arial"/>
          <w:color w:val="000000"/>
          <w:sz w:val="16"/>
          <w:szCs w:val="24"/>
        </w:rPr>
        <w:t>u</w:t>
      </w:r>
      <w:proofErr w:type="spellEnd"/>
      <w:r w:rsidRPr="00F048EE">
        <w:rPr>
          <w:rFonts w:ascii="Arial" w:hAnsi="Arial" w:cs="Arial"/>
          <w:color w:val="000000"/>
          <w:sz w:val="16"/>
          <w:szCs w:val="24"/>
        </w:rPr>
        <w:t xml:space="preserve"> homóloga encargada de las funciones penitenciarias)</w:t>
      </w:r>
      <w:r>
        <w:rPr>
          <w:rFonts w:ascii="Arial" w:hAnsi="Arial" w:cs="Arial"/>
          <w:color w:val="000000"/>
          <w:sz w:val="16"/>
          <w:szCs w:val="24"/>
        </w:rPr>
        <w:t>.</w:t>
      </w:r>
    </w:p>
    <w:p w14:paraId="3EE9F667" w14:textId="69FDB871" w:rsidR="00F048EE" w:rsidRPr="00F048EE" w:rsidRDefault="00F048EE" w:rsidP="00F048EE">
      <w:pPr>
        <w:autoSpaceDE w:val="0"/>
        <w:autoSpaceDN w:val="0"/>
        <w:adjustRightInd w:val="0"/>
        <w:spacing w:after="0" w:line="240" w:lineRule="auto"/>
        <w:ind w:left="-567"/>
        <w:jc w:val="center"/>
        <w:rPr>
          <w:rFonts w:ascii="Arial" w:hAnsi="Arial" w:cs="Arial"/>
          <w:color w:val="000000"/>
          <w:sz w:val="16"/>
          <w:szCs w:val="24"/>
        </w:rPr>
      </w:pPr>
      <w:r w:rsidRPr="00F048EE">
        <w:rPr>
          <w:rFonts w:ascii="Arial" w:hAnsi="Arial" w:cs="Arial"/>
          <w:color w:val="000000"/>
          <w:sz w:val="16"/>
          <w:szCs w:val="24"/>
        </w:rPr>
        <w:t xml:space="preserve">**Secretaría de Gobierno </w:t>
      </w:r>
      <w:proofErr w:type="spellStart"/>
      <w:r w:rsidRPr="00F048EE">
        <w:rPr>
          <w:rFonts w:ascii="Arial" w:hAnsi="Arial" w:cs="Arial"/>
          <w:color w:val="000000"/>
          <w:sz w:val="16"/>
          <w:szCs w:val="24"/>
        </w:rPr>
        <w:t>u</w:t>
      </w:r>
      <w:proofErr w:type="spellEnd"/>
      <w:r w:rsidRPr="00F048EE">
        <w:rPr>
          <w:rFonts w:ascii="Arial" w:hAnsi="Arial" w:cs="Arial"/>
          <w:color w:val="000000"/>
          <w:sz w:val="16"/>
          <w:szCs w:val="24"/>
        </w:rPr>
        <w:t xml:space="preserve"> homóloga (sin incluir, en su caso, a la unidad </w:t>
      </w:r>
      <w:proofErr w:type="spellStart"/>
      <w:r w:rsidRPr="00F048EE">
        <w:rPr>
          <w:rFonts w:ascii="Arial" w:hAnsi="Arial" w:cs="Arial"/>
          <w:color w:val="000000"/>
          <w:sz w:val="16"/>
          <w:szCs w:val="24"/>
        </w:rPr>
        <w:t>u</w:t>
      </w:r>
      <w:proofErr w:type="spellEnd"/>
      <w:r w:rsidRPr="00F048EE">
        <w:rPr>
          <w:rFonts w:ascii="Arial" w:hAnsi="Arial" w:cs="Arial"/>
          <w:color w:val="000000"/>
          <w:sz w:val="16"/>
          <w:szCs w:val="24"/>
        </w:rPr>
        <w:t xml:space="preserve"> homóloga encargada de la función de seguridad pública y/o de las funciones penitenciarias y/o al Centro de Justicia para las Mujeres y/o al organismo público encargado del sistema de agua)</w:t>
      </w:r>
      <w:r>
        <w:rPr>
          <w:rFonts w:ascii="Arial" w:hAnsi="Arial" w:cs="Arial"/>
          <w:color w:val="000000"/>
          <w:sz w:val="16"/>
          <w:szCs w:val="24"/>
        </w:rPr>
        <w:t>.</w:t>
      </w:r>
    </w:p>
    <w:p w14:paraId="1E11CC86" w14:textId="4599C920" w:rsidR="00AE43F3" w:rsidRDefault="00F048EE" w:rsidP="00F048EE">
      <w:pPr>
        <w:autoSpaceDE w:val="0"/>
        <w:autoSpaceDN w:val="0"/>
        <w:adjustRightInd w:val="0"/>
        <w:spacing w:after="0" w:line="240" w:lineRule="auto"/>
        <w:ind w:left="-567"/>
        <w:jc w:val="center"/>
        <w:rPr>
          <w:rFonts w:ascii="Arial" w:hAnsi="Arial" w:cs="Arial"/>
          <w:b/>
          <w:bCs/>
          <w:iCs/>
          <w:noProof/>
          <w:sz w:val="24"/>
          <w:szCs w:val="24"/>
          <w:lang w:eastAsia="es-MX"/>
        </w:rPr>
      </w:pPr>
      <w:r w:rsidRPr="00F048EE">
        <w:rPr>
          <w:rFonts w:ascii="Arial" w:hAnsi="Arial" w:cs="Arial"/>
          <w:color w:val="000000"/>
          <w:sz w:val="16"/>
          <w:szCs w:val="24"/>
        </w:rPr>
        <w:t xml:space="preserve">***Procuraduría General de Justicia o Fiscalía General (sin incluir, en su caso, a la unidad </w:t>
      </w:r>
      <w:proofErr w:type="spellStart"/>
      <w:r w:rsidRPr="00F048EE">
        <w:rPr>
          <w:rFonts w:ascii="Arial" w:hAnsi="Arial" w:cs="Arial"/>
          <w:color w:val="000000"/>
          <w:sz w:val="16"/>
          <w:szCs w:val="24"/>
        </w:rPr>
        <w:t>u</w:t>
      </w:r>
      <w:proofErr w:type="spellEnd"/>
      <w:r w:rsidRPr="00F048EE">
        <w:rPr>
          <w:rFonts w:ascii="Arial" w:hAnsi="Arial" w:cs="Arial"/>
          <w:color w:val="000000"/>
          <w:sz w:val="16"/>
          <w:szCs w:val="24"/>
        </w:rPr>
        <w:t xml:space="preserve"> homóloga encargada de la seguridad pública y/o al Centro de Justicia para las Mujeres)</w:t>
      </w:r>
      <w:r w:rsidR="00351782">
        <w:rPr>
          <w:rFonts w:ascii="Arial" w:hAnsi="Arial" w:cs="Arial"/>
          <w:color w:val="000000"/>
          <w:sz w:val="16"/>
          <w:szCs w:val="24"/>
        </w:rPr>
        <w:t>.</w:t>
      </w:r>
    </w:p>
    <w:p w14:paraId="2334FD50" w14:textId="77777777" w:rsidR="00F048EE" w:rsidRDefault="00F048EE" w:rsidP="00302093">
      <w:pPr>
        <w:autoSpaceDE w:val="0"/>
        <w:autoSpaceDN w:val="0"/>
        <w:adjustRightInd w:val="0"/>
        <w:spacing w:after="0" w:line="240" w:lineRule="auto"/>
        <w:ind w:left="-567"/>
        <w:jc w:val="both"/>
        <w:rPr>
          <w:rFonts w:ascii="Arial" w:hAnsi="Arial" w:cs="Arial"/>
          <w:b/>
          <w:bCs/>
          <w:iCs/>
          <w:noProof/>
          <w:sz w:val="24"/>
          <w:szCs w:val="24"/>
          <w:lang w:eastAsia="es-MX"/>
        </w:rPr>
      </w:pPr>
    </w:p>
    <w:p w14:paraId="3C7037EA" w14:textId="0251FADE" w:rsidR="00B84921" w:rsidRDefault="00AE43F3" w:rsidP="00302093">
      <w:pPr>
        <w:autoSpaceDE w:val="0"/>
        <w:autoSpaceDN w:val="0"/>
        <w:adjustRightInd w:val="0"/>
        <w:spacing w:after="0" w:line="240" w:lineRule="auto"/>
        <w:ind w:left="-567"/>
        <w:jc w:val="both"/>
        <w:rPr>
          <w:rFonts w:ascii="Arial" w:hAnsi="Arial" w:cs="Arial"/>
          <w:b/>
          <w:bCs/>
          <w:iCs/>
          <w:noProof/>
          <w:sz w:val="24"/>
          <w:szCs w:val="24"/>
          <w:lang w:eastAsia="es-MX"/>
        </w:rPr>
      </w:pPr>
      <w:r w:rsidRPr="00AE43F3">
        <w:rPr>
          <w:rFonts w:ascii="Arial" w:hAnsi="Arial" w:cs="Arial"/>
          <w:b/>
          <w:bCs/>
          <w:iCs/>
          <w:noProof/>
          <w:sz w:val="24"/>
          <w:szCs w:val="24"/>
          <w:lang w:eastAsia="es-MX"/>
        </w:rPr>
        <w:t>Servicios de atención inmediata</w:t>
      </w:r>
    </w:p>
    <w:p w14:paraId="590A7C5E" w14:textId="77777777" w:rsidR="00AE43F3" w:rsidRDefault="00AE43F3" w:rsidP="00302093">
      <w:pPr>
        <w:autoSpaceDE w:val="0"/>
        <w:autoSpaceDN w:val="0"/>
        <w:adjustRightInd w:val="0"/>
        <w:spacing w:after="0" w:line="240" w:lineRule="auto"/>
        <w:ind w:left="-567"/>
        <w:jc w:val="both"/>
        <w:rPr>
          <w:rFonts w:ascii="Arial" w:hAnsi="Arial" w:cs="Arial"/>
          <w:b/>
          <w:bCs/>
          <w:iCs/>
          <w:noProof/>
          <w:sz w:val="24"/>
          <w:szCs w:val="24"/>
          <w:lang w:eastAsia="es-MX"/>
        </w:rPr>
      </w:pPr>
    </w:p>
    <w:p w14:paraId="67F6D4EA" w14:textId="09470F7D" w:rsidR="00934A83" w:rsidRDefault="00E800BF" w:rsidP="00934A83">
      <w:pPr>
        <w:autoSpaceDE w:val="0"/>
        <w:autoSpaceDN w:val="0"/>
        <w:adjustRightInd w:val="0"/>
        <w:spacing w:after="0" w:line="240" w:lineRule="auto"/>
        <w:ind w:left="-567"/>
        <w:jc w:val="both"/>
        <w:rPr>
          <w:rFonts w:ascii="Arial" w:hAnsi="Arial" w:cs="Arial"/>
          <w:color w:val="000000"/>
          <w:sz w:val="24"/>
          <w:szCs w:val="24"/>
        </w:rPr>
      </w:pPr>
      <w:bookmarkStart w:id="8" w:name="_Hlk89279255"/>
      <w:r w:rsidRPr="00E800BF">
        <w:rPr>
          <w:rFonts w:ascii="Arial" w:hAnsi="Arial" w:cs="Arial"/>
          <w:color w:val="000000"/>
          <w:sz w:val="24"/>
          <w:szCs w:val="24"/>
        </w:rPr>
        <w:t>Durante 20</w:t>
      </w:r>
      <w:r w:rsidR="00934A83">
        <w:rPr>
          <w:rFonts w:ascii="Arial" w:hAnsi="Arial" w:cs="Arial"/>
          <w:color w:val="000000"/>
          <w:sz w:val="24"/>
          <w:szCs w:val="24"/>
        </w:rPr>
        <w:t>20</w:t>
      </w:r>
      <w:r w:rsidRPr="00E800BF">
        <w:rPr>
          <w:rFonts w:ascii="Arial" w:hAnsi="Arial" w:cs="Arial"/>
          <w:color w:val="000000"/>
          <w:sz w:val="24"/>
          <w:szCs w:val="24"/>
        </w:rPr>
        <w:t>, la cantidad de servicios de atención inmediata realizados por la CNDH</w:t>
      </w:r>
      <w:r w:rsidR="00934A83">
        <w:rPr>
          <w:rFonts w:ascii="Arial" w:hAnsi="Arial" w:cs="Arial"/>
          <w:color w:val="000000"/>
          <w:sz w:val="24"/>
          <w:szCs w:val="24"/>
        </w:rPr>
        <w:t xml:space="preserve"> y los OPDH fue de </w:t>
      </w:r>
      <w:r w:rsidR="00934A83" w:rsidRPr="00934A83">
        <w:rPr>
          <w:rFonts w:ascii="Arial" w:hAnsi="Arial" w:cs="Arial"/>
          <w:color w:val="000000"/>
          <w:sz w:val="24"/>
          <w:szCs w:val="24"/>
        </w:rPr>
        <w:t>206</w:t>
      </w:r>
      <w:r w:rsidR="00934A83">
        <w:rPr>
          <w:rFonts w:ascii="Arial" w:hAnsi="Arial" w:cs="Arial"/>
          <w:color w:val="000000"/>
          <w:sz w:val="24"/>
          <w:szCs w:val="24"/>
        </w:rPr>
        <w:t xml:space="preserve"> </w:t>
      </w:r>
      <w:r w:rsidR="00934A83" w:rsidRPr="00934A83">
        <w:rPr>
          <w:rFonts w:ascii="Arial" w:hAnsi="Arial" w:cs="Arial"/>
          <w:color w:val="000000"/>
          <w:sz w:val="24"/>
          <w:szCs w:val="24"/>
        </w:rPr>
        <w:t>766</w:t>
      </w:r>
      <w:r w:rsidR="00934A83">
        <w:rPr>
          <w:rFonts w:ascii="Arial" w:hAnsi="Arial" w:cs="Arial"/>
          <w:color w:val="000000"/>
          <w:sz w:val="24"/>
          <w:szCs w:val="24"/>
        </w:rPr>
        <w:t xml:space="preserve"> (37 120 y 169 646, respectivamente), cifra que representó una disminución de 44.7% respecto a lo reportado en 2019. </w:t>
      </w:r>
      <w:r w:rsidRPr="00E800BF">
        <w:rPr>
          <w:rFonts w:ascii="Arial" w:hAnsi="Arial" w:cs="Arial"/>
          <w:color w:val="000000"/>
          <w:sz w:val="24"/>
          <w:szCs w:val="24"/>
        </w:rPr>
        <w:t>Del total de servicios realizados, 5</w:t>
      </w:r>
      <w:r w:rsidR="00934A83">
        <w:rPr>
          <w:rFonts w:ascii="Arial" w:hAnsi="Arial" w:cs="Arial"/>
          <w:color w:val="000000"/>
          <w:sz w:val="24"/>
          <w:szCs w:val="24"/>
        </w:rPr>
        <w:t>5.6</w:t>
      </w:r>
      <w:r w:rsidRPr="00E800BF">
        <w:rPr>
          <w:rFonts w:ascii="Arial" w:hAnsi="Arial" w:cs="Arial"/>
          <w:color w:val="000000"/>
          <w:sz w:val="24"/>
          <w:szCs w:val="24"/>
        </w:rPr>
        <w:t xml:space="preserve">% se trató de </w:t>
      </w:r>
      <w:r w:rsidR="00383BF5" w:rsidRPr="00383BF5">
        <w:rPr>
          <w:rFonts w:ascii="Arial" w:hAnsi="Arial" w:cs="Arial"/>
          <w:i/>
          <w:color w:val="000000"/>
          <w:sz w:val="24"/>
          <w:szCs w:val="24"/>
        </w:rPr>
        <w:t>Asesoría u orientación integral</w:t>
      </w:r>
      <w:r w:rsidRPr="00E800BF">
        <w:rPr>
          <w:rFonts w:ascii="Arial" w:hAnsi="Arial" w:cs="Arial"/>
          <w:color w:val="000000"/>
          <w:sz w:val="24"/>
          <w:szCs w:val="24"/>
        </w:rPr>
        <w:t xml:space="preserve">. </w:t>
      </w:r>
    </w:p>
    <w:bookmarkEnd w:id="8"/>
    <w:p w14:paraId="129F80BF" w14:textId="77777777" w:rsidR="004E5B9D" w:rsidRDefault="004E5B9D" w:rsidP="00934A83">
      <w:pPr>
        <w:autoSpaceDE w:val="0"/>
        <w:autoSpaceDN w:val="0"/>
        <w:adjustRightInd w:val="0"/>
        <w:spacing w:after="0" w:line="240" w:lineRule="auto"/>
        <w:ind w:left="-567"/>
        <w:jc w:val="both"/>
        <w:rPr>
          <w:rFonts w:ascii="Arial" w:hAnsi="Arial" w:cs="Arial"/>
          <w:color w:val="000000"/>
          <w:sz w:val="24"/>
          <w:szCs w:val="24"/>
        </w:rPr>
      </w:pPr>
    </w:p>
    <w:p w14:paraId="3FF3B27D" w14:textId="5EB8BEAE" w:rsidR="004E5B9D" w:rsidRDefault="004E5B9D" w:rsidP="004E5B9D">
      <w:pPr>
        <w:autoSpaceDE w:val="0"/>
        <w:autoSpaceDN w:val="0"/>
        <w:adjustRightInd w:val="0"/>
        <w:spacing w:after="0" w:line="240" w:lineRule="auto"/>
        <w:ind w:left="-567"/>
        <w:jc w:val="center"/>
        <w:rPr>
          <w:rFonts w:ascii="Arial" w:hAnsi="Arial" w:cs="Arial"/>
          <w:color w:val="000000"/>
          <w:sz w:val="24"/>
          <w:szCs w:val="24"/>
        </w:rPr>
      </w:pPr>
      <w:r>
        <w:rPr>
          <w:rFonts w:ascii="Arial" w:hAnsi="Arial" w:cs="Arial"/>
          <w:b/>
          <w:bCs/>
          <w:i/>
          <w:iCs/>
          <w:color w:val="87AD8A"/>
          <w:sz w:val="18"/>
          <w:szCs w:val="24"/>
        </w:rPr>
        <w:t>Gráfica 1</w:t>
      </w:r>
      <w:r w:rsidR="00EA63AE">
        <w:rPr>
          <w:rFonts w:ascii="Arial" w:hAnsi="Arial" w:cs="Arial"/>
          <w:b/>
          <w:bCs/>
          <w:i/>
          <w:iCs/>
          <w:color w:val="87AD8A"/>
          <w:sz w:val="18"/>
          <w:szCs w:val="24"/>
        </w:rPr>
        <w:t>8</w:t>
      </w:r>
      <w:r>
        <w:rPr>
          <w:rFonts w:ascii="Arial" w:hAnsi="Arial" w:cs="Arial"/>
          <w:b/>
          <w:bCs/>
          <w:i/>
          <w:iCs/>
          <w:color w:val="87AD8A"/>
          <w:sz w:val="18"/>
          <w:szCs w:val="24"/>
        </w:rPr>
        <w:t xml:space="preserve">. </w:t>
      </w:r>
      <w:r w:rsidRPr="004E5B9D">
        <w:rPr>
          <w:rFonts w:ascii="Arial" w:hAnsi="Arial" w:cs="Arial"/>
          <w:b/>
          <w:bCs/>
          <w:i/>
          <w:iCs/>
          <w:color w:val="87AD8A"/>
          <w:sz w:val="18"/>
          <w:szCs w:val="24"/>
        </w:rPr>
        <w:t>Servicios de atención inmediata realizados por la CNDH y OPDH,</w:t>
      </w:r>
      <w:r>
        <w:rPr>
          <w:rFonts w:ascii="Arial" w:hAnsi="Arial" w:cs="Arial"/>
          <w:b/>
          <w:bCs/>
          <w:i/>
          <w:iCs/>
          <w:color w:val="87AD8A"/>
          <w:sz w:val="18"/>
          <w:szCs w:val="24"/>
        </w:rPr>
        <w:t xml:space="preserve"> 2017 a 2020</w:t>
      </w:r>
    </w:p>
    <w:p w14:paraId="3155B453" w14:textId="77777777" w:rsidR="004E5B9D" w:rsidRDefault="004E5B9D" w:rsidP="00934A83">
      <w:pPr>
        <w:autoSpaceDE w:val="0"/>
        <w:autoSpaceDN w:val="0"/>
        <w:adjustRightInd w:val="0"/>
        <w:spacing w:after="0" w:line="240" w:lineRule="auto"/>
        <w:ind w:left="-567"/>
        <w:jc w:val="both"/>
        <w:rPr>
          <w:rFonts w:ascii="Arial" w:hAnsi="Arial" w:cs="Arial"/>
          <w:color w:val="000000"/>
          <w:sz w:val="24"/>
          <w:szCs w:val="24"/>
        </w:rPr>
      </w:pPr>
    </w:p>
    <w:p w14:paraId="74DC6578" w14:textId="7EC5AD69" w:rsidR="00934A83" w:rsidRDefault="00934A83" w:rsidP="00934A83">
      <w:pPr>
        <w:autoSpaceDE w:val="0"/>
        <w:autoSpaceDN w:val="0"/>
        <w:adjustRightInd w:val="0"/>
        <w:spacing w:after="0" w:line="240" w:lineRule="auto"/>
        <w:ind w:left="-567"/>
        <w:jc w:val="center"/>
        <w:rPr>
          <w:rFonts w:ascii="Arial" w:hAnsi="Arial" w:cs="Arial"/>
          <w:color w:val="000000"/>
          <w:sz w:val="24"/>
          <w:szCs w:val="24"/>
        </w:rPr>
      </w:pPr>
      <w:r w:rsidRPr="00934A83">
        <w:rPr>
          <w:rFonts w:ascii="Arial" w:hAnsi="Arial" w:cs="Arial"/>
          <w:noProof/>
          <w:color w:val="000000"/>
          <w:sz w:val="24"/>
          <w:szCs w:val="24"/>
        </w:rPr>
        <w:drawing>
          <wp:inline distT="0" distB="0" distL="0" distR="0" wp14:anchorId="669FF943" wp14:editId="5D548968">
            <wp:extent cx="5859145" cy="2040687"/>
            <wp:effectExtent l="0" t="0" r="8255" b="0"/>
            <wp:docPr id="16" name="Gráfico 16">
              <a:extLst xmlns:a="http://schemas.openxmlformats.org/drawingml/2006/main">
                <a:ext uri="{FF2B5EF4-FFF2-40B4-BE49-F238E27FC236}">
                  <a16:creationId xmlns:a16="http://schemas.microsoft.com/office/drawing/2014/main" id="{55474A75-415A-459B-88A6-B393BDD71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09A94C0" w14:textId="77777777" w:rsidR="004E5B9D" w:rsidRDefault="004E5B9D" w:rsidP="00934A83">
      <w:pPr>
        <w:autoSpaceDE w:val="0"/>
        <w:autoSpaceDN w:val="0"/>
        <w:adjustRightInd w:val="0"/>
        <w:spacing w:after="0" w:line="240" w:lineRule="auto"/>
        <w:ind w:left="-567"/>
        <w:jc w:val="center"/>
        <w:rPr>
          <w:rFonts w:ascii="Arial" w:hAnsi="Arial" w:cs="Arial"/>
          <w:color w:val="000000"/>
          <w:sz w:val="24"/>
          <w:szCs w:val="24"/>
        </w:rPr>
      </w:pPr>
    </w:p>
    <w:p w14:paraId="186029FE" w14:textId="77777777" w:rsidR="00351782" w:rsidRDefault="00351782" w:rsidP="004E5B9D">
      <w:pPr>
        <w:autoSpaceDE w:val="0"/>
        <w:autoSpaceDN w:val="0"/>
        <w:adjustRightInd w:val="0"/>
        <w:spacing w:after="0" w:line="240" w:lineRule="auto"/>
        <w:ind w:left="-567"/>
        <w:jc w:val="center"/>
        <w:rPr>
          <w:rFonts w:ascii="Arial" w:hAnsi="Arial" w:cs="Arial"/>
          <w:b/>
          <w:bCs/>
          <w:i/>
          <w:iCs/>
          <w:color w:val="87AD8A"/>
          <w:sz w:val="18"/>
          <w:szCs w:val="24"/>
        </w:rPr>
      </w:pPr>
    </w:p>
    <w:p w14:paraId="359AC828" w14:textId="77777777" w:rsidR="00B66B2F" w:rsidRDefault="00B66B2F" w:rsidP="004E5B9D">
      <w:pPr>
        <w:autoSpaceDE w:val="0"/>
        <w:autoSpaceDN w:val="0"/>
        <w:adjustRightInd w:val="0"/>
        <w:spacing w:after="0" w:line="240" w:lineRule="auto"/>
        <w:ind w:left="-567"/>
        <w:jc w:val="center"/>
        <w:rPr>
          <w:rFonts w:ascii="Arial" w:hAnsi="Arial" w:cs="Arial"/>
          <w:b/>
          <w:bCs/>
          <w:i/>
          <w:iCs/>
          <w:color w:val="87AD8A"/>
          <w:sz w:val="18"/>
          <w:szCs w:val="24"/>
        </w:rPr>
      </w:pPr>
    </w:p>
    <w:p w14:paraId="361EA212" w14:textId="763A4CA2" w:rsidR="004E5B9D" w:rsidRDefault="004E5B9D" w:rsidP="004E5B9D">
      <w:pPr>
        <w:autoSpaceDE w:val="0"/>
        <w:autoSpaceDN w:val="0"/>
        <w:adjustRightInd w:val="0"/>
        <w:spacing w:after="0" w:line="240" w:lineRule="auto"/>
        <w:ind w:left="-567"/>
        <w:jc w:val="center"/>
        <w:rPr>
          <w:rFonts w:ascii="Arial" w:hAnsi="Arial" w:cs="Arial"/>
          <w:color w:val="000000"/>
          <w:sz w:val="24"/>
          <w:szCs w:val="24"/>
        </w:rPr>
      </w:pPr>
      <w:r>
        <w:rPr>
          <w:rFonts w:ascii="Arial" w:hAnsi="Arial" w:cs="Arial"/>
          <w:b/>
          <w:bCs/>
          <w:i/>
          <w:iCs/>
          <w:color w:val="87AD8A"/>
          <w:sz w:val="18"/>
          <w:szCs w:val="24"/>
        </w:rPr>
        <w:t xml:space="preserve">Gráfica </w:t>
      </w:r>
      <w:r w:rsidR="0067623B">
        <w:rPr>
          <w:rFonts w:ascii="Arial" w:hAnsi="Arial" w:cs="Arial"/>
          <w:b/>
          <w:bCs/>
          <w:i/>
          <w:iCs/>
          <w:color w:val="87AD8A"/>
          <w:sz w:val="18"/>
          <w:szCs w:val="24"/>
        </w:rPr>
        <w:t>19</w:t>
      </w:r>
      <w:r>
        <w:rPr>
          <w:rFonts w:ascii="Arial" w:hAnsi="Arial" w:cs="Arial"/>
          <w:b/>
          <w:bCs/>
          <w:i/>
          <w:iCs/>
          <w:color w:val="87AD8A"/>
          <w:sz w:val="18"/>
          <w:szCs w:val="24"/>
        </w:rPr>
        <w:t xml:space="preserve">. </w:t>
      </w:r>
      <w:r w:rsidRPr="004E5B9D">
        <w:rPr>
          <w:rFonts w:ascii="Arial" w:hAnsi="Arial" w:cs="Arial"/>
          <w:b/>
          <w:bCs/>
          <w:i/>
          <w:iCs/>
          <w:color w:val="87AD8A"/>
          <w:sz w:val="18"/>
          <w:szCs w:val="24"/>
        </w:rPr>
        <w:t>Servicios de atención inmediata realizados por la CNDH y OPDH,</w:t>
      </w:r>
      <w:r>
        <w:rPr>
          <w:rFonts w:ascii="Arial" w:hAnsi="Arial" w:cs="Arial"/>
          <w:b/>
          <w:bCs/>
          <w:i/>
          <w:iCs/>
          <w:color w:val="87AD8A"/>
          <w:sz w:val="18"/>
          <w:szCs w:val="24"/>
        </w:rPr>
        <w:t xml:space="preserve"> según tipo, 2020</w:t>
      </w:r>
    </w:p>
    <w:p w14:paraId="0B6206C0" w14:textId="1C7AA056" w:rsidR="004E5B9D" w:rsidRDefault="00383BF5" w:rsidP="00934A83">
      <w:pPr>
        <w:autoSpaceDE w:val="0"/>
        <w:autoSpaceDN w:val="0"/>
        <w:adjustRightInd w:val="0"/>
        <w:spacing w:after="0" w:line="240" w:lineRule="auto"/>
        <w:ind w:left="-567"/>
        <w:jc w:val="center"/>
        <w:rPr>
          <w:rFonts w:ascii="Arial" w:hAnsi="Arial" w:cs="Arial"/>
          <w:color w:val="000000"/>
          <w:sz w:val="24"/>
          <w:szCs w:val="24"/>
        </w:rPr>
      </w:pPr>
      <w:r w:rsidRPr="00383BF5">
        <w:rPr>
          <w:rFonts w:ascii="Arial" w:hAnsi="Arial" w:cs="Arial"/>
          <w:noProof/>
          <w:color w:val="000000"/>
          <w:sz w:val="24"/>
          <w:szCs w:val="24"/>
        </w:rPr>
        <w:drawing>
          <wp:inline distT="0" distB="0" distL="0" distR="0" wp14:anchorId="6BA23E1D" wp14:editId="5460DB7B">
            <wp:extent cx="5972175" cy="2686050"/>
            <wp:effectExtent l="0" t="0" r="0" b="0"/>
            <wp:docPr id="19" name="Gráfico 19">
              <a:extLst xmlns:a="http://schemas.openxmlformats.org/drawingml/2006/main">
                <a:ext uri="{FF2B5EF4-FFF2-40B4-BE49-F238E27FC236}">
                  <a16:creationId xmlns:a16="http://schemas.microsoft.com/office/drawing/2014/main" id="{625EB2B8-3EDC-4F6A-A8C8-D08F6BAF1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CF9DC4F" w14:textId="08859FB0" w:rsidR="00962096" w:rsidRPr="00962096" w:rsidRDefault="00962096" w:rsidP="00962096">
      <w:pPr>
        <w:spacing w:after="0" w:line="240" w:lineRule="auto"/>
        <w:jc w:val="center"/>
        <w:rPr>
          <w:rFonts w:ascii="Arial" w:eastAsia="Times New Roman" w:hAnsi="Arial" w:cs="Arial"/>
          <w:color w:val="000000"/>
          <w:sz w:val="16"/>
          <w:lang w:eastAsia="es-MX"/>
        </w:rPr>
      </w:pPr>
      <w:r>
        <w:rPr>
          <w:rFonts w:ascii="Arial" w:eastAsia="Times New Roman" w:hAnsi="Arial" w:cs="Arial"/>
          <w:color w:val="000000"/>
          <w:sz w:val="16"/>
          <w:lang w:eastAsia="es-MX"/>
        </w:rPr>
        <w:t>*</w:t>
      </w:r>
      <w:r w:rsidRPr="00962096">
        <w:rPr>
          <w:rFonts w:ascii="Arial" w:eastAsia="Times New Roman" w:hAnsi="Arial" w:cs="Arial"/>
          <w:color w:val="000000"/>
          <w:sz w:val="16"/>
          <w:lang w:eastAsia="es-MX"/>
        </w:rPr>
        <w:t>Atención mediante oficios o expedientes de canalización, colaboración o intervención (con autoridades o instancias diferentes a algún OPDH)</w:t>
      </w:r>
    </w:p>
    <w:p w14:paraId="2765CAE0" w14:textId="77777777" w:rsidR="00962096" w:rsidRDefault="00962096" w:rsidP="00934A83">
      <w:pPr>
        <w:autoSpaceDE w:val="0"/>
        <w:autoSpaceDN w:val="0"/>
        <w:adjustRightInd w:val="0"/>
        <w:spacing w:after="0" w:line="240" w:lineRule="auto"/>
        <w:ind w:left="-567"/>
        <w:jc w:val="center"/>
        <w:rPr>
          <w:rFonts w:ascii="Arial" w:hAnsi="Arial" w:cs="Arial"/>
          <w:color w:val="000000"/>
          <w:sz w:val="24"/>
          <w:szCs w:val="24"/>
        </w:rPr>
      </w:pPr>
    </w:p>
    <w:p w14:paraId="4DB3F4BB" w14:textId="77777777" w:rsidR="00934A83" w:rsidRPr="00962096" w:rsidRDefault="00934A83" w:rsidP="00934A83">
      <w:pPr>
        <w:autoSpaceDE w:val="0"/>
        <w:autoSpaceDN w:val="0"/>
        <w:adjustRightInd w:val="0"/>
        <w:spacing w:after="0" w:line="240" w:lineRule="auto"/>
        <w:ind w:left="-567"/>
        <w:jc w:val="both"/>
        <w:rPr>
          <w:rFonts w:ascii="Arial" w:hAnsi="Arial" w:cs="Arial"/>
          <w:color w:val="000000"/>
          <w:sz w:val="24"/>
          <w:szCs w:val="24"/>
        </w:rPr>
      </w:pPr>
    </w:p>
    <w:p w14:paraId="4EC5AA1E" w14:textId="77777777" w:rsidR="00B66B2F" w:rsidRDefault="00B66B2F" w:rsidP="00934A83">
      <w:pPr>
        <w:autoSpaceDE w:val="0"/>
        <w:autoSpaceDN w:val="0"/>
        <w:adjustRightInd w:val="0"/>
        <w:spacing w:after="0" w:line="240" w:lineRule="auto"/>
        <w:ind w:left="-567"/>
        <w:jc w:val="both"/>
        <w:rPr>
          <w:rFonts w:ascii="Arial" w:hAnsi="Arial" w:cs="Arial"/>
          <w:color w:val="000000"/>
          <w:sz w:val="24"/>
          <w:szCs w:val="24"/>
        </w:rPr>
      </w:pPr>
    </w:p>
    <w:p w14:paraId="2C7325F3" w14:textId="228194E5" w:rsidR="00AE43F3" w:rsidRDefault="0006762F" w:rsidP="00934A83">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La CNDH, así como los OPDH de la </w:t>
      </w:r>
      <w:r w:rsidR="00E86429">
        <w:rPr>
          <w:rFonts w:ascii="Arial" w:hAnsi="Arial" w:cs="Arial"/>
          <w:color w:val="000000"/>
          <w:sz w:val="24"/>
          <w:szCs w:val="24"/>
        </w:rPr>
        <w:t>Ciudad de México</w:t>
      </w:r>
      <w:r>
        <w:rPr>
          <w:rFonts w:ascii="Arial" w:hAnsi="Arial" w:cs="Arial"/>
          <w:color w:val="000000"/>
          <w:sz w:val="24"/>
          <w:szCs w:val="24"/>
        </w:rPr>
        <w:t>, Pueb</w:t>
      </w:r>
      <w:r w:rsidR="006E7170">
        <w:rPr>
          <w:rFonts w:ascii="Arial" w:hAnsi="Arial" w:cs="Arial"/>
          <w:color w:val="000000"/>
          <w:sz w:val="24"/>
          <w:szCs w:val="24"/>
        </w:rPr>
        <w:t>la,</w:t>
      </w:r>
      <w:r>
        <w:rPr>
          <w:rFonts w:ascii="Arial" w:hAnsi="Arial" w:cs="Arial"/>
          <w:color w:val="000000"/>
          <w:sz w:val="24"/>
          <w:szCs w:val="24"/>
        </w:rPr>
        <w:t xml:space="preserve"> México y Chihuahua</w:t>
      </w:r>
      <w:r w:rsidR="00E86429">
        <w:rPr>
          <w:rFonts w:ascii="Arial" w:hAnsi="Arial" w:cs="Arial"/>
          <w:color w:val="000000"/>
          <w:sz w:val="24"/>
          <w:szCs w:val="24"/>
        </w:rPr>
        <w:t xml:space="preserve"> </w:t>
      </w:r>
      <w:r w:rsidR="00E800BF" w:rsidRPr="00962096">
        <w:rPr>
          <w:rFonts w:ascii="Arial" w:hAnsi="Arial" w:cs="Arial"/>
          <w:color w:val="000000"/>
          <w:sz w:val="24"/>
          <w:szCs w:val="24"/>
        </w:rPr>
        <w:t>registr</w:t>
      </w:r>
      <w:r>
        <w:rPr>
          <w:rFonts w:ascii="Arial" w:hAnsi="Arial" w:cs="Arial"/>
          <w:color w:val="000000"/>
          <w:sz w:val="24"/>
          <w:szCs w:val="24"/>
        </w:rPr>
        <w:t>aron</w:t>
      </w:r>
      <w:r w:rsidR="00E800BF" w:rsidRPr="00962096">
        <w:rPr>
          <w:rFonts w:ascii="Arial" w:hAnsi="Arial" w:cs="Arial"/>
          <w:color w:val="000000"/>
          <w:sz w:val="24"/>
          <w:szCs w:val="24"/>
        </w:rPr>
        <w:t xml:space="preserve"> la</w:t>
      </w:r>
      <w:r>
        <w:rPr>
          <w:rFonts w:ascii="Arial" w:hAnsi="Arial" w:cs="Arial"/>
          <w:color w:val="000000"/>
          <w:sz w:val="24"/>
          <w:szCs w:val="24"/>
        </w:rPr>
        <w:t>s</w:t>
      </w:r>
      <w:r w:rsidR="00E800BF" w:rsidRPr="00962096">
        <w:rPr>
          <w:rFonts w:ascii="Arial" w:hAnsi="Arial" w:cs="Arial"/>
          <w:color w:val="000000"/>
          <w:sz w:val="24"/>
          <w:szCs w:val="24"/>
        </w:rPr>
        <w:t xml:space="preserve"> cifra</w:t>
      </w:r>
      <w:r>
        <w:rPr>
          <w:rFonts w:ascii="Arial" w:hAnsi="Arial" w:cs="Arial"/>
          <w:color w:val="000000"/>
          <w:sz w:val="24"/>
          <w:szCs w:val="24"/>
        </w:rPr>
        <w:t>s</w:t>
      </w:r>
      <w:r w:rsidR="00E800BF" w:rsidRPr="00962096">
        <w:rPr>
          <w:rFonts w:ascii="Arial" w:hAnsi="Arial" w:cs="Arial"/>
          <w:color w:val="000000"/>
          <w:sz w:val="24"/>
          <w:szCs w:val="24"/>
        </w:rPr>
        <w:t xml:space="preserve"> más alta</w:t>
      </w:r>
      <w:r>
        <w:rPr>
          <w:rFonts w:ascii="Arial" w:hAnsi="Arial" w:cs="Arial"/>
          <w:color w:val="000000"/>
          <w:sz w:val="24"/>
          <w:szCs w:val="24"/>
        </w:rPr>
        <w:t>s</w:t>
      </w:r>
      <w:r w:rsidR="00E800BF" w:rsidRPr="00962096">
        <w:rPr>
          <w:rFonts w:ascii="Arial" w:hAnsi="Arial" w:cs="Arial"/>
          <w:color w:val="000000"/>
          <w:sz w:val="24"/>
          <w:szCs w:val="24"/>
        </w:rPr>
        <w:t xml:space="preserve"> de servicios de atención.</w:t>
      </w:r>
    </w:p>
    <w:p w14:paraId="6388F566" w14:textId="77777777" w:rsidR="00E86429" w:rsidRDefault="00E86429" w:rsidP="00934A83">
      <w:pPr>
        <w:autoSpaceDE w:val="0"/>
        <w:autoSpaceDN w:val="0"/>
        <w:adjustRightInd w:val="0"/>
        <w:spacing w:after="0" w:line="240" w:lineRule="auto"/>
        <w:ind w:left="-567"/>
        <w:jc w:val="both"/>
        <w:rPr>
          <w:rFonts w:ascii="Arial" w:hAnsi="Arial" w:cs="Arial"/>
          <w:color w:val="000000"/>
          <w:sz w:val="24"/>
          <w:szCs w:val="24"/>
        </w:rPr>
      </w:pPr>
    </w:p>
    <w:p w14:paraId="5FA672DF" w14:textId="598B2651" w:rsidR="00E86429" w:rsidRDefault="008A2251" w:rsidP="00E86429">
      <w:pPr>
        <w:autoSpaceDE w:val="0"/>
        <w:autoSpaceDN w:val="0"/>
        <w:adjustRightInd w:val="0"/>
        <w:spacing w:after="0" w:line="240" w:lineRule="auto"/>
        <w:ind w:left="-567"/>
        <w:jc w:val="center"/>
        <w:rPr>
          <w:rFonts w:ascii="Arial" w:hAnsi="Arial" w:cs="Arial"/>
          <w:b/>
          <w:bCs/>
          <w:i/>
          <w:iCs/>
          <w:color w:val="87AD8A"/>
          <w:sz w:val="18"/>
          <w:szCs w:val="24"/>
        </w:rPr>
      </w:pPr>
      <w:r>
        <w:rPr>
          <w:rFonts w:ascii="Arial" w:hAnsi="Arial" w:cs="Arial"/>
          <w:b/>
          <w:bCs/>
          <w:i/>
          <w:iCs/>
          <w:color w:val="87AD8A"/>
          <w:sz w:val="18"/>
          <w:szCs w:val="24"/>
        </w:rPr>
        <w:t>Mapa 4</w:t>
      </w:r>
      <w:r w:rsidR="00E86429">
        <w:rPr>
          <w:rFonts w:ascii="Arial" w:hAnsi="Arial" w:cs="Arial"/>
          <w:b/>
          <w:bCs/>
          <w:i/>
          <w:iCs/>
          <w:color w:val="87AD8A"/>
          <w:sz w:val="18"/>
          <w:szCs w:val="24"/>
        </w:rPr>
        <w:t xml:space="preserve">. </w:t>
      </w:r>
      <w:r w:rsidR="00E86429" w:rsidRPr="004E5B9D">
        <w:rPr>
          <w:rFonts w:ascii="Arial" w:hAnsi="Arial" w:cs="Arial"/>
          <w:b/>
          <w:bCs/>
          <w:i/>
          <w:iCs/>
          <w:color w:val="87AD8A"/>
          <w:sz w:val="18"/>
          <w:szCs w:val="24"/>
        </w:rPr>
        <w:t>Servicios de atención inmediata realizados por la CNDH y OPDH,</w:t>
      </w:r>
      <w:r w:rsidR="00E86429">
        <w:rPr>
          <w:rFonts w:ascii="Arial" w:hAnsi="Arial" w:cs="Arial"/>
          <w:b/>
          <w:bCs/>
          <w:i/>
          <w:iCs/>
          <w:color w:val="87AD8A"/>
          <w:sz w:val="18"/>
          <w:szCs w:val="24"/>
        </w:rPr>
        <w:t xml:space="preserve"> según </w:t>
      </w:r>
      <w:r>
        <w:rPr>
          <w:rFonts w:ascii="Arial" w:hAnsi="Arial" w:cs="Arial"/>
          <w:b/>
          <w:bCs/>
          <w:i/>
          <w:iCs/>
          <w:color w:val="87AD8A"/>
          <w:sz w:val="18"/>
          <w:szCs w:val="24"/>
        </w:rPr>
        <w:t>entidad federativa</w:t>
      </w:r>
      <w:r w:rsidR="00E86429">
        <w:rPr>
          <w:rFonts w:ascii="Arial" w:hAnsi="Arial" w:cs="Arial"/>
          <w:b/>
          <w:bCs/>
          <w:i/>
          <w:iCs/>
          <w:color w:val="87AD8A"/>
          <w:sz w:val="18"/>
          <w:szCs w:val="24"/>
        </w:rPr>
        <w:t>, 2020</w:t>
      </w:r>
    </w:p>
    <w:p w14:paraId="010885B0" w14:textId="77777777" w:rsidR="00E86429" w:rsidRDefault="00E86429" w:rsidP="00934A83">
      <w:pPr>
        <w:autoSpaceDE w:val="0"/>
        <w:autoSpaceDN w:val="0"/>
        <w:adjustRightInd w:val="0"/>
        <w:spacing w:after="0" w:line="240" w:lineRule="auto"/>
        <w:ind w:left="-567"/>
        <w:jc w:val="both"/>
        <w:rPr>
          <w:rFonts w:ascii="Arial" w:hAnsi="Arial" w:cs="Arial"/>
          <w:color w:val="000000"/>
          <w:sz w:val="24"/>
          <w:szCs w:val="24"/>
        </w:rPr>
      </w:pPr>
    </w:p>
    <w:p w14:paraId="71C76F4B" w14:textId="13C61A27" w:rsidR="003F7656" w:rsidRDefault="003F7656" w:rsidP="00E86429">
      <w:pPr>
        <w:autoSpaceDE w:val="0"/>
        <w:autoSpaceDN w:val="0"/>
        <w:adjustRightInd w:val="0"/>
        <w:spacing w:after="0" w:line="240" w:lineRule="auto"/>
        <w:ind w:left="-567"/>
        <w:jc w:val="center"/>
        <w:rPr>
          <w:rFonts w:ascii="Arial" w:hAnsi="Arial" w:cs="Arial"/>
          <w:color w:val="000000"/>
          <w:sz w:val="24"/>
          <w:szCs w:val="24"/>
        </w:rPr>
      </w:pPr>
      <w:r>
        <w:rPr>
          <w:rFonts w:ascii="Arial" w:hAnsi="Arial" w:cs="Arial"/>
          <w:noProof/>
          <w:color w:val="000000"/>
          <w:sz w:val="24"/>
          <w:szCs w:val="24"/>
        </w:rPr>
        <w:drawing>
          <wp:inline distT="0" distB="0" distL="0" distR="0" wp14:anchorId="70A05D35" wp14:editId="226BBBF6">
            <wp:extent cx="5262113" cy="3344681"/>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45008" cy="3397370"/>
                    </a:xfrm>
                    <a:prstGeom prst="rect">
                      <a:avLst/>
                    </a:prstGeom>
                    <a:noFill/>
                  </pic:spPr>
                </pic:pic>
              </a:graphicData>
            </a:graphic>
          </wp:inline>
        </w:drawing>
      </w:r>
    </w:p>
    <w:p w14:paraId="772D70FC" w14:textId="2554727A" w:rsidR="00E800BF" w:rsidRDefault="00E800BF" w:rsidP="00C53466">
      <w:pPr>
        <w:spacing w:after="0"/>
        <w:ind w:left="-567"/>
        <w:rPr>
          <w:rFonts w:ascii="Arial" w:hAnsi="Arial" w:cs="Arial"/>
          <w:b/>
          <w:bCs/>
          <w:iCs/>
          <w:noProof/>
          <w:sz w:val="24"/>
          <w:szCs w:val="24"/>
          <w:lang w:eastAsia="es-MX"/>
        </w:rPr>
      </w:pPr>
    </w:p>
    <w:p w14:paraId="33B880C5" w14:textId="722CC980" w:rsidR="00E800BF" w:rsidRDefault="00C53466" w:rsidP="00C53466">
      <w:pPr>
        <w:spacing w:after="0"/>
        <w:ind w:left="-567"/>
        <w:rPr>
          <w:rFonts w:ascii="Arial" w:hAnsi="Arial" w:cs="Arial"/>
          <w:b/>
          <w:bCs/>
          <w:iCs/>
          <w:noProof/>
          <w:sz w:val="24"/>
          <w:szCs w:val="24"/>
          <w:lang w:eastAsia="es-MX"/>
        </w:rPr>
      </w:pPr>
      <w:r w:rsidRPr="00C53466">
        <w:rPr>
          <w:rFonts w:ascii="Arial" w:hAnsi="Arial" w:cs="Arial"/>
          <w:b/>
          <w:bCs/>
          <w:iCs/>
          <w:noProof/>
          <w:sz w:val="24"/>
          <w:szCs w:val="24"/>
          <w:lang w:eastAsia="es-MX"/>
        </w:rPr>
        <w:lastRenderedPageBreak/>
        <w:t>Solicitudes de queja</w:t>
      </w:r>
    </w:p>
    <w:p w14:paraId="3B3B2372" w14:textId="77777777" w:rsidR="00C53466" w:rsidRDefault="00C53466" w:rsidP="00C53466">
      <w:pPr>
        <w:spacing w:after="0"/>
        <w:ind w:left="-567"/>
        <w:rPr>
          <w:rFonts w:ascii="Arial" w:hAnsi="Arial" w:cs="Arial"/>
          <w:b/>
          <w:bCs/>
          <w:iCs/>
          <w:noProof/>
          <w:sz w:val="24"/>
          <w:szCs w:val="24"/>
          <w:lang w:eastAsia="es-MX"/>
        </w:rPr>
      </w:pPr>
    </w:p>
    <w:p w14:paraId="3A620EC0" w14:textId="3EBEA3A4" w:rsidR="0006762F" w:rsidRDefault="00126C2B" w:rsidP="00B25CFB">
      <w:pPr>
        <w:autoSpaceDE w:val="0"/>
        <w:autoSpaceDN w:val="0"/>
        <w:adjustRightInd w:val="0"/>
        <w:spacing w:after="0" w:line="240" w:lineRule="auto"/>
        <w:ind w:left="-567"/>
        <w:jc w:val="both"/>
        <w:rPr>
          <w:rFonts w:ascii="Arial" w:hAnsi="Arial" w:cs="Arial"/>
          <w:color w:val="000000"/>
          <w:sz w:val="24"/>
          <w:szCs w:val="24"/>
        </w:rPr>
      </w:pPr>
      <w:r w:rsidRPr="00126C2B">
        <w:rPr>
          <w:rFonts w:ascii="Arial" w:hAnsi="Arial" w:cs="Arial"/>
          <w:color w:val="000000"/>
          <w:sz w:val="24"/>
          <w:szCs w:val="24"/>
        </w:rPr>
        <w:t>Durante 20</w:t>
      </w:r>
      <w:r w:rsidR="000C3B1F">
        <w:rPr>
          <w:rFonts w:ascii="Arial" w:hAnsi="Arial" w:cs="Arial"/>
          <w:color w:val="000000"/>
          <w:sz w:val="24"/>
          <w:szCs w:val="24"/>
        </w:rPr>
        <w:t>20</w:t>
      </w:r>
      <w:r w:rsidRPr="00126C2B">
        <w:rPr>
          <w:rFonts w:ascii="Arial" w:hAnsi="Arial" w:cs="Arial"/>
          <w:color w:val="000000"/>
          <w:sz w:val="24"/>
          <w:szCs w:val="24"/>
        </w:rPr>
        <w:t xml:space="preserve">, </w:t>
      </w:r>
      <w:bookmarkStart w:id="9" w:name="_Hlk89279313"/>
      <w:r w:rsidRPr="00126C2B">
        <w:rPr>
          <w:rFonts w:ascii="Arial" w:hAnsi="Arial" w:cs="Arial"/>
          <w:color w:val="000000"/>
          <w:sz w:val="24"/>
          <w:szCs w:val="24"/>
        </w:rPr>
        <w:t>se reportaron</w:t>
      </w:r>
      <w:r w:rsidR="0006762F" w:rsidRPr="0006762F">
        <w:rPr>
          <w:rFonts w:ascii="Arial" w:hAnsi="Arial" w:cs="Arial"/>
          <w:color w:val="000000"/>
          <w:sz w:val="24"/>
          <w:szCs w:val="24"/>
        </w:rPr>
        <w:t xml:space="preserve"> </w:t>
      </w:r>
      <w:r w:rsidR="0006762F" w:rsidRPr="00126C2B">
        <w:rPr>
          <w:rFonts w:ascii="Arial" w:hAnsi="Arial" w:cs="Arial"/>
          <w:color w:val="000000"/>
          <w:sz w:val="24"/>
          <w:szCs w:val="24"/>
        </w:rPr>
        <w:t>en total</w:t>
      </w:r>
      <w:r w:rsidRPr="00126C2B">
        <w:rPr>
          <w:rFonts w:ascii="Arial" w:hAnsi="Arial" w:cs="Arial"/>
          <w:color w:val="000000"/>
          <w:sz w:val="24"/>
          <w:szCs w:val="24"/>
        </w:rPr>
        <w:t xml:space="preserve"> </w:t>
      </w:r>
      <w:r w:rsidR="00EB5CF8" w:rsidRPr="00EB5CF8">
        <w:rPr>
          <w:rFonts w:ascii="Arial" w:hAnsi="Arial" w:cs="Arial"/>
          <w:color w:val="000000"/>
          <w:sz w:val="24"/>
          <w:szCs w:val="24"/>
        </w:rPr>
        <w:t>164 888</w:t>
      </w:r>
      <w:r w:rsidR="00EB5CF8">
        <w:rPr>
          <w:rFonts w:ascii="Arial" w:hAnsi="Arial" w:cs="Arial"/>
          <w:color w:val="000000"/>
          <w:sz w:val="24"/>
          <w:szCs w:val="24"/>
        </w:rPr>
        <w:t xml:space="preserve"> </w:t>
      </w:r>
      <w:r w:rsidRPr="00126C2B">
        <w:rPr>
          <w:rFonts w:ascii="Arial" w:hAnsi="Arial" w:cs="Arial"/>
          <w:color w:val="000000"/>
          <w:sz w:val="24"/>
          <w:szCs w:val="24"/>
        </w:rPr>
        <w:t>solicitudes de queja, 3</w:t>
      </w:r>
      <w:r w:rsidR="00EB5CF8">
        <w:rPr>
          <w:rFonts w:ascii="Arial" w:hAnsi="Arial" w:cs="Arial"/>
          <w:color w:val="000000"/>
          <w:sz w:val="24"/>
          <w:szCs w:val="24"/>
        </w:rPr>
        <w:t>5.6</w:t>
      </w:r>
      <w:r w:rsidRPr="00126C2B">
        <w:rPr>
          <w:rFonts w:ascii="Arial" w:hAnsi="Arial" w:cs="Arial"/>
          <w:color w:val="000000"/>
          <w:sz w:val="24"/>
          <w:szCs w:val="24"/>
        </w:rPr>
        <w:t>% (5</w:t>
      </w:r>
      <w:r w:rsidR="00EB5CF8">
        <w:rPr>
          <w:rFonts w:ascii="Arial" w:hAnsi="Arial" w:cs="Arial"/>
          <w:color w:val="000000"/>
          <w:sz w:val="24"/>
          <w:szCs w:val="24"/>
        </w:rPr>
        <w:t>8 722</w:t>
      </w:r>
      <w:r w:rsidRPr="00126C2B">
        <w:rPr>
          <w:rFonts w:ascii="Arial" w:hAnsi="Arial" w:cs="Arial"/>
          <w:color w:val="000000"/>
          <w:sz w:val="24"/>
          <w:szCs w:val="24"/>
        </w:rPr>
        <w:t>) en la CNDH y 6</w:t>
      </w:r>
      <w:r w:rsidR="00EB5CF8">
        <w:rPr>
          <w:rFonts w:ascii="Arial" w:hAnsi="Arial" w:cs="Arial"/>
          <w:color w:val="000000"/>
          <w:sz w:val="24"/>
          <w:szCs w:val="24"/>
        </w:rPr>
        <w:t>4.4</w:t>
      </w:r>
      <w:r w:rsidRPr="00126C2B">
        <w:rPr>
          <w:rFonts w:ascii="Arial" w:hAnsi="Arial" w:cs="Arial"/>
          <w:color w:val="000000"/>
          <w:sz w:val="24"/>
          <w:szCs w:val="24"/>
        </w:rPr>
        <w:t>% (1</w:t>
      </w:r>
      <w:r w:rsidR="00EB5CF8">
        <w:rPr>
          <w:rFonts w:ascii="Arial" w:hAnsi="Arial" w:cs="Arial"/>
          <w:color w:val="000000"/>
          <w:sz w:val="24"/>
          <w:szCs w:val="24"/>
        </w:rPr>
        <w:t>06 166</w:t>
      </w:r>
      <w:r w:rsidRPr="00126C2B">
        <w:rPr>
          <w:rFonts w:ascii="Arial" w:hAnsi="Arial" w:cs="Arial"/>
          <w:color w:val="000000"/>
          <w:sz w:val="24"/>
          <w:szCs w:val="24"/>
        </w:rPr>
        <w:t xml:space="preserve">) en los OPDH. </w:t>
      </w:r>
      <w:r w:rsidR="00D3709A" w:rsidRPr="00D3709A">
        <w:rPr>
          <w:rFonts w:ascii="Arial" w:hAnsi="Arial" w:cs="Arial"/>
          <w:color w:val="000000"/>
          <w:sz w:val="24"/>
          <w:szCs w:val="24"/>
        </w:rPr>
        <w:t>En comparación con lo reportado en 2019, la cantidad de solicitudes de queja recibidas por la CNDH en 2020 aumentó 5.2%, mientras que en los OPDH se registró un decremento de 33.8 por ciento.</w:t>
      </w:r>
    </w:p>
    <w:p w14:paraId="12AF67C0" w14:textId="307A82B0" w:rsidR="0006762F" w:rsidRDefault="0006762F" w:rsidP="00B25CFB">
      <w:pPr>
        <w:autoSpaceDE w:val="0"/>
        <w:autoSpaceDN w:val="0"/>
        <w:adjustRightInd w:val="0"/>
        <w:spacing w:after="0" w:line="240" w:lineRule="auto"/>
        <w:ind w:left="-567"/>
        <w:jc w:val="both"/>
        <w:rPr>
          <w:rFonts w:ascii="Arial" w:hAnsi="Arial" w:cs="Arial"/>
          <w:color w:val="000000"/>
          <w:sz w:val="24"/>
          <w:szCs w:val="24"/>
        </w:rPr>
      </w:pPr>
    </w:p>
    <w:p w14:paraId="66F4714D" w14:textId="658720F4" w:rsidR="00351782" w:rsidRDefault="00351782" w:rsidP="00351782">
      <w:pPr>
        <w:autoSpaceDE w:val="0"/>
        <w:autoSpaceDN w:val="0"/>
        <w:adjustRightInd w:val="0"/>
        <w:spacing w:after="0" w:line="240" w:lineRule="auto"/>
        <w:ind w:left="-567"/>
        <w:jc w:val="center"/>
        <w:rPr>
          <w:rFonts w:ascii="Arial" w:hAnsi="Arial" w:cs="Arial"/>
          <w:b/>
          <w:bCs/>
          <w:i/>
          <w:iCs/>
          <w:color w:val="87AD8A"/>
          <w:sz w:val="18"/>
          <w:szCs w:val="24"/>
        </w:rPr>
      </w:pPr>
      <w:r>
        <w:rPr>
          <w:rFonts w:ascii="Arial" w:hAnsi="Arial" w:cs="Arial"/>
          <w:b/>
          <w:bCs/>
          <w:i/>
          <w:iCs/>
          <w:color w:val="87AD8A"/>
          <w:sz w:val="18"/>
          <w:szCs w:val="24"/>
        </w:rPr>
        <w:t>Gráfica 20. S</w:t>
      </w:r>
      <w:r w:rsidRPr="008A2251">
        <w:rPr>
          <w:rFonts w:ascii="Arial" w:hAnsi="Arial" w:cs="Arial"/>
          <w:b/>
          <w:bCs/>
          <w:i/>
          <w:iCs/>
          <w:color w:val="87AD8A"/>
          <w:sz w:val="18"/>
          <w:szCs w:val="24"/>
        </w:rPr>
        <w:t>olicitudes de queja</w:t>
      </w:r>
      <w:r>
        <w:rPr>
          <w:rFonts w:ascii="Arial" w:hAnsi="Arial" w:cs="Arial"/>
          <w:b/>
          <w:bCs/>
          <w:i/>
          <w:iCs/>
          <w:color w:val="87AD8A"/>
          <w:sz w:val="18"/>
          <w:szCs w:val="24"/>
        </w:rPr>
        <w:t xml:space="preserve"> </w:t>
      </w:r>
      <w:r w:rsidRPr="008A2251">
        <w:rPr>
          <w:rFonts w:ascii="Arial" w:hAnsi="Arial" w:cs="Arial"/>
          <w:b/>
          <w:bCs/>
          <w:i/>
          <w:iCs/>
          <w:color w:val="87AD8A"/>
          <w:sz w:val="18"/>
          <w:szCs w:val="24"/>
        </w:rPr>
        <w:t>recibidas por la CNDH y OPDH, 201</w:t>
      </w:r>
      <w:r>
        <w:rPr>
          <w:rFonts w:ascii="Arial" w:hAnsi="Arial" w:cs="Arial"/>
          <w:b/>
          <w:bCs/>
          <w:i/>
          <w:iCs/>
          <w:color w:val="87AD8A"/>
          <w:sz w:val="18"/>
          <w:szCs w:val="24"/>
        </w:rPr>
        <w:t>6 a 2020</w:t>
      </w:r>
    </w:p>
    <w:p w14:paraId="77E31106" w14:textId="0C329821" w:rsidR="00351782" w:rsidRDefault="00351782" w:rsidP="00351782">
      <w:pPr>
        <w:autoSpaceDE w:val="0"/>
        <w:autoSpaceDN w:val="0"/>
        <w:adjustRightInd w:val="0"/>
        <w:spacing w:after="0" w:line="240" w:lineRule="auto"/>
        <w:ind w:left="-567"/>
        <w:jc w:val="center"/>
        <w:rPr>
          <w:rFonts w:ascii="Arial" w:hAnsi="Arial" w:cs="Arial"/>
          <w:b/>
          <w:bCs/>
          <w:i/>
          <w:iCs/>
          <w:color w:val="87AD8A"/>
          <w:sz w:val="18"/>
          <w:szCs w:val="24"/>
        </w:rPr>
      </w:pPr>
      <w:r w:rsidRPr="00351782">
        <w:rPr>
          <w:rFonts w:ascii="Arial" w:hAnsi="Arial" w:cs="Arial"/>
          <w:b/>
          <w:bCs/>
          <w:i/>
          <w:iCs/>
          <w:noProof/>
          <w:color w:val="87AD8A"/>
          <w:sz w:val="18"/>
          <w:szCs w:val="24"/>
        </w:rPr>
        <w:drawing>
          <wp:inline distT="0" distB="0" distL="0" distR="0" wp14:anchorId="0C02EA0E" wp14:editId="1531535E">
            <wp:extent cx="5977255" cy="2415396"/>
            <wp:effectExtent l="0" t="0" r="4445" b="4445"/>
            <wp:docPr id="46" name="Gráfico 46">
              <a:extLst xmlns:a="http://schemas.openxmlformats.org/drawingml/2006/main">
                <a:ext uri="{FF2B5EF4-FFF2-40B4-BE49-F238E27FC236}">
                  <a16:creationId xmlns:a16="http://schemas.microsoft.com/office/drawing/2014/main" id="{FC73D54A-C846-4289-BB70-4F25AC4F9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5C4A853" w14:textId="77777777" w:rsidR="00351782" w:rsidRDefault="00351782" w:rsidP="00B25CFB">
      <w:pPr>
        <w:autoSpaceDE w:val="0"/>
        <w:autoSpaceDN w:val="0"/>
        <w:adjustRightInd w:val="0"/>
        <w:spacing w:after="0" w:line="240" w:lineRule="auto"/>
        <w:ind w:left="-567"/>
        <w:jc w:val="both"/>
        <w:rPr>
          <w:rFonts w:ascii="Arial" w:hAnsi="Arial" w:cs="Arial"/>
          <w:color w:val="000000"/>
          <w:sz w:val="24"/>
          <w:szCs w:val="24"/>
        </w:rPr>
      </w:pPr>
    </w:p>
    <w:p w14:paraId="4812AB65" w14:textId="77777777"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6B745C3D" w14:textId="77777777"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602E7AE0" w14:textId="6A0387D2" w:rsidR="00C53466" w:rsidRDefault="00126C2B" w:rsidP="00B25CFB">
      <w:pPr>
        <w:autoSpaceDE w:val="0"/>
        <w:autoSpaceDN w:val="0"/>
        <w:adjustRightInd w:val="0"/>
        <w:spacing w:after="0" w:line="240" w:lineRule="auto"/>
        <w:ind w:left="-567"/>
        <w:jc w:val="both"/>
        <w:rPr>
          <w:rFonts w:ascii="Arial" w:hAnsi="Arial" w:cs="Arial"/>
          <w:color w:val="000000"/>
          <w:sz w:val="24"/>
          <w:szCs w:val="24"/>
        </w:rPr>
      </w:pPr>
      <w:r w:rsidRPr="00126C2B">
        <w:rPr>
          <w:rFonts w:ascii="Arial" w:hAnsi="Arial" w:cs="Arial"/>
          <w:color w:val="000000"/>
          <w:sz w:val="24"/>
          <w:szCs w:val="24"/>
        </w:rPr>
        <w:t>Del total</w:t>
      </w:r>
      <w:r w:rsidR="0006762F">
        <w:rPr>
          <w:rFonts w:ascii="Arial" w:hAnsi="Arial" w:cs="Arial"/>
          <w:color w:val="000000"/>
          <w:sz w:val="24"/>
          <w:szCs w:val="24"/>
        </w:rPr>
        <w:t xml:space="preserve"> de solicitudes de queja</w:t>
      </w:r>
      <w:r w:rsidRPr="00126C2B">
        <w:rPr>
          <w:rFonts w:ascii="Arial" w:hAnsi="Arial" w:cs="Arial"/>
          <w:color w:val="000000"/>
          <w:sz w:val="24"/>
          <w:szCs w:val="24"/>
        </w:rPr>
        <w:t xml:space="preserve">, </w:t>
      </w:r>
      <w:r w:rsidR="00EB5CF8">
        <w:rPr>
          <w:rFonts w:ascii="Arial" w:hAnsi="Arial" w:cs="Arial"/>
          <w:color w:val="000000"/>
          <w:sz w:val="24"/>
          <w:szCs w:val="24"/>
        </w:rPr>
        <w:t>66.5</w:t>
      </w:r>
      <w:r w:rsidRPr="00126C2B">
        <w:rPr>
          <w:rFonts w:ascii="Arial" w:hAnsi="Arial" w:cs="Arial"/>
          <w:color w:val="000000"/>
          <w:sz w:val="24"/>
          <w:szCs w:val="24"/>
        </w:rPr>
        <w:t>% (</w:t>
      </w:r>
      <w:r w:rsidR="00EB5CF8" w:rsidRPr="00EB5CF8">
        <w:rPr>
          <w:rFonts w:ascii="Arial" w:hAnsi="Arial" w:cs="Arial"/>
          <w:color w:val="000000"/>
          <w:sz w:val="24"/>
          <w:szCs w:val="24"/>
        </w:rPr>
        <w:t>109 632</w:t>
      </w:r>
      <w:r w:rsidRPr="00126C2B">
        <w:rPr>
          <w:rFonts w:ascii="Arial" w:hAnsi="Arial" w:cs="Arial"/>
          <w:color w:val="000000"/>
          <w:sz w:val="24"/>
          <w:szCs w:val="24"/>
        </w:rPr>
        <w:t xml:space="preserve">) fueron aceptadas, </w:t>
      </w:r>
      <w:r w:rsidR="00EB5CF8">
        <w:rPr>
          <w:rFonts w:ascii="Arial" w:hAnsi="Arial" w:cs="Arial"/>
          <w:color w:val="000000"/>
          <w:sz w:val="24"/>
          <w:szCs w:val="24"/>
        </w:rPr>
        <w:t>33.3</w:t>
      </w:r>
      <w:r w:rsidRPr="00126C2B">
        <w:rPr>
          <w:rFonts w:ascii="Arial" w:hAnsi="Arial" w:cs="Arial"/>
          <w:color w:val="000000"/>
          <w:sz w:val="24"/>
          <w:szCs w:val="24"/>
        </w:rPr>
        <w:t>% (</w:t>
      </w:r>
      <w:r w:rsidR="00EB5CF8">
        <w:rPr>
          <w:rFonts w:ascii="Arial" w:hAnsi="Arial" w:cs="Arial"/>
          <w:color w:val="000000"/>
          <w:sz w:val="24"/>
          <w:szCs w:val="24"/>
        </w:rPr>
        <w:t>54 881</w:t>
      </w:r>
      <w:r w:rsidRPr="00126C2B">
        <w:rPr>
          <w:rFonts w:ascii="Arial" w:hAnsi="Arial" w:cs="Arial"/>
          <w:color w:val="000000"/>
          <w:sz w:val="24"/>
          <w:szCs w:val="24"/>
        </w:rPr>
        <w:t>) se desecharon</w:t>
      </w:r>
      <w:r w:rsidR="00EB5CF8">
        <w:rPr>
          <w:rStyle w:val="Refdenotaalpie"/>
          <w:rFonts w:ascii="Arial" w:hAnsi="Arial" w:cs="Arial"/>
          <w:color w:val="000000"/>
          <w:sz w:val="24"/>
          <w:szCs w:val="24"/>
        </w:rPr>
        <w:footnoteReference w:id="17"/>
      </w:r>
      <w:r w:rsidRPr="00126C2B">
        <w:rPr>
          <w:rFonts w:ascii="Arial" w:hAnsi="Arial" w:cs="Arial"/>
          <w:color w:val="000000"/>
          <w:sz w:val="24"/>
          <w:szCs w:val="24"/>
        </w:rPr>
        <w:t xml:space="preserve"> y 0.</w:t>
      </w:r>
      <w:r w:rsidR="00EB5CF8">
        <w:rPr>
          <w:rFonts w:ascii="Arial" w:hAnsi="Arial" w:cs="Arial"/>
          <w:color w:val="000000"/>
          <w:sz w:val="24"/>
          <w:szCs w:val="24"/>
        </w:rPr>
        <w:t>2</w:t>
      </w:r>
      <w:r w:rsidRPr="00126C2B">
        <w:rPr>
          <w:rFonts w:ascii="Arial" w:hAnsi="Arial" w:cs="Arial"/>
          <w:color w:val="000000"/>
          <w:sz w:val="24"/>
          <w:szCs w:val="24"/>
        </w:rPr>
        <w:t>% (</w:t>
      </w:r>
      <w:r w:rsidR="00EB5CF8">
        <w:rPr>
          <w:rFonts w:ascii="Arial" w:hAnsi="Arial" w:cs="Arial"/>
          <w:color w:val="000000"/>
          <w:sz w:val="24"/>
          <w:szCs w:val="24"/>
        </w:rPr>
        <w:t>375</w:t>
      </w:r>
      <w:r w:rsidRPr="00126C2B">
        <w:rPr>
          <w:rFonts w:ascii="Arial" w:hAnsi="Arial" w:cs="Arial"/>
          <w:color w:val="000000"/>
          <w:sz w:val="24"/>
          <w:szCs w:val="24"/>
        </w:rPr>
        <w:t>) permanecieron pendientes</w:t>
      </w:r>
      <w:r w:rsidR="0063204F">
        <w:rPr>
          <w:rStyle w:val="Refdenotaalpie"/>
          <w:rFonts w:ascii="Arial" w:hAnsi="Arial" w:cs="Arial"/>
          <w:color w:val="000000"/>
          <w:sz w:val="24"/>
          <w:szCs w:val="24"/>
        </w:rPr>
        <w:footnoteReference w:id="18"/>
      </w:r>
      <w:r w:rsidR="00442C6E">
        <w:rPr>
          <w:rFonts w:ascii="Arial" w:hAnsi="Arial" w:cs="Arial"/>
          <w:color w:val="000000"/>
          <w:sz w:val="24"/>
          <w:szCs w:val="24"/>
        </w:rPr>
        <w:t>. Respecto a la</w:t>
      </w:r>
      <w:r w:rsidR="008520E1">
        <w:rPr>
          <w:rFonts w:ascii="Arial" w:hAnsi="Arial" w:cs="Arial"/>
          <w:color w:val="000000"/>
          <w:sz w:val="24"/>
          <w:szCs w:val="24"/>
        </w:rPr>
        <w:t xml:space="preserve">s solicitudes de queja recibidas </w:t>
      </w:r>
      <w:r w:rsidR="00442C6E">
        <w:rPr>
          <w:rFonts w:ascii="Arial" w:hAnsi="Arial" w:cs="Arial"/>
          <w:color w:val="000000"/>
          <w:sz w:val="24"/>
          <w:szCs w:val="24"/>
        </w:rPr>
        <w:t>en 2019</w:t>
      </w:r>
      <w:r w:rsidR="0063204F">
        <w:rPr>
          <w:rStyle w:val="Refdenotaalpie"/>
          <w:rFonts w:ascii="Arial" w:hAnsi="Arial" w:cs="Arial"/>
          <w:color w:val="000000"/>
          <w:sz w:val="24"/>
          <w:szCs w:val="24"/>
        </w:rPr>
        <w:footnoteReference w:id="19"/>
      </w:r>
      <w:r w:rsidR="00442C6E">
        <w:rPr>
          <w:rFonts w:ascii="Arial" w:hAnsi="Arial" w:cs="Arial"/>
          <w:color w:val="000000"/>
          <w:sz w:val="24"/>
          <w:szCs w:val="24"/>
        </w:rPr>
        <w:t>,</w:t>
      </w:r>
      <w:r w:rsidR="00B25CFB">
        <w:rPr>
          <w:rFonts w:ascii="Arial" w:hAnsi="Arial" w:cs="Arial"/>
          <w:color w:val="000000"/>
          <w:sz w:val="24"/>
          <w:szCs w:val="24"/>
        </w:rPr>
        <w:t xml:space="preserve"> </w:t>
      </w:r>
      <w:r w:rsidR="008520E1">
        <w:rPr>
          <w:rFonts w:ascii="Arial" w:hAnsi="Arial" w:cs="Arial"/>
          <w:color w:val="000000"/>
          <w:sz w:val="24"/>
          <w:szCs w:val="24"/>
        </w:rPr>
        <w:t>se presentó una disminución de 23.7% en 2020.</w:t>
      </w:r>
    </w:p>
    <w:p w14:paraId="247E6047" w14:textId="60DF489C"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70F185B9" w14:textId="5358E196"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13D31814" w14:textId="40427A3E"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51588319" w14:textId="609A4812"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19CBBBCC" w14:textId="3471505D"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7A24DCD8" w14:textId="662C639D"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4FF675D8" w14:textId="1BB11E70"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74E95DF7" w14:textId="04654E17"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3D7181C0" w14:textId="2813E5A8"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1E5E2E48" w14:textId="309E9C2E"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4FDA70C5" w14:textId="4FBA36D6"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35D691D3" w14:textId="5D9FE85D"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5AA21020" w14:textId="1FBC315F"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11BEBE44" w14:textId="1E1A3008"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p w14:paraId="6DB175D9" w14:textId="77777777" w:rsidR="00B66B2F" w:rsidRDefault="00B66B2F" w:rsidP="00B25CFB">
      <w:pPr>
        <w:autoSpaceDE w:val="0"/>
        <w:autoSpaceDN w:val="0"/>
        <w:adjustRightInd w:val="0"/>
        <w:spacing w:after="0" w:line="240" w:lineRule="auto"/>
        <w:ind w:left="-567"/>
        <w:jc w:val="both"/>
        <w:rPr>
          <w:rFonts w:ascii="Arial" w:hAnsi="Arial" w:cs="Arial"/>
          <w:color w:val="000000"/>
          <w:sz w:val="24"/>
          <w:szCs w:val="24"/>
        </w:rPr>
      </w:pPr>
    </w:p>
    <w:bookmarkEnd w:id="9"/>
    <w:p w14:paraId="700D8D6C" w14:textId="77777777" w:rsidR="00611289" w:rsidRDefault="00611289" w:rsidP="00B25CFB">
      <w:pPr>
        <w:autoSpaceDE w:val="0"/>
        <w:autoSpaceDN w:val="0"/>
        <w:adjustRightInd w:val="0"/>
        <w:spacing w:after="0" w:line="240" w:lineRule="auto"/>
        <w:ind w:left="-567"/>
        <w:jc w:val="both"/>
        <w:rPr>
          <w:rFonts w:ascii="Arial" w:hAnsi="Arial" w:cs="Arial"/>
          <w:color w:val="000000"/>
          <w:sz w:val="24"/>
          <w:szCs w:val="24"/>
        </w:rPr>
      </w:pPr>
    </w:p>
    <w:p w14:paraId="1B8DDE9A" w14:textId="52259A8C" w:rsidR="008A2251" w:rsidRDefault="008A2251" w:rsidP="008A2251">
      <w:pPr>
        <w:autoSpaceDE w:val="0"/>
        <w:autoSpaceDN w:val="0"/>
        <w:adjustRightInd w:val="0"/>
        <w:spacing w:after="0" w:line="240" w:lineRule="auto"/>
        <w:ind w:left="-567"/>
        <w:jc w:val="center"/>
        <w:rPr>
          <w:rFonts w:ascii="Arial" w:hAnsi="Arial" w:cs="Arial"/>
          <w:b/>
          <w:bCs/>
          <w:i/>
          <w:iCs/>
          <w:color w:val="87AD8A"/>
          <w:sz w:val="18"/>
          <w:szCs w:val="24"/>
        </w:rPr>
      </w:pPr>
      <w:r>
        <w:rPr>
          <w:rFonts w:ascii="Arial" w:hAnsi="Arial" w:cs="Arial"/>
          <w:b/>
          <w:bCs/>
          <w:i/>
          <w:iCs/>
          <w:color w:val="87AD8A"/>
          <w:sz w:val="18"/>
          <w:szCs w:val="24"/>
        </w:rPr>
        <w:t xml:space="preserve">Gráfica </w:t>
      </w:r>
      <w:r w:rsidR="00ED2521">
        <w:rPr>
          <w:rFonts w:ascii="Arial" w:hAnsi="Arial" w:cs="Arial"/>
          <w:b/>
          <w:bCs/>
          <w:i/>
          <w:iCs/>
          <w:color w:val="87AD8A"/>
          <w:sz w:val="18"/>
          <w:szCs w:val="24"/>
        </w:rPr>
        <w:t>21</w:t>
      </w:r>
      <w:r>
        <w:rPr>
          <w:rFonts w:ascii="Arial" w:hAnsi="Arial" w:cs="Arial"/>
          <w:b/>
          <w:bCs/>
          <w:i/>
          <w:iCs/>
          <w:color w:val="87AD8A"/>
          <w:sz w:val="18"/>
          <w:szCs w:val="24"/>
        </w:rPr>
        <w:t>. S</w:t>
      </w:r>
      <w:r w:rsidRPr="008A2251">
        <w:rPr>
          <w:rFonts w:ascii="Arial" w:hAnsi="Arial" w:cs="Arial"/>
          <w:b/>
          <w:bCs/>
          <w:i/>
          <w:iCs/>
          <w:color w:val="87AD8A"/>
          <w:sz w:val="18"/>
          <w:szCs w:val="24"/>
        </w:rPr>
        <w:t>olicitudes de queja</w:t>
      </w:r>
      <w:r>
        <w:rPr>
          <w:rFonts w:ascii="Arial" w:hAnsi="Arial" w:cs="Arial"/>
          <w:b/>
          <w:bCs/>
          <w:i/>
          <w:iCs/>
          <w:color w:val="87AD8A"/>
          <w:sz w:val="18"/>
          <w:szCs w:val="24"/>
        </w:rPr>
        <w:t xml:space="preserve"> </w:t>
      </w:r>
      <w:r w:rsidRPr="008A2251">
        <w:rPr>
          <w:rFonts w:ascii="Arial" w:hAnsi="Arial" w:cs="Arial"/>
          <w:b/>
          <w:bCs/>
          <w:i/>
          <w:iCs/>
          <w:color w:val="87AD8A"/>
          <w:sz w:val="18"/>
          <w:szCs w:val="24"/>
        </w:rPr>
        <w:t>recibidas por la CNDH y OPDH, según estatus, 2019</w:t>
      </w:r>
      <w:r>
        <w:rPr>
          <w:rFonts w:ascii="Arial" w:hAnsi="Arial" w:cs="Arial"/>
          <w:b/>
          <w:bCs/>
          <w:i/>
          <w:iCs/>
          <w:color w:val="87AD8A"/>
          <w:sz w:val="18"/>
          <w:szCs w:val="24"/>
        </w:rPr>
        <w:t xml:space="preserve"> a 2020</w:t>
      </w:r>
    </w:p>
    <w:p w14:paraId="0F69843F" w14:textId="77777777" w:rsidR="008A2251" w:rsidRDefault="008A2251" w:rsidP="008A2251">
      <w:pPr>
        <w:autoSpaceDE w:val="0"/>
        <w:autoSpaceDN w:val="0"/>
        <w:adjustRightInd w:val="0"/>
        <w:spacing w:after="0" w:line="240" w:lineRule="auto"/>
        <w:ind w:left="-567"/>
        <w:jc w:val="center"/>
        <w:rPr>
          <w:rFonts w:ascii="Arial" w:hAnsi="Arial" w:cs="Arial"/>
          <w:b/>
          <w:bCs/>
          <w:i/>
          <w:iCs/>
          <w:color w:val="87AD8A"/>
          <w:sz w:val="18"/>
          <w:szCs w:val="24"/>
        </w:rPr>
      </w:pPr>
    </w:p>
    <w:p w14:paraId="2325566E" w14:textId="4BF18D9D" w:rsidR="008A2251" w:rsidRDefault="008A2251" w:rsidP="008A2251">
      <w:pPr>
        <w:autoSpaceDE w:val="0"/>
        <w:autoSpaceDN w:val="0"/>
        <w:adjustRightInd w:val="0"/>
        <w:spacing w:after="0" w:line="240" w:lineRule="auto"/>
        <w:ind w:left="-567"/>
        <w:jc w:val="center"/>
        <w:rPr>
          <w:rFonts w:ascii="Arial" w:hAnsi="Arial" w:cs="Arial"/>
          <w:b/>
          <w:bCs/>
          <w:i/>
          <w:iCs/>
          <w:color w:val="87AD8A"/>
          <w:sz w:val="18"/>
          <w:szCs w:val="24"/>
        </w:rPr>
      </w:pPr>
      <w:r w:rsidRPr="008A2251">
        <w:rPr>
          <w:rFonts w:ascii="Arial" w:hAnsi="Arial" w:cs="Arial"/>
          <w:b/>
          <w:bCs/>
          <w:i/>
          <w:iCs/>
          <w:noProof/>
          <w:color w:val="87AD8A"/>
          <w:sz w:val="18"/>
          <w:szCs w:val="24"/>
        </w:rPr>
        <w:drawing>
          <wp:inline distT="0" distB="0" distL="0" distR="0" wp14:anchorId="4D100DEF" wp14:editId="27938BFD">
            <wp:extent cx="6421272" cy="2251880"/>
            <wp:effectExtent l="0" t="0" r="0" b="0"/>
            <wp:docPr id="34" name="Gráfico 34">
              <a:extLst xmlns:a="http://schemas.openxmlformats.org/drawingml/2006/main">
                <a:ext uri="{FF2B5EF4-FFF2-40B4-BE49-F238E27FC236}">
                  <a16:creationId xmlns:a16="http://schemas.microsoft.com/office/drawing/2014/main" id="{363606C0-00F5-4613-B2DB-F275D9FAC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CD291A3" w14:textId="127B3922" w:rsidR="00B41EB2" w:rsidRPr="006D5DE4" w:rsidRDefault="00B41EB2" w:rsidP="008A2251">
      <w:pPr>
        <w:autoSpaceDE w:val="0"/>
        <w:autoSpaceDN w:val="0"/>
        <w:adjustRightInd w:val="0"/>
        <w:spacing w:after="0" w:line="240" w:lineRule="auto"/>
        <w:ind w:left="-567"/>
        <w:jc w:val="center"/>
        <w:rPr>
          <w:rFonts w:ascii="Arial" w:hAnsi="Arial" w:cs="Arial"/>
          <w:bCs/>
          <w:iCs/>
          <w:color w:val="000000" w:themeColor="text1"/>
          <w:sz w:val="16"/>
          <w:szCs w:val="24"/>
        </w:rPr>
      </w:pPr>
      <w:r w:rsidRPr="006D5DE4">
        <w:rPr>
          <w:rFonts w:ascii="Arial" w:hAnsi="Arial" w:cs="Arial"/>
          <w:bCs/>
          <w:iCs/>
          <w:color w:val="000000" w:themeColor="text1"/>
          <w:sz w:val="16"/>
          <w:szCs w:val="24"/>
        </w:rPr>
        <w:t>Aceptadas</w:t>
      </w:r>
      <w:r w:rsidR="0059795F" w:rsidRPr="006D5DE4">
        <w:rPr>
          <w:rFonts w:ascii="Arial" w:hAnsi="Arial" w:cs="Arial"/>
          <w:bCs/>
          <w:iCs/>
          <w:color w:val="000000" w:themeColor="text1"/>
          <w:sz w:val="16"/>
          <w:szCs w:val="24"/>
        </w:rPr>
        <w:t xml:space="preserve">: procedió </w:t>
      </w:r>
      <w:r w:rsidR="006D5DE4" w:rsidRPr="006D5DE4">
        <w:rPr>
          <w:rFonts w:ascii="Arial" w:hAnsi="Arial" w:cs="Arial"/>
          <w:bCs/>
          <w:iCs/>
          <w:color w:val="000000" w:themeColor="text1"/>
          <w:sz w:val="16"/>
          <w:szCs w:val="24"/>
        </w:rPr>
        <w:t>abrir expediente.</w:t>
      </w:r>
    </w:p>
    <w:p w14:paraId="1C4B83AD" w14:textId="0F937FEE" w:rsidR="006D5DE4" w:rsidRDefault="006D5DE4" w:rsidP="008A2251">
      <w:pPr>
        <w:autoSpaceDE w:val="0"/>
        <w:autoSpaceDN w:val="0"/>
        <w:adjustRightInd w:val="0"/>
        <w:spacing w:after="0" w:line="240" w:lineRule="auto"/>
        <w:ind w:left="-567"/>
        <w:jc w:val="center"/>
        <w:rPr>
          <w:rFonts w:ascii="Arial" w:hAnsi="Arial" w:cs="Arial"/>
          <w:bCs/>
          <w:iCs/>
          <w:color w:val="000000" w:themeColor="text1"/>
          <w:sz w:val="16"/>
          <w:szCs w:val="24"/>
        </w:rPr>
      </w:pPr>
      <w:r w:rsidRPr="006D5DE4">
        <w:rPr>
          <w:rFonts w:ascii="Arial" w:hAnsi="Arial" w:cs="Arial"/>
          <w:bCs/>
          <w:iCs/>
          <w:color w:val="000000" w:themeColor="text1"/>
          <w:sz w:val="16"/>
          <w:szCs w:val="24"/>
        </w:rPr>
        <w:t>Desechadas</w:t>
      </w:r>
      <w:r>
        <w:rPr>
          <w:rFonts w:ascii="Arial" w:hAnsi="Arial" w:cs="Arial"/>
          <w:bCs/>
          <w:iCs/>
          <w:color w:val="000000" w:themeColor="text1"/>
          <w:sz w:val="16"/>
          <w:szCs w:val="24"/>
        </w:rPr>
        <w:t>:</w:t>
      </w:r>
      <w:r w:rsidRPr="006D5DE4">
        <w:rPr>
          <w:rFonts w:ascii="Arial" w:hAnsi="Arial" w:cs="Arial"/>
          <w:bCs/>
          <w:iCs/>
          <w:color w:val="000000" w:themeColor="text1"/>
          <w:sz w:val="16"/>
          <w:szCs w:val="24"/>
        </w:rPr>
        <w:t xml:space="preserve"> no procedió abrir expediente</w:t>
      </w:r>
      <w:r>
        <w:rPr>
          <w:rFonts w:ascii="Arial" w:hAnsi="Arial" w:cs="Arial"/>
          <w:bCs/>
          <w:iCs/>
          <w:color w:val="000000" w:themeColor="text1"/>
          <w:sz w:val="16"/>
          <w:szCs w:val="24"/>
        </w:rPr>
        <w:t>.</w:t>
      </w:r>
    </w:p>
    <w:p w14:paraId="289F96E4" w14:textId="4421E220" w:rsidR="006D5DE4" w:rsidRDefault="006D5DE4" w:rsidP="006D5DE4">
      <w:pPr>
        <w:autoSpaceDE w:val="0"/>
        <w:autoSpaceDN w:val="0"/>
        <w:adjustRightInd w:val="0"/>
        <w:spacing w:after="0" w:line="240" w:lineRule="auto"/>
        <w:ind w:left="-567"/>
        <w:jc w:val="center"/>
        <w:rPr>
          <w:rFonts w:ascii="Arial" w:hAnsi="Arial" w:cs="Arial"/>
          <w:bCs/>
          <w:iCs/>
          <w:color w:val="000000" w:themeColor="text1"/>
          <w:sz w:val="16"/>
          <w:szCs w:val="24"/>
        </w:rPr>
      </w:pPr>
      <w:r w:rsidRPr="006D5DE4">
        <w:rPr>
          <w:rFonts w:ascii="Arial" w:hAnsi="Arial" w:cs="Arial"/>
          <w:bCs/>
          <w:iCs/>
          <w:color w:val="000000" w:themeColor="text1"/>
          <w:sz w:val="16"/>
          <w:szCs w:val="24"/>
        </w:rPr>
        <w:t>Improcedentes</w:t>
      </w:r>
      <w:r>
        <w:rPr>
          <w:rFonts w:ascii="Arial" w:hAnsi="Arial" w:cs="Arial"/>
          <w:bCs/>
          <w:iCs/>
          <w:color w:val="000000" w:themeColor="text1"/>
          <w:sz w:val="16"/>
          <w:szCs w:val="24"/>
        </w:rPr>
        <w:t>: s</w:t>
      </w:r>
      <w:r w:rsidRPr="006D5DE4">
        <w:rPr>
          <w:rFonts w:ascii="Arial" w:hAnsi="Arial" w:cs="Arial"/>
          <w:bCs/>
          <w:iCs/>
          <w:color w:val="000000" w:themeColor="text1"/>
          <w:sz w:val="16"/>
          <w:szCs w:val="24"/>
        </w:rPr>
        <w:t>on aquellas que no fueron admitidas por el organismo público de derechos humanos por considerarlas notoriamente infundadas.</w:t>
      </w:r>
    </w:p>
    <w:p w14:paraId="354C5158" w14:textId="291A9967" w:rsidR="006D5DE4" w:rsidRDefault="006D5DE4" w:rsidP="006D5DE4">
      <w:pPr>
        <w:autoSpaceDE w:val="0"/>
        <w:autoSpaceDN w:val="0"/>
        <w:adjustRightInd w:val="0"/>
        <w:spacing w:after="0" w:line="240" w:lineRule="auto"/>
        <w:ind w:left="-567"/>
        <w:jc w:val="center"/>
        <w:rPr>
          <w:rFonts w:ascii="Arial" w:hAnsi="Arial" w:cs="Arial"/>
          <w:bCs/>
          <w:iCs/>
          <w:color w:val="000000" w:themeColor="text1"/>
          <w:sz w:val="16"/>
          <w:szCs w:val="24"/>
        </w:rPr>
      </w:pPr>
      <w:r w:rsidRPr="006D5DE4">
        <w:rPr>
          <w:rFonts w:ascii="Arial" w:hAnsi="Arial" w:cs="Arial"/>
          <w:bCs/>
          <w:iCs/>
          <w:color w:val="000000" w:themeColor="text1"/>
          <w:sz w:val="16"/>
          <w:szCs w:val="24"/>
        </w:rPr>
        <w:t>Archivadas</w:t>
      </w:r>
      <w:r>
        <w:rPr>
          <w:rFonts w:ascii="Arial" w:hAnsi="Arial" w:cs="Arial"/>
          <w:bCs/>
          <w:iCs/>
          <w:color w:val="000000" w:themeColor="text1"/>
          <w:sz w:val="16"/>
          <w:szCs w:val="24"/>
        </w:rPr>
        <w:t>: s</w:t>
      </w:r>
      <w:r w:rsidRPr="006D5DE4">
        <w:rPr>
          <w:rFonts w:ascii="Arial" w:hAnsi="Arial" w:cs="Arial"/>
          <w:bCs/>
          <w:iCs/>
          <w:color w:val="000000" w:themeColor="text1"/>
          <w:sz w:val="16"/>
          <w:szCs w:val="24"/>
        </w:rPr>
        <w:t>on aquellas que no fueron admitidas por el organismo público de derechos humanos porque fueron enviadas al archivo por no ser necesario continuar con el procedimiento.</w:t>
      </w:r>
    </w:p>
    <w:p w14:paraId="7C7BCEE5" w14:textId="4262565A" w:rsidR="006D5DE4" w:rsidRDefault="006D5DE4" w:rsidP="006D5DE4">
      <w:pPr>
        <w:autoSpaceDE w:val="0"/>
        <w:autoSpaceDN w:val="0"/>
        <w:adjustRightInd w:val="0"/>
        <w:spacing w:after="0" w:line="240" w:lineRule="auto"/>
        <w:ind w:left="-567"/>
        <w:jc w:val="center"/>
        <w:rPr>
          <w:rFonts w:ascii="Arial" w:hAnsi="Arial" w:cs="Arial"/>
          <w:bCs/>
          <w:iCs/>
          <w:color w:val="000000" w:themeColor="text1"/>
          <w:sz w:val="16"/>
          <w:szCs w:val="24"/>
        </w:rPr>
      </w:pPr>
      <w:r w:rsidRPr="006D5DE4">
        <w:rPr>
          <w:rFonts w:ascii="Arial" w:hAnsi="Arial" w:cs="Arial"/>
          <w:bCs/>
          <w:iCs/>
          <w:color w:val="000000" w:themeColor="text1"/>
          <w:sz w:val="16"/>
          <w:szCs w:val="24"/>
        </w:rPr>
        <w:t>Orientadas</w:t>
      </w:r>
      <w:r>
        <w:rPr>
          <w:rFonts w:ascii="Arial" w:hAnsi="Arial" w:cs="Arial"/>
          <w:bCs/>
          <w:iCs/>
          <w:color w:val="000000" w:themeColor="text1"/>
          <w:sz w:val="16"/>
          <w:szCs w:val="24"/>
        </w:rPr>
        <w:t>: s</w:t>
      </w:r>
      <w:r w:rsidRPr="006D5DE4">
        <w:rPr>
          <w:rFonts w:ascii="Arial" w:hAnsi="Arial" w:cs="Arial"/>
          <w:bCs/>
          <w:iCs/>
          <w:color w:val="000000" w:themeColor="text1"/>
          <w:sz w:val="16"/>
          <w:szCs w:val="24"/>
        </w:rPr>
        <w:t>on aquellas que no fueron admitidas por el organismo público de derechos humanos, debido a que existió la posibilidad de asesorar a quien interpuso la solicitud.</w:t>
      </w:r>
    </w:p>
    <w:p w14:paraId="519789AB" w14:textId="40CE151E" w:rsidR="006D5DE4" w:rsidRDefault="006D5DE4" w:rsidP="006D5DE4">
      <w:pPr>
        <w:autoSpaceDE w:val="0"/>
        <w:autoSpaceDN w:val="0"/>
        <w:adjustRightInd w:val="0"/>
        <w:spacing w:after="0" w:line="240" w:lineRule="auto"/>
        <w:ind w:left="-567"/>
        <w:jc w:val="center"/>
        <w:rPr>
          <w:rFonts w:ascii="Arial" w:hAnsi="Arial" w:cs="Arial"/>
          <w:bCs/>
          <w:iCs/>
          <w:color w:val="000000" w:themeColor="text1"/>
          <w:sz w:val="16"/>
          <w:szCs w:val="24"/>
        </w:rPr>
      </w:pPr>
      <w:r w:rsidRPr="006D5DE4">
        <w:rPr>
          <w:rFonts w:ascii="Arial" w:hAnsi="Arial" w:cs="Arial"/>
          <w:bCs/>
          <w:iCs/>
          <w:color w:val="000000" w:themeColor="text1"/>
          <w:sz w:val="16"/>
          <w:szCs w:val="24"/>
        </w:rPr>
        <w:t>Canalizadas</w:t>
      </w:r>
      <w:r>
        <w:rPr>
          <w:rFonts w:ascii="Arial" w:hAnsi="Arial" w:cs="Arial"/>
          <w:bCs/>
          <w:iCs/>
          <w:color w:val="000000" w:themeColor="text1"/>
          <w:sz w:val="16"/>
          <w:szCs w:val="24"/>
        </w:rPr>
        <w:t>: s</w:t>
      </w:r>
      <w:r w:rsidRPr="006D5DE4">
        <w:rPr>
          <w:rFonts w:ascii="Arial" w:hAnsi="Arial" w:cs="Arial"/>
          <w:bCs/>
          <w:iCs/>
          <w:color w:val="000000" w:themeColor="text1"/>
          <w:sz w:val="16"/>
          <w:szCs w:val="24"/>
        </w:rPr>
        <w:t>on aquellas que no fueron admitidas por el organismo público de derechos humanos para su seguimiento en el mismo y que, por motivos de competencia, se remitieron a la CNDH, a otro OPDH o a otras instituciones.</w:t>
      </w:r>
    </w:p>
    <w:p w14:paraId="3D0CF58B" w14:textId="7BEECDFF" w:rsidR="006D5DE4" w:rsidRDefault="006D5DE4" w:rsidP="006D5DE4">
      <w:pPr>
        <w:autoSpaceDE w:val="0"/>
        <w:autoSpaceDN w:val="0"/>
        <w:adjustRightInd w:val="0"/>
        <w:spacing w:after="0" w:line="240" w:lineRule="auto"/>
        <w:ind w:left="-567"/>
        <w:jc w:val="center"/>
        <w:rPr>
          <w:rFonts w:ascii="Arial" w:hAnsi="Arial" w:cs="Arial"/>
          <w:bCs/>
          <w:iCs/>
          <w:color w:val="000000" w:themeColor="text1"/>
          <w:sz w:val="16"/>
          <w:szCs w:val="24"/>
        </w:rPr>
      </w:pPr>
      <w:r w:rsidRPr="006D5DE4">
        <w:rPr>
          <w:rFonts w:ascii="Arial" w:hAnsi="Arial" w:cs="Arial"/>
          <w:bCs/>
          <w:iCs/>
          <w:color w:val="000000" w:themeColor="text1"/>
          <w:sz w:val="16"/>
          <w:szCs w:val="24"/>
        </w:rPr>
        <w:t>Pendientes</w:t>
      </w:r>
      <w:r>
        <w:rPr>
          <w:rFonts w:ascii="Arial" w:hAnsi="Arial" w:cs="Arial"/>
          <w:bCs/>
          <w:iCs/>
          <w:color w:val="000000" w:themeColor="text1"/>
          <w:sz w:val="16"/>
          <w:szCs w:val="24"/>
        </w:rPr>
        <w:t xml:space="preserve">: </w:t>
      </w:r>
      <w:r w:rsidR="002213EB">
        <w:rPr>
          <w:rFonts w:ascii="Arial" w:hAnsi="Arial" w:cs="Arial"/>
          <w:bCs/>
          <w:iCs/>
          <w:color w:val="000000" w:themeColor="text1"/>
          <w:sz w:val="16"/>
          <w:szCs w:val="24"/>
        </w:rPr>
        <w:t>s</w:t>
      </w:r>
      <w:r w:rsidRPr="006D5DE4">
        <w:rPr>
          <w:rFonts w:ascii="Arial" w:hAnsi="Arial" w:cs="Arial"/>
          <w:bCs/>
          <w:iCs/>
          <w:color w:val="000000" w:themeColor="text1"/>
          <w:sz w:val="16"/>
          <w:szCs w:val="24"/>
        </w:rPr>
        <w:t>on aquellas que, si bien no fueron desechadas, presentaron imprecisiones o no reunieron los elementos para permitir la intervención del organismo público de derechos humanos, estando en proceso de atención.</w:t>
      </w:r>
    </w:p>
    <w:p w14:paraId="678A5EC3" w14:textId="77777777" w:rsidR="006D5DE4" w:rsidRDefault="006D5DE4" w:rsidP="006D5DE4">
      <w:pPr>
        <w:autoSpaceDE w:val="0"/>
        <w:autoSpaceDN w:val="0"/>
        <w:adjustRightInd w:val="0"/>
        <w:spacing w:after="0" w:line="240" w:lineRule="auto"/>
        <w:ind w:left="-567"/>
        <w:jc w:val="center"/>
        <w:rPr>
          <w:rFonts w:ascii="Arial" w:hAnsi="Arial" w:cs="Arial"/>
          <w:bCs/>
          <w:iCs/>
          <w:color w:val="000000" w:themeColor="text1"/>
          <w:sz w:val="16"/>
          <w:szCs w:val="24"/>
        </w:rPr>
      </w:pPr>
    </w:p>
    <w:p w14:paraId="2B484E8A" w14:textId="77777777" w:rsidR="006D5DE4" w:rsidRDefault="006D5DE4" w:rsidP="006D5DE4">
      <w:pPr>
        <w:autoSpaceDE w:val="0"/>
        <w:autoSpaceDN w:val="0"/>
        <w:adjustRightInd w:val="0"/>
        <w:spacing w:after="0" w:line="240" w:lineRule="auto"/>
        <w:ind w:left="-567"/>
        <w:jc w:val="center"/>
        <w:rPr>
          <w:rFonts w:ascii="Arial" w:hAnsi="Arial" w:cs="Arial"/>
          <w:bCs/>
          <w:iCs/>
          <w:color w:val="000000" w:themeColor="text1"/>
          <w:sz w:val="16"/>
          <w:szCs w:val="24"/>
        </w:rPr>
      </w:pPr>
    </w:p>
    <w:p w14:paraId="32459BE2" w14:textId="3379F735" w:rsidR="008A2251" w:rsidRDefault="008A2251" w:rsidP="008A2251">
      <w:pPr>
        <w:autoSpaceDE w:val="0"/>
        <w:autoSpaceDN w:val="0"/>
        <w:adjustRightInd w:val="0"/>
        <w:spacing w:after="0" w:line="240" w:lineRule="auto"/>
        <w:ind w:left="-567"/>
        <w:jc w:val="center"/>
        <w:rPr>
          <w:rFonts w:ascii="Arial" w:hAnsi="Arial" w:cs="Arial"/>
          <w:color w:val="000000"/>
          <w:sz w:val="24"/>
          <w:szCs w:val="24"/>
        </w:rPr>
      </w:pPr>
    </w:p>
    <w:p w14:paraId="527D7059" w14:textId="0433670A" w:rsidR="008657A7" w:rsidRDefault="00D85AEF" w:rsidP="00D85AEF">
      <w:pPr>
        <w:spacing w:after="0"/>
        <w:ind w:left="-567"/>
        <w:jc w:val="both"/>
        <w:rPr>
          <w:rFonts w:ascii="Arial" w:hAnsi="Arial" w:cs="Arial"/>
          <w:color w:val="000000"/>
          <w:sz w:val="24"/>
          <w:szCs w:val="24"/>
        </w:rPr>
      </w:pPr>
      <w:r w:rsidRPr="00D85AEF">
        <w:rPr>
          <w:rFonts w:ascii="Arial" w:hAnsi="Arial" w:cs="Arial"/>
          <w:color w:val="000000"/>
          <w:sz w:val="24"/>
          <w:szCs w:val="24"/>
        </w:rPr>
        <w:t>En 20</w:t>
      </w:r>
      <w:r w:rsidR="00353346">
        <w:rPr>
          <w:rFonts w:ascii="Arial" w:hAnsi="Arial" w:cs="Arial"/>
          <w:color w:val="000000"/>
          <w:sz w:val="24"/>
          <w:szCs w:val="24"/>
        </w:rPr>
        <w:t>20</w:t>
      </w:r>
      <w:r w:rsidRPr="00D85AEF">
        <w:rPr>
          <w:rFonts w:ascii="Arial" w:hAnsi="Arial" w:cs="Arial"/>
          <w:color w:val="000000"/>
          <w:sz w:val="24"/>
          <w:szCs w:val="24"/>
        </w:rPr>
        <w:t xml:space="preserve">, a nivel nacional se reportaron </w:t>
      </w:r>
      <w:r w:rsidR="00FB2D82" w:rsidRPr="00FB2D82">
        <w:rPr>
          <w:rFonts w:ascii="Arial" w:hAnsi="Arial" w:cs="Arial"/>
          <w:color w:val="000000"/>
          <w:sz w:val="24"/>
          <w:szCs w:val="24"/>
        </w:rPr>
        <w:t>101</w:t>
      </w:r>
      <w:r w:rsidR="00FB2D82">
        <w:rPr>
          <w:rFonts w:ascii="Arial" w:hAnsi="Arial" w:cs="Arial"/>
          <w:color w:val="000000"/>
          <w:sz w:val="24"/>
          <w:szCs w:val="24"/>
        </w:rPr>
        <w:t xml:space="preserve"> </w:t>
      </w:r>
      <w:r w:rsidR="00FB2D82" w:rsidRPr="00FB2D82">
        <w:rPr>
          <w:rFonts w:ascii="Arial" w:hAnsi="Arial" w:cs="Arial"/>
          <w:color w:val="000000"/>
          <w:sz w:val="24"/>
          <w:szCs w:val="24"/>
        </w:rPr>
        <w:t>001</w:t>
      </w:r>
      <w:r w:rsidR="00FB2D82">
        <w:rPr>
          <w:rFonts w:ascii="Arial" w:hAnsi="Arial" w:cs="Arial"/>
          <w:color w:val="000000"/>
          <w:sz w:val="24"/>
          <w:szCs w:val="24"/>
        </w:rPr>
        <w:t xml:space="preserve"> </w:t>
      </w:r>
      <w:r w:rsidRPr="00D85AEF">
        <w:rPr>
          <w:rFonts w:ascii="Arial" w:hAnsi="Arial" w:cs="Arial"/>
          <w:color w:val="000000"/>
          <w:sz w:val="24"/>
          <w:szCs w:val="24"/>
        </w:rPr>
        <w:t xml:space="preserve">expedientes </w:t>
      </w:r>
      <w:r w:rsidR="008657A7">
        <w:rPr>
          <w:rFonts w:ascii="Arial" w:hAnsi="Arial" w:cs="Arial"/>
          <w:color w:val="000000"/>
          <w:sz w:val="24"/>
          <w:szCs w:val="24"/>
        </w:rPr>
        <w:t xml:space="preserve">de queja </w:t>
      </w:r>
      <w:r w:rsidRPr="00D85AEF">
        <w:rPr>
          <w:rFonts w:ascii="Arial" w:hAnsi="Arial" w:cs="Arial"/>
          <w:color w:val="000000"/>
          <w:sz w:val="24"/>
          <w:szCs w:val="24"/>
        </w:rPr>
        <w:t>atendidos</w:t>
      </w:r>
      <w:r w:rsidR="00D000BB">
        <w:rPr>
          <w:rFonts w:ascii="Arial" w:hAnsi="Arial" w:cs="Arial"/>
          <w:color w:val="000000"/>
          <w:sz w:val="24"/>
          <w:szCs w:val="24"/>
        </w:rPr>
        <w:t xml:space="preserve"> y calificados</w:t>
      </w:r>
      <w:r w:rsidRPr="00D85AEF">
        <w:rPr>
          <w:rFonts w:ascii="Arial" w:hAnsi="Arial" w:cs="Arial"/>
          <w:color w:val="000000"/>
          <w:sz w:val="24"/>
          <w:szCs w:val="24"/>
        </w:rPr>
        <w:t>,</w:t>
      </w:r>
      <w:r w:rsidR="008657A7">
        <w:rPr>
          <w:rFonts w:ascii="Arial" w:hAnsi="Arial" w:cs="Arial"/>
          <w:color w:val="000000"/>
          <w:sz w:val="24"/>
          <w:szCs w:val="24"/>
        </w:rPr>
        <w:t xml:space="preserve"> </w:t>
      </w:r>
      <w:r w:rsidR="009B2E4E">
        <w:rPr>
          <w:rFonts w:ascii="Arial" w:hAnsi="Arial" w:cs="Arial"/>
          <w:color w:val="000000"/>
          <w:sz w:val="24"/>
          <w:szCs w:val="24"/>
        </w:rPr>
        <w:t xml:space="preserve">cifra que representó una disminución </w:t>
      </w:r>
      <w:r w:rsidR="00D000BB">
        <w:rPr>
          <w:rFonts w:ascii="Arial" w:hAnsi="Arial" w:cs="Arial"/>
          <w:color w:val="000000"/>
          <w:sz w:val="24"/>
          <w:szCs w:val="24"/>
        </w:rPr>
        <w:t xml:space="preserve">de 10.4% respecto de lo reportado en 2019. </w:t>
      </w:r>
      <w:r w:rsidR="0067623B">
        <w:rPr>
          <w:rFonts w:ascii="Arial" w:hAnsi="Arial" w:cs="Arial"/>
          <w:color w:val="000000"/>
          <w:sz w:val="24"/>
          <w:szCs w:val="24"/>
        </w:rPr>
        <w:t>Además,</w:t>
      </w:r>
      <w:r w:rsidR="00D000BB">
        <w:rPr>
          <w:rFonts w:ascii="Arial" w:hAnsi="Arial" w:cs="Arial"/>
          <w:color w:val="000000"/>
          <w:sz w:val="24"/>
          <w:szCs w:val="24"/>
        </w:rPr>
        <w:t xml:space="preserve"> se reportaron </w:t>
      </w:r>
      <w:r w:rsidR="008657A7">
        <w:rPr>
          <w:rFonts w:ascii="Arial" w:hAnsi="Arial" w:cs="Arial"/>
          <w:color w:val="000000"/>
          <w:sz w:val="24"/>
          <w:szCs w:val="24"/>
        </w:rPr>
        <w:t>54 890</w:t>
      </w:r>
      <w:r>
        <w:rPr>
          <w:rFonts w:ascii="Arial" w:hAnsi="Arial" w:cs="Arial"/>
          <w:color w:val="000000"/>
          <w:sz w:val="24"/>
          <w:szCs w:val="24"/>
        </w:rPr>
        <w:t xml:space="preserve"> </w:t>
      </w:r>
      <w:r w:rsidRPr="00D85AEF">
        <w:rPr>
          <w:rFonts w:ascii="Arial" w:hAnsi="Arial" w:cs="Arial"/>
          <w:color w:val="000000"/>
          <w:sz w:val="24"/>
          <w:szCs w:val="24"/>
        </w:rPr>
        <w:t>expedientes concluidos</w:t>
      </w:r>
      <w:r w:rsidR="00C13978">
        <w:rPr>
          <w:rFonts w:ascii="Arial" w:hAnsi="Arial" w:cs="Arial"/>
          <w:color w:val="000000"/>
          <w:sz w:val="24"/>
          <w:szCs w:val="24"/>
        </w:rPr>
        <w:t xml:space="preserve">, </w:t>
      </w:r>
      <w:r w:rsidR="007E43E3">
        <w:rPr>
          <w:rFonts w:ascii="Arial" w:hAnsi="Arial" w:cs="Arial"/>
          <w:color w:val="000000"/>
          <w:sz w:val="24"/>
          <w:szCs w:val="24"/>
        </w:rPr>
        <w:t xml:space="preserve">cifra que disminuyó 22.8% en comparación con lo reportado en 2019. </w:t>
      </w:r>
      <w:r w:rsidR="0067623B">
        <w:rPr>
          <w:rFonts w:ascii="Arial" w:hAnsi="Arial" w:cs="Arial"/>
          <w:color w:val="000000"/>
          <w:sz w:val="24"/>
          <w:szCs w:val="24"/>
        </w:rPr>
        <w:t>Finalmente</w:t>
      </w:r>
      <w:r w:rsidR="007E43E3">
        <w:rPr>
          <w:rFonts w:ascii="Arial" w:hAnsi="Arial" w:cs="Arial"/>
          <w:color w:val="000000"/>
          <w:sz w:val="24"/>
          <w:szCs w:val="24"/>
        </w:rPr>
        <w:t xml:space="preserve">, la cantidad de expedientes </w:t>
      </w:r>
      <w:r w:rsidRPr="00D85AEF">
        <w:rPr>
          <w:rFonts w:ascii="Arial" w:hAnsi="Arial" w:cs="Arial"/>
          <w:color w:val="000000"/>
          <w:sz w:val="24"/>
          <w:szCs w:val="24"/>
        </w:rPr>
        <w:t>que quedaron pendientes de concluir al cierre del año</w:t>
      </w:r>
      <w:r w:rsidR="007E43E3">
        <w:rPr>
          <w:rFonts w:ascii="Arial" w:hAnsi="Arial" w:cs="Arial"/>
          <w:color w:val="000000"/>
          <w:sz w:val="24"/>
          <w:szCs w:val="24"/>
        </w:rPr>
        <w:t xml:space="preserve"> fue de </w:t>
      </w:r>
      <w:r w:rsidR="007E43E3" w:rsidRPr="008657A7">
        <w:rPr>
          <w:rFonts w:ascii="Arial" w:hAnsi="Arial" w:cs="Arial"/>
          <w:color w:val="000000"/>
          <w:sz w:val="24"/>
          <w:szCs w:val="24"/>
        </w:rPr>
        <w:t>35 216</w:t>
      </w:r>
      <w:r w:rsidR="007E43E3">
        <w:rPr>
          <w:rFonts w:ascii="Arial" w:hAnsi="Arial" w:cs="Arial"/>
          <w:color w:val="000000"/>
          <w:sz w:val="24"/>
          <w:szCs w:val="24"/>
        </w:rPr>
        <w:t xml:space="preserve">, cifra que aumentó 1.5% respecto a 2019. </w:t>
      </w:r>
    </w:p>
    <w:p w14:paraId="1A405237" w14:textId="33189E4B" w:rsidR="00CA4DBF" w:rsidRDefault="008657A7" w:rsidP="00D85AEF">
      <w:pPr>
        <w:spacing w:after="0"/>
        <w:ind w:left="-567"/>
        <w:jc w:val="both"/>
        <w:rPr>
          <w:rFonts w:ascii="Arial" w:hAnsi="Arial" w:cs="Arial"/>
          <w:color w:val="000000"/>
          <w:sz w:val="24"/>
          <w:szCs w:val="24"/>
        </w:rPr>
      </w:pPr>
      <w:r>
        <w:rPr>
          <w:rFonts w:ascii="Arial" w:hAnsi="Arial" w:cs="Arial"/>
          <w:color w:val="000000"/>
          <w:sz w:val="24"/>
          <w:szCs w:val="24"/>
        </w:rPr>
        <w:t xml:space="preserve"> </w:t>
      </w:r>
    </w:p>
    <w:p w14:paraId="541D59D3" w14:textId="281E04CA" w:rsidR="008B563D" w:rsidRDefault="007E43E3" w:rsidP="007E43E3">
      <w:pPr>
        <w:spacing w:after="0"/>
        <w:ind w:left="-567"/>
        <w:jc w:val="center"/>
        <w:rPr>
          <w:rFonts w:ascii="Arial" w:hAnsi="Arial" w:cs="Arial"/>
          <w:color w:val="000000"/>
          <w:sz w:val="24"/>
          <w:szCs w:val="24"/>
        </w:rPr>
      </w:pPr>
      <w:r>
        <w:rPr>
          <w:rFonts w:ascii="Arial" w:hAnsi="Arial" w:cs="Arial"/>
          <w:b/>
          <w:bCs/>
          <w:i/>
          <w:iCs/>
          <w:color w:val="87AD8A"/>
          <w:sz w:val="18"/>
          <w:szCs w:val="24"/>
        </w:rPr>
        <w:t>Gráfica 2</w:t>
      </w:r>
      <w:r w:rsidR="00ED2521">
        <w:rPr>
          <w:rFonts w:ascii="Arial" w:hAnsi="Arial" w:cs="Arial"/>
          <w:b/>
          <w:bCs/>
          <w:i/>
          <w:iCs/>
          <w:color w:val="87AD8A"/>
          <w:sz w:val="18"/>
          <w:szCs w:val="24"/>
        </w:rPr>
        <w:t>2</w:t>
      </w:r>
      <w:r w:rsidR="008657A7" w:rsidRPr="00611289">
        <w:rPr>
          <w:rFonts w:ascii="Arial" w:hAnsi="Arial" w:cs="Arial"/>
          <w:b/>
          <w:bCs/>
          <w:i/>
          <w:iCs/>
          <w:color w:val="87AD8A"/>
          <w:sz w:val="18"/>
          <w:szCs w:val="24"/>
        </w:rPr>
        <w:t>.</w:t>
      </w:r>
      <w:r w:rsidR="00AB2B8C">
        <w:rPr>
          <w:rFonts w:ascii="Arial" w:hAnsi="Arial" w:cs="Arial"/>
          <w:b/>
          <w:bCs/>
          <w:i/>
          <w:iCs/>
          <w:color w:val="87AD8A"/>
          <w:sz w:val="18"/>
          <w:szCs w:val="24"/>
        </w:rPr>
        <w:t xml:space="preserve"> E</w:t>
      </w:r>
      <w:r w:rsidRPr="007E43E3">
        <w:rPr>
          <w:rFonts w:ascii="Arial" w:hAnsi="Arial" w:cs="Arial"/>
          <w:b/>
          <w:bCs/>
          <w:i/>
          <w:iCs/>
          <w:color w:val="87AD8A"/>
          <w:sz w:val="18"/>
          <w:szCs w:val="24"/>
        </w:rPr>
        <w:t>xpedientes conocidos</w:t>
      </w:r>
      <w:r>
        <w:rPr>
          <w:rFonts w:ascii="Arial" w:hAnsi="Arial" w:cs="Arial"/>
          <w:b/>
          <w:bCs/>
          <w:i/>
          <w:iCs/>
          <w:color w:val="87AD8A"/>
          <w:sz w:val="18"/>
          <w:szCs w:val="24"/>
        </w:rPr>
        <w:t xml:space="preserve"> </w:t>
      </w:r>
      <w:r w:rsidRPr="007E43E3">
        <w:rPr>
          <w:rFonts w:ascii="Arial" w:hAnsi="Arial" w:cs="Arial"/>
          <w:b/>
          <w:bCs/>
          <w:i/>
          <w:iCs/>
          <w:color w:val="87AD8A"/>
          <w:sz w:val="18"/>
          <w:szCs w:val="24"/>
        </w:rPr>
        <w:t xml:space="preserve">por la CNDH y OPDH, </w:t>
      </w:r>
      <w:r w:rsidR="00AB2B8C">
        <w:rPr>
          <w:rFonts w:ascii="Arial" w:hAnsi="Arial" w:cs="Arial"/>
          <w:b/>
          <w:bCs/>
          <w:i/>
          <w:iCs/>
          <w:color w:val="87AD8A"/>
          <w:sz w:val="18"/>
          <w:szCs w:val="24"/>
        </w:rPr>
        <w:t>según</w:t>
      </w:r>
      <w:r w:rsidRPr="007E43E3">
        <w:rPr>
          <w:rFonts w:ascii="Arial" w:hAnsi="Arial" w:cs="Arial"/>
          <w:b/>
          <w:bCs/>
          <w:i/>
          <w:iCs/>
          <w:color w:val="87AD8A"/>
          <w:sz w:val="18"/>
          <w:szCs w:val="24"/>
        </w:rPr>
        <w:t xml:space="preserve"> estatus, 2019</w:t>
      </w:r>
      <w:r w:rsidR="00AB2B8C">
        <w:rPr>
          <w:rFonts w:ascii="Arial" w:hAnsi="Arial" w:cs="Arial"/>
          <w:b/>
          <w:bCs/>
          <w:i/>
          <w:iCs/>
          <w:color w:val="87AD8A"/>
          <w:sz w:val="18"/>
          <w:szCs w:val="24"/>
        </w:rPr>
        <w:t xml:space="preserve"> a 2020</w:t>
      </w:r>
    </w:p>
    <w:p w14:paraId="673D656B" w14:textId="42081BEB" w:rsidR="008B563D" w:rsidRDefault="008B563D" w:rsidP="008657A7">
      <w:pPr>
        <w:spacing w:after="0"/>
        <w:ind w:left="-567"/>
        <w:jc w:val="center"/>
        <w:rPr>
          <w:rFonts w:ascii="Arial" w:hAnsi="Arial" w:cs="Arial"/>
          <w:color w:val="000000"/>
          <w:sz w:val="24"/>
          <w:szCs w:val="24"/>
        </w:rPr>
      </w:pPr>
      <w:r w:rsidRPr="008B563D">
        <w:rPr>
          <w:rFonts w:ascii="Arial" w:hAnsi="Arial" w:cs="Arial"/>
          <w:noProof/>
          <w:color w:val="000000"/>
          <w:sz w:val="24"/>
          <w:szCs w:val="24"/>
        </w:rPr>
        <w:drawing>
          <wp:inline distT="0" distB="0" distL="0" distR="0" wp14:anchorId="4C23E8AD" wp14:editId="19C731C4">
            <wp:extent cx="6027089" cy="1892410"/>
            <wp:effectExtent l="0" t="0" r="0" b="0"/>
            <wp:docPr id="36" name="Gráfico 36">
              <a:extLst xmlns:a="http://schemas.openxmlformats.org/drawingml/2006/main">
                <a:ext uri="{FF2B5EF4-FFF2-40B4-BE49-F238E27FC236}">
                  <a16:creationId xmlns:a16="http://schemas.microsoft.com/office/drawing/2014/main" id="{8B8D9F6E-754D-4C7B-997C-818B9F464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2904ED4" w14:textId="77777777" w:rsidR="00AB2B8C" w:rsidRDefault="00AB2B8C" w:rsidP="00D85AEF">
      <w:pPr>
        <w:spacing w:after="0"/>
        <w:ind w:left="-567"/>
        <w:jc w:val="both"/>
        <w:rPr>
          <w:rFonts w:ascii="Arial" w:hAnsi="Arial" w:cs="Arial"/>
          <w:color w:val="000000"/>
          <w:sz w:val="24"/>
          <w:szCs w:val="24"/>
        </w:rPr>
      </w:pPr>
    </w:p>
    <w:p w14:paraId="6D8963C0" w14:textId="77777777" w:rsidR="00B66B2F" w:rsidRDefault="00B66B2F" w:rsidP="00C77645">
      <w:pPr>
        <w:autoSpaceDE w:val="0"/>
        <w:autoSpaceDN w:val="0"/>
        <w:adjustRightInd w:val="0"/>
        <w:spacing w:after="0" w:line="240" w:lineRule="auto"/>
        <w:ind w:left="-567"/>
        <w:jc w:val="both"/>
        <w:rPr>
          <w:rFonts w:ascii="Arial" w:hAnsi="Arial" w:cs="Arial"/>
          <w:color w:val="000000"/>
          <w:sz w:val="24"/>
          <w:szCs w:val="24"/>
        </w:rPr>
      </w:pPr>
    </w:p>
    <w:p w14:paraId="73FFC2F2" w14:textId="77777777" w:rsidR="00B66B2F" w:rsidRDefault="00B66B2F" w:rsidP="00C77645">
      <w:pPr>
        <w:autoSpaceDE w:val="0"/>
        <w:autoSpaceDN w:val="0"/>
        <w:adjustRightInd w:val="0"/>
        <w:spacing w:after="0" w:line="240" w:lineRule="auto"/>
        <w:ind w:left="-567"/>
        <w:jc w:val="both"/>
        <w:rPr>
          <w:rFonts w:ascii="Arial" w:hAnsi="Arial" w:cs="Arial"/>
          <w:color w:val="000000"/>
          <w:sz w:val="24"/>
          <w:szCs w:val="24"/>
        </w:rPr>
      </w:pPr>
    </w:p>
    <w:p w14:paraId="00F4AAC5" w14:textId="62AB7896" w:rsidR="00C77645" w:rsidRDefault="00D847C9" w:rsidP="00C77645">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En</w:t>
      </w:r>
      <w:r w:rsidR="00C77645">
        <w:rPr>
          <w:rFonts w:ascii="Arial" w:hAnsi="Arial" w:cs="Arial"/>
          <w:color w:val="000000"/>
          <w:sz w:val="24"/>
          <w:szCs w:val="24"/>
        </w:rPr>
        <w:t xml:space="preserve"> relación </w:t>
      </w:r>
      <w:r>
        <w:rPr>
          <w:rFonts w:ascii="Arial" w:hAnsi="Arial" w:cs="Arial"/>
          <w:color w:val="000000"/>
          <w:sz w:val="24"/>
          <w:szCs w:val="24"/>
        </w:rPr>
        <w:t>con</w:t>
      </w:r>
      <w:r w:rsidR="00C77645" w:rsidRPr="00C77645">
        <w:rPr>
          <w:rFonts w:ascii="Arial" w:hAnsi="Arial" w:cs="Arial"/>
          <w:color w:val="000000"/>
          <w:sz w:val="24"/>
          <w:szCs w:val="24"/>
        </w:rPr>
        <w:t xml:space="preserve"> los expedientes calificados en la CNDH y en los OPDH, </w:t>
      </w:r>
      <w:r w:rsidR="008E321A" w:rsidRPr="008E321A">
        <w:rPr>
          <w:rFonts w:ascii="Arial" w:hAnsi="Arial" w:cs="Arial"/>
          <w:color w:val="000000"/>
          <w:sz w:val="24"/>
          <w:szCs w:val="24"/>
        </w:rPr>
        <w:t>85</w:t>
      </w:r>
      <w:r w:rsidR="008E321A">
        <w:rPr>
          <w:rFonts w:ascii="Arial" w:hAnsi="Arial" w:cs="Arial"/>
          <w:color w:val="000000"/>
          <w:sz w:val="24"/>
          <w:szCs w:val="24"/>
        </w:rPr>
        <w:t xml:space="preserve"> </w:t>
      </w:r>
      <w:r w:rsidR="008E321A" w:rsidRPr="008E321A">
        <w:rPr>
          <w:rFonts w:ascii="Arial" w:hAnsi="Arial" w:cs="Arial"/>
          <w:color w:val="000000"/>
          <w:sz w:val="24"/>
          <w:szCs w:val="24"/>
        </w:rPr>
        <w:t>903</w:t>
      </w:r>
      <w:r w:rsidR="008E321A">
        <w:rPr>
          <w:rFonts w:ascii="Arial" w:hAnsi="Arial" w:cs="Arial"/>
          <w:color w:val="000000"/>
          <w:sz w:val="24"/>
          <w:szCs w:val="24"/>
        </w:rPr>
        <w:t xml:space="preserve"> </w:t>
      </w:r>
      <w:r w:rsidR="00C77645" w:rsidRPr="00C77645">
        <w:rPr>
          <w:rFonts w:ascii="Arial" w:hAnsi="Arial" w:cs="Arial"/>
          <w:color w:val="000000"/>
          <w:sz w:val="24"/>
          <w:szCs w:val="24"/>
        </w:rPr>
        <w:t>se calificaron</w:t>
      </w:r>
      <w:r w:rsidR="00C77645">
        <w:rPr>
          <w:rFonts w:ascii="Arial" w:hAnsi="Arial" w:cs="Arial"/>
          <w:color w:val="000000"/>
          <w:sz w:val="24"/>
          <w:szCs w:val="24"/>
        </w:rPr>
        <w:t xml:space="preserve"> </w:t>
      </w:r>
      <w:r w:rsidR="00C77645" w:rsidRPr="00C77645">
        <w:rPr>
          <w:rFonts w:ascii="Arial" w:hAnsi="Arial" w:cs="Arial"/>
          <w:color w:val="000000"/>
          <w:sz w:val="24"/>
          <w:szCs w:val="24"/>
        </w:rPr>
        <w:t>como presuntamente violatorios de derechos humanos</w:t>
      </w:r>
      <w:r w:rsidR="008E321A">
        <w:rPr>
          <w:rFonts w:ascii="Arial" w:hAnsi="Arial" w:cs="Arial"/>
          <w:color w:val="000000"/>
          <w:sz w:val="24"/>
          <w:szCs w:val="24"/>
        </w:rPr>
        <w:t xml:space="preserve">, en comparación con lo reportado en 2019, esta cifra representó una disminución de 17.5% en 2020. </w:t>
      </w:r>
    </w:p>
    <w:p w14:paraId="4CEE7FB6" w14:textId="77777777" w:rsidR="008E321A" w:rsidRDefault="008E321A" w:rsidP="00C77645">
      <w:pPr>
        <w:autoSpaceDE w:val="0"/>
        <w:autoSpaceDN w:val="0"/>
        <w:adjustRightInd w:val="0"/>
        <w:spacing w:after="0" w:line="240" w:lineRule="auto"/>
        <w:ind w:left="-567"/>
        <w:jc w:val="both"/>
        <w:rPr>
          <w:rFonts w:ascii="Arial" w:hAnsi="Arial" w:cs="Arial"/>
          <w:color w:val="000000"/>
          <w:sz w:val="24"/>
          <w:szCs w:val="24"/>
        </w:rPr>
      </w:pPr>
    </w:p>
    <w:p w14:paraId="6E904ADF" w14:textId="240838A2" w:rsidR="008E321A" w:rsidRDefault="008E321A" w:rsidP="008E321A">
      <w:pPr>
        <w:spacing w:after="0"/>
        <w:ind w:left="-567"/>
        <w:jc w:val="center"/>
        <w:rPr>
          <w:rFonts w:ascii="Arial" w:hAnsi="Arial" w:cs="Arial"/>
          <w:color w:val="000000"/>
          <w:sz w:val="24"/>
          <w:szCs w:val="24"/>
        </w:rPr>
      </w:pPr>
      <w:r>
        <w:rPr>
          <w:rFonts w:ascii="Arial" w:hAnsi="Arial" w:cs="Arial"/>
          <w:b/>
          <w:bCs/>
          <w:i/>
          <w:iCs/>
          <w:color w:val="87AD8A"/>
          <w:sz w:val="18"/>
          <w:szCs w:val="24"/>
        </w:rPr>
        <w:t>Gráfica 2</w:t>
      </w:r>
      <w:r w:rsidR="00D3709A">
        <w:rPr>
          <w:rFonts w:ascii="Arial" w:hAnsi="Arial" w:cs="Arial"/>
          <w:b/>
          <w:bCs/>
          <w:i/>
          <w:iCs/>
          <w:color w:val="87AD8A"/>
          <w:sz w:val="18"/>
          <w:szCs w:val="24"/>
        </w:rPr>
        <w:t>3</w:t>
      </w:r>
      <w:r w:rsidRPr="00611289">
        <w:rPr>
          <w:rFonts w:ascii="Arial" w:hAnsi="Arial" w:cs="Arial"/>
          <w:b/>
          <w:bCs/>
          <w:i/>
          <w:iCs/>
          <w:color w:val="87AD8A"/>
          <w:sz w:val="18"/>
          <w:szCs w:val="24"/>
        </w:rPr>
        <w:t>.</w:t>
      </w:r>
      <w:r>
        <w:rPr>
          <w:rFonts w:ascii="Arial" w:hAnsi="Arial" w:cs="Arial"/>
          <w:b/>
          <w:bCs/>
          <w:i/>
          <w:iCs/>
          <w:color w:val="87AD8A"/>
          <w:sz w:val="18"/>
          <w:szCs w:val="24"/>
        </w:rPr>
        <w:t xml:space="preserve"> </w:t>
      </w:r>
      <w:r w:rsidRPr="008E321A">
        <w:rPr>
          <w:rFonts w:ascii="Arial" w:hAnsi="Arial" w:cs="Arial"/>
          <w:b/>
          <w:bCs/>
          <w:i/>
          <w:iCs/>
          <w:color w:val="87AD8A"/>
          <w:sz w:val="18"/>
          <w:szCs w:val="24"/>
        </w:rPr>
        <w:t>Expedientes de queja calificados en la CNDH y OPDH, según tipo de calificación, 2019</w:t>
      </w:r>
      <w:r>
        <w:rPr>
          <w:rFonts w:ascii="Arial" w:hAnsi="Arial" w:cs="Arial"/>
          <w:b/>
          <w:bCs/>
          <w:i/>
          <w:iCs/>
          <w:color w:val="87AD8A"/>
          <w:sz w:val="18"/>
          <w:szCs w:val="24"/>
        </w:rPr>
        <w:t xml:space="preserve"> a 2020</w:t>
      </w:r>
    </w:p>
    <w:p w14:paraId="13905BE3" w14:textId="77777777" w:rsidR="008E321A" w:rsidRDefault="008E321A" w:rsidP="00C77645">
      <w:pPr>
        <w:autoSpaceDE w:val="0"/>
        <w:autoSpaceDN w:val="0"/>
        <w:adjustRightInd w:val="0"/>
        <w:spacing w:after="0" w:line="240" w:lineRule="auto"/>
        <w:ind w:left="-567"/>
        <w:jc w:val="both"/>
        <w:rPr>
          <w:rFonts w:ascii="Arial" w:hAnsi="Arial" w:cs="Arial"/>
          <w:color w:val="000000"/>
          <w:sz w:val="24"/>
          <w:szCs w:val="24"/>
        </w:rPr>
      </w:pPr>
    </w:p>
    <w:p w14:paraId="68C9D644" w14:textId="25636AEE" w:rsidR="008E321A" w:rsidRDefault="008E321A" w:rsidP="008E321A">
      <w:pPr>
        <w:autoSpaceDE w:val="0"/>
        <w:autoSpaceDN w:val="0"/>
        <w:adjustRightInd w:val="0"/>
        <w:spacing w:after="0" w:line="240" w:lineRule="auto"/>
        <w:ind w:left="-567"/>
        <w:jc w:val="both"/>
        <w:rPr>
          <w:rFonts w:ascii="Arial" w:hAnsi="Arial" w:cs="Arial"/>
          <w:color w:val="000000"/>
          <w:sz w:val="24"/>
          <w:szCs w:val="24"/>
        </w:rPr>
      </w:pPr>
      <w:r w:rsidRPr="008E321A">
        <w:rPr>
          <w:rFonts w:ascii="Arial" w:hAnsi="Arial" w:cs="Arial"/>
          <w:noProof/>
          <w:color w:val="000000"/>
          <w:sz w:val="24"/>
          <w:szCs w:val="24"/>
        </w:rPr>
        <w:drawing>
          <wp:inline distT="0" distB="0" distL="0" distR="0" wp14:anchorId="27BCFF45" wp14:editId="79F986EA">
            <wp:extent cx="6202017" cy="1948070"/>
            <wp:effectExtent l="0" t="0" r="8890" b="0"/>
            <wp:docPr id="39" name="Gráfico 39">
              <a:extLst xmlns:a="http://schemas.openxmlformats.org/drawingml/2006/main">
                <a:ext uri="{FF2B5EF4-FFF2-40B4-BE49-F238E27FC236}">
                  <a16:creationId xmlns:a16="http://schemas.microsoft.com/office/drawing/2014/main" id="{17132BF1-ADE9-4CE3-B85F-0A8C9E455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209F5BD" w14:textId="332FADAC" w:rsidR="008E321A" w:rsidRPr="008E321A" w:rsidRDefault="008E321A" w:rsidP="008E321A">
      <w:pPr>
        <w:autoSpaceDE w:val="0"/>
        <w:autoSpaceDN w:val="0"/>
        <w:adjustRightInd w:val="0"/>
        <w:spacing w:after="0" w:line="240" w:lineRule="auto"/>
        <w:ind w:left="-567"/>
        <w:jc w:val="center"/>
        <w:rPr>
          <w:rFonts w:ascii="Arial" w:hAnsi="Arial" w:cs="Arial"/>
          <w:color w:val="000000"/>
          <w:sz w:val="16"/>
          <w:szCs w:val="24"/>
        </w:rPr>
      </w:pPr>
      <w:r w:rsidRPr="008E321A">
        <w:rPr>
          <w:rFonts w:ascii="Arial" w:hAnsi="Arial" w:cs="Arial"/>
          <w:color w:val="000000"/>
          <w:sz w:val="16"/>
          <w:szCs w:val="24"/>
        </w:rPr>
        <w:t xml:space="preserve">Nota: en 2020, se reportaron 1 356 expedientes en la categoría </w:t>
      </w:r>
      <w:r w:rsidRPr="008E321A">
        <w:rPr>
          <w:rFonts w:ascii="Arial" w:hAnsi="Arial" w:cs="Arial"/>
          <w:i/>
          <w:color w:val="000000"/>
          <w:sz w:val="16"/>
          <w:szCs w:val="24"/>
        </w:rPr>
        <w:t>No especificado</w:t>
      </w:r>
      <w:r w:rsidRPr="008E321A">
        <w:rPr>
          <w:rFonts w:ascii="Arial" w:hAnsi="Arial" w:cs="Arial"/>
          <w:color w:val="000000"/>
          <w:sz w:val="16"/>
          <w:szCs w:val="24"/>
        </w:rPr>
        <w:t>.</w:t>
      </w:r>
    </w:p>
    <w:p w14:paraId="3254C4D1" w14:textId="77777777" w:rsidR="008E321A" w:rsidRDefault="008E321A" w:rsidP="00C77645">
      <w:pPr>
        <w:autoSpaceDE w:val="0"/>
        <w:autoSpaceDN w:val="0"/>
        <w:adjustRightInd w:val="0"/>
        <w:spacing w:after="0" w:line="240" w:lineRule="auto"/>
        <w:ind w:left="-567"/>
        <w:jc w:val="both"/>
        <w:rPr>
          <w:rFonts w:ascii="Arial" w:hAnsi="Arial" w:cs="Arial"/>
          <w:color w:val="000000"/>
          <w:sz w:val="24"/>
          <w:szCs w:val="24"/>
        </w:rPr>
      </w:pPr>
    </w:p>
    <w:p w14:paraId="30045BDB" w14:textId="581F0E7B" w:rsidR="00CC13BD" w:rsidRDefault="00CC13BD" w:rsidP="00CC13BD">
      <w:pPr>
        <w:spacing w:after="0"/>
        <w:ind w:left="-567"/>
        <w:rPr>
          <w:rFonts w:ascii="Arial" w:hAnsi="Arial" w:cs="Arial"/>
          <w:b/>
          <w:bCs/>
          <w:iCs/>
          <w:noProof/>
          <w:sz w:val="24"/>
          <w:szCs w:val="24"/>
          <w:lang w:eastAsia="es-MX"/>
        </w:rPr>
      </w:pPr>
    </w:p>
    <w:p w14:paraId="6207047F" w14:textId="1776329F" w:rsidR="008E321A" w:rsidRDefault="00CC13BD" w:rsidP="00CC13BD">
      <w:pPr>
        <w:spacing w:after="0"/>
        <w:ind w:left="-567"/>
        <w:rPr>
          <w:rFonts w:ascii="Arial" w:hAnsi="Arial" w:cs="Arial"/>
          <w:b/>
          <w:bCs/>
          <w:iCs/>
          <w:noProof/>
          <w:sz w:val="24"/>
          <w:szCs w:val="24"/>
          <w:lang w:eastAsia="es-MX"/>
        </w:rPr>
      </w:pPr>
      <w:r w:rsidRPr="00CC13BD">
        <w:rPr>
          <w:rFonts w:ascii="Arial" w:hAnsi="Arial" w:cs="Arial"/>
          <w:b/>
          <w:bCs/>
          <w:iCs/>
          <w:noProof/>
          <w:sz w:val="24"/>
          <w:szCs w:val="24"/>
          <w:lang w:eastAsia="es-MX"/>
        </w:rPr>
        <w:t>Hechos presuntamente violatorios de derechos humanos</w:t>
      </w:r>
    </w:p>
    <w:p w14:paraId="2C80BB5B" w14:textId="61A0515F" w:rsidR="00CC13BD" w:rsidRDefault="00CC13BD" w:rsidP="00CC13BD">
      <w:pPr>
        <w:spacing w:after="0"/>
        <w:ind w:left="-567"/>
        <w:rPr>
          <w:rFonts w:ascii="Arial" w:hAnsi="Arial" w:cs="Arial"/>
          <w:color w:val="000000"/>
          <w:sz w:val="24"/>
          <w:szCs w:val="24"/>
        </w:rPr>
      </w:pPr>
    </w:p>
    <w:p w14:paraId="02EF1132" w14:textId="35178822" w:rsidR="0067623B" w:rsidRDefault="00183D31" w:rsidP="00183D31">
      <w:pPr>
        <w:autoSpaceDE w:val="0"/>
        <w:autoSpaceDN w:val="0"/>
        <w:adjustRightInd w:val="0"/>
        <w:spacing w:after="0" w:line="240" w:lineRule="auto"/>
        <w:ind w:left="-567"/>
        <w:jc w:val="both"/>
        <w:rPr>
          <w:rFonts w:ascii="Arial" w:hAnsi="Arial" w:cs="Arial"/>
          <w:color w:val="000000"/>
          <w:sz w:val="24"/>
          <w:szCs w:val="24"/>
        </w:rPr>
      </w:pPr>
      <w:bookmarkStart w:id="10" w:name="_Hlk89279680"/>
      <w:r w:rsidRPr="00183D31">
        <w:rPr>
          <w:rFonts w:ascii="Arial" w:hAnsi="Arial" w:cs="Arial"/>
          <w:color w:val="000000"/>
          <w:sz w:val="24"/>
          <w:szCs w:val="24"/>
        </w:rPr>
        <w:t>Durante 20</w:t>
      </w:r>
      <w:r w:rsidR="009C105D">
        <w:rPr>
          <w:rFonts w:ascii="Arial" w:hAnsi="Arial" w:cs="Arial"/>
          <w:color w:val="000000"/>
          <w:sz w:val="24"/>
          <w:szCs w:val="24"/>
        </w:rPr>
        <w:t>20</w:t>
      </w:r>
      <w:r w:rsidRPr="00183D31">
        <w:rPr>
          <w:rFonts w:ascii="Arial" w:hAnsi="Arial" w:cs="Arial"/>
          <w:color w:val="000000"/>
          <w:sz w:val="24"/>
          <w:szCs w:val="24"/>
        </w:rPr>
        <w:t xml:space="preserve">, se registraron </w:t>
      </w:r>
      <w:r w:rsidR="00F85794" w:rsidRPr="00F85794">
        <w:rPr>
          <w:rFonts w:ascii="Arial" w:hAnsi="Arial" w:cs="Arial"/>
          <w:color w:val="000000"/>
          <w:sz w:val="24"/>
          <w:szCs w:val="24"/>
        </w:rPr>
        <w:t>252</w:t>
      </w:r>
      <w:r w:rsidR="00F85794">
        <w:rPr>
          <w:rFonts w:ascii="Arial" w:hAnsi="Arial" w:cs="Arial"/>
          <w:color w:val="000000"/>
          <w:sz w:val="24"/>
          <w:szCs w:val="24"/>
        </w:rPr>
        <w:t xml:space="preserve"> </w:t>
      </w:r>
      <w:r w:rsidR="00F85794" w:rsidRPr="00F85794">
        <w:rPr>
          <w:rFonts w:ascii="Arial" w:hAnsi="Arial" w:cs="Arial"/>
          <w:color w:val="000000"/>
          <w:sz w:val="24"/>
          <w:szCs w:val="24"/>
        </w:rPr>
        <w:t>066</w:t>
      </w:r>
      <w:r w:rsidR="00F85794">
        <w:rPr>
          <w:rFonts w:ascii="Arial" w:hAnsi="Arial" w:cs="Arial"/>
          <w:color w:val="000000"/>
          <w:sz w:val="24"/>
          <w:szCs w:val="24"/>
        </w:rPr>
        <w:t xml:space="preserve"> </w:t>
      </w:r>
      <w:r w:rsidRPr="00183D31">
        <w:rPr>
          <w:rFonts w:ascii="Arial" w:hAnsi="Arial" w:cs="Arial"/>
          <w:color w:val="000000"/>
          <w:sz w:val="24"/>
          <w:szCs w:val="24"/>
        </w:rPr>
        <w:t>hechos presuntamente violatorios en los expedientes de queja</w:t>
      </w:r>
      <w:r>
        <w:rPr>
          <w:rFonts w:ascii="Arial" w:hAnsi="Arial" w:cs="Arial"/>
          <w:color w:val="000000"/>
          <w:sz w:val="24"/>
          <w:szCs w:val="24"/>
        </w:rPr>
        <w:t xml:space="preserve"> </w:t>
      </w:r>
      <w:r w:rsidRPr="00183D31">
        <w:rPr>
          <w:rFonts w:ascii="Arial" w:hAnsi="Arial" w:cs="Arial"/>
          <w:color w:val="000000"/>
          <w:sz w:val="24"/>
          <w:szCs w:val="24"/>
        </w:rPr>
        <w:t xml:space="preserve">calificados como </w:t>
      </w:r>
      <w:r w:rsidR="00F85794">
        <w:rPr>
          <w:rFonts w:ascii="Arial" w:hAnsi="Arial" w:cs="Arial"/>
          <w:color w:val="000000"/>
          <w:sz w:val="24"/>
          <w:szCs w:val="24"/>
        </w:rPr>
        <w:t>p</w:t>
      </w:r>
      <w:r w:rsidRPr="00183D31">
        <w:rPr>
          <w:rFonts w:ascii="Arial" w:hAnsi="Arial" w:cs="Arial"/>
          <w:color w:val="000000"/>
          <w:sz w:val="24"/>
          <w:szCs w:val="24"/>
        </w:rPr>
        <w:t>resuntamente violatorios de derechos humanos; en la CNDH</w:t>
      </w:r>
      <w:r w:rsidR="0067623B">
        <w:rPr>
          <w:rFonts w:ascii="Arial" w:hAnsi="Arial" w:cs="Arial"/>
          <w:color w:val="000000"/>
          <w:sz w:val="24"/>
          <w:szCs w:val="24"/>
        </w:rPr>
        <w:t>,</w:t>
      </w:r>
      <w:r w:rsidRPr="00183D31">
        <w:rPr>
          <w:rFonts w:ascii="Arial" w:hAnsi="Arial" w:cs="Arial"/>
          <w:color w:val="000000"/>
          <w:sz w:val="24"/>
          <w:szCs w:val="24"/>
        </w:rPr>
        <w:t xml:space="preserve"> la cifra reportada fue de </w:t>
      </w:r>
      <w:r w:rsidR="00F85794" w:rsidRPr="00F85794">
        <w:rPr>
          <w:rFonts w:ascii="Arial" w:hAnsi="Arial" w:cs="Arial"/>
          <w:color w:val="000000"/>
          <w:sz w:val="24"/>
          <w:szCs w:val="24"/>
        </w:rPr>
        <w:t>26</w:t>
      </w:r>
      <w:r w:rsidR="00F85794">
        <w:rPr>
          <w:rFonts w:ascii="Arial" w:hAnsi="Arial" w:cs="Arial"/>
          <w:color w:val="000000"/>
          <w:sz w:val="24"/>
          <w:szCs w:val="24"/>
        </w:rPr>
        <w:t xml:space="preserve"> </w:t>
      </w:r>
      <w:r w:rsidR="00F85794" w:rsidRPr="00F85794">
        <w:rPr>
          <w:rFonts w:ascii="Arial" w:hAnsi="Arial" w:cs="Arial"/>
          <w:color w:val="000000"/>
          <w:sz w:val="24"/>
          <w:szCs w:val="24"/>
        </w:rPr>
        <w:t>743</w:t>
      </w:r>
      <w:r w:rsidRPr="00183D31">
        <w:rPr>
          <w:rFonts w:ascii="Arial" w:hAnsi="Arial" w:cs="Arial"/>
          <w:color w:val="000000"/>
          <w:sz w:val="24"/>
          <w:szCs w:val="24"/>
        </w:rPr>
        <w:t>,</w:t>
      </w:r>
      <w:r>
        <w:rPr>
          <w:rFonts w:ascii="Arial" w:hAnsi="Arial" w:cs="Arial"/>
          <w:color w:val="000000"/>
          <w:sz w:val="24"/>
          <w:szCs w:val="24"/>
        </w:rPr>
        <w:t xml:space="preserve"> </w:t>
      </w:r>
      <w:r w:rsidRPr="00183D31">
        <w:rPr>
          <w:rFonts w:ascii="Arial" w:hAnsi="Arial" w:cs="Arial"/>
          <w:color w:val="000000"/>
          <w:sz w:val="24"/>
          <w:szCs w:val="24"/>
        </w:rPr>
        <w:t xml:space="preserve">mientras que en los OPDH fue de </w:t>
      </w:r>
      <w:r w:rsidR="00F85794" w:rsidRPr="00F85794">
        <w:rPr>
          <w:rFonts w:ascii="Arial" w:hAnsi="Arial" w:cs="Arial"/>
          <w:color w:val="000000"/>
          <w:sz w:val="24"/>
          <w:szCs w:val="24"/>
        </w:rPr>
        <w:t>225</w:t>
      </w:r>
      <w:r w:rsidR="00F85794">
        <w:rPr>
          <w:rFonts w:ascii="Arial" w:hAnsi="Arial" w:cs="Arial"/>
          <w:color w:val="000000"/>
          <w:sz w:val="24"/>
          <w:szCs w:val="24"/>
        </w:rPr>
        <w:t xml:space="preserve"> </w:t>
      </w:r>
      <w:r w:rsidR="00F85794" w:rsidRPr="00F85794">
        <w:rPr>
          <w:rFonts w:ascii="Arial" w:hAnsi="Arial" w:cs="Arial"/>
          <w:color w:val="000000"/>
          <w:sz w:val="24"/>
          <w:szCs w:val="24"/>
        </w:rPr>
        <w:t>323</w:t>
      </w:r>
      <w:r w:rsidRPr="00183D31">
        <w:rPr>
          <w:rFonts w:ascii="Arial" w:hAnsi="Arial" w:cs="Arial"/>
          <w:color w:val="000000"/>
          <w:sz w:val="24"/>
          <w:szCs w:val="24"/>
        </w:rPr>
        <w:t xml:space="preserve">. </w:t>
      </w:r>
      <w:bookmarkStart w:id="11" w:name="_Hlk89276184"/>
      <w:r w:rsidR="009C105D">
        <w:rPr>
          <w:rFonts w:ascii="Arial" w:hAnsi="Arial" w:cs="Arial"/>
          <w:color w:val="000000"/>
          <w:sz w:val="24"/>
          <w:szCs w:val="24"/>
        </w:rPr>
        <w:t xml:space="preserve">En comparación con lo reportado en 2019, la cantidad de </w:t>
      </w:r>
      <w:r w:rsidR="009C105D" w:rsidRPr="00183D31">
        <w:rPr>
          <w:rFonts w:ascii="Arial" w:hAnsi="Arial" w:cs="Arial"/>
          <w:color w:val="000000"/>
          <w:sz w:val="24"/>
          <w:szCs w:val="24"/>
        </w:rPr>
        <w:t>hechos presuntamente violatorios</w:t>
      </w:r>
      <w:r w:rsidR="009C105D">
        <w:rPr>
          <w:rFonts w:ascii="Arial" w:hAnsi="Arial" w:cs="Arial"/>
          <w:color w:val="000000"/>
          <w:sz w:val="24"/>
          <w:szCs w:val="24"/>
        </w:rPr>
        <w:t xml:space="preserve"> aumentó 35.7% en 2020. </w:t>
      </w:r>
    </w:p>
    <w:p w14:paraId="02F57332" w14:textId="77777777" w:rsidR="0067623B" w:rsidRDefault="0067623B" w:rsidP="00183D31">
      <w:pPr>
        <w:autoSpaceDE w:val="0"/>
        <w:autoSpaceDN w:val="0"/>
        <w:adjustRightInd w:val="0"/>
        <w:spacing w:after="0" w:line="240" w:lineRule="auto"/>
        <w:ind w:left="-567"/>
        <w:jc w:val="both"/>
        <w:rPr>
          <w:rFonts w:ascii="Arial" w:hAnsi="Arial" w:cs="Arial"/>
          <w:color w:val="000000"/>
          <w:sz w:val="24"/>
          <w:szCs w:val="24"/>
        </w:rPr>
      </w:pPr>
    </w:p>
    <w:p w14:paraId="4F019E80" w14:textId="01A386DA" w:rsidR="00643797" w:rsidRPr="00643797" w:rsidRDefault="0067623B" w:rsidP="00643797">
      <w:pPr>
        <w:autoSpaceDE w:val="0"/>
        <w:autoSpaceDN w:val="0"/>
        <w:adjustRightInd w:val="0"/>
        <w:spacing w:after="0"/>
        <w:ind w:left="-567"/>
        <w:jc w:val="center"/>
        <w:rPr>
          <w:rFonts w:ascii="Arial" w:hAnsi="Arial" w:cs="Arial"/>
          <w:b/>
          <w:bCs/>
          <w:i/>
          <w:iCs/>
          <w:color w:val="87AD8A"/>
          <w:sz w:val="18"/>
          <w:szCs w:val="24"/>
        </w:rPr>
      </w:pPr>
      <w:r>
        <w:rPr>
          <w:rFonts w:ascii="Arial" w:hAnsi="Arial" w:cs="Arial"/>
          <w:b/>
          <w:bCs/>
          <w:i/>
          <w:iCs/>
          <w:color w:val="87AD8A"/>
          <w:sz w:val="18"/>
          <w:szCs w:val="24"/>
        </w:rPr>
        <w:t>Gráfica 2</w:t>
      </w:r>
      <w:r w:rsidR="00643797">
        <w:rPr>
          <w:rFonts w:ascii="Arial" w:hAnsi="Arial" w:cs="Arial"/>
          <w:b/>
          <w:bCs/>
          <w:i/>
          <w:iCs/>
          <w:color w:val="87AD8A"/>
          <w:sz w:val="18"/>
          <w:szCs w:val="24"/>
        </w:rPr>
        <w:t>4</w:t>
      </w:r>
      <w:r w:rsidRPr="00611289">
        <w:rPr>
          <w:rFonts w:ascii="Arial" w:hAnsi="Arial" w:cs="Arial"/>
          <w:b/>
          <w:bCs/>
          <w:i/>
          <w:iCs/>
          <w:color w:val="87AD8A"/>
          <w:sz w:val="18"/>
          <w:szCs w:val="24"/>
        </w:rPr>
        <w:t>.</w:t>
      </w:r>
      <w:r w:rsidR="00643797" w:rsidRPr="00643797">
        <w:rPr>
          <w:rFonts w:eastAsiaTheme="minorEastAsia"/>
          <w:b/>
          <w:bCs/>
          <w:i/>
          <w:iCs/>
          <w:color w:val="C29B61"/>
          <w:kern w:val="24"/>
          <w:sz w:val="48"/>
          <w:szCs w:val="48"/>
          <w:lang w:eastAsia="es-MX"/>
        </w:rPr>
        <w:t xml:space="preserve"> </w:t>
      </w:r>
      <w:r w:rsidR="00643797" w:rsidRPr="00643797">
        <w:rPr>
          <w:rFonts w:ascii="Arial" w:hAnsi="Arial" w:cs="Arial"/>
          <w:b/>
          <w:bCs/>
          <w:i/>
          <w:iCs/>
          <w:color w:val="87AD8A"/>
          <w:sz w:val="18"/>
        </w:rPr>
        <w:t>Hechos presuntamente violatorios registrados</w:t>
      </w:r>
      <w:r w:rsidR="00643797">
        <w:rPr>
          <w:rFonts w:ascii="Arial" w:hAnsi="Arial" w:cs="Arial"/>
          <w:b/>
          <w:bCs/>
          <w:i/>
          <w:iCs/>
          <w:color w:val="87AD8A"/>
          <w:sz w:val="18"/>
        </w:rPr>
        <w:t xml:space="preserve"> </w:t>
      </w:r>
      <w:r w:rsidR="00643797" w:rsidRPr="00643797">
        <w:rPr>
          <w:rFonts w:ascii="Arial" w:hAnsi="Arial" w:cs="Arial"/>
          <w:b/>
          <w:bCs/>
          <w:i/>
          <w:iCs/>
          <w:color w:val="87AD8A"/>
          <w:sz w:val="18"/>
          <w:szCs w:val="24"/>
        </w:rPr>
        <w:t>en la CNDH y los OPDH, 2016 a 2020</w:t>
      </w:r>
    </w:p>
    <w:p w14:paraId="6DEE40A5" w14:textId="6A716069" w:rsidR="0067623B" w:rsidRDefault="0067623B" w:rsidP="00183D31">
      <w:pPr>
        <w:autoSpaceDE w:val="0"/>
        <w:autoSpaceDN w:val="0"/>
        <w:adjustRightInd w:val="0"/>
        <w:spacing w:after="0" w:line="240" w:lineRule="auto"/>
        <w:ind w:left="-567"/>
        <w:jc w:val="both"/>
        <w:rPr>
          <w:rFonts w:ascii="Arial" w:hAnsi="Arial" w:cs="Arial"/>
          <w:b/>
          <w:bCs/>
          <w:i/>
          <w:iCs/>
          <w:color w:val="87AD8A"/>
          <w:sz w:val="18"/>
          <w:szCs w:val="24"/>
        </w:rPr>
      </w:pPr>
    </w:p>
    <w:p w14:paraId="1A8C99E0" w14:textId="2C332D3F" w:rsidR="00D3709A" w:rsidRDefault="00D3709A" w:rsidP="00183D31">
      <w:pPr>
        <w:autoSpaceDE w:val="0"/>
        <w:autoSpaceDN w:val="0"/>
        <w:adjustRightInd w:val="0"/>
        <w:spacing w:after="0" w:line="240" w:lineRule="auto"/>
        <w:ind w:left="-567"/>
        <w:jc w:val="both"/>
        <w:rPr>
          <w:rFonts w:ascii="Arial" w:hAnsi="Arial" w:cs="Arial"/>
          <w:i/>
          <w:color w:val="000000"/>
          <w:sz w:val="24"/>
          <w:szCs w:val="24"/>
        </w:rPr>
      </w:pPr>
      <w:r w:rsidRPr="00D3709A">
        <w:rPr>
          <w:rFonts w:ascii="Arial" w:hAnsi="Arial" w:cs="Arial"/>
          <w:i/>
          <w:noProof/>
          <w:color w:val="000000"/>
          <w:sz w:val="24"/>
          <w:szCs w:val="24"/>
        </w:rPr>
        <w:drawing>
          <wp:inline distT="0" distB="0" distL="0" distR="0" wp14:anchorId="425B9112" wp14:editId="7CA11C4D">
            <wp:extent cx="6100550" cy="2326944"/>
            <wp:effectExtent l="0" t="0" r="0" b="0"/>
            <wp:docPr id="47" name="Gráfico 47">
              <a:extLst xmlns:a="http://schemas.openxmlformats.org/drawingml/2006/main">
                <a:ext uri="{FF2B5EF4-FFF2-40B4-BE49-F238E27FC236}">
                  <a16:creationId xmlns:a16="http://schemas.microsoft.com/office/drawing/2014/main" id="{CF767B01-BF1C-47E5-A39C-BF0F5F2A5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56E5DE1" w14:textId="77777777" w:rsidR="0067623B" w:rsidRDefault="0067623B" w:rsidP="00183D31">
      <w:pPr>
        <w:autoSpaceDE w:val="0"/>
        <w:autoSpaceDN w:val="0"/>
        <w:adjustRightInd w:val="0"/>
        <w:spacing w:after="0" w:line="240" w:lineRule="auto"/>
        <w:ind w:left="-567"/>
        <w:jc w:val="both"/>
        <w:rPr>
          <w:rFonts w:ascii="Arial" w:hAnsi="Arial" w:cs="Arial"/>
          <w:i/>
          <w:color w:val="000000"/>
          <w:sz w:val="24"/>
          <w:szCs w:val="24"/>
        </w:rPr>
      </w:pPr>
    </w:p>
    <w:p w14:paraId="6E6C09FD" w14:textId="77777777" w:rsidR="00B66B2F" w:rsidRDefault="00B66B2F" w:rsidP="00183D31">
      <w:pPr>
        <w:autoSpaceDE w:val="0"/>
        <w:autoSpaceDN w:val="0"/>
        <w:adjustRightInd w:val="0"/>
        <w:spacing w:after="0" w:line="240" w:lineRule="auto"/>
        <w:ind w:left="-567"/>
        <w:jc w:val="both"/>
        <w:rPr>
          <w:rFonts w:ascii="Arial" w:hAnsi="Arial" w:cs="Arial"/>
          <w:color w:val="000000"/>
          <w:sz w:val="24"/>
          <w:szCs w:val="24"/>
        </w:rPr>
      </w:pPr>
    </w:p>
    <w:p w14:paraId="341287E8" w14:textId="77777777" w:rsidR="00B66B2F" w:rsidRDefault="00B66B2F" w:rsidP="00183D31">
      <w:pPr>
        <w:autoSpaceDE w:val="0"/>
        <w:autoSpaceDN w:val="0"/>
        <w:adjustRightInd w:val="0"/>
        <w:spacing w:after="0" w:line="240" w:lineRule="auto"/>
        <w:ind w:left="-567"/>
        <w:jc w:val="both"/>
        <w:rPr>
          <w:rFonts w:ascii="Arial" w:hAnsi="Arial" w:cs="Arial"/>
          <w:color w:val="000000"/>
          <w:sz w:val="24"/>
          <w:szCs w:val="24"/>
        </w:rPr>
      </w:pPr>
    </w:p>
    <w:p w14:paraId="0601FE0D" w14:textId="41C81676" w:rsidR="00F9621C" w:rsidRDefault="0067623B" w:rsidP="00183D31">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Por tipo, </w:t>
      </w:r>
      <w:r w:rsidR="00F9621C" w:rsidRPr="00F9621C">
        <w:rPr>
          <w:rFonts w:ascii="Arial" w:hAnsi="Arial" w:cs="Arial"/>
          <w:i/>
          <w:color w:val="000000"/>
          <w:sz w:val="24"/>
          <w:szCs w:val="24"/>
        </w:rPr>
        <w:t>Violación al principio de legalidad en el desempeño de la función pública</w:t>
      </w:r>
      <w:r w:rsidR="00F9621C" w:rsidRPr="00F9621C">
        <w:rPr>
          <w:rFonts w:ascii="Arial" w:hAnsi="Arial" w:cs="Arial"/>
          <w:color w:val="000000"/>
          <w:sz w:val="24"/>
          <w:szCs w:val="24"/>
        </w:rPr>
        <w:t xml:space="preserve"> fue el tipo de hecho </w:t>
      </w:r>
      <w:r w:rsidR="004B6431">
        <w:rPr>
          <w:rFonts w:ascii="Arial" w:hAnsi="Arial" w:cs="Arial"/>
          <w:color w:val="000000"/>
          <w:sz w:val="24"/>
          <w:szCs w:val="24"/>
        </w:rPr>
        <w:t>con</w:t>
      </w:r>
      <w:r w:rsidR="004B6431" w:rsidRPr="00F9621C">
        <w:rPr>
          <w:rFonts w:ascii="Arial" w:hAnsi="Arial" w:cs="Arial"/>
          <w:color w:val="000000"/>
          <w:sz w:val="24"/>
          <w:szCs w:val="24"/>
        </w:rPr>
        <w:t xml:space="preserve"> </w:t>
      </w:r>
      <w:r w:rsidR="00F9621C" w:rsidRPr="00F9621C">
        <w:rPr>
          <w:rFonts w:ascii="Arial" w:hAnsi="Arial" w:cs="Arial"/>
          <w:color w:val="000000"/>
          <w:sz w:val="24"/>
          <w:szCs w:val="24"/>
        </w:rPr>
        <w:t xml:space="preserve">mayor frecuencia con </w:t>
      </w:r>
      <w:r w:rsidR="00403C48">
        <w:rPr>
          <w:rFonts w:ascii="Arial" w:hAnsi="Arial" w:cs="Arial"/>
          <w:color w:val="000000"/>
          <w:sz w:val="24"/>
          <w:szCs w:val="24"/>
        </w:rPr>
        <w:t>23.8</w:t>
      </w:r>
      <w:r w:rsidR="00F9621C" w:rsidRPr="00F9621C">
        <w:rPr>
          <w:rFonts w:ascii="Arial" w:hAnsi="Arial" w:cs="Arial"/>
          <w:color w:val="000000"/>
          <w:sz w:val="24"/>
          <w:szCs w:val="24"/>
        </w:rPr>
        <w:t>% del total.</w:t>
      </w:r>
    </w:p>
    <w:bookmarkEnd w:id="10"/>
    <w:bookmarkEnd w:id="11"/>
    <w:p w14:paraId="639CF2A6" w14:textId="77777777" w:rsidR="00F9621C" w:rsidRDefault="00F9621C" w:rsidP="00183D31">
      <w:pPr>
        <w:autoSpaceDE w:val="0"/>
        <w:autoSpaceDN w:val="0"/>
        <w:adjustRightInd w:val="0"/>
        <w:spacing w:after="0" w:line="240" w:lineRule="auto"/>
        <w:ind w:left="-567"/>
        <w:jc w:val="both"/>
        <w:rPr>
          <w:rFonts w:ascii="Arial" w:hAnsi="Arial" w:cs="Arial"/>
          <w:color w:val="000000"/>
          <w:sz w:val="24"/>
          <w:szCs w:val="24"/>
        </w:rPr>
      </w:pPr>
    </w:p>
    <w:p w14:paraId="4B9C7B66" w14:textId="1C1EA25B" w:rsidR="007E2DE2" w:rsidRDefault="00F9621C" w:rsidP="00F9621C">
      <w:pPr>
        <w:spacing w:after="0"/>
        <w:ind w:left="-567"/>
        <w:jc w:val="center"/>
        <w:rPr>
          <w:rFonts w:ascii="Arial" w:hAnsi="Arial" w:cs="Arial"/>
          <w:color w:val="000000"/>
          <w:sz w:val="24"/>
          <w:szCs w:val="24"/>
        </w:rPr>
      </w:pPr>
      <w:r>
        <w:rPr>
          <w:rFonts w:ascii="Arial" w:hAnsi="Arial" w:cs="Arial"/>
          <w:b/>
          <w:bCs/>
          <w:i/>
          <w:iCs/>
          <w:color w:val="87AD8A"/>
          <w:sz w:val="18"/>
          <w:szCs w:val="24"/>
        </w:rPr>
        <w:t>Gráfica 2</w:t>
      </w:r>
      <w:r w:rsidR="00643797">
        <w:rPr>
          <w:rFonts w:ascii="Arial" w:hAnsi="Arial" w:cs="Arial"/>
          <w:b/>
          <w:bCs/>
          <w:i/>
          <w:iCs/>
          <w:color w:val="87AD8A"/>
          <w:sz w:val="18"/>
          <w:szCs w:val="24"/>
        </w:rPr>
        <w:t>5</w:t>
      </w:r>
      <w:r w:rsidRPr="00611289">
        <w:rPr>
          <w:rFonts w:ascii="Arial" w:hAnsi="Arial" w:cs="Arial"/>
          <w:b/>
          <w:bCs/>
          <w:i/>
          <w:iCs/>
          <w:color w:val="87AD8A"/>
          <w:sz w:val="18"/>
          <w:szCs w:val="24"/>
        </w:rPr>
        <w:t>.</w:t>
      </w:r>
      <w:r>
        <w:rPr>
          <w:rFonts w:ascii="Arial" w:hAnsi="Arial" w:cs="Arial"/>
          <w:b/>
          <w:bCs/>
          <w:i/>
          <w:iCs/>
          <w:color w:val="87AD8A"/>
          <w:sz w:val="18"/>
          <w:szCs w:val="24"/>
        </w:rPr>
        <w:t xml:space="preserve"> Principales </w:t>
      </w:r>
      <w:r w:rsidRPr="00F9621C">
        <w:rPr>
          <w:rFonts w:ascii="Arial" w:hAnsi="Arial" w:cs="Arial"/>
          <w:b/>
          <w:bCs/>
          <w:i/>
          <w:iCs/>
          <w:color w:val="87AD8A"/>
          <w:sz w:val="18"/>
          <w:szCs w:val="24"/>
        </w:rPr>
        <w:t>hechos presuntamente violatorios de derechos humanos registrados por la CNDH y los OPDH, 20</w:t>
      </w:r>
      <w:r>
        <w:rPr>
          <w:rFonts w:ascii="Arial" w:hAnsi="Arial" w:cs="Arial"/>
          <w:b/>
          <w:bCs/>
          <w:i/>
          <w:iCs/>
          <w:color w:val="87AD8A"/>
          <w:sz w:val="18"/>
          <w:szCs w:val="24"/>
        </w:rPr>
        <w:t>19 a 2020</w:t>
      </w:r>
    </w:p>
    <w:p w14:paraId="351BD000" w14:textId="088E3AF8" w:rsidR="007E2DE2" w:rsidRDefault="00F9621C" w:rsidP="00183D31">
      <w:pPr>
        <w:autoSpaceDE w:val="0"/>
        <w:autoSpaceDN w:val="0"/>
        <w:adjustRightInd w:val="0"/>
        <w:spacing w:after="0" w:line="240" w:lineRule="auto"/>
        <w:ind w:left="-567"/>
        <w:jc w:val="both"/>
        <w:rPr>
          <w:rFonts w:ascii="Arial" w:hAnsi="Arial" w:cs="Arial"/>
          <w:color w:val="000000"/>
          <w:sz w:val="24"/>
          <w:szCs w:val="24"/>
        </w:rPr>
      </w:pPr>
      <w:r w:rsidRPr="00F9621C">
        <w:rPr>
          <w:rFonts w:ascii="Arial" w:hAnsi="Arial" w:cs="Arial"/>
          <w:noProof/>
          <w:color w:val="000000"/>
          <w:sz w:val="24"/>
          <w:szCs w:val="24"/>
        </w:rPr>
        <w:drawing>
          <wp:inline distT="0" distB="0" distL="0" distR="0" wp14:anchorId="5378EC1F" wp14:editId="275348A7">
            <wp:extent cx="6432550" cy="1995777"/>
            <wp:effectExtent l="0" t="0" r="6350" b="5080"/>
            <wp:docPr id="20" name="Gráfico 20">
              <a:extLst xmlns:a="http://schemas.openxmlformats.org/drawingml/2006/main">
                <a:ext uri="{FF2B5EF4-FFF2-40B4-BE49-F238E27FC236}">
                  <a16:creationId xmlns:a16="http://schemas.microsoft.com/office/drawing/2014/main" id="{3DB13F4F-290E-4C72-93E7-20A7080EBC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F648D09" w14:textId="77777777" w:rsidR="009C105D" w:rsidRDefault="009C105D" w:rsidP="009C105D">
      <w:pPr>
        <w:autoSpaceDE w:val="0"/>
        <w:autoSpaceDN w:val="0"/>
        <w:adjustRightInd w:val="0"/>
        <w:spacing w:after="0" w:line="240" w:lineRule="auto"/>
        <w:jc w:val="both"/>
        <w:rPr>
          <w:rFonts w:ascii="Arial" w:hAnsi="Arial" w:cs="Arial"/>
          <w:color w:val="000000"/>
          <w:sz w:val="24"/>
          <w:szCs w:val="24"/>
        </w:rPr>
      </w:pPr>
    </w:p>
    <w:p w14:paraId="350C1EFF" w14:textId="33B2BF80" w:rsidR="00CC13BD" w:rsidRDefault="000424F4" w:rsidP="00183D31">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Destaca</w:t>
      </w:r>
      <w:r w:rsidR="0067623B">
        <w:rPr>
          <w:rFonts w:ascii="Arial" w:hAnsi="Arial" w:cs="Arial"/>
          <w:color w:val="000000"/>
          <w:sz w:val="24"/>
          <w:szCs w:val="24"/>
        </w:rPr>
        <w:t>n</w:t>
      </w:r>
      <w:r>
        <w:rPr>
          <w:rFonts w:ascii="Arial" w:hAnsi="Arial" w:cs="Arial"/>
          <w:color w:val="000000"/>
          <w:sz w:val="24"/>
          <w:szCs w:val="24"/>
        </w:rPr>
        <w:t xml:space="preserve"> Jalisco</w:t>
      </w:r>
      <w:r w:rsidR="0067623B">
        <w:rPr>
          <w:rFonts w:ascii="Arial" w:hAnsi="Arial" w:cs="Arial"/>
          <w:color w:val="000000"/>
          <w:sz w:val="24"/>
          <w:szCs w:val="24"/>
        </w:rPr>
        <w:t xml:space="preserve"> y la CNDH</w:t>
      </w:r>
      <w:r>
        <w:rPr>
          <w:rFonts w:ascii="Arial" w:hAnsi="Arial" w:cs="Arial"/>
          <w:color w:val="000000"/>
          <w:sz w:val="24"/>
          <w:szCs w:val="24"/>
        </w:rPr>
        <w:t xml:space="preserve"> al concentrar la mayor cantidad de </w:t>
      </w:r>
      <w:r w:rsidRPr="00183D31">
        <w:rPr>
          <w:rFonts w:ascii="Arial" w:hAnsi="Arial" w:cs="Arial"/>
          <w:color w:val="000000"/>
          <w:sz w:val="24"/>
          <w:szCs w:val="24"/>
        </w:rPr>
        <w:t>hechos presuntamente violatorios registrados en los expedientes de queja</w:t>
      </w:r>
      <w:r>
        <w:rPr>
          <w:rFonts w:ascii="Arial" w:hAnsi="Arial" w:cs="Arial"/>
          <w:color w:val="000000"/>
          <w:sz w:val="24"/>
          <w:szCs w:val="24"/>
        </w:rPr>
        <w:t xml:space="preserve"> </w:t>
      </w:r>
      <w:r w:rsidRPr="00183D31">
        <w:rPr>
          <w:rFonts w:ascii="Arial" w:hAnsi="Arial" w:cs="Arial"/>
          <w:color w:val="000000"/>
          <w:sz w:val="24"/>
          <w:szCs w:val="24"/>
        </w:rPr>
        <w:t xml:space="preserve">calificados como </w:t>
      </w:r>
      <w:r>
        <w:rPr>
          <w:rFonts w:ascii="Arial" w:hAnsi="Arial" w:cs="Arial"/>
          <w:color w:val="000000"/>
          <w:sz w:val="24"/>
          <w:szCs w:val="24"/>
        </w:rPr>
        <w:t>p</w:t>
      </w:r>
      <w:r w:rsidRPr="00183D31">
        <w:rPr>
          <w:rFonts w:ascii="Arial" w:hAnsi="Arial" w:cs="Arial"/>
          <w:color w:val="000000"/>
          <w:sz w:val="24"/>
          <w:szCs w:val="24"/>
        </w:rPr>
        <w:t>resuntamente violatorios de derechos humanos</w:t>
      </w:r>
      <w:r>
        <w:rPr>
          <w:rFonts w:ascii="Arial" w:hAnsi="Arial" w:cs="Arial"/>
          <w:color w:val="000000"/>
          <w:sz w:val="24"/>
          <w:szCs w:val="24"/>
        </w:rPr>
        <w:t xml:space="preserve"> (125 773</w:t>
      </w:r>
      <w:r w:rsidR="0067623B">
        <w:rPr>
          <w:rFonts w:ascii="Arial" w:hAnsi="Arial" w:cs="Arial"/>
          <w:color w:val="000000"/>
          <w:sz w:val="24"/>
          <w:szCs w:val="24"/>
        </w:rPr>
        <w:t xml:space="preserve"> y 26 7</w:t>
      </w:r>
      <w:r w:rsidR="00936B74">
        <w:rPr>
          <w:rFonts w:ascii="Arial" w:hAnsi="Arial" w:cs="Arial"/>
          <w:color w:val="000000"/>
          <w:sz w:val="24"/>
          <w:szCs w:val="24"/>
        </w:rPr>
        <w:t>43, respectivamente</w:t>
      </w:r>
      <w:r>
        <w:rPr>
          <w:rFonts w:ascii="Arial" w:hAnsi="Arial" w:cs="Arial"/>
          <w:color w:val="000000"/>
          <w:sz w:val="24"/>
          <w:szCs w:val="24"/>
        </w:rPr>
        <w:t xml:space="preserve">). </w:t>
      </w:r>
    </w:p>
    <w:p w14:paraId="44781D29" w14:textId="77777777" w:rsidR="000424F4" w:rsidRDefault="000424F4" w:rsidP="00183D31">
      <w:pPr>
        <w:autoSpaceDE w:val="0"/>
        <w:autoSpaceDN w:val="0"/>
        <w:adjustRightInd w:val="0"/>
        <w:spacing w:after="0" w:line="240" w:lineRule="auto"/>
        <w:ind w:left="-567"/>
        <w:jc w:val="both"/>
        <w:rPr>
          <w:rFonts w:ascii="Arial" w:hAnsi="Arial" w:cs="Arial"/>
          <w:color w:val="000000"/>
          <w:sz w:val="24"/>
          <w:szCs w:val="24"/>
        </w:rPr>
      </w:pPr>
    </w:p>
    <w:p w14:paraId="057A594C" w14:textId="59138F21" w:rsidR="000424F4" w:rsidRDefault="000424F4" w:rsidP="00B66B2F">
      <w:pPr>
        <w:spacing w:after="0"/>
        <w:ind w:left="-567"/>
        <w:jc w:val="center"/>
        <w:rPr>
          <w:rFonts w:ascii="Arial" w:hAnsi="Arial" w:cs="Arial"/>
          <w:color w:val="000000"/>
          <w:sz w:val="24"/>
          <w:szCs w:val="24"/>
        </w:rPr>
      </w:pPr>
      <w:r>
        <w:rPr>
          <w:rFonts w:ascii="Arial" w:hAnsi="Arial" w:cs="Arial"/>
          <w:b/>
          <w:bCs/>
          <w:i/>
          <w:iCs/>
          <w:color w:val="87AD8A"/>
          <w:sz w:val="18"/>
          <w:szCs w:val="24"/>
        </w:rPr>
        <w:t xml:space="preserve">Mapa 5. </w:t>
      </w:r>
      <w:r w:rsidR="00BD5323">
        <w:rPr>
          <w:rFonts w:ascii="Arial" w:hAnsi="Arial" w:cs="Arial"/>
          <w:b/>
          <w:bCs/>
          <w:i/>
          <w:iCs/>
          <w:color w:val="87AD8A"/>
          <w:sz w:val="18"/>
          <w:szCs w:val="24"/>
        </w:rPr>
        <w:t>H</w:t>
      </w:r>
      <w:r w:rsidR="00BD5323" w:rsidRPr="00F9621C">
        <w:rPr>
          <w:rFonts w:ascii="Arial" w:hAnsi="Arial" w:cs="Arial"/>
          <w:b/>
          <w:bCs/>
          <w:i/>
          <w:iCs/>
          <w:color w:val="87AD8A"/>
          <w:sz w:val="18"/>
          <w:szCs w:val="24"/>
        </w:rPr>
        <w:t>echos presuntamente violatorios de derechos humanos registrados por la CNDH y los OPDH,</w:t>
      </w:r>
      <w:r w:rsidR="00BD5323">
        <w:rPr>
          <w:rFonts w:ascii="Arial" w:hAnsi="Arial" w:cs="Arial"/>
          <w:b/>
          <w:bCs/>
          <w:i/>
          <w:iCs/>
          <w:color w:val="87AD8A"/>
          <w:sz w:val="18"/>
          <w:szCs w:val="24"/>
        </w:rPr>
        <w:t xml:space="preserve"> según entidad federativa, 2020</w:t>
      </w:r>
    </w:p>
    <w:p w14:paraId="4D2A3BE8" w14:textId="77777777" w:rsidR="00643797" w:rsidRDefault="000424F4" w:rsidP="00643797">
      <w:pPr>
        <w:autoSpaceDE w:val="0"/>
        <w:autoSpaceDN w:val="0"/>
        <w:adjustRightInd w:val="0"/>
        <w:spacing w:after="0" w:line="240" w:lineRule="auto"/>
        <w:ind w:left="-567"/>
        <w:jc w:val="center"/>
        <w:rPr>
          <w:rFonts w:ascii="Arial" w:hAnsi="Arial" w:cs="Arial"/>
          <w:color w:val="000000"/>
          <w:sz w:val="24"/>
          <w:szCs w:val="24"/>
        </w:rPr>
      </w:pPr>
      <w:r>
        <w:rPr>
          <w:rFonts w:ascii="Arial" w:hAnsi="Arial" w:cs="Arial"/>
          <w:noProof/>
          <w:color w:val="000000"/>
          <w:sz w:val="24"/>
          <w:szCs w:val="24"/>
        </w:rPr>
        <w:drawing>
          <wp:inline distT="0" distB="0" distL="0" distR="0" wp14:anchorId="7554C448" wp14:editId="7DA2475B">
            <wp:extent cx="5947751" cy="3692106"/>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7387" cy="3729125"/>
                    </a:xfrm>
                    <a:prstGeom prst="rect">
                      <a:avLst/>
                    </a:prstGeom>
                    <a:noFill/>
                  </pic:spPr>
                </pic:pic>
              </a:graphicData>
            </a:graphic>
          </wp:inline>
        </w:drawing>
      </w:r>
    </w:p>
    <w:p w14:paraId="6353A83A" w14:textId="77777777" w:rsidR="00643797" w:rsidRDefault="00643797" w:rsidP="00643797">
      <w:pPr>
        <w:autoSpaceDE w:val="0"/>
        <w:autoSpaceDN w:val="0"/>
        <w:adjustRightInd w:val="0"/>
        <w:spacing w:after="0" w:line="240" w:lineRule="auto"/>
        <w:ind w:left="-567"/>
        <w:jc w:val="both"/>
        <w:rPr>
          <w:rFonts w:ascii="Arial" w:hAnsi="Arial" w:cs="Arial"/>
          <w:color w:val="000000"/>
          <w:sz w:val="24"/>
          <w:szCs w:val="24"/>
        </w:rPr>
      </w:pPr>
    </w:p>
    <w:p w14:paraId="27D08BE2" w14:textId="77777777" w:rsidR="006E7170" w:rsidRDefault="006E7170" w:rsidP="00643797">
      <w:pPr>
        <w:autoSpaceDE w:val="0"/>
        <w:autoSpaceDN w:val="0"/>
        <w:adjustRightInd w:val="0"/>
        <w:spacing w:after="0" w:line="240" w:lineRule="auto"/>
        <w:ind w:left="-567"/>
        <w:jc w:val="both"/>
        <w:rPr>
          <w:rFonts w:ascii="Arial" w:hAnsi="Arial" w:cs="Arial"/>
          <w:color w:val="000000"/>
          <w:sz w:val="24"/>
          <w:szCs w:val="24"/>
        </w:rPr>
      </w:pPr>
    </w:p>
    <w:p w14:paraId="682B7518" w14:textId="0FEC2394" w:rsidR="00936B74" w:rsidRDefault="004270BB" w:rsidP="000424F4">
      <w:pPr>
        <w:autoSpaceDE w:val="0"/>
        <w:autoSpaceDN w:val="0"/>
        <w:adjustRightInd w:val="0"/>
        <w:spacing w:after="0" w:line="240" w:lineRule="auto"/>
        <w:ind w:left="-567"/>
        <w:jc w:val="both"/>
        <w:rPr>
          <w:rFonts w:ascii="Arial" w:hAnsi="Arial" w:cs="Arial"/>
          <w:color w:val="000000"/>
          <w:sz w:val="24"/>
          <w:szCs w:val="24"/>
        </w:rPr>
      </w:pPr>
      <w:r w:rsidRPr="004270BB">
        <w:rPr>
          <w:rFonts w:ascii="Arial" w:hAnsi="Arial" w:cs="Arial"/>
          <w:color w:val="000000"/>
          <w:sz w:val="24"/>
          <w:szCs w:val="24"/>
        </w:rPr>
        <w:t>Durante 2020, la CNDH y los OPDH registraron, en las conciliaciones promovidas y recomendaciones emitidas, los siguientes hechos violatorios de derechos humanos atribuibles a las instancias de seguridad pública y justicia: 188 detenciones arbitrarias, 167 tratos crueles, inhumanos o degradantes, 51 torturas, 32 retenciones ilegales, 26 incumplimientos de las formalidades para la emisión de la orden de cateo o visitas domiciliarias, 14 desapariciones forzadas, 7 ejecuciones extrajudiciales, arbitrarias o sumarias y 5 hechos por tolerancia u omisión de la autoridad para la protección contra la trata de personas o explotación con fines sexuales.</w:t>
      </w:r>
    </w:p>
    <w:p w14:paraId="711DA80C" w14:textId="77777777" w:rsidR="004270BB" w:rsidRDefault="004270BB" w:rsidP="000424F4">
      <w:pPr>
        <w:autoSpaceDE w:val="0"/>
        <w:autoSpaceDN w:val="0"/>
        <w:adjustRightInd w:val="0"/>
        <w:spacing w:after="0" w:line="240" w:lineRule="auto"/>
        <w:ind w:left="-567"/>
        <w:jc w:val="both"/>
        <w:rPr>
          <w:rFonts w:ascii="Arial" w:hAnsi="Arial" w:cs="Arial"/>
          <w:color w:val="000000"/>
          <w:sz w:val="24"/>
          <w:szCs w:val="24"/>
        </w:rPr>
      </w:pPr>
    </w:p>
    <w:p w14:paraId="3BF98CF0" w14:textId="69726AC0" w:rsidR="00E706CF" w:rsidRDefault="00E706CF" w:rsidP="00D61567">
      <w:pPr>
        <w:spacing w:after="0"/>
        <w:ind w:left="-567"/>
        <w:jc w:val="center"/>
        <w:rPr>
          <w:rFonts w:ascii="Arial" w:hAnsi="Arial" w:cs="Arial"/>
          <w:color w:val="000000"/>
          <w:sz w:val="24"/>
          <w:szCs w:val="24"/>
        </w:rPr>
      </w:pPr>
      <w:r>
        <w:rPr>
          <w:rFonts w:ascii="Arial" w:hAnsi="Arial" w:cs="Arial"/>
          <w:b/>
          <w:bCs/>
          <w:i/>
          <w:iCs/>
          <w:color w:val="87AD8A"/>
          <w:sz w:val="18"/>
          <w:szCs w:val="24"/>
        </w:rPr>
        <w:t>Gráfica 2</w:t>
      </w:r>
      <w:r w:rsidR="00643797">
        <w:rPr>
          <w:rFonts w:ascii="Arial" w:hAnsi="Arial" w:cs="Arial"/>
          <w:b/>
          <w:bCs/>
          <w:i/>
          <w:iCs/>
          <w:color w:val="87AD8A"/>
          <w:sz w:val="18"/>
          <w:szCs w:val="24"/>
        </w:rPr>
        <w:t>6</w:t>
      </w:r>
      <w:r w:rsidRPr="00611289">
        <w:rPr>
          <w:rFonts w:ascii="Arial" w:hAnsi="Arial" w:cs="Arial"/>
          <w:b/>
          <w:bCs/>
          <w:i/>
          <w:iCs/>
          <w:color w:val="87AD8A"/>
          <w:sz w:val="18"/>
          <w:szCs w:val="24"/>
        </w:rPr>
        <w:t>.</w:t>
      </w:r>
      <w:r>
        <w:rPr>
          <w:rFonts w:ascii="Arial" w:hAnsi="Arial" w:cs="Arial"/>
          <w:b/>
          <w:bCs/>
          <w:i/>
          <w:iCs/>
          <w:color w:val="87AD8A"/>
          <w:sz w:val="18"/>
          <w:szCs w:val="24"/>
        </w:rPr>
        <w:t xml:space="preserve"> </w:t>
      </w:r>
      <w:r w:rsidR="00D61567">
        <w:rPr>
          <w:rFonts w:ascii="Arial" w:hAnsi="Arial" w:cs="Arial"/>
          <w:b/>
          <w:bCs/>
          <w:i/>
          <w:iCs/>
          <w:color w:val="87AD8A"/>
          <w:sz w:val="18"/>
          <w:szCs w:val="24"/>
        </w:rPr>
        <w:t>H</w:t>
      </w:r>
      <w:r w:rsidR="00D61567" w:rsidRPr="00D61567">
        <w:rPr>
          <w:rFonts w:ascii="Arial" w:hAnsi="Arial" w:cs="Arial"/>
          <w:b/>
          <w:bCs/>
          <w:i/>
          <w:iCs/>
          <w:color w:val="87AD8A"/>
          <w:sz w:val="18"/>
          <w:szCs w:val="24"/>
        </w:rPr>
        <w:t>echos violatorios de derechos humanos seleccionados atribuibles a las instituciones de seguridad pública y justicia, registrados en las conciliaciones promovidas y recomendaciones emitidas</w:t>
      </w:r>
      <w:r w:rsidR="00D61567">
        <w:rPr>
          <w:rFonts w:ascii="Arial" w:hAnsi="Arial" w:cs="Arial"/>
          <w:b/>
          <w:bCs/>
          <w:i/>
          <w:iCs/>
          <w:color w:val="87AD8A"/>
          <w:sz w:val="18"/>
          <w:szCs w:val="24"/>
        </w:rPr>
        <w:t xml:space="preserve"> por la CNDH y los OPDH, 2020</w:t>
      </w:r>
    </w:p>
    <w:p w14:paraId="0C818ED0" w14:textId="0D2A3580" w:rsidR="00CC13BD" w:rsidRDefault="00D67DB5" w:rsidP="00E706CF">
      <w:pPr>
        <w:autoSpaceDE w:val="0"/>
        <w:autoSpaceDN w:val="0"/>
        <w:adjustRightInd w:val="0"/>
        <w:spacing w:after="0" w:line="240" w:lineRule="auto"/>
        <w:ind w:left="-567"/>
        <w:rPr>
          <w:rFonts w:ascii="Arial" w:hAnsi="Arial" w:cs="Arial"/>
          <w:color w:val="000000"/>
          <w:sz w:val="24"/>
          <w:szCs w:val="24"/>
        </w:rPr>
      </w:pPr>
      <w:r>
        <w:rPr>
          <w:rFonts w:ascii="Arial" w:hAnsi="Arial" w:cs="Arial"/>
          <w:noProof/>
          <w:color w:val="000000"/>
          <w:sz w:val="24"/>
          <w:szCs w:val="24"/>
        </w:rPr>
        <w:drawing>
          <wp:inline distT="0" distB="0" distL="0" distR="0" wp14:anchorId="73F82601" wp14:editId="4975EB0C">
            <wp:extent cx="6620130" cy="240924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66771" cy="2426219"/>
                    </a:xfrm>
                    <a:prstGeom prst="rect">
                      <a:avLst/>
                    </a:prstGeom>
                    <a:noFill/>
                  </pic:spPr>
                </pic:pic>
              </a:graphicData>
            </a:graphic>
          </wp:inline>
        </w:drawing>
      </w:r>
    </w:p>
    <w:p w14:paraId="2501171C" w14:textId="492DB5E3" w:rsidR="009C6B9B" w:rsidRDefault="009C6B9B" w:rsidP="009C6B9B">
      <w:pPr>
        <w:spacing w:after="0"/>
        <w:jc w:val="center"/>
        <w:rPr>
          <w:rFonts w:ascii="Arial" w:eastAsia="Times New Roman" w:hAnsi="Arial" w:cs="Arial"/>
          <w:color w:val="000000"/>
          <w:sz w:val="16"/>
          <w:szCs w:val="16"/>
          <w:lang w:eastAsia="es-MX"/>
        </w:rPr>
      </w:pPr>
      <w:r w:rsidRPr="009C6B9B">
        <w:rPr>
          <w:rFonts w:ascii="Arial" w:hAnsi="Arial" w:cs="Arial"/>
          <w:color w:val="000000"/>
          <w:sz w:val="16"/>
          <w:szCs w:val="16"/>
        </w:rPr>
        <w:t>*</w:t>
      </w:r>
      <w:r w:rsidRPr="009C6B9B">
        <w:rPr>
          <w:rFonts w:ascii="Arial" w:eastAsia="Times New Roman" w:hAnsi="Arial" w:cs="Arial"/>
          <w:color w:val="000000"/>
          <w:sz w:val="16"/>
          <w:szCs w:val="16"/>
          <w:lang w:eastAsia="es-MX"/>
        </w:rPr>
        <w:t xml:space="preserve">Procuraduría General de Justicia o Fiscalía General (sin incluir, en su caso, a la unidad </w:t>
      </w:r>
      <w:proofErr w:type="spellStart"/>
      <w:r w:rsidRPr="009C6B9B">
        <w:rPr>
          <w:rFonts w:ascii="Arial" w:eastAsia="Times New Roman" w:hAnsi="Arial" w:cs="Arial"/>
          <w:color w:val="000000"/>
          <w:sz w:val="16"/>
          <w:szCs w:val="16"/>
          <w:lang w:eastAsia="es-MX"/>
        </w:rPr>
        <w:t>u</w:t>
      </w:r>
      <w:proofErr w:type="spellEnd"/>
      <w:r w:rsidRPr="009C6B9B">
        <w:rPr>
          <w:rFonts w:ascii="Arial" w:eastAsia="Times New Roman" w:hAnsi="Arial" w:cs="Arial"/>
          <w:color w:val="000000"/>
          <w:sz w:val="16"/>
          <w:szCs w:val="16"/>
          <w:lang w:eastAsia="es-MX"/>
        </w:rPr>
        <w:t xml:space="preserve"> homóloga encargada de la seguridad pública)</w:t>
      </w:r>
      <w:r>
        <w:rPr>
          <w:rFonts w:ascii="Arial" w:eastAsia="Times New Roman" w:hAnsi="Arial" w:cs="Arial"/>
          <w:color w:val="000000"/>
          <w:sz w:val="16"/>
          <w:szCs w:val="16"/>
          <w:lang w:eastAsia="es-MX"/>
        </w:rPr>
        <w:t>.</w:t>
      </w:r>
    </w:p>
    <w:p w14:paraId="79A7A55F" w14:textId="61DC4E7C" w:rsidR="009C6B9B" w:rsidRPr="009C6B9B" w:rsidRDefault="009C6B9B" w:rsidP="009C6B9B">
      <w:pPr>
        <w:spacing w:after="0"/>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w:t>
      </w:r>
      <w:r w:rsidRPr="009C6B9B">
        <w:rPr>
          <w:rFonts w:ascii="Arial" w:eastAsia="Times New Roman" w:hAnsi="Arial" w:cs="Arial"/>
          <w:color w:val="000000"/>
          <w:sz w:val="16"/>
          <w:szCs w:val="16"/>
          <w:lang w:eastAsia="es-MX"/>
        </w:rPr>
        <w:t xml:space="preserve">Institución encargada de la función de seguridad pública (sin incluir, en su caso, a la unidad </w:t>
      </w:r>
      <w:proofErr w:type="spellStart"/>
      <w:r w:rsidRPr="009C6B9B">
        <w:rPr>
          <w:rFonts w:ascii="Arial" w:eastAsia="Times New Roman" w:hAnsi="Arial" w:cs="Arial"/>
          <w:color w:val="000000"/>
          <w:sz w:val="16"/>
          <w:szCs w:val="16"/>
          <w:lang w:eastAsia="es-MX"/>
        </w:rPr>
        <w:t>u</w:t>
      </w:r>
      <w:proofErr w:type="spellEnd"/>
      <w:r w:rsidRPr="009C6B9B">
        <w:rPr>
          <w:rFonts w:ascii="Arial" w:eastAsia="Times New Roman" w:hAnsi="Arial" w:cs="Arial"/>
          <w:color w:val="000000"/>
          <w:sz w:val="16"/>
          <w:szCs w:val="16"/>
          <w:lang w:eastAsia="es-MX"/>
        </w:rPr>
        <w:t xml:space="preserve"> homóloga encargada de las funciones penitenciarias)</w:t>
      </w:r>
      <w:r>
        <w:rPr>
          <w:rFonts w:ascii="Arial" w:eastAsia="Times New Roman" w:hAnsi="Arial" w:cs="Arial"/>
          <w:color w:val="000000"/>
          <w:sz w:val="16"/>
          <w:szCs w:val="16"/>
          <w:lang w:eastAsia="es-MX"/>
        </w:rPr>
        <w:t>.</w:t>
      </w:r>
    </w:p>
    <w:p w14:paraId="27533662" w14:textId="7A036E29" w:rsidR="009C6B9B" w:rsidRDefault="009C6B9B" w:rsidP="00E706CF">
      <w:pPr>
        <w:autoSpaceDE w:val="0"/>
        <w:autoSpaceDN w:val="0"/>
        <w:adjustRightInd w:val="0"/>
        <w:spacing w:after="0" w:line="240" w:lineRule="auto"/>
        <w:ind w:left="-567"/>
        <w:rPr>
          <w:rFonts w:ascii="Arial" w:hAnsi="Arial" w:cs="Arial"/>
          <w:color w:val="000000"/>
          <w:sz w:val="24"/>
          <w:szCs w:val="24"/>
        </w:rPr>
      </w:pPr>
    </w:p>
    <w:p w14:paraId="5340D84B" w14:textId="77777777" w:rsidR="00B66B2F" w:rsidRDefault="00B66B2F" w:rsidP="009C6B9B">
      <w:pPr>
        <w:spacing w:after="0"/>
        <w:ind w:left="-567"/>
        <w:rPr>
          <w:rFonts w:ascii="Arial" w:hAnsi="Arial" w:cs="Arial"/>
          <w:b/>
          <w:bCs/>
          <w:iCs/>
          <w:noProof/>
          <w:sz w:val="24"/>
          <w:szCs w:val="24"/>
          <w:lang w:eastAsia="es-MX"/>
        </w:rPr>
      </w:pPr>
    </w:p>
    <w:p w14:paraId="577C97E7" w14:textId="55986AAA" w:rsidR="009C6B9B" w:rsidRDefault="00936B74" w:rsidP="009C6B9B">
      <w:pPr>
        <w:spacing w:after="0"/>
        <w:ind w:left="-567"/>
        <w:rPr>
          <w:rFonts w:ascii="Arial" w:hAnsi="Arial" w:cs="Arial"/>
          <w:b/>
          <w:bCs/>
          <w:iCs/>
          <w:noProof/>
          <w:sz w:val="24"/>
          <w:szCs w:val="24"/>
          <w:lang w:eastAsia="es-MX"/>
        </w:rPr>
      </w:pPr>
      <w:r>
        <w:rPr>
          <w:rFonts w:ascii="Arial" w:hAnsi="Arial" w:cs="Arial"/>
          <w:b/>
          <w:bCs/>
          <w:iCs/>
          <w:noProof/>
          <w:sz w:val="24"/>
          <w:szCs w:val="24"/>
          <w:lang w:eastAsia="es-MX"/>
        </w:rPr>
        <w:t>Personas q</w:t>
      </w:r>
      <w:r w:rsidR="00EA0A72" w:rsidRPr="00EA0A72">
        <w:rPr>
          <w:rFonts w:ascii="Arial" w:hAnsi="Arial" w:cs="Arial"/>
          <w:b/>
          <w:bCs/>
          <w:iCs/>
          <w:noProof/>
          <w:sz w:val="24"/>
          <w:szCs w:val="24"/>
          <w:lang w:eastAsia="es-MX"/>
        </w:rPr>
        <w:t>uejos</w:t>
      </w:r>
      <w:r>
        <w:rPr>
          <w:rFonts w:ascii="Arial" w:hAnsi="Arial" w:cs="Arial"/>
          <w:b/>
          <w:bCs/>
          <w:iCs/>
          <w:noProof/>
          <w:sz w:val="24"/>
          <w:szCs w:val="24"/>
          <w:lang w:eastAsia="es-MX"/>
        </w:rPr>
        <w:t>a</w:t>
      </w:r>
      <w:r w:rsidR="00EA0A72" w:rsidRPr="00EA0A72">
        <w:rPr>
          <w:rFonts w:ascii="Arial" w:hAnsi="Arial" w:cs="Arial"/>
          <w:b/>
          <w:bCs/>
          <w:iCs/>
          <w:noProof/>
          <w:sz w:val="24"/>
          <w:szCs w:val="24"/>
          <w:lang w:eastAsia="es-MX"/>
        </w:rPr>
        <w:t>s y/o agraviad</w:t>
      </w:r>
      <w:r>
        <w:rPr>
          <w:rFonts w:ascii="Arial" w:hAnsi="Arial" w:cs="Arial"/>
          <w:b/>
          <w:bCs/>
          <w:iCs/>
          <w:noProof/>
          <w:sz w:val="24"/>
          <w:szCs w:val="24"/>
          <w:lang w:eastAsia="es-MX"/>
        </w:rPr>
        <w:t>a</w:t>
      </w:r>
      <w:r w:rsidR="00EA0A72" w:rsidRPr="00EA0A72">
        <w:rPr>
          <w:rFonts w:ascii="Arial" w:hAnsi="Arial" w:cs="Arial"/>
          <w:b/>
          <w:bCs/>
          <w:iCs/>
          <w:noProof/>
          <w:sz w:val="24"/>
          <w:szCs w:val="24"/>
          <w:lang w:eastAsia="es-MX"/>
        </w:rPr>
        <w:t xml:space="preserve">s </w:t>
      </w:r>
    </w:p>
    <w:p w14:paraId="162E741A" w14:textId="77777777" w:rsidR="00EA0A72" w:rsidRDefault="00EA0A72" w:rsidP="009C6B9B">
      <w:pPr>
        <w:spacing w:after="0"/>
        <w:ind w:left="-567"/>
        <w:rPr>
          <w:rFonts w:ascii="Arial" w:hAnsi="Arial" w:cs="Arial"/>
          <w:color w:val="000000"/>
          <w:sz w:val="24"/>
          <w:szCs w:val="24"/>
        </w:rPr>
      </w:pPr>
    </w:p>
    <w:p w14:paraId="08E0734D" w14:textId="3064B911" w:rsidR="00211B1C" w:rsidRDefault="00211B1C" w:rsidP="00CC13BD">
      <w:pPr>
        <w:autoSpaceDE w:val="0"/>
        <w:autoSpaceDN w:val="0"/>
        <w:adjustRightInd w:val="0"/>
        <w:spacing w:after="0" w:line="240" w:lineRule="auto"/>
        <w:ind w:left="-567"/>
        <w:jc w:val="both"/>
        <w:rPr>
          <w:rFonts w:ascii="Arial" w:hAnsi="Arial" w:cs="Arial"/>
          <w:color w:val="000000"/>
          <w:sz w:val="24"/>
          <w:szCs w:val="24"/>
        </w:rPr>
      </w:pPr>
      <w:bookmarkStart w:id="12" w:name="_Hlk89279777"/>
      <w:r w:rsidRPr="00211B1C">
        <w:rPr>
          <w:rFonts w:ascii="Arial" w:hAnsi="Arial" w:cs="Arial"/>
          <w:color w:val="000000"/>
          <w:sz w:val="24"/>
          <w:szCs w:val="24"/>
        </w:rPr>
        <w:t>En relación con l</w:t>
      </w:r>
      <w:r>
        <w:rPr>
          <w:rFonts w:ascii="Arial" w:hAnsi="Arial" w:cs="Arial"/>
          <w:color w:val="000000"/>
          <w:sz w:val="24"/>
          <w:szCs w:val="24"/>
        </w:rPr>
        <w:t xml:space="preserve">as </w:t>
      </w:r>
      <w:r w:rsidR="00936B74">
        <w:rPr>
          <w:rFonts w:ascii="Arial" w:hAnsi="Arial" w:cs="Arial"/>
          <w:color w:val="000000"/>
          <w:sz w:val="24"/>
          <w:szCs w:val="24"/>
        </w:rPr>
        <w:t>personas</w:t>
      </w:r>
      <w:r>
        <w:rPr>
          <w:rFonts w:ascii="Arial" w:hAnsi="Arial" w:cs="Arial"/>
          <w:color w:val="000000"/>
          <w:sz w:val="24"/>
          <w:szCs w:val="24"/>
        </w:rPr>
        <w:t xml:space="preserve"> </w:t>
      </w:r>
      <w:r w:rsidRPr="00211B1C">
        <w:rPr>
          <w:rFonts w:ascii="Arial" w:hAnsi="Arial" w:cs="Arial"/>
          <w:color w:val="000000"/>
          <w:sz w:val="24"/>
          <w:szCs w:val="24"/>
        </w:rPr>
        <w:t>quejos</w:t>
      </w:r>
      <w:r w:rsidR="00936B74">
        <w:rPr>
          <w:rFonts w:ascii="Arial" w:hAnsi="Arial" w:cs="Arial"/>
          <w:color w:val="000000"/>
          <w:sz w:val="24"/>
          <w:szCs w:val="24"/>
        </w:rPr>
        <w:t>a</w:t>
      </w:r>
      <w:r w:rsidRPr="00211B1C">
        <w:rPr>
          <w:rFonts w:ascii="Arial" w:hAnsi="Arial" w:cs="Arial"/>
          <w:color w:val="000000"/>
          <w:sz w:val="24"/>
          <w:szCs w:val="24"/>
        </w:rPr>
        <w:t>s y/o agraviad</w:t>
      </w:r>
      <w:r w:rsidR="00936B74">
        <w:rPr>
          <w:rFonts w:ascii="Arial" w:hAnsi="Arial" w:cs="Arial"/>
          <w:color w:val="000000"/>
          <w:sz w:val="24"/>
          <w:szCs w:val="24"/>
        </w:rPr>
        <w:t>a</w:t>
      </w:r>
      <w:r w:rsidRPr="00211B1C">
        <w:rPr>
          <w:rFonts w:ascii="Arial" w:hAnsi="Arial" w:cs="Arial"/>
          <w:color w:val="000000"/>
          <w:sz w:val="24"/>
          <w:szCs w:val="24"/>
        </w:rPr>
        <w:t>s</w:t>
      </w:r>
      <w:r w:rsidR="00D04C38" w:rsidRPr="00D04C38">
        <w:rPr>
          <w:rFonts w:ascii="Arial" w:hAnsi="Arial" w:cs="Arial"/>
          <w:color w:val="000000"/>
          <w:sz w:val="24"/>
          <w:szCs w:val="24"/>
        </w:rPr>
        <w:t xml:space="preserve"> </w:t>
      </w:r>
      <w:r w:rsidR="00D04C38" w:rsidRPr="00211B1C">
        <w:rPr>
          <w:rFonts w:ascii="Arial" w:hAnsi="Arial" w:cs="Arial"/>
          <w:color w:val="000000"/>
          <w:sz w:val="24"/>
          <w:szCs w:val="24"/>
        </w:rPr>
        <w:t>registrad</w:t>
      </w:r>
      <w:r w:rsidR="00936B74">
        <w:rPr>
          <w:rFonts w:ascii="Arial" w:hAnsi="Arial" w:cs="Arial"/>
          <w:color w:val="000000"/>
          <w:sz w:val="24"/>
          <w:szCs w:val="24"/>
        </w:rPr>
        <w:t>a</w:t>
      </w:r>
      <w:r w:rsidR="00D04C38" w:rsidRPr="00211B1C">
        <w:rPr>
          <w:rFonts w:ascii="Arial" w:hAnsi="Arial" w:cs="Arial"/>
          <w:color w:val="000000"/>
          <w:sz w:val="24"/>
          <w:szCs w:val="24"/>
        </w:rPr>
        <w:t>s en los expedientes de queja calificados como presuntamente violatorios de derechos humanos</w:t>
      </w:r>
      <w:r w:rsidR="00936B74">
        <w:rPr>
          <w:rFonts w:ascii="Arial" w:hAnsi="Arial" w:cs="Arial"/>
          <w:color w:val="000000"/>
          <w:sz w:val="24"/>
          <w:szCs w:val="24"/>
        </w:rPr>
        <w:t>,</w:t>
      </w:r>
      <w:r w:rsidR="00D04C38">
        <w:rPr>
          <w:rFonts w:ascii="Arial" w:hAnsi="Arial" w:cs="Arial"/>
          <w:color w:val="000000"/>
          <w:sz w:val="24"/>
          <w:szCs w:val="24"/>
        </w:rPr>
        <w:t xml:space="preserve"> durante 2020</w:t>
      </w:r>
      <w:r w:rsidR="00254301">
        <w:rPr>
          <w:rFonts w:ascii="Arial" w:hAnsi="Arial" w:cs="Arial"/>
          <w:color w:val="000000"/>
          <w:sz w:val="24"/>
          <w:szCs w:val="24"/>
        </w:rPr>
        <w:t xml:space="preserve"> </w:t>
      </w:r>
      <w:r w:rsidR="00D04C38">
        <w:rPr>
          <w:rFonts w:ascii="Arial" w:hAnsi="Arial" w:cs="Arial"/>
          <w:color w:val="000000"/>
          <w:sz w:val="24"/>
          <w:szCs w:val="24"/>
        </w:rPr>
        <w:t xml:space="preserve">se reportaron </w:t>
      </w:r>
      <w:r w:rsidR="00D04C38" w:rsidRPr="00D04C38">
        <w:rPr>
          <w:rFonts w:ascii="Arial" w:hAnsi="Arial" w:cs="Arial"/>
          <w:color w:val="000000"/>
          <w:sz w:val="24"/>
          <w:szCs w:val="24"/>
        </w:rPr>
        <w:t>112</w:t>
      </w:r>
      <w:r w:rsidR="00D04C38">
        <w:rPr>
          <w:rFonts w:ascii="Arial" w:hAnsi="Arial" w:cs="Arial"/>
          <w:color w:val="000000"/>
          <w:sz w:val="24"/>
          <w:szCs w:val="24"/>
        </w:rPr>
        <w:t xml:space="preserve"> </w:t>
      </w:r>
      <w:r w:rsidR="00D04C38" w:rsidRPr="00D04C38">
        <w:rPr>
          <w:rFonts w:ascii="Arial" w:hAnsi="Arial" w:cs="Arial"/>
          <w:color w:val="000000"/>
          <w:sz w:val="24"/>
          <w:szCs w:val="24"/>
        </w:rPr>
        <w:t>275</w:t>
      </w:r>
      <w:r w:rsidR="00033535">
        <w:rPr>
          <w:rFonts w:ascii="Arial" w:hAnsi="Arial" w:cs="Arial"/>
          <w:color w:val="000000"/>
          <w:sz w:val="24"/>
          <w:szCs w:val="24"/>
        </w:rPr>
        <w:t xml:space="preserve"> (26 278 en la CNDH y 85 997 en los OPDH)</w:t>
      </w:r>
      <w:r w:rsidR="00A26577">
        <w:rPr>
          <w:rFonts w:ascii="Arial" w:hAnsi="Arial" w:cs="Arial"/>
          <w:color w:val="000000"/>
          <w:sz w:val="24"/>
          <w:szCs w:val="24"/>
        </w:rPr>
        <w:t>. E</w:t>
      </w:r>
      <w:r w:rsidR="00254301">
        <w:rPr>
          <w:rFonts w:ascii="Arial" w:hAnsi="Arial" w:cs="Arial"/>
          <w:color w:val="000000"/>
          <w:sz w:val="24"/>
          <w:szCs w:val="24"/>
        </w:rPr>
        <w:t xml:space="preserve">sta cifra representó una disminución de 18.6% respecto </w:t>
      </w:r>
      <w:r w:rsidR="00936B74">
        <w:rPr>
          <w:rFonts w:ascii="Arial" w:hAnsi="Arial" w:cs="Arial"/>
          <w:color w:val="000000"/>
          <w:sz w:val="24"/>
          <w:szCs w:val="24"/>
        </w:rPr>
        <w:t xml:space="preserve">a </w:t>
      </w:r>
      <w:r w:rsidR="00254301">
        <w:rPr>
          <w:rFonts w:ascii="Arial" w:hAnsi="Arial" w:cs="Arial"/>
          <w:color w:val="000000"/>
          <w:sz w:val="24"/>
          <w:szCs w:val="24"/>
        </w:rPr>
        <w:t>lo reportado en 2019</w:t>
      </w:r>
      <w:r w:rsidR="006F694E">
        <w:rPr>
          <w:rStyle w:val="Refdenotaalpie"/>
          <w:rFonts w:ascii="Arial" w:hAnsi="Arial" w:cs="Arial"/>
          <w:color w:val="000000"/>
          <w:sz w:val="24"/>
          <w:szCs w:val="24"/>
        </w:rPr>
        <w:footnoteReference w:id="20"/>
      </w:r>
      <w:r w:rsidR="00254301">
        <w:rPr>
          <w:rFonts w:ascii="Arial" w:hAnsi="Arial" w:cs="Arial"/>
          <w:color w:val="000000"/>
          <w:sz w:val="24"/>
          <w:szCs w:val="24"/>
        </w:rPr>
        <w:t xml:space="preserve">. </w:t>
      </w:r>
    </w:p>
    <w:p w14:paraId="474EC84C" w14:textId="30E6C20B" w:rsidR="00936B74" w:rsidRDefault="00936B74" w:rsidP="00CC13BD">
      <w:pPr>
        <w:autoSpaceDE w:val="0"/>
        <w:autoSpaceDN w:val="0"/>
        <w:adjustRightInd w:val="0"/>
        <w:spacing w:after="0" w:line="240" w:lineRule="auto"/>
        <w:ind w:left="-567"/>
        <w:jc w:val="both"/>
        <w:rPr>
          <w:rFonts w:ascii="Arial" w:hAnsi="Arial" w:cs="Arial"/>
          <w:color w:val="000000"/>
          <w:sz w:val="24"/>
          <w:szCs w:val="24"/>
        </w:rPr>
      </w:pPr>
    </w:p>
    <w:p w14:paraId="1FAEF3D8" w14:textId="13503C90" w:rsidR="00B66B2F" w:rsidRDefault="00B66B2F" w:rsidP="00CC13BD">
      <w:pPr>
        <w:autoSpaceDE w:val="0"/>
        <w:autoSpaceDN w:val="0"/>
        <w:adjustRightInd w:val="0"/>
        <w:spacing w:after="0" w:line="240" w:lineRule="auto"/>
        <w:ind w:left="-567"/>
        <w:jc w:val="both"/>
        <w:rPr>
          <w:rFonts w:ascii="Arial" w:hAnsi="Arial" w:cs="Arial"/>
          <w:color w:val="000000"/>
          <w:sz w:val="24"/>
          <w:szCs w:val="24"/>
        </w:rPr>
      </w:pPr>
    </w:p>
    <w:p w14:paraId="083012E5" w14:textId="6CEEA88B" w:rsidR="00B66B2F" w:rsidRDefault="00B66B2F" w:rsidP="00CC13BD">
      <w:pPr>
        <w:autoSpaceDE w:val="0"/>
        <w:autoSpaceDN w:val="0"/>
        <w:adjustRightInd w:val="0"/>
        <w:spacing w:after="0" w:line="240" w:lineRule="auto"/>
        <w:ind w:left="-567"/>
        <w:jc w:val="both"/>
        <w:rPr>
          <w:rFonts w:ascii="Arial" w:hAnsi="Arial" w:cs="Arial"/>
          <w:color w:val="000000"/>
          <w:sz w:val="24"/>
          <w:szCs w:val="24"/>
        </w:rPr>
      </w:pPr>
    </w:p>
    <w:p w14:paraId="1AC4D270" w14:textId="0CB04B1A" w:rsidR="00B66B2F" w:rsidRDefault="00B66B2F" w:rsidP="00CC13BD">
      <w:pPr>
        <w:autoSpaceDE w:val="0"/>
        <w:autoSpaceDN w:val="0"/>
        <w:adjustRightInd w:val="0"/>
        <w:spacing w:after="0" w:line="240" w:lineRule="auto"/>
        <w:ind w:left="-567"/>
        <w:jc w:val="both"/>
        <w:rPr>
          <w:rFonts w:ascii="Arial" w:hAnsi="Arial" w:cs="Arial"/>
          <w:color w:val="000000"/>
          <w:sz w:val="24"/>
          <w:szCs w:val="24"/>
        </w:rPr>
      </w:pPr>
    </w:p>
    <w:p w14:paraId="623DE0B0" w14:textId="1B777B16" w:rsidR="00B66B2F" w:rsidRDefault="00B66B2F" w:rsidP="00CC13BD">
      <w:pPr>
        <w:autoSpaceDE w:val="0"/>
        <w:autoSpaceDN w:val="0"/>
        <w:adjustRightInd w:val="0"/>
        <w:spacing w:after="0" w:line="240" w:lineRule="auto"/>
        <w:ind w:left="-567"/>
        <w:jc w:val="both"/>
        <w:rPr>
          <w:rFonts w:ascii="Arial" w:hAnsi="Arial" w:cs="Arial"/>
          <w:color w:val="000000"/>
          <w:sz w:val="24"/>
          <w:szCs w:val="24"/>
        </w:rPr>
      </w:pPr>
    </w:p>
    <w:p w14:paraId="51B9B848" w14:textId="1C106E82" w:rsidR="00B66B2F" w:rsidRDefault="00B66B2F" w:rsidP="00CC13BD">
      <w:pPr>
        <w:autoSpaceDE w:val="0"/>
        <w:autoSpaceDN w:val="0"/>
        <w:adjustRightInd w:val="0"/>
        <w:spacing w:after="0" w:line="240" w:lineRule="auto"/>
        <w:ind w:left="-567"/>
        <w:jc w:val="both"/>
        <w:rPr>
          <w:rFonts w:ascii="Arial" w:hAnsi="Arial" w:cs="Arial"/>
          <w:color w:val="000000"/>
          <w:sz w:val="24"/>
          <w:szCs w:val="24"/>
        </w:rPr>
      </w:pPr>
    </w:p>
    <w:p w14:paraId="3D6C3C01" w14:textId="3808022D" w:rsidR="00B66B2F" w:rsidRDefault="00B66B2F" w:rsidP="00CC13BD">
      <w:pPr>
        <w:autoSpaceDE w:val="0"/>
        <w:autoSpaceDN w:val="0"/>
        <w:adjustRightInd w:val="0"/>
        <w:spacing w:after="0" w:line="240" w:lineRule="auto"/>
        <w:ind w:left="-567"/>
        <w:jc w:val="both"/>
        <w:rPr>
          <w:rFonts w:ascii="Arial" w:hAnsi="Arial" w:cs="Arial"/>
          <w:color w:val="000000"/>
          <w:sz w:val="24"/>
          <w:szCs w:val="24"/>
        </w:rPr>
      </w:pPr>
    </w:p>
    <w:p w14:paraId="26485569" w14:textId="212DCF42" w:rsidR="00B66B2F" w:rsidRDefault="00B66B2F" w:rsidP="00CC13BD">
      <w:pPr>
        <w:autoSpaceDE w:val="0"/>
        <w:autoSpaceDN w:val="0"/>
        <w:adjustRightInd w:val="0"/>
        <w:spacing w:after="0" w:line="240" w:lineRule="auto"/>
        <w:ind w:left="-567"/>
        <w:jc w:val="both"/>
        <w:rPr>
          <w:rFonts w:ascii="Arial" w:hAnsi="Arial" w:cs="Arial"/>
          <w:color w:val="000000"/>
          <w:sz w:val="24"/>
          <w:szCs w:val="24"/>
        </w:rPr>
      </w:pPr>
    </w:p>
    <w:p w14:paraId="7574E4C0" w14:textId="77777777" w:rsidR="00B66B2F" w:rsidRDefault="00B66B2F" w:rsidP="00CC13BD">
      <w:pPr>
        <w:autoSpaceDE w:val="0"/>
        <w:autoSpaceDN w:val="0"/>
        <w:adjustRightInd w:val="0"/>
        <w:spacing w:after="0" w:line="240" w:lineRule="auto"/>
        <w:ind w:left="-567"/>
        <w:jc w:val="both"/>
        <w:rPr>
          <w:rFonts w:ascii="Arial" w:hAnsi="Arial" w:cs="Arial"/>
          <w:color w:val="000000"/>
          <w:sz w:val="24"/>
          <w:szCs w:val="24"/>
        </w:rPr>
      </w:pPr>
    </w:p>
    <w:bookmarkEnd w:id="12"/>
    <w:p w14:paraId="142FDA28" w14:textId="7AEDB0CD" w:rsidR="00033535" w:rsidRDefault="00033535" w:rsidP="00033535">
      <w:pPr>
        <w:spacing w:after="0"/>
        <w:ind w:left="-567"/>
        <w:jc w:val="center"/>
        <w:rPr>
          <w:rFonts w:ascii="Arial" w:hAnsi="Arial" w:cs="Arial"/>
          <w:color w:val="000000"/>
          <w:sz w:val="24"/>
          <w:szCs w:val="24"/>
        </w:rPr>
      </w:pPr>
      <w:r>
        <w:rPr>
          <w:rFonts w:ascii="Arial" w:hAnsi="Arial" w:cs="Arial"/>
          <w:b/>
          <w:bCs/>
          <w:i/>
          <w:iCs/>
          <w:color w:val="87AD8A"/>
          <w:sz w:val="18"/>
          <w:szCs w:val="24"/>
        </w:rPr>
        <w:t>Gráfica 2</w:t>
      </w:r>
      <w:r w:rsidR="00643797">
        <w:rPr>
          <w:rFonts w:ascii="Arial" w:hAnsi="Arial" w:cs="Arial"/>
          <w:b/>
          <w:bCs/>
          <w:i/>
          <w:iCs/>
          <w:color w:val="87AD8A"/>
          <w:sz w:val="18"/>
          <w:szCs w:val="24"/>
        </w:rPr>
        <w:t>7</w:t>
      </w:r>
      <w:r w:rsidRPr="00611289">
        <w:rPr>
          <w:rFonts w:ascii="Arial" w:hAnsi="Arial" w:cs="Arial"/>
          <w:b/>
          <w:bCs/>
          <w:i/>
          <w:iCs/>
          <w:color w:val="87AD8A"/>
          <w:sz w:val="18"/>
          <w:szCs w:val="24"/>
        </w:rPr>
        <w:t>.</w:t>
      </w:r>
      <w:r>
        <w:rPr>
          <w:rFonts w:ascii="Arial" w:hAnsi="Arial" w:cs="Arial"/>
          <w:b/>
          <w:bCs/>
          <w:i/>
          <w:iCs/>
          <w:color w:val="87AD8A"/>
          <w:sz w:val="18"/>
          <w:szCs w:val="24"/>
        </w:rPr>
        <w:t xml:space="preserve"> </w:t>
      </w:r>
      <w:r w:rsidR="00936B74">
        <w:rPr>
          <w:rFonts w:ascii="Arial" w:hAnsi="Arial" w:cs="Arial"/>
          <w:b/>
          <w:bCs/>
          <w:i/>
          <w:iCs/>
          <w:color w:val="87AD8A"/>
          <w:sz w:val="18"/>
          <w:szCs w:val="24"/>
        </w:rPr>
        <w:t>Personas q</w:t>
      </w:r>
      <w:r w:rsidRPr="00033535">
        <w:rPr>
          <w:rFonts w:ascii="Arial" w:hAnsi="Arial" w:cs="Arial"/>
          <w:b/>
          <w:bCs/>
          <w:i/>
          <w:iCs/>
          <w:color w:val="87AD8A"/>
          <w:sz w:val="18"/>
          <w:szCs w:val="24"/>
        </w:rPr>
        <w:t>uejos</w:t>
      </w:r>
      <w:r w:rsidR="00936B74">
        <w:rPr>
          <w:rFonts w:ascii="Arial" w:hAnsi="Arial" w:cs="Arial"/>
          <w:b/>
          <w:bCs/>
          <w:i/>
          <w:iCs/>
          <w:color w:val="87AD8A"/>
          <w:sz w:val="18"/>
          <w:szCs w:val="24"/>
        </w:rPr>
        <w:t>a</w:t>
      </w:r>
      <w:r w:rsidRPr="00033535">
        <w:rPr>
          <w:rFonts w:ascii="Arial" w:hAnsi="Arial" w:cs="Arial"/>
          <w:b/>
          <w:bCs/>
          <w:i/>
          <w:iCs/>
          <w:color w:val="87AD8A"/>
          <w:sz w:val="18"/>
          <w:szCs w:val="24"/>
        </w:rPr>
        <w:t>s y/o agraviad</w:t>
      </w:r>
      <w:r w:rsidR="00936B74">
        <w:rPr>
          <w:rFonts w:ascii="Arial" w:hAnsi="Arial" w:cs="Arial"/>
          <w:b/>
          <w:bCs/>
          <w:i/>
          <w:iCs/>
          <w:color w:val="87AD8A"/>
          <w:sz w:val="18"/>
          <w:szCs w:val="24"/>
        </w:rPr>
        <w:t>a</w:t>
      </w:r>
      <w:r w:rsidRPr="00033535">
        <w:rPr>
          <w:rFonts w:ascii="Arial" w:hAnsi="Arial" w:cs="Arial"/>
          <w:b/>
          <w:bCs/>
          <w:i/>
          <w:iCs/>
          <w:color w:val="87AD8A"/>
          <w:sz w:val="18"/>
          <w:szCs w:val="24"/>
        </w:rPr>
        <w:t>s registrad</w:t>
      </w:r>
      <w:r w:rsidR="00936B74">
        <w:rPr>
          <w:rFonts w:ascii="Arial" w:hAnsi="Arial" w:cs="Arial"/>
          <w:b/>
          <w:bCs/>
          <w:i/>
          <w:iCs/>
          <w:color w:val="87AD8A"/>
          <w:sz w:val="18"/>
          <w:szCs w:val="24"/>
        </w:rPr>
        <w:t>a</w:t>
      </w:r>
      <w:r w:rsidRPr="00033535">
        <w:rPr>
          <w:rFonts w:ascii="Arial" w:hAnsi="Arial" w:cs="Arial"/>
          <w:b/>
          <w:bCs/>
          <w:i/>
          <w:iCs/>
          <w:color w:val="87AD8A"/>
          <w:sz w:val="18"/>
          <w:szCs w:val="24"/>
        </w:rPr>
        <w:t>s en los expedientes de queja calificados como presuntamente violatorios de derechos humanos en la CNDH y los OPDH, según tipo, 2019</w:t>
      </w:r>
      <w:r>
        <w:rPr>
          <w:rFonts w:ascii="Arial" w:hAnsi="Arial" w:cs="Arial"/>
          <w:b/>
          <w:bCs/>
          <w:i/>
          <w:iCs/>
          <w:color w:val="87AD8A"/>
          <w:sz w:val="18"/>
          <w:szCs w:val="24"/>
        </w:rPr>
        <w:t xml:space="preserve"> a 2020</w:t>
      </w:r>
    </w:p>
    <w:p w14:paraId="47F69D15" w14:textId="5AF50578" w:rsidR="00254301" w:rsidRDefault="00254301" w:rsidP="00CC13BD">
      <w:pPr>
        <w:autoSpaceDE w:val="0"/>
        <w:autoSpaceDN w:val="0"/>
        <w:adjustRightInd w:val="0"/>
        <w:spacing w:after="0" w:line="240" w:lineRule="auto"/>
        <w:ind w:left="-567"/>
        <w:jc w:val="both"/>
        <w:rPr>
          <w:rFonts w:ascii="Arial" w:hAnsi="Arial" w:cs="Arial"/>
          <w:color w:val="000000"/>
          <w:sz w:val="24"/>
          <w:szCs w:val="24"/>
        </w:rPr>
      </w:pPr>
    </w:p>
    <w:p w14:paraId="04DFBA71" w14:textId="690E23B4" w:rsidR="00254301" w:rsidRDefault="00254301" w:rsidP="00CC13BD">
      <w:pPr>
        <w:autoSpaceDE w:val="0"/>
        <w:autoSpaceDN w:val="0"/>
        <w:adjustRightInd w:val="0"/>
        <w:spacing w:after="0" w:line="240" w:lineRule="auto"/>
        <w:ind w:left="-567"/>
        <w:jc w:val="both"/>
        <w:rPr>
          <w:rFonts w:ascii="Arial" w:hAnsi="Arial" w:cs="Arial"/>
          <w:color w:val="000000"/>
          <w:sz w:val="24"/>
          <w:szCs w:val="24"/>
        </w:rPr>
      </w:pPr>
      <w:r w:rsidRPr="00254301">
        <w:rPr>
          <w:rFonts w:ascii="Arial" w:hAnsi="Arial" w:cs="Arial"/>
          <w:noProof/>
          <w:color w:val="000000"/>
          <w:sz w:val="24"/>
          <w:szCs w:val="24"/>
        </w:rPr>
        <w:drawing>
          <wp:inline distT="0" distB="0" distL="0" distR="0" wp14:anchorId="5E7CAE6B" wp14:editId="4116F387">
            <wp:extent cx="6249725" cy="2107095"/>
            <wp:effectExtent l="0" t="0" r="0" b="7620"/>
            <wp:docPr id="41" name="Gráfico 41">
              <a:extLst xmlns:a="http://schemas.openxmlformats.org/drawingml/2006/main">
                <a:ext uri="{FF2B5EF4-FFF2-40B4-BE49-F238E27FC236}">
                  <a16:creationId xmlns:a16="http://schemas.microsoft.com/office/drawing/2014/main" id="{CDD6B634-DB3A-440F-95F7-7CD4F6449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DA2123B" w14:textId="6638046A" w:rsidR="00D04C38" w:rsidRDefault="00D04C38" w:rsidP="00CC13BD">
      <w:pPr>
        <w:autoSpaceDE w:val="0"/>
        <w:autoSpaceDN w:val="0"/>
        <w:adjustRightInd w:val="0"/>
        <w:spacing w:after="0" w:line="240" w:lineRule="auto"/>
        <w:ind w:left="-567"/>
        <w:jc w:val="both"/>
        <w:rPr>
          <w:rFonts w:ascii="Arial" w:hAnsi="Arial" w:cs="Arial"/>
          <w:color w:val="000000"/>
          <w:sz w:val="24"/>
          <w:szCs w:val="24"/>
        </w:rPr>
      </w:pPr>
    </w:p>
    <w:p w14:paraId="0E0E4987" w14:textId="77777777" w:rsidR="00936B74" w:rsidRDefault="00936B74" w:rsidP="00CC13BD">
      <w:pPr>
        <w:autoSpaceDE w:val="0"/>
        <w:autoSpaceDN w:val="0"/>
        <w:adjustRightInd w:val="0"/>
        <w:spacing w:after="0" w:line="240" w:lineRule="auto"/>
        <w:ind w:left="-567"/>
        <w:jc w:val="both"/>
        <w:rPr>
          <w:rFonts w:ascii="Arial" w:hAnsi="Arial" w:cs="Arial"/>
          <w:color w:val="000000"/>
          <w:sz w:val="24"/>
          <w:szCs w:val="24"/>
        </w:rPr>
      </w:pPr>
    </w:p>
    <w:p w14:paraId="4C988E94" w14:textId="6C914C58" w:rsidR="00343559" w:rsidRPr="00B75335" w:rsidRDefault="00B75335" w:rsidP="00B75335">
      <w:pPr>
        <w:spacing w:after="0"/>
        <w:ind w:left="-567"/>
        <w:rPr>
          <w:rFonts w:ascii="Arial" w:hAnsi="Arial" w:cs="Arial"/>
          <w:b/>
          <w:bCs/>
          <w:iCs/>
          <w:noProof/>
          <w:sz w:val="24"/>
          <w:szCs w:val="24"/>
          <w:lang w:eastAsia="es-MX"/>
        </w:rPr>
      </w:pPr>
      <w:r w:rsidRPr="00B75335">
        <w:rPr>
          <w:rFonts w:ascii="Arial" w:hAnsi="Arial" w:cs="Arial"/>
          <w:b/>
          <w:bCs/>
          <w:iCs/>
          <w:noProof/>
          <w:sz w:val="24"/>
          <w:szCs w:val="24"/>
          <w:lang w:eastAsia="es-MX"/>
        </w:rPr>
        <w:t>Instituciones señaladas como probables responsables</w:t>
      </w:r>
    </w:p>
    <w:p w14:paraId="07A10801" w14:textId="77777777" w:rsidR="00B75335" w:rsidRDefault="00B75335" w:rsidP="00CC13BD">
      <w:pPr>
        <w:autoSpaceDE w:val="0"/>
        <w:autoSpaceDN w:val="0"/>
        <w:adjustRightInd w:val="0"/>
        <w:spacing w:after="0" w:line="240" w:lineRule="auto"/>
        <w:ind w:left="-567"/>
        <w:jc w:val="both"/>
        <w:rPr>
          <w:rFonts w:ascii="Arial" w:hAnsi="Arial" w:cs="Arial"/>
          <w:color w:val="000000"/>
          <w:sz w:val="24"/>
          <w:szCs w:val="24"/>
        </w:rPr>
      </w:pPr>
    </w:p>
    <w:p w14:paraId="7952C048" w14:textId="4D11D53F" w:rsidR="00183D31" w:rsidRPr="00B76550" w:rsidRDefault="00343559" w:rsidP="00CC13BD">
      <w:pPr>
        <w:autoSpaceDE w:val="0"/>
        <w:autoSpaceDN w:val="0"/>
        <w:adjustRightInd w:val="0"/>
        <w:spacing w:after="0" w:line="240" w:lineRule="auto"/>
        <w:ind w:left="-567"/>
        <w:jc w:val="both"/>
        <w:rPr>
          <w:rFonts w:ascii="Arial" w:hAnsi="Arial" w:cs="Arial"/>
          <w:color w:val="000000"/>
          <w:sz w:val="24"/>
          <w:szCs w:val="24"/>
        </w:rPr>
      </w:pPr>
      <w:bookmarkStart w:id="13" w:name="_Hlk89279816"/>
      <w:r w:rsidRPr="00B76550">
        <w:rPr>
          <w:rFonts w:ascii="Arial" w:hAnsi="Arial" w:cs="Arial"/>
          <w:color w:val="000000"/>
          <w:sz w:val="24"/>
          <w:szCs w:val="24"/>
        </w:rPr>
        <w:t>En cuanto a las instituciones señaladas como probables responsables registradas en los expedientes de queja calificados como presuntamente violatorios de derechos humanos por la CNDH, en 25.</w:t>
      </w:r>
      <w:r w:rsidR="00B76550" w:rsidRPr="00B76550">
        <w:rPr>
          <w:rFonts w:ascii="Arial" w:hAnsi="Arial" w:cs="Arial"/>
          <w:color w:val="000000"/>
          <w:sz w:val="24"/>
          <w:szCs w:val="24"/>
        </w:rPr>
        <w:t>8</w:t>
      </w:r>
      <w:r w:rsidRPr="00B76550">
        <w:rPr>
          <w:rFonts w:ascii="Arial" w:hAnsi="Arial" w:cs="Arial"/>
          <w:color w:val="000000"/>
          <w:sz w:val="24"/>
          <w:szCs w:val="24"/>
        </w:rPr>
        <w:t xml:space="preserve">% de los expedientes se señaló al Instituto Mexicano del Seguro Social; por lo que respecta a los OPDH, en </w:t>
      </w:r>
      <w:r w:rsidR="00B76550" w:rsidRPr="00B76550">
        <w:rPr>
          <w:rFonts w:ascii="Arial" w:hAnsi="Arial" w:cs="Arial"/>
          <w:color w:val="000000"/>
          <w:sz w:val="24"/>
          <w:szCs w:val="24"/>
        </w:rPr>
        <w:t>29.3</w:t>
      </w:r>
      <w:r w:rsidRPr="00B76550">
        <w:rPr>
          <w:rFonts w:ascii="Arial" w:hAnsi="Arial" w:cs="Arial"/>
          <w:color w:val="000000"/>
          <w:sz w:val="24"/>
          <w:szCs w:val="24"/>
        </w:rPr>
        <w:t xml:space="preserve">% de los expedientes la institución señalada fue </w:t>
      </w:r>
      <w:r w:rsidR="00A26577">
        <w:rPr>
          <w:rFonts w:ascii="Arial" w:hAnsi="Arial" w:cs="Arial"/>
          <w:color w:val="000000"/>
          <w:sz w:val="24"/>
          <w:szCs w:val="24"/>
        </w:rPr>
        <w:t>p</w:t>
      </w:r>
      <w:r w:rsidR="00B76550" w:rsidRPr="00B76550">
        <w:rPr>
          <w:rFonts w:ascii="Arial" w:hAnsi="Arial" w:cs="Arial"/>
          <w:color w:val="000000"/>
          <w:sz w:val="24"/>
          <w:szCs w:val="24"/>
        </w:rPr>
        <w:t>residente(a) municipal o alcalde(</w:t>
      </w:r>
      <w:proofErr w:type="spellStart"/>
      <w:r w:rsidR="00B76550" w:rsidRPr="00B76550">
        <w:rPr>
          <w:rFonts w:ascii="Arial" w:hAnsi="Arial" w:cs="Arial"/>
          <w:color w:val="000000"/>
          <w:sz w:val="24"/>
          <w:szCs w:val="24"/>
        </w:rPr>
        <w:t>sa</w:t>
      </w:r>
      <w:proofErr w:type="spellEnd"/>
      <w:r w:rsidR="00B76550" w:rsidRPr="00B76550">
        <w:rPr>
          <w:rFonts w:ascii="Arial" w:hAnsi="Arial" w:cs="Arial"/>
          <w:color w:val="000000"/>
          <w:sz w:val="24"/>
          <w:szCs w:val="24"/>
        </w:rPr>
        <w:t>)</w:t>
      </w:r>
      <w:r w:rsidR="00B76550">
        <w:rPr>
          <w:rFonts w:ascii="Arial" w:hAnsi="Arial" w:cs="Arial"/>
          <w:color w:val="000000"/>
          <w:sz w:val="24"/>
          <w:szCs w:val="24"/>
        </w:rPr>
        <w:t>.</w:t>
      </w:r>
    </w:p>
    <w:bookmarkEnd w:id="13"/>
    <w:p w14:paraId="6CC521CC" w14:textId="77777777" w:rsidR="004A1C18" w:rsidRDefault="004A1C18" w:rsidP="00CC13BD">
      <w:pPr>
        <w:autoSpaceDE w:val="0"/>
        <w:autoSpaceDN w:val="0"/>
        <w:adjustRightInd w:val="0"/>
        <w:spacing w:after="0" w:line="240" w:lineRule="auto"/>
        <w:ind w:left="-567"/>
        <w:jc w:val="both"/>
        <w:rPr>
          <w:rFonts w:ascii="Arial" w:hAnsi="Arial" w:cs="Arial"/>
          <w:color w:val="000000"/>
          <w:sz w:val="24"/>
          <w:szCs w:val="24"/>
          <w:highlight w:val="yellow"/>
        </w:rPr>
      </w:pPr>
    </w:p>
    <w:p w14:paraId="465DDEED" w14:textId="282756F4" w:rsidR="00B75335" w:rsidRDefault="004A1C18" w:rsidP="0040055B">
      <w:pPr>
        <w:spacing w:after="0"/>
        <w:ind w:left="-567"/>
        <w:jc w:val="center"/>
        <w:rPr>
          <w:rFonts w:ascii="Arial" w:hAnsi="Arial" w:cs="Arial"/>
          <w:b/>
          <w:bCs/>
          <w:i/>
          <w:iCs/>
          <w:color w:val="87AD8A"/>
          <w:sz w:val="18"/>
          <w:szCs w:val="24"/>
        </w:rPr>
      </w:pPr>
      <w:r>
        <w:rPr>
          <w:rFonts w:ascii="Arial" w:hAnsi="Arial" w:cs="Arial"/>
          <w:b/>
          <w:bCs/>
          <w:i/>
          <w:iCs/>
          <w:color w:val="87AD8A"/>
          <w:sz w:val="18"/>
          <w:szCs w:val="24"/>
        </w:rPr>
        <w:t>Gráfica 2</w:t>
      </w:r>
      <w:r w:rsidR="00643797">
        <w:rPr>
          <w:rFonts w:ascii="Arial" w:hAnsi="Arial" w:cs="Arial"/>
          <w:b/>
          <w:bCs/>
          <w:i/>
          <w:iCs/>
          <w:color w:val="87AD8A"/>
          <w:sz w:val="18"/>
          <w:szCs w:val="24"/>
        </w:rPr>
        <w:t>8</w:t>
      </w:r>
      <w:r w:rsidRPr="00611289">
        <w:rPr>
          <w:rFonts w:ascii="Arial" w:hAnsi="Arial" w:cs="Arial"/>
          <w:b/>
          <w:bCs/>
          <w:i/>
          <w:iCs/>
          <w:color w:val="87AD8A"/>
          <w:sz w:val="18"/>
          <w:szCs w:val="24"/>
        </w:rPr>
        <w:t>.</w:t>
      </w:r>
      <w:r>
        <w:rPr>
          <w:rFonts w:ascii="Arial" w:hAnsi="Arial" w:cs="Arial"/>
          <w:b/>
          <w:bCs/>
          <w:i/>
          <w:iCs/>
          <w:color w:val="87AD8A"/>
          <w:sz w:val="18"/>
          <w:szCs w:val="24"/>
        </w:rPr>
        <w:t xml:space="preserve"> </w:t>
      </w:r>
      <w:r w:rsidRPr="004A1C18">
        <w:rPr>
          <w:rFonts w:ascii="Arial" w:hAnsi="Arial" w:cs="Arial"/>
          <w:b/>
          <w:bCs/>
          <w:i/>
          <w:iCs/>
          <w:color w:val="87AD8A"/>
          <w:sz w:val="18"/>
          <w:szCs w:val="24"/>
        </w:rPr>
        <w:t>Principales instituciones señaladas como probables</w:t>
      </w:r>
      <w:r>
        <w:rPr>
          <w:rFonts w:ascii="Arial" w:hAnsi="Arial" w:cs="Arial"/>
          <w:b/>
          <w:bCs/>
          <w:i/>
          <w:iCs/>
          <w:color w:val="87AD8A"/>
          <w:sz w:val="18"/>
          <w:szCs w:val="24"/>
        </w:rPr>
        <w:t xml:space="preserve"> </w:t>
      </w:r>
      <w:r w:rsidRPr="004A1C18">
        <w:rPr>
          <w:rFonts w:ascii="Arial" w:hAnsi="Arial" w:cs="Arial"/>
          <w:b/>
          <w:bCs/>
          <w:i/>
          <w:iCs/>
          <w:color w:val="87AD8A"/>
          <w:sz w:val="18"/>
          <w:szCs w:val="24"/>
        </w:rPr>
        <w:t>responsables registradas en expedientes de queja calificados</w:t>
      </w:r>
      <w:r>
        <w:rPr>
          <w:rFonts w:ascii="Arial" w:hAnsi="Arial" w:cs="Arial"/>
          <w:b/>
          <w:bCs/>
          <w:i/>
          <w:iCs/>
          <w:color w:val="87AD8A"/>
          <w:sz w:val="18"/>
          <w:szCs w:val="24"/>
        </w:rPr>
        <w:t xml:space="preserve"> </w:t>
      </w:r>
      <w:r w:rsidRPr="004A1C18">
        <w:rPr>
          <w:rFonts w:ascii="Arial" w:hAnsi="Arial" w:cs="Arial"/>
          <w:b/>
          <w:bCs/>
          <w:i/>
          <w:iCs/>
          <w:color w:val="87AD8A"/>
          <w:sz w:val="18"/>
          <w:szCs w:val="24"/>
        </w:rPr>
        <w:t>en la CNDH, según cantidad de expedientes, 2019</w:t>
      </w:r>
      <w:r>
        <w:rPr>
          <w:rFonts w:ascii="Arial" w:hAnsi="Arial" w:cs="Arial"/>
          <w:b/>
          <w:bCs/>
          <w:i/>
          <w:iCs/>
          <w:color w:val="87AD8A"/>
          <w:sz w:val="18"/>
          <w:szCs w:val="24"/>
        </w:rPr>
        <w:t xml:space="preserve"> a 2020</w:t>
      </w:r>
    </w:p>
    <w:p w14:paraId="083F93F4" w14:textId="77777777" w:rsidR="00AA4BF9" w:rsidRDefault="00AA4BF9" w:rsidP="0040055B">
      <w:pPr>
        <w:spacing w:after="0"/>
        <w:ind w:left="-567"/>
        <w:jc w:val="center"/>
        <w:rPr>
          <w:rFonts w:ascii="Arial" w:hAnsi="Arial" w:cs="Arial"/>
          <w:color w:val="000000"/>
          <w:sz w:val="24"/>
          <w:szCs w:val="24"/>
        </w:rPr>
      </w:pPr>
    </w:p>
    <w:p w14:paraId="590735E6" w14:textId="59B476FB" w:rsidR="00B75335" w:rsidRDefault="00AA4BF9" w:rsidP="004A1C18">
      <w:pPr>
        <w:autoSpaceDE w:val="0"/>
        <w:autoSpaceDN w:val="0"/>
        <w:adjustRightInd w:val="0"/>
        <w:spacing w:after="0" w:line="240" w:lineRule="auto"/>
        <w:ind w:left="-567"/>
        <w:jc w:val="center"/>
        <w:rPr>
          <w:rFonts w:ascii="Arial" w:hAnsi="Arial" w:cs="Arial"/>
          <w:color w:val="000000"/>
          <w:sz w:val="24"/>
          <w:szCs w:val="24"/>
        </w:rPr>
      </w:pPr>
      <w:r w:rsidRPr="00AA4BF9">
        <w:rPr>
          <w:rFonts w:ascii="Arial" w:hAnsi="Arial" w:cs="Arial"/>
          <w:noProof/>
          <w:color w:val="000000"/>
          <w:sz w:val="24"/>
          <w:szCs w:val="24"/>
        </w:rPr>
        <w:drawing>
          <wp:inline distT="0" distB="0" distL="0" distR="0" wp14:anchorId="7B456B7F" wp14:editId="71A94033">
            <wp:extent cx="4959705" cy="2626157"/>
            <wp:effectExtent l="0" t="0" r="0" b="3175"/>
            <wp:docPr id="14" name="Gráfico 14">
              <a:extLst xmlns:a="http://schemas.openxmlformats.org/drawingml/2006/main">
                <a:ext uri="{FF2B5EF4-FFF2-40B4-BE49-F238E27FC236}">
                  <a16:creationId xmlns:a16="http://schemas.microsoft.com/office/drawing/2014/main" id="{876A9699-BF08-408F-998B-64263A113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F6FF7CE" w14:textId="77777777" w:rsidR="00B66B2F" w:rsidRDefault="00B66B2F" w:rsidP="004A1C18">
      <w:pPr>
        <w:spacing w:after="0"/>
        <w:ind w:left="-567"/>
        <w:jc w:val="center"/>
        <w:rPr>
          <w:rFonts w:ascii="Arial" w:hAnsi="Arial" w:cs="Arial"/>
          <w:b/>
          <w:bCs/>
          <w:i/>
          <w:iCs/>
          <w:color w:val="87AD8A"/>
          <w:sz w:val="18"/>
          <w:szCs w:val="24"/>
        </w:rPr>
      </w:pPr>
    </w:p>
    <w:p w14:paraId="6F115B4E" w14:textId="77777777" w:rsidR="00B66B2F" w:rsidRDefault="00B66B2F" w:rsidP="004A1C18">
      <w:pPr>
        <w:spacing w:after="0"/>
        <w:ind w:left="-567"/>
        <w:jc w:val="center"/>
        <w:rPr>
          <w:rFonts w:ascii="Arial" w:hAnsi="Arial" w:cs="Arial"/>
          <w:b/>
          <w:bCs/>
          <w:i/>
          <w:iCs/>
          <w:color w:val="87AD8A"/>
          <w:sz w:val="18"/>
          <w:szCs w:val="24"/>
        </w:rPr>
      </w:pPr>
    </w:p>
    <w:p w14:paraId="04A49E81" w14:textId="77777777" w:rsidR="00B66B2F" w:rsidRDefault="00B66B2F" w:rsidP="004A1C18">
      <w:pPr>
        <w:spacing w:after="0"/>
        <w:ind w:left="-567"/>
        <w:jc w:val="center"/>
        <w:rPr>
          <w:rFonts w:ascii="Arial" w:hAnsi="Arial" w:cs="Arial"/>
          <w:b/>
          <w:bCs/>
          <w:i/>
          <w:iCs/>
          <w:color w:val="87AD8A"/>
          <w:sz w:val="18"/>
          <w:szCs w:val="24"/>
        </w:rPr>
      </w:pPr>
    </w:p>
    <w:p w14:paraId="4828E1E3" w14:textId="77777777" w:rsidR="00B66B2F" w:rsidRDefault="00B66B2F" w:rsidP="004A1C18">
      <w:pPr>
        <w:spacing w:after="0"/>
        <w:ind w:left="-567"/>
        <w:jc w:val="center"/>
        <w:rPr>
          <w:rFonts w:ascii="Arial" w:hAnsi="Arial" w:cs="Arial"/>
          <w:b/>
          <w:bCs/>
          <w:i/>
          <w:iCs/>
          <w:color w:val="87AD8A"/>
          <w:sz w:val="18"/>
          <w:szCs w:val="24"/>
        </w:rPr>
      </w:pPr>
    </w:p>
    <w:p w14:paraId="09C54795" w14:textId="77777777" w:rsidR="00B66B2F" w:rsidRDefault="00B66B2F" w:rsidP="004A1C18">
      <w:pPr>
        <w:spacing w:after="0"/>
        <w:ind w:left="-567"/>
        <w:jc w:val="center"/>
        <w:rPr>
          <w:rFonts w:ascii="Arial" w:hAnsi="Arial" w:cs="Arial"/>
          <w:b/>
          <w:bCs/>
          <w:i/>
          <w:iCs/>
          <w:color w:val="87AD8A"/>
          <w:sz w:val="18"/>
          <w:szCs w:val="24"/>
        </w:rPr>
      </w:pPr>
    </w:p>
    <w:p w14:paraId="20C21C4C" w14:textId="10362F67" w:rsidR="004A1C18" w:rsidRDefault="004A1C18" w:rsidP="004A1C18">
      <w:pPr>
        <w:spacing w:after="0"/>
        <w:ind w:left="-567"/>
        <w:jc w:val="center"/>
        <w:rPr>
          <w:rFonts w:ascii="Arial" w:hAnsi="Arial" w:cs="Arial"/>
          <w:b/>
          <w:bCs/>
          <w:i/>
          <w:iCs/>
          <w:color w:val="87AD8A"/>
          <w:sz w:val="18"/>
          <w:szCs w:val="24"/>
        </w:rPr>
      </w:pPr>
      <w:r>
        <w:rPr>
          <w:rFonts w:ascii="Arial" w:hAnsi="Arial" w:cs="Arial"/>
          <w:b/>
          <w:bCs/>
          <w:i/>
          <w:iCs/>
          <w:color w:val="87AD8A"/>
          <w:sz w:val="18"/>
          <w:szCs w:val="24"/>
        </w:rPr>
        <w:t xml:space="preserve">Gráfica </w:t>
      </w:r>
      <w:r w:rsidR="00643797">
        <w:rPr>
          <w:rFonts w:ascii="Arial" w:hAnsi="Arial" w:cs="Arial"/>
          <w:b/>
          <w:bCs/>
          <w:i/>
          <w:iCs/>
          <w:color w:val="87AD8A"/>
          <w:sz w:val="18"/>
          <w:szCs w:val="24"/>
        </w:rPr>
        <w:t>29</w:t>
      </w:r>
      <w:r w:rsidRPr="00611289">
        <w:rPr>
          <w:rFonts w:ascii="Arial" w:hAnsi="Arial" w:cs="Arial"/>
          <w:b/>
          <w:bCs/>
          <w:i/>
          <w:iCs/>
          <w:color w:val="87AD8A"/>
          <w:sz w:val="18"/>
          <w:szCs w:val="24"/>
        </w:rPr>
        <w:t>.</w:t>
      </w:r>
      <w:r>
        <w:rPr>
          <w:rFonts w:ascii="Arial" w:hAnsi="Arial" w:cs="Arial"/>
          <w:b/>
          <w:bCs/>
          <w:i/>
          <w:iCs/>
          <w:color w:val="87AD8A"/>
          <w:sz w:val="18"/>
          <w:szCs w:val="24"/>
        </w:rPr>
        <w:t xml:space="preserve"> </w:t>
      </w:r>
      <w:r w:rsidRPr="004A1C18">
        <w:rPr>
          <w:rFonts w:ascii="Arial" w:hAnsi="Arial" w:cs="Arial"/>
          <w:b/>
          <w:bCs/>
          <w:i/>
          <w:iCs/>
          <w:color w:val="87AD8A"/>
          <w:sz w:val="18"/>
          <w:szCs w:val="24"/>
        </w:rPr>
        <w:t>Principales instituciones señaladas como probables responsables registradas en expedientes de queja calificados por los OPDH, según cantidad de expedientes, 2019</w:t>
      </w:r>
      <w:r w:rsidR="0040055B">
        <w:rPr>
          <w:rFonts w:ascii="Arial" w:hAnsi="Arial" w:cs="Arial"/>
          <w:b/>
          <w:bCs/>
          <w:i/>
          <w:iCs/>
          <w:color w:val="87AD8A"/>
          <w:sz w:val="18"/>
          <w:szCs w:val="24"/>
        </w:rPr>
        <w:t xml:space="preserve"> a 2020</w:t>
      </w:r>
    </w:p>
    <w:p w14:paraId="44613AA4" w14:textId="3C1E3EA2" w:rsidR="0040055B" w:rsidRDefault="0040055B" w:rsidP="004A1C18">
      <w:pPr>
        <w:spacing w:after="0"/>
        <w:ind w:left="-567"/>
        <w:jc w:val="center"/>
        <w:rPr>
          <w:rFonts w:ascii="Arial" w:hAnsi="Arial" w:cs="Arial"/>
          <w:color w:val="000000"/>
          <w:sz w:val="24"/>
          <w:szCs w:val="24"/>
        </w:rPr>
      </w:pPr>
      <w:r w:rsidRPr="0040055B">
        <w:rPr>
          <w:rFonts w:ascii="Arial" w:hAnsi="Arial" w:cs="Arial"/>
          <w:noProof/>
          <w:color w:val="000000"/>
          <w:sz w:val="24"/>
          <w:szCs w:val="24"/>
        </w:rPr>
        <w:drawing>
          <wp:inline distT="0" distB="0" distL="0" distR="0" wp14:anchorId="5C92B683" wp14:editId="3AE8EDF7">
            <wp:extent cx="4372610" cy="2767054"/>
            <wp:effectExtent l="0" t="0" r="8890" b="0"/>
            <wp:docPr id="45" name="Gráfico 45">
              <a:extLst xmlns:a="http://schemas.openxmlformats.org/drawingml/2006/main">
                <a:ext uri="{FF2B5EF4-FFF2-40B4-BE49-F238E27FC236}">
                  <a16:creationId xmlns:a16="http://schemas.microsoft.com/office/drawing/2014/main" id="{B55879F5-F913-4797-8CB6-FFE22DB7E5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ADF4592" w14:textId="61606763" w:rsidR="0040055B" w:rsidRDefault="0040055B" w:rsidP="0040055B">
      <w:pPr>
        <w:spacing w:after="0"/>
        <w:jc w:val="center"/>
        <w:rPr>
          <w:rFonts w:ascii="Arial" w:eastAsia="Times New Roman" w:hAnsi="Arial" w:cs="Arial"/>
          <w:color w:val="000000"/>
          <w:sz w:val="16"/>
          <w:szCs w:val="16"/>
          <w:lang w:eastAsia="es-MX"/>
        </w:rPr>
      </w:pPr>
      <w:r w:rsidRPr="0040055B">
        <w:rPr>
          <w:rFonts w:ascii="Arial" w:hAnsi="Arial" w:cs="Arial"/>
          <w:color w:val="000000"/>
          <w:sz w:val="16"/>
          <w:szCs w:val="16"/>
        </w:rPr>
        <w:t>*</w:t>
      </w:r>
      <w:r w:rsidRPr="0040055B">
        <w:rPr>
          <w:rFonts w:ascii="Arial" w:eastAsia="Times New Roman" w:hAnsi="Arial" w:cs="Arial"/>
          <w:color w:val="000000"/>
          <w:sz w:val="16"/>
          <w:szCs w:val="16"/>
          <w:lang w:eastAsia="es-MX"/>
        </w:rPr>
        <w:t xml:space="preserve">Procuraduría General de Justicia o Fiscalía General (sin incluir, en su caso, a la unidad </w:t>
      </w:r>
      <w:proofErr w:type="spellStart"/>
      <w:r w:rsidRPr="0040055B">
        <w:rPr>
          <w:rFonts w:ascii="Arial" w:eastAsia="Times New Roman" w:hAnsi="Arial" w:cs="Arial"/>
          <w:color w:val="000000"/>
          <w:sz w:val="16"/>
          <w:szCs w:val="16"/>
          <w:lang w:eastAsia="es-MX"/>
        </w:rPr>
        <w:t>u</w:t>
      </w:r>
      <w:proofErr w:type="spellEnd"/>
      <w:r w:rsidRPr="0040055B">
        <w:rPr>
          <w:rFonts w:ascii="Arial" w:eastAsia="Times New Roman" w:hAnsi="Arial" w:cs="Arial"/>
          <w:color w:val="000000"/>
          <w:sz w:val="16"/>
          <w:szCs w:val="16"/>
          <w:lang w:eastAsia="es-MX"/>
        </w:rPr>
        <w:t xml:space="preserve"> homóloga encargada de la seguridad pública y/o al Centro de Justicia para las Mujeres)</w:t>
      </w:r>
      <w:r>
        <w:rPr>
          <w:rFonts w:ascii="Arial" w:eastAsia="Times New Roman" w:hAnsi="Arial" w:cs="Arial"/>
          <w:color w:val="000000"/>
          <w:sz w:val="16"/>
          <w:szCs w:val="16"/>
          <w:lang w:eastAsia="es-MX"/>
        </w:rPr>
        <w:t>.</w:t>
      </w:r>
    </w:p>
    <w:p w14:paraId="642DE2AB" w14:textId="77777777" w:rsidR="00E74349" w:rsidRDefault="0040055B" w:rsidP="00E74349">
      <w:pPr>
        <w:spacing w:after="0"/>
        <w:jc w:val="center"/>
        <w:rPr>
          <w:rFonts w:ascii="Arial" w:eastAsia="Times New Roman" w:hAnsi="Arial" w:cs="Arial"/>
          <w:color w:val="000000"/>
          <w:sz w:val="16"/>
          <w:szCs w:val="16"/>
          <w:lang w:eastAsia="es-MX"/>
        </w:rPr>
      </w:pPr>
      <w:r w:rsidRPr="0040055B">
        <w:rPr>
          <w:rFonts w:ascii="Arial" w:eastAsia="Times New Roman" w:hAnsi="Arial" w:cs="Arial"/>
          <w:color w:val="000000"/>
          <w:sz w:val="16"/>
          <w:szCs w:val="16"/>
          <w:lang w:eastAsia="es-MX"/>
        </w:rPr>
        <w:t xml:space="preserve">**Institución encargada de la función de seguridad pública (sin incluir, en su caso, a la unidad </w:t>
      </w:r>
      <w:proofErr w:type="spellStart"/>
      <w:r w:rsidRPr="0040055B">
        <w:rPr>
          <w:rFonts w:ascii="Arial" w:eastAsia="Times New Roman" w:hAnsi="Arial" w:cs="Arial"/>
          <w:color w:val="000000"/>
          <w:sz w:val="16"/>
          <w:szCs w:val="16"/>
          <w:lang w:eastAsia="es-MX"/>
        </w:rPr>
        <w:t>u</w:t>
      </w:r>
      <w:proofErr w:type="spellEnd"/>
      <w:r w:rsidRPr="0040055B">
        <w:rPr>
          <w:rFonts w:ascii="Arial" w:eastAsia="Times New Roman" w:hAnsi="Arial" w:cs="Arial"/>
          <w:color w:val="000000"/>
          <w:sz w:val="16"/>
          <w:szCs w:val="16"/>
          <w:lang w:eastAsia="es-MX"/>
        </w:rPr>
        <w:t xml:space="preserve"> homóloga encargada de las funciones penitenciarias)</w:t>
      </w:r>
      <w:r>
        <w:rPr>
          <w:rFonts w:ascii="Arial" w:eastAsia="Times New Roman" w:hAnsi="Arial" w:cs="Arial"/>
          <w:color w:val="000000"/>
          <w:sz w:val="16"/>
          <w:szCs w:val="16"/>
          <w:lang w:eastAsia="es-MX"/>
        </w:rPr>
        <w:t>.</w:t>
      </w:r>
    </w:p>
    <w:p w14:paraId="647C3303" w14:textId="77777777" w:rsidR="00936B74" w:rsidRDefault="00936B74" w:rsidP="00E74349">
      <w:pPr>
        <w:spacing w:after="0"/>
        <w:ind w:left="-567"/>
        <w:rPr>
          <w:rFonts w:ascii="Arial" w:hAnsi="Arial" w:cs="Arial"/>
          <w:b/>
          <w:bCs/>
          <w:iCs/>
          <w:noProof/>
          <w:sz w:val="24"/>
          <w:szCs w:val="24"/>
          <w:lang w:eastAsia="es-MX"/>
        </w:rPr>
      </w:pPr>
    </w:p>
    <w:p w14:paraId="7C0536F1" w14:textId="55276C8D" w:rsidR="00E74349" w:rsidRDefault="00E74349" w:rsidP="00E74349">
      <w:pPr>
        <w:spacing w:after="0"/>
        <w:ind w:left="-567"/>
        <w:rPr>
          <w:rFonts w:ascii="Arial" w:hAnsi="Arial" w:cs="Arial"/>
          <w:b/>
          <w:bCs/>
          <w:iCs/>
          <w:noProof/>
          <w:sz w:val="24"/>
          <w:szCs w:val="24"/>
          <w:lang w:eastAsia="es-MX"/>
        </w:rPr>
      </w:pPr>
      <w:r w:rsidRPr="00E74349">
        <w:rPr>
          <w:rFonts w:ascii="Arial" w:hAnsi="Arial" w:cs="Arial"/>
          <w:b/>
          <w:bCs/>
          <w:iCs/>
          <w:noProof/>
          <w:sz w:val="24"/>
          <w:szCs w:val="24"/>
          <w:lang w:eastAsia="es-MX"/>
        </w:rPr>
        <w:t>Expedientes concluidos</w:t>
      </w:r>
    </w:p>
    <w:p w14:paraId="7D0D7D3A" w14:textId="77777777" w:rsidR="00E74349" w:rsidRDefault="00E74349" w:rsidP="00E74349">
      <w:pPr>
        <w:autoSpaceDE w:val="0"/>
        <w:autoSpaceDN w:val="0"/>
        <w:adjustRightInd w:val="0"/>
        <w:spacing w:after="0" w:line="240" w:lineRule="auto"/>
        <w:ind w:left="-567"/>
        <w:jc w:val="both"/>
        <w:rPr>
          <w:rFonts w:ascii="Arial" w:hAnsi="Arial" w:cs="Arial"/>
          <w:color w:val="000000"/>
          <w:sz w:val="24"/>
          <w:szCs w:val="24"/>
        </w:rPr>
      </w:pPr>
    </w:p>
    <w:p w14:paraId="7A2B7363" w14:textId="2191F989" w:rsidR="00375924" w:rsidRDefault="00BD4727" w:rsidP="00BD4727">
      <w:pPr>
        <w:spacing w:after="0"/>
        <w:ind w:left="-567"/>
        <w:jc w:val="both"/>
        <w:rPr>
          <w:rFonts w:ascii="Arial" w:hAnsi="Arial" w:cs="Arial"/>
          <w:color w:val="000000"/>
          <w:sz w:val="24"/>
          <w:szCs w:val="24"/>
        </w:rPr>
      </w:pPr>
      <w:bookmarkStart w:id="14" w:name="_Hlk89279879"/>
      <w:r w:rsidRPr="00BD4727">
        <w:rPr>
          <w:rFonts w:ascii="Arial" w:hAnsi="Arial" w:cs="Arial"/>
          <w:color w:val="000000"/>
          <w:sz w:val="24"/>
          <w:szCs w:val="24"/>
        </w:rPr>
        <w:t>Con respecto a los expedientes concluidos durante 20</w:t>
      </w:r>
      <w:r w:rsidR="00375924">
        <w:rPr>
          <w:rFonts w:ascii="Arial" w:hAnsi="Arial" w:cs="Arial"/>
          <w:color w:val="000000"/>
          <w:sz w:val="24"/>
          <w:szCs w:val="24"/>
        </w:rPr>
        <w:t>20</w:t>
      </w:r>
      <w:r w:rsidRPr="00BD4727">
        <w:rPr>
          <w:rFonts w:ascii="Arial" w:hAnsi="Arial" w:cs="Arial"/>
          <w:color w:val="000000"/>
          <w:sz w:val="24"/>
          <w:szCs w:val="24"/>
        </w:rPr>
        <w:t xml:space="preserve">, la CNDH reportó </w:t>
      </w:r>
      <w:r w:rsidR="00375924" w:rsidRPr="00375924">
        <w:rPr>
          <w:rFonts w:ascii="Arial" w:hAnsi="Arial" w:cs="Arial"/>
          <w:color w:val="000000"/>
          <w:sz w:val="24"/>
          <w:szCs w:val="24"/>
        </w:rPr>
        <w:t>10</w:t>
      </w:r>
      <w:r w:rsidR="00375924">
        <w:rPr>
          <w:rFonts w:ascii="Arial" w:hAnsi="Arial" w:cs="Arial"/>
          <w:color w:val="000000"/>
          <w:sz w:val="24"/>
          <w:szCs w:val="24"/>
        </w:rPr>
        <w:t xml:space="preserve"> </w:t>
      </w:r>
      <w:r w:rsidR="00375924" w:rsidRPr="00375924">
        <w:rPr>
          <w:rFonts w:ascii="Arial" w:hAnsi="Arial" w:cs="Arial"/>
          <w:color w:val="000000"/>
          <w:sz w:val="24"/>
          <w:szCs w:val="24"/>
        </w:rPr>
        <w:t>204</w:t>
      </w:r>
      <w:r w:rsidRPr="00BD4727">
        <w:rPr>
          <w:rFonts w:ascii="Arial" w:hAnsi="Arial" w:cs="Arial"/>
          <w:color w:val="000000"/>
          <w:sz w:val="24"/>
          <w:szCs w:val="24"/>
        </w:rPr>
        <w:t>, mismos que se concluyeron totalmente</w:t>
      </w:r>
      <w:r w:rsidR="00375924">
        <w:rPr>
          <w:rFonts w:ascii="Arial" w:hAnsi="Arial" w:cs="Arial"/>
          <w:color w:val="000000"/>
          <w:sz w:val="24"/>
          <w:szCs w:val="24"/>
        </w:rPr>
        <w:t>, en comparación con lo reportado en 2019</w:t>
      </w:r>
      <w:r w:rsidR="00375924">
        <w:rPr>
          <w:rStyle w:val="Refdenotaalpie"/>
          <w:rFonts w:ascii="Arial" w:hAnsi="Arial" w:cs="Arial"/>
          <w:color w:val="000000"/>
          <w:sz w:val="24"/>
          <w:szCs w:val="24"/>
        </w:rPr>
        <w:footnoteReference w:id="21"/>
      </w:r>
      <w:r w:rsidRPr="00BD4727">
        <w:rPr>
          <w:rFonts w:ascii="Arial" w:hAnsi="Arial" w:cs="Arial"/>
          <w:color w:val="000000"/>
          <w:sz w:val="24"/>
          <w:szCs w:val="24"/>
        </w:rPr>
        <w:t xml:space="preserve"> </w:t>
      </w:r>
      <w:r w:rsidR="00375924">
        <w:rPr>
          <w:rFonts w:ascii="Arial" w:hAnsi="Arial" w:cs="Arial"/>
          <w:color w:val="000000"/>
          <w:sz w:val="24"/>
          <w:szCs w:val="24"/>
        </w:rPr>
        <w:t xml:space="preserve">los expedientes concluidos disminuyeron 8.7% en 2020. Por su parte, </w:t>
      </w:r>
      <w:r w:rsidRPr="00BD4727">
        <w:rPr>
          <w:rFonts w:ascii="Arial" w:hAnsi="Arial" w:cs="Arial"/>
          <w:color w:val="000000"/>
          <w:sz w:val="24"/>
          <w:szCs w:val="24"/>
        </w:rPr>
        <w:t xml:space="preserve">los OPDH reportaron </w:t>
      </w:r>
      <w:r w:rsidR="007C6513" w:rsidRPr="007C6513">
        <w:rPr>
          <w:rFonts w:ascii="Arial" w:hAnsi="Arial" w:cs="Arial"/>
          <w:color w:val="000000"/>
          <w:sz w:val="24"/>
          <w:szCs w:val="24"/>
        </w:rPr>
        <w:t>44 686</w:t>
      </w:r>
      <w:r w:rsidRPr="00BD4727">
        <w:rPr>
          <w:rFonts w:ascii="Arial" w:hAnsi="Arial" w:cs="Arial"/>
          <w:color w:val="000000"/>
          <w:sz w:val="24"/>
          <w:szCs w:val="24"/>
        </w:rPr>
        <w:t>, de los cuales</w:t>
      </w:r>
      <w:r w:rsidR="00936B74">
        <w:rPr>
          <w:rFonts w:ascii="Arial" w:hAnsi="Arial" w:cs="Arial"/>
          <w:color w:val="000000"/>
          <w:sz w:val="24"/>
          <w:szCs w:val="24"/>
        </w:rPr>
        <w:t>,</w:t>
      </w:r>
      <w:r w:rsidRPr="00BD4727">
        <w:rPr>
          <w:rFonts w:ascii="Arial" w:hAnsi="Arial" w:cs="Arial"/>
          <w:color w:val="000000"/>
          <w:sz w:val="24"/>
          <w:szCs w:val="24"/>
        </w:rPr>
        <w:t xml:space="preserve"> 99.</w:t>
      </w:r>
      <w:r w:rsidR="00375924">
        <w:rPr>
          <w:rFonts w:ascii="Arial" w:hAnsi="Arial" w:cs="Arial"/>
          <w:color w:val="000000"/>
          <w:sz w:val="24"/>
          <w:szCs w:val="24"/>
        </w:rPr>
        <w:t>8</w:t>
      </w:r>
      <w:r w:rsidRPr="00BD4727">
        <w:rPr>
          <w:rFonts w:ascii="Arial" w:hAnsi="Arial" w:cs="Arial"/>
          <w:color w:val="000000"/>
          <w:sz w:val="24"/>
          <w:szCs w:val="24"/>
        </w:rPr>
        <w:t>% fueron concluidos totalmente y 0.</w:t>
      </w:r>
      <w:r w:rsidR="00375924">
        <w:rPr>
          <w:rFonts w:ascii="Arial" w:hAnsi="Arial" w:cs="Arial"/>
          <w:color w:val="000000"/>
          <w:sz w:val="24"/>
          <w:szCs w:val="24"/>
        </w:rPr>
        <w:t>2</w:t>
      </w:r>
      <w:r w:rsidRPr="00BD4727">
        <w:rPr>
          <w:rFonts w:ascii="Arial" w:hAnsi="Arial" w:cs="Arial"/>
          <w:color w:val="000000"/>
          <w:sz w:val="24"/>
          <w:szCs w:val="24"/>
        </w:rPr>
        <w:t>% parcialmente</w:t>
      </w:r>
      <w:r w:rsidR="00182DEA">
        <w:rPr>
          <w:rFonts w:ascii="Arial" w:hAnsi="Arial" w:cs="Arial"/>
          <w:color w:val="000000"/>
          <w:sz w:val="24"/>
          <w:szCs w:val="24"/>
        </w:rPr>
        <w:t>;</w:t>
      </w:r>
      <w:r w:rsidR="00375924">
        <w:rPr>
          <w:rFonts w:ascii="Arial" w:hAnsi="Arial" w:cs="Arial"/>
          <w:color w:val="000000"/>
          <w:sz w:val="24"/>
          <w:szCs w:val="24"/>
        </w:rPr>
        <w:t xml:space="preserve"> respecto a la cifra registrada en 2019</w:t>
      </w:r>
      <w:r w:rsidR="006E2C82">
        <w:rPr>
          <w:rStyle w:val="Refdenotaalpie"/>
          <w:rFonts w:ascii="Arial" w:hAnsi="Arial" w:cs="Arial"/>
          <w:color w:val="000000"/>
          <w:sz w:val="24"/>
          <w:szCs w:val="24"/>
        </w:rPr>
        <w:footnoteReference w:id="22"/>
      </w:r>
      <w:r w:rsidR="00375924">
        <w:rPr>
          <w:rFonts w:ascii="Arial" w:hAnsi="Arial" w:cs="Arial"/>
          <w:color w:val="000000"/>
          <w:sz w:val="24"/>
          <w:szCs w:val="24"/>
        </w:rPr>
        <w:t xml:space="preserve">, </w:t>
      </w:r>
      <w:r w:rsidR="00FF5997">
        <w:rPr>
          <w:rFonts w:ascii="Arial" w:hAnsi="Arial" w:cs="Arial"/>
          <w:color w:val="000000"/>
          <w:sz w:val="24"/>
          <w:szCs w:val="24"/>
        </w:rPr>
        <w:t xml:space="preserve">los </w:t>
      </w:r>
      <w:r w:rsidR="00B94C20">
        <w:rPr>
          <w:rFonts w:ascii="Arial" w:hAnsi="Arial" w:cs="Arial"/>
          <w:color w:val="000000"/>
          <w:sz w:val="24"/>
          <w:szCs w:val="24"/>
        </w:rPr>
        <w:t xml:space="preserve">expedientes concluidos disminuyeron </w:t>
      </w:r>
      <w:r w:rsidR="007C6513">
        <w:rPr>
          <w:rFonts w:ascii="Arial" w:hAnsi="Arial" w:cs="Arial"/>
          <w:color w:val="000000"/>
          <w:sz w:val="24"/>
          <w:szCs w:val="24"/>
        </w:rPr>
        <w:t>25.4</w:t>
      </w:r>
      <w:r w:rsidR="00B94C20">
        <w:rPr>
          <w:rFonts w:ascii="Arial" w:hAnsi="Arial" w:cs="Arial"/>
          <w:color w:val="000000"/>
          <w:sz w:val="24"/>
          <w:szCs w:val="24"/>
        </w:rPr>
        <w:t>%</w:t>
      </w:r>
      <w:r w:rsidR="00D33FDD">
        <w:rPr>
          <w:rFonts w:ascii="Arial" w:hAnsi="Arial" w:cs="Arial"/>
          <w:color w:val="000000"/>
          <w:sz w:val="24"/>
          <w:szCs w:val="24"/>
        </w:rPr>
        <w:t xml:space="preserve"> en 2020.</w:t>
      </w:r>
    </w:p>
    <w:bookmarkEnd w:id="14"/>
    <w:p w14:paraId="49A3EEBB" w14:textId="77777777" w:rsidR="00B94C20" w:rsidRDefault="00B94C20" w:rsidP="00BD4727">
      <w:pPr>
        <w:spacing w:after="0"/>
        <w:ind w:left="-567"/>
        <w:jc w:val="both"/>
        <w:rPr>
          <w:rFonts w:ascii="Arial" w:hAnsi="Arial" w:cs="Arial"/>
          <w:color w:val="000000"/>
          <w:sz w:val="24"/>
          <w:szCs w:val="24"/>
        </w:rPr>
      </w:pPr>
    </w:p>
    <w:p w14:paraId="51B738DE" w14:textId="12184258" w:rsidR="00E74349" w:rsidRDefault="00B94C20" w:rsidP="00BD4727">
      <w:pPr>
        <w:spacing w:after="0"/>
        <w:ind w:left="-567"/>
        <w:jc w:val="both"/>
        <w:rPr>
          <w:rFonts w:ascii="Arial" w:hAnsi="Arial" w:cs="Arial"/>
          <w:color w:val="000000"/>
          <w:sz w:val="24"/>
          <w:szCs w:val="24"/>
        </w:rPr>
      </w:pPr>
      <w:r>
        <w:rPr>
          <w:rFonts w:ascii="Arial" w:hAnsi="Arial" w:cs="Arial"/>
          <w:color w:val="000000"/>
          <w:sz w:val="24"/>
          <w:szCs w:val="24"/>
        </w:rPr>
        <w:t>En la CNDH</w:t>
      </w:r>
      <w:r w:rsidR="00936B74">
        <w:rPr>
          <w:rFonts w:ascii="Arial" w:hAnsi="Arial" w:cs="Arial"/>
          <w:color w:val="000000"/>
          <w:sz w:val="24"/>
          <w:szCs w:val="24"/>
        </w:rPr>
        <w:t>,</w:t>
      </w:r>
      <w:r>
        <w:rPr>
          <w:rFonts w:ascii="Arial" w:hAnsi="Arial" w:cs="Arial"/>
          <w:color w:val="000000"/>
          <w:sz w:val="24"/>
          <w:szCs w:val="24"/>
        </w:rPr>
        <w:t xml:space="preserve"> el tipo de conclusión más frecuente fue </w:t>
      </w:r>
      <w:r w:rsidR="00D33FDD" w:rsidRPr="00744CB8">
        <w:rPr>
          <w:rFonts w:ascii="Arial" w:hAnsi="Arial" w:cs="Arial"/>
          <w:i/>
          <w:color w:val="000000"/>
          <w:sz w:val="24"/>
          <w:szCs w:val="24"/>
        </w:rPr>
        <w:t>por haberse solucionado el expediente de queja durante el trámite respectivo</w:t>
      </w:r>
      <w:r w:rsidR="00D33FDD">
        <w:rPr>
          <w:rFonts w:ascii="Arial" w:hAnsi="Arial" w:cs="Arial"/>
          <w:color w:val="000000"/>
          <w:sz w:val="24"/>
          <w:szCs w:val="24"/>
        </w:rPr>
        <w:t xml:space="preserve"> al concentrar 49.2% del total de expedientes concluidos. </w:t>
      </w:r>
    </w:p>
    <w:p w14:paraId="7B59803C" w14:textId="77777777" w:rsidR="00D33FDD" w:rsidRDefault="00D33FDD" w:rsidP="00BD4727">
      <w:pPr>
        <w:spacing w:after="0"/>
        <w:ind w:left="-567"/>
        <w:jc w:val="both"/>
        <w:rPr>
          <w:rFonts w:ascii="Arial" w:hAnsi="Arial" w:cs="Arial"/>
          <w:color w:val="000000"/>
          <w:sz w:val="24"/>
          <w:szCs w:val="24"/>
        </w:rPr>
      </w:pPr>
    </w:p>
    <w:p w14:paraId="3442196A" w14:textId="77777777" w:rsidR="00B66B2F" w:rsidRDefault="00B66B2F" w:rsidP="00D33FDD">
      <w:pPr>
        <w:spacing w:after="0"/>
        <w:ind w:left="-567"/>
        <w:jc w:val="center"/>
        <w:rPr>
          <w:rFonts w:ascii="Arial" w:hAnsi="Arial" w:cs="Arial"/>
          <w:b/>
          <w:bCs/>
          <w:i/>
          <w:iCs/>
          <w:color w:val="87AD8A"/>
          <w:sz w:val="18"/>
          <w:szCs w:val="24"/>
        </w:rPr>
      </w:pPr>
    </w:p>
    <w:p w14:paraId="33C47565" w14:textId="77777777" w:rsidR="00B66B2F" w:rsidRDefault="00B66B2F" w:rsidP="00D33FDD">
      <w:pPr>
        <w:spacing w:after="0"/>
        <w:ind w:left="-567"/>
        <w:jc w:val="center"/>
        <w:rPr>
          <w:rFonts w:ascii="Arial" w:hAnsi="Arial" w:cs="Arial"/>
          <w:b/>
          <w:bCs/>
          <w:i/>
          <w:iCs/>
          <w:color w:val="87AD8A"/>
          <w:sz w:val="18"/>
          <w:szCs w:val="24"/>
        </w:rPr>
      </w:pPr>
    </w:p>
    <w:p w14:paraId="125DE9BC" w14:textId="77777777" w:rsidR="00B66B2F" w:rsidRDefault="00B66B2F" w:rsidP="00D33FDD">
      <w:pPr>
        <w:spacing w:after="0"/>
        <w:ind w:left="-567"/>
        <w:jc w:val="center"/>
        <w:rPr>
          <w:rFonts w:ascii="Arial" w:hAnsi="Arial" w:cs="Arial"/>
          <w:b/>
          <w:bCs/>
          <w:i/>
          <w:iCs/>
          <w:color w:val="87AD8A"/>
          <w:sz w:val="18"/>
          <w:szCs w:val="24"/>
        </w:rPr>
      </w:pPr>
    </w:p>
    <w:p w14:paraId="215757AF" w14:textId="77777777" w:rsidR="00B66B2F" w:rsidRDefault="00B66B2F" w:rsidP="00D33FDD">
      <w:pPr>
        <w:spacing w:after="0"/>
        <w:ind w:left="-567"/>
        <w:jc w:val="center"/>
        <w:rPr>
          <w:rFonts w:ascii="Arial" w:hAnsi="Arial" w:cs="Arial"/>
          <w:b/>
          <w:bCs/>
          <w:i/>
          <w:iCs/>
          <w:color w:val="87AD8A"/>
          <w:sz w:val="18"/>
          <w:szCs w:val="24"/>
        </w:rPr>
      </w:pPr>
    </w:p>
    <w:p w14:paraId="5165C9F0" w14:textId="77777777" w:rsidR="00B66B2F" w:rsidRDefault="00B66B2F" w:rsidP="00D33FDD">
      <w:pPr>
        <w:spacing w:after="0"/>
        <w:ind w:left="-567"/>
        <w:jc w:val="center"/>
        <w:rPr>
          <w:rFonts w:ascii="Arial" w:hAnsi="Arial" w:cs="Arial"/>
          <w:b/>
          <w:bCs/>
          <w:i/>
          <w:iCs/>
          <w:color w:val="87AD8A"/>
          <w:sz w:val="18"/>
          <w:szCs w:val="24"/>
        </w:rPr>
      </w:pPr>
    </w:p>
    <w:p w14:paraId="3FD1FFB5" w14:textId="77777777" w:rsidR="00B66B2F" w:rsidRDefault="00B66B2F" w:rsidP="00D33FDD">
      <w:pPr>
        <w:spacing w:after="0"/>
        <w:ind w:left="-567"/>
        <w:jc w:val="center"/>
        <w:rPr>
          <w:rFonts w:ascii="Arial" w:hAnsi="Arial" w:cs="Arial"/>
          <w:b/>
          <w:bCs/>
          <w:i/>
          <w:iCs/>
          <w:color w:val="87AD8A"/>
          <w:sz w:val="18"/>
          <w:szCs w:val="24"/>
        </w:rPr>
      </w:pPr>
    </w:p>
    <w:p w14:paraId="4D1F6C43" w14:textId="77777777" w:rsidR="00B66B2F" w:rsidRDefault="00B66B2F" w:rsidP="00D33FDD">
      <w:pPr>
        <w:spacing w:after="0"/>
        <w:ind w:left="-567"/>
        <w:jc w:val="center"/>
        <w:rPr>
          <w:rFonts w:ascii="Arial" w:hAnsi="Arial" w:cs="Arial"/>
          <w:b/>
          <w:bCs/>
          <w:i/>
          <w:iCs/>
          <w:color w:val="87AD8A"/>
          <w:sz w:val="18"/>
          <w:szCs w:val="24"/>
        </w:rPr>
      </w:pPr>
    </w:p>
    <w:p w14:paraId="2D4B0EE2" w14:textId="77777777" w:rsidR="00B66B2F" w:rsidRDefault="00B66B2F" w:rsidP="00D33FDD">
      <w:pPr>
        <w:spacing w:after="0"/>
        <w:ind w:left="-567"/>
        <w:jc w:val="center"/>
        <w:rPr>
          <w:rFonts w:ascii="Arial" w:hAnsi="Arial" w:cs="Arial"/>
          <w:b/>
          <w:bCs/>
          <w:i/>
          <w:iCs/>
          <w:color w:val="87AD8A"/>
          <w:sz w:val="18"/>
          <w:szCs w:val="24"/>
        </w:rPr>
      </w:pPr>
    </w:p>
    <w:p w14:paraId="5432F842" w14:textId="77777777" w:rsidR="00B66B2F" w:rsidRDefault="00B66B2F" w:rsidP="00D33FDD">
      <w:pPr>
        <w:spacing w:after="0"/>
        <w:ind w:left="-567"/>
        <w:jc w:val="center"/>
        <w:rPr>
          <w:rFonts w:ascii="Arial" w:hAnsi="Arial" w:cs="Arial"/>
          <w:b/>
          <w:bCs/>
          <w:i/>
          <w:iCs/>
          <w:color w:val="87AD8A"/>
          <w:sz w:val="18"/>
          <w:szCs w:val="24"/>
        </w:rPr>
      </w:pPr>
    </w:p>
    <w:p w14:paraId="195FB02B" w14:textId="77777777" w:rsidR="00B66B2F" w:rsidRDefault="00B66B2F" w:rsidP="00D33FDD">
      <w:pPr>
        <w:spacing w:after="0"/>
        <w:ind w:left="-567"/>
        <w:jc w:val="center"/>
        <w:rPr>
          <w:rFonts w:ascii="Arial" w:hAnsi="Arial" w:cs="Arial"/>
          <w:b/>
          <w:bCs/>
          <w:i/>
          <w:iCs/>
          <w:color w:val="87AD8A"/>
          <w:sz w:val="18"/>
          <w:szCs w:val="24"/>
        </w:rPr>
      </w:pPr>
    </w:p>
    <w:p w14:paraId="29AB30B9" w14:textId="77777777" w:rsidR="00B66B2F" w:rsidRDefault="00B66B2F" w:rsidP="00D33FDD">
      <w:pPr>
        <w:spacing w:after="0"/>
        <w:ind w:left="-567"/>
        <w:jc w:val="center"/>
        <w:rPr>
          <w:rFonts w:ascii="Arial" w:hAnsi="Arial" w:cs="Arial"/>
          <w:b/>
          <w:bCs/>
          <w:i/>
          <w:iCs/>
          <w:color w:val="87AD8A"/>
          <w:sz w:val="18"/>
          <w:szCs w:val="24"/>
        </w:rPr>
      </w:pPr>
    </w:p>
    <w:p w14:paraId="6374AEB5" w14:textId="77777777" w:rsidR="00B66B2F" w:rsidRDefault="00B66B2F" w:rsidP="00D33FDD">
      <w:pPr>
        <w:spacing w:after="0"/>
        <w:ind w:left="-567"/>
        <w:jc w:val="center"/>
        <w:rPr>
          <w:rFonts w:ascii="Arial" w:hAnsi="Arial" w:cs="Arial"/>
          <w:b/>
          <w:bCs/>
          <w:i/>
          <w:iCs/>
          <w:color w:val="87AD8A"/>
          <w:sz w:val="18"/>
          <w:szCs w:val="24"/>
        </w:rPr>
      </w:pPr>
    </w:p>
    <w:p w14:paraId="79DBF066" w14:textId="77777777" w:rsidR="00B66B2F" w:rsidRDefault="00B66B2F" w:rsidP="00D33FDD">
      <w:pPr>
        <w:spacing w:after="0"/>
        <w:ind w:left="-567"/>
        <w:jc w:val="center"/>
        <w:rPr>
          <w:rFonts w:ascii="Arial" w:hAnsi="Arial" w:cs="Arial"/>
          <w:b/>
          <w:bCs/>
          <w:i/>
          <w:iCs/>
          <w:color w:val="87AD8A"/>
          <w:sz w:val="18"/>
          <w:szCs w:val="24"/>
        </w:rPr>
      </w:pPr>
    </w:p>
    <w:p w14:paraId="565B0AA3" w14:textId="0E5F5210" w:rsidR="00D33FDD" w:rsidRDefault="00D33FDD" w:rsidP="00D33FDD">
      <w:pPr>
        <w:spacing w:after="0"/>
        <w:ind w:left="-567"/>
        <w:jc w:val="center"/>
        <w:rPr>
          <w:rFonts w:ascii="Arial" w:hAnsi="Arial" w:cs="Arial"/>
          <w:b/>
          <w:bCs/>
          <w:i/>
          <w:iCs/>
          <w:color w:val="87AD8A"/>
          <w:sz w:val="18"/>
          <w:szCs w:val="24"/>
        </w:rPr>
      </w:pPr>
      <w:r>
        <w:rPr>
          <w:rFonts w:ascii="Arial" w:hAnsi="Arial" w:cs="Arial"/>
          <w:b/>
          <w:bCs/>
          <w:i/>
          <w:iCs/>
          <w:color w:val="87AD8A"/>
          <w:sz w:val="18"/>
          <w:szCs w:val="24"/>
        </w:rPr>
        <w:t xml:space="preserve">Gráfica </w:t>
      </w:r>
      <w:r w:rsidR="00ED2521">
        <w:rPr>
          <w:rFonts w:ascii="Arial" w:hAnsi="Arial" w:cs="Arial"/>
          <w:b/>
          <w:bCs/>
          <w:i/>
          <w:iCs/>
          <w:color w:val="87AD8A"/>
          <w:sz w:val="18"/>
          <w:szCs w:val="24"/>
        </w:rPr>
        <w:t>3</w:t>
      </w:r>
      <w:r w:rsidR="00643797">
        <w:rPr>
          <w:rFonts w:ascii="Arial" w:hAnsi="Arial" w:cs="Arial"/>
          <w:b/>
          <w:bCs/>
          <w:i/>
          <w:iCs/>
          <w:color w:val="87AD8A"/>
          <w:sz w:val="18"/>
          <w:szCs w:val="24"/>
        </w:rPr>
        <w:t>0</w:t>
      </w:r>
      <w:r w:rsidRPr="00611289">
        <w:rPr>
          <w:rFonts w:ascii="Arial" w:hAnsi="Arial" w:cs="Arial"/>
          <w:b/>
          <w:bCs/>
          <w:i/>
          <w:iCs/>
          <w:color w:val="87AD8A"/>
          <w:sz w:val="18"/>
          <w:szCs w:val="24"/>
        </w:rPr>
        <w:t>.</w:t>
      </w:r>
      <w:r>
        <w:rPr>
          <w:rFonts w:ascii="Arial" w:hAnsi="Arial" w:cs="Arial"/>
          <w:b/>
          <w:bCs/>
          <w:i/>
          <w:iCs/>
          <w:color w:val="87AD8A"/>
          <w:sz w:val="18"/>
          <w:szCs w:val="24"/>
        </w:rPr>
        <w:t xml:space="preserve"> E</w:t>
      </w:r>
      <w:r w:rsidRPr="00D33FDD">
        <w:rPr>
          <w:rFonts w:ascii="Arial" w:hAnsi="Arial" w:cs="Arial"/>
          <w:b/>
          <w:bCs/>
          <w:i/>
          <w:iCs/>
          <w:color w:val="87AD8A"/>
          <w:sz w:val="18"/>
          <w:szCs w:val="24"/>
        </w:rPr>
        <w:t>xpedientes concluidos por la CNDH, por tipo de conclusión, 20</w:t>
      </w:r>
      <w:r>
        <w:rPr>
          <w:rFonts w:ascii="Arial" w:hAnsi="Arial" w:cs="Arial"/>
          <w:b/>
          <w:bCs/>
          <w:i/>
          <w:iCs/>
          <w:color w:val="87AD8A"/>
          <w:sz w:val="18"/>
          <w:szCs w:val="24"/>
        </w:rPr>
        <w:t>20</w:t>
      </w:r>
    </w:p>
    <w:p w14:paraId="6CDE1FA5" w14:textId="1CA48B66" w:rsidR="00D33FDD" w:rsidRDefault="00D33FDD" w:rsidP="00D33FDD">
      <w:pPr>
        <w:spacing w:after="0"/>
        <w:ind w:left="-567"/>
        <w:jc w:val="center"/>
        <w:rPr>
          <w:rFonts w:ascii="Arial" w:hAnsi="Arial" w:cs="Arial"/>
          <w:b/>
          <w:bCs/>
          <w:i/>
          <w:iCs/>
          <w:color w:val="87AD8A"/>
          <w:sz w:val="18"/>
          <w:szCs w:val="24"/>
        </w:rPr>
      </w:pPr>
      <w:r w:rsidRPr="00D33FDD">
        <w:rPr>
          <w:rFonts w:ascii="Arial" w:hAnsi="Arial" w:cs="Arial"/>
          <w:b/>
          <w:bCs/>
          <w:i/>
          <w:iCs/>
          <w:noProof/>
          <w:color w:val="87AD8A"/>
          <w:sz w:val="18"/>
          <w:szCs w:val="24"/>
        </w:rPr>
        <w:drawing>
          <wp:inline distT="0" distB="0" distL="0" distR="0" wp14:anchorId="6F848D5C" wp14:editId="5724C737">
            <wp:extent cx="6392174" cy="3062377"/>
            <wp:effectExtent l="0" t="0" r="8890" b="5080"/>
            <wp:docPr id="21" name="Gráfico 21">
              <a:extLst xmlns:a="http://schemas.openxmlformats.org/drawingml/2006/main">
                <a:ext uri="{FF2B5EF4-FFF2-40B4-BE49-F238E27FC236}">
                  <a16:creationId xmlns:a16="http://schemas.microsoft.com/office/drawing/2014/main" id="{AE9CB49E-79AD-4C08-9123-9AF1953D0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F8C3E25" w14:textId="77777777" w:rsidR="00B66B2F" w:rsidRDefault="00B66B2F" w:rsidP="00B66B2F">
      <w:pPr>
        <w:autoSpaceDE w:val="0"/>
        <w:autoSpaceDN w:val="0"/>
        <w:adjustRightInd w:val="0"/>
        <w:spacing w:after="0" w:line="240" w:lineRule="auto"/>
        <w:ind w:left="-567"/>
        <w:jc w:val="both"/>
        <w:rPr>
          <w:rFonts w:ascii="Arial" w:hAnsi="Arial" w:cs="Arial"/>
          <w:color w:val="000000"/>
          <w:sz w:val="24"/>
          <w:szCs w:val="24"/>
        </w:rPr>
      </w:pPr>
    </w:p>
    <w:p w14:paraId="37CA52D4" w14:textId="77777777" w:rsidR="00B66B2F" w:rsidRDefault="00B66B2F" w:rsidP="00B66B2F">
      <w:pPr>
        <w:autoSpaceDE w:val="0"/>
        <w:autoSpaceDN w:val="0"/>
        <w:adjustRightInd w:val="0"/>
        <w:spacing w:after="0" w:line="240" w:lineRule="auto"/>
        <w:ind w:left="-567"/>
        <w:jc w:val="both"/>
        <w:rPr>
          <w:rFonts w:ascii="Arial" w:hAnsi="Arial" w:cs="Arial"/>
          <w:color w:val="000000"/>
          <w:sz w:val="24"/>
          <w:szCs w:val="24"/>
        </w:rPr>
      </w:pPr>
    </w:p>
    <w:p w14:paraId="715E6C35" w14:textId="77777777" w:rsidR="00B66B2F" w:rsidRDefault="00B66B2F" w:rsidP="00B66B2F">
      <w:pPr>
        <w:autoSpaceDE w:val="0"/>
        <w:autoSpaceDN w:val="0"/>
        <w:adjustRightInd w:val="0"/>
        <w:spacing w:after="0" w:line="240" w:lineRule="auto"/>
        <w:ind w:left="-567"/>
        <w:jc w:val="both"/>
        <w:rPr>
          <w:rFonts w:ascii="Arial" w:hAnsi="Arial" w:cs="Arial"/>
          <w:color w:val="000000"/>
          <w:sz w:val="24"/>
          <w:szCs w:val="24"/>
        </w:rPr>
      </w:pPr>
    </w:p>
    <w:p w14:paraId="56CF7C52" w14:textId="77777777" w:rsidR="00B66B2F" w:rsidRDefault="00B66B2F" w:rsidP="00B66B2F">
      <w:pPr>
        <w:autoSpaceDE w:val="0"/>
        <w:autoSpaceDN w:val="0"/>
        <w:adjustRightInd w:val="0"/>
        <w:spacing w:after="0" w:line="240" w:lineRule="auto"/>
        <w:ind w:left="-567"/>
        <w:jc w:val="both"/>
        <w:rPr>
          <w:rFonts w:ascii="Arial" w:hAnsi="Arial" w:cs="Arial"/>
          <w:color w:val="000000"/>
          <w:sz w:val="24"/>
          <w:szCs w:val="24"/>
        </w:rPr>
      </w:pPr>
    </w:p>
    <w:p w14:paraId="5505FCDD" w14:textId="0FDB6EBB" w:rsidR="00643797" w:rsidRDefault="00B66B2F" w:rsidP="00B66B2F">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E</w:t>
      </w:r>
      <w:r w:rsidR="00D33FDD">
        <w:rPr>
          <w:rFonts w:ascii="Arial" w:hAnsi="Arial" w:cs="Arial"/>
          <w:color w:val="000000"/>
          <w:sz w:val="24"/>
          <w:szCs w:val="24"/>
        </w:rPr>
        <w:t>n tanto, en los OPDH el tipo de conclusión más frecuente fue p</w:t>
      </w:r>
      <w:r w:rsidR="00D33FDD" w:rsidRPr="00D33FDD">
        <w:rPr>
          <w:rFonts w:ascii="Arial" w:hAnsi="Arial" w:cs="Arial"/>
          <w:color w:val="000000"/>
          <w:sz w:val="24"/>
          <w:szCs w:val="24"/>
        </w:rPr>
        <w:t xml:space="preserve">or </w:t>
      </w:r>
      <w:r w:rsidR="00744CB8">
        <w:rPr>
          <w:rFonts w:ascii="Arial" w:hAnsi="Arial" w:cs="Arial"/>
          <w:i/>
          <w:color w:val="000000"/>
          <w:sz w:val="24"/>
          <w:szCs w:val="24"/>
        </w:rPr>
        <w:t>r</w:t>
      </w:r>
      <w:r w:rsidR="00744CB8" w:rsidRPr="00744CB8">
        <w:rPr>
          <w:rFonts w:ascii="Arial" w:hAnsi="Arial" w:cs="Arial"/>
          <w:i/>
          <w:color w:val="000000"/>
          <w:sz w:val="24"/>
          <w:szCs w:val="24"/>
        </w:rPr>
        <w:t>estitución de derechos y/o atención de la problemática planteada (resueltos durante el procedimiento)</w:t>
      </w:r>
      <w:r w:rsidR="00D33FDD">
        <w:rPr>
          <w:rFonts w:ascii="Arial" w:hAnsi="Arial" w:cs="Arial"/>
          <w:color w:val="000000"/>
          <w:sz w:val="24"/>
          <w:szCs w:val="24"/>
        </w:rPr>
        <w:t xml:space="preserve"> al concentrar </w:t>
      </w:r>
      <w:r w:rsidR="00744CB8">
        <w:rPr>
          <w:rFonts w:ascii="Arial" w:hAnsi="Arial" w:cs="Arial"/>
          <w:color w:val="000000"/>
          <w:sz w:val="24"/>
          <w:szCs w:val="24"/>
        </w:rPr>
        <w:t>24.5</w:t>
      </w:r>
      <w:r w:rsidR="00D33FDD">
        <w:rPr>
          <w:rFonts w:ascii="Arial" w:hAnsi="Arial" w:cs="Arial"/>
          <w:color w:val="000000"/>
          <w:sz w:val="24"/>
          <w:szCs w:val="24"/>
        </w:rPr>
        <w:t>%</w:t>
      </w:r>
      <w:r w:rsidR="00744CB8">
        <w:rPr>
          <w:rStyle w:val="Refdenotaalpie"/>
          <w:rFonts w:ascii="Arial" w:hAnsi="Arial" w:cs="Arial"/>
          <w:color w:val="000000"/>
          <w:sz w:val="24"/>
          <w:szCs w:val="24"/>
        </w:rPr>
        <w:footnoteReference w:id="23"/>
      </w:r>
      <w:r w:rsidR="00D33FDD">
        <w:rPr>
          <w:rFonts w:ascii="Arial" w:hAnsi="Arial" w:cs="Arial"/>
          <w:color w:val="000000"/>
          <w:sz w:val="24"/>
          <w:szCs w:val="24"/>
        </w:rPr>
        <w:t xml:space="preserve"> del total de expedientes concluidos.</w:t>
      </w:r>
    </w:p>
    <w:p w14:paraId="7033AB96" w14:textId="094A876A"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0B39B2F8" w14:textId="3F93962E"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1BF5447F" w14:textId="2B517130"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6E7008FD" w14:textId="5B15C7D9"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6DA0A612" w14:textId="4710035D"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4C5DE651" w14:textId="4959A1F8"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0EA77A31" w14:textId="4A076E23"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1A19015E" w14:textId="4C564605"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24C9039C" w14:textId="4E9C50B0"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5DD041AF" w14:textId="1974B6EF"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2D9AB8EE" w14:textId="23B54E97"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7D94BF4F" w14:textId="4E7C2C57"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0CBDDC27" w14:textId="6AB36FC6"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00D3F432" w14:textId="5E4BDFE7"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1FD99489" w14:textId="7924151F"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784B3FCB" w14:textId="79DB408F"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6B48AADA" w14:textId="5DCF659B"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7879C140" w14:textId="71F79B33"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4309E38C" w14:textId="6D6B3A9D"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45B4812F" w14:textId="38CCD47F"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2500DF9C" w14:textId="77777777" w:rsidR="00B66B2F" w:rsidRDefault="00B66B2F" w:rsidP="00B66B2F">
      <w:pPr>
        <w:autoSpaceDE w:val="0"/>
        <w:autoSpaceDN w:val="0"/>
        <w:adjustRightInd w:val="0"/>
        <w:spacing w:after="0" w:line="240" w:lineRule="auto"/>
        <w:ind w:left="-567"/>
        <w:jc w:val="both"/>
        <w:rPr>
          <w:rFonts w:ascii="Arial" w:hAnsi="Arial" w:cs="Arial"/>
          <w:b/>
          <w:bCs/>
          <w:i/>
          <w:iCs/>
          <w:color w:val="87AD8A"/>
          <w:sz w:val="18"/>
          <w:szCs w:val="24"/>
        </w:rPr>
      </w:pPr>
    </w:p>
    <w:p w14:paraId="5E5E2DE0" w14:textId="77777777" w:rsidR="00744CB8" w:rsidRDefault="00744CB8" w:rsidP="00D33FDD">
      <w:pPr>
        <w:spacing w:after="0"/>
        <w:ind w:left="-567"/>
        <w:jc w:val="center"/>
        <w:rPr>
          <w:rFonts w:ascii="Arial" w:hAnsi="Arial" w:cs="Arial"/>
          <w:b/>
          <w:bCs/>
          <w:i/>
          <w:iCs/>
          <w:color w:val="87AD8A"/>
          <w:sz w:val="18"/>
          <w:szCs w:val="24"/>
        </w:rPr>
      </w:pPr>
    </w:p>
    <w:p w14:paraId="01824CED" w14:textId="5D689FEB" w:rsidR="00D33FDD" w:rsidRDefault="00D33FDD" w:rsidP="00D33FDD">
      <w:pPr>
        <w:spacing w:after="0"/>
        <w:ind w:left="-567"/>
        <w:jc w:val="center"/>
        <w:rPr>
          <w:rFonts w:ascii="Arial" w:hAnsi="Arial" w:cs="Arial"/>
          <w:b/>
          <w:bCs/>
          <w:i/>
          <w:iCs/>
          <w:color w:val="87AD8A"/>
          <w:sz w:val="18"/>
          <w:szCs w:val="24"/>
        </w:rPr>
      </w:pPr>
      <w:r>
        <w:rPr>
          <w:rFonts w:ascii="Arial" w:hAnsi="Arial" w:cs="Arial"/>
          <w:b/>
          <w:bCs/>
          <w:i/>
          <w:iCs/>
          <w:color w:val="87AD8A"/>
          <w:sz w:val="18"/>
          <w:szCs w:val="24"/>
        </w:rPr>
        <w:t xml:space="preserve">Gráfica </w:t>
      </w:r>
      <w:r w:rsidR="00ED2521">
        <w:rPr>
          <w:rFonts w:ascii="Arial" w:hAnsi="Arial" w:cs="Arial"/>
          <w:b/>
          <w:bCs/>
          <w:i/>
          <w:iCs/>
          <w:color w:val="87AD8A"/>
          <w:sz w:val="18"/>
          <w:szCs w:val="24"/>
        </w:rPr>
        <w:t>3</w:t>
      </w:r>
      <w:r w:rsidR="00643797">
        <w:rPr>
          <w:rFonts w:ascii="Arial" w:hAnsi="Arial" w:cs="Arial"/>
          <w:b/>
          <w:bCs/>
          <w:i/>
          <w:iCs/>
          <w:color w:val="87AD8A"/>
          <w:sz w:val="18"/>
          <w:szCs w:val="24"/>
        </w:rPr>
        <w:t>1</w:t>
      </w:r>
      <w:r w:rsidRPr="00611289">
        <w:rPr>
          <w:rFonts w:ascii="Arial" w:hAnsi="Arial" w:cs="Arial"/>
          <w:b/>
          <w:bCs/>
          <w:i/>
          <w:iCs/>
          <w:color w:val="87AD8A"/>
          <w:sz w:val="18"/>
          <w:szCs w:val="24"/>
        </w:rPr>
        <w:t>.</w:t>
      </w:r>
      <w:r>
        <w:rPr>
          <w:rFonts w:ascii="Arial" w:hAnsi="Arial" w:cs="Arial"/>
          <w:b/>
          <w:bCs/>
          <w:i/>
          <w:iCs/>
          <w:color w:val="87AD8A"/>
          <w:sz w:val="18"/>
          <w:szCs w:val="24"/>
        </w:rPr>
        <w:t xml:space="preserve"> E</w:t>
      </w:r>
      <w:r w:rsidRPr="00D33FDD">
        <w:rPr>
          <w:rFonts w:ascii="Arial" w:hAnsi="Arial" w:cs="Arial"/>
          <w:b/>
          <w:bCs/>
          <w:i/>
          <w:iCs/>
          <w:color w:val="87AD8A"/>
          <w:sz w:val="18"/>
          <w:szCs w:val="24"/>
        </w:rPr>
        <w:t>xpedientes concluidos por l</w:t>
      </w:r>
      <w:r>
        <w:rPr>
          <w:rFonts w:ascii="Arial" w:hAnsi="Arial" w:cs="Arial"/>
          <w:b/>
          <w:bCs/>
          <w:i/>
          <w:iCs/>
          <w:color w:val="87AD8A"/>
          <w:sz w:val="18"/>
          <w:szCs w:val="24"/>
        </w:rPr>
        <w:t>os OPDH</w:t>
      </w:r>
      <w:r w:rsidRPr="00D33FDD">
        <w:rPr>
          <w:rFonts w:ascii="Arial" w:hAnsi="Arial" w:cs="Arial"/>
          <w:b/>
          <w:bCs/>
          <w:i/>
          <w:iCs/>
          <w:color w:val="87AD8A"/>
          <w:sz w:val="18"/>
          <w:szCs w:val="24"/>
        </w:rPr>
        <w:t>, por tipo de conclusión, 20</w:t>
      </w:r>
      <w:r>
        <w:rPr>
          <w:rFonts w:ascii="Arial" w:hAnsi="Arial" w:cs="Arial"/>
          <w:b/>
          <w:bCs/>
          <w:i/>
          <w:iCs/>
          <w:color w:val="87AD8A"/>
          <w:sz w:val="18"/>
          <w:szCs w:val="24"/>
        </w:rPr>
        <w:t>20</w:t>
      </w:r>
    </w:p>
    <w:p w14:paraId="08587DC1" w14:textId="77777777" w:rsidR="00744CB8" w:rsidRDefault="00744CB8" w:rsidP="00D33FDD">
      <w:pPr>
        <w:spacing w:after="0"/>
        <w:ind w:left="-567"/>
        <w:jc w:val="center"/>
        <w:rPr>
          <w:rFonts w:ascii="Arial" w:hAnsi="Arial" w:cs="Arial"/>
          <w:b/>
          <w:bCs/>
          <w:i/>
          <w:iCs/>
          <w:color w:val="87AD8A"/>
          <w:sz w:val="18"/>
          <w:szCs w:val="24"/>
        </w:rPr>
      </w:pPr>
    </w:p>
    <w:p w14:paraId="178AE9FB" w14:textId="36FB35B0" w:rsidR="00744CB8" w:rsidRDefault="00744CB8" w:rsidP="00744CB8">
      <w:pPr>
        <w:spacing w:after="0"/>
        <w:ind w:left="-567"/>
        <w:rPr>
          <w:rFonts w:ascii="Arial" w:hAnsi="Arial" w:cs="Arial"/>
          <w:b/>
          <w:bCs/>
          <w:i/>
          <w:iCs/>
          <w:color w:val="87AD8A"/>
          <w:sz w:val="18"/>
          <w:szCs w:val="24"/>
        </w:rPr>
      </w:pPr>
      <w:r>
        <w:rPr>
          <w:rFonts w:ascii="Arial" w:hAnsi="Arial" w:cs="Arial"/>
          <w:b/>
          <w:bCs/>
          <w:i/>
          <w:iCs/>
          <w:noProof/>
          <w:color w:val="87AD8A"/>
          <w:sz w:val="18"/>
          <w:szCs w:val="24"/>
        </w:rPr>
        <w:drawing>
          <wp:inline distT="0" distB="0" distL="0" distR="0" wp14:anchorId="129553F6" wp14:editId="0DE3E5FE">
            <wp:extent cx="6502152" cy="323803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20750" cy="3247296"/>
                    </a:xfrm>
                    <a:prstGeom prst="rect">
                      <a:avLst/>
                    </a:prstGeom>
                    <a:noFill/>
                  </pic:spPr>
                </pic:pic>
              </a:graphicData>
            </a:graphic>
          </wp:inline>
        </w:drawing>
      </w:r>
    </w:p>
    <w:p w14:paraId="6664BF29" w14:textId="4A388862" w:rsidR="00744CB8" w:rsidRDefault="00744CB8" w:rsidP="00744CB8">
      <w:pPr>
        <w:spacing w:after="0"/>
        <w:jc w:val="center"/>
        <w:rPr>
          <w:rFonts w:ascii="Arial" w:eastAsia="Times New Roman" w:hAnsi="Arial" w:cs="Arial"/>
          <w:color w:val="000000"/>
          <w:sz w:val="16"/>
          <w:szCs w:val="16"/>
          <w:lang w:eastAsia="es-MX"/>
        </w:rPr>
      </w:pPr>
      <w:r w:rsidRPr="00744CB8">
        <w:rPr>
          <w:rFonts w:ascii="Arial" w:hAnsi="Arial" w:cs="Arial"/>
          <w:color w:val="000000"/>
          <w:sz w:val="16"/>
          <w:szCs w:val="16"/>
        </w:rPr>
        <w:t>*</w:t>
      </w:r>
      <w:r w:rsidRPr="00744CB8">
        <w:rPr>
          <w:rFonts w:ascii="Arial" w:eastAsia="Times New Roman" w:hAnsi="Arial" w:cs="Arial"/>
          <w:color w:val="000000"/>
          <w:sz w:val="16"/>
          <w:szCs w:val="16"/>
          <w:lang w:eastAsia="es-MX"/>
        </w:rPr>
        <w:t>Restitución de derechos y/o atención de la problemática planteada (resueltos durante el procedimiento)</w:t>
      </w:r>
      <w:r>
        <w:rPr>
          <w:rFonts w:ascii="Arial" w:eastAsia="Times New Roman" w:hAnsi="Arial" w:cs="Arial"/>
          <w:color w:val="000000"/>
          <w:sz w:val="16"/>
          <w:szCs w:val="16"/>
          <w:lang w:eastAsia="es-MX"/>
        </w:rPr>
        <w:t>.</w:t>
      </w:r>
    </w:p>
    <w:p w14:paraId="75D4F303" w14:textId="482E9BFA" w:rsidR="00744CB8" w:rsidRDefault="00744CB8" w:rsidP="00744CB8">
      <w:pPr>
        <w:spacing w:after="0"/>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w:t>
      </w:r>
      <w:r w:rsidRPr="00744CB8">
        <w:rPr>
          <w:rFonts w:ascii="Arial" w:eastAsia="Times New Roman" w:hAnsi="Arial" w:cs="Arial"/>
          <w:color w:val="000000"/>
          <w:sz w:val="16"/>
          <w:szCs w:val="16"/>
          <w:lang w:eastAsia="es-MX"/>
        </w:rPr>
        <w:t>Acuerdo de acumulación de expedientes o por reproducción de una queja o una problemática anteriormente resuelta o pendiente de resolver por el organismo público de derechos humanos</w:t>
      </w:r>
      <w:r>
        <w:rPr>
          <w:rFonts w:ascii="Arial" w:eastAsia="Times New Roman" w:hAnsi="Arial" w:cs="Arial"/>
          <w:color w:val="000000"/>
          <w:sz w:val="16"/>
          <w:szCs w:val="16"/>
          <w:lang w:eastAsia="es-MX"/>
        </w:rPr>
        <w:t>.</w:t>
      </w:r>
    </w:p>
    <w:p w14:paraId="0AE1A5B0" w14:textId="19FF7811" w:rsidR="00744CB8" w:rsidRPr="00744CB8" w:rsidRDefault="00744CB8" w:rsidP="00744CB8">
      <w:pPr>
        <w:spacing w:after="0"/>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w:t>
      </w:r>
      <w:r w:rsidRPr="00744CB8">
        <w:rPr>
          <w:rFonts w:ascii="Arial" w:eastAsia="Times New Roman" w:hAnsi="Arial" w:cs="Arial"/>
          <w:color w:val="000000"/>
          <w:sz w:val="16"/>
          <w:szCs w:val="16"/>
          <w:lang w:eastAsia="es-MX"/>
        </w:rPr>
        <w:t>Por no ser posible identificar a las personas peticionarias o posibles víctimas y contactarse con las mismas</w:t>
      </w:r>
      <w:r>
        <w:rPr>
          <w:rFonts w:ascii="Arial" w:eastAsia="Times New Roman" w:hAnsi="Arial" w:cs="Arial"/>
          <w:color w:val="000000"/>
          <w:sz w:val="16"/>
          <w:szCs w:val="16"/>
          <w:lang w:eastAsia="es-MX"/>
        </w:rPr>
        <w:t>.</w:t>
      </w:r>
    </w:p>
    <w:p w14:paraId="7EA2DB4F" w14:textId="77777777" w:rsidR="00744CB8" w:rsidRDefault="00744CB8" w:rsidP="00744CB8">
      <w:pPr>
        <w:spacing w:after="0"/>
        <w:ind w:left="-567"/>
        <w:rPr>
          <w:rFonts w:ascii="Arial" w:hAnsi="Arial" w:cs="Arial"/>
          <w:b/>
          <w:bCs/>
          <w:iCs/>
          <w:noProof/>
          <w:sz w:val="24"/>
          <w:szCs w:val="24"/>
          <w:lang w:eastAsia="es-MX"/>
        </w:rPr>
      </w:pPr>
    </w:p>
    <w:p w14:paraId="174834AB" w14:textId="2D8F247C" w:rsidR="003C7CB5" w:rsidRDefault="003C7CB5" w:rsidP="00744CB8">
      <w:pPr>
        <w:spacing w:after="0"/>
        <w:ind w:left="-567"/>
        <w:rPr>
          <w:rFonts w:ascii="Arial" w:hAnsi="Arial" w:cs="Arial"/>
          <w:b/>
          <w:bCs/>
          <w:iCs/>
          <w:noProof/>
          <w:sz w:val="24"/>
          <w:szCs w:val="24"/>
          <w:lang w:eastAsia="es-MX"/>
        </w:rPr>
      </w:pPr>
      <w:r w:rsidRPr="003C7CB5">
        <w:rPr>
          <w:rFonts w:ascii="Arial" w:hAnsi="Arial" w:cs="Arial"/>
          <w:b/>
          <w:bCs/>
          <w:iCs/>
          <w:noProof/>
          <w:sz w:val="24"/>
          <w:szCs w:val="24"/>
          <w:lang w:eastAsia="es-MX"/>
        </w:rPr>
        <w:t>Medidas y acciones para la defensa y protección de los derechos humanos</w:t>
      </w:r>
    </w:p>
    <w:p w14:paraId="658A7E82" w14:textId="77777777" w:rsidR="00744CB8" w:rsidRDefault="00744CB8" w:rsidP="00744CB8">
      <w:pPr>
        <w:autoSpaceDE w:val="0"/>
        <w:autoSpaceDN w:val="0"/>
        <w:adjustRightInd w:val="0"/>
        <w:spacing w:after="0" w:line="240" w:lineRule="auto"/>
        <w:rPr>
          <w:rFonts w:ascii="Arial" w:hAnsi="Arial" w:cs="Arial"/>
          <w:color w:val="000000"/>
        </w:rPr>
      </w:pPr>
    </w:p>
    <w:p w14:paraId="2534661A" w14:textId="1E60A334" w:rsidR="007A1068" w:rsidRDefault="003C7CB5" w:rsidP="00CC13BD">
      <w:pPr>
        <w:autoSpaceDE w:val="0"/>
        <w:autoSpaceDN w:val="0"/>
        <w:adjustRightInd w:val="0"/>
        <w:spacing w:after="0" w:line="240" w:lineRule="auto"/>
        <w:ind w:left="-567"/>
        <w:jc w:val="both"/>
        <w:rPr>
          <w:rFonts w:ascii="Arial" w:hAnsi="Arial" w:cs="Arial"/>
          <w:color w:val="000000"/>
          <w:sz w:val="24"/>
          <w:szCs w:val="24"/>
        </w:rPr>
      </w:pPr>
      <w:bookmarkStart w:id="15" w:name="_Hlk89279950"/>
      <w:r w:rsidRPr="003C7CB5">
        <w:rPr>
          <w:rFonts w:ascii="Arial" w:hAnsi="Arial" w:cs="Arial"/>
          <w:color w:val="000000"/>
          <w:sz w:val="24"/>
          <w:szCs w:val="24"/>
        </w:rPr>
        <w:t>Durante 20</w:t>
      </w:r>
      <w:r>
        <w:rPr>
          <w:rFonts w:ascii="Arial" w:hAnsi="Arial" w:cs="Arial"/>
          <w:color w:val="000000"/>
          <w:sz w:val="24"/>
          <w:szCs w:val="24"/>
        </w:rPr>
        <w:t>20</w:t>
      </w:r>
      <w:r w:rsidR="00E14BB8">
        <w:rPr>
          <w:rFonts w:ascii="Arial" w:hAnsi="Arial" w:cs="Arial"/>
          <w:color w:val="000000"/>
          <w:sz w:val="24"/>
          <w:szCs w:val="24"/>
        </w:rPr>
        <w:t>,</w:t>
      </w:r>
      <w:r w:rsidRPr="003C7CB5">
        <w:rPr>
          <w:rFonts w:ascii="Arial" w:hAnsi="Arial" w:cs="Arial"/>
          <w:color w:val="000000"/>
          <w:sz w:val="24"/>
          <w:szCs w:val="24"/>
        </w:rPr>
        <w:t xml:space="preserve"> a nivel nacional se promovieron </w:t>
      </w:r>
      <w:r w:rsidR="007A1068" w:rsidRPr="007A1068">
        <w:rPr>
          <w:rFonts w:ascii="Arial" w:hAnsi="Arial" w:cs="Arial"/>
          <w:color w:val="000000"/>
          <w:sz w:val="24"/>
          <w:szCs w:val="24"/>
        </w:rPr>
        <w:t>15</w:t>
      </w:r>
      <w:r w:rsidR="007A1068">
        <w:rPr>
          <w:rFonts w:ascii="Arial" w:hAnsi="Arial" w:cs="Arial"/>
          <w:color w:val="000000"/>
          <w:sz w:val="24"/>
          <w:szCs w:val="24"/>
        </w:rPr>
        <w:t xml:space="preserve"> </w:t>
      </w:r>
      <w:r w:rsidR="007A1068" w:rsidRPr="007A1068">
        <w:rPr>
          <w:rFonts w:ascii="Arial" w:hAnsi="Arial" w:cs="Arial"/>
          <w:color w:val="000000"/>
          <w:sz w:val="24"/>
          <w:szCs w:val="24"/>
        </w:rPr>
        <w:t>052</w:t>
      </w:r>
      <w:r w:rsidR="007A1068">
        <w:rPr>
          <w:rFonts w:ascii="Arial" w:hAnsi="Arial" w:cs="Arial"/>
          <w:color w:val="000000"/>
          <w:sz w:val="24"/>
          <w:szCs w:val="24"/>
        </w:rPr>
        <w:t xml:space="preserve"> </w:t>
      </w:r>
      <w:r w:rsidRPr="003C7CB5">
        <w:rPr>
          <w:rFonts w:ascii="Arial" w:hAnsi="Arial" w:cs="Arial"/>
          <w:color w:val="000000"/>
          <w:sz w:val="24"/>
          <w:szCs w:val="24"/>
        </w:rPr>
        <w:t>medidas y acciones para la protección y defensa de los derechos humanos, de las cuales</w:t>
      </w:r>
      <w:r w:rsidR="00936B74">
        <w:rPr>
          <w:rFonts w:ascii="Arial" w:hAnsi="Arial" w:cs="Arial"/>
          <w:color w:val="000000"/>
          <w:sz w:val="24"/>
          <w:szCs w:val="24"/>
        </w:rPr>
        <w:t>,</w:t>
      </w:r>
      <w:r w:rsidRPr="003C7CB5">
        <w:rPr>
          <w:rFonts w:ascii="Arial" w:hAnsi="Arial" w:cs="Arial"/>
          <w:color w:val="000000"/>
          <w:sz w:val="24"/>
          <w:szCs w:val="24"/>
        </w:rPr>
        <w:t xml:space="preserve"> </w:t>
      </w:r>
      <w:r w:rsidR="007A1068">
        <w:rPr>
          <w:rFonts w:ascii="Arial" w:hAnsi="Arial" w:cs="Arial"/>
          <w:color w:val="000000"/>
          <w:sz w:val="24"/>
          <w:szCs w:val="24"/>
        </w:rPr>
        <w:t>389</w:t>
      </w:r>
      <w:r w:rsidRPr="003C7CB5">
        <w:rPr>
          <w:rFonts w:ascii="Arial" w:hAnsi="Arial" w:cs="Arial"/>
          <w:color w:val="000000"/>
          <w:sz w:val="24"/>
          <w:szCs w:val="24"/>
        </w:rPr>
        <w:t xml:space="preserve"> se reportaron por parte de la CNDH y </w:t>
      </w:r>
      <w:r w:rsidR="007A1068">
        <w:rPr>
          <w:rFonts w:ascii="Arial" w:hAnsi="Arial" w:cs="Arial"/>
          <w:color w:val="000000"/>
          <w:sz w:val="24"/>
          <w:szCs w:val="24"/>
        </w:rPr>
        <w:t>14 663</w:t>
      </w:r>
      <w:r w:rsidRPr="003C7CB5">
        <w:rPr>
          <w:rFonts w:ascii="Arial" w:hAnsi="Arial" w:cs="Arial"/>
          <w:color w:val="000000"/>
          <w:sz w:val="24"/>
          <w:szCs w:val="24"/>
        </w:rPr>
        <w:t xml:space="preserve"> correspondió a los OPDH. </w:t>
      </w:r>
      <w:r w:rsidR="007A1068">
        <w:rPr>
          <w:rFonts w:ascii="Arial" w:hAnsi="Arial" w:cs="Arial"/>
          <w:color w:val="000000"/>
          <w:sz w:val="24"/>
          <w:szCs w:val="24"/>
        </w:rPr>
        <w:t xml:space="preserve">Comparado </w:t>
      </w:r>
      <w:r w:rsidR="00936B74">
        <w:rPr>
          <w:rFonts w:ascii="Arial" w:hAnsi="Arial" w:cs="Arial"/>
          <w:color w:val="000000"/>
          <w:sz w:val="24"/>
          <w:szCs w:val="24"/>
        </w:rPr>
        <w:t>con</w:t>
      </w:r>
      <w:r w:rsidR="007A1068">
        <w:rPr>
          <w:rFonts w:ascii="Arial" w:hAnsi="Arial" w:cs="Arial"/>
          <w:color w:val="000000"/>
          <w:sz w:val="24"/>
          <w:szCs w:val="24"/>
        </w:rPr>
        <w:t xml:space="preserve"> 2019, </w:t>
      </w:r>
      <w:r w:rsidR="007F48B5">
        <w:rPr>
          <w:rFonts w:ascii="Arial" w:hAnsi="Arial" w:cs="Arial"/>
          <w:color w:val="000000"/>
          <w:sz w:val="24"/>
          <w:szCs w:val="24"/>
        </w:rPr>
        <w:t xml:space="preserve">la cantidad de medidas y acciones </w:t>
      </w:r>
      <w:r w:rsidR="007F48B5" w:rsidRPr="003C7CB5">
        <w:rPr>
          <w:rFonts w:ascii="Arial" w:hAnsi="Arial" w:cs="Arial"/>
          <w:color w:val="000000"/>
          <w:sz w:val="24"/>
          <w:szCs w:val="24"/>
        </w:rPr>
        <w:t>para la protección y defensa de los derechos humanos</w:t>
      </w:r>
      <w:r w:rsidR="007F48B5">
        <w:rPr>
          <w:rFonts w:ascii="Arial" w:hAnsi="Arial" w:cs="Arial"/>
          <w:color w:val="000000"/>
          <w:sz w:val="24"/>
          <w:szCs w:val="24"/>
        </w:rPr>
        <w:t xml:space="preserve"> </w:t>
      </w:r>
      <w:r w:rsidR="007A1068">
        <w:rPr>
          <w:rFonts w:ascii="Arial" w:hAnsi="Arial" w:cs="Arial"/>
          <w:color w:val="000000"/>
          <w:sz w:val="24"/>
          <w:szCs w:val="24"/>
        </w:rPr>
        <w:t>dismin</w:t>
      </w:r>
      <w:r w:rsidR="007F48B5">
        <w:rPr>
          <w:rFonts w:ascii="Arial" w:hAnsi="Arial" w:cs="Arial"/>
          <w:color w:val="000000"/>
          <w:sz w:val="24"/>
          <w:szCs w:val="24"/>
        </w:rPr>
        <w:t>uyó</w:t>
      </w:r>
      <w:r w:rsidR="007A1068">
        <w:rPr>
          <w:rFonts w:ascii="Arial" w:hAnsi="Arial" w:cs="Arial"/>
          <w:color w:val="000000"/>
          <w:sz w:val="24"/>
          <w:szCs w:val="24"/>
        </w:rPr>
        <w:t xml:space="preserve"> 42.7% en 2020.</w:t>
      </w:r>
    </w:p>
    <w:bookmarkEnd w:id="15"/>
    <w:p w14:paraId="307B88F3" w14:textId="77777777" w:rsidR="002701BD" w:rsidRDefault="002701BD" w:rsidP="00CC13BD">
      <w:pPr>
        <w:autoSpaceDE w:val="0"/>
        <w:autoSpaceDN w:val="0"/>
        <w:adjustRightInd w:val="0"/>
        <w:spacing w:after="0" w:line="240" w:lineRule="auto"/>
        <w:ind w:left="-567"/>
        <w:jc w:val="both"/>
        <w:rPr>
          <w:rFonts w:ascii="Arial" w:hAnsi="Arial" w:cs="Arial"/>
          <w:color w:val="000000"/>
          <w:sz w:val="24"/>
          <w:szCs w:val="24"/>
        </w:rPr>
      </w:pPr>
    </w:p>
    <w:p w14:paraId="29759CD3" w14:textId="00505A69" w:rsidR="00502785" w:rsidRPr="00502785" w:rsidRDefault="002701BD" w:rsidP="00502785">
      <w:pPr>
        <w:spacing w:after="0"/>
        <w:ind w:left="-567"/>
        <w:jc w:val="center"/>
        <w:rPr>
          <w:rFonts w:ascii="Arial" w:hAnsi="Arial" w:cs="Arial"/>
          <w:b/>
          <w:bCs/>
          <w:i/>
          <w:iCs/>
          <w:color w:val="87AD8A"/>
          <w:sz w:val="18"/>
          <w:szCs w:val="24"/>
        </w:rPr>
      </w:pPr>
      <w:r>
        <w:rPr>
          <w:rFonts w:ascii="Arial" w:hAnsi="Arial" w:cs="Arial"/>
          <w:b/>
          <w:bCs/>
          <w:i/>
          <w:iCs/>
          <w:color w:val="87AD8A"/>
          <w:sz w:val="18"/>
          <w:szCs w:val="24"/>
        </w:rPr>
        <w:t>Gráfica 3</w:t>
      </w:r>
      <w:r w:rsidR="00643797">
        <w:rPr>
          <w:rFonts w:ascii="Arial" w:hAnsi="Arial" w:cs="Arial"/>
          <w:b/>
          <w:bCs/>
          <w:i/>
          <w:iCs/>
          <w:color w:val="87AD8A"/>
          <w:sz w:val="18"/>
          <w:szCs w:val="24"/>
        </w:rPr>
        <w:t>2</w:t>
      </w:r>
      <w:r w:rsidRPr="00611289">
        <w:rPr>
          <w:rFonts w:ascii="Arial" w:hAnsi="Arial" w:cs="Arial"/>
          <w:b/>
          <w:bCs/>
          <w:i/>
          <w:iCs/>
          <w:color w:val="87AD8A"/>
          <w:sz w:val="18"/>
          <w:szCs w:val="24"/>
        </w:rPr>
        <w:t>.</w:t>
      </w:r>
      <w:r>
        <w:rPr>
          <w:rFonts w:ascii="Arial" w:hAnsi="Arial" w:cs="Arial"/>
          <w:b/>
          <w:bCs/>
          <w:i/>
          <w:iCs/>
          <w:color w:val="87AD8A"/>
          <w:sz w:val="18"/>
          <w:szCs w:val="24"/>
        </w:rPr>
        <w:t xml:space="preserve"> </w:t>
      </w:r>
      <w:r w:rsidR="00502785" w:rsidRPr="00502785">
        <w:rPr>
          <w:rFonts w:ascii="Arial" w:hAnsi="Arial" w:cs="Arial"/>
          <w:b/>
          <w:bCs/>
          <w:i/>
          <w:iCs/>
          <w:color w:val="87AD8A"/>
          <w:sz w:val="18"/>
          <w:szCs w:val="24"/>
        </w:rPr>
        <w:t xml:space="preserve">Medidas y acciones para la protección y defensa de los derechos humanos promovidas </w:t>
      </w:r>
    </w:p>
    <w:p w14:paraId="7FD980D9" w14:textId="26FDB27F" w:rsidR="002701BD" w:rsidRDefault="00502785" w:rsidP="00502785">
      <w:pPr>
        <w:spacing w:after="0"/>
        <w:ind w:left="-567"/>
        <w:jc w:val="center"/>
        <w:rPr>
          <w:rFonts w:ascii="Arial" w:hAnsi="Arial" w:cs="Arial"/>
          <w:b/>
          <w:bCs/>
          <w:i/>
          <w:iCs/>
          <w:color w:val="87AD8A"/>
          <w:sz w:val="18"/>
          <w:szCs w:val="24"/>
        </w:rPr>
      </w:pPr>
      <w:r w:rsidRPr="00502785">
        <w:rPr>
          <w:rFonts w:ascii="Arial" w:hAnsi="Arial" w:cs="Arial"/>
          <w:b/>
          <w:bCs/>
          <w:i/>
          <w:iCs/>
          <w:color w:val="87AD8A"/>
          <w:sz w:val="18"/>
          <w:szCs w:val="24"/>
        </w:rPr>
        <w:t>y/o emitidas por la CNDH y OPDH, 201</w:t>
      </w:r>
      <w:r>
        <w:rPr>
          <w:rFonts w:ascii="Arial" w:hAnsi="Arial" w:cs="Arial"/>
          <w:b/>
          <w:bCs/>
          <w:i/>
          <w:iCs/>
          <w:color w:val="87AD8A"/>
          <w:sz w:val="18"/>
          <w:szCs w:val="24"/>
        </w:rPr>
        <w:t>6 a 2020</w:t>
      </w:r>
    </w:p>
    <w:p w14:paraId="2325E546" w14:textId="77777777" w:rsidR="002701BD" w:rsidRDefault="002701BD" w:rsidP="00CC13BD">
      <w:pPr>
        <w:autoSpaceDE w:val="0"/>
        <w:autoSpaceDN w:val="0"/>
        <w:adjustRightInd w:val="0"/>
        <w:spacing w:after="0" w:line="240" w:lineRule="auto"/>
        <w:ind w:left="-567"/>
        <w:jc w:val="both"/>
        <w:rPr>
          <w:rFonts w:ascii="Arial" w:hAnsi="Arial" w:cs="Arial"/>
          <w:color w:val="000000"/>
          <w:sz w:val="24"/>
          <w:szCs w:val="24"/>
        </w:rPr>
      </w:pPr>
    </w:p>
    <w:p w14:paraId="6FB80A5C" w14:textId="149F71AF" w:rsidR="002701BD" w:rsidRDefault="002701BD" w:rsidP="002701BD">
      <w:pPr>
        <w:autoSpaceDE w:val="0"/>
        <w:autoSpaceDN w:val="0"/>
        <w:adjustRightInd w:val="0"/>
        <w:spacing w:after="0" w:line="240" w:lineRule="auto"/>
        <w:ind w:left="-567"/>
        <w:jc w:val="center"/>
        <w:rPr>
          <w:rFonts w:ascii="Arial" w:hAnsi="Arial" w:cs="Arial"/>
          <w:color w:val="000000"/>
          <w:sz w:val="24"/>
          <w:szCs w:val="24"/>
        </w:rPr>
      </w:pPr>
      <w:r w:rsidRPr="002701BD">
        <w:rPr>
          <w:rFonts w:ascii="Arial" w:hAnsi="Arial" w:cs="Arial"/>
          <w:noProof/>
          <w:color w:val="000000"/>
          <w:sz w:val="24"/>
          <w:szCs w:val="24"/>
        </w:rPr>
        <w:drawing>
          <wp:inline distT="0" distB="0" distL="0" distR="0" wp14:anchorId="43D8F6AE" wp14:editId="75FB629E">
            <wp:extent cx="4817660" cy="1985749"/>
            <wp:effectExtent l="0" t="0" r="2540" b="0"/>
            <wp:docPr id="24" name="Gráfico 24">
              <a:extLst xmlns:a="http://schemas.openxmlformats.org/drawingml/2006/main">
                <a:ext uri="{FF2B5EF4-FFF2-40B4-BE49-F238E27FC236}">
                  <a16:creationId xmlns:a16="http://schemas.microsoft.com/office/drawing/2014/main" id="{63256D54-6EB8-4AAE-A943-4306D4447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8954337" w14:textId="4DFE0E8B" w:rsidR="000E2B6F" w:rsidRDefault="000E2B6F" w:rsidP="00962103">
      <w:pPr>
        <w:spacing w:after="0"/>
        <w:ind w:left="-567"/>
        <w:rPr>
          <w:rFonts w:ascii="Arial" w:hAnsi="Arial" w:cs="Arial"/>
          <w:b/>
          <w:bCs/>
          <w:iCs/>
          <w:noProof/>
          <w:sz w:val="24"/>
          <w:szCs w:val="24"/>
          <w:lang w:eastAsia="es-MX"/>
        </w:rPr>
      </w:pPr>
    </w:p>
    <w:p w14:paraId="53586644" w14:textId="7826DA30" w:rsidR="00502785" w:rsidRDefault="00502785" w:rsidP="00502785">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Del total de </w:t>
      </w:r>
      <w:r w:rsidRPr="003C7CB5">
        <w:rPr>
          <w:rFonts w:ascii="Arial" w:hAnsi="Arial" w:cs="Arial"/>
          <w:color w:val="000000"/>
          <w:sz w:val="24"/>
          <w:szCs w:val="24"/>
        </w:rPr>
        <w:t>medidas y acciones para la protección y defensa de los derechos humanos</w:t>
      </w:r>
      <w:r w:rsidR="0089032D">
        <w:rPr>
          <w:rFonts w:ascii="Arial" w:hAnsi="Arial" w:cs="Arial"/>
          <w:color w:val="000000"/>
          <w:sz w:val="24"/>
          <w:szCs w:val="24"/>
        </w:rPr>
        <w:t>, 58.3% correspondió a m</w:t>
      </w:r>
      <w:r w:rsidR="0089032D" w:rsidRPr="0089032D">
        <w:rPr>
          <w:rFonts w:ascii="Arial" w:hAnsi="Arial" w:cs="Arial"/>
          <w:color w:val="000000"/>
          <w:sz w:val="24"/>
          <w:szCs w:val="24"/>
        </w:rPr>
        <w:t>edidas precautorias o cautelares</w:t>
      </w:r>
      <w:r w:rsidR="0089032D">
        <w:rPr>
          <w:rFonts w:ascii="Arial" w:hAnsi="Arial" w:cs="Arial"/>
          <w:color w:val="000000"/>
          <w:sz w:val="24"/>
          <w:szCs w:val="24"/>
        </w:rPr>
        <w:t>.</w:t>
      </w:r>
    </w:p>
    <w:p w14:paraId="7AC8960C" w14:textId="77777777" w:rsidR="00502785" w:rsidRDefault="00502785" w:rsidP="00502785">
      <w:pPr>
        <w:spacing w:after="0"/>
        <w:ind w:left="-567"/>
        <w:rPr>
          <w:rFonts w:ascii="Arial" w:hAnsi="Arial" w:cs="Arial"/>
          <w:b/>
          <w:bCs/>
          <w:i/>
          <w:iCs/>
          <w:color w:val="87AD8A"/>
          <w:sz w:val="18"/>
          <w:szCs w:val="24"/>
        </w:rPr>
      </w:pPr>
    </w:p>
    <w:p w14:paraId="7C31410B" w14:textId="6456441D" w:rsidR="00502785" w:rsidRDefault="00502785" w:rsidP="00502785">
      <w:pPr>
        <w:spacing w:after="0"/>
        <w:ind w:left="-567"/>
        <w:jc w:val="center"/>
        <w:rPr>
          <w:rFonts w:ascii="Arial" w:hAnsi="Arial" w:cs="Arial"/>
          <w:b/>
          <w:bCs/>
          <w:i/>
          <w:iCs/>
          <w:color w:val="87AD8A"/>
          <w:sz w:val="18"/>
          <w:szCs w:val="24"/>
        </w:rPr>
      </w:pPr>
      <w:r>
        <w:rPr>
          <w:rFonts w:ascii="Arial" w:hAnsi="Arial" w:cs="Arial"/>
          <w:b/>
          <w:bCs/>
          <w:i/>
          <w:iCs/>
          <w:color w:val="87AD8A"/>
          <w:sz w:val="18"/>
          <w:szCs w:val="24"/>
        </w:rPr>
        <w:t>Gráfica 3</w:t>
      </w:r>
      <w:r w:rsidR="00643797">
        <w:rPr>
          <w:rFonts w:ascii="Arial" w:hAnsi="Arial" w:cs="Arial"/>
          <w:b/>
          <w:bCs/>
          <w:i/>
          <w:iCs/>
          <w:color w:val="87AD8A"/>
          <w:sz w:val="18"/>
          <w:szCs w:val="24"/>
        </w:rPr>
        <w:t>3</w:t>
      </w:r>
      <w:r w:rsidRPr="00611289">
        <w:rPr>
          <w:rFonts w:ascii="Arial" w:hAnsi="Arial" w:cs="Arial"/>
          <w:b/>
          <w:bCs/>
          <w:i/>
          <w:iCs/>
          <w:color w:val="87AD8A"/>
          <w:sz w:val="18"/>
          <w:szCs w:val="24"/>
        </w:rPr>
        <w:t>.</w:t>
      </w:r>
      <w:r>
        <w:rPr>
          <w:rFonts w:ascii="Arial" w:hAnsi="Arial" w:cs="Arial"/>
          <w:b/>
          <w:bCs/>
          <w:i/>
          <w:iCs/>
          <w:color w:val="87AD8A"/>
          <w:sz w:val="18"/>
          <w:szCs w:val="24"/>
        </w:rPr>
        <w:t xml:space="preserve"> </w:t>
      </w:r>
      <w:r w:rsidR="0089032D" w:rsidRPr="0089032D">
        <w:rPr>
          <w:rFonts w:ascii="Arial" w:hAnsi="Arial" w:cs="Arial"/>
          <w:b/>
          <w:bCs/>
          <w:i/>
          <w:iCs/>
          <w:color w:val="87AD8A"/>
          <w:sz w:val="18"/>
          <w:szCs w:val="24"/>
        </w:rPr>
        <w:t>Medidas y acciones para la defensa y protección de los derechos humanos promovidas y/o emitidas</w:t>
      </w:r>
      <w:r w:rsidR="0089032D">
        <w:rPr>
          <w:rFonts w:ascii="Arial" w:hAnsi="Arial" w:cs="Arial"/>
          <w:b/>
          <w:bCs/>
          <w:i/>
          <w:iCs/>
          <w:color w:val="87AD8A"/>
          <w:sz w:val="18"/>
          <w:szCs w:val="24"/>
        </w:rPr>
        <w:t>, según tipo, 2020</w:t>
      </w:r>
    </w:p>
    <w:p w14:paraId="2A35D54C" w14:textId="1AF9DB0B" w:rsidR="00502785" w:rsidRDefault="00502785" w:rsidP="00502785">
      <w:pPr>
        <w:spacing w:after="0"/>
        <w:ind w:left="-567"/>
        <w:jc w:val="center"/>
        <w:rPr>
          <w:rFonts w:ascii="Arial" w:hAnsi="Arial" w:cs="Arial"/>
          <w:b/>
          <w:bCs/>
          <w:i/>
          <w:iCs/>
          <w:color w:val="87AD8A"/>
          <w:sz w:val="18"/>
          <w:szCs w:val="24"/>
        </w:rPr>
      </w:pPr>
      <w:r w:rsidRPr="00502785">
        <w:rPr>
          <w:rFonts w:ascii="Arial" w:hAnsi="Arial" w:cs="Arial"/>
          <w:b/>
          <w:bCs/>
          <w:i/>
          <w:iCs/>
          <w:noProof/>
          <w:color w:val="87AD8A"/>
          <w:sz w:val="18"/>
          <w:szCs w:val="24"/>
        </w:rPr>
        <w:drawing>
          <wp:inline distT="0" distB="0" distL="0" distR="0" wp14:anchorId="794A13D0" wp14:editId="79CFA022">
            <wp:extent cx="5057030" cy="2099144"/>
            <wp:effectExtent l="0" t="0" r="0" b="0"/>
            <wp:docPr id="25" name="Gráfico 25">
              <a:extLst xmlns:a="http://schemas.openxmlformats.org/drawingml/2006/main">
                <a:ext uri="{FF2B5EF4-FFF2-40B4-BE49-F238E27FC236}">
                  <a16:creationId xmlns:a16="http://schemas.microsoft.com/office/drawing/2014/main" id="{1FEC3308-525E-490D-8C0D-B46FA7A60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E54FCC6" w14:textId="77777777" w:rsidR="0089032D" w:rsidRDefault="0089032D" w:rsidP="00502785">
      <w:pPr>
        <w:spacing w:after="0"/>
        <w:ind w:left="-567"/>
        <w:jc w:val="center"/>
        <w:rPr>
          <w:rFonts w:ascii="Arial" w:hAnsi="Arial" w:cs="Arial"/>
          <w:b/>
          <w:bCs/>
          <w:i/>
          <w:iCs/>
          <w:color w:val="87AD8A"/>
          <w:sz w:val="18"/>
          <w:szCs w:val="24"/>
        </w:rPr>
      </w:pPr>
    </w:p>
    <w:p w14:paraId="4787801D" w14:textId="0FCE73A5" w:rsidR="0089032D" w:rsidRDefault="0089032D" w:rsidP="0089032D">
      <w:pPr>
        <w:spacing w:after="0"/>
        <w:ind w:left="-567"/>
        <w:rPr>
          <w:rFonts w:ascii="Arial" w:hAnsi="Arial" w:cs="Arial"/>
          <w:b/>
          <w:bCs/>
          <w:iCs/>
          <w:noProof/>
          <w:sz w:val="24"/>
          <w:szCs w:val="24"/>
          <w:lang w:eastAsia="es-MX"/>
        </w:rPr>
      </w:pPr>
      <w:r w:rsidRPr="0089032D">
        <w:rPr>
          <w:rFonts w:ascii="Arial" w:hAnsi="Arial" w:cs="Arial"/>
          <w:b/>
          <w:bCs/>
          <w:iCs/>
          <w:noProof/>
          <w:sz w:val="24"/>
          <w:szCs w:val="24"/>
          <w:lang w:eastAsia="es-MX"/>
        </w:rPr>
        <w:t>Servidores públicos sancionados</w:t>
      </w:r>
    </w:p>
    <w:p w14:paraId="7E3748A5" w14:textId="77777777" w:rsidR="0089032D" w:rsidRDefault="0089032D" w:rsidP="0089032D">
      <w:pPr>
        <w:spacing w:after="0"/>
        <w:ind w:left="-567"/>
        <w:rPr>
          <w:rFonts w:ascii="Arial" w:hAnsi="Arial" w:cs="Arial"/>
          <w:b/>
          <w:bCs/>
          <w:iCs/>
          <w:noProof/>
          <w:sz w:val="24"/>
          <w:szCs w:val="24"/>
          <w:lang w:eastAsia="es-MX"/>
        </w:rPr>
      </w:pPr>
    </w:p>
    <w:p w14:paraId="11089BEF" w14:textId="342DB485" w:rsidR="0089032D" w:rsidRDefault="00713FC6" w:rsidP="00462E16">
      <w:pPr>
        <w:spacing w:after="0"/>
        <w:ind w:left="-567"/>
        <w:jc w:val="both"/>
        <w:rPr>
          <w:rFonts w:ascii="Arial" w:hAnsi="Arial" w:cs="Arial"/>
          <w:color w:val="000000"/>
          <w:sz w:val="24"/>
          <w:szCs w:val="24"/>
        </w:rPr>
      </w:pPr>
      <w:bookmarkStart w:id="16" w:name="_Hlk89276643"/>
      <w:bookmarkStart w:id="17" w:name="_Hlk89279986"/>
      <w:r w:rsidRPr="00713FC6">
        <w:rPr>
          <w:rFonts w:ascii="Arial" w:hAnsi="Arial" w:cs="Arial"/>
          <w:color w:val="000000"/>
          <w:sz w:val="24"/>
          <w:szCs w:val="24"/>
        </w:rPr>
        <w:t>Derivado de las recomendaciones emitidas por la CNDH y los OPDH, durante 20</w:t>
      </w:r>
      <w:r w:rsidR="00AE3A94">
        <w:rPr>
          <w:rFonts w:ascii="Arial" w:hAnsi="Arial" w:cs="Arial"/>
          <w:color w:val="000000"/>
          <w:sz w:val="24"/>
          <w:szCs w:val="24"/>
        </w:rPr>
        <w:t>20</w:t>
      </w:r>
      <w:r w:rsidRPr="00713FC6">
        <w:rPr>
          <w:rFonts w:ascii="Arial" w:hAnsi="Arial" w:cs="Arial"/>
          <w:color w:val="000000"/>
          <w:sz w:val="24"/>
          <w:szCs w:val="24"/>
        </w:rPr>
        <w:t xml:space="preserve"> se</w:t>
      </w:r>
      <w:r>
        <w:rPr>
          <w:rFonts w:ascii="Arial" w:hAnsi="Arial" w:cs="Arial"/>
          <w:color w:val="000000"/>
          <w:sz w:val="24"/>
          <w:szCs w:val="24"/>
        </w:rPr>
        <w:t xml:space="preserve"> </w:t>
      </w:r>
      <w:r w:rsidRPr="00713FC6">
        <w:rPr>
          <w:rFonts w:ascii="Arial" w:hAnsi="Arial" w:cs="Arial"/>
          <w:color w:val="000000"/>
          <w:sz w:val="24"/>
          <w:szCs w:val="24"/>
        </w:rPr>
        <w:t xml:space="preserve">sancionó a </w:t>
      </w:r>
      <w:r w:rsidR="004439F4" w:rsidRPr="004439F4">
        <w:rPr>
          <w:rFonts w:ascii="Arial" w:hAnsi="Arial" w:cs="Arial"/>
          <w:color w:val="000000"/>
          <w:sz w:val="24"/>
          <w:szCs w:val="24"/>
        </w:rPr>
        <w:t>489</w:t>
      </w:r>
      <w:r w:rsidRPr="00713FC6">
        <w:rPr>
          <w:rFonts w:ascii="Arial" w:hAnsi="Arial" w:cs="Arial"/>
          <w:color w:val="000000"/>
          <w:sz w:val="24"/>
          <w:szCs w:val="24"/>
        </w:rPr>
        <w:t xml:space="preserve"> servidoras y servidores </w:t>
      </w:r>
      <w:r w:rsidRPr="00462E16">
        <w:rPr>
          <w:rFonts w:ascii="Arial" w:hAnsi="Arial" w:cs="Arial"/>
          <w:color w:val="000000"/>
          <w:sz w:val="24"/>
          <w:szCs w:val="24"/>
        </w:rPr>
        <w:t>públicos</w:t>
      </w:r>
      <w:r w:rsidR="004439F4" w:rsidRPr="00462E16">
        <w:rPr>
          <w:rFonts w:ascii="Arial" w:hAnsi="Arial" w:cs="Arial"/>
          <w:color w:val="000000"/>
          <w:sz w:val="24"/>
          <w:szCs w:val="24"/>
        </w:rPr>
        <w:t>, cifra que representó una disminución de 38.3%, respecto de l</w:t>
      </w:r>
      <w:r w:rsidR="00ED7194">
        <w:rPr>
          <w:rFonts w:ascii="Arial" w:hAnsi="Arial" w:cs="Arial"/>
          <w:color w:val="000000"/>
          <w:sz w:val="24"/>
          <w:szCs w:val="24"/>
        </w:rPr>
        <w:t>o</w:t>
      </w:r>
      <w:r w:rsidR="004439F4" w:rsidRPr="00462E16">
        <w:rPr>
          <w:rFonts w:ascii="Arial" w:hAnsi="Arial" w:cs="Arial"/>
          <w:color w:val="000000"/>
          <w:sz w:val="24"/>
          <w:szCs w:val="24"/>
        </w:rPr>
        <w:t xml:space="preserve"> reportad</w:t>
      </w:r>
      <w:r w:rsidR="00ED7194">
        <w:rPr>
          <w:rFonts w:ascii="Arial" w:hAnsi="Arial" w:cs="Arial"/>
          <w:color w:val="000000"/>
          <w:sz w:val="24"/>
          <w:szCs w:val="24"/>
        </w:rPr>
        <w:t>o</w:t>
      </w:r>
      <w:r w:rsidR="004439F4" w:rsidRPr="00462E16">
        <w:rPr>
          <w:rFonts w:ascii="Arial" w:hAnsi="Arial" w:cs="Arial"/>
          <w:color w:val="000000"/>
          <w:sz w:val="24"/>
          <w:szCs w:val="24"/>
        </w:rPr>
        <w:t xml:space="preserve"> en 2019</w:t>
      </w:r>
      <w:bookmarkEnd w:id="16"/>
      <w:r w:rsidR="004439F4" w:rsidRPr="00462E16">
        <w:rPr>
          <w:rStyle w:val="Refdenotaalpie"/>
          <w:rFonts w:ascii="Arial" w:hAnsi="Arial" w:cs="Arial"/>
          <w:color w:val="000000"/>
          <w:sz w:val="24"/>
          <w:szCs w:val="24"/>
        </w:rPr>
        <w:footnoteReference w:id="24"/>
      </w:r>
      <w:r w:rsidR="004439F4" w:rsidRPr="00462E16">
        <w:rPr>
          <w:rFonts w:ascii="Arial" w:hAnsi="Arial" w:cs="Arial"/>
          <w:color w:val="000000"/>
          <w:sz w:val="24"/>
          <w:szCs w:val="24"/>
        </w:rPr>
        <w:t xml:space="preserve">. </w:t>
      </w:r>
      <w:r w:rsidRPr="00462E16">
        <w:rPr>
          <w:rFonts w:ascii="Arial" w:hAnsi="Arial" w:cs="Arial"/>
          <w:color w:val="000000"/>
          <w:sz w:val="24"/>
          <w:szCs w:val="24"/>
        </w:rPr>
        <w:t>De acuerdo con el tipo de sanción emitida,</w:t>
      </w:r>
      <w:r w:rsidR="00462E16" w:rsidRPr="00462E16">
        <w:rPr>
          <w:rFonts w:ascii="Arial" w:hAnsi="Arial" w:cs="Arial"/>
          <w:color w:val="000000"/>
          <w:sz w:val="24"/>
          <w:szCs w:val="24"/>
        </w:rPr>
        <w:t xml:space="preserve"> Amonestación o apercibimiento fue la de mayor frecuencia tanto en 2019 como 2020. </w:t>
      </w:r>
    </w:p>
    <w:bookmarkEnd w:id="17"/>
    <w:p w14:paraId="3D228A02" w14:textId="77777777" w:rsidR="00462E16" w:rsidRPr="00462E16" w:rsidRDefault="00462E16" w:rsidP="00462E16">
      <w:pPr>
        <w:spacing w:after="0"/>
        <w:ind w:left="-567"/>
        <w:jc w:val="both"/>
        <w:rPr>
          <w:rFonts w:ascii="Arial" w:hAnsi="Arial" w:cs="Arial"/>
          <w:color w:val="000000"/>
          <w:sz w:val="24"/>
          <w:szCs w:val="24"/>
          <w:highlight w:val="yellow"/>
        </w:rPr>
      </w:pPr>
    </w:p>
    <w:p w14:paraId="320A7B8A" w14:textId="3613F03D" w:rsidR="004439F4" w:rsidRDefault="004439F4" w:rsidP="004439F4">
      <w:pPr>
        <w:spacing w:after="0"/>
        <w:ind w:left="-567"/>
        <w:jc w:val="center"/>
        <w:rPr>
          <w:rFonts w:ascii="Arial" w:hAnsi="Arial" w:cs="Arial"/>
          <w:color w:val="000000"/>
          <w:sz w:val="24"/>
          <w:szCs w:val="24"/>
        </w:rPr>
      </w:pPr>
      <w:r>
        <w:rPr>
          <w:rFonts w:ascii="Arial" w:hAnsi="Arial" w:cs="Arial"/>
          <w:b/>
          <w:bCs/>
          <w:i/>
          <w:iCs/>
          <w:color w:val="87AD8A"/>
          <w:sz w:val="18"/>
          <w:szCs w:val="24"/>
        </w:rPr>
        <w:t>Gráfica 3</w:t>
      </w:r>
      <w:r w:rsidR="00643797">
        <w:rPr>
          <w:rFonts w:ascii="Arial" w:hAnsi="Arial" w:cs="Arial"/>
          <w:b/>
          <w:bCs/>
          <w:i/>
          <w:iCs/>
          <w:color w:val="87AD8A"/>
          <w:sz w:val="18"/>
          <w:szCs w:val="24"/>
        </w:rPr>
        <w:t>4</w:t>
      </w:r>
      <w:r w:rsidRPr="00611289">
        <w:rPr>
          <w:rFonts w:ascii="Arial" w:hAnsi="Arial" w:cs="Arial"/>
          <w:b/>
          <w:bCs/>
          <w:i/>
          <w:iCs/>
          <w:color w:val="87AD8A"/>
          <w:sz w:val="18"/>
          <w:szCs w:val="24"/>
        </w:rPr>
        <w:t>.</w:t>
      </w:r>
      <w:r>
        <w:rPr>
          <w:rFonts w:ascii="Arial" w:hAnsi="Arial" w:cs="Arial"/>
          <w:b/>
          <w:bCs/>
          <w:i/>
          <w:iCs/>
          <w:color w:val="87AD8A"/>
          <w:sz w:val="18"/>
          <w:szCs w:val="24"/>
        </w:rPr>
        <w:t xml:space="preserve"> </w:t>
      </w:r>
      <w:r w:rsidRPr="004439F4">
        <w:rPr>
          <w:rFonts w:ascii="Arial" w:hAnsi="Arial" w:cs="Arial"/>
          <w:b/>
          <w:bCs/>
          <w:i/>
          <w:iCs/>
          <w:color w:val="87AD8A"/>
          <w:sz w:val="18"/>
          <w:szCs w:val="24"/>
        </w:rPr>
        <w:t xml:space="preserve">Servidores públicos sancionados por recomendaciones emitidas por la CNDH y OPDH, </w:t>
      </w:r>
      <w:r>
        <w:rPr>
          <w:rFonts w:ascii="Arial" w:hAnsi="Arial" w:cs="Arial"/>
          <w:b/>
          <w:bCs/>
          <w:i/>
          <w:iCs/>
          <w:color w:val="87AD8A"/>
          <w:sz w:val="18"/>
          <w:szCs w:val="24"/>
        </w:rPr>
        <w:t>según</w:t>
      </w:r>
      <w:r w:rsidRPr="004439F4">
        <w:rPr>
          <w:rFonts w:ascii="Arial" w:hAnsi="Arial" w:cs="Arial"/>
          <w:b/>
          <w:bCs/>
          <w:i/>
          <w:iCs/>
          <w:color w:val="87AD8A"/>
          <w:sz w:val="18"/>
          <w:szCs w:val="24"/>
        </w:rPr>
        <w:t xml:space="preserve"> tipo de sanción, 2019 a 2020</w:t>
      </w:r>
    </w:p>
    <w:p w14:paraId="6B558C2D" w14:textId="1F0F5264" w:rsidR="004439F4" w:rsidRDefault="004439F4" w:rsidP="004439F4">
      <w:pPr>
        <w:spacing w:after="0"/>
        <w:ind w:left="-567"/>
        <w:jc w:val="center"/>
        <w:rPr>
          <w:rFonts w:ascii="Arial" w:hAnsi="Arial" w:cs="Arial"/>
          <w:color w:val="000000"/>
          <w:sz w:val="24"/>
          <w:szCs w:val="24"/>
        </w:rPr>
      </w:pPr>
      <w:r w:rsidRPr="004439F4">
        <w:rPr>
          <w:rFonts w:ascii="Arial" w:hAnsi="Arial" w:cs="Arial"/>
          <w:noProof/>
          <w:color w:val="000000"/>
          <w:sz w:val="24"/>
          <w:szCs w:val="24"/>
        </w:rPr>
        <w:drawing>
          <wp:inline distT="0" distB="0" distL="0" distR="0" wp14:anchorId="1CE2199E" wp14:editId="50FDD176">
            <wp:extent cx="4651513" cy="2560320"/>
            <wp:effectExtent l="0" t="0" r="0" b="0"/>
            <wp:docPr id="27" name="Gráfico 27">
              <a:extLst xmlns:a="http://schemas.openxmlformats.org/drawingml/2006/main">
                <a:ext uri="{FF2B5EF4-FFF2-40B4-BE49-F238E27FC236}">
                  <a16:creationId xmlns:a16="http://schemas.microsoft.com/office/drawing/2014/main" id="{05E22BDC-DCC7-447C-92AE-015B6DDBF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FBC29EB" w14:textId="50308B90" w:rsidR="004439F4" w:rsidRPr="004439F4" w:rsidRDefault="004439F4" w:rsidP="004439F4">
      <w:pPr>
        <w:jc w:val="center"/>
        <w:rPr>
          <w:rFonts w:ascii="Arial" w:hAnsi="Arial" w:cs="Arial"/>
          <w:color w:val="000000"/>
          <w:sz w:val="16"/>
          <w:szCs w:val="16"/>
        </w:rPr>
      </w:pPr>
      <w:r w:rsidRPr="004439F4">
        <w:rPr>
          <w:rFonts w:ascii="Arial" w:hAnsi="Arial" w:cs="Arial"/>
          <w:color w:val="000000"/>
          <w:sz w:val="16"/>
          <w:szCs w:val="16"/>
        </w:rPr>
        <w:t>*</w:t>
      </w:r>
      <w:r>
        <w:rPr>
          <w:rFonts w:ascii="Arial" w:hAnsi="Arial" w:cs="Arial"/>
          <w:color w:val="000000"/>
          <w:sz w:val="16"/>
          <w:szCs w:val="16"/>
        </w:rPr>
        <w:t xml:space="preserve">En </w:t>
      </w:r>
      <w:r w:rsidRPr="004439F4">
        <w:rPr>
          <w:rFonts w:ascii="Arial" w:hAnsi="Arial" w:cs="Arial"/>
          <w:color w:val="000000"/>
          <w:sz w:val="16"/>
          <w:szCs w:val="16"/>
        </w:rPr>
        <w:t xml:space="preserve">2019 </w:t>
      </w:r>
      <w:r w:rsidR="00462E16">
        <w:rPr>
          <w:rFonts w:ascii="Arial" w:hAnsi="Arial" w:cs="Arial"/>
          <w:color w:val="000000"/>
          <w:sz w:val="16"/>
          <w:szCs w:val="16"/>
        </w:rPr>
        <w:t>el instrumento de captación no contaba con</w:t>
      </w:r>
      <w:r w:rsidRPr="004439F4">
        <w:rPr>
          <w:rFonts w:ascii="Arial" w:hAnsi="Arial" w:cs="Arial"/>
          <w:color w:val="000000"/>
          <w:sz w:val="16"/>
          <w:szCs w:val="16"/>
        </w:rPr>
        <w:t xml:space="preserve"> las categorías de "Arresto", "Cambio de adscripción" y "Sanciones penales y/o privativas de la libertad".</w:t>
      </w:r>
    </w:p>
    <w:p w14:paraId="29D883FF" w14:textId="4914D856" w:rsidR="004439F4" w:rsidRPr="004439F4" w:rsidRDefault="004439F4" w:rsidP="004439F4">
      <w:pPr>
        <w:spacing w:after="0"/>
        <w:rPr>
          <w:rFonts w:ascii="Arial" w:hAnsi="Arial" w:cs="Arial"/>
          <w:color w:val="000000"/>
          <w:sz w:val="24"/>
          <w:szCs w:val="24"/>
        </w:rPr>
      </w:pPr>
    </w:p>
    <w:p w14:paraId="7DEF921B" w14:textId="77777777" w:rsidR="00462E16" w:rsidRPr="00462E16" w:rsidRDefault="00462E16" w:rsidP="00462E16">
      <w:pPr>
        <w:spacing w:after="0"/>
        <w:ind w:left="-567"/>
        <w:jc w:val="both"/>
        <w:rPr>
          <w:rFonts w:ascii="Arial" w:hAnsi="Arial" w:cs="Arial"/>
          <w:color w:val="000000"/>
          <w:sz w:val="24"/>
          <w:szCs w:val="24"/>
        </w:rPr>
      </w:pPr>
      <w:r w:rsidRPr="00462E16">
        <w:rPr>
          <w:rFonts w:ascii="Arial" w:hAnsi="Arial" w:cs="Arial"/>
          <w:color w:val="000000"/>
          <w:sz w:val="24"/>
          <w:szCs w:val="24"/>
        </w:rPr>
        <w:t>Finalmente, en cuanto a la institución de procedencia de los servidores públicos sancionados</w:t>
      </w:r>
    </w:p>
    <w:p w14:paraId="20B4D9E7" w14:textId="10F8E5A3" w:rsidR="000D3FBD" w:rsidRDefault="00462E16" w:rsidP="000D3FBD">
      <w:pPr>
        <w:spacing w:after="0"/>
        <w:ind w:left="-567"/>
        <w:jc w:val="both"/>
        <w:rPr>
          <w:rFonts w:ascii="Arial" w:hAnsi="Arial" w:cs="Arial"/>
          <w:color w:val="000000"/>
          <w:sz w:val="24"/>
          <w:szCs w:val="24"/>
        </w:rPr>
      </w:pPr>
      <w:r w:rsidRPr="00462E16">
        <w:rPr>
          <w:rFonts w:ascii="Arial" w:hAnsi="Arial" w:cs="Arial"/>
          <w:color w:val="000000"/>
          <w:sz w:val="24"/>
          <w:szCs w:val="24"/>
        </w:rPr>
        <w:t xml:space="preserve">en la CNDH y los OPDH, </w:t>
      </w:r>
      <w:r w:rsidR="000D3FBD">
        <w:rPr>
          <w:rFonts w:ascii="Arial" w:hAnsi="Arial" w:cs="Arial"/>
          <w:color w:val="000000"/>
          <w:sz w:val="24"/>
          <w:szCs w:val="24"/>
        </w:rPr>
        <w:t>se muestra la siguiente información:</w:t>
      </w:r>
    </w:p>
    <w:p w14:paraId="0C12A268" w14:textId="77777777" w:rsidR="000D3FBD" w:rsidRDefault="000D3FBD" w:rsidP="00462E16">
      <w:pPr>
        <w:spacing w:after="0"/>
        <w:ind w:left="-567"/>
        <w:jc w:val="both"/>
        <w:rPr>
          <w:rFonts w:ascii="Arial" w:hAnsi="Arial" w:cs="Arial"/>
          <w:color w:val="000000"/>
          <w:sz w:val="24"/>
          <w:szCs w:val="24"/>
        </w:rPr>
      </w:pPr>
    </w:p>
    <w:p w14:paraId="17C48B9D" w14:textId="74BD9A59" w:rsidR="000D3FBD" w:rsidRDefault="000D3FBD" w:rsidP="000D3FBD">
      <w:pPr>
        <w:spacing w:after="0"/>
        <w:ind w:left="-567"/>
        <w:jc w:val="center"/>
        <w:rPr>
          <w:rFonts w:ascii="Arial" w:hAnsi="Arial" w:cs="Arial"/>
          <w:b/>
          <w:bCs/>
          <w:i/>
          <w:iCs/>
          <w:color w:val="87AD8A"/>
          <w:sz w:val="18"/>
          <w:szCs w:val="24"/>
        </w:rPr>
      </w:pPr>
      <w:r>
        <w:rPr>
          <w:rFonts w:ascii="Arial" w:hAnsi="Arial" w:cs="Arial"/>
          <w:b/>
          <w:bCs/>
          <w:i/>
          <w:iCs/>
          <w:color w:val="87AD8A"/>
          <w:sz w:val="18"/>
          <w:szCs w:val="24"/>
        </w:rPr>
        <w:t xml:space="preserve">Gráfica </w:t>
      </w:r>
      <w:r w:rsidR="00DA56BD">
        <w:rPr>
          <w:rFonts w:ascii="Arial" w:hAnsi="Arial" w:cs="Arial"/>
          <w:b/>
          <w:bCs/>
          <w:i/>
          <w:iCs/>
          <w:color w:val="87AD8A"/>
          <w:sz w:val="18"/>
          <w:szCs w:val="24"/>
        </w:rPr>
        <w:t>3</w:t>
      </w:r>
      <w:r w:rsidR="00643797">
        <w:rPr>
          <w:rFonts w:ascii="Arial" w:hAnsi="Arial" w:cs="Arial"/>
          <w:b/>
          <w:bCs/>
          <w:i/>
          <w:iCs/>
          <w:color w:val="87AD8A"/>
          <w:sz w:val="18"/>
          <w:szCs w:val="24"/>
        </w:rPr>
        <w:t>5</w:t>
      </w:r>
      <w:r w:rsidRPr="00611289">
        <w:rPr>
          <w:rFonts w:ascii="Arial" w:hAnsi="Arial" w:cs="Arial"/>
          <w:b/>
          <w:bCs/>
          <w:i/>
          <w:iCs/>
          <w:color w:val="87AD8A"/>
          <w:sz w:val="18"/>
          <w:szCs w:val="24"/>
        </w:rPr>
        <w:t>.</w:t>
      </w:r>
      <w:r>
        <w:rPr>
          <w:rFonts w:ascii="Arial" w:hAnsi="Arial" w:cs="Arial"/>
          <w:b/>
          <w:bCs/>
          <w:i/>
          <w:iCs/>
          <w:color w:val="87AD8A"/>
          <w:sz w:val="18"/>
          <w:szCs w:val="24"/>
        </w:rPr>
        <w:t xml:space="preserve"> </w:t>
      </w:r>
      <w:r w:rsidRPr="000D3FBD">
        <w:rPr>
          <w:rFonts w:ascii="Arial" w:hAnsi="Arial" w:cs="Arial"/>
          <w:b/>
          <w:bCs/>
          <w:i/>
          <w:iCs/>
          <w:color w:val="87AD8A"/>
          <w:sz w:val="18"/>
          <w:szCs w:val="24"/>
        </w:rPr>
        <w:t xml:space="preserve">Servidores públicos </w:t>
      </w:r>
      <w:r>
        <w:rPr>
          <w:rFonts w:ascii="Arial" w:hAnsi="Arial" w:cs="Arial"/>
          <w:b/>
          <w:bCs/>
          <w:i/>
          <w:iCs/>
          <w:color w:val="87AD8A"/>
          <w:sz w:val="18"/>
          <w:szCs w:val="24"/>
        </w:rPr>
        <w:t xml:space="preserve">de la CNDH </w:t>
      </w:r>
      <w:r w:rsidRPr="000D3FBD">
        <w:rPr>
          <w:rFonts w:ascii="Arial" w:hAnsi="Arial" w:cs="Arial"/>
          <w:b/>
          <w:bCs/>
          <w:i/>
          <w:iCs/>
          <w:color w:val="87AD8A"/>
          <w:sz w:val="18"/>
          <w:szCs w:val="24"/>
        </w:rPr>
        <w:t>sancionados</w:t>
      </w:r>
      <w:r>
        <w:rPr>
          <w:rFonts w:ascii="Arial" w:hAnsi="Arial" w:cs="Arial"/>
          <w:b/>
          <w:bCs/>
          <w:i/>
          <w:iCs/>
          <w:color w:val="87AD8A"/>
          <w:sz w:val="18"/>
          <w:szCs w:val="24"/>
        </w:rPr>
        <w:t xml:space="preserve">, según </w:t>
      </w:r>
      <w:r w:rsidRPr="000D3FBD">
        <w:rPr>
          <w:rFonts w:ascii="Arial" w:hAnsi="Arial" w:cs="Arial"/>
          <w:b/>
          <w:bCs/>
          <w:i/>
          <w:iCs/>
          <w:color w:val="87AD8A"/>
          <w:sz w:val="18"/>
          <w:szCs w:val="24"/>
        </w:rPr>
        <w:t>institución de adscripción</w:t>
      </w:r>
      <w:r>
        <w:rPr>
          <w:rFonts w:ascii="Arial" w:hAnsi="Arial" w:cs="Arial"/>
          <w:b/>
          <w:bCs/>
          <w:i/>
          <w:iCs/>
          <w:color w:val="87AD8A"/>
          <w:sz w:val="18"/>
          <w:szCs w:val="24"/>
        </w:rPr>
        <w:t>, 20</w:t>
      </w:r>
      <w:r w:rsidR="00A84370">
        <w:rPr>
          <w:rFonts w:ascii="Arial" w:hAnsi="Arial" w:cs="Arial"/>
          <w:b/>
          <w:bCs/>
          <w:i/>
          <w:iCs/>
          <w:color w:val="87AD8A"/>
          <w:sz w:val="18"/>
          <w:szCs w:val="24"/>
        </w:rPr>
        <w:t>19 a 2020</w:t>
      </w:r>
    </w:p>
    <w:p w14:paraId="6A8A5D57" w14:textId="0171CAB3" w:rsidR="00EC6305" w:rsidRDefault="00A84370" w:rsidP="000D3FBD">
      <w:pPr>
        <w:spacing w:after="0"/>
        <w:ind w:left="-567"/>
        <w:jc w:val="center"/>
        <w:rPr>
          <w:rFonts w:ascii="Arial" w:hAnsi="Arial" w:cs="Arial"/>
          <w:b/>
          <w:bCs/>
          <w:i/>
          <w:iCs/>
          <w:color w:val="87AD8A"/>
          <w:sz w:val="18"/>
          <w:szCs w:val="24"/>
        </w:rPr>
      </w:pPr>
      <w:r w:rsidRPr="00A84370">
        <w:rPr>
          <w:rFonts w:ascii="Arial" w:hAnsi="Arial" w:cs="Arial"/>
          <w:b/>
          <w:bCs/>
          <w:i/>
          <w:iCs/>
          <w:noProof/>
          <w:color w:val="87AD8A"/>
          <w:sz w:val="18"/>
          <w:szCs w:val="24"/>
        </w:rPr>
        <w:drawing>
          <wp:inline distT="0" distB="0" distL="0" distR="0" wp14:anchorId="74193EDF" wp14:editId="5F683086">
            <wp:extent cx="4468495" cy="2496710"/>
            <wp:effectExtent l="0" t="0" r="8255" b="0"/>
            <wp:docPr id="28" name="Gráfico 28">
              <a:extLst xmlns:a="http://schemas.openxmlformats.org/drawingml/2006/main">
                <a:ext uri="{FF2B5EF4-FFF2-40B4-BE49-F238E27FC236}">
                  <a16:creationId xmlns:a16="http://schemas.microsoft.com/office/drawing/2014/main" id="{661CE4AE-A170-4A4D-83D7-12EC01B58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0BB4F01" w14:textId="73D2F3C9" w:rsidR="00A84370" w:rsidRDefault="00A84370" w:rsidP="00A84370">
      <w:pPr>
        <w:spacing w:after="0"/>
        <w:jc w:val="center"/>
        <w:rPr>
          <w:rFonts w:ascii="Arial" w:eastAsia="Times New Roman" w:hAnsi="Arial" w:cs="Arial"/>
          <w:color w:val="000000" w:themeColor="text1"/>
          <w:sz w:val="16"/>
          <w:szCs w:val="16"/>
          <w:lang w:eastAsia="es-MX"/>
        </w:rPr>
      </w:pPr>
      <w:r w:rsidRPr="00A84370">
        <w:rPr>
          <w:rFonts w:ascii="Arial" w:hAnsi="Arial" w:cs="Arial"/>
          <w:bCs/>
          <w:iCs/>
          <w:color w:val="000000" w:themeColor="text1"/>
          <w:sz w:val="16"/>
          <w:szCs w:val="16"/>
        </w:rPr>
        <w:t>*</w:t>
      </w:r>
      <w:r w:rsidRPr="00A84370">
        <w:rPr>
          <w:rFonts w:ascii="Arial" w:eastAsia="Times New Roman" w:hAnsi="Arial" w:cs="Arial"/>
          <w:color w:val="000000" w:themeColor="text1"/>
          <w:sz w:val="16"/>
          <w:szCs w:val="16"/>
          <w:lang w:eastAsia="es-MX"/>
        </w:rPr>
        <w:t xml:space="preserve">Institución encargada de la función de seguridad pública (sin incluir, en su caso, a la unidad </w:t>
      </w:r>
      <w:proofErr w:type="spellStart"/>
      <w:r w:rsidRPr="00A84370">
        <w:rPr>
          <w:rFonts w:ascii="Arial" w:eastAsia="Times New Roman" w:hAnsi="Arial" w:cs="Arial"/>
          <w:color w:val="000000" w:themeColor="text1"/>
          <w:sz w:val="16"/>
          <w:szCs w:val="16"/>
          <w:lang w:eastAsia="es-MX"/>
        </w:rPr>
        <w:t>u</w:t>
      </w:r>
      <w:proofErr w:type="spellEnd"/>
      <w:r w:rsidRPr="00A84370">
        <w:rPr>
          <w:rFonts w:ascii="Arial" w:eastAsia="Times New Roman" w:hAnsi="Arial" w:cs="Arial"/>
          <w:color w:val="000000" w:themeColor="text1"/>
          <w:sz w:val="16"/>
          <w:szCs w:val="16"/>
          <w:lang w:eastAsia="es-MX"/>
        </w:rPr>
        <w:t xml:space="preserve"> homóloga encargada de las funciones penitenciarias)</w:t>
      </w:r>
      <w:r>
        <w:rPr>
          <w:rFonts w:ascii="Arial" w:eastAsia="Times New Roman" w:hAnsi="Arial" w:cs="Arial"/>
          <w:color w:val="000000" w:themeColor="text1"/>
          <w:sz w:val="16"/>
          <w:szCs w:val="16"/>
          <w:lang w:eastAsia="es-MX"/>
        </w:rPr>
        <w:t>.</w:t>
      </w:r>
    </w:p>
    <w:p w14:paraId="2261AB85" w14:textId="2C02970E" w:rsidR="00A84370" w:rsidRDefault="00A84370" w:rsidP="00A84370">
      <w:pPr>
        <w:spacing w:after="0"/>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w:t>
      </w:r>
      <w:r w:rsidRPr="00A84370">
        <w:rPr>
          <w:rFonts w:ascii="Arial" w:eastAsia="Times New Roman" w:hAnsi="Arial" w:cs="Arial"/>
          <w:color w:val="000000" w:themeColor="text1"/>
          <w:sz w:val="16"/>
          <w:szCs w:val="16"/>
          <w:lang w:eastAsia="es-MX"/>
        </w:rPr>
        <w:t xml:space="preserve">Procuraduría General de Justicia o Fiscalía General (sin incluir, en su caso, a la unidad </w:t>
      </w:r>
      <w:proofErr w:type="spellStart"/>
      <w:r w:rsidRPr="00A84370">
        <w:rPr>
          <w:rFonts w:ascii="Arial" w:eastAsia="Times New Roman" w:hAnsi="Arial" w:cs="Arial"/>
          <w:color w:val="000000" w:themeColor="text1"/>
          <w:sz w:val="16"/>
          <w:szCs w:val="16"/>
          <w:lang w:eastAsia="es-MX"/>
        </w:rPr>
        <w:t>u</w:t>
      </w:r>
      <w:proofErr w:type="spellEnd"/>
      <w:r w:rsidRPr="00A84370">
        <w:rPr>
          <w:rFonts w:ascii="Arial" w:eastAsia="Times New Roman" w:hAnsi="Arial" w:cs="Arial"/>
          <w:color w:val="000000" w:themeColor="text1"/>
          <w:sz w:val="16"/>
          <w:szCs w:val="16"/>
          <w:lang w:eastAsia="es-MX"/>
        </w:rPr>
        <w:t xml:space="preserve"> homóloga encargada de la seguridad pública y/o al Centro de Justicia para las Mujeres)</w:t>
      </w:r>
      <w:r>
        <w:rPr>
          <w:rFonts w:ascii="Arial" w:eastAsia="Times New Roman" w:hAnsi="Arial" w:cs="Arial"/>
          <w:color w:val="000000" w:themeColor="text1"/>
          <w:sz w:val="16"/>
          <w:szCs w:val="16"/>
          <w:lang w:eastAsia="es-MX"/>
        </w:rPr>
        <w:t>.</w:t>
      </w:r>
    </w:p>
    <w:p w14:paraId="22528E0D" w14:textId="01AA77F6" w:rsidR="00A84370" w:rsidRPr="00A84370" w:rsidRDefault="00A84370" w:rsidP="00A84370">
      <w:pPr>
        <w:spacing w:after="0"/>
        <w:jc w:val="center"/>
        <w:rPr>
          <w:rFonts w:ascii="Arial" w:eastAsia="Times New Roman" w:hAnsi="Arial" w:cs="Arial"/>
          <w:color w:val="000000"/>
          <w:lang w:eastAsia="es-MX"/>
        </w:rPr>
      </w:pPr>
      <w:r>
        <w:rPr>
          <w:rFonts w:ascii="Arial" w:eastAsia="Times New Roman" w:hAnsi="Arial" w:cs="Arial"/>
          <w:color w:val="000000" w:themeColor="text1"/>
          <w:sz w:val="16"/>
          <w:szCs w:val="16"/>
          <w:lang w:eastAsia="es-MX"/>
        </w:rPr>
        <w:t>***</w:t>
      </w:r>
      <w:r w:rsidRPr="00A84370">
        <w:rPr>
          <w:rFonts w:ascii="Arial" w:eastAsia="Times New Roman" w:hAnsi="Arial" w:cs="Arial"/>
          <w:color w:val="000000" w:themeColor="text1"/>
          <w:sz w:val="16"/>
          <w:szCs w:val="16"/>
          <w:lang w:eastAsia="es-MX"/>
        </w:rPr>
        <w:t xml:space="preserve">Secretaría de Gobierno </w:t>
      </w:r>
      <w:proofErr w:type="spellStart"/>
      <w:r w:rsidRPr="00A84370">
        <w:rPr>
          <w:rFonts w:ascii="Arial" w:eastAsia="Times New Roman" w:hAnsi="Arial" w:cs="Arial"/>
          <w:color w:val="000000" w:themeColor="text1"/>
          <w:sz w:val="16"/>
          <w:szCs w:val="16"/>
          <w:lang w:eastAsia="es-MX"/>
        </w:rPr>
        <w:t>u</w:t>
      </w:r>
      <w:proofErr w:type="spellEnd"/>
      <w:r w:rsidRPr="00A84370">
        <w:rPr>
          <w:rFonts w:ascii="Arial" w:eastAsia="Times New Roman" w:hAnsi="Arial" w:cs="Arial"/>
          <w:color w:val="000000" w:themeColor="text1"/>
          <w:sz w:val="16"/>
          <w:szCs w:val="16"/>
          <w:lang w:eastAsia="es-MX"/>
        </w:rPr>
        <w:t xml:space="preserve"> homóloga (sin incluir, en su caso, a la unidad </w:t>
      </w:r>
      <w:proofErr w:type="spellStart"/>
      <w:r w:rsidRPr="00A84370">
        <w:rPr>
          <w:rFonts w:ascii="Arial" w:eastAsia="Times New Roman" w:hAnsi="Arial" w:cs="Arial"/>
          <w:color w:val="000000" w:themeColor="text1"/>
          <w:sz w:val="16"/>
          <w:szCs w:val="16"/>
          <w:lang w:eastAsia="es-MX"/>
        </w:rPr>
        <w:t>u</w:t>
      </w:r>
      <w:proofErr w:type="spellEnd"/>
      <w:r w:rsidRPr="00A84370">
        <w:rPr>
          <w:rFonts w:ascii="Arial" w:eastAsia="Times New Roman" w:hAnsi="Arial" w:cs="Arial"/>
          <w:color w:val="000000" w:themeColor="text1"/>
          <w:sz w:val="16"/>
          <w:szCs w:val="16"/>
          <w:lang w:eastAsia="es-MX"/>
        </w:rPr>
        <w:t xml:space="preserve"> homóloga encargada de la función de seguridad pública y/o de las funciones penitenciarias y/o al Centro de Justicia para las Mujeres y/o al organismo público encargado del sistema de agua)</w:t>
      </w:r>
      <w:r>
        <w:rPr>
          <w:rFonts w:ascii="Arial" w:eastAsia="Times New Roman" w:hAnsi="Arial" w:cs="Arial"/>
          <w:color w:val="000000" w:themeColor="text1"/>
          <w:sz w:val="16"/>
          <w:szCs w:val="16"/>
          <w:lang w:eastAsia="es-MX"/>
        </w:rPr>
        <w:t>.</w:t>
      </w:r>
    </w:p>
    <w:p w14:paraId="688A4631" w14:textId="3B1A7705" w:rsidR="000D3FBD" w:rsidRDefault="000D3FBD" w:rsidP="000D3FBD">
      <w:pPr>
        <w:spacing w:after="0"/>
        <w:ind w:left="-567"/>
        <w:jc w:val="center"/>
        <w:rPr>
          <w:rFonts w:ascii="Arial" w:hAnsi="Arial" w:cs="Arial"/>
          <w:b/>
          <w:bCs/>
          <w:iCs/>
          <w:noProof/>
          <w:sz w:val="24"/>
          <w:szCs w:val="24"/>
          <w:lang w:eastAsia="es-MX"/>
        </w:rPr>
      </w:pPr>
    </w:p>
    <w:p w14:paraId="0154DBB4" w14:textId="77777777" w:rsidR="00DA56BD" w:rsidRDefault="00DA56BD" w:rsidP="000D3FBD">
      <w:pPr>
        <w:spacing w:after="0"/>
        <w:ind w:left="-567"/>
        <w:jc w:val="center"/>
        <w:rPr>
          <w:rFonts w:ascii="Arial" w:hAnsi="Arial" w:cs="Arial"/>
          <w:b/>
          <w:bCs/>
          <w:iCs/>
          <w:noProof/>
          <w:sz w:val="24"/>
          <w:szCs w:val="24"/>
          <w:lang w:eastAsia="es-MX"/>
        </w:rPr>
      </w:pPr>
    </w:p>
    <w:p w14:paraId="20FFAE17" w14:textId="6596667C" w:rsidR="000D3FBD" w:rsidRDefault="000D3FBD" w:rsidP="000D3FBD">
      <w:pPr>
        <w:spacing w:after="0"/>
        <w:ind w:left="-567"/>
        <w:jc w:val="center"/>
        <w:rPr>
          <w:rFonts w:ascii="Arial" w:hAnsi="Arial" w:cs="Arial"/>
          <w:b/>
          <w:bCs/>
          <w:i/>
          <w:iCs/>
          <w:color w:val="87AD8A"/>
          <w:sz w:val="18"/>
          <w:szCs w:val="24"/>
        </w:rPr>
      </w:pPr>
      <w:r>
        <w:rPr>
          <w:rFonts w:ascii="Arial" w:hAnsi="Arial" w:cs="Arial"/>
          <w:b/>
          <w:bCs/>
          <w:i/>
          <w:iCs/>
          <w:color w:val="87AD8A"/>
          <w:sz w:val="18"/>
          <w:szCs w:val="24"/>
        </w:rPr>
        <w:t>Gráfica 3</w:t>
      </w:r>
      <w:r w:rsidR="00643797">
        <w:rPr>
          <w:rFonts w:ascii="Arial" w:hAnsi="Arial" w:cs="Arial"/>
          <w:b/>
          <w:bCs/>
          <w:i/>
          <w:iCs/>
          <w:color w:val="87AD8A"/>
          <w:sz w:val="18"/>
          <w:szCs w:val="24"/>
        </w:rPr>
        <w:t>6</w:t>
      </w:r>
      <w:r w:rsidRPr="00611289">
        <w:rPr>
          <w:rFonts w:ascii="Arial" w:hAnsi="Arial" w:cs="Arial"/>
          <w:b/>
          <w:bCs/>
          <w:i/>
          <w:iCs/>
          <w:color w:val="87AD8A"/>
          <w:sz w:val="18"/>
          <w:szCs w:val="24"/>
        </w:rPr>
        <w:t>.</w:t>
      </w:r>
      <w:r>
        <w:rPr>
          <w:rFonts w:ascii="Arial" w:hAnsi="Arial" w:cs="Arial"/>
          <w:b/>
          <w:bCs/>
          <w:i/>
          <w:iCs/>
          <w:color w:val="87AD8A"/>
          <w:sz w:val="18"/>
          <w:szCs w:val="24"/>
        </w:rPr>
        <w:t xml:space="preserve"> </w:t>
      </w:r>
      <w:r w:rsidRPr="000D3FBD">
        <w:rPr>
          <w:rFonts w:ascii="Arial" w:hAnsi="Arial" w:cs="Arial"/>
          <w:b/>
          <w:bCs/>
          <w:i/>
          <w:iCs/>
          <w:color w:val="87AD8A"/>
          <w:sz w:val="18"/>
          <w:szCs w:val="24"/>
        </w:rPr>
        <w:t xml:space="preserve">Servidores públicos </w:t>
      </w:r>
      <w:r>
        <w:rPr>
          <w:rFonts w:ascii="Arial" w:hAnsi="Arial" w:cs="Arial"/>
          <w:b/>
          <w:bCs/>
          <w:i/>
          <w:iCs/>
          <w:color w:val="87AD8A"/>
          <w:sz w:val="18"/>
          <w:szCs w:val="24"/>
        </w:rPr>
        <w:t xml:space="preserve">de los OPDH </w:t>
      </w:r>
      <w:r w:rsidRPr="000D3FBD">
        <w:rPr>
          <w:rFonts w:ascii="Arial" w:hAnsi="Arial" w:cs="Arial"/>
          <w:b/>
          <w:bCs/>
          <w:i/>
          <w:iCs/>
          <w:color w:val="87AD8A"/>
          <w:sz w:val="18"/>
          <w:szCs w:val="24"/>
        </w:rPr>
        <w:t>sancionados</w:t>
      </w:r>
      <w:r>
        <w:rPr>
          <w:rFonts w:ascii="Arial" w:hAnsi="Arial" w:cs="Arial"/>
          <w:b/>
          <w:bCs/>
          <w:i/>
          <w:iCs/>
          <w:color w:val="87AD8A"/>
          <w:sz w:val="18"/>
          <w:szCs w:val="24"/>
        </w:rPr>
        <w:t xml:space="preserve">, según </w:t>
      </w:r>
      <w:r w:rsidRPr="000D3FBD">
        <w:rPr>
          <w:rFonts w:ascii="Arial" w:hAnsi="Arial" w:cs="Arial"/>
          <w:b/>
          <w:bCs/>
          <w:i/>
          <w:iCs/>
          <w:color w:val="87AD8A"/>
          <w:sz w:val="18"/>
          <w:szCs w:val="24"/>
        </w:rPr>
        <w:t>institución de adscripción</w:t>
      </w:r>
      <w:r>
        <w:rPr>
          <w:rFonts w:ascii="Arial" w:hAnsi="Arial" w:cs="Arial"/>
          <w:b/>
          <w:bCs/>
          <w:i/>
          <w:iCs/>
          <w:color w:val="87AD8A"/>
          <w:sz w:val="18"/>
          <w:szCs w:val="24"/>
        </w:rPr>
        <w:t>, 20</w:t>
      </w:r>
      <w:r w:rsidR="00A84370">
        <w:rPr>
          <w:rFonts w:ascii="Arial" w:hAnsi="Arial" w:cs="Arial"/>
          <w:b/>
          <w:bCs/>
          <w:i/>
          <w:iCs/>
          <w:color w:val="87AD8A"/>
          <w:sz w:val="18"/>
          <w:szCs w:val="24"/>
        </w:rPr>
        <w:t>19 a 2020</w:t>
      </w:r>
    </w:p>
    <w:p w14:paraId="3188DB9A" w14:textId="313616AA" w:rsidR="00A84370" w:rsidRDefault="00EB0711" w:rsidP="000D3FBD">
      <w:pPr>
        <w:spacing w:after="0"/>
        <w:ind w:left="-567"/>
        <w:jc w:val="center"/>
        <w:rPr>
          <w:rFonts w:ascii="Arial" w:hAnsi="Arial" w:cs="Arial"/>
          <w:b/>
          <w:bCs/>
          <w:iCs/>
          <w:noProof/>
          <w:sz w:val="24"/>
          <w:szCs w:val="24"/>
          <w:lang w:eastAsia="es-MX"/>
        </w:rPr>
      </w:pPr>
      <w:r w:rsidRPr="00EB0711">
        <w:rPr>
          <w:rFonts w:ascii="Arial" w:hAnsi="Arial" w:cs="Arial"/>
          <w:b/>
          <w:bCs/>
          <w:i/>
          <w:iCs/>
          <w:noProof/>
          <w:color w:val="87AD8A"/>
          <w:sz w:val="18"/>
          <w:szCs w:val="24"/>
        </w:rPr>
        <w:drawing>
          <wp:inline distT="0" distB="0" distL="0" distR="0" wp14:anchorId="64B4FFC0" wp14:editId="61CC8021">
            <wp:extent cx="3784821" cy="2417196"/>
            <wp:effectExtent l="0" t="0" r="6350" b="2540"/>
            <wp:docPr id="30" name="Gráfico 30">
              <a:extLst xmlns:a="http://schemas.openxmlformats.org/drawingml/2006/main">
                <a:ext uri="{FF2B5EF4-FFF2-40B4-BE49-F238E27FC236}">
                  <a16:creationId xmlns:a16="http://schemas.microsoft.com/office/drawing/2014/main" id="{9A5CC3C1-F624-4558-991E-D5F8C6B1F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CFDEF64" w14:textId="03104ADB" w:rsidR="00EB0711" w:rsidRDefault="00EB0711" w:rsidP="00EB0711">
      <w:pPr>
        <w:spacing w:after="0"/>
        <w:jc w:val="center"/>
        <w:rPr>
          <w:rFonts w:ascii="Arial" w:eastAsia="Times New Roman" w:hAnsi="Arial" w:cs="Arial"/>
          <w:color w:val="000000"/>
          <w:sz w:val="16"/>
          <w:szCs w:val="16"/>
          <w:lang w:eastAsia="es-MX"/>
        </w:rPr>
      </w:pPr>
      <w:r w:rsidRPr="00EB0711">
        <w:rPr>
          <w:rFonts w:ascii="Arial" w:hAnsi="Arial" w:cs="Arial"/>
          <w:b/>
          <w:bCs/>
          <w:iCs/>
          <w:noProof/>
          <w:sz w:val="16"/>
          <w:szCs w:val="16"/>
          <w:lang w:eastAsia="es-MX"/>
        </w:rPr>
        <w:t>*</w:t>
      </w:r>
      <w:r w:rsidRPr="00EB0711">
        <w:rPr>
          <w:rFonts w:ascii="Arial" w:eastAsia="Times New Roman" w:hAnsi="Arial" w:cs="Arial"/>
          <w:color w:val="000000"/>
          <w:sz w:val="16"/>
          <w:szCs w:val="16"/>
          <w:lang w:eastAsia="es-MX"/>
        </w:rPr>
        <w:t xml:space="preserve">Procuraduría General de Justicia o Fiscalía General (sin incluir, en su caso, a la unidad </w:t>
      </w:r>
      <w:proofErr w:type="spellStart"/>
      <w:r w:rsidRPr="00EB0711">
        <w:rPr>
          <w:rFonts w:ascii="Arial" w:eastAsia="Times New Roman" w:hAnsi="Arial" w:cs="Arial"/>
          <w:color w:val="000000"/>
          <w:sz w:val="16"/>
          <w:szCs w:val="16"/>
          <w:lang w:eastAsia="es-MX"/>
        </w:rPr>
        <w:t>u</w:t>
      </w:r>
      <w:proofErr w:type="spellEnd"/>
      <w:r w:rsidRPr="00EB0711">
        <w:rPr>
          <w:rFonts w:ascii="Arial" w:eastAsia="Times New Roman" w:hAnsi="Arial" w:cs="Arial"/>
          <w:color w:val="000000"/>
          <w:sz w:val="16"/>
          <w:szCs w:val="16"/>
          <w:lang w:eastAsia="es-MX"/>
        </w:rPr>
        <w:t xml:space="preserve"> homóloga encargada de la seguridad pública y/o al Centro de Justicia para las Mujeres)</w:t>
      </w:r>
      <w:r>
        <w:rPr>
          <w:rFonts w:ascii="Arial" w:eastAsia="Times New Roman" w:hAnsi="Arial" w:cs="Arial"/>
          <w:color w:val="000000"/>
          <w:sz w:val="16"/>
          <w:szCs w:val="16"/>
          <w:lang w:eastAsia="es-MX"/>
        </w:rPr>
        <w:t>.</w:t>
      </w:r>
    </w:p>
    <w:p w14:paraId="51C1A74C" w14:textId="35F1BA14" w:rsidR="00EB0711" w:rsidRDefault="00EB0711" w:rsidP="00EB0711">
      <w:pPr>
        <w:spacing w:after="0"/>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w:t>
      </w:r>
      <w:r w:rsidRPr="00EB0711">
        <w:rPr>
          <w:rFonts w:ascii="Arial" w:eastAsia="Times New Roman" w:hAnsi="Arial" w:cs="Arial"/>
          <w:color w:val="000000"/>
          <w:sz w:val="16"/>
          <w:szCs w:val="16"/>
          <w:lang w:eastAsia="es-MX"/>
        </w:rPr>
        <w:t xml:space="preserve">Institución encargada de la función de seguridad pública (sin incluir, en su caso, a la unidad </w:t>
      </w:r>
      <w:proofErr w:type="spellStart"/>
      <w:r w:rsidRPr="00EB0711">
        <w:rPr>
          <w:rFonts w:ascii="Arial" w:eastAsia="Times New Roman" w:hAnsi="Arial" w:cs="Arial"/>
          <w:color w:val="000000"/>
          <w:sz w:val="16"/>
          <w:szCs w:val="16"/>
          <w:lang w:eastAsia="es-MX"/>
        </w:rPr>
        <w:t>u</w:t>
      </w:r>
      <w:proofErr w:type="spellEnd"/>
      <w:r w:rsidRPr="00EB0711">
        <w:rPr>
          <w:rFonts w:ascii="Arial" w:eastAsia="Times New Roman" w:hAnsi="Arial" w:cs="Arial"/>
          <w:color w:val="000000"/>
          <w:sz w:val="16"/>
          <w:szCs w:val="16"/>
          <w:lang w:eastAsia="es-MX"/>
        </w:rPr>
        <w:t xml:space="preserve"> homóloga encargada de las funciones penitenciarias)</w:t>
      </w:r>
      <w:r w:rsidR="00DA56BD">
        <w:rPr>
          <w:rFonts w:ascii="Arial" w:eastAsia="Times New Roman" w:hAnsi="Arial" w:cs="Arial"/>
          <w:color w:val="000000"/>
          <w:sz w:val="16"/>
          <w:szCs w:val="16"/>
          <w:lang w:eastAsia="es-MX"/>
        </w:rPr>
        <w:t>.</w:t>
      </w:r>
    </w:p>
    <w:p w14:paraId="157C5F7E" w14:textId="77777777" w:rsidR="00DA56BD" w:rsidRPr="00EB0711" w:rsidRDefault="00DA56BD" w:rsidP="00EB0711">
      <w:pPr>
        <w:spacing w:after="0"/>
        <w:jc w:val="center"/>
        <w:rPr>
          <w:rFonts w:ascii="Arial" w:eastAsia="Times New Roman" w:hAnsi="Arial" w:cs="Arial"/>
          <w:color w:val="000000"/>
          <w:sz w:val="16"/>
          <w:szCs w:val="16"/>
          <w:lang w:eastAsia="es-MX"/>
        </w:rPr>
      </w:pPr>
    </w:p>
    <w:p w14:paraId="231477E5" w14:textId="18A78AF7" w:rsidR="00EB0711" w:rsidRPr="00DA56BD" w:rsidRDefault="00DA56BD" w:rsidP="00EB0711">
      <w:pPr>
        <w:jc w:val="center"/>
        <w:rPr>
          <w:rFonts w:ascii="Arial" w:eastAsia="Times New Roman" w:hAnsi="Arial" w:cs="Arial"/>
          <w:color w:val="000000"/>
          <w:szCs w:val="16"/>
          <w:lang w:eastAsia="es-MX"/>
        </w:rPr>
      </w:pPr>
      <w:r w:rsidRPr="00DA56BD">
        <w:rPr>
          <w:rFonts w:ascii="Arial" w:eastAsia="Times New Roman" w:hAnsi="Arial" w:cs="Arial"/>
          <w:color w:val="000000"/>
          <w:szCs w:val="16"/>
          <w:lang w:eastAsia="es-MX"/>
        </w:rPr>
        <w:t>*******</w:t>
      </w:r>
    </w:p>
    <w:p w14:paraId="21A4A619" w14:textId="4484E0DA" w:rsidR="00713FC6" w:rsidRDefault="00713FC6" w:rsidP="00713FC6">
      <w:pPr>
        <w:spacing w:after="0"/>
        <w:ind w:left="-567"/>
        <w:jc w:val="both"/>
        <w:rPr>
          <w:rFonts w:ascii="Arial" w:hAnsi="Arial" w:cs="Arial"/>
          <w:b/>
          <w:bCs/>
          <w:iCs/>
          <w:noProof/>
          <w:sz w:val="24"/>
          <w:szCs w:val="24"/>
          <w:lang w:eastAsia="es-MX"/>
        </w:rPr>
      </w:pPr>
    </w:p>
    <w:p w14:paraId="5A8CBDC9" w14:textId="77777777" w:rsidR="00713FC6" w:rsidRDefault="00713FC6" w:rsidP="00713FC6">
      <w:pPr>
        <w:spacing w:after="0"/>
        <w:ind w:left="-567"/>
        <w:jc w:val="both"/>
        <w:rPr>
          <w:rFonts w:ascii="Arial" w:hAnsi="Arial" w:cs="Arial"/>
          <w:b/>
          <w:bCs/>
          <w:iCs/>
          <w:noProof/>
          <w:sz w:val="24"/>
          <w:szCs w:val="24"/>
          <w:lang w:eastAsia="es-MX"/>
        </w:rPr>
      </w:pPr>
    </w:p>
    <w:p w14:paraId="2CD5D0F4" w14:textId="7FE07BE1" w:rsidR="00962103" w:rsidRDefault="00962103" w:rsidP="00962103">
      <w:pPr>
        <w:spacing w:after="0"/>
        <w:ind w:left="-567"/>
        <w:rPr>
          <w:rFonts w:ascii="Arial" w:hAnsi="Arial" w:cs="Arial"/>
          <w:b/>
          <w:bCs/>
          <w:iCs/>
          <w:noProof/>
          <w:sz w:val="24"/>
          <w:szCs w:val="24"/>
          <w:lang w:eastAsia="es-MX"/>
        </w:rPr>
      </w:pPr>
      <w:r>
        <w:rPr>
          <w:rFonts w:ascii="Arial" w:hAnsi="Arial" w:cs="Arial"/>
          <w:b/>
          <w:bCs/>
          <w:iCs/>
          <w:noProof/>
          <w:sz w:val="24"/>
          <w:szCs w:val="24"/>
          <w:lang w:eastAsia="es-MX"/>
        </w:rPr>
        <w:t>Productos y documentos de</w:t>
      </w:r>
      <w:r w:rsidR="00A26577">
        <w:rPr>
          <w:rFonts w:ascii="Arial" w:hAnsi="Arial" w:cs="Arial"/>
          <w:b/>
          <w:bCs/>
          <w:iCs/>
          <w:noProof/>
          <w:sz w:val="24"/>
          <w:szCs w:val="24"/>
          <w:lang w:eastAsia="es-MX"/>
        </w:rPr>
        <w:t xml:space="preserve"> los</w:t>
      </w:r>
      <w:r>
        <w:rPr>
          <w:rFonts w:ascii="Arial" w:hAnsi="Arial" w:cs="Arial"/>
          <w:b/>
          <w:bCs/>
          <w:iCs/>
          <w:noProof/>
          <w:sz w:val="24"/>
          <w:szCs w:val="24"/>
          <w:lang w:eastAsia="es-MX"/>
        </w:rPr>
        <w:t xml:space="preserve"> CNDHF-E 202</w:t>
      </w:r>
      <w:r w:rsidR="00004F16">
        <w:rPr>
          <w:rFonts w:ascii="Arial" w:hAnsi="Arial" w:cs="Arial"/>
          <w:b/>
          <w:bCs/>
          <w:iCs/>
          <w:noProof/>
          <w:sz w:val="24"/>
          <w:szCs w:val="24"/>
          <w:lang w:eastAsia="es-MX"/>
        </w:rPr>
        <w:t>1</w:t>
      </w:r>
    </w:p>
    <w:p w14:paraId="21BDFAA2" w14:textId="77777777" w:rsidR="00962103" w:rsidRDefault="00962103" w:rsidP="00962103">
      <w:pPr>
        <w:autoSpaceDE w:val="0"/>
        <w:autoSpaceDN w:val="0"/>
        <w:adjustRightInd w:val="0"/>
        <w:spacing w:after="0" w:line="240" w:lineRule="auto"/>
        <w:rPr>
          <w:rFonts w:ascii="Arial" w:hAnsi="Arial" w:cs="Arial"/>
          <w:color w:val="000000"/>
        </w:rPr>
      </w:pPr>
    </w:p>
    <w:p w14:paraId="1044D21A" w14:textId="20B548B9" w:rsidR="00962103" w:rsidRPr="00FD2D78" w:rsidRDefault="00962103" w:rsidP="00962103">
      <w:pPr>
        <w:autoSpaceDE w:val="0"/>
        <w:autoSpaceDN w:val="0"/>
        <w:adjustRightInd w:val="0"/>
        <w:spacing w:after="0" w:line="240" w:lineRule="auto"/>
        <w:ind w:left="-567"/>
        <w:jc w:val="both"/>
        <w:rPr>
          <w:rFonts w:ascii="Arial" w:hAnsi="Arial" w:cs="Arial"/>
          <w:color w:val="000000"/>
          <w:sz w:val="24"/>
          <w:szCs w:val="24"/>
        </w:rPr>
      </w:pPr>
      <w:r w:rsidRPr="00FD2D78">
        <w:rPr>
          <w:rFonts w:ascii="Arial" w:hAnsi="Arial" w:cs="Arial"/>
          <w:color w:val="000000"/>
          <w:sz w:val="24"/>
          <w:szCs w:val="24"/>
        </w:rPr>
        <w:t>Los productos y documentos derivados de</w:t>
      </w:r>
      <w:r w:rsidR="00A26577">
        <w:rPr>
          <w:rFonts w:ascii="Arial" w:hAnsi="Arial" w:cs="Arial"/>
          <w:color w:val="000000"/>
          <w:sz w:val="24"/>
          <w:szCs w:val="24"/>
        </w:rPr>
        <w:t xml:space="preserve"> los</w:t>
      </w:r>
      <w:r w:rsidRPr="00FD2D78">
        <w:rPr>
          <w:rFonts w:ascii="Arial" w:hAnsi="Arial" w:cs="Arial"/>
          <w:color w:val="000000"/>
          <w:sz w:val="24"/>
          <w:szCs w:val="24"/>
        </w:rPr>
        <w:t xml:space="preserve"> CN</w:t>
      </w:r>
      <w:r>
        <w:rPr>
          <w:rFonts w:ascii="Arial" w:hAnsi="Arial" w:cs="Arial"/>
          <w:color w:val="000000"/>
          <w:sz w:val="24"/>
          <w:szCs w:val="24"/>
        </w:rPr>
        <w:t>DHF</w:t>
      </w:r>
      <w:r w:rsidRPr="00FD2D78">
        <w:rPr>
          <w:rFonts w:ascii="Arial" w:hAnsi="Arial" w:cs="Arial"/>
          <w:color w:val="000000"/>
          <w:sz w:val="24"/>
          <w:szCs w:val="24"/>
        </w:rPr>
        <w:t>-E 202</w:t>
      </w:r>
      <w:r w:rsidR="00004F16">
        <w:rPr>
          <w:rFonts w:ascii="Arial" w:hAnsi="Arial" w:cs="Arial"/>
          <w:color w:val="000000"/>
          <w:sz w:val="24"/>
          <w:szCs w:val="24"/>
        </w:rPr>
        <w:t>1</w:t>
      </w:r>
      <w:r w:rsidRPr="00FD2D78">
        <w:rPr>
          <w:rFonts w:ascii="Arial" w:hAnsi="Arial" w:cs="Arial"/>
          <w:color w:val="000000"/>
          <w:sz w:val="24"/>
          <w:szCs w:val="24"/>
        </w:rPr>
        <w:t xml:space="preserve"> que el INEGI pone a disposición de los usuarios son los siguientes: </w:t>
      </w:r>
    </w:p>
    <w:p w14:paraId="3B3CDA3B" w14:textId="77777777" w:rsidR="00962103" w:rsidRPr="00FD2D78" w:rsidRDefault="00962103" w:rsidP="00962103">
      <w:p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 xml:space="preserve"> </w:t>
      </w:r>
    </w:p>
    <w:p w14:paraId="288CD869" w14:textId="77777777" w:rsidR="00962103" w:rsidRPr="00FD2D78" w:rsidRDefault="00962103" w:rsidP="00962103">
      <w:pPr>
        <w:pStyle w:val="Prrafodelista"/>
        <w:numPr>
          <w:ilvl w:val="0"/>
          <w:numId w:val="13"/>
        </w:num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Presentación de resultados</w:t>
      </w:r>
    </w:p>
    <w:p w14:paraId="3E56F8DB" w14:textId="77777777" w:rsidR="00962103" w:rsidRPr="00FD2D78" w:rsidRDefault="00962103" w:rsidP="00962103">
      <w:pPr>
        <w:pStyle w:val="Prrafodelista"/>
        <w:numPr>
          <w:ilvl w:val="0"/>
          <w:numId w:val="13"/>
        </w:num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Cuestionarios</w:t>
      </w:r>
    </w:p>
    <w:p w14:paraId="2995B2B1" w14:textId="77777777" w:rsidR="00962103" w:rsidRPr="00FD2D78" w:rsidRDefault="00962103" w:rsidP="00962103">
      <w:pPr>
        <w:pStyle w:val="Prrafodelista"/>
        <w:numPr>
          <w:ilvl w:val="0"/>
          <w:numId w:val="13"/>
        </w:num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Glosario</w:t>
      </w:r>
    </w:p>
    <w:p w14:paraId="4F5B0FD2" w14:textId="77777777" w:rsidR="004A0E50" w:rsidRPr="00756B55" w:rsidRDefault="004A0E50" w:rsidP="004A0E50">
      <w:pPr>
        <w:pStyle w:val="Prrafodelista"/>
        <w:numPr>
          <w:ilvl w:val="0"/>
          <w:numId w:val="13"/>
        </w:numPr>
        <w:autoSpaceDE w:val="0"/>
        <w:autoSpaceDN w:val="0"/>
        <w:adjustRightInd w:val="0"/>
        <w:spacing w:after="0" w:line="240" w:lineRule="auto"/>
        <w:rPr>
          <w:rFonts w:ascii="Arial" w:hAnsi="Arial" w:cs="Arial"/>
          <w:color w:val="000000"/>
          <w:sz w:val="24"/>
          <w:szCs w:val="24"/>
        </w:rPr>
      </w:pPr>
      <w:r w:rsidRPr="00756B55">
        <w:rPr>
          <w:rFonts w:ascii="Arial" w:hAnsi="Arial" w:cs="Arial"/>
          <w:color w:val="000000"/>
          <w:sz w:val="24"/>
          <w:szCs w:val="24"/>
        </w:rPr>
        <w:t>Documento de diseño</w:t>
      </w:r>
    </w:p>
    <w:p w14:paraId="45710858" w14:textId="77777777" w:rsidR="00962103" w:rsidRPr="00FD2D78" w:rsidRDefault="00962103" w:rsidP="00962103">
      <w:pPr>
        <w:pStyle w:val="Prrafodelista"/>
        <w:numPr>
          <w:ilvl w:val="0"/>
          <w:numId w:val="13"/>
        </w:num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Tabulados predefinidos</w:t>
      </w:r>
    </w:p>
    <w:p w14:paraId="1C59DF87" w14:textId="77777777" w:rsidR="00962103" w:rsidRPr="00FD2D78" w:rsidRDefault="00962103" w:rsidP="00962103">
      <w:pPr>
        <w:autoSpaceDE w:val="0"/>
        <w:autoSpaceDN w:val="0"/>
        <w:adjustRightInd w:val="0"/>
        <w:spacing w:after="0" w:line="240" w:lineRule="auto"/>
        <w:rPr>
          <w:rFonts w:ascii="Arial" w:hAnsi="Arial" w:cs="Arial"/>
          <w:color w:val="000000"/>
          <w:sz w:val="24"/>
          <w:szCs w:val="24"/>
        </w:rPr>
      </w:pPr>
    </w:p>
    <w:p w14:paraId="3EE1036D" w14:textId="040512AA" w:rsidR="00962103" w:rsidRPr="00FD2D78" w:rsidRDefault="00962103" w:rsidP="00962103">
      <w:pPr>
        <w:autoSpaceDE w:val="0"/>
        <w:autoSpaceDN w:val="0"/>
        <w:adjustRightInd w:val="0"/>
        <w:spacing w:after="0" w:line="240" w:lineRule="auto"/>
        <w:ind w:left="-567"/>
        <w:rPr>
          <w:rFonts w:ascii="Arial" w:hAnsi="Arial" w:cs="Arial"/>
          <w:color w:val="000000"/>
          <w:sz w:val="24"/>
          <w:szCs w:val="24"/>
        </w:rPr>
      </w:pPr>
      <w:r w:rsidRPr="00FD2D78">
        <w:rPr>
          <w:rFonts w:ascii="Arial" w:hAnsi="Arial" w:cs="Arial"/>
          <w:color w:val="000000"/>
          <w:sz w:val="24"/>
          <w:szCs w:val="24"/>
        </w:rPr>
        <w:t>Estos productos pueden ser consultados en el sitio de Internet del Instituto</w:t>
      </w:r>
      <w:r w:rsidR="00A26577">
        <w:rPr>
          <w:rFonts w:ascii="Arial" w:hAnsi="Arial" w:cs="Arial"/>
          <w:color w:val="000000"/>
          <w:sz w:val="24"/>
          <w:szCs w:val="24"/>
        </w:rPr>
        <w:t>, en las siguientes direcciones:</w:t>
      </w:r>
    </w:p>
    <w:p w14:paraId="594D4E14" w14:textId="77777777" w:rsidR="00962103" w:rsidRPr="00FD2D78" w:rsidRDefault="00962103" w:rsidP="00962103">
      <w:pPr>
        <w:autoSpaceDE w:val="0"/>
        <w:autoSpaceDN w:val="0"/>
        <w:adjustRightInd w:val="0"/>
        <w:spacing w:after="0" w:line="240" w:lineRule="auto"/>
        <w:rPr>
          <w:rFonts w:ascii="Arial" w:hAnsi="Arial" w:cs="Arial"/>
          <w:color w:val="000000"/>
          <w:sz w:val="24"/>
          <w:szCs w:val="24"/>
        </w:rPr>
      </w:pPr>
    </w:p>
    <w:p w14:paraId="05B93B2C" w14:textId="15EA439B" w:rsidR="00962103" w:rsidRPr="00FD2D78" w:rsidRDefault="00FB58C9" w:rsidP="002424EB">
      <w:pPr>
        <w:spacing w:after="0" w:line="240" w:lineRule="auto"/>
        <w:ind w:left="-567"/>
        <w:rPr>
          <w:rFonts w:ascii="Arial" w:hAnsi="Arial" w:cs="Arial"/>
          <w:sz w:val="24"/>
          <w:szCs w:val="24"/>
        </w:rPr>
      </w:pPr>
      <w:hyperlink r:id="rId76" w:history="1">
        <w:r w:rsidR="00004F16" w:rsidRPr="00643797">
          <w:rPr>
            <w:rStyle w:val="Hipervnculo"/>
            <w:rFonts w:ascii="Arial" w:hAnsi="Arial" w:cs="Arial"/>
            <w:sz w:val="24"/>
            <w:szCs w:val="24"/>
          </w:rPr>
          <w:t>https://www.inegi.org.mx/programas/cndhf/2021/</w:t>
        </w:r>
      </w:hyperlink>
      <w:r w:rsidR="002424EB" w:rsidRPr="00643797">
        <w:rPr>
          <w:rFonts w:ascii="Arial" w:hAnsi="Arial" w:cs="Arial"/>
          <w:color w:val="000000"/>
          <w:sz w:val="24"/>
          <w:szCs w:val="24"/>
        </w:rPr>
        <w:t xml:space="preserve"> </w:t>
      </w:r>
      <w:hyperlink r:id="rId77" w:history="1">
        <w:r w:rsidR="00AA14DE" w:rsidRPr="00AA208D">
          <w:rPr>
            <w:rStyle w:val="Hipervnculo"/>
            <w:rFonts w:ascii="Arial" w:hAnsi="Arial" w:cs="Arial"/>
            <w:sz w:val="24"/>
            <w:szCs w:val="24"/>
          </w:rPr>
          <w:t>https://www.inegi.org.mx/programas/cndhe/2021/</w:t>
        </w:r>
      </w:hyperlink>
    </w:p>
    <w:p w14:paraId="2E1FBBA9" w14:textId="77777777" w:rsidR="00962103" w:rsidRPr="00FD2D78" w:rsidRDefault="00962103" w:rsidP="00962103">
      <w:pPr>
        <w:pStyle w:val="Default"/>
        <w:spacing w:after="10"/>
        <w:ind w:left="-567"/>
        <w:jc w:val="both"/>
      </w:pPr>
    </w:p>
    <w:p w14:paraId="126F1079" w14:textId="77777777" w:rsidR="00962103" w:rsidRPr="00EC2F19" w:rsidRDefault="00962103" w:rsidP="00962103">
      <w:pPr>
        <w:contextualSpacing/>
      </w:pPr>
    </w:p>
    <w:sectPr w:rsidR="00962103" w:rsidRPr="00EC2F19" w:rsidSect="002424EB">
      <w:headerReference w:type="default" r:id="rId78"/>
      <w:type w:val="continuous"/>
      <w:pgSz w:w="12240" w:h="15840"/>
      <w:pgMar w:top="1808" w:right="1183" w:bottom="127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CD7FE" w14:textId="77777777" w:rsidR="00FB58C9" w:rsidRDefault="00FB58C9" w:rsidP="00EC2F19">
      <w:pPr>
        <w:spacing w:after="0" w:line="240" w:lineRule="auto"/>
      </w:pPr>
      <w:r>
        <w:separator/>
      </w:r>
    </w:p>
  </w:endnote>
  <w:endnote w:type="continuationSeparator" w:id="0">
    <w:p w14:paraId="6AD47B9C" w14:textId="77777777" w:rsidR="00FB58C9" w:rsidRDefault="00FB58C9" w:rsidP="00EC2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4922D" w14:textId="77777777" w:rsidR="0041628C" w:rsidRDefault="004162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C2535" w14:textId="783F2324" w:rsidR="009629A0" w:rsidRPr="002424EB" w:rsidRDefault="009629A0" w:rsidP="002424EB">
    <w:pPr>
      <w:pStyle w:val="Piedepgina"/>
      <w:ind w:hanging="567"/>
      <w:jc w:val="center"/>
      <w:rPr>
        <w:rFonts w:ascii="Arial" w:hAnsi="Arial" w:cs="Arial"/>
        <w:b/>
        <w:color w:val="002060"/>
        <w:sz w:val="20"/>
        <w:szCs w:val="20"/>
      </w:rPr>
    </w:pPr>
    <w:r w:rsidRPr="002424EB">
      <w:rPr>
        <w:rFonts w:ascii="Arial" w:hAnsi="Arial" w:cs="Arial"/>
        <w:b/>
        <w:color w:val="002060"/>
        <w:sz w:val="20"/>
        <w:szCs w:val="20"/>
      </w:rPr>
      <w:t>COMUNICACIÓN SOCIAL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3E40C" w14:textId="77777777" w:rsidR="0041628C" w:rsidRDefault="0041628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5EC14" w14:textId="77777777" w:rsidR="009629A0" w:rsidRDefault="009629A0">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4E99E" w14:textId="77777777" w:rsidR="009629A0" w:rsidRPr="0041372E" w:rsidRDefault="009629A0" w:rsidP="0076666E">
    <w:pPr>
      <w:pStyle w:val="Piedepgina"/>
      <w:jc w:val="center"/>
      <w:rPr>
        <w:rFonts w:ascii="Arial" w:hAnsi="Arial" w:cs="Arial"/>
        <w:b/>
        <w:color w:val="002060"/>
        <w:sz w:val="20"/>
        <w:szCs w:val="20"/>
      </w:rPr>
    </w:pPr>
    <w:r w:rsidRPr="0041372E">
      <w:rPr>
        <w:rFonts w:ascii="Arial" w:hAnsi="Arial" w:cs="Arial"/>
        <w:b/>
        <w:color w:val="002060"/>
        <w:sz w:val="20"/>
        <w:szCs w:val="20"/>
      </w:rPr>
      <w:t>COMUNICACIÓN SOCIAL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AF3AE" w14:textId="77777777" w:rsidR="009629A0" w:rsidRDefault="009629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57B38" w14:textId="77777777" w:rsidR="00FB58C9" w:rsidRDefault="00FB58C9" w:rsidP="00EC2F19">
      <w:pPr>
        <w:spacing w:after="0" w:line="240" w:lineRule="auto"/>
      </w:pPr>
      <w:r>
        <w:separator/>
      </w:r>
    </w:p>
  </w:footnote>
  <w:footnote w:type="continuationSeparator" w:id="0">
    <w:p w14:paraId="45D49FC3" w14:textId="77777777" w:rsidR="00FB58C9" w:rsidRDefault="00FB58C9" w:rsidP="00EC2F19">
      <w:pPr>
        <w:spacing w:after="0" w:line="240" w:lineRule="auto"/>
      </w:pPr>
      <w:r>
        <w:continuationSeparator/>
      </w:r>
    </w:p>
  </w:footnote>
  <w:footnote w:id="1">
    <w:p w14:paraId="71E0E9A1" w14:textId="0311A0E5" w:rsidR="007E4676" w:rsidRPr="007E4676" w:rsidRDefault="007E4676" w:rsidP="0035301D">
      <w:pPr>
        <w:pStyle w:val="Textonotapie"/>
        <w:ind w:left="-567"/>
        <w:rPr>
          <w:rFonts w:ascii="Arial" w:hAnsi="Arial" w:cs="Arial"/>
          <w:sz w:val="16"/>
          <w:szCs w:val="16"/>
        </w:rPr>
      </w:pPr>
      <w:r w:rsidRPr="007E4676">
        <w:rPr>
          <w:rStyle w:val="Refdenotaalpie"/>
          <w:rFonts w:ascii="Arial" w:hAnsi="Arial" w:cs="Arial"/>
          <w:sz w:val="16"/>
          <w:szCs w:val="16"/>
        </w:rPr>
        <w:footnoteRef/>
      </w:r>
      <w:r w:rsidRPr="007E4676">
        <w:rPr>
          <w:rFonts w:ascii="Arial" w:hAnsi="Arial" w:cs="Arial"/>
          <w:sz w:val="16"/>
          <w:szCs w:val="16"/>
        </w:rPr>
        <w:t xml:space="preserve"> La información de</w:t>
      </w:r>
      <w:r w:rsidR="00F94739">
        <w:rPr>
          <w:rFonts w:ascii="Arial" w:hAnsi="Arial" w:cs="Arial"/>
          <w:sz w:val="16"/>
          <w:szCs w:val="16"/>
        </w:rPr>
        <w:t xml:space="preserve"> </w:t>
      </w:r>
      <w:r w:rsidRPr="007E4676">
        <w:rPr>
          <w:rFonts w:ascii="Arial" w:hAnsi="Arial" w:cs="Arial"/>
          <w:sz w:val="16"/>
          <w:szCs w:val="16"/>
        </w:rPr>
        <w:t>l</w:t>
      </w:r>
      <w:r w:rsidR="00F94739">
        <w:rPr>
          <w:rFonts w:ascii="Arial" w:hAnsi="Arial" w:cs="Arial"/>
          <w:sz w:val="16"/>
          <w:szCs w:val="16"/>
        </w:rPr>
        <w:t>os</w:t>
      </w:r>
      <w:r w:rsidRPr="007E4676">
        <w:rPr>
          <w:rFonts w:ascii="Arial" w:hAnsi="Arial" w:cs="Arial"/>
          <w:sz w:val="16"/>
          <w:szCs w:val="16"/>
        </w:rPr>
        <w:t xml:space="preserve"> programa</w:t>
      </w:r>
      <w:r w:rsidR="00F94739">
        <w:rPr>
          <w:rFonts w:ascii="Arial" w:hAnsi="Arial" w:cs="Arial"/>
          <w:sz w:val="16"/>
          <w:szCs w:val="16"/>
        </w:rPr>
        <w:t>s</w:t>
      </w:r>
      <w:r w:rsidRPr="007E4676">
        <w:rPr>
          <w:rFonts w:ascii="Arial" w:hAnsi="Arial" w:cs="Arial"/>
          <w:sz w:val="16"/>
          <w:szCs w:val="16"/>
        </w:rPr>
        <w:t xml:space="preserve"> estadístico</w:t>
      </w:r>
      <w:r w:rsidR="00F94739">
        <w:rPr>
          <w:rFonts w:ascii="Arial" w:hAnsi="Arial" w:cs="Arial"/>
          <w:sz w:val="16"/>
          <w:szCs w:val="16"/>
        </w:rPr>
        <w:t>s</w:t>
      </w:r>
      <w:r w:rsidRPr="007E4676">
        <w:rPr>
          <w:rFonts w:ascii="Arial" w:hAnsi="Arial" w:cs="Arial"/>
          <w:sz w:val="16"/>
          <w:szCs w:val="16"/>
        </w:rPr>
        <w:t xml:space="preserve"> es de carácter preliminar</w:t>
      </w:r>
      <w:r>
        <w:rPr>
          <w:rFonts w:ascii="Arial" w:hAnsi="Arial" w:cs="Arial"/>
          <w:sz w:val="16"/>
          <w:szCs w:val="16"/>
        </w:rPr>
        <w:t>.</w:t>
      </w:r>
    </w:p>
  </w:footnote>
  <w:footnote w:id="2">
    <w:p w14:paraId="07A8D1D6" w14:textId="1103F0F9" w:rsidR="00B108B9" w:rsidRPr="00B108B9" w:rsidRDefault="00B108B9" w:rsidP="0011751C">
      <w:pPr>
        <w:pStyle w:val="Textonotapie"/>
        <w:ind w:left="-567"/>
        <w:rPr>
          <w:rFonts w:ascii="Arial" w:hAnsi="Arial" w:cs="Arial"/>
        </w:rPr>
      </w:pPr>
      <w:r w:rsidRPr="00B108B9">
        <w:rPr>
          <w:rStyle w:val="Refdenotaalpie"/>
          <w:rFonts w:ascii="Arial" w:hAnsi="Arial" w:cs="Arial"/>
          <w:sz w:val="16"/>
        </w:rPr>
        <w:footnoteRef/>
      </w:r>
      <w:r w:rsidRPr="00B108B9">
        <w:rPr>
          <w:rFonts w:ascii="Arial" w:hAnsi="Arial" w:cs="Arial"/>
          <w:sz w:val="16"/>
        </w:rPr>
        <w:t xml:space="preserve"> La información de</w:t>
      </w:r>
      <w:r w:rsidR="00A72C55">
        <w:rPr>
          <w:rFonts w:ascii="Arial" w:hAnsi="Arial" w:cs="Arial"/>
          <w:sz w:val="16"/>
        </w:rPr>
        <w:t xml:space="preserve"> </w:t>
      </w:r>
      <w:r w:rsidRPr="00B108B9">
        <w:rPr>
          <w:rFonts w:ascii="Arial" w:hAnsi="Arial" w:cs="Arial"/>
          <w:sz w:val="16"/>
        </w:rPr>
        <w:t>l</w:t>
      </w:r>
      <w:r w:rsidR="00A72C55">
        <w:rPr>
          <w:rFonts w:ascii="Arial" w:hAnsi="Arial" w:cs="Arial"/>
          <w:sz w:val="16"/>
        </w:rPr>
        <w:t>os</w:t>
      </w:r>
      <w:r w:rsidRPr="00B108B9">
        <w:rPr>
          <w:rFonts w:ascii="Arial" w:hAnsi="Arial" w:cs="Arial"/>
          <w:sz w:val="16"/>
        </w:rPr>
        <w:t xml:space="preserve"> programa</w:t>
      </w:r>
      <w:r w:rsidR="00A72C55">
        <w:rPr>
          <w:rFonts w:ascii="Arial" w:hAnsi="Arial" w:cs="Arial"/>
          <w:sz w:val="16"/>
        </w:rPr>
        <w:t>s</w:t>
      </w:r>
      <w:r w:rsidRPr="00B108B9">
        <w:rPr>
          <w:rFonts w:ascii="Arial" w:hAnsi="Arial" w:cs="Arial"/>
          <w:sz w:val="16"/>
        </w:rPr>
        <w:t xml:space="preserve"> estadístico</w:t>
      </w:r>
      <w:r w:rsidR="00A72C55">
        <w:rPr>
          <w:rFonts w:ascii="Arial" w:hAnsi="Arial" w:cs="Arial"/>
          <w:sz w:val="16"/>
        </w:rPr>
        <w:t>s</w:t>
      </w:r>
      <w:r w:rsidRPr="00B108B9">
        <w:rPr>
          <w:rFonts w:ascii="Arial" w:hAnsi="Arial" w:cs="Arial"/>
          <w:sz w:val="16"/>
        </w:rPr>
        <w:t xml:space="preserve"> es de carácter preliminar.</w:t>
      </w:r>
    </w:p>
  </w:footnote>
  <w:footnote w:id="3">
    <w:p w14:paraId="14B52BC8" w14:textId="0DFBA0E5" w:rsidR="009629A0" w:rsidRPr="00B84921" w:rsidRDefault="009629A0" w:rsidP="0011751C">
      <w:pPr>
        <w:pStyle w:val="Textonotapie"/>
        <w:ind w:left="-567"/>
        <w:rPr>
          <w:sz w:val="16"/>
          <w:szCs w:val="16"/>
        </w:rPr>
      </w:pPr>
      <w:r w:rsidRPr="00B84921">
        <w:rPr>
          <w:rStyle w:val="Refdenotaalpie"/>
          <w:rFonts w:ascii="Arial" w:hAnsi="Arial" w:cs="Arial"/>
          <w:sz w:val="16"/>
          <w:szCs w:val="16"/>
        </w:rPr>
        <w:footnoteRef/>
      </w:r>
      <w:r w:rsidRPr="00B84921">
        <w:rPr>
          <w:sz w:val="16"/>
          <w:szCs w:val="16"/>
        </w:rPr>
        <w:t xml:space="preserve"> </w:t>
      </w:r>
      <w:r w:rsidRPr="00B84921">
        <w:rPr>
          <w:rFonts w:ascii="Arial" w:hAnsi="Arial" w:cs="Arial"/>
          <w:sz w:val="16"/>
          <w:szCs w:val="16"/>
        </w:rPr>
        <w:t>En 2019, la CNDH reportó 17 unidades administrativas, mientras que la cifra en los OPDH fue de 699.</w:t>
      </w:r>
      <w:r w:rsidRPr="00B84921">
        <w:rPr>
          <w:sz w:val="16"/>
          <w:szCs w:val="16"/>
        </w:rPr>
        <w:t xml:space="preserve"> </w:t>
      </w:r>
    </w:p>
  </w:footnote>
  <w:footnote w:id="4">
    <w:p w14:paraId="34FC39EB" w14:textId="6BDB86FF" w:rsidR="009629A0" w:rsidRPr="00B84921" w:rsidRDefault="009629A0" w:rsidP="0011751C">
      <w:pPr>
        <w:pStyle w:val="Textonotapie"/>
        <w:ind w:left="-567"/>
        <w:rPr>
          <w:rFonts w:ascii="Arial" w:hAnsi="Arial" w:cs="Arial"/>
          <w:sz w:val="16"/>
          <w:szCs w:val="16"/>
        </w:rPr>
      </w:pPr>
      <w:r w:rsidRPr="00B84921">
        <w:rPr>
          <w:rStyle w:val="Refdenotaalpie"/>
          <w:rFonts w:ascii="Arial" w:hAnsi="Arial" w:cs="Arial"/>
          <w:sz w:val="16"/>
          <w:szCs w:val="16"/>
        </w:rPr>
        <w:footnoteRef/>
      </w:r>
      <w:r w:rsidRPr="00B84921">
        <w:rPr>
          <w:rFonts w:ascii="Arial" w:hAnsi="Arial" w:cs="Arial"/>
          <w:sz w:val="16"/>
          <w:szCs w:val="16"/>
        </w:rPr>
        <w:t xml:space="preserve"> En 2019, la cantidad de oficinas que reportaron los OPDH fue de 232. </w:t>
      </w:r>
    </w:p>
  </w:footnote>
  <w:footnote w:id="5">
    <w:p w14:paraId="5FC7EE4E" w14:textId="4AEBF835" w:rsidR="009629A0" w:rsidRPr="00B84921" w:rsidRDefault="009629A0" w:rsidP="0011751C">
      <w:pPr>
        <w:pStyle w:val="Textonotapie"/>
        <w:ind w:left="-567"/>
        <w:rPr>
          <w:rFonts w:ascii="Arial" w:hAnsi="Arial" w:cs="Arial"/>
          <w:sz w:val="16"/>
          <w:szCs w:val="16"/>
        </w:rPr>
      </w:pPr>
      <w:r w:rsidRPr="00B84921">
        <w:rPr>
          <w:rStyle w:val="Refdenotaalpie"/>
          <w:rFonts w:ascii="Arial" w:hAnsi="Arial" w:cs="Arial"/>
          <w:sz w:val="16"/>
          <w:szCs w:val="16"/>
        </w:rPr>
        <w:footnoteRef/>
      </w:r>
      <w:r w:rsidRPr="00B84921">
        <w:rPr>
          <w:rFonts w:ascii="Arial" w:hAnsi="Arial" w:cs="Arial"/>
          <w:sz w:val="16"/>
          <w:szCs w:val="16"/>
        </w:rPr>
        <w:t xml:space="preserve"> La cifra no considera las vacantes, nueve en la CNDH y 40 en los OPDH. </w:t>
      </w:r>
    </w:p>
  </w:footnote>
  <w:footnote w:id="6">
    <w:p w14:paraId="5299FA18" w14:textId="05BC5901" w:rsidR="009629A0" w:rsidRPr="00B84921" w:rsidRDefault="009629A0" w:rsidP="0011751C">
      <w:pPr>
        <w:pStyle w:val="Textonotapie"/>
        <w:ind w:left="-567"/>
        <w:rPr>
          <w:rFonts w:ascii="Arial" w:hAnsi="Arial" w:cs="Arial"/>
          <w:sz w:val="16"/>
          <w:szCs w:val="16"/>
        </w:rPr>
      </w:pPr>
      <w:r w:rsidRPr="00B84921">
        <w:rPr>
          <w:rStyle w:val="Refdenotaalpie"/>
          <w:rFonts w:ascii="Arial" w:hAnsi="Arial" w:cs="Arial"/>
          <w:sz w:val="16"/>
          <w:szCs w:val="16"/>
        </w:rPr>
        <w:footnoteRef/>
      </w:r>
      <w:r w:rsidRPr="00B84921">
        <w:rPr>
          <w:rFonts w:ascii="Arial" w:hAnsi="Arial" w:cs="Arial"/>
          <w:sz w:val="16"/>
          <w:szCs w:val="16"/>
        </w:rPr>
        <w:t xml:space="preserve"> En 2019, se reportaron 200 consejeras y consejeros. </w:t>
      </w:r>
    </w:p>
  </w:footnote>
  <w:footnote w:id="7">
    <w:p w14:paraId="5027DBDD" w14:textId="3A71AE77" w:rsidR="009629A0" w:rsidRDefault="009629A0" w:rsidP="0011751C">
      <w:pPr>
        <w:pStyle w:val="Textonotapie"/>
        <w:ind w:hanging="567"/>
      </w:pPr>
      <w:r w:rsidRPr="00B84921">
        <w:rPr>
          <w:rStyle w:val="Refdenotaalpie"/>
          <w:rFonts w:ascii="Arial" w:hAnsi="Arial" w:cs="Arial"/>
          <w:sz w:val="16"/>
          <w:szCs w:val="16"/>
        </w:rPr>
        <w:footnoteRef/>
      </w:r>
      <w:r w:rsidRPr="00B84921">
        <w:rPr>
          <w:rFonts w:ascii="Arial" w:hAnsi="Arial" w:cs="Arial"/>
          <w:sz w:val="16"/>
          <w:szCs w:val="16"/>
        </w:rPr>
        <w:t xml:space="preserve"> En 2019, se reportaron 319 sesiones convocadas.</w:t>
      </w:r>
      <w:r>
        <w:t xml:space="preserve"> </w:t>
      </w:r>
    </w:p>
  </w:footnote>
  <w:footnote w:id="8">
    <w:p w14:paraId="262EFF8B" w14:textId="42D93961" w:rsidR="009629A0" w:rsidRPr="00B84921" w:rsidRDefault="009629A0" w:rsidP="0011751C">
      <w:pPr>
        <w:pStyle w:val="Textonotapie"/>
        <w:ind w:left="-567"/>
        <w:rPr>
          <w:rFonts w:ascii="Arial" w:hAnsi="Arial" w:cs="Arial"/>
          <w:sz w:val="16"/>
          <w:szCs w:val="16"/>
        </w:rPr>
      </w:pPr>
      <w:r w:rsidRPr="00B84921">
        <w:rPr>
          <w:rStyle w:val="Refdenotaalpie"/>
          <w:rFonts w:ascii="Arial" w:hAnsi="Arial" w:cs="Arial"/>
          <w:sz w:val="16"/>
          <w:szCs w:val="16"/>
        </w:rPr>
        <w:footnoteRef/>
      </w:r>
      <w:r w:rsidRPr="00B84921">
        <w:rPr>
          <w:rFonts w:ascii="Arial" w:hAnsi="Arial" w:cs="Arial"/>
          <w:sz w:val="16"/>
          <w:szCs w:val="16"/>
        </w:rPr>
        <w:t xml:space="preserve"> En la CNDH la totalidad de las visitadurías fueron generales o subprocuradurías.</w:t>
      </w:r>
    </w:p>
  </w:footnote>
  <w:footnote w:id="9">
    <w:p w14:paraId="6684D63C" w14:textId="49AF41EF" w:rsidR="009629A0" w:rsidRPr="00B84921" w:rsidRDefault="009629A0" w:rsidP="00C064FB">
      <w:pPr>
        <w:pStyle w:val="Textonotapie"/>
        <w:ind w:hanging="567"/>
        <w:rPr>
          <w:rFonts w:ascii="Arial" w:hAnsi="Arial" w:cs="Arial"/>
          <w:sz w:val="16"/>
          <w:szCs w:val="16"/>
        </w:rPr>
      </w:pPr>
      <w:r w:rsidRPr="00B84921">
        <w:rPr>
          <w:rStyle w:val="Refdenotaalpie"/>
          <w:rFonts w:ascii="Arial" w:hAnsi="Arial" w:cs="Arial"/>
          <w:sz w:val="16"/>
          <w:szCs w:val="16"/>
        </w:rPr>
        <w:footnoteRef/>
      </w:r>
      <w:r w:rsidRPr="00B84921">
        <w:rPr>
          <w:rFonts w:ascii="Arial" w:hAnsi="Arial" w:cs="Arial"/>
          <w:sz w:val="16"/>
          <w:szCs w:val="16"/>
        </w:rPr>
        <w:t xml:space="preserve"> Respecto a los titulares de las visitadurías de la CNDH, se reportaron 6 en la categoría “Vacante”. </w:t>
      </w:r>
    </w:p>
  </w:footnote>
  <w:footnote w:id="10">
    <w:p w14:paraId="4C84CBE7" w14:textId="40B455FB" w:rsidR="009629A0" w:rsidRPr="00B84921" w:rsidRDefault="009629A0" w:rsidP="00C064FB">
      <w:pPr>
        <w:pStyle w:val="Textonotapie"/>
        <w:ind w:hanging="567"/>
        <w:rPr>
          <w:sz w:val="16"/>
          <w:szCs w:val="16"/>
        </w:rPr>
      </w:pPr>
      <w:r w:rsidRPr="00B84921">
        <w:rPr>
          <w:rStyle w:val="Refdenotaalpie"/>
          <w:rFonts w:ascii="Arial" w:hAnsi="Arial" w:cs="Arial"/>
          <w:sz w:val="16"/>
          <w:szCs w:val="16"/>
        </w:rPr>
        <w:footnoteRef/>
      </w:r>
      <w:r w:rsidRPr="00B84921">
        <w:rPr>
          <w:rFonts w:ascii="Arial" w:hAnsi="Arial" w:cs="Arial"/>
          <w:sz w:val="16"/>
          <w:szCs w:val="16"/>
        </w:rPr>
        <w:t xml:space="preserve"> En la categoría “Vacante” los OPDH reportaron 3 registros.</w:t>
      </w:r>
      <w:r w:rsidRPr="00B84921">
        <w:rPr>
          <w:sz w:val="16"/>
          <w:szCs w:val="16"/>
        </w:rPr>
        <w:t xml:space="preserve"> </w:t>
      </w:r>
    </w:p>
  </w:footnote>
  <w:footnote w:id="11">
    <w:p w14:paraId="49E50576" w14:textId="19063E49" w:rsidR="009629A0" w:rsidRPr="00BD7278" w:rsidRDefault="009629A0" w:rsidP="00C064FB">
      <w:pPr>
        <w:pStyle w:val="Textonotapie"/>
        <w:ind w:hanging="567"/>
        <w:rPr>
          <w:rFonts w:ascii="Arial" w:hAnsi="Arial" w:cs="Arial"/>
        </w:rPr>
      </w:pPr>
      <w:r w:rsidRPr="00B84921">
        <w:rPr>
          <w:rStyle w:val="Refdenotaalpie"/>
          <w:rFonts w:ascii="Arial" w:hAnsi="Arial" w:cs="Arial"/>
          <w:sz w:val="16"/>
          <w:szCs w:val="16"/>
        </w:rPr>
        <w:footnoteRef/>
      </w:r>
      <w:r w:rsidRPr="00B84921">
        <w:rPr>
          <w:rFonts w:ascii="Arial" w:hAnsi="Arial" w:cs="Arial"/>
          <w:sz w:val="16"/>
          <w:szCs w:val="16"/>
        </w:rPr>
        <w:t xml:space="preserve"> En 2019, la cantidad de personal adscrito a las visitadurías fue de 2 490.</w:t>
      </w:r>
      <w:r w:rsidRPr="00BD7278">
        <w:rPr>
          <w:rFonts w:ascii="Arial" w:hAnsi="Arial" w:cs="Arial"/>
          <w:sz w:val="16"/>
        </w:rPr>
        <w:t xml:space="preserve">  </w:t>
      </w:r>
    </w:p>
  </w:footnote>
  <w:footnote w:id="12">
    <w:p w14:paraId="76423DE4" w14:textId="6A6BE64A" w:rsidR="009629A0" w:rsidRPr="00B84921" w:rsidRDefault="009629A0" w:rsidP="006E7170">
      <w:pPr>
        <w:pStyle w:val="Textonotapie"/>
        <w:ind w:left="-426" w:hanging="141"/>
        <w:rPr>
          <w:rFonts w:ascii="Arial" w:hAnsi="Arial" w:cs="Arial"/>
          <w:sz w:val="16"/>
          <w:szCs w:val="16"/>
        </w:rPr>
      </w:pPr>
      <w:r w:rsidRPr="00B84921">
        <w:rPr>
          <w:rStyle w:val="Refdenotaalpie"/>
          <w:rFonts w:ascii="Arial" w:hAnsi="Arial" w:cs="Arial"/>
          <w:sz w:val="16"/>
          <w:szCs w:val="16"/>
        </w:rPr>
        <w:footnoteRef/>
      </w:r>
      <w:r w:rsidRPr="00B84921">
        <w:rPr>
          <w:rFonts w:ascii="Arial" w:hAnsi="Arial" w:cs="Arial"/>
          <w:sz w:val="16"/>
          <w:szCs w:val="16"/>
        </w:rPr>
        <w:t xml:space="preserve"> El tema no le aplica a Jalisco, toda vez que reportó no haber realizado eventos de capacitación y difusión para el fortalecimiento de la cultura de derechos humanos.</w:t>
      </w:r>
    </w:p>
  </w:footnote>
  <w:footnote w:id="13">
    <w:p w14:paraId="2C179B21" w14:textId="68B0B2C0" w:rsidR="009629A0" w:rsidRPr="00105B04" w:rsidRDefault="009629A0" w:rsidP="006E7170">
      <w:pPr>
        <w:pStyle w:val="Textonotapie"/>
        <w:ind w:left="-567"/>
        <w:rPr>
          <w:rFonts w:ascii="Arial" w:hAnsi="Arial" w:cs="Arial"/>
        </w:rPr>
      </w:pPr>
      <w:r w:rsidRPr="00B84921">
        <w:rPr>
          <w:rStyle w:val="Refdenotaalpie"/>
          <w:rFonts w:ascii="Arial" w:hAnsi="Arial" w:cs="Arial"/>
          <w:sz w:val="16"/>
          <w:szCs w:val="16"/>
        </w:rPr>
        <w:footnoteRef/>
      </w:r>
      <w:r w:rsidRPr="00B84921">
        <w:rPr>
          <w:rFonts w:ascii="Arial" w:hAnsi="Arial" w:cs="Arial"/>
          <w:sz w:val="16"/>
          <w:szCs w:val="16"/>
        </w:rPr>
        <w:t xml:space="preserve"> En 2019, a nivel nacional se realizaron 41 794 eventos de capacitación y difusión.</w:t>
      </w:r>
      <w:r w:rsidRPr="00105B04">
        <w:rPr>
          <w:rFonts w:ascii="Arial" w:hAnsi="Arial" w:cs="Arial"/>
          <w:sz w:val="16"/>
        </w:rPr>
        <w:t xml:space="preserve"> </w:t>
      </w:r>
    </w:p>
  </w:footnote>
  <w:footnote w:id="14">
    <w:p w14:paraId="6C60FA83" w14:textId="617FA9F8" w:rsidR="009629A0" w:rsidRPr="00AE43F3" w:rsidRDefault="009629A0" w:rsidP="00A26577">
      <w:pPr>
        <w:pStyle w:val="Textonotapie"/>
        <w:ind w:left="-567"/>
        <w:rPr>
          <w:rFonts w:ascii="Arial" w:hAnsi="Arial" w:cs="Arial"/>
          <w:sz w:val="16"/>
          <w:szCs w:val="16"/>
        </w:rPr>
      </w:pPr>
      <w:r w:rsidRPr="00AE43F3">
        <w:rPr>
          <w:rStyle w:val="Refdenotaalpie"/>
          <w:rFonts w:ascii="Arial" w:hAnsi="Arial" w:cs="Arial"/>
          <w:sz w:val="16"/>
          <w:szCs w:val="16"/>
        </w:rPr>
        <w:footnoteRef/>
      </w:r>
      <w:r w:rsidRPr="00AE43F3">
        <w:rPr>
          <w:rFonts w:ascii="Arial" w:hAnsi="Arial" w:cs="Arial"/>
          <w:sz w:val="16"/>
          <w:szCs w:val="16"/>
        </w:rPr>
        <w:t xml:space="preserve"> En 2019, la CNDH reportó 450 054 servidoras y servidores que asistieron a dichos eventos. </w:t>
      </w:r>
    </w:p>
  </w:footnote>
  <w:footnote w:id="15">
    <w:p w14:paraId="4CA825F1" w14:textId="04B83B66" w:rsidR="009629A0" w:rsidRPr="00AE43F3" w:rsidRDefault="009629A0" w:rsidP="00A26577">
      <w:pPr>
        <w:pStyle w:val="Textonotapie"/>
        <w:ind w:left="-567"/>
        <w:rPr>
          <w:rFonts w:ascii="Arial" w:hAnsi="Arial" w:cs="Arial"/>
        </w:rPr>
      </w:pPr>
      <w:r w:rsidRPr="00AE43F3">
        <w:rPr>
          <w:rStyle w:val="Refdenotaalpie"/>
          <w:rFonts w:ascii="Arial" w:hAnsi="Arial" w:cs="Arial"/>
          <w:sz w:val="16"/>
        </w:rPr>
        <w:footnoteRef/>
      </w:r>
      <w:r w:rsidRPr="00AE43F3">
        <w:rPr>
          <w:rFonts w:ascii="Arial" w:hAnsi="Arial" w:cs="Arial"/>
          <w:sz w:val="16"/>
        </w:rPr>
        <w:t xml:space="preserve"> </w:t>
      </w:r>
      <w:r w:rsidRPr="00AE43F3">
        <w:rPr>
          <w:rFonts w:ascii="Arial" w:hAnsi="Arial" w:cs="Arial"/>
          <w:sz w:val="16"/>
          <w:szCs w:val="16"/>
        </w:rPr>
        <w:t xml:space="preserve">En 2019, los OPDH reportaron </w:t>
      </w:r>
      <w:r w:rsidR="00C61D77">
        <w:rPr>
          <w:rFonts w:ascii="Arial" w:hAnsi="Arial" w:cs="Arial"/>
          <w:sz w:val="16"/>
          <w:szCs w:val="16"/>
        </w:rPr>
        <w:t>423 626</w:t>
      </w:r>
      <w:r w:rsidRPr="00AE43F3">
        <w:rPr>
          <w:rFonts w:ascii="Arial" w:hAnsi="Arial" w:cs="Arial"/>
          <w:sz w:val="16"/>
          <w:szCs w:val="16"/>
        </w:rPr>
        <w:t xml:space="preserve"> servidores públicos que asistieron a dichos eventos.</w:t>
      </w:r>
    </w:p>
  </w:footnote>
  <w:footnote w:id="16">
    <w:p w14:paraId="3F0CC6B2" w14:textId="522ECA26" w:rsidR="009629A0" w:rsidRPr="001521DB" w:rsidRDefault="009629A0" w:rsidP="00A26577">
      <w:pPr>
        <w:pStyle w:val="Textonotapie"/>
        <w:ind w:left="-567"/>
        <w:rPr>
          <w:rFonts w:ascii="Arial" w:hAnsi="Arial" w:cs="Arial"/>
        </w:rPr>
      </w:pPr>
      <w:r w:rsidRPr="00AE43F3">
        <w:rPr>
          <w:rStyle w:val="Refdenotaalpie"/>
          <w:rFonts w:ascii="Arial" w:hAnsi="Arial" w:cs="Arial"/>
          <w:sz w:val="16"/>
          <w:szCs w:val="16"/>
        </w:rPr>
        <w:footnoteRef/>
      </w:r>
      <w:r w:rsidRPr="00AE43F3">
        <w:rPr>
          <w:rStyle w:val="Refdenotaalpie"/>
          <w:rFonts w:ascii="Arial" w:hAnsi="Arial" w:cs="Arial"/>
          <w:sz w:val="16"/>
          <w:szCs w:val="16"/>
        </w:rPr>
        <w:t xml:space="preserve"> </w:t>
      </w:r>
      <w:r w:rsidRPr="00AE43F3">
        <w:rPr>
          <w:rFonts w:ascii="Arial" w:hAnsi="Arial" w:cs="Arial"/>
          <w:sz w:val="16"/>
        </w:rPr>
        <w:t>El 3.0% restante corresponde a la categoría “No especificado”.</w:t>
      </w:r>
      <w:r w:rsidRPr="001521DB">
        <w:rPr>
          <w:rFonts w:ascii="Arial" w:hAnsi="Arial" w:cs="Arial"/>
          <w:sz w:val="12"/>
          <w:szCs w:val="16"/>
        </w:rPr>
        <w:t xml:space="preserve"> </w:t>
      </w:r>
    </w:p>
  </w:footnote>
  <w:footnote w:id="17">
    <w:p w14:paraId="4293009C" w14:textId="7280409C" w:rsidR="009629A0" w:rsidRPr="0063204F" w:rsidRDefault="009629A0" w:rsidP="00A26577">
      <w:pPr>
        <w:pStyle w:val="Textonotapie"/>
        <w:ind w:left="-567"/>
        <w:rPr>
          <w:rFonts w:ascii="Arial" w:hAnsi="Arial" w:cs="Arial"/>
          <w:sz w:val="16"/>
          <w:szCs w:val="16"/>
        </w:rPr>
      </w:pPr>
      <w:r w:rsidRPr="0063204F">
        <w:rPr>
          <w:rStyle w:val="Refdenotaalpie"/>
          <w:rFonts w:ascii="Arial" w:hAnsi="Arial" w:cs="Arial"/>
          <w:sz w:val="16"/>
          <w:szCs w:val="16"/>
        </w:rPr>
        <w:footnoteRef/>
      </w:r>
      <w:r w:rsidRPr="0063204F">
        <w:rPr>
          <w:rFonts w:ascii="Arial" w:hAnsi="Arial" w:cs="Arial"/>
          <w:sz w:val="16"/>
          <w:szCs w:val="16"/>
        </w:rPr>
        <w:t xml:space="preserve"> Incluye las solicitudes improcedentes, archivadas, orientadas, canalizadas y de otro motivo. </w:t>
      </w:r>
    </w:p>
  </w:footnote>
  <w:footnote w:id="18">
    <w:p w14:paraId="3C7BB443" w14:textId="0115F4AC" w:rsidR="009629A0" w:rsidRPr="0063204F" w:rsidRDefault="009629A0" w:rsidP="00A26577">
      <w:pPr>
        <w:pStyle w:val="Textonotapie"/>
        <w:ind w:left="-567"/>
        <w:rPr>
          <w:rFonts w:ascii="Arial" w:hAnsi="Arial" w:cs="Arial"/>
          <w:sz w:val="16"/>
          <w:szCs w:val="16"/>
        </w:rPr>
      </w:pPr>
      <w:r w:rsidRPr="0063204F">
        <w:rPr>
          <w:rStyle w:val="Refdenotaalpie"/>
          <w:rFonts w:ascii="Arial" w:hAnsi="Arial" w:cs="Arial"/>
          <w:sz w:val="16"/>
          <w:szCs w:val="16"/>
        </w:rPr>
        <w:footnoteRef/>
      </w:r>
      <w:r w:rsidRPr="0063204F">
        <w:rPr>
          <w:rFonts w:ascii="Arial" w:hAnsi="Arial" w:cs="Arial"/>
          <w:sz w:val="16"/>
          <w:szCs w:val="16"/>
        </w:rPr>
        <w:t xml:space="preserve"> La cifra de solicitudes de queja pendientes correspondió a los OPDH.</w:t>
      </w:r>
    </w:p>
  </w:footnote>
  <w:footnote w:id="19">
    <w:p w14:paraId="041DCEE9" w14:textId="5CB3C512" w:rsidR="009629A0" w:rsidRDefault="009629A0" w:rsidP="00A26577">
      <w:pPr>
        <w:pStyle w:val="Textonotapie"/>
        <w:ind w:left="-567"/>
      </w:pPr>
      <w:r w:rsidRPr="0063204F">
        <w:rPr>
          <w:rStyle w:val="Refdenotaalpie"/>
          <w:rFonts w:ascii="Arial" w:hAnsi="Arial" w:cs="Arial"/>
          <w:sz w:val="16"/>
          <w:szCs w:val="16"/>
        </w:rPr>
        <w:footnoteRef/>
      </w:r>
      <w:r w:rsidRPr="0063204F">
        <w:rPr>
          <w:rFonts w:ascii="Arial" w:hAnsi="Arial" w:cs="Arial"/>
          <w:sz w:val="16"/>
          <w:szCs w:val="16"/>
        </w:rPr>
        <w:t xml:space="preserve"> En 2019 la cantidad de solicitudes de queja recibidas por la CNDH y los OPDH fue de 216 149.</w:t>
      </w:r>
    </w:p>
  </w:footnote>
  <w:footnote w:id="20">
    <w:p w14:paraId="10158C29" w14:textId="0C7EEEE0" w:rsidR="006F694E" w:rsidRPr="006F694E" w:rsidRDefault="006F694E" w:rsidP="00A26577">
      <w:pPr>
        <w:pStyle w:val="Textonotapie"/>
        <w:ind w:hanging="567"/>
        <w:rPr>
          <w:rFonts w:ascii="Arial" w:hAnsi="Arial" w:cs="Arial"/>
          <w:sz w:val="16"/>
          <w:szCs w:val="16"/>
        </w:rPr>
      </w:pPr>
      <w:r w:rsidRPr="006F694E">
        <w:rPr>
          <w:rStyle w:val="Refdenotaalpie"/>
          <w:rFonts w:ascii="Arial" w:hAnsi="Arial" w:cs="Arial"/>
          <w:sz w:val="16"/>
          <w:szCs w:val="16"/>
        </w:rPr>
        <w:footnoteRef/>
      </w:r>
      <w:r w:rsidRPr="006F694E">
        <w:rPr>
          <w:rFonts w:ascii="Arial" w:hAnsi="Arial" w:cs="Arial"/>
          <w:sz w:val="16"/>
          <w:szCs w:val="16"/>
        </w:rPr>
        <w:t xml:space="preserve"> En 2019</w:t>
      </w:r>
      <w:r>
        <w:rPr>
          <w:rFonts w:ascii="Arial" w:hAnsi="Arial" w:cs="Arial"/>
          <w:sz w:val="16"/>
          <w:szCs w:val="16"/>
        </w:rPr>
        <w:t>,</w:t>
      </w:r>
      <w:r w:rsidRPr="006F694E">
        <w:rPr>
          <w:rFonts w:ascii="Arial" w:hAnsi="Arial" w:cs="Arial"/>
          <w:sz w:val="16"/>
          <w:szCs w:val="16"/>
        </w:rPr>
        <w:t xml:space="preserve"> </w:t>
      </w:r>
      <w:r>
        <w:rPr>
          <w:rFonts w:ascii="Arial" w:hAnsi="Arial" w:cs="Arial"/>
          <w:sz w:val="16"/>
          <w:szCs w:val="16"/>
        </w:rPr>
        <w:t>el total nacional</w:t>
      </w:r>
      <w:r w:rsidRPr="006F694E">
        <w:rPr>
          <w:rFonts w:ascii="Arial" w:hAnsi="Arial" w:cs="Arial"/>
          <w:sz w:val="16"/>
          <w:szCs w:val="16"/>
        </w:rPr>
        <w:t xml:space="preserve"> de víctimas registradas en los expedientes de queja</w:t>
      </w:r>
      <w:r>
        <w:rPr>
          <w:rFonts w:ascii="Arial" w:hAnsi="Arial" w:cs="Arial"/>
          <w:sz w:val="16"/>
          <w:szCs w:val="16"/>
        </w:rPr>
        <w:t xml:space="preserve"> fue de 137 848. </w:t>
      </w:r>
    </w:p>
  </w:footnote>
  <w:footnote w:id="21">
    <w:p w14:paraId="1E08328F" w14:textId="0D6FB852" w:rsidR="009629A0" w:rsidRPr="00375924" w:rsidRDefault="009629A0" w:rsidP="00A26577">
      <w:pPr>
        <w:pStyle w:val="Textonotapie"/>
        <w:ind w:left="-567"/>
        <w:rPr>
          <w:rFonts w:ascii="Arial" w:hAnsi="Arial" w:cs="Arial"/>
        </w:rPr>
      </w:pPr>
      <w:r w:rsidRPr="00375924">
        <w:rPr>
          <w:rStyle w:val="Refdenotaalpie"/>
          <w:rFonts w:ascii="Arial" w:hAnsi="Arial" w:cs="Arial"/>
          <w:sz w:val="16"/>
        </w:rPr>
        <w:footnoteRef/>
      </w:r>
      <w:r w:rsidRPr="00375924">
        <w:rPr>
          <w:rFonts w:ascii="Arial" w:hAnsi="Arial" w:cs="Arial"/>
          <w:sz w:val="16"/>
        </w:rPr>
        <w:t xml:space="preserve"> En 2019 la CNDH reportó 11 181 expedientes concluidos. </w:t>
      </w:r>
    </w:p>
  </w:footnote>
  <w:footnote w:id="22">
    <w:p w14:paraId="7963242F" w14:textId="64D89815" w:rsidR="009629A0" w:rsidRPr="006E2C82" w:rsidRDefault="009629A0" w:rsidP="00A26577">
      <w:pPr>
        <w:pStyle w:val="Textonotapie"/>
        <w:ind w:left="-567"/>
        <w:rPr>
          <w:rFonts w:ascii="Arial" w:hAnsi="Arial" w:cs="Arial"/>
        </w:rPr>
      </w:pPr>
      <w:r w:rsidRPr="006E2C82">
        <w:rPr>
          <w:rStyle w:val="Refdenotaalpie"/>
          <w:rFonts w:ascii="Arial" w:hAnsi="Arial" w:cs="Arial"/>
          <w:sz w:val="16"/>
        </w:rPr>
        <w:footnoteRef/>
      </w:r>
      <w:r w:rsidRPr="006E2C82">
        <w:rPr>
          <w:rFonts w:ascii="Arial" w:hAnsi="Arial" w:cs="Arial"/>
          <w:sz w:val="16"/>
        </w:rPr>
        <w:t xml:space="preserve"> En 2019 los OPDH reportaron 59 931 expedientes concluidos. </w:t>
      </w:r>
    </w:p>
  </w:footnote>
  <w:footnote w:id="23">
    <w:p w14:paraId="5D66A077" w14:textId="7B36DBA8" w:rsidR="009629A0" w:rsidRPr="00744CB8" w:rsidRDefault="009629A0" w:rsidP="00A26577">
      <w:pPr>
        <w:pStyle w:val="Textonotapie"/>
        <w:ind w:left="-426" w:hanging="141"/>
        <w:jc w:val="both"/>
        <w:rPr>
          <w:rFonts w:ascii="Arial" w:hAnsi="Arial" w:cs="Arial"/>
        </w:rPr>
      </w:pPr>
      <w:r w:rsidRPr="00744CB8">
        <w:rPr>
          <w:rStyle w:val="Refdenotaalpie"/>
          <w:rFonts w:ascii="Arial" w:hAnsi="Arial" w:cs="Arial"/>
          <w:sz w:val="16"/>
        </w:rPr>
        <w:footnoteRef/>
      </w:r>
      <w:r w:rsidRPr="00744CB8">
        <w:rPr>
          <w:rFonts w:ascii="Arial" w:hAnsi="Arial" w:cs="Arial"/>
          <w:sz w:val="16"/>
        </w:rPr>
        <w:t xml:space="preserve"> La distribución porcentual se realizó sobre 47 114 expedientes, toda vez que en un expediente concluido se pudo haber registrado una o más conclusiones.</w:t>
      </w:r>
    </w:p>
  </w:footnote>
  <w:footnote w:id="24">
    <w:p w14:paraId="501CEA09" w14:textId="14768E3B" w:rsidR="009629A0" w:rsidRPr="004439F4" w:rsidRDefault="009629A0" w:rsidP="00A26577">
      <w:pPr>
        <w:pStyle w:val="Textonotapie"/>
        <w:ind w:left="-567"/>
        <w:rPr>
          <w:rFonts w:ascii="Arial" w:hAnsi="Arial" w:cs="Arial"/>
        </w:rPr>
      </w:pPr>
      <w:r w:rsidRPr="004439F4">
        <w:rPr>
          <w:rStyle w:val="Refdenotaalpie"/>
          <w:rFonts w:ascii="Arial" w:hAnsi="Arial" w:cs="Arial"/>
          <w:sz w:val="16"/>
        </w:rPr>
        <w:footnoteRef/>
      </w:r>
      <w:r w:rsidRPr="004439F4">
        <w:rPr>
          <w:rFonts w:ascii="Arial" w:hAnsi="Arial" w:cs="Arial"/>
          <w:sz w:val="16"/>
        </w:rPr>
        <w:t xml:space="preserve"> En 2019 la cantidad de servidoras y servidores públicos sancionados fue de 792.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98BFC" w14:textId="77777777" w:rsidR="0041628C" w:rsidRDefault="0041628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ABB97" w14:textId="014105E4" w:rsidR="009629A0" w:rsidRPr="0099258B" w:rsidRDefault="009629A0" w:rsidP="002424EB">
    <w:pPr>
      <w:pStyle w:val="Encabezado"/>
      <w:tabs>
        <w:tab w:val="center" w:pos="4164"/>
        <w:tab w:val="center" w:pos="4537"/>
        <w:tab w:val="left" w:pos="7410"/>
      </w:tabs>
      <w:ind w:left="-510"/>
      <w:jc w:val="right"/>
      <w:rPr>
        <w:rFonts w:ascii="Arial" w:eastAsia="Arial" w:hAnsi="Arial" w:cs="Arial"/>
        <w:sz w:val="24"/>
        <w:szCs w:val="24"/>
      </w:rPr>
    </w:pPr>
    <w:r>
      <w:rPr>
        <w:noProof/>
        <w:lang w:eastAsia="es-MX"/>
      </w:rPr>
      <w:drawing>
        <wp:anchor distT="0" distB="0" distL="114300" distR="114300" simplePos="0" relativeHeight="251662336" behindDoc="0" locked="0" layoutInCell="1" allowOverlap="1" wp14:anchorId="5C193103" wp14:editId="6B66D692">
          <wp:simplePos x="0" y="0"/>
          <wp:positionH relativeFrom="page">
            <wp:posOffset>742950</wp:posOffset>
          </wp:positionH>
          <wp:positionV relativeFrom="margin">
            <wp:posOffset>-830580</wp:posOffset>
          </wp:positionV>
          <wp:extent cx="733425" cy="762000"/>
          <wp:effectExtent l="0" t="0" r="9525"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spacing w:val="5"/>
      </w:rPr>
      <w:tab/>
    </w:r>
    <w:r w:rsidRPr="0099258B">
      <w:rPr>
        <w:rFonts w:ascii="Arial" w:hAnsi="Arial" w:cs="Arial"/>
        <w:b/>
        <w:color w:val="002060"/>
        <w:sz w:val="24"/>
        <w:szCs w:val="24"/>
      </w:rPr>
      <w:t>COMUNICADO</w:t>
    </w:r>
    <w:r w:rsidRPr="0099258B">
      <w:rPr>
        <w:rFonts w:ascii="Arial" w:hAnsi="Arial" w:cs="Arial"/>
        <w:b/>
        <w:color w:val="002060"/>
        <w:spacing w:val="-11"/>
        <w:sz w:val="24"/>
        <w:szCs w:val="24"/>
      </w:rPr>
      <w:t xml:space="preserve"> </w:t>
    </w:r>
    <w:r w:rsidRPr="0099258B">
      <w:rPr>
        <w:rFonts w:ascii="Arial" w:hAnsi="Arial" w:cs="Arial"/>
        <w:b/>
        <w:color w:val="002060"/>
        <w:sz w:val="24"/>
        <w:szCs w:val="24"/>
      </w:rPr>
      <w:t>DE</w:t>
    </w:r>
    <w:r w:rsidRPr="0099258B">
      <w:rPr>
        <w:rFonts w:ascii="Arial" w:hAnsi="Arial" w:cs="Arial"/>
        <w:b/>
        <w:color w:val="002060"/>
        <w:spacing w:val="-11"/>
        <w:sz w:val="24"/>
        <w:szCs w:val="24"/>
      </w:rPr>
      <w:t xml:space="preserve"> P</w:t>
    </w:r>
    <w:r w:rsidRPr="0099258B">
      <w:rPr>
        <w:rFonts w:ascii="Arial" w:hAnsi="Arial" w:cs="Arial"/>
        <w:b/>
        <w:color w:val="002060"/>
        <w:spacing w:val="-1"/>
        <w:sz w:val="24"/>
        <w:szCs w:val="24"/>
      </w:rPr>
      <w:t>RENSA</w:t>
    </w:r>
    <w:r w:rsidRPr="0099258B">
      <w:rPr>
        <w:rFonts w:ascii="Arial" w:hAnsi="Arial" w:cs="Arial"/>
        <w:b/>
        <w:color w:val="002060"/>
        <w:spacing w:val="-11"/>
        <w:sz w:val="24"/>
        <w:szCs w:val="24"/>
      </w:rPr>
      <w:t xml:space="preserve"> </w:t>
    </w:r>
    <w:r w:rsidRPr="0099258B">
      <w:rPr>
        <w:rFonts w:ascii="Arial" w:hAnsi="Arial" w:cs="Arial"/>
        <w:b/>
        <w:color w:val="002060"/>
        <w:sz w:val="24"/>
        <w:szCs w:val="24"/>
      </w:rPr>
      <w:t xml:space="preserve">NÚM. </w:t>
    </w:r>
    <w:r w:rsidR="0041628C">
      <w:rPr>
        <w:rFonts w:ascii="Arial" w:hAnsi="Arial" w:cs="Arial"/>
        <w:b/>
        <w:color w:val="002060"/>
        <w:sz w:val="24"/>
        <w:szCs w:val="24"/>
      </w:rPr>
      <w:t>764/</w:t>
    </w:r>
    <w:r w:rsidR="00AA14DE">
      <w:rPr>
        <w:rFonts w:ascii="Arial" w:hAnsi="Arial" w:cs="Arial"/>
        <w:b/>
        <w:color w:val="002060"/>
        <w:sz w:val="24"/>
        <w:szCs w:val="24"/>
      </w:rPr>
      <w:t>21</w:t>
    </w:r>
    <w:r w:rsidRPr="0099258B">
      <w:rPr>
        <w:rFonts w:ascii="Arial" w:hAnsi="Arial" w:cs="Arial"/>
        <w:b/>
        <w:color w:val="002060"/>
        <w:spacing w:val="-11"/>
        <w:sz w:val="24"/>
        <w:szCs w:val="24"/>
      </w:rPr>
      <w:t xml:space="preserve"> </w:t>
    </w:r>
  </w:p>
  <w:p w14:paraId="752B4E7E" w14:textId="68EE95B7" w:rsidR="009629A0" w:rsidRPr="0099258B" w:rsidRDefault="009629A0" w:rsidP="002424EB">
    <w:pPr>
      <w:tabs>
        <w:tab w:val="left" w:pos="2490"/>
        <w:tab w:val="right" w:pos="8046"/>
      </w:tabs>
      <w:spacing w:after="0" w:line="240" w:lineRule="auto"/>
      <w:jc w:val="right"/>
      <w:rPr>
        <w:rFonts w:ascii="Arial" w:eastAsia="Arial" w:hAnsi="Arial" w:cs="Arial"/>
        <w:sz w:val="24"/>
        <w:szCs w:val="24"/>
      </w:rPr>
    </w:pPr>
    <w:r>
      <w:rPr>
        <w:rFonts w:ascii="Arial" w:hAnsi="Arial" w:cs="Arial"/>
        <w:b/>
        <w:color w:val="002060"/>
        <w:sz w:val="24"/>
        <w:szCs w:val="24"/>
      </w:rPr>
      <w:tab/>
    </w:r>
    <w:r>
      <w:rPr>
        <w:rFonts w:ascii="Arial" w:hAnsi="Arial" w:cs="Arial"/>
        <w:b/>
        <w:color w:val="002060"/>
        <w:sz w:val="24"/>
        <w:szCs w:val="24"/>
      </w:rPr>
      <w:tab/>
      <w:t>10 DE DIC</w:t>
    </w:r>
    <w:r w:rsidRPr="0099258B">
      <w:rPr>
        <w:rFonts w:ascii="Arial" w:hAnsi="Arial" w:cs="Arial"/>
        <w:b/>
        <w:color w:val="002060"/>
        <w:sz w:val="24"/>
        <w:szCs w:val="24"/>
      </w:rPr>
      <w:t>IEMBRE</w:t>
    </w:r>
    <w:r w:rsidRPr="0099258B">
      <w:rPr>
        <w:rFonts w:ascii="Arial" w:hAnsi="Arial" w:cs="Arial"/>
        <w:b/>
        <w:color w:val="002060"/>
        <w:spacing w:val="-6"/>
        <w:sz w:val="24"/>
        <w:szCs w:val="24"/>
      </w:rPr>
      <w:t xml:space="preserve"> </w:t>
    </w:r>
    <w:r w:rsidRPr="0099258B">
      <w:rPr>
        <w:rFonts w:ascii="Arial" w:hAnsi="Arial" w:cs="Arial"/>
        <w:b/>
        <w:color w:val="002060"/>
        <w:sz w:val="24"/>
        <w:szCs w:val="24"/>
      </w:rPr>
      <w:t>DE</w:t>
    </w:r>
    <w:r w:rsidRPr="0099258B">
      <w:rPr>
        <w:rFonts w:ascii="Arial" w:hAnsi="Arial" w:cs="Arial"/>
        <w:b/>
        <w:color w:val="002060"/>
        <w:spacing w:val="-5"/>
        <w:sz w:val="24"/>
        <w:szCs w:val="24"/>
      </w:rPr>
      <w:t xml:space="preserve"> </w:t>
    </w:r>
    <w:r w:rsidRPr="0099258B">
      <w:rPr>
        <w:rFonts w:ascii="Arial" w:hAnsi="Arial" w:cs="Arial"/>
        <w:b/>
        <w:color w:val="002060"/>
        <w:sz w:val="24"/>
        <w:szCs w:val="24"/>
      </w:rPr>
      <w:t>20</w:t>
    </w:r>
    <w:r>
      <w:rPr>
        <w:rFonts w:ascii="Arial" w:hAnsi="Arial" w:cs="Arial"/>
        <w:b/>
        <w:color w:val="002060"/>
        <w:sz w:val="24"/>
        <w:szCs w:val="24"/>
      </w:rPr>
      <w:t>21</w:t>
    </w:r>
  </w:p>
  <w:p w14:paraId="196F3249" w14:textId="5B105A10" w:rsidR="009629A0" w:rsidRPr="0099258B" w:rsidRDefault="009629A0" w:rsidP="002424EB">
    <w:pPr>
      <w:spacing w:after="0" w:line="240" w:lineRule="auto"/>
      <w:jc w:val="right"/>
      <w:rPr>
        <w:rFonts w:ascii="Arial" w:eastAsia="Arial" w:hAnsi="Arial" w:cs="Arial"/>
        <w:sz w:val="24"/>
        <w:szCs w:val="24"/>
      </w:rPr>
    </w:pPr>
    <w:r w:rsidRPr="0099258B">
      <w:rPr>
        <w:rFonts w:ascii="Arial" w:hAnsi="Arial" w:cs="Arial"/>
        <w:b/>
        <w:color w:val="002060"/>
        <w:sz w:val="24"/>
        <w:szCs w:val="24"/>
      </w:rPr>
      <w:t>PÁGINA</w:t>
    </w:r>
    <w:r w:rsidRPr="0099258B">
      <w:rPr>
        <w:rFonts w:ascii="Arial" w:hAnsi="Arial" w:cs="Arial"/>
        <w:b/>
        <w:color w:val="002060"/>
        <w:spacing w:val="-13"/>
        <w:sz w:val="24"/>
        <w:szCs w:val="24"/>
      </w:rPr>
      <w:t xml:space="preserve"> </w:t>
    </w:r>
    <w:r w:rsidRPr="0099258B">
      <w:rPr>
        <w:rFonts w:ascii="Arial" w:hAnsi="Arial" w:cs="Arial"/>
        <w:sz w:val="24"/>
        <w:szCs w:val="24"/>
      </w:rPr>
      <w:fldChar w:fldCharType="begin"/>
    </w:r>
    <w:r w:rsidRPr="0099258B">
      <w:rPr>
        <w:rFonts w:ascii="Arial" w:hAnsi="Arial" w:cs="Arial"/>
        <w:b/>
        <w:color w:val="002060"/>
        <w:sz w:val="24"/>
        <w:szCs w:val="24"/>
      </w:rPr>
      <w:instrText xml:space="preserve"> PAGE </w:instrText>
    </w:r>
    <w:r w:rsidRPr="0099258B">
      <w:rPr>
        <w:rFonts w:ascii="Arial" w:hAnsi="Arial" w:cs="Arial"/>
        <w:sz w:val="24"/>
        <w:szCs w:val="24"/>
      </w:rPr>
      <w:fldChar w:fldCharType="separate"/>
    </w:r>
    <w:r>
      <w:rPr>
        <w:rFonts w:ascii="Arial" w:hAnsi="Arial" w:cs="Arial"/>
        <w:b/>
        <w:noProof/>
        <w:color w:val="002060"/>
        <w:sz w:val="24"/>
        <w:szCs w:val="24"/>
      </w:rPr>
      <w:t>2</w:t>
    </w:r>
    <w:r w:rsidRPr="0099258B">
      <w:rPr>
        <w:rFonts w:ascii="Arial" w:hAnsi="Arial" w:cs="Arial"/>
        <w:sz w:val="24"/>
        <w:szCs w:val="24"/>
      </w:rPr>
      <w:fldChar w:fldCharType="end"/>
    </w:r>
    <w:r w:rsidRPr="0099258B">
      <w:rPr>
        <w:rFonts w:ascii="Arial" w:hAnsi="Arial" w:cs="Arial"/>
        <w:b/>
        <w:color w:val="002060"/>
        <w:sz w:val="24"/>
        <w:szCs w:val="24"/>
      </w:rPr>
      <w:t>/</w:t>
    </w:r>
    <w:r>
      <w:rPr>
        <w:rFonts w:ascii="Arial" w:hAnsi="Arial" w:cs="Arial"/>
        <w:b/>
        <w:color w:val="002060"/>
        <w:sz w:val="24"/>
        <w:szCs w:val="24"/>
      </w:rPr>
      <w:t>2</w:t>
    </w:r>
  </w:p>
  <w:p w14:paraId="77803910" w14:textId="145EBFA4" w:rsidR="009629A0" w:rsidRDefault="009629A0" w:rsidP="002424EB">
    <w:pPr>
      <w:pStyle w:val="Encabezado"/>
      <w:tabs>
        <w:tab w:val="clear" w:pos="4419"/>
        <w:tab w:val="clear" w:pos="8838"/>
        <w:tab w:val="left" w:pos="7410"/>
      </w:tabs>
      <w:ind w:left="-510"/>
      <w:rPr>
        <w:b/>
        <w:color w:val="000000"/>
        <w:spacing w:val="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71D50" w14:textId="77777777" w:rsidR="0041628C" w:rsidRDefault="0041628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34DFA" w14:textId="77777777" w:rsidR="009629A0" w:rsidRDefault="009629A0">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097A" w14:textId="77777777" w:rsidR="009629A0" w:rsidRDefault="009629A0" w:rsidP="0076666E">
    <w:pPr>
      <w:spacing w:after="0" w:line="265" w:lineRule="exact"/>
      <w:ind w:right="74"/>
      <w:jc w:val="right"/>
      <w:rPr>
        <w:rFonts w:ascii="Arial" w:hAnsi="Arial" w:cs="Arial"/>
        <w:b/>
        <w:color w:val="002060"/>
        <w:sz w:val="24"/>
        <w:szCs w:val="24"/>
      </w:rPr>
    </w:pPr>
  </w:p>
  <w:p w14:paraId="5AE26403" w14:textId="77777777" w:rsidR="009629A0" w:rsidRPr="00737773" w:rsidRDefault="009629A0" w:rsidP="0076666E">
    <w:pPr>
      <w:pStyle w:val="Encabezado"/>
      <w:framePr w:w="5410" w:hSpace="141" w:wrap="auto" w:vAnchor="text" w:hAnchor="page" w:x="5689" w:y="32"/>
      <w:ind w:left="567" w:hanging="11"/>
      <w:jc w:val="right"/>
      <w:rPr>
        <w:rFonts w:ascii="Arial" w:hAnsi="Arial" w:cs="Arial"/>
        <w:b/>
        <w:color w:val="002060"/>
        <w:sz w:val="24"/>
        <w:szCs w:val="24"/>
        <w:lang w:val="pt-BR"/>
      </w:rPr>
    </w:pPr>
    <w:r w:rsidRPr="00737773">
      <w:rPr>
        <w:rFonts w:ascii="Arial" w:hAnsi="Arial" w:cs="Arial"/>
        <w:b/>
        <w:color w:val="002060"/>
        <w:sz w:val="24"/>
        <w:szCs w:val="24"/>
      </w:rPr>
      <w:t xml:space="preserve"> </w:t>
    </w:r>
  </w:p>
  <w:p w14:paraId="3A23A700" w14:textId="77777777" w:rsidR="009629A0" w:rsidRPr="00D949DE" w:rsidRDefault="009629A0" w:rsidP="0076666E">
    <w:pPr>
      <w:framePr w:w="6178" w:h="916" w:hRule="exact" w:hSpace="141" w:vSpace="141" w:wrap="auto" w:vAnchor="page" w:hAnchor="page" w:x="5335" w:y="631"/>
      <w:spacing w:after="0" w:line="240" w:lineRule="auto"/>
      <w:ind w:right="352"/>
      <w:jc w:val="right"/>
      <w:rPr>
        <w:rFonts w:ascii="Arial" w:eastAsia="Arial" w:hAnsi="Arial" w:cs="Arial"/>
        <w:sz w:val="24"/>
      </w:rPr>
    </w:pPr>
    <w:r w:rsidRPr="00D949DE">
      <w:rPr>
        <w:rFonts w:ascii="Arial" w:hAnsi="Arial" w:cs="Arial"/>
        <w:b/>
        <w:color w:val="002060"/>
        <w:sz w:val="24"/>
      </w:rPr>
      <w:t>COMUNICADO</w:t>
    </w:r>
    <w:r w:rsidRPr="00D949DE">
      <w:rPr>
        <w:rFonts w:ascii="Arial" w:hAnsi="Arial" w:cs="Arial"/>
        <w:b/>
        <w:color w:val="002060"/>
        <w:spacing w:val="-11"/>
        <w:sz w:val="24"/>
      </w:rPr>
      <w:t xml:space="preserve"> </w:t>
    </w:r>
    <w:r w:rsidRPr="00D949DE">
      <w:rPr>
        <w:rFonts w:ascii="Arial" w:hAnsi="Arial" w:cs="Arial"/>
        <w:b/>
        <w:color w:val="002060"/>
        <w:sz w:val="24"/>
      </w:rPr>
      <w:t>DE</w:t>
    </w:r>
    <w:r w:rsidRPr="00D949DE">
      <w:rPr>
        <w:rFonts w:ascii="Arial" w:hAnsi="Arial" w:cs="Arial"/>
        <w:b/>
        <w:color w:val="002060"/>
        <w:spacing w:val="-11"/>
        <w:sz w:val="24"/>
      </w:rPr>
      <w:t xml:space="preserve"> P</w:t>
    </w:r>
    <w:r w:rsidRPr="00D949DE">
      <w:rPr>
        <w:rFonts w:ascii="Arial" w:hAnsi="Arial" w:cs="Arial"/>
        <w:b/>
        <w:color w:val="002060"/>
        <w:spacing w:val="-1"/>
        <w:sz w:val="24"/>
      </w:rPr>
      <w:t>RENSA</w:t>
    </w:r>
    <w:r w:rsidRPr="00D949DE">
      <w:rPr>
        <w:rFonts w:ascii="Arial" w:hAnsi="Arial" w:cs="Arial"/>
        <w:b/>
        <w:color w:val="002060"/>
        <w:spacing w:val="-11"/>
        <w:sz w:val="24"/>
      </w:rPr>
      <w:t xml:space="preserve"> </w:t>
    </w:r>
    <w:r w:rsidRPr="00D949DE">
      <w:rPr>
        <w:rFonts w:ascii="Arial" w:hAnsi="Arial" w:cs="Arial"/>
        <w:b/>
        <w:color w:val="002060"/>
        <w:sz w:val="24"/>
      </w:rPr>
      <w:t xml:space="preserve">NÚM. </w:t>
    </w:r>
    <w:r>
      <w:rPr>
        <w:rFonts w:ascii="Arial" w:hAnsi="Arial" w:cs="Arial"/>
        <w:b/>
        <w:color w:val="002060"/>
        <w:sz w:val="24"/>
      </w:rPr>
      <w:t>688</w:t>
    </w:r>
    <w:r w:rsidRPr="00D949DE">
      <w:rPr>
        <w:rFonts w:ascii="Arial" w:hAnsi="Arial" w:cs="Arial"/>
        <w:b/>
        <w:color w:val="002060"/>
        <w:sz w:val="24"/>
      </w:rPr>
      <w:t>/21</w:t>
    </w:r>
  </w:p>
  <w:p w14:paraId="04CA71A9" w14:textId="77777777" w:rsidR="009629A0" w:rsidRPr="00D949DE" w:rsidRDefault="009629A0" w:rsidP="0076666E">
    <w:pPr>
      <w:framePr w:w="6178" w:h="916" w:hRule="exact" w:hSpace="141" w:vSpace="141" w:wrap="auto" w:vAnchor="page" w:hAnchor="page" w:x="5335" w:y="631"/>
      <w:spacing w:after="0" w:line="240" w:lineRule="auto"/>
      <w:ind w:right="352"/>
      <w:jc w:val="right"/>
      <w:rPr>
        <w:rFonts w:ascii="Arial" w:eastAsia="Arial" w:hAnsi="Arial" w:cs="Arial"/>
        <w:sz w:val="24"/>
      </w:rPr>
    </w:pPr>
    <w:r>
      <w:rPr>
        <w:rFonts w:ascii="Arial" w:hAnsi="Arial" w:cs="Arial"/>
        <w:b/>
        <w:color w:val="002060"/>
        <w:sz w:val="24"/>
      </w:rPr>
      <w:t>23</w:t>
    </w:r>
    <w:r w:rsidRPr="00D949DE">
      <w:rPr>
        <w:rFonts w:ascii="Arial" w:hAnsi="Arial" w:cs="Arial"/>
        <w:b/>
        <w:color w:val="002060"/>
        <w:sz w:val="24"/>
      </w:rPr>
      <w:t xml:space="preserve"> DE </w:t>
    </w:r>
    <w:r>
      <w:rPr>
        <w:rFonts w:ascii="Arial" w:hAnsi="Arial" w:cs="Arial"/>
        <w:b/>
        <w:color w:val="002060"/>
        <w:sz w:val="24"/>
      </w:rPr>
      <w:t>NOV</w:t>
    </w:r>
    <w:r w:rsidRPr="00D949DE">
      <w:rPr>
        <w:rFonts w:ascii="Arial" w:hAnsi="Arial" w:cs="Arial"/>
        <w:b/>
        <w:color w:val="002060"/>
        <w:sz w:val="24"/>
      </w:rPr>
      <w:t>IEMBRE</w:t>
    </w:r>
    <w:r w:rsidRPr="00D949DE">
      <w:rPr>
        <w:rFonts w:ascii="Arial" w:hAnsi="Arial" w:cs="Arial"/>
        <w:b/>
        <w:color w:val="002060"/>
        <w:spacing w:val="-6"/>
        <w:sz w:val="24"/>
      </w:rPr>
      <w:t xml:space="preserve"> </w:t>
    </w:r>
    <w:r w:rsidRPr="00D949DE">
      <w:rPr>
        <w:rFonts w:ascii="Arial" w:hAnsi="Arial" w:cs="Arial"/>
        <w:b/>
        <w:color w:val="002060"/>
        <w:sz w:val="24"/>
      </w:rPr>
      <w:t>DE</w:t>
    </w:r>
    <w:r w:rsidRPr="00D949DE">
      <w:rPr>
        <w:rFonts w:ascii="Arial" w:hAnsi="Arial" w:cs="Arial"/>
        <w:b/>
        <w:color w:val="002060"/>
        <w:spacing w:val="-5"/>
        <w:sz w:val="24"/>
      </w:rPr>
      <w:t xml:space="preserve"> </w:t>
    </w:r>
    <w:r w:rsidRPr="00D949DE">
      <w:rPr>
        <w:rFonts w:ascii="Arial" w:hAnsi="Arial" w:cs="Arial"/>
        <w:b/>
        <w:color w:val="002060"/>
        <w:sz w:val="24"/>
      </w:rPr>
      <w:t>2021</w:t>
    </w:r>
  </w:p>
  <w:p w14:paraId="65771EE2" w14:textId="77777777" w:rsidR="009629A0" w:rsidRPr="00D949DE" w:rsidRDefault="009629A0" w:rsidP="0076666E">
    <w:pPr>
      <w:framePr w:w="6178" w:h="916" w:hRule="exact" w:hSpace="141" w:vSpace="141" w:wrap="auto" w:vAnchor="page" w:hAnchor="page" w:x="5335" w:y="631"/>
      <w:spacing w:after="0" w:line="240" w:lineRule="auto"/>
      <w:ind w:right="352"/>
      <w:jc w:val="right"/>
      <w:rPr>
        <w:rFonts w:ascii="Arial" w:eastAsia="Arial" w:hAnsi="Arial" w:cs="Arial"/>
        <w:sz w:val="24"/>
      </w:rPr>
    </w:pPr>
    <w:r w:rsidRPr="00D949DE">
      <w:rPr>
        <w:rFonts w:ascii="Arial" w:hAnsi="Arial" w:cs="Arial"/>
        <w:b/>
        <w:color w:val="002060"/>
        <w:sz w:val="24"/>
      </w:rPr>
      <w:t>PÁGINA</w:t>
    </w:r>
    <w:r w:rsidRPr="00D949DE">
      <w:rPr>
        <w:rFonts w:ascii="Arial" w:hAnsi="Arial" w:cs="Arial"/>
        <w:b/>
        <w:color w:val="002060"/>
        <w:spacing w:val="-13"/>
        <w:sz w:val="24"/>
      </w:rPr>
      <w:t xml:space="preserve"> </w:t>
    </w:r>
    <w:r w:rsidRPr="00D949DE">
      <w:rPr>
        <w:rFonts w:ascii="Arial" w:hAnsi="Arial" w:cs="Arial"/>
        <w:sz w:val="24"/>
      </w:rPr>
      <w:fldChar w:fldCharType="begin"/>
    </w:r>
    <w:r w:rsidRPr="00D949DE">
      <w:rPr>
        <w:rFonts w:ascii="Arial" w:hAnsi="Arial" w:cs="Arial"/>
        <w:b/>
        <w:color w:val="002060"/>
        <w:sz w:val="24"/>
      </w:rPr>
      <w:instrText xml:space="preserve"> PAGE </w:instrText>
    </w:r>
    <w:r w:rsidRPr="00D949DE">
      <w:rPr>
        <w:rFonts w:ascii="Arial" w:hAnsi="Arial" w:cs="Arial"/>
        <w:sz w:val="24"/>
      </w:rPr>
      <w:fldChar w:fldCharType="separate"/>
    </w:r>
    <w:r w:rsidRPr="00D949DE">
      <w:rPr>
        <w:rFonts w:ascii="Arial" w:hAnsi="Arial" w:cs="Arial"/>
        <w:sz w:val="24"/>
      </w:rPr>
      <w:t>1</w:t>
    </w:r>
    <w:r w:rsidRPr="00D949DE">
      <w:rPr>
        <w:rFonts w:ascii="Arial" w:hAnsi="Arial" w:cs="Arial"/>
        <w:sz w:val="24"/>
      </w:rPr>
      <w:fldChar w:fldCharType="end"/>
    </w:r>
    <w:r w:rsidRPr="00D949DE">
      <w:rPr>
        <w:rFonts w:ascii="Arial" w:hAnsi="Arial" w:cs="Arial"/>
        <w:b/>
        <w:color w:val="002060"/>
        <w:sz w:val="24"/>
      </w:rPr>
      <w:t>/2</w:t>
    </w:r>
  </w:p>
  <w:p w14:paraId="25E8B0AD" w14:textId="77777777" w:rsidR="009629A0" w:rsidRPr="00A36C24" w:rsidRDefault="009629A0" w:rsidP="0076666E">
    <w:pPr>
      <w:framePr w:w="6178" w:h="916" w:hRule="exact" w:hSpace="141" w:vSpace="141" w:wrap="auto" w:vAnchor="page" w:hAnchor="page" w:x="5335" w:y="631"/>
      <w:tabs>
        <w:tab w:val="left" w:pos="6447"/>
      </w:tabs>
      <w:spacing w:line="265" w:lineRule="exact"/>
      <w:ind w:right="353"/>
      <w:rPr>
        <w:rFonts w:eastAsia="Arial" w:cs="Arial"/>
        <w:sz w:val="24"/>
      </w:rPr>
    </w:pPr>
    <w:r w:rsidRPr="00A36C24">
      <w:rPr>
        <w:rFonts w:eastAsia="Arial" w:cs="Arial"/>
        <w:sz w:val="24"/>
      </w:rPr>
      <w:tab/>
    </w:r>
  </w:p>
  <w:p w14:paraId="6ACE97E4" w14:textId="77777777" w:rsidR="009629A0" w:rsidRDefault="009629A0" w:rsidP="0076666E">
    <w:pPr>
      <w:pStyle w:val="Encabezado"/>
      <w:ind w:left="-567"/>
      <w:rPr>
        <w:noProof/>
      </w:rPr>
    </w:pPr>
    <w:r>
      <w:rPr>
        <w:noProof/>
        <w:lang w:eastAsia="es-MX"/>
      </w:rPr>
      <w:drawing>
        <wp:inline distT="0" distB="0" distL="0" distR="0" wp14:anchorId="30D08309" wp14:editId="4A3FCE9B">
          <wp:extent cx="775278" cy="805260"/>
          <wp:effectExtent l="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775278" cy="805260"/>
                  </a:xfrm>
                  <a:prstGeom prst="rect">
                    <a:avLst/>
                  </a:prstGeom>
                </pic:spPr>
              </pic:pic>
            </a:graphicData>
          </a:graphic>
        </wp:inline>
      </w:drawing>
    </w:r>
    <w:r w:rsidRPr="7A2DBD54">
      <w:rPr>
        <w:noProof/>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FC35A" w14:textId="77777777" w:rsidR="009629A0" w:rsidRDefault="009629A0">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6F026" w14:textId="282D7042" w:rsidR="009629A0" w:rsidRPr="0099258B" w:rsidRDefault="009629A0" w:rsidP="002424EB">
    <w:pPr>
      <w:pStyle w:val="Encabezado"/>
      <w:tabs>
        <w:tab w:val="center" w:pos="4164"/>
        <w:tab w:val="center" w:pos="4537"/>
        <w:tab w:val="left" w:pos="7410"/>
      </w:tabs>
      <w:ind w:left="-510"/>
      <w:jc w:val="right"/>
      <w:rPr>
        <w:rFonts w:ascii="Arial" w:eastAsia="Arial" w:hAnsi="Arial" w:cs="Arial"/>
        <w:sz w:val="24"/>
        <w:szCs w:val="24"/>
      </w:rPr>
    </w:pPr>
    <w:r>
      <w:rPr>
        <w:noProof/>
        <w:lang w:eastAsia="es-MX"/>
      </w:rPr>
      <w:drawing>
        <wp:anchor distT="0" distB="0" distL="114300" distR="114300" simplePos="0" relativeHeight="251664384" behindDoc="0" locked="0" layoutInCell="1" allowOverlap="1" wp14:anchorId="3595ECB2" wp14:editId="53E022EB">
          <wp:simplePos x="0" y="0"/>
          <wp:positionH relativeFrom="page">
            <wp:align>center</wp:align>
          </wp:positionH>
          <wp:positionV relativeFrom="topMargin">
            <wp:align>bottom</wp:align>
          </wp:positionV>
          <wp:extent cx="806450" cy="838200"/>
          <wp:effectExtent l="0" t="0" r="0" b="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450" cy="838200"/>
                  </a:xfrm>
                  <a:prstGeom prst="rect">
                    <a:avLst/>
                  </a:prstGeom>
                  <a:noFill/>
                  <a:ln>
                    <a:noFill/>
                  </a:ln>
                </pic:spPr>
              </pic:pic>
            </a:graphicData>
          </a:graphic>
        </wp:anchor>
      </w:drawing>
    </w:r>
    <w:r>
      <w:rPr>
        <w:b/>
        <w:color w:val="000000"/>
        <w:spacing w:val="5"/>
      </w:rPr>
      <w:tab/>
    </w:r>
  </w:p>
  <w:p w14:paraId="1CD7A16C" w14:textId="77777777" w:rsidR="009629A0" w:rsidRDefault="009629A0" w:rsidP="002424EB">
    <w:pPr>
      <w:pStyle w:val="Encabezado"/>
      <w:tabs>
        <w:tab w:val="clear" w:pos="4419"/>
        <w:tab w:val="clear" w:pos="8838"/>
        <w:tab w:val="left" w:pos="7410"/>
      </w:tabs>
      <w:ind w:left="-510"/>
      <w:rPr>
        <w:b/>
        <w:color w:val="000000"/>
        <w:spacing w:val="5"/>
      </w:rPr>
    </w:pPr>
  </w:p>
  <w:p w14:paraId="175867E1" w14:textId="77777777" w:rsidR="009629A0" w:rsidRDefault="009629A0" w:rsidP="00EC2F19">
    <w:pPr>
      <w:pStyle w:val="Encabezado"/>
      <w:tabs>
        <w:tab w:val="center" w:pos="4164"/>
        <w:tab w:val="center" w:pos="4537"/>
        <w:tab w:val="left" w:pos="7410"/>
      </w:tabs>
      <w:ind w:left="-510"/>
      <w:rPr>
        <w:b/>
        <w:color w:val="000000"/>
        <w:spacing w:val="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76589"/>
    <w:multiLevelType w:val="hybridMultilevel"/>
    <w:tmpl w:val="E9B2FCFE"/>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 w15:restartNumberingAfterBreak="0">
    <w:nsid w:val="1BC7633C"/>
    <w:multiLevelType w:val="hybridMultilevel"/>
    <w:tmpl w:val="2BC0C7F6"/>
    <w:lvl w:ilvl="0" w:tplc="1A964CEC">
      <w:numFmt w:val="bullet"/>
      <w:lvlText w:val="-"/>
      <w:lvlJc w:val="left"/>
      <w:pPr>
        <w:ind w:left="153" w:hanging="360"/>
      </w:pPr>
      <w:rPr>
        <w:rFonts w:ascii="Calibri" w:eastAsiaTheme="minorHAnsi" w:hAnsi="Calibri" w:cstheme="minorBidi"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2" w15:restartNumberingAfterBreak="0">
    <w:nsid w:val="22A54B8B"/>
    <w:multiLevelType w:val="hybridMultilevel"/>
    <w:tmpl w:val="D07CB886"/>
    <w:lvl w:ilvl="0" w:tplc="080A000D">
      <w:start w:val="1"/>
      <w:numFmt w:val="bullet"/>
      <w:lvlText w:val=""/>
      <w:lvlJc w:val="left"/>
      <w:pPr>
        <w:ind w:left="1776" w:hanging="360"/>
      </w:pPr>
      <w:rPr>
        <w:rFonts w:ascii="Wingdings" w:hAnsi="Wingdings"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 w15:restartNumberingAfterBreak="0">
    <w:nsid w:val="260D69EC"/>
    <w:multiLevelType w:val="hybridMultilevel"/>
    <w:tmpl w:val="46DA711E"/>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A47891"/>
    <w:multiLevelType w:val="hybridMultilevel"/>
    <w:tmpl w:val="4CD4E80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A0B7FDA"/>
    <w:multiLevelType w:val="hybridMultilevel"/>
    <w:tmpl w:val="25FA3FF2"/>
    <w:lvl w:ilvl="0" w:tplc="1A964CEC">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1560FF"/>
    <w:multiLevelType w:val="hybridMultilevel"/>
    <w:tmpl w:val="C7EAD7F0"/>
    <w:lvl w:ilvl="0" w:tplc="78F0162E">
      <w:start w:val="2"/>
      <w:numFmt w:val="bullet"/>
      <w:lvlText w:val="•"/>
      <w:lvlJc w:val="left"/>
      <w:pPr>
        <w:ind w:left="0" w:hanging="51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895A99"/>
    <w:multiLevelType w:val="hybridMultilevel"/>
    <w:tmpl w:val="81B46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08F4B3B"/>
    <w:multiLevelType w:val="hybridMultilevel"/>
    <w:tmpl w:val="4F609E86"/>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DC7CFA"/>
    <w:multiLevelType w:val="hybridMultilevel"/>
    <w:tmpl w:val="BDB08A04"/>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541103"/>
    <w:multiLevelType w:val="hybridMultilevel"/>
    <w:tmpl w:val="B8FAC8A8"/>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1" w15:restartNumberingAfterBreak="0">
    <w:nsid w:val="624F384F"/>
    <w:multiLevelType w:val="hybridMultilevel"/>
    <w:tmpl w:val="C3AC319C"/>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902D98"/>
    <w:multiLevelType w:val="hybridMultilevel"/>
    <w:tmpl w:val="926E08C8"/>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D8C62B1"/>
    <w:multiLevelType w:val="hybridMultilevel"/>
    <w:tmpl w:val="F9668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2AD2DF2"/>
    <w:multiLevelType w:val="hybridMultilevel"/>
    <w:tmpl w:val="2978286C"/>
    <w:lvl w:ilvl="0" w:tplc="36C6C72C">
      <w:numFmt w:val="bullet"/>
      <w:lvlText w:val="-"/>
      <w:lvlJc w:val="left"/>
      <w:pPr>
        <w:ind w:left="436" w:hanging="360"/>
      </w:pPr>
      <w:rPr>
        <w:rFonts w:ascii="Calibri" w:eastAsiaTheme="minorHAnsi" w:hAnsi="Calibri" w:cstheme="minorBidi" w:hint="default"/>
        <w:color w:val="000000" w:themeColor="text1"/>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num w:numId="1">
    <w:abstractNumId w:val="13"/>
  </w:num>
  <w:num w:numId="2">
    <w:abstractNumId w:val="4"/>
  </w:num>
  <w:num w:numId="3">
    <w:abstractNumId w:val="5"/>
  </w:num>
  <w:num w:numId="4">
    <w:abstractNumId w:val="7"/>
  </w:num>
  <w:num w:numId="5">
    <w:abstractNumId w:val="3"/>
  </w:num>
  <w:num w:numId="6">
    <w:abstractNumId w:val="11"/>
  </w:num>
  <w:num w:numId="7">
    <w:abstractNumId w:val="9"/>
  </w:num>
  <w:num w:numId="8">
    <w:abstractNumId w:val="8"/>
  </w:num>
  <w:num w:numId="9">
    <w:abstractNumId w:val="0"/>
  </w:num>
  <w:num w:numId="10">
    <w:abstractNumId w:val="2"/>
  </w:num>
  <w:num w:numId="11">
    <w:abstractNumId w:val="12"/>
  </w:num>
  <w:num w:numId="12">
    <w:abstractNumId w:val="10"/>
  </w:num>
  <w:num w:numId="13">
    <w:abstractNumId w:val="6"/>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F19"/>
    <w:rsid w:val="000027DD"/>
    <w:rsid w:val="00003CBB"/>
    <w:rsid w:val="000049DA"/>
    <w:rsid w:val="00004F16"/>
    <w:rsid w:val="00005B4C"/>
    <w:rsid w:val="00011423"/>
    <w:rsid w:val="000118D1"/>
    <w:rsid w:val="000159F4"/>
    <w:rsid w:val="0001702D"/>
    <w:rsid w:val="00017B66"/>
    <w:rsid w:val="00020956"/>
    <w:rsid w:val="00021BBB"/>
    <w:rsid w:val="00023505"/>
    <w:rsid w:val="0002359E"/>
    <w:rsid w:val="000249EE"/>
    <w:rsid w:val="00025260"/>
    <w:rsid w:val="00025AA2"/>
    <w:rsid w:val="0002601D"/>
    <w:rsid w:val="0003292C"/>
    <w:rsid w:val="00033535"/>
    <w:rsid w:val="000345F9"/>
    <w:rsid w:val="00034B14"/>
    <w:rsid w:val="00035670"/>
    <w:rsid w:val="00035EE8"/>
    <w:rsid w:val="000424F4"/>
    <w:rsid w:val="00044690"/>
    <w:rsid w:val="00045030"/>
    <w:rsid w:val="0004518F"/>
    <w:rsid w:val="00046F22"/>
    <w:rsid w:val="0005150E"/>
    <w:rsid w:val="0005392D"/>
    <w:rsid w:val="00055332"/>
    <w:rsid w:val="00060A7C"/>
    <w:rsid w:val="00061CE1"/>
    <w:rsid w:val="00062CB2"/>
    <w:rsid w:val="00064DFC"/>
    <w:rsid w:val="0006762F"/>
    <w:rsid w:val="000711FD"/>
    <w:rsid w:val="000713B9"/>
    <w:rsid w:val="00071B9B"/>
    <w:rsid w:val="00080602"/>
    <w:rsid w:val="000821B2"/>
    <w:rsid w:val="00086A40"/>
    <w:rsid w:val="00090227"/>
    <w:rsid w:val="00091DA1"/>
    <w:rsid w:val="0009422B"/>
    <w:rsid w:val="000973C0"/>
    <w:rsid w:val="000A445B"/>
    <w:rsid w:val="000A7C7C"/>
    <w:rsid w:val="000B0175"/>
    <w:rsid w:val="000B1F0F"/>
    <w:rsid w:val="000B2524"/>
    <w:rsid w:val="000B3AB5"/>
    <w:rsid w:val="000B6335"/>
    <w:rsid w:val="000B6497"/>
    <w:rsid w:val="000B7486"/>
    <w:rsid w:val="000C2803"/>
    <w:rsid w:val="000C2A4A"/>
    <w:rsid w:val="000C310A"/>
    <w:rsid w:val="000C3369"/>
    <w:rsid w:val="000C3B1F"/>
    <w:rsid w:val="000C5133"/>
    <w:rsid w:val="000C574F"/>
    <w:rsid w:val="000D2BCB"/>
    <w:rsid w:val="000D2C85"/>
    <w:rsid w:val="000D3FBD"/>
    <w:rsid w:val="000D4B66"/>
    <w:rsid w:val="000D50CE"/>
    <w:rsid w:val="000D55A2"/>
    <w:rsid w:val="000D57F4"/>
    <w:rsid w:val="000D6D8E"/>
    <w:rsid w:val="000E1CAC"/>
    <w:rsid w:val="000E239F"/>
    <w:rsid w:val="000E2682"/>
    <w:rsid w:val="000E2B6F"/>
    <w:rsid w:val="000E5E6F"/>
    <w:rsid w:val="000E69BF"/>
    <w:rsid w:val="000F0349"/>
    <w:rsid w:val="000F2244"/>
    <w:rsid w:val="000F236B"/>
    <w:rsid w:val="000F2450"/>
    <w:rsid w:val="000F2D68"/>
    <w:rsid w:val="000F4488"/>
    <w:rsid w:val="000F62F5"/>
    <w:rsid w:val="000F67E2"/>
    <w:rsid w:val="00103953"/>
    <w:rsid w:val="00105B04"/>
    <w:rsid w:val="001107DD"/>
    <w:rsid w:val="00112F73"/>
    <w:rsid w:val="00114030"/>
    <w:rsid w:val="0011403C"/>
    <w:rsid w:val="00114BCF"/>
    <w:rsid w:val="00115D74"/>
    <w:rsid w:val="001164D4"/>
    <w:rsid w:val="0011751C"/>
    <w:rsid w:val="00121528"/>
    <w:rsid w:val="001255B7"/>
    <w:rsid w:val="00126C2B"/>
    <w:rsid w:val="00130E80"/>
    <w:rsid w:val="00131EE1"/>
    <w:rsid w:val="001337AA"/>
    <w:rsid w:val="001405B9"/>
    <w:rsid w:val="00144121"/>
    <w:rsid w:val="00144559"/>
    <w:rsid w:val="0014594E"/>
    <w:rsid w:val="00151B69"/>
    <w:rsid w:val="00151E12"/>
    <w:rsid w:val="001521DB"/>
    <w:rsid w:val="00157E5C"/>
    <w:rsid w:val="00160C3A"/>
    <w:rsid w:val="001619DE"/>
    <w:rsid w:val="00161A2B"/>
    <w:rsid w:val="001712D3"/>
    <w:rsid w:val="0017152B"/>
    <w:rsid w:val="00173D8F"/>
    <w:rsid w:val="00174FA4"/>
    <w:rsid w:val="001808EE"/>
    <w:rsid w:val="00181373"/>
    <w:rsid w:val="00182DEA"/>
    <w:rsid w:val="00183A5A"/>
    <w:rsid w:val="00183D31"/>
    <w:rsid w:val="00184251"/>
    <w:rsid w:val="00185787"/>
    <w:rsid w:val="00186C3B"/>
    <w:rsid w:val="001930D2"/>
    <w:rsid w:val="00194928"/>
    <w:rsid w:val="00194BD0"/>
    <w:rsid w:val="00196B29"/>
    <w:rsid w:val="00197808"/>
    <w:rsid w:val="00197D34"/>
    <w:rsid w:val="001A284A"/>
    <w:rsid w:val="001A3AE5"/>
    <w:rsid w:val="001A3E5B"/>
    <w:rsid w:val="001B1F99"/>
    <w:rsid w:val="001B3241"/>
    <w:rsid w:val="001B38F3"/>
    <w:rsid w:val="001B4C3F"/>
    <w:rsid w:val="001B6715"/>
    <w:rsid w:val="001C23E6"/>
    <w:rsid w:val="001C4115"/>
    <w:rsid w:val="001C73D7"/>
    <w:rsid w:val="001D053F"/>
    <w:rsid w:val="001D0B70"/>
    <w:rsid w:val="001D0DC8"/>
    <w:rsid w:val="001D10E5"/>
    <w:rsid w:val="001D20DC"/>
    <w:rsid w:val="001D385C"/>
    <w:rsid w:val="001D497A"/>
    <w:rsid w:val="001D4C70"/>
    <w:rsid w:val="001D5E68"/>
    <w:rsid w:val="001D6EBA"/>
    <w:rsid w:val="001D7D51"/>
    <w:rsid w:val="001E1355"/>
    <w:rsid w:val="001E2552"/>
    <w:rsid w:val="001E4DCB"/>
    <w:rsid w:val="001E7653"/>
    <w:rsid w:val="001F076A"/>
    <w:rsid w:val="001F2C8E"/>
    <w:rsid w:val="001F4D01"/>
    <w:rsid w:val="001F5BAC"/>
    <w:rsid w:val="002019CA"/>
    <w:rsid w:val="00207A0E"/>
    <w:rsid w:val="00211B1C"/>
    <w:rsid w:val="002149CC"/>
    <w:rsid w:val="00216ADE"/>
    <w:rsid w:val="00216E09"/>
    <w:rsid w:val="002213EB"/>
    <w:rsid w:val="0022228C"/>
    <w:rsid w:val="0022460C"/>
    <w:rsid w:val="00224AE8"/>
    <w:rsid w:val="00225E34"/>
    <w:rsid w:val="00226E57"/>
    <w:rsid w:val="00227748"/>
    <w:rsid w:val="00230339"/>
    <w:rsid w:val="00235EFC"/>
    <w:rsid w:val="002424EB"/>
    <w:rsid w:val="00242BFD"/>
    <w:rsid w:val="00243855"/>
    <w:rsid w:val="00245FDE"/>
    <w:rsid w:val="002465DC"/>
    <w:rsid w:val="002509C3"/>
    <w:rsid w:val="002524DD"/>
    <w:rsid w:val="00254301"/>
    <w:rsid w:val="00254ED9"/>
    <w:rsid w:val="0026099F"/>
    <w:rsid w:val="00260D14"/>
    <w:rsid w:val="002619E9"/>
    <w:rsid w:val="00261A6B"/>
    <w:rsid w:val="00263712"/>
    <w:rsid w:val="00263756"/>
    <w:rsid w:val="00263F8A"/>
    <w:rsid w:val="00264F54"/>
    <w:rsid w:val="002657B7"/>
    <w:rsid w:val="00266B70"/>
    <w:rsid w:val="00266E1C"/>
    <w:rsid w:val="00266E54"/>
    <w:rsid w:val="002674E2"/>
    <w:rsid w:val="002701BD"/>
    <w:rsid w:val="00270BA3"/>
    <w:rsid w:val="0027224F"/>
    <w:rsid w:val="0027238B"/>
    <w:rsid w:val="00272B24"/>
    <w:rsid w:val="002743CA"/>
    <w:rsid w:val="00274D91"/>
    <w:rsid w:val="002829DC"/>
    <w:rsid w:val="00283D6B"/>
    <w:rsid w:val="00283F02"/>
    <w:rsid w:val="002864C2"/>
    <w:rsid w:val="00286958"/>
    <w:rsid w:val="00287B4A"/>
    <w:rsid w:val="002923AD"/>
    <w:rsid w:val="002938CE"/>
    <w:rsid w:val="00295059"/>
    <w:rsid w:val="00296500"/>
    <w:rsid w:val="002A00C5"/>
    <w:rsid w:val="002A0A48"/>
    <w:rsid w:val="002A157F"/>
    <w:rsid w:val="002A1F50"/>
    <w:rsid w:val="002A5C93"/>
    <w:rsid w:val="002A7FD6"/>
    <w:rsid w:val="002B0E2F"/>
    <w:rsid w:val="002B0E48"/>
    <w:rsid w:val="002B2080"/>
    <w:rsid w:val="002B5695"/>
    <w:rsid w:val="002B6827"/>
    <w:rsid w:val="002B6CE5"/>
    <w:rsid w:val="002C08EA"/>
    <w:rsid w:val="002C17DE"/>
    <w:rsid w:val="002C28DA"/>
    <w:rsid w:val="002C37DE"/>
    <w:rsid w:val="002C460B"/>
    <w:rsid w:val="002C48F5"/>
    <w:rsid w:val="002C4F07"/>
    <w:rsid w:val="002C5EB4"/>
    <w:rsid w:val="002C76F1"/>
    <w:rsid w:val="002D03B5"/>
    <w:rsid w:val="002D2897"/>
    <w:rsid w:val="002E2451"/>
    <w:rsid w:val="002E5D7B"/>
    <w:rsid w:val="002E6D56"/>
    <w:rsid w:val="002E731C"/>
    <w:rsid w:val="002F27B4"/>
    <w:rsid w:val="002F40FA"/>
    <w:rsid w:val="002F4739"/>
    <w:rsid w:val="002F57A0"/>
    <w:rsid w:val="00301D4C"/>
    <w:rsid w:val="00302093"/>
    <w:rsid w:val="003021EB"/>
    <w:rsid w:val="003039F7"/>
    <w:rsid w:val="003052FE"/>
    <w:rsid w:val="003073C1"/>
    <w:rsid w:val="0031381E"/>
    <w:rsid w:val="0031509C"/>
    <w:rsid w:val="003179C4"/>
    <w:rsid w:val="003222CD"/>
    <w:rsid w:val="00326A66"/>
    <w:rsid w:val="00327388"/>
    <w:rsid w:val="00330166"/>
    <w:rsid w:val="00334FAC"/>
    <w:rsid w:val="00335C57"/>
    <w:rsid w:val="00336BD4"/>
    <w:rsid w:val="00337DC8"/>
    <w:rsid w:val="00343559"/>
    <w:rsid w:val="003441F2"/>
    <w:rsid w:val="00347469"/>
    <w:rsid w:val="00351782"/>
    <w:rsid w:val="003523DE"/>
    <w:rsid w:val="0035301D"/>
    <w:rsid w:val="00353346"/>
    <w:rsid w:val="00354B61"/>
    <w:rsid w:val="003559A0"/>
    <w:rsid w:val="003642AC"/>
    <w:rsid w:val="0036483E"/>
    <w:rsid w:val="00364FEC"/>
    <w:rsid w:val="00365999"/>
    <w:rsid w:val="00365A15"/>
    <w:rsid w:val="00373B06"/>
    <w:rsid w:val="00373B32"/>
    <w:rsid w:val="00375731"/>
    <w:rsid w:val="00375924"/>
    <w:rsid w:val="00376CAD"/>
    <w:rsid w:val="00377F25"/>
    <w:rsid w:val="00381976"/>
    <w:rsid w:val="00383BF5"/>
    <w:rsid w:val="0038423F"/>
    <w:rsid w:val="00384C0A"/>
    <w:rsid w:val="00384ED1"/>
    <w:rsid w:val="00385966"/>
    <w:rsid w:val="003860D1"/>
    <w:rsid w:val="00386F1F"/>
    <w:rsid w:val="00393798"/>
    <w:rsid w:val="003937FB"/>
    <w:rsid w:val="00393829"/>
    <w:rsid w:val="003943B8"/>
    <w:rsid w:val="0039510E"/>
    <w:rsid w:val="00395DCF"/>
    <w:rsid w:val="003A54A6"/>
    <w:rsid w:val="003B1634"/>
    <w:rsid w:val="003B2A8C"/>
    <w:rsid w:val="003B2EA5"/>
    <w:rsid w:val="003B3367"/>
    <w:rsid w:val="003B5328"/>
    <w:rsid w:val="003B5DC0"/>
    <w:rsid w:val="003B7494"/>
    <w:rsid w:val="003C29EB"/>
    <w:rsid w:val="003C39A6"/>
    <w:rsid w:val="003C6F38"/>
    <w:rsid w:val="003C7CB5"/>
    <w:rsid w:val="003D19F2"/>
    <w:rsid w:val="003D6672"/>
    <w:rsid w:val="003D7A6B"/>
    <w:rsid w:val="003E1DB5"/>
    <w:rsid w:val="003E2A83"/>
    <w:rsid w:val="003E49D1"/>
    <w:rsid w:val="003E4C85"/>
    <w:rsid w:val="003E4F50"/>
    <w:rsid w:val="003E7551"/>
    <w:rsid w:val="003F30D0"/>
    <w:rsid w:val="003F7074"/>
    <w:rsid w:val="003F7656"/>
    <w:rsid w:val="004001CF"/>
    <w:rsid w:val="0040055B"/>
    <w:rsid w:val="00400939"/>
    <w:rsid w:val="00402320"/>
    <w:rsid w:val="00403C48"/>
    <w:rsid w:val="00404626"/>
    <w:rsid w:val="0040536B"/>
    <w:rsid w:val="004105B9"/>
    <w:rsid w:val="00413447"/>
    <w:rsid w:val="0041628C"/>
    <w:rsid w:val="00417E51"/>
    <w:rsid w:val="00420094"/>
    <w:rsid w:val="004224AA"/>
    <w:rsid w:val="004270BB"/>
    <w:rsid w:val="00427401"/>
    <w:rsid w:val="0042745D"/>
    <w:rsid w:val="00431845"/>
    <w:rsid w:val="00431B6F"/>
    <w:rsid w:val="00431E2A"/>
    <w:rsid w:val="004322D7"/>
    <w:rsid w:val="00433BAF"/>
    <w:rsid w:val="00442C6E"/>
    <w:rsid w:val="00443703"/>
    <w:rsid w:val="004439F4"/>
    <w:rsid w:val="00445B3D"/>
    <w:rsid w:val="00446306"/>
    <w:rsid w:val="004463E6"/>
    <w:rsid w:val="00446712"/>
    <w:rsid w:val="00454BD7"/>
    <w:rsid w:val="00460DBA"/>
    <w:rsid w:val="004621F0"/>
    <w:rsid w:val="00462E16"/>
    <w:rsid w:val="00465533"/>
    <w:rsid w:val="00467724"/>
    <w:rsid w:val="00470179"/>
    <w:rsid w:val="00471823"/>
    <w:rsid w:val="00472DDE"/>
    <w:rsid w:val="00473064"/>
    <w:rsid w:val="00475EB5"/>
    <w:rsid w:val="00476EC4"/>
    <w:rsid w:val="00480ED8"/>
    <w:rsid w:val="004857C1"/>
    <w:rsid w:val="00485ED3"/>
    <w:rsid w:val="004869A4"/>
    <w:rsid w:val="00487CAC"/>
    <w:rsid w:val="004961C5"/>
    <w:rsid w:val="004A0E50"/>
    <w:rsid w:val="004A1B37"/>
    <w:rsid w:val="004A1C18"/>
    <w:rsid w:val="004A1DF7"/>
    <w:rsid w:val="004A53AE"/>
    <w:rsid w:val="004A5EF4"/>
    <w:rsid w:val="004A68B2"/>
    <w:rsid w:val="004A6EDE"/>
    <w:rsid w:val="004B265F"/>
    <w:rsid w:val="004B2D83"/>
    <w:rsid w:val="004B414C"/>
    <w:rsid w:val="004B4336"/>
    <w:rsid w:val="004B6431"/>
    <w:rsid w:val="004B6C8D"/>
    <w:rsid w:val="004C5568"/>
    <w:rsid w:val="004D00EA"/>
    <w:rsid w:val="004D16E3"/>
    <w:rsid w:val="004D2A1E"/>
    <w:rsid w:val="004D57F0"/>
    <w:rsid w:val="004D5E6F"/>
    <w:rsid w:val="004E2589"/>
    <w:rsid w:val="004E2CAD"/>
    <w:rsid w:val="004E5B9D"/>
    <w:rsid w:val="004E5DB1"/>
    <w:rsid w:val="004E5EDC"/>
    <w:rsid w:val="004E65B5"/>
    <w:rsid w:val="004F1A01"/>
    <w:rsid w:val="004F2A41"/>
    <w:rsid w:val="004F4334"/>
    <w:rsid w:val="004F5FF4"/>
    <w:rsid w:val="004F71C5"/>
    <w:rsid w:val="004F7C08"/>
    <w:rsid w:val="0050271B"/>
    <w:rsid w:val="00502785"/>
    <w:rsid w:val="00502E0F"/>
    <w:rsid w:val="00504FDD"/>
    <w:rsid w:val="00505ADD"/>
    <w:rsid w:val="00506E90"/>
    <w:rsid w:val="00507769"/>
    <w:rsid w:val="00513737"/>
    <w:rsid w:val="00513880"/>
    <w:rsid w:val="00514274"/>
    <w:rsid w:val="00514AEC"/>
    <w:rsid w:val="00515503"/>
    <w:rsid w:val="00517A80"/>
    <w:rsid w:val="00521E03"/>
    <w:rsid w:val="0052377F"/>
    <w:rsid w:val="00523BDF"/>
    <w:rsid w:val="00525747"/>
    <w:rsid w:val="00526AA6"/>
    <w:rsid w:val="005275E7"/>
    <w:rsid w:val="00530268"/>
    <w:rsid w:val="00530FE5"/>
    <w:rsid w:val="00534C44"/>
    <w:rsid w:val="0053612E"/>
    <w:rsid w:val="00537D5A"/>
    <w:rsid w:val="00542D60"/>
    <w:rsid w:val="00550558"/>
    <w:rsid w:val="005550F4"/>
    <w:rsid w:val="00557932"/>
    <w:rsid w:val="005604BD"/>
    <w:rsid w:val="00562CFB"/>
    <w:rsid w:val="005636F3"/>
    <w:rsid w:val="00563B9B"/>
    <w:rsid w:val="00563CD2"/>
    <w:rsid w:val="00564948"/>
    <w:rsid w:val="00567F7A"/>
    <w:rsid w:val="0057013A"/>
    <w:rsid w:val="005709DF"/>
    <w:rsid w:val="0057325A"/>
    <w:rsid w:val="00575468"/>
    <w:rsid w:val="00575B29"/>
    <w:rsid w:val="00590A12"/>
    <w:rsid w:val="00592680"/>
    <w:rsid w:val="0059795F"/>
    <w:rsid w:val="005A2CA5"/>
    <w:rsid w:val="005A2FD5"/>
    <w:rsid w:val="005A3246"/>
    <w:rsid w:val="005A6AE4"/>
    <w:rsid w:val="005B03CE"/>
    <w:rsid w:val="005B0A9E"/>
    <w:rsid w:val="005B1B47"/>
    <w:rsid w:val="005B2940"/>
    <w:rsid w:val="005B38F2"/>
    <w:rsid w:val="005B5AC0"/>
    <w:rsid w:val="005B5B4A"/>
    <w:rsid w:val="005B627F"/>
    <w:rsid w:val="005C02ED"/>
    <w:rsid w:val="005C20A6"/>
    <w:rsid w:val="005C2142"/>
    <w:rsid w:val="005C3D89"/>
    <w:rsid w:val="005C3E14"/>
    <w:rsid w:val="005C69CA"/>
    <w:rsid w:val="005C6BD5"/>
    <w:rsid w:val="005C6ED3"/>
    <w:rsid w:val="005D083B"/>
    <w:rsid w:val="005D2637"/>
    <w:rsid w:val="005D4505"/>
    <w:rsid w:val="005D7152"/>
    <w:rsid w:val="005E252A"/>
    <w:rsid w:val="005E2775"/>
    <w:rsid w:val="005E35E0"/>
    <w:rsid w:val="005E3A87"/>
    <w:rsid w:val="005E60F6"/>
    <w:rsid w:val="005E72D9"/>
    <w:rsid w:val="005F07CE"/>
    <w:rsid w:val="005F3E31"/>
    <w:rsid w:val="005F73EF"/>
    <w:rsid w:val="00602142"/>
    <w:rsid w:val="00602565"/>
    <w:rsid w:val="00603940"/>
    <w:rsid w:val="00604710"/>
    <w:rsid w:val="00606538"/>
    <w:rsid w:val="00607529"/>
    <w:rsid w:val="0060789E"/>
    <w:rsid w:val="00611289"/>
    <w:rsid w:val="00613F00"/>
    <w:rsid w:val="006162CA"/>
    <w:rsid w:val="00617FF9"/>
    <w:rsid w:val="006211BE"/>
    <w:rsid w:val="00623F76"/>
    <w:rsid w:val="0062430B"/>
    <w:rsid w:val="0062632C"/>
    <w:rsid w:val="00627953"/>
    <w:rsid w:val="0063182E"/>
    <w:rsid w:val="006319EF"/>
    <w:rsid w:val="0063204F"/>
    <w:rsid w:val="006364D1"/>
    <w:rsid w:val="006366B1"/>
    <w:rsid w:val="0063747B"/>
    <w:rsid w:val="006405B3"/>
    <w:rsid w:val="006405ED"/>
    <w:rsid w:val="00640A1F"/>
    <w:rsid w:val="00640F02"/>
    <w:rsid w:val="006411B0"/>
    <w:rsid w:val="00641486"/>
    <w:rsid w:val="00643797"/>
    <w:rsid w:val="00646461"/>
    <w:rsid w:val="006502A5"/>
    <w:rsid w:val="00651008"/>
    <w:rsid w:val="00651194"/>
    <w:rsid w:val="0065175D"/>
    <w:rsid w:val="0065222B"/>
    <w:rsid w:val="0065563A"/>
    <w:rsid w:val="00656258"/>
    <w:rsid w:val="00660158"/>
    <w:rsid w:val="00661B45"/>
    <w:rsid w:val="006627FE"/>
    <w:rsid w:val="00662C3F"/>
    <w:rsid w:val="00665792"/>
    <w:rsid w:val="00667512"/>
    <w:rsid w:val="00670A65"/>
    <w:rsid w:val="0067623B"/>
    <w:rsid w:val="0067708E"/>
    <w:rsid w:val="00682FA2"/>
    <w:rsid w:val="00684295"/>
    <w:rsid w:val="0068548A"/>
    <w:rsid w:val="00690913"/>
    <w:rsid w:val="00692E93"/>
    <w:rsid w:val="006A12CD"/>
    <w:rsid w:val="006A3261"/>
    <w:rsid w:val="006A3E2F"/>
    <w:rsid w:val="006A6480"/>
    <w:rsid w:val="006B035D"/>
    <w:rsid w:val="006B087A"/>
    <w:rsid w:val="006B2FA8"/>
    <w:rsid w:val="006B39DF"/>
    <w:rsid w:val="006B55AB"/>
    <w:rsid w:val="006B5F18"/>
    <w:rsid w:val="006B6583"/>
    <w:rsid w:val="006B73CD"/>
    <w:rsid w:val="006C1201"/>
    <w:rsid w:val="006C1609"/>
    <w:rsid w:val="006C35A5"/>
    <w:rsid w:val="006C3E7F"/>
    <w:rsid w:val="006C49E9"/>
    <w:rsid w:val="006C5371"/>
    <w:rsid w:val="006C59E9"/>
    <w:rsid w:val="006D13F5"/>
    <w:rsid w:val="006D1DDE"/>
    <w:rsid w:val="006D352C"/>
    <w:rsid w:val="006D56E5"/>
    <w:rsid w:val="006D5DE4"/>
    <w:rsid w:val="006D6AB7"/>
    <w:rsid w:val="006D7A76"/>
    <w:rsid w:val="006E1799"/>
    <w:rsid w:val="006E272E"/>
    <w:rsid w:val="006E2C82"/>
    <w:rsid w:val="006E3BCD"/>
    <w:rsid w:val="006E4A31"/>
    <w:rsid w:val="006E59DB"/>
    <w:rsid w:val="006E7170"/>
    <w:rsid w:val="006F056D"/>
    <w:rsid w:val="006F4072"/>
    <w:rsid w:val="006F54D3"/>
    <w:rsid w:val="006F56BA"/>
    <w:rsid w:val="006F694E"/>
    <w:rsid w:val="00702448"/>
    <w:rsid w:val="00702E85"/>
    <w:rsid w:val="007067A6"/>
    <w:rsid w:val="00706BB9"/>
    <w:rsid w:val="00707F74"/>
    <w:rsid w:val="007101A2"/>
    <w:rsid w:val="00713B13"/>
    <w:rsid w:val="00713FC6"/>
    <w:rsid w:val="0071588D"/>
    <w:rsid w:val="007165BD"/>
    <w:rsid w:val="00716A6B"/>
    <w:rsid w:val="007171D1"/>
    <w:rsid w:val="007203D6"/>
    <w:rsid w:val="0072057D"/>
    <w:rsid w:val="00720C88"/>
    <w:rsid w:val="0072105B"/>
    <w:rsid w:val="007223B8"/>
    <w:rsid w:val="00723DC0"/>
    <w:rsid w:val="00726907"/>
    <w:rsid w:val="0072756B"/>
    <w:rsid w:val="007276ED"/>
    <w:rsid w:val="007309E9"/>
    <w:rsid w:val="00732141"/>
    <w:rsid w:val="0073459C"/>
    <w:rsid w:val="00734D62"/>
    <w:rsid w:val="00735734"/>
    <w:rsid w:val="007364A4"/>
    <w:rsid w:val="007409C8"/>
    <w:rsid w:val="00741B04"/>
    <w:rsid w:val="00742E76"/>
    <w:rsid w:val="0074414F"/>
    <w:rsid w:val="00744CB8"/>
    <w:rsid w:val="00745250"/>
    <w:rsid w:val="00745292"/>
    <w:rsid w:val="00753225"/>
    <w:rsid w:val="0076145A"/>
    <w:rsid w:val="00763DAE"/>
    <w:rsid w:val="007653F4"/>
    <w:rsid w:val="0076666E"/>
    <w:rsid w:val="00770560"/>
    <w:rsid w:val="00771FA2"/>
    <w:rsid w:val="0077201A"/>
    <w:rsid w:val="00772065"/>
    <w:rsid w:val="00773565"/>
    <w:rsid w:val="00773A66"/>
    <w:rsid w:val="00773E2F"/>
    <w:rsid w:val="007834A2"/>
    <w:rsid w:val="00783E44"/>
    <w:rsid w:val="00784168"/>
    <w:rsid w:val="00784C92"/>
    <w:rsid w:val="0079209E"/>
    <w:rsid w:val="0079304F"/>
    <w:rsid w:val="007940B7"/>
    <w:rsid w:val="007973A1"/>
    <w:rsid w:val="007A0EAC"/>
    <w:rsid w:val="007A1068"/>
    <w:rsid w:val="007A2F90"/>
    <w:rsid w:val="007A4D3D"/>
    <w:rsid w:val="007A52F4"/>
    <w:rsid w:val="007A631E"/>
    <w:rsid w:val="007A7DFB"/>
    <w:rsid w:val="007A7FF6"/>
    <w:rsid w:val="007B75D3"/>
    <w:rsid w:val="007B7F91"/>
    <w:rsid w:val="007C4314"/>
    <w:rsid w:val="007C6513"/>
    <w:rsid w:val="007C7066"/>
    <w:rsid w:val="007D448A"/>
    <w:rsid w:val="007D49A0"/>
    <w:rsid w:val="007D720A"/>
    <w:rsid w:val="007D7FCA"/>
    <w:rsid w:val="007E2DE2"/>
    <w:rsid w:val="007E435D"/>
    <w:rsid w:val="007E43E3"/>
    <w:rsid w:val="007E4676"/>
    <w:rsid w:val="007E6CB8"/>
    <w:rsid w:val="007E7DC3"/>
    <w:rsid w:val="007F13AE"/>
    <w:rsid w:val="007F1B50"/>
    <w:rsid w:val="007F2636"/>
    <w:rsid w:val="007F48B5"/>
    <w:rsid w:val="007F4BE6"/>
    <w:rsid w:val="008072F7"/>
    <w:rsid w:val="008100E8"/>
    <w:rsid w:val="00812246"/>
    <w:rsid w:val="008132D0"/>
    <w:rsid w:val="00813B90"/>
    <w:rsid w:val="00813E17"/>
    <w:rsid w:val="00816D0B"/>
    <w:rsid w:val="00821AF2"/>
    <w:rsid w:val="00821EFC"/>
    <w:rsid w:val="00824043"/>
    <w:rsid w:val="008257E2"/>
    <w:rsid w:val="008274C6"/>
    <w:rsid w:val="00827CBA"/>
    <w:rsid w:val="0083043B"/>
    <w:rsid w:val="00831B8B"/>
    <w:rsid w:val="008322E3"/>
    <w:rsid w:val="00836BC3"/>
    <w:rsid w:val="0083715B"/>
    <w:rsid w:val="00842E1B"/>
    <w:rsid w:val="00843A93"/>
    <w:rsid w:val="00844F86"/>
    <w:rsid w:val="00845B1A"/>
    <w:rsid w:val="00851FF4"/>
    <w:rsid w:val="008520E1"/>
    <w:rsid w:val="008535A2"/>
    <w:rsid w:val="00854193"/>
    <w:rsid w:val="00854C8E"/>
    <w:rsid w:val="0085509C"/>
    <w:rsid w:val="008649CC"/>
    <w:rsid w:val="00864DA4"/>
    <w:rsid w:val="008657A7"/>
    <w:rsid w:val="0087035A"/>
    <w:rsid w:val="00873330"/>
    <w:rsid w:val="00873CCC"/>
    <w:rsid w:val="008742FB"/>
    <w:rsid w:val="00881B6C"/>
    <w:rsid w:val="008820D7"/>
    <w:rsid w:val="00883EFE"/>
    <w:rsid w:val="00883FAB"/>
    <w:rsid w:val="00885F7C"/>
    <w:rsid w:val="00886979"/>
    <w:rsid w:val="0089032D"/>
    <w:rsid w:val="00892167"/>
    <w:rsid w:val="008929CE"/>
    <w:rsid w:val="008A0EC2"/>
    <w:rsid w:val="008A2251"/>
    <w:rsid w:val="008A4B20"/>
    <w:rsid w:val="008A52B8"/>
    <w:rsid w:val="008B149B"/>
    <w:rsid w:val="008B1D16"/>
    <w:rsid w:val="008B3827"/>
    <w:rsid w:val="008B3CC2"/>
    <w:rsid w:val="008B563D"/>
    <w:rsid w:val="008C2DCC"/>
    <w:rsid w:val="008C320B"/>
    <w:rsid w:val="008C3E4C"/>
    <w:rsid w:val="008C5454"/>
    <w:rsid w:val="008C606F"/>
    <w:rsid w:val="008C6CFB"/>
    <w:rsid w:val="008C6EF0"/>
    <w:rsid w:val="008D24AC"/>
    <w:rsid w:val="008D38FA"/>
    <w:rsid w:val="008D749B"/>
    <w:rsid w:val="008E1365"/>
    <w:rsid w:val="008E321A"/>
    <w:rsid w:val="008E5737"/>
    <w:rsid w:val="008E65C1"/>
    <w:rsid w:val="008F3059"/>
    <w:rsid w:val="008F4843"/>
    <w:rsid w:val="009028AD"/>
    <w:rsid w:val="00903450"/>
    <w:rsid w:val="0090555B"/>
    <w:rsid w:val="0091513A"/>
    <w:rsid w:val="00916874"/>
    <w:rsid w:val="00917B85"/>
    <w:rsid w:val="009216A6"/>
    <w:rsid w:val="00923802"/>
    <w:rsid w:val="0092538A"/>
    <w:rsid w:val="009261C9"/>
    <w:rsid w:val="00927864"/>
    <w:rsid w:val="00931670"/>
    <w:rsid w:val="009321D8"/>
    <w:rsid w:val="00934A83"/>
    <w:rsid w:val="0093649D"/>
    <w:rsid w:val="00936B74"/>
    <w:rsid w:val="00936B90"/>
    <w:rsid w:val="009371EF"/>
    <w:rsid w:val="0094027B"/>
    <w:rsid w:val="00940C30"/>
    <w:rsid w:val="00943808"/>
    <w:rsid w:val="0094492D"/>
    <w:rsid w:val="009454A4"/>
    <w:rsid w:val="009457B3"/>
    <w:rsid w:val="00945A6A"/>
    <w:rsid w:val="009468C2"/>
    <w:rsid w:val="00951BBA"/>
    <w:rsid w:val="0095239B"/>
    <w:rsid w:val="00953DCF"/>
    <w:rsid w:val="00954B04"/>
    <w:rsid w:val="00960EEB"/>
    <w:rsid w:val="00961485"/>
    <w:rsid w:val="00961C03"/>
    <w:rsid w:val="00962096"/>
    <w:rsid w:val="00962103"/>
    <w:rsid w:val="009629A0"/>
    <w:rsid w:val="00962F7E"/>
    <w:rsid w:val="009635D3"/>
    <w:rsid w:val="009641B5"/>
    <w:rsid w:val="00964883"/>
    <w:rsid w:val="00966F08"/>
    <w:rsid w:val="0097043F"/>
    <w:rsid w:val="009717C8"/>
    <w:rsid w:val="00972CA9"/>
    <w:rsid w:val="0097347B"/>
    <w:rsid w:val="00973A4B"/>
    <w:rsid w:val="0097404B"/>
    <w:rsid w:val="00974C7A"/>
    <w:rsid w:val="00977530"/>
    <w:rsid w:val="0098248E"/>
    <w:rsid w:val="009866C7"/>
    <w:rsid w:val="00987D84"/>
    <w:rsid w:val="009913D2"/>
    <w:rsid w:val="00991C5D"/>
    <w:rsid w:val="00992D7C"/>
    <w:rsid w:val="009931B5"/>
    <w:rsid w:val="00996802"/>
    <w:rsid w:val="00997A58"/>
    <w:rsid w:val="009A0161"/>
    <w:rsid w:val="009A0326"/>
    <w:rsid w:val="009A03EA"/>
    <w:rsid w:val="009A07F6"/>
    <w:rsid w:val="009A2CCF"/>
    <w:rsid w:val="009B0B73"/>
    <w:rsid w:val="009B2AC1"/>
    <w:rsid w:val="009B2E4E"/>
    <w:rsid w:val="009B444E"/>
    <w:rsid w:val="009B4DA2"/>
    <w:rsid w:val="009B63F8"/>
    <w:rsid w:val="009B6AB9"/>
    <w:rsid w:val="009C105D"/>
    <w:rsid w:val="009C1434"/>
    <w:rsid w:val="009C1D5F"/>
    <w:rsid w:val="009C271C"/>
    <w:rsid w:val="009C36FB"/>
    <w:rsid w:val="009C6B9B"/>
    <w:rsid w:val="009D0DB8"/>
    <w:rsid w:val="009D2FAF"/>
    <w:rsid w:val="009D699C"/>
    <w:rsid w:val="009E72B5"/>
    <w:rsid w:val="009E7671"/>
    <w:rsid w:val="009F67F0"/>
    <w:rsid w:val="00A02ED2"/>
    <w:rsid w:val="00A04612"/>
    <w:rsid w:val="00A05EF3"/>
    <w:rsid w:val="00A11282"/>
    <w:rsid w:val="00A11433"/>
    <w:rsid w:val="00A17A58"/>
    <w:rsid w:val="00A23F22"/>
    <w:rsid w:val="00A25E2B"/>
    <w:rsid w:val="00A26577"/>
    <w:rsid w:val="00A27505"/>
    <w:rsid w:val="00A330DC"/>
    <w:rsid w:val="00A40045"/>
    <w:rsid w:val="00A41DE5"/>
    <w:rsid w:val="00A46EB9"/>
    <w:rsid w:val="00A51503"/>
    <w:rsid w:val="00A51C4E"/>
    <w:rsid w:val="00A51EEC"/>
    <w:rsid w:val="00A529AE"/>
    <w:rsid w:val="00A53CCB"/>
    <w:rsid w:val="00A61E38"/>
    <w:rsid w:val="00A642BA"/>
    <w:rsid w:val="00A700A8"/>
    <w:rsid w:val="00A723A7"/>
    <w:rsid w:val="00A72C55"/>
    <w:rsid w:val="00A72F1B"/>
    <w:rsid w:val="00A76682"/>
    <w:rsid w:val="00A77184"/>
    <w:rsid w:val="00A77328"/>
    <w:rsid w:val="00A80731"/>
    <w:rsid w:val="00A810DC"/>
    <w:rsid w:val="00A84370"/>
    <w:rsid w:val="00A866D1"/>
    <w:rsid w:val="00A87076"/>
    <w:rsid w:val="00A91343"/>
    <w:rsid w:val="00A95EAB"/>
    <w:rsid w:val="00AA14DE"/>
    <w:rsid w:val="00AA3CD4"/>
    <w:rsid w:val="00AA4BF9"/>
    <w:rsid w:val="00AA5EFC"/>
    <w:rsid w:val="00AA6829"/>
    <w:rsid w:val="00AA7C18"/>
    <w:rsid w:val="00AB0FE5"/>
    <w:rsid w:val="00AB2B8C"/>
    <w:rsid w:val="00AB2D6D"/>
    <w:rsid w:val="00AB59D9"/>
    <w:rsid w:val="00AB7E29"/>
    <w:rsid w:val="00AC334F"/>
    <w:rsid w:val="00AC5A9F"/>
    <w:rsid w:val="00AC7810"/>
    <w:rsid w:val="00AD09AD"/>
    <w:rsid w:val="00AD0A74"/>
    <w:rsid w:val="00AD153E"/>
    <w:rsid w:val="00AD417E"/>
    <w:rsid w:val="00AD6787"/>
    <w:rsid w:val="00AD678C"/>
    <w:rsid w:val="00AE298B"/>
    <w:rsid w:val="00AE3A94"/>
    <w:rsid w:val="00AE43F3"/>
    <w:rsid w:val="00AE7928"/>
    <w:rsid w:val="00AF07B4"/>
    <w:rsid w:val="00AF09FE"/>
    <w:rsid w:val="00AF42A1"/>
    <w:rsid w:val="00AF49FE"/>
    <w:rsid w:val="00AF53C5"/>
    <w:rsid w:val="00AF7153"/>
    <w:rsid w:val="00B00071"/>
    <w:rsid w:val="00B003EF"/>
    <w:rsid w:val="00B02614"/>
    <w:rsid w:val="00B02656"/>
    <w:rsid w:val="00B04D93"/>
    <w:rsid w:val="00B05EC0"/>
    <w:rsid w:val="00B06101"/>
    <w:rsid w:val="00B06B2A"/>
    <w:rsid w:val="00B108B9"/>
    <w:rsid w:val="00B1358E"/>
    <w:rsid w:val="00B13603"/>
    <w:rsid w:val="00B1413D"/>
    <w:rsid w:val="00B14366"/>
    <w:rsid w:val="00B15B2E"/>
    <w:rsid w:val="00B214FF"/>
    <w:rsid w:val="00B2232F"/>
    <w:rsid w:val="00B236A4"/>
    <w:rsid w:val="00B242C5"/>
    <w:rsid w:val="00B24BA8"/>
    <w:rsid w:val="00B25479"/>
    <w:rsid w:val="00B25B19"/>
    <w:rsid w:val="00B25CFB"/>
    <w:rsid w:val="00B32936"/>
    <w:rsid w:val="00B33631"/>
    <w:rsid w:val="00B33EB0"/>
    <w:rsid w:val="00B3555E"/>
    <w:rsid w:val="00B37E0A"/>
    <w:rsid w:val="00B41EB2"/>
    <w:rsid w:val="00B41F9E"/>
    <w:rsid w:val="00B45AF7"/>
    <w:rsid w:val="00B5015A"/>
    <w:rsid w:val="00B50325"/>
    <w:rsid w:val="00B50C9E"/>
    <w:rsid w:val="00B52AC1"/>
    <w:rsid w:val="00B53F21"/>
    <w:rsid w:val="00B5450A"/>
    <w:rsid w:val="00B56B3D"/>
    <w:rsid w:val="00B57A41"/>
    <w:rsid w:val="00B64CC5"/>
    <w:rsid w:val="00B651F3"/>
    <w:rsid w:val="00B66087"/>
    <w:rsid w:val="00B66B2F"/>
    <w:rsid w:val="00B7027D"/>
    <w:rsid w:val="00B736DC"/>
    <w:rsid w:val="00B7509F"/>
    <w:rsid w:val="00B75335"/>
    <w:rsid w:val="00B76550"/>
    <w:rsid w:val="00B8230D"/>
    <w:rsid w:val="00B84921"/>
    <w:rsid w:val="00B85E0D"/>
    <w:rsid w:val="00B87197"/>
    <w:rsid w:val="00B90F52"/>
    <w:rsid w:val="00B94C20"/>
    <w:rsid w:val="00B9665B"/>
    <w:rsid w:val="00B97A5F"/>
    <w:rsid w:val="00B97B57"/>
    <w:rsid w:val="00BA30C5"/>
    <w:rsid w:val="00BA4A9E"/>
    <w:rsid w:val="00BA4C0A"/>
    <w:rsid w:val="00BA5685"/>
    <w:rsid w:val="00BA613F"/>
    <w:rsid w:val="00BB4A28"/>
    <w:rsid w:val="00BB54F9"/>
    <w:rsid w:val="00BB62B6"/>
    <w:rsid w:val="00BC043D"/>
    <w:rsid w:val="00BC17B8"/>
    <w:rsid w:val="00BC2028"/>
    <w:rsid w:val="00BC2156"/>
    <w:rsid w:val="00BC275F"/>
    <w:rsid w:val="00BC3317"/>
    <w:rsid w:val="00BC514C"/>
    <w:rsid w:val="00BD11CE"/>
    <w:rsid w:val="00BD287D"/>
    <w:rsid w:val="00BD2F8A"/>
    <w:rsid w:val="00BD4727"/>
    <w:rsid w:val="00BD5323"/>
    <w:rsid w:val="00BD5D26"/>
    <w:rsid w:val="00BD7278"/>
    <w:rsid w:val="00BE08DA"/>
    <w:rsid w:val="00BE2921"/>
    <w:rsid w:val="00BE39C0"/>
    <w:rsid w:val="00BF055E"/>
    <w:rsid w:val="00BF1BC1"/>
    <w:rsid w:val="00BF614C"/>
    <w:rsid w:val="00BF6A0B"/>
    <w:rsid w:val="00BF6B43"/>
    <w:rsid w:val="00C00822"/>
    <w:rsid w:val="00C01E4F"/>
    <w:rsid w:val="00C044A8"/>
    <w:rsid w:val="00C051D8"/>
    <w:rsid w:val="00C0544B"/>
    <w:rsid w:val="00C064FB"/>
    <w:rsid w:val="00C07A0E"/>
    <w:rsid w:val="00C113F4"/>
    <w:rsid w:val="00C11A1D"/>
    <w:rsid w:val="00C13978"/>
    <w:rsid w:val="00C15E92"/>
    <w:rsid w:val="00C2266D"/>
    <w:rsid w:val="00C230ED"/>
    <w:rsid w:val="00C240D6"/>
    <w:rsid w:val="00C24243"/>
    <w:rsid w:val="00C24743"/>
    <w:rsid w:val="00C262EF"/>
    <w:rsid w:val="00C27653"/>
    <w:rsid w:val="00C27720"/>
    <w:rsid w:val="00C30086"/>
    <w:rsid w:val="00C31D75"/>
    <w:rsid w:val="00C324D0"/>
    <w:rsid w:val="00C33528"/>
    <w:rsid w:val="00C33869"/>
    <w:rsid w:val="00C33BB4"/>
    <w:rsid w:val="00C4042C"/>
    <w:rsid w:val="00C4077D"/>
    <w:rsid w:val="00C41AED"/>
    <w:rsid w:val="00C43519"/>
    <w:rsid w:val="00C44737"/>
    <w:rsid w:val="00C46648"/>
    <w:rsid w:val="00C4675E"/>
    <w:rsid w:val="00C50936"/>
    <w:rsid w:val="00C53466"/>
    <w:rsid w:val="00C5468B"/>
    <w:rsid w:val="00C5592F"/>
    <w:rsid w:val="00C56659"/>
    <w:rsid w:val="00C60BEF"/>
    <w:rsid w:val="00C61BDB"/>
    <w:rsid w:val="00C61BF2"/>
    <w:rsid w:val="00C61D77"/>
    <w:rsid w:val="00C61F14"/>
    <w:rsid w:val="00C62982"/>
    <w:rsid w:val="00C62D08"/>
    <w:rsid w:val="00C654EC"/>
    <w:rsid w:val="00C66753"/>
    <w:rsid w:val="00C677A2"/>
    <w:rsid w:val="00C70962"/>
    <w:rsid w:val="00C7163B"/>
    <w:rsid w:val="00C73B81"/>
    <w:rsid w:val="00C7403C"/>
    <w:rsid w:val="00C74A52"/>
    <w:rsid w:val="00C750FD"/>
    <w:rsid w:val="00C7556D"/>
    <w:rsid w:val="00C76CDE"/>
    <w:rsid w:val="00C76D05"/>
    <w:rsid w:val="00C77645"/>
    <w:rsid w:val="00C80116"/>
    <w:rsid w:val="00C80426"/>
    <w:rsid w:val="00C813B1"/>
    <w:rsid w:val="00C82C81"/>
    <w:rsid w:val="00C82FB4"/>
    <w:rsid w:val="00C852A9"/>
    <w:rsid w:val="00C86626"/>
    <w:rsid w:val="00C86D97"/>
    <w:rsid w:val="00C906C9"/>
    <w:rsid w:val="00C90C7C"/>
    <w:rsid w:val="00C92112"/>
    <w:rsid w:val="00C928D6"/>
    <w:rsid w:val="00C96CD5"/>
    <w:rsid w:val="00C97250"/>
    <w:rsid w:val="00CA1B33"/>
    <w:rsid w:val="00CA48D9"/>
    <w:rsid w:val="00CA4DBF"/>
    <w:rsid w:val="00CB19D6"/>
    <w:rsid w:val="00CB6917"/>
    <w:rsid w:val="00CC13BD"/>
    <w:rsid w:val="00CC4187"/>
    <w:rsid w:val="00CC59DF"/>
    <w:rsid w:val="00CC6B09"/>
    <w:rsid w:val="00CC72E6"/>
    <w:rsid w:val="00CD08FC"/>
    <w:rsid w:val="00CD0C90"/>
    <w:rsid w:val="00CD1433"/>
    <w:rsid w:val="00CD3CA7"/>
    <w:rsid w:val="00CD3D38"/>
    <w:rsid w:val="00CD4733"/>
    <w:rsid w:val="00CD4ED4"/>
    <w:rsid w:val="00CD5DCB"/>
    <w:rsid w:val="00CE0057"/>
    <w:rsid w:val="00CE1921"/>
    <w:rsid w:val="00CE5546"/>
    <w:rsid w:val="00CF0CF9"/>
    <w:rsid w:val="00CF1B7A"/>
    <w:rsid w:val="00CF2511"/>
    <w:rsid w:val="00CF54FE"/>
    <w:rsid w:val="00CF598B"/>
    <w:rsid w:val="00CF5CCF"/>
    <w:rsid w:val="00CF6170"/>
    <w:rsid w:val="00D000BB"/>
    <w:rsid w:val="00D00C6E"/>
    <w:rsid w:val="00D04C38"/>
    <w:rsid w:val="00D04C6B"/>
    <w:rsid w:val="00D07D80"/>
    <w:rsid w:val="00D118B8"/>
    <w:rsid w:val="00D1771B"/>
    <w:rsid w:val="00D2127E"/>
    <w:rsid w:val="00D21B05"/>
    <w:rsid w:val="00D229D4"/>
    <w:rsid w:val="00D2459D"/>
    <w:rsid w:val="00D2491D"/>
    <w:rsid w:val="00D269F1"/>
    <w:rsid w:val="00D27F9B"/>
    <w:rsid w:val="00D31708"/>
    <w:rsid w:val="00D31D69"/>
    <w:rsid w:val="00D336E9"/>
    <w:rsid w:val="00D33A9B"/>
    <w:rsid w:val="00D33FDD"/>
    <w:rsid w:val="00D34745"/>
    <w:rsid w:val="00D34D4E"/>
    <w:rsid w:val="00D34F97"/>
    <w:rsid w:val="00D3709A"/>
    <w:rsid w:val="00D401F1"/>
    <w:rsid w:val="00D40C2A"/>
    <w:rsid w:val="00D43C67"/>
    <w:rsid w:val="00D45BAA"/>
    <w:rsid w:val="00D4614D"/>
    <w:rsid w:val="00D47DC0"/>
    <w:rsid w:val="00D52863"/>
    <w:rsid w:val="00D55B6D"/>
    <w:rsid w:val="00D5650B"/>
    <w:rsid w:val="00D605D9"/>
    <w:rsid w:val="00D61567"/>
    <w:rsid w:val="00D628AE"/>
    <w:rsid w:val="00D66422"/>
    <w:rsid w:val="00D672FE"/>
    <w:rsid w:val="00D67DB5"/>
    <w:rsid w:val="00D721D1"/>
    <w:rsid w:val="00D72D78"/>
    <w:rsid w:val="00D769E5"/>
    <w:rsid w:val="00D76E65"/>
    <w:rsid w:val="00D77579"/>
    <w:rsid w:val="00D777F9"/>
    <w:rsid w:val="00D847C9"/>
    <w:rsid w:val="00D85AEF"/>
    <w:rsid w:val="00D85E31"/>
    <w:rsid w:val="00D879A3"/>
    <w:rsid w:val="00D93A2E"/>
    <w:rsid w:val="00D943BD"/>
    <w:rsid w:val="00D94423"/>
    <w:rsid w:val="00D970DE"/>
    <w:rsid w:val="00D975FF"/>
    <w:rsid w:val="00DA09A3"/>
    <w:rsid w:val="00DA1AB1"/>
    <w:rsid w:val="00DA56BD"/>
    <w:rsid w:val="00DA5FC9"/>
    <w:rsid w:val="00DB2AD4"/>
    <w:rsid w:val="00DB3B24"/>
    <w:rsid w:val="00DB4FA3"/>
    <w:rsid w:val="00DC0F4F"/>
    <w:rsid w:val="00DC12A2"/>
    <w:rsid w:val="00DC2415"/>
    <w:rsid w:val="00DC2EE6"/>
    <w:rsid w:val="00DC3659"/>
    <w:rsid w:val="00DC6438"/>
    <w:rsid w:val="00DD3431"/>
    <w:rsid w:val="00DD3679"/>
    <w:rsid w:val="00DD3D6A"/>
    <w:rsid w:val="00DD4FF5"/>
    <w:rsid w:val="00DD50FF"/>
    <w:rsid w:val="00DD7B55"/>
    <w:rsid w:val="00DE0B1B"/>
    <w:rsid w:val="00DE1290"/>
    <w:rsid w:val="00DE1481"/>
    <w:rsid w:val="00DE4F0E"/>
    <w:rsid w:val="00DE5CE1"/>
    <w:rsid w:val="00DE7762"/>
    <w:rsid w:val="00DE7DBE"/>
    <w:rsid w:val="00DF0536"/>
    <w:rsid w:val="00DF146A"/>
    <w:rsid w:val="00DF5103"/>
    <w:rsid w:val="00DF5E0F"/>
    <w:rsid w:val="00DF5F54"/>
    <w:rsid w:val="00E01120"/>
    <w:rsid w:val="00E01C04"/>
    <w:rsid w:val="00E04D37"/>
    <w:rsid w:val="00E05B46"/>
    <w:rsid w:val="00E112A6"/>
    <w:rsid w:val="00E11A73"/>
    <w:rsid w:val="00E13175"/>
    <w:rsid w:val="00E1491B"/>
    <w:rsid w:val="00E14BB8"/>
    <w:rsid w:val="00E158D2"/>
    <w:rsid w:val="00E179CA"/>
    <w:rsid w:val="00E2114E"/>
    <w:rsid w:val="00E22062"/>
    <w:rsid w:val="00E223B0"/>
    <w:rsid w:val="00E22E87"/>
    <w:rsid w:val="00E241F6"/>
    <w:rsid w:val="00E30A7B"/>
    <w:rsid w:val="00E336DC"/>
    <w:rsid w:val="00E33993"/>
    <w:rsid w:val="00E33BA9"/>
    <w:rsid w:val="00E36C69"/>
    <w:rsid w:val="00E37FC9"/>
    <w:rsid w:val="00E41896"/>
    <w:rsid w:val="00E44DCC"/>
    <w:rsid w:val="00E45F2C"/>
    <w:rsid w:val="00E45F31"/>
    <w:rsid w:val="00E46E6F"/>
    <w:rsid w:val="00E47048"/>
    <w:rsid w:val="00E52283"/>
    <w:rsid w:val="00E54BBB"/>
    <w:rsid w:val="00E55168"/>
    <w:rsid w:val="00E607C0"/>
    <w:rsid w:val="00E60B6C"/>
    <w:rsid w:val="00E62723"/>
    <w:rsid w:val="00E64DDF"/>
    <w:rsid w:val="00E67856"/>
    <w:rsid w:val="00E70337"/>
    <w:rsid w:val="00E706CF"/>
    <w:rsid w:val="00E723A2"/>
    <w:rsid w:val="00E728D6"/>
    <w:rsid w:val="00E72E2B"/>
    <w:rsid w:val="00E74349"/>
    <w:rsid w:val="00E7609C"/>
    <w:rsid w:val="00E800BF"/>
    <w:rsid w:val="00E82E2F"/>
    <w:rsid w:val="00E85183"/>
    <w:rsid w:val="00E86429"/>
    <w:rsid w:val="00E92242"/>
    <w:rsid w:val="00E9236F"/>
    <w:rsid w:val="00E94993"/>
    <w:rsid w:val="00E94DBE"/>
    <w:rsid w:val="00E953E3"/>
    <w:rsid w:val="00E976F2"/>
    <w:rsid w:val="00EA0A72"/>
    <w:rsid w:val="00EA0C36"/>
    <w:rsid w:val="00EA3409"/>
    <w:rsid w:val="00EA5CF5"/>
    <w:rsid w:val="00EA63AE"/>
    <w:rsid w:val="00EB0711"/>
    <w:rsid w:val="00EB1126"/>
    <w:rsid w:val="00EB1321"/>
    <w:rsid w:val="00EB5CF8"/>
    <w:rsid w:val="00EB679B"/>
    <w:rsid w:val="00EB6B78"/>
    <w:rsid w:val="00EB73CB"/>
    <w:rsid w:val="00EC1EC0"/>
    <w:rsid w:val="00EC2F19"/>
    <w:rsid w:val="00EC43E3"/>
    <w:rsid w:val="00EC52DD"/>
    <w:rsid w:val="00EC564F"/>
    <w:rsid w:val="00EC6305"/>
    <w:rsid w:val="00EC63A4"/>
    <w:rsid w:val="00EC76A9"/>
    <w:rsid w:val="00EC78FE"/>
    <w:rsid w:val="00ED0322"/>
    <w:rsid w:val="00ED08EC"/>
    <w:rsid w:val="00ED2521"/>
    <w:rsid w:val="00ED33A7"/>
    <w:rsid w:val="00ED3999"/>
    <w:rsid w:val="00ED5586"/>
    <w:rsid w:val="00ED6302"/>
    <w:rsid w:val="00ED7194"/>
    <w:rsid w:val="00ED73AE"/>
    <w:rsid w:val="00ED7AEF"/>
    <w:rsid w:val="00EE0DD5"/>
    <w:rsid w:val="00EE7395"/>
    <w:rsid w:val="00EF0DC3"/>
    <w:rsid w:val="00EF18DF"/>
    <w:rsid w:val="00EF1C1E"/>
    <w:rsid w:val="00EF3EF3"/>
    <w:rsid w:val="00EF586C"/>
    <w:rsid w:val="00EF5B63"/>
    <w:rsid w:val="00EF7577"/>
    <w:rsid w:val="00F048EE"/>
    <w:rsid w:val="00F050CA"/>
    <w:rsid w:val="00F05680"/>
    <w:rsid w:val="00F056AA"/>
    <w:rsid w:val="00F06147"/>
    <w:rsid w:val="00F136B6"/>
    <w:rsid w:val="00F16FD3"/>
    <w:rsid w:val="00F226E2"/>
    <w:rsid w:val="00F23C20"/>
    <w:rsid w:val="00F24494"/>
    <w:rsid w:val="00F24495"/>
    <w:rsid w:val="00F24DA0"/>
    <w:rsid w:val="00F263B7"/>
    <w:rsid w:val="00F26486"/>
    <w:rsid w:val="00F27E93"/>
    <w:rsid w:val="00F30F1B"/>
    <w:rsid w:val="00F322BE"/>
    <w:rsid w:val="00F3318B"/>
    <w:rsid w:val="00F337ED"/>
    <w:rsid w:val="00F34614"/>
    <w:rsid w:val="00F34E1F"/>
    <w:rsid w:val="00F35CCB"/>
    <w:rsid w:val="00F36237"/>
    <w:rsid w:val="00F37881"/>
    <w:rsid w:val="00F40ADC"/>
    <w:rsid w:val="00F41D92"/>
    <w:rsid w:val="00F41EB0"/>
    <w:rsid w:val="00F434C8"/>
    <w:rsid w:val="00F44E04"/>
    <w:rsid w:val="00F453C6"/>
    <w:rsid w:val="00F47193"/>
    <w:rsid w:val="00F51CCD"/>
    <w:rsid w:val="00F54725"/>
    <w:rsid w:val="00F5491B"/>
    <w:rsid w:val="00F55918"/>
    <w:rsid w:val="00F56D76"/>
    <w:rsid w:val="00F61D6A"/>
    <w:rsid w:val="00F61E10"/>
    <w:rsid w:val="00F63DA6"/>
    <w:rsid w:val="00F67932"/>
    <w:rsid w:val="00F727A5"/>
    <w:rsid w:val="00F7500E"/>
    <w:rsid w:val="00F75668"/>
    <w:rsid w:val="00F75B75"/>
    <w:rsid w:val="00F76141"/>
    <w:rsid w:val="00F7616A"/>
    <w:rsid w:val="00F77781"/>
    <w:rsid w:val="00F85794"/>
    <w:rsid w:val="00F873B2"/>
    <w:rsid w:val="00F87671"/>
    <w:rsid w:val="00F87D28"/>
    <w:rsid w:val="00F91DDF"/>
    <w:rsid w:val="00F924D9"/>
    <w:rsid w:val="00F94739"/>
    <w:rsid w:val="00F952A9"/>
    <w:rsid w:val="00F95761"/>
    <w:rsid w:val="00F9621C"/>
    <w:rsid w:val="00FA03A3"/>
    <w:rsid w:val="00FA3A88"/>
    <w:rsid w:val="00FA59EC"/>
    <w:rsid w:val="00FA6B98"/>
    <w:rsid w:val="00FB1963"/>
    <w:rsid w:val="00FB22BD"/>
    <w:rsid w:val="00FB2D82"/>
    <w:rsid w:val="00FB336D"/>
    <w:rsid w:val="00FB58C9"/>
    <w:rsid w:val="00FB6506"/>
    <w:rsid w:val="00FB6FF8"/>
    <w:rsid w:val="00FC04A1"/>
    <w:rsid w:val="00FC3762"/>
    <w:rsid w:val="00FC42A2"/>
    <w:rsid w:val="00FC6760"/>
    <w:rsid w:val="00FC6819"/>
    <w:rsid w:val="00FC6A3C"/>
    <w:rsid w:val="00FC7251"/>
    <w:rsid w:val="00FD1199"/>
    <w:rsid w:val="00FD1D15"/>
    <w:rsid w:val="00FE04D0"/>
    <w:rsid w:val="00FE2441"/>
    <w:rsid w:val="00FE4D75"/>
    <w:rsid w:val="00FE50A1"/>
    <w:rsid w:val="00FE6B74"/>
    <w:rsid w:val="00FF1059"/>
    <w:rsid w:val="00FF1326"/>
    <w:rsid w:val="00FF1923"/>
    <w:rsid w:val="00FF2CDF"/>
    <w:rsid w:val="00FF4C08"/>
    <w:rsid w:val="00FF59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AD5F9"/>
  <w15:docId w15:val="{B555FD6E-2051-4AB4-B35A-2E2253D46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7F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C2F19"/>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C2F19"/>
    <w:pPr>
      <w:ind w:left="720"/>
      <w:contextualSpacing/>
    </w:pPr>
  </w:style>
  <w:style w:type="paragraph" w:styleId="Textonotapie">
    <w:name w:val="footnote text"/>
    <w:basedOn w:val="Normal"/>
    <w:link w:val="TextonotapieCar"/>
    <w:uiPriority w:val="99"/>
    <w:unhideWhenUsed/>
    <w:rsid w:val="00EC2F19"/>
    <w:pPr>
      <w:spacing w:after="0" w:line="240" w:lineRule="auto"/>
    </w:pPr>
    <w:rPr>
      <w:sz w:val="20"/>
      <w:szCs w:val="20"/>
    </w:rPr>
  </w:style>
  <w:style w:type="character" w:customStyle="1" w:styleId="TextonotapieCar">
    <w:name w:val="Texto nota pie Car"/>
    <w:basedOn w:val="Fuentedeprrafopredeter"/>
    <w:link w:val="Textonotapie"/>
    <w:uiPriority w:val="99"/>
    <w:rsid w:val="00EC2F19"/>
    <w:rPr>
      <w:sz w:val="20"/>
      <w:szCs w:val="20"/>
    </w:rPr>
  </w:style>
  <w:style w:type="character" w:styleId="Refdenotaalpie">
    <w:name w:val="footnote reference"/>
    <w:basedOn w:val="Fuentedeprrafopredeter"/>
    <w:uiPriority w:val="99"/>
    <w:unhideWhenUsed/>
    <w:rsid w:val="00EC2F19"/>
    <w:rPr>
      <w:vertAlign w:val="superscript"/>
    </w:rPr>
  </w:style>
  <w:style w:type="paragraph" w:styleId="NormalWeb">
    <w:name w:val="Normal (Web)"/>
    <w:basedOn w:val="Normal"/>
    <w:uiPriority w:val="99"/>
    <w:unhideWhenUsed/>
    <w:rsid w:val="00EC2F1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rsid w:val="00EC2F19"/>
    <w:rPr>
      <w:color w:val="0000FF"/>
      <w:u w:val="single"/>
    </w:rPr>
  </w:style>
  <w:style w:type="paragraph" w:styleId="Encabezado">
    <w:name w:val="header"/>
    <w:basedOn w:val="Normal"/>
    <w:link w:val="EncabezadoCar"/>
    <w:unhideWhenUsed/>
    <w:rsid w:val="00EC2F19"/>
    <w:pPr>
      <w:tabs>
        <w:tab w:val="center" w:pos="4419"/>
        <w:tab w:val="right" w:pos="8838"/>
      </w:tabs>
      <w:spacing w:after="0" w:line="240" w:lineRule="auto"/>
    </w:pPr>
  </w:style>
  <w:style w:type="character" w:customStyle="1" w:styleId="EncabezadoCar">
    <w:name w:val="Encabezado Car"/>
    <w:basedOn w:val="Fuentedeprrafopredeter"/>
    <w:link w:val="Encabezado"/>
    <w:rsid w:val="00EC2F19"/>
  </w:style>
  <w:style w:type="paragraph" w:styleId="Piedepgina">
    <w:name w:val="footer"/>
    <w:basedOn w:val="Normal"/>
    <w:link w:val="PiedepginaCar"/>
    <w:uiPriority w:val="99"/>
    <w:unhideWhenUsed/>
    <w:rsid w:val="00EC2F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2F19"/>
  </w:style>
  <w:style w:type="character" w:styleId="Refdecomentario">
    <w:name w:val="annotation reference"/>
    <w:basedOn w:val="Fuentedeprrafopredeter"/>
    <w:uiPriority w:val="99"/>
    <w:semiHidden/>
    <w:unhideWhenUsed/>
    <w:rsid w:val="009454A4"/>
    <w:rPr>
      <w:sz w:val="16"/>
      <w:szCs w:val="16"/>
    </w:rPr>
  </w:style>
  <w:style w:type="paragraph" w:styleId="Textocomentario">
    <w:name w:val="annotation text"/>
    <w:basedOn w:val="Normal"/>
    <w:link w:val="TextocomentarioCar"/>
    <w:uiPriority w:val="99"/>
    <w:unhideWhenUsed/>
    <w:rsid w:val="009454A4"/>
    <w:pPr>
      <w:spacing w:line="240" w:lineRule="auto"/>
    </w:pPr>
    <w:rPr>
      <w:sz w:val="20"/>
      <w:szCs w:val="20"/>
    </w:rPr>
  </w:style>
  <w:style w:type="character" w:customStyle="1" w:styleId="TextocomentarioCar">
    <w:name w:val="Texto comentario Car"/>
    <w:basedOn w:val="Fuentedeprrafopredeter"/>
    <w:link w:val="Textocomentario"/>
    <w:uiPriority w:val="99"/>
    <w:rsid w:val="009454A4"/>
    <w:rPr>
      <w:sz w:val="20"/>
      <w:szCs w:val="20"/>
    </w:rPr>
  </w:style>
  <w:style w:type="paragraph" w:styleId="Asuntodelcomentario">
    <w:name w:val="annotation subject"/>
    <w:basedOn w:val="Textocomentario"/>
    <w:next w:val="Textocomentario"/>
    <w:link w:val="AsuntodelcomentarioCar"/>
    <w:uiPriority w:val="99"/>
    <w:semiHidden/>
    <w:unhideWhenUsed/>
    <w:rsid w:val="009454A4"/>
    <w:rPr>
      <w:b/>
      <w:bCs/>
    </w:rPr>
  </w:style>
  <w:style w:type="character" w:customStyle="1" w:styleId="AsuntodelcomentarioCar">
    <w:name w:val="Asunto del comentario Car"/>
    <w:basedOn w:val="TextocomentarioCar"/>
    <w:link w:val="Asuntodelcomentario"/>
    <w:uiPriority w:val="99"/>
    <w:semiHidden/>
    <w:rsid w:val="009454A4"/>
    <w:rPr>
      <w:b/>
      <w:bCs/>
      <w:sz w:val="20"/>
      <w:szCs w:val="20"/>
    </w:rPr>
  </w:style>
  <w:style w:type="paragraph" w:styleId="Textodeglobo">
    <w:name w:val="Balloon Text"/>
    <w:basedOn w:val="Normal"/>
    <w:link w:val="TextodegloboCar"/>
    <w:uiPriority w:val="99"/>
    <w:semiHidden/>
    <w:unhideWhenUsed/>
    <w:rsid w:val="009454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54A4"/>
    <w:rPr>
      <w:rFonts w:ascii="Segoe UI" w:hAnsi="Segoe UI" w:cs="Segoe UI"/>
      <w:sz w:val="18"/>
      <w:szCs w:val="18"/>
    </w:rPr>
  </w:style>
  <w:style w:type="paragraph" w:styleId="Revisin">
    <w:name w:val="Revision"/>
    <w:hidden/>
    <w:uiPriority w:val="99"/>
    <w:semiHidden/>
    <w:rsid w:val="009321D8"/>
    <w:pPr>
      <w:spacing w:after="0" w:line="240" w:lineRule="auto"/>
    </w:pPr>
  </w:style>
  <w:style w:type="character" w:customStyle="1" w:styleId="Mencinsinresolver1">
    <w:name w:val="Mención sin resolver1"/>
    <w:basedOn w:val="Fuentedeprrafopredeter"/>
    <w:uiPriority w:val="99"/>
    <w:rsid w:val="00266E1C"/>
    <w:rPr>
      <w:color w:val="605E5C"/>
      <w:shd w:val="clear" w:color="auto" w:fill="E1DFDD"/>
    </w:rPr>
  </w:style>
  <w:style w:type="character" w:customStyle="1" w:styleId="Mencinsinresolver2">
    <w:name w:val="Mención sin resolver2"/>
    <w:basedOn w:val="Fuentedeprrafopredeter"/>
    <w:uiPriority w:val="99"/>
    <w:semiHidden/>
    <w:unhideWhenUsed/>
    <w:rsid w:val="003073C1"/>
    <w:rPr>
      <w:color w:val="605E5C"/>
      <w:shd w:val="clear" w:color="auto" w:fill="E1DFDD"/>
    </w:rPr>
  </w:style>
  <w:style w:type="character" w:styleId="Mencinsinresolver">
    <w:name w:val="Unresolved Mention"/>
    <w:basedOn w:val="Fuentedeprrafopredeter"/>
    <w:uiPriority w:val="99"/>
    <w:semiHidden/>
    <w:unhideWhenUsed/>
    <w:rsid w:val="00727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18142">
      <w:bodyDiv w:val="1"/>
      <w:marLeft w:val="0"/>
      <w:marRight w:val="0"/>
      <w:marTop w:val="0"/>
      <w:marBottom w:val="0"/>
      <w:divBdr>
        <w:top w:val="none" w:sz="0" w:space="0" w:color="auto"/>
        <w:left w:val="none" w:sz="0" w:space="0" w:color="auto"/>
        <w:bottom w:val="none" w:sz="0" w:space="0" w:color="auto"/>
        <w:right w:val="none" w:sz="0" w:space="0" w:color="auto"/>
      </w:divBdr>
    </w:div>
    <w:div w:id="97217230">
      <w:bodyDiv w:val="1"/>
      <w:marLeft w:val="0"/>
      <w:marRight w:val="0"/>
      <w:marTop w:val="0"/>
      <w:marBottom w:val="0"/>
      <w:divBdr>
        <w:top w:val="none" w:sz="0" w:space="0" w:color="auto"/>
        <w:left w:val="none" w:sz="0" w:space="0" w:color="auto"/>
        <w:bottom w:val="none" w:sz="0" w:space="0" w:color="auto"/>
        <w:right w:val="none" w:sz="0" w:space="0" w:color="auto"/>
      </w:divBdr>
    </w:div>
    <w:div w:id="109055324">
      <w:bodyDiv w:val="1"/>
      <w:marLeft w:val="0"/>
      <w:marRight w:val="0"/>
      <w:marTop w:val="0"/>
      <w:marBottom w:val="0"/>
      <w:divBdr>
        <w:top w:val="none" w:sz="0" w:space="0" w:color="auto"/>
        <w:left w:val="none" w:sz="0" w:space="0" w:color="auto"/>
        <w:bottom w:val="none" w:sz="0" w:space="0" w:color="auto"/>
        <w:right w:val="none" w:sz="0" w:space="0" w:color="auto"/>
      </w:divBdr>
    </w:div>
    <w:div w:id="112747103">
      <w:bodyDiv w:val="1"/>
      <w:marLeft w:val="0"/>
      <w:marRight w:val="0"/>
      <w:marTop w:val="0"/>
      <w:marBottom w:val="0"/>
      <w:divBdr>
        <w:top w:val="none" w:sz="0" w:space="0" w:color="auto"/>
        <w:left w:val="none" w:sz="0" w:space="0" w:color="auto"/>
        <w:bottom w:val="none" w:sz="0" w:space="0" w:color="auto"/>
        <w:right w:val="none" w:sz="0" w:space="0" w:color="auto"/>
      </w:divBdr>
    </w:div>
    <w:div w:id="117845710">
      <w:bodyDiv w:val="1"/>
      <w:marLeft w:val="0"/>
      <w:marRight w:val="0"/>
      <w:marTop w:val="0"/>
      <w:marBottom w:val="0"/>
      <w:divBdr>
        <w:top w:val="none" w:sz="0" w:space="0" w:color="auto"/>
        <w:left w:val="none" w:sz="0" w:space="0" w:color="auto"/>
        <w:bottom w:val="none" w:sz="0" w:space="0" w:color="auto"/>
        <w:right w:val="none" w:sz="0" w:space="0" w:color="auto"/>
      </w:divBdr>
    </w:div>
    <w:div w:id="128136381">
      <w:bodyDiv w:val="1"/>
      <w:marLeft w:val="0"/>
      <w:marRight w:val="0"/>
      <w:marTop w:val="0"/>
      <w:marBottom w:val="0"/>
      <w:divBdr>
        <w:top w:val="none" w:sz="0" w:space="0" w:color="auto"/>
        <w:left w:val="none" w:sz="0" w:space="0" w:color="auto"/>
        <w:bottom w:val="none" w:sz="0" w:space="0" w:color="auto"/>
        <w:right w:val="none" w:sz="0" w:space="0" w:color="auto"/>
      </w:divBdr>
    </w:div>
    <w:div w:id="178931144">
      <w:bodyDiv w:val="1"/>
      <w:marLeft w:val="0"/>
      <w:marRight w:val="0"/>
      <w:marTop w:val="0"/>
      <w:marBottom w:val="0"/>
      <w:divBdr>
        <w:top w:val="none" w:sz="0" w:space="0" w:color="auto"/>
        <w:left w:val="none" w:sz="0" w:space="0" w:color="auto"/>
        <w:bottom w:val="none" w:sz="0" w:space="0" w:color="auto"/>
        <w:right w:val="none" w:sz="0" w:space="0" w:color="auto"/>
      </w:divBdr>
    </w:div>
    <w:div w:id="188836184">
      <w:bodyDiv w:val="1"/>
      <w:marLeft w:val="0"/>
      <w:marRight w:val="0"/>
      <w:marTop w:val="0"/>
      <w:marBottom w:val="0"/>
      <w:divBdr>
        <w:top w:val="none" w:sz="0" w:space="0" w:color="auto"/>
        <w:left w:val="none" w:sz="0" w:space="0" w:color="auto"/>
        <w:bottom w:val="none" w:sz="0" w:space="0" w:color="auto"/>
        <w:right w:val="none" w:sz="0" w:space="0" w:color="auto"/>
      </w:divBdr>
    </w:div>
    <w:div w:id="194849828">
      <w:bodyDiv w:val="1"/>
      <w:marLeft w:val="0"/>
      <w:marRight w:val="0"/>
      <w:marTop w:val="0"/>
      <w:marBottom w:val="0"/>
      <w:divBdr>
        <w:top w:val="none" w:sz="0" w:space="0" w:color="auto"/>
        <w:left w:val="none" w:sz="0" w:space="0" w:color="auto"/>
        <w:bottom w:val="none" w:sz="0" w:space="0" w:color="auto"/>
        <w:right w:val="none" w:sz="0" w:space="0" w:color="auto"/>
      </w:divBdr>
    </w:div>
    <w:div w:id="206798770">
      <w:bodyDiv w:val="1"/>
      <w:marLeft w:val="0"/>
      <w:marRight w:val="0"/>
      <w:marTop w:val="0"/>
      <w:marBottom w:val="0"/>
      <w:divBdr>
        <w:top w:val="none" w:sz="0" w:space="0" w:color="auto"/>
        <w:left w:val="none" w:sz="0" w:space="0" w:color="auto"/>
        <w:bottom w:val="none" w:sz="0" w:space="0" w:color="auto"/>
        <w:right w:val="none" w:sz="0" w:space="0" w:color="auto"/>
      </w:divBdr>
    </w:div>
    <w:div w:id="210926906">
      <w:bodyDiv w:val="1"/>
      <w:marLeft w:val="0"/>
      <w:marRight w:val="0"/>
      <w:marTop w:val="0"/>
      <w:marBottom w:val="0"/>
      <w:divBdr>
        <w:top w:val="none" w:sz="0" w:space="0" w:color="auto"/>
        <w:left w:val="none" w:sz="0" w:space="0" w:color="auto"/>
        <w:bottom w:val="none" w:sz="0" w:space="0" w:color="auto"/>
        <w:right w:val="none" w:sz="0" w:space="0" w:color="auto"/>
      </w:divBdr>
    </w:div>
    <w:div w:id="223368641">
      <w:bodyDiv w:val="1"/>
      <w:marLeft w:val="0"/>
      <w:marRight w:val="0"/>
      <w:marTop w:val="0"/>
      <w:marBottom w:val="0"/>
      <w:divBdr>
        <w:top w:val="none" w:sz="0" w:space="0" w:color="auto"/>
        <w:left w:val="none" w:sz="0" w:space="0" w:color="auto"/>
        <w:bottom w:val="none" w:sz="0" w:space="0" w:color="auto"/>
        <w:right w:val="none" w:sz="0" w:space="0" w:color="auto"/>
      </w:divBdr>
    </w:div>
    <w:div w:id="224529604">
      <w:bodyDiv w:val="1"/>
      <w:marLeft w:val="0"/>
      <w:marRight w:val="0"/>
      <w:marTop w:val="0"/>
      <w:marBottom w:val="0"/>
      <w:divBdr>
        <w:top w:val="none" w:sz="0" w:space="0" w:color="auto"/>
        <w:left w:val="none" w:sz="0" w:space="0" w:color="auto"/>
        <w:bottom w:val="none" w:sz="0" w:space="0" w:color="auto"/>
        <w:right w:val="none" w:sz="0" w:space="0" w:color="auto"/>
      </w:divBdr>
    </w:div>
    <w:div w:id="263074507">
      <w:bodyDiv w:val="1"/>
      <w:marLeft w:val="0"/>
      <w:marRight w:val="0"/>
      <w:marTop w:val="0"/>
      <w:marBottom w:val="0"/>
      <w:divBdr>
        <w:top w:val="none" w:sz="0" w:space="0" w:color="auto"/>
        <w:left w:val="none" w:sz="0" w:space="0" w:color="auto"/>
        <w:bottom w:val="none" w:sz="0" w:space="0" w:color="auto"/>
        <w:right w:val="none" w:sz="0" w:space="0" w:color="auto"/>
      </w:divBdr>
    </w:div>
    <w:div w:id="263729992">
      <w:bodyDiv w:val="1"/>
      <w:marLeft w:val="0"/>
      <w:marRight w:val="0"/>
      <w:marTop w:val="0"/>
      <w:marBottom w:val="0"/>
      <w:divBdr>
        <w:top w:val="none" w:sz="0" w:space="0" w:color="auto"/>
        <w:left w:val="none" w:sz="0" w:space="0" w:color="auto"/>
        <w:bottom w:val="none" w:sz="0" w:space="0" w:color="auto"/>
        <w:right w:val="none" w:sz="0" w:space="0" w:color="auto"/>
      </w:divBdr>
    </w:div>
    <w:div w:id="302662559">
      <w:bodyDiv w:val="1"/>
      <w:marLeft w:val="0"/>
      <w:marRight w:val="0"/>
      <w:marTop w:val="0"/>
      <w:marBottom w:val="0"/>
      <w:divBdr>
        <w:top w:val="none" w:sz="0" w:space="0" w:color="auto"/>
        <w:left w:val="none" w:sz="0" w:space="0" w:color="auto"/>
        <w:bottom w:val="none" w:sz="0" w:space="0" w:color="auto"/>
        <w:right w:val="none" w:sz="0" w:space="0" w:color="auto"/>
      </w:divBdr>
    </w:div>
    <w:div w:id="319625451">
      <w:bodyDiv w:val="1"/>
      <w:marLeft w:val="0"/>
      <w:marRight w:val="0"/>
      <w:marTop w:val="0"/>
      <w:marBottom w:val="0"/>
      <w:divBdr>
        <w:top w:val="none" w:sz="0" w:space="0" w:color="auto"/>
        <w:left w:val="none" w:sz="0" w:space="0" w:color="auto"/>
        <w:bottom w:val="none" w:sz="0" w:space="0" w:color="auto"/>
        <w:right w:val="none" w:sz="0" w:space="0" w:color="auto"/>
      </w:divBdr>
    </w:div>
    <w:div w:id="338506432">
      <w:bodyDiv w:val="1"/>
      <w:marLeft w:val="0"/>
      <w:marRight w:val="0"/>
      <w:marTop w:val="0"/>
      <w:marBottom w:val="0"/>
      <w:divBdr>
        <w:top w:val="none" w:sz="0" w:space="0" w:color="auto"/>
        <w:left w:val="none" w:sz="0" w:space="0" w:color="auto"/>
        <w:bottom w:val="none" w:sz="0" w:space="0" w:color="auto"/>
        <w:right w:val="none" w:sz="0" w:space="0" w:color="auto"/>
      </w:divBdr>
    </w:div>
    <w:div w:id="384838320">
      <w:bodyDiv w:val="1"/>
      <w:marLeft w:val="0"/>
      <w:marRight w:val="0"/>
      <w:marTop w:val="0"/>
      <w:marBottom w:val="0"/>
      <w:divBdr>
        <w:top w:val="none" w:sz="0" w:space="0" w:color="auto"/>
        <w:left w:val="none" w:sz="0" w:space="0" w:color="auto"/>
        <w:bottom w:val="none" w:sz="0" w:space="0" w:color="auto"/>
        <w:right w:val="none" w:sz="0" w:space="0" w:color="auto"/>
      </w:divBdr>
    </w:div>
    <w:div w:id="386999835">
      <w:bodyDiv w:val="1"/>
      <w:marLeft w:val="0"/>
      <w:marRight w:val="0"/>
      <w:marTop w:val="0"/>
      <w:marBottom w:val="0"/>
      <w:divBdr>
        <w:top w:val="none" w:sz="0" w:space="0" w:color="auto"/>
        <w:left w:val="none" w:sz="0" w:space="0" w:color="auto"/>
        <w:bottom w:val="none" w:sz="0" w:space="0" w:color="auto"/>
        <w:right w:val="none" w:sz="0" w:space="0" w:color="auto"/>
      </w:divBdr>
    </w:div>
    <w:div w:id="458188079">
      <w:bodyDiv w:val="1"/>
      <w:marLeft w:val="0"/>
      <w:marRight w:val="0"/>
      <w:marTop w:val="0"/>
      <w:marBottom w:val="0"/>
      <w:divBdr>
        <w:top w:val="none" w:sz="0" w:space="0" w:color="auto"/>
        <w:left w:val="none" w:sz="0" w:space="0" w:color="auto"/>
        <w:bottom w:val="none" w:sz="0" w:space="0" w:color="auto"/>
        <w:right w:val="none" w:sz="0" w:space="0" w:color="auto"/>
      </w:divBdr>
    </w:div>
    <w:div w:id="544218686">
      <w:bodyDiv w:val="1"/>
      <w:marLeft w:val="0"/>
      <w:marRight w:val="0"/>
      <w:marTop w:val="0"/>
      <w:marBottom w:val="0"/>
      <w:divBdr>
        <w:top w:val="none" w:sz="0" w:space="0" w:color="auto"/>
        <w:left w:val="none" w:sz="0" w:space="0" w:color="auto"/>
        <w:bottom w:val="none" w:sz="0" w:space="0" w:color="auto"/>
        <w:right w:val="none" w:sz="0" w:space="0" w:color="auto"/>
      </w:divBdr>
    </w:div>
    <w:div w:id="559874469">
      <w:bodyDiv w:val="1"/>
      <w:marLeft w:val="0"/>
      <w:marRight w:val="0"/>
      <w:marTop w:val="0"/>
      <w:marBottom w:val="0"/>
      <w:divBdr>
        <w:top w:val="none" w:sz="0" w:space="0" w:color="auto"/>
        <w:left w:val="none" w:sz="0" w:space="0" w:color="auto"/>
        <w:bottom w:val="none" w:sz="0" w:space="0" w:color="auto"/>
        <w:right w:val="none" w:sz="0" w:space="0" w:color="auto"/>
      </w:divBdr>
    </w:div>
    <w:div w:id="576207925">
      <w:bodyDiv w:val="1"/>
      <w:marLeft w:val="0"/>
      <w:marRight w:val="0"/>
      <w:marTop w:val="0"/>
      <w:marBottom w:val="0"/>
      <w:divBdr>
        <w:top w:val="none" w:sz="0" w:space="0" w:color="auto"/>
        <w:left w:val="none" w:sz="0" w:space="0" w:color="auto"/>
        <w:bottom w:val="none" w:sz="0" w:space="0" w:color="auto"/>
        <w:right w:val="none" w:sz="0" w:space="0" w:color="auto"/>
      </w:divBdr>
    </w:div>
    <w:div w:id="580531909">
      <w:bodyDiv w:val="1"/>
      <w:marLeft w:val="0"/>
      <w:marRight w:val="0"/>
      <w:marTop w:val="0"/>
      <w:marBottom w:val="0"/>
      <w:divBdr>
        <w:top w:val="none" w:sz="0" w:space="0" w:color="auto"/>
        <w:left w:val="none" w:sz="0" w:space="0" w:color="auto"/>
        <w:bottom w:val="none" w:sz="0" w:space="0" w:color="auto"/>
        <w:right w:val="none" w:sz="0" w:space="0" w:color="auto"/>
      </w:divBdr>
    </w:div>
    <w:div w:id="586429067">
      <w:bodyDiv w:val="1"/>
      <w:marLeft w:val="0"/>
      <w:marRight w:val="0"/>
      <w:marTop w:val="0"/>
      <w:marBottom w:val="0"/>
      <w:divBdr>
        <w:top w:val="none" w:sz="0" w:space="0" w:color="auto"/>
        <w:left w:val="none" w:sz="0" w:space="0" w:color="auto"/>
        <w:bottom w:val="none" w:sz="0" w:space="0" w:color="auto"/>
        <w:right w:val="none" w:sz="0" w:space="0" w:color="auto"/>
      </w:divBdr>
    </w:div>
    <w:div w:id="594020733">
      <w:bodyDiv w:val="1"/>
      <w:marLeft w:val="0"/>
      <w:marRight w:val="0"/>
      <w:marTop w:val="0"/>
      <w:marBottom w:val="0"/>
      <w:divBdr>
        <w:top w:val="none" w:sz="0" w:space="0" w:color="auto"/>
        <w:left w:val="none" w:sz="0" w:space="0" w:color="auto"/>
        <w:bottom w:val="none" w:sz="0" w:space="0" w:color="auto"/>
        <w:right w:val="none" w:sz="0" w:space="0" w:color="auto"/>
      </w:divBdr>
    </w:div>
    <w:div w:id="626086844">
      <w:bodyDiv w:val="1"/>
      <w:marLeft w:val="0"/>
      <w:marRight w:val="0"/>
      <w:marTop w:val="0"/>
      <w:marBottom w:val="0"/>
      <w:divBdr>
        <w:top w:val="none" w:sz="0" w:space="0" w:color="auto"/>
        <w:left w:val="none" w:sz="0" w:space="0" w:color="auto"/>
        <w:bottom w:val="none" w:sz="0" w:space="0" w:color="auto"/>
        <w:right w:val="none" w:sz="0" w:space="0" w:color="auto"/>
      </w:divBdr>
    </w:div>
    <w:div w:id="634481005">
      <w:bodyDiv w:val="1"/>
      <w:marLeft w:val="0"/>
      <w:marRight w:val="0"/>
      <w:marTop w:val="0"/>
      <w:marBottom w:val="0"/>
      <w:divBdr>
        <w:top w:val="none" w:sz="0" w:space="0" w:color="auto"/>
        <w:left w:val="none" w:sz="0" w:space="0" w:color="auto"/>
        <w:bottom w:val="none" w:sz="0" w:space="0" w:color="auto"/>
        <w:right w:val="none" w:sz="0" w:space="0" w:color="auto"/>
      </w:divBdr>
    </w:div>
    <w:div w:id="711154905">
      <w:bodyDiv w:val="1"/>
      <w:marLeft w:val="0"/>
      <w:marRight w:val="0"/>
      <w:marTop w:val="0"/>
      <w:marBottom w:val="0"/>
      <w:divBdr>
        <w:top w:val="none" w:sz="0" w:space="0" w:color="auto"/>
        <w:left w:val="none" w:sz="0" w:space="0" w:color="auto"/>
        <w:bottom w:val="none" w:sz="0" w:space="0" w:color="auto"/>
        <w:right w:val="none" w:sz="0" w:space="0" w:color="auto"/>
      </w:divBdr>
    </w:div>
    <w:div w:id="741560599">
      <w:bodyDiv w:val="1"/>
      <w:marLeft w:val="0"/>
      <w:marRight w:val="0"/>
      <w:marTop w:val="0"/>
      <w:marBottom w:val="0"/>
      <w:divBdr>
        <w:top w:val="none" w:sz="0" w:space="0" w:color="auto"/>
        <w:left w:val="none" w:sz="0" w:space="0" w:color="auto"/>
        <w:bottom w:val="none" w:sz="0" w:space="0" w:color="auto"/>
        <w:right w:val="none" w:sz="0" w:space="0" w:color="auto"/>
      </w:divBdr>
    </w:div>
    <w:div w:id="744303145">
      <w:bodyDiv w:val="1"/>
      <w:marLeft w:val="0"/>
      <w:marRight w:val="0"/>
      <w:marTop w:val="0"/>
      <w:marBottom w:val="0"/>
      <w:divBdr>
        <w:top w:val="none" w:sz="0" w:space="0" w:color="auto"/>
        <w:left w:val="none" w:sz="0" w:space="0" w:color="auto"/>
        <w:bottom w:val="none" w:sz="0" w:space="0" w:color="auto"/>
        <w:right w:val="none" w:sz="0" w:space="0" w:color="auto"/>
      </w:divBdr>
    </w:div>
    <w:div w:id="790244126">
      <w:bodyDiv w:val="1"/>
      <w:marLeft w:val="0"/>
      <w:marRight w:val="0"/>
      <w:marTop w:val="0"/>
      <w:marBottom w:val="0"/>
      <w:divBdr>
        <w:top w:val="none" w:sz="0" w:space="0" w:color="auto"/>
        <w:left w:val="none" w:sz="0" w:space="0" w:color="auto"/>
        <w:bottom w:val="none" w:sz="0" w:space="0" w:color="auto"/>
        <w:right w:val="none" w:sz="0" w:space="0" w:color="auto"/>
      </w:divBdr>
    </w:div>
    <w:div w:id="827400308">
      <w:bodyDiv w:val="1"/>
      <w:marLeft w:val="0"/>
      <w:marRight w:val="0"/>
      <w:marTop w:val="0"/>
      <w:marBottom w:val="0"/>
      <w:divBdr>
        <w:top w:val="none" w:sz="0" w:space="0" w:color="auto"/>
        <w:left w:val="none" w:sz="0" w:space="0" w:color="auto"/>
        <w:bottom w:val="none" w:sz="0" w:space="0" w:color="auto"/>
        <w:right w:val="none" w:sz="0" w:space="0" w:color="auto"/>
      </w:divBdr>
    </w:div>
    <w:div w:id="833842930">
      <w:bodyDiv w:val="1"/>
      <w:marLeft w:val="0"/>
      <w:marRight w:val="0"/>
      <w:marTop w:val="0"/>
      <w:marBottom w:val="0"/>
      <w:divBdr>
        <w:top w:val="none" w:sz="0" w:space="0" w:color="auto"/>
        <w:left w:val="none" w:sz="0" w:space="0" w:color="auto"/>
        <w:bottom w:val="none" w:sz="0" w:space="0" w:color="auto"/>
        <w:right w:val="none" w:sz="0" w:space="0" w:color="auto"/>
      </w:divBdr>
    </w:div>
    <w:div w:id="840394250">
      <w:bodyDiv w:val="1"/>
      <w:marLeft w:val="0"/>
      <w:marRight w:val="0"/>
      <w:marTop w:val="0"/>
      <w:marBottom w:val="0"/>
      <w:divBdr>
        <w:top w:val="none" w:sz="0" w:space="0" w:color="auto"/>
        <w:left w:val="none" w:sz="0" w:space="0" w:color="auto"/>
        <w:bottom w:val="none" w:sz="0" w:space="0" w:color="auto"/>
        <w:right w:val="none" w:sz="0" w:space="0" w:color="auto"/>
      </w:divBdr>
    </w:div>
    <w:div w:id="844200316">
      <w:bodyDiv w:val="1"/>
      <w:marLeft w:val="0"/>
      <w:marRight w:val="0"/>
      <w:marTop w:val="0"/>
      <w:marBottom w:val="0"/>
      <w:divBdr>
        <w:top w:val="none" w:sz="0" w:space="0" w:color="auto"/>
        <w:left w:val="none" w:sz="0" w:space="0" w:color="auto"/>
        <w:bottom w:val="none" w:sz="0" w:space="0" w:color="auto"/>
        <w:right w:val="none" w:sz="0" w:space="0" w:color="auto"/>
      </w:divBdr>
    </w:div>
    <w:div w:id="848520626">
      <w:bodyDiv w:val="1"/>
      <w:marLeft w:val="0"/>
      <w:marRight w:val="0"/>
      <w:marTop w:val="0"/>
      <w:marBottom w:val="0"/>
      <w:divBdr>
        <w:top w:val="none" w:sz="0" w:space="0" w:color="auto"/>
        <w:left w:val="none" w:sz="0" w:space="0" w:color="auto"/>
        <w:bottom w:val="none" w:sz="0" w:space="0" w:color="auto"/>
        <w:right w:val="none" w:sz="0" w:space="0" w:color="auto"/>
      </w:divBdr>
    </w:div>
    <w:div w:id="852916137">
      <w:bodyDiv w:val="1"/>
      <w:marLeft w:val="0"/>
      <w:marRight w:val="0"/>
      <w:marTop w:val="0"/>
      <w:marBottom w:val="0"/>
      <w:divBdr>
        <w:top w:val="none" w:sz="0" w:space="0" w:color="auto"/>
        <w:left w:val="none" w:sz="0" w:space="0" w:color="auto"/>
        <w:bottom w:val="none" w:sz="0" w:space="0" w:color="auto"/>
        <w:right w:val="none" w:sz="0" w:space="0" w:color="auto"/>
      </w:divBdr>
    </w:div>
    <w:div w:id="874346757">
      <w:bodyDiv w:val="1"/>
      <w:marLeft w:val="0"/>
      <w:marRight w:val="0"/>
      <w:marTop w:val="0"/>
      <w:marBottom w:val="0"/>
      <w:divBdr>
        <w:top w:val="none" w:sz="0" w:space="0" w:color="auto"/>
        <w:left w:val="none" w:sz="0" w:space="0" w:color="auto"/>
        <w:bottom w:val="none" w:sz="0" w:space="0" w:color="auto"/>
        <w:right w:val="none" w:sz="0" w:space="0" w:color="auto"/>
      </w:divBdr>
    </w:div>
    <w:div w:id="906191184">
      <w:bodyDiv w:val="1"/>
      <w:marLeft w:val="0"/>
      <w:marRight w:val="0"/>
      <w:marTop w:val="0"/>
      <w:marBottom w:val="0"/>
      <w:divBdr>
        <w:top w:val="none" w:sz="0" w:space="0" w:color="auto"/>
        <w:left w:val="none" w:sz="0" w:space="0" w:color="auto"/>
        <w:bottom w:val="none" w:sz="0" w:space="0" w:color="auto"/>
        <w:right w:val="none" w:sz="0" w:space="0" w:color="auto"/>
      </w:divBdr>
    </w:div>
    <w:div w:id="985625492">
      <w:bodyDiv w:val="1"/>
      <w:marLeft w:val="0"/>
      <w:marRight w:val="0"/>
      <w:marTop w:val="0"/>
      <w:marBottom w:val="0"/>
      <w:divBdr>
        <w:top w:val="none" w:sz="0" w:space="0" w:color="auto"/>
        <w:left w:val="none" w:sz="0" w:space="0" w:color="auto"/>
        <w:bottom w:val="none" w:sz="0" w:space="0" w:color="auto"/>
        <w:right w:val="none" w:sz="0" w:space="0" w:color="auto"/>
      </w:divBdr>
    </w:div>
    <w:div w:id="987511293">
      <w:bodyDiv w:val="1"/>
      <w:marLeft w:val="0"/>
      <w:marRight w:val="0"/>
      <w:marTop w:val="0"/>
      <w:marBottom w:val="0"/>
      <w:divBdr>
        <w:top w:val="none" w:sz="0" w:space="0" w:color="auto"/>
        <w:left w:val="none" w:sz="0" w:space="0" w:color="auto"/>
        <w:bottom w:val="none" w:sz="0" w:space="0" w:color="auto"/>
        <w:right w:val="none" w:sz="0" w:space="0" w:color="auto"/>
      </w:divBdr>
    </w:div>
    <w:div w:id="1005016020">
      <w:bodyDiv w:val="1"/>
      <w:marLeft w:val="0"/>
      <w:marRight w:val="0"/>
      <w:marTop w:val="0"/>
      <w:marBottom w:val="0"/>
      <w:divBdr>
        <w:top w:val="none" w:sz="0" w:space="0" w:color="auto"/>
        <w:left w:val="none" w:sz="0" w:space="0" w:color="auto"/>
        <w:bottom w:val="none" w:sz="0" w:space="0" w:color="auto"/>
        <w:right w:val="none" w:sz="0" w:space="0" w:color="auto"/>
      </w:divBdr>
    </w:div>
    <w:div w:id="1017926505">
      <w:bodyDiv w:val="1"/>
      <w:marLeft w:val="0"/>
      <w:marRight w:val="0"/>
      <w:marTop w:val="0"/>
      <w:marBottom w:val="0"/>
      <w:divBdr>
        <w:top w:val="none" w:sz="0" w:space="0" w:color="auto"/>
        <w:left w:val="none" w:sz="0" w:space="0" w:color="auto"/>
        <w:bottom w:val="none" w:sz="0" w:space="0" w:color="auto"/>
        <w:right w:val="none" w:sz="0" w:space="0" w:color="auto"/>
      </w:divBdr>
    </w:div>
    <w:div w:id="1023094665">
      <w:bodyDiv w:val="1"/>
      <w:marLeft w:val="0"/>
      <w:marRight w:val="0"/>
      <w:marTop w:val="0"/>
      <w:marBottom w:val="0"/>
      <w:divBdr>
        <w:top w:val="none" w:sz="0" w:space="0" w:color="auto"/>
        <w:left w:val="none" w:sz="0" w:space="0" w:color="auto"/>
        <w:bottom w:val="none" w:sz="0" w:space="0" w:color="auto"/>
        <w:right w:val="none" w:sz="0" w:space="0" w:color="auto"/>
      </w:divBdr>
    </w:div>
    <w:div w:id="1115292636">
      <w:bodyDiv w:val="1"/>
      <w:marLeft w:val="0"/>
      <w:marRight w:val="0"/>
      <w:marTop w:val="0"/>
      <w:marBottom w:val="0"/>
      <w:divBdr>
        <w:top w:val="none" w:sz="0" w:space="0" w:color="auto"/>
        <w:left w:val="none" w:sz="0" w:space="0" w:color="auto"/>
        <w:bottom w:val="none" w:sz="0" w:space="0" w:color="auto"/>
        <w:right w:val="none" w:sz="0" w:space="0" w:color="auto"/>
      </w:divBdr>
    </w:div>
    <w:div w:id="1196499321">
      <w:bodyDiv w:val="1"/>
      <w:marLeft w:val="0"/>
      <w:marRight w:val="0"/>
      <w:marTop w:val="0"/>
      <w:marBottom w:val="0"/>
      <w:divBdr>
        <w:top w:val="none" w:sz="0" w:space="0" w:color="auto"/>
        <w:left w:val="none" w:sz="0" w:space="0" w:color="auto"/>
        <w:bottom w:val="none" w:sz="0" w:space="0" w:color="auto"/>
        <w:right w:val="none" w:sz="0" w:space="0" w:color="auto"/>
      </w:divBdr>
    </w:div>
    <w:div w:id="1199319285">
      <w:bodyDiv w:val="1"/>
      <w:marLeft w:val="0"/>
      <w:marRight w:val="0"/>
      <w:marTop w:val="0"/>
      <w:marBottom w:val="0"/>
      <w:divBdr>
        <w:top w:val="none" w:sz="0" w:space="0" w:color="auto"/>
        <w:left w:val="none" w:sz="0" w:space="0" w:color="auto"/>
        <w:bottom w:val="none" w:sz="0" w:space="0" w:color="auto"/>
        <w:right w:val="none" w:sz="0" w:space="0" w:color="auto"/>
      </w:divBdr>
    </w:div>
    <w:div w:id="1232546680">
      <w:bodyDiv w:val="1"/>
      <w:marLeft w:val="0"/>
      <w:marRight w:val="0"/>
      <w:marTop w:val="0"/>
      <w:marBottom w:val="0"/>
      <w:divBdr>
        <w:top w:val="none" w:sz="0" w:space="0" w:color="auto"/>
        <w:left w:val="none" w:sz="0" w:space="0" w:color="auto"/>
        <w:bottom w:val="none" w:sz="0" w:space="0" w:color="auto"/>
        <w:right w:val="none" w:sz="0" w:space="0" w:color="auto"/>
      </w:divBdr>
    </w:div>
    <w:div w:id="1244725593">
      <w:bodyDiv w:val="1"/>
      <w:marLeft w:val="0"/>
      <w:marRight w:val="0"/>
      <w:marTop w:val="0"/>
      <w:marBottom w:val="0"/>
      <w:divBdr>
        <w:top w:val="none" w:sz="0" w:space="0" w:color="auto"/>
        <w:left w:val="none" w:sz="0" w:space="0" w:color="auto"/>
        <w:bottom w:val="none" w:sz="0" w:space="0" w:color="auto"/>
        <w:right w:val="none" w:sz="0" w:space="0" w:color="auto"/>
      </w:divBdr>
    </w:div>
    <w:div w:id="1260023465">
      <w:bodyDiv w:val="1"/>
      <w:marLeft w:val="0"/>
      <w:marRight w:val="0"/>
      <w:marTop w:val="0"/>
      <w:marBottom w:val="0"/>
      <w:divBdr>
        <w:top w:val="none" w:sz="0" w:space="0" w:color="auto"/>
        <w:left w:val="none" w:sz="0" w:space="0" w:color="auto"/>
        <w:bottom w:val="none" w:sz="0" w:space="0" w:color="auto"/>
        <w:right w:val="none" w:sz="0" w:space="0" w:color="auto"/>
      </w:divBdr>
    </w:div>
    <w:div w:id="1277787738">
      <w:bodyDiv w:val="1"/>
      <w:marLeft w:val="0"/>
      <w:marRight w:val="0"/>
      <w:marTop w:val="0"/>
      <w:marBottom w:val="0"/>
      <w:divBdr>
        <w:top w:val="none" w:sz="0" w:space="0" w:color="auto"/>
        <w:left w:val="none" w:sz="0" w:space="0" w:color="auto"/>
        <w:bottom w:val="none" w:sz="0" w:space="0" w:color="auto"/>
        <w:right w:val="none" w:sz="0" w:space="0" w:color="auto"/>
      </w:divBdr>
    </w:div>
    <w:div w:id="1360665141">
      <w:bodyDiv w:val="1"/>
      <w:marLeft w:val="0"/>
      <w:marRight w:val="0"/>
      <w:marTop w:val="0"/>
      <w:marBottom w:val="0"/>
      <w:divBdr>
        <w:top w:val="none" w:sz="0" w:space="0" w:color="auto"/>
        <w:left w:val="none" w:sz="0" w:space="0" w:color="auto"/>
        <w:bottom w:val="none" w:sz="0" w:space="0" w:color="auto"/>
        <w:right w:val="none" w:sz="0" w:space="0" w:color="auto"/>
      </w:divBdr>
    </w:div>
    <w:div w:id="1361854389">
      <w:bodyDiv w:val="1"/>
      <w:marLeft w:val="0"/>
      <w:marRight w:val="0"/>
      <w:marTop w:val="0"/>
      <w:marBottom w:val="0"/>
      <w:divBdr>
        <w:top w:val="none" w:sz="0" w:space="0" w:color="auto"/>
        <w:left w:val="none" w:sz="0" w:space="0" w:color="auto"/>
        <w:bottom w:val="none" w:sz="0" w:space="0" w:color="auto"/>
        <w:right w:val="none" w:sz="0" w:space="0" w:color="auto"/>
      </w:divBdr>
    </w:div>
    <w:div w:id="1372538471">
      <w:bodyDiv w:val="1"/>
      <w:marLeft w:val="0"/>
      <w:marRight w:val="0"/>
      <w:marTop w:val="0"/>
      <w:marBottom w:val="0"/>
      <w:divBdr>
        <w:top w:val="none" w:sz="0" w:space="0" w:color="auto"/>
        <w:left w:val="none" w:sz="0" w:space="0" w:color="auto"/>
        <w:bottom w:val="none" w:sz="0" w:space="0" w:color="auto"/>
        <w:right w:val="none" w:sz="0" w:space="0" w:color="auto"/>
      </w:divBdr>
    </w:div>
    <w:div w:id="1375039363">
      <w:bodyDiv w:val="1"/>
      <w:marLeft w:val="0"/>
      <w:marRight w:val="0"/>
      <w:marTop w:val="0"/>
      <w:marBottom w:val="0"/>
      <w:divBdr>
        <w:top w:val="none" w:sz="0" w:space="0" w:color="auto"/>
        <w:left w:val="none" w:sz="0" w:space="0" w:color="auto"/>
        <w:bottom w:val="none" w:sz="0" w:space="0" w:color="auto"/>
        <w:right w:val="none" w:sz="0" w:space="0" w:color="auto"/>
      </w:divBdr>
    </w:div>
    <w:div w:id="1382250818">
      <w:bodyDiv w:val="1"/>
      <w:marLeft w:val="0"/>
      <w:marRight w:val="0"/>
      <w:marTop w:val="0"/>
      <w:marBottom w:val="0"/>
      <w:divBdr>
        <w:top w:val="none" w:sz="0" w:space="0" w:color="auto"/>
        <w:left w:val="none" w:sz="0" w:space="0" w:color="auto"/>
        <w:bottom w:val="none" w:sz="0" w:space="0" w:color="auto"/>
        <w:right w:val="none" w:sz="0" w:space="0" w:color="auto"/>
      </w:divBdr>
    </w:div>
    <w:div w:id="1388145667">
      <w:bodyDiv w:val="1"/>
      <w:marLeft w:val="0"/>
      <w:marRight w:val="0"/>
      <w:marTop w:val="0"/>
      <w:marBottom w:val="0"/>
      <w:divBdr>
        <w:top w:val="none" w:sz="0" w:space="0" w:color="auto"/>
        <w:left w:val="none" w:sz="0" w:space="0" w:color="auto"/>
        <w:bottom w:val="none" w:sz="0" w:space="0" w:color="auto"/>
        <w:right w:val="none" w:sz="0" w:space="0" w:color="auto"/>
      </w:divBdr>
    </w:div>
    <w:div w:id="1410616695">
      <w:bodyDiv w:val="1"/>
      <w:marLeft w:val="0"/>
      <w:marRight w:val="0"/>
      <w:marTop w:val="0"/>
      <w:marBottom w:val="0"/>
      <w:divBdr>
        <w:top w:val="none" w:sz="0" w:space="0" w:color="auto"/>
        <w:left w:val="none" w:sz="0" w:space="0" w:color="auto"/>
        <w:bottom w:val="none" w:sz="0" w:space="0" w:color="auto"/>
        <w:right w:val="none" w:sz="0" w:space="0" w:color="auto"/>
      </w:divBdr>
    </w:div>
    <w:div w:id="1415475731">
      <w:bodyDiv w:val="1"/>
      <w:marLeft w:val="0"/>
      <w:marRight w:val="0"/>
      <w:marTop w:val="0"/>
      <w:marBottom w:val="0"/>
      <w:divBdr>
        <w:top w:val="none" w:sz="0" w:space="0" w:color="auto"/>
        <w:left w:val="none" w:sz="0" w:space="0" w:color="auto"/>
        <w:bottom w:val="none" w:sz="0" w:space="0" w:color="auto"/>
        <w:right w:val="none" w:sz="0" w:space="0" w:color="auto"/>
      </w:divBdr>
    </w:div>
    <w:div w:id="1423604957">
      <w:bodyDiv w:val="1"/>
      <w:marLeft w:val="0"/>
      <w:marRight w:val="0"/>
      <w:marTop w:val="0"/>
      <w:marBottom w:val="0"/>
      <w:divBdr>
        <w:top w:val="none" w:sz="0" w:space="0" w:color="auto"/>
        <w:left w:val="none" w:sz="0" w:space="0" w:color="auto"/>
        <w:bottom w:val="none" w:sz="0" w:space="0" w:color="auto"/>
        <w:right w:val="none" w:sz="0" w:space="0" w:color="auto"/>
      </w:divBdr>
    </w:div>
    <w:div w:id="1440644804">
      <w:bodyDiv w:val="1"/>
      <w:marLeft w:val="0"/>
      <w:marRight w:val="0"/>
      <w:marTop w:val="0"/>
      <w:marBottom w:val="0"/>
      <w:divBdr>
        <w:top w:val="none" w:sz="0" w:space="0" w:color="auto"/>
        <w:left w:val="none" w:sz="0" w:space="0" w:color="auto"/>
        <w:bottom w:val="none" w:sz="0" w:space="0" w:color="auto"/>
        <w:right w:val="none" w:sz="0" w:space="0" w:color="auto"/>
      </w:divBdr>
      <w:divsChild>
        <w:div w:id="1276522602">
          <w:marLeft w:val="0"/>
          <w:marRight w:val="0"/>
          <w:marTop w:val="0"/>
          <w:marBottom w:val="0"/>
          <w:divBdr>
            <w:top w:val="none" w:sz="0" w:space="0" w:color="auto"/>
            <w:left w:val="none" w:sz="0" w:space="0" w:color="auto"/>
            <w:bottom w:val="none" w:sz="0" w:space="0" w:color="auto"/>
            <w:right w:val="none" w:sz="0" w:space="0" w:color="auto"/>
          </w:divBdr>
        </w:div>
      </w:divsChild>
    </w:div>
    <w:div w:id="1454668308">
      <w:bodyDiv w:val="1"/>
      <w:marLeft w:val="0"/>
      <w:marRight w:val="0"/>
      <w:marTop w:val="0"/>
      <w:marBottom w:val="0"/>
      <w:divBdr>
        <w:top w:val="none" w:sz="0" w:space="0" w:color="auto"/>
        <w:left w:val="none" w:sz="0" w:space="0" w:color="auto"/>
        <w:bottom w:val="none" w:sz="0" w:space="0" w:color="auto"/>
        <w:right w:val="none" w:sz="0" w:space="0" w:color="auto"/>
      </w:divBdr>
    </w:div>
    <w:div w:id="1467972283">
      <w:bodyDiv w:val="1"/>
      <w:marLeft w:val="0"/>
      <w:marRight w:val="0"/>
      <w:marTop w:val="0"/>
      <w:marBottom w:val="0"/>
      <w:divBdr>
        <w:top w:val="none" w:sz="0" w:space="0" w:color="auto"/>
        <w:left w:val="none" w:sz="0" w:space="0" w:color="auto"/>
        <w:bottom w:val="none" w:sz="0" w:space="0" w:color="auto"/>
        <w:right w:val="none" w:sz="0" w:space="0" w:color="auto"/>
      </w:divBdr>
    </w:div>
    <w:div w:id="1490445717">
      <w:bodyDiv w:val="1"/>
      <w:marLeft w:val="0"/>
      <w:marRight w:val="0"/>
      <w:marTop w:val="0"/>
      <w:marBottom w:val="0"/>
      <w:divBdr>
        <w:top w:val="none" w:sz="0" w:space="0" w:color="auto"/>
        <w:left w:val="none" w:sz="0" w:space="0" w:color="auto"/>
        <w:bottom w:val="none" w:sz="0" w:space="0" w:color="auto"/>
        <w:right w:val="none" w:sz="0" w:space="0" w:color="auto"/>
      </w:divBdr>
    </w:div>
    <w:div w:id="1548223567">
      <w:bodyDiv w:val="1"/>
      <w:marLeft w:val="0"/>
      <w:marRight w:val="0"/>
      <w:marTop w:val="0"/>
      <w:marBottom w:val="0"/>
      <w:divBdr>
        <w:top w:val="none" w:sz="0" w:space="0" w:color="auto"/>
        <w:left w:val="none" w:sz="0" w:space="0" w:color="auto"/>
        <w:bottom w:val="none" w:sz="0" w:space="0" w:color="auto"/>
        <w:right w:val="none" w:sz="0" w:space="0" w:color="auto"/>
      </w:divBdr>
    </w:div>
    <w:div w:id="1558973279">
      <w:bodyDiv w:val="1"/>
      <w:marLeft w:val="0"/>
      <w:marRight w:val="0"/>
      <w:marTop w:val="0"/>
      <w:marBottom w:val="0"/>
      <w:divBdr>
        <w:top w:val="none" w:sz="0" w:space="0" w:color="auto"/>
        <w:left w:val="none" w:sz="0" w:space="0" w:color="auto"/>
        <w:bottom w:val="none" w:sz="0" w:space="0" w:color="auto"/>
        <w:right w:val="none" w:sz="0" w:space="0" w:color="auto"/>
      </w:divBdr>
    </w:div>
    <w:div w:id="1578126271">
      <w:bodyDiv w:val="1"/>
      <w:marLeft w:val="0"/>
      <w:marRight w:val="0"/>
      <w:marTop w:val="0"/>
      <w:marBottom w:val="0"/>
      <w:divBdr>
        <w:top w:val="none" w:sz="0" w:space="0" w:color="auto"/>
        <w:left w:val="none" w:sz="0" w:space="0" w:color="auto"/>
        <w:bottom w:val="none" w:sz="0" w:space="0" w:color="auto"/>
        <w:right w:val="none" w:sz="0" w:space="0" w:color="auto"/>
      </w:divBdr>
    </w:div>
    <w:div w:id="1597129574">
      <w:bodyDiv w:val="1"/>
      <w:marLeft w:val="0"/>
      <w:marRight w:val="0"/>
      <w:marTop w:val="0"/>
      <w:marBottom w:val="0"/>
      <w:divBdr>
        <w:top w:val="none" w:sz="0" w:space="0" w:color="auto"/>
        <w:left w:val="none" w:sz="0" w:space="0" w:color="auto"/>
        <w:bottom w:val="none" w:sz="0" w:space="0" w:color="auto"/>
        <w:right w:val="none" w:sz="0" w:space="0" w:color="auto"/>
      </w:divBdr>
    </w:div>
    <w:div w:id="1598751544">
      <w:bodyDiv w:val="1"/>
      <w:marLeft w:val="0"/>
      <w:marRight w:val="0"/>
      <w:marTop w:val="0"/>
      <w:marBottom w:val="0"/>
      <w:divBdr>
        <w:top w:val="none" w:sz="0" w:space="0" w:color="auto"/>
        <w:left w:val="none" w:sz="0" w:space="0" w:color="auto"/>
        <w:bottom w:val="none" w:sz="0" w:space="0" w:color="auto"/>
        <w:right w:val="none" w:sz="0" w:space="0" w:color="auto"/>
      </w:divBdr>
    </w:div>
    <w:div w:id="1626616595">
      <w:bodyDiv w:val="1"/>
      <w:marLeft w:val="0"/>
      <w:marRight w:val="0"/>
      <w:marTop w:val="0"/>
      <w:marBottom w:val="0"/>
      <w:divBdr>
        <w:top w:val="none" w:sz="0" w:space="0" w:color="auto"/>
        <w:left w:val="none" w:sz="0" w:space="0" w:color="auto"/>
        <w:bottom w:val="none" w:sz="0" w:space="0" w:color="auto"/>
        <w:right w:val="none" w:sz="0" w:space="0" w:color="auto"/>
      </w:divBdr>
    </w:div>
    <w:div w:id="1636065439">
      <w:bodyDiv w:val="1"/>
      <w:marLeft w:val="0"/>
      <w:marRight w:val="0"/>
      <w:marTop w:val="0"/>
      <w:marBottom w:val="0"/>
      <w:divBdr>
        <w:top w:val="none" w:sz="0" w:space="0" w:color="auto"/>
        <w:left w:val="none" w:sz="0" w:space="0" w:color="auto"/>
        <w:bottom w:val="none" w:sz="0" w:space="0" w:color="auto"/>
        <w:right w:val="none" w:sz="0" w:space="0" w:color="auto"/>
      </w:divBdr>
    </w:div>
    <w:div w:id="1642152483">
      <w:bodyDiv w:val="1"/>
      <w:marLeft w:val="0"/>
      <w:marRight w:val="0"/>
      <w:marTop w:val="0"/>
      <w:marBottom w:val="0"/>
      <w:divBdr>
        <w:top w:val="none" w:sz="0" w:space="0" w:color="auto"/>
        <w:left w:val="none" w:sz="0" w:space="0" w:color="auto"/>
        <w:bottom w:val="none" w:sz="0" w:space="0" w:color="auto"/>
        <w:right w:val="none" w:sz="0" w:space="0" w:color="auto"/>
      </w:divBdr>
    </w:div>
    <w:div w:id="1649556086">
      <w:bodyDiv w:val="1"/>
      <w:marLeft w:val="0"/>
      <w:marRight w:val="0"/>
      <w:marTop w:val="0"/>
      <w:marBottom w:val="0"/>
      <w:divBdr>
        <w:top w:val="none" w:sz="0" w:space="0" w:color="auto"/>
        <w:left w:val="none" w:sz="0" w:space="0" w:color="auto"/>
        <w:bottom w:val="none" w:sz="0" w:space="0" w:color="auto"/>
        <w:right w:val="none" w:sz="0" w:space="0" w:color="auto"/>
      </w:divBdr>
    </w:div>
    <w:div w:id="1665812523">
      <w:bodyDiv w:val="1"/>
      <w:marLeft w:val="0"/>
      <w:marRight w:val="0"/>
      <w:marTop w:val="0"/>
      <w:marBottom w:val="0"/>
      <w:divBdr>
        <w:top w:val="none" w:sz="0" w:space="0" w:color="auto"/>
        <w:left w:val="none" w:sz="0" w:space="0" w:color="auto"/>
        <w:bottom w:val="none" w:sz="0" w:space="0" w:color="auto"/>
        <w:right w:val="none" w:sz="0" w:space="0" w:color="auto"/>
      </w:divBdr>
    </w:div>
    <w:div w:id="1702199281">
      <w:bodyDiv w:val="1"/>
      <w:marLeft w:val="0"/>
      <w:marRight w:val="0"/>
      <w:marTop w:val="0"/>
      <w:marBottom w:val="0"/>
      <w:divBdr>
        <w:top w:val="none" w:sz="0" w:space="0" w:color="auto"/>
        <w:left w:val="none" w:sz="0" w:space="0" w:color="auto"/>
        <w:bottom w:val="none" w:sz="0" w:space="0" w:color="auto"/>
        <w:right w:val="none" w:sz="0" w:space="0" w:color="auto"/>
      </w:divBdr>
    </w:div>
    <w:div w:id="1733305501">
      <w:bodyDiv w:val="1"/>
      <w:marLeft w:val="0"/>
      <w:marRight w:val="0"/>
      <w:marTop w:val="0"/>
      <w:marBottom w:val="0"/>
      <w:divBdr>
        <w:top w:val="none" w:sz="0" w:space="0" w:color="auto"/>
        <w:left w:val="none" w:sz="0" w:space="0" w:color="auto"/>
        <w:bottom w:val="none" w:sz="0" w:space="0" w:color="auto"/>
        <w:right w:val="none" w:sz="0" w:space="0" w:color="auto"/>
      </w:divBdr>
    </w:div>
    <w:div w:id="1752313273">
      <w:bodyDiv w:val="1"/>
      <w:marLeft w:val="0"/>
      <w:marRight w:val="0"/>
      <w:marTop w:val="0"/>
      <w:marBottom w:val="0"/>
      <w:divBdr>
        <w:top w:val="none" w:sz="0" w:space="0" w:color="auto"/>
        <w:left w:val="none" w:sz="0" w:space="0" w:color="auto"/>
        <w:bottom w:val="none" w:sz="0" w:space="0" w:color="auto"/>
        <w:right w:val="none" w:sz="0" w:space="0" w:color="auto"/>
      </w:divBdr>
    </w:div>
    <w:div w:id="1774744996">
      <w:bodyDiv w:val="1"/>
      <w:marLeft w:val="0"/>
      <w:marRight w:val="0"/>
      <w:marTop w:val="0"/>
      <w:marBottom w:val="0"/>
      <w:divBdr>
        <w:top w:val="none" w:sz="0" w:space="0" w:color="auto"/>
        <w:left w:val="none" w:sz="0" w:space="0" w:color="auto"/>
        <w:bottom w:val="none" w:sz="0" w:space="0" w:color="auto"/>
        <w:right w:val="none" w:sz="0" w:space="0" w:color="auto"/>
      </w:divBdr>
    </w:div>
    <w:div w:id="1785494730">
      <w:bodyDiv w:val="1"/>
      <w:marLeft w:val="0"/>
      <w:marRight w:val="0"/>
      <w:marTop w:val="0"/>
      <w:marBottom w:val="0"/>
      <w:divBdr>
        <w:top w:val="none" w:sz="0" w:space="0" w:color="auto"/>
        <w:left w:val="none" w:sz="0" w:space="0" w:color="auto"/>
        <w:bottom w:val="none" w:sz="0" w:space="0" w:color="auto"/>
        <w:right w:val="none" w:sz="0" w:space="0" w:color="auto"/>
      </w:divBdr>
    </w:div>
    <w:div w:id="1899045833">
      <w:bodyDiv w:val="1"/>
      <w:marLeft w:val="0"/>
      <w:marRight w:val="0"/>
      <w:marTop w:val="0"/>
      <w:marBottom w:val="0"/>
      <w:divBdr>
        <w:top w:val="none" w:sz="0" w:space="0" w:color="auto"/>
        <w:left w:val="none" w:sz="0" w:space="0" w:color="auto"/>
        <w:bottom w:val="none" w:sz="0" w:space="0" w:color="auto"/>
        <w:right w:val="none" w:sz="0" w:space="0" w:color="auto"/>
      </w:divBdr>
    </w:div>
    <w:div w:id="1985772489">
      <w:bodyDiv w:val="1"/>
      <w:marLeft w:val="0"/>
      <w:marRight w:val="0"/>
      <w:marTop w:val="0"/>
      <w:marBottom w:val="0"/>
      <w:divBdr>
        <w:top w:val="none" w:sz="0" w:space="0" w:color="auto"/>
        <w:left w:val="none" w:sz="0" w:space="0" w:color="auto"/>
        <w:bottom w:val="none" w:sz="0" w:space="0" w:color="auto"/>
        <w:right w:val="none" w:sz="0" w:space="0" w:color="auto"/>
      </w:divBdr>
    </w:div>
    <w:div w:id="2097558151">
      <w:bodyDiv w:val="1"/>
      <w:marLeft w:val="0"/>
      <w:marRight w:val="0"/>
      <w:marTop w:val="0"/>
      <w:marBottom w:val="0"/>
      <w:divBdr>
        <w:top w:val="none" w:sz="0" w:space="0" w:color="auto"/>
        <w:left w:val="none" w:sz="0" w:space="0" w:color="auto"/>
        <w:bottom w:val="none" w:sz="0" w:space="0" w:color="auto"/>
        <w:right w:val="none" w:sz="0" w:space="0" w:color="auto"/>
      </w:divBdr>
    </w:div>
    <w:div w:id="214126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eader" Target="header6.xml"/><Relationship Id="rId42" Type="http://schemas.openxmlformats.org/officeDocument/2006/relationships/chart" Target="charts/chart6.xml"/><Relationship Id="rId47" Type="http://schemas.openxmlformats.org/officeDocument/2006/relationships/chart" Target="charts/chart10.xml"/><Relationship Id="rId63" Type="http://schemas.openxmlformats.org/officeDocument/2006/relationships/chart" Target="charts/chart24.xml"/><Relationship Id="rId68" Type="http://schemas.openxmlformats.org/officeDocument/2006/relationships/chart" Target="charts/chart27.xml"/><Relationship Id="rId16" Type="http://schemas.openxmlformats.org/officeDocument/2006/relationships/hyperlink" Target="mailto:comunicacionsocial@inegi.org.mx" TargetMode="External"/><Relationship Id="rId11" Type="http://schemas.openxmlformats.org/officeDocument/2006/relationships/header" Target="header2.xml"/><Relationship Id="rId24" Type="http://schemas.openxmlformats.org/officeDocument/2006/relationships/image" Target="media/image2.jpeg"/><Relationship Id="rId32" Type="http://schemas.openxmlformats.org/officeDocument/2006/relationships/image" Target="media/image6.png"/><Relationship Id="rId37" Type="http://schemas.openxmlformats.org/officeDocument/2006/relationships/chart" Target="charts/chart2.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chart" Target="charts/chart15.xml"/><Relationship Id="rId58" Type="http://schemas.openxmlformats.org/officeDocument/2006/relationships/chart" Target="charts/chart19.xml"/><Relationship Id="rId66" Type="http://schemas.openxmlformats.org/officeDocument/2006/relationships/chart" Target="charts/chart25.xml"/><Relationship Id="rId74" Type="http://schemas.openxmlformats.org/officeDocument/2006/relationships/chart" Target="charts/chart3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22.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s://twitter.com/INEGI_INFORMA" TargetMode="External"/><Relationship Id="rId30" Type="http://schemas.openxmlformats.org/officeDocument/2006/relationships/image" Target="media/image5.jpeg"/><Relationship Id="rId35" Type="http://schemas.openxmlformats.org/officeDocument/2006/relationships/chart" Target="charts/chart1.xml"/><Relationship Id="rId43" Type="http://schemas.openxmlformats.org/officeDocument/2006/relationships/chart" Target="charts/chart7.xml"/><Relationship Id="rId48" Type="http://schemas.openxmlformats.org/officeDocument/2006/relationships/chart" Target="charts/chart11.xml"/><Relationship Id="rId56" Type="http://schemas.openxmlformats.org/officeDocument/2006/relationships/chart" Target="charts/chart18.xml"/><Relationship Id="rId64" Type="http://schemas.openxmlformats.org/officeDocument/2006/relationships/image" Target="media/image12.png"/><Relationship Id="rId69" Type="http://schemas.openxmlformats.org/officeDocument/2006/relationships/chart" Target="charts/chart28.xml"/><Relationship Id="rId77" Type="http://schemas.openxmlformats.org/officeDocument/2006/relationships/hyperlink" Target="https://www.inegi.org.mx/programas/cndhe/2021/" TargetMode="External"/><Relationship Id="rId8" Type="http://schemas.openxmlformats.org/officeDocument/2006/relationships/hyperlink" Target="https://www.inegi.org.mx/programas/cndhf/2021/" TargetMode="External"/><Relationship Id="rId51" Type="http://schemas.openxmlformats.org/officeDocument/2006/relationships/image" Target="media/image10.png"/><Relationship Id="rId72" Type="http://schemas.openxmlformats.org/officeDocument/2006/relationships/chart" Target="charts/chart30.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instagram.com/inegi_informa/" TargetMode="External"/><Relationship Id="rId33" Type="http://schemas.openxmlformats.org/officeDocument/2006/relationships/hyperlink" Target="https://www.inegi.org.mx/programas/cndhf/2021/" TargetMode="External"/><Relationship Id="rId38" Type="http://schemas.openxmlformats.org/officeDocument/2006/relationships/chart" Target="charts/chart3.xml"/><Relationship Id="rId46" Type="http://schemas.openxmlformats.org/officeDocument/2006/relationships/image" Target="media/image9.png"/><Relationship Id="rId59" Type="http://schemas.openxmlformats.org/officeDocument/2006/relationships/chart" Target="charts/chart20.xml"/><Relationship Id="rId67" Type="http://schemas.openxmlformats.org/officeDocument/2006/relationships/chart" Target="charts/chart26.xml"/><Relationship Id="rId20" Type="http://schemas.openxmlformats.org/officeDocument/2006/relationships/footer" Target="footer5.xml"/><Relationship Id="rId41" Type="http://schemas.openxmlformats.org/officeDocument/2006/relationships/chart" Target="charts/chart5.xml"/><Relationship Id="rId54" Type="http://schemas.openxmlformats.org/officeDocument/2006/relationships/chart" Target="charts/chart16.xml"/><Relationship Id="rId62" Type="http://schemas.openxmlformats.org/officeDocument/2006/relationships/chart" Target="charts/chart23.xml"/><Relationship Id="rId70" Type="http://schemas.openxmlformats.org/officeDocument/2006/relationships/image" Target="media/image14.png"/><Relationship Id="rId75"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facebook.com/INEGIInforma/" TargetMode="External"/><Relationship Id="rId28" Type="http://schemas.openxmlformats.org/officeDocument/2006/relationships/image" Target="media/image4.jpeg"/><Relationship Id="rId36" Type="http://schemas.openxmlformats.org/officeDocument/2006/relationships/image" Target="media/image7.png"/><Relationship Id="rId49" Type="http://schemas.openxmlformats.org/officeDocument/2006/relationships/chart" Target="charts/chart12.xml"/><Relationship Id="rId57" Type="http://schemas.openxmlformats.org/officeDocument/2006/relationships/image" Target="media/image11.png"/><Relationship Id="rId10" Type="http://schemas.openxmlformats.org/officeDocument/2006/relationships/header" Target="header1.xml"/><Relationship Id="rId31" Type="http://schemas.openxmlformats.org/officeDocument/2006/relationships/hyperlink" Target="http://www.inegi.org.mx/" TargetMode="External"/><Relationship Id="rId44" Type="http://schemas.openxmlformats.org/officeDocument/2006/relationships/chart" Target="charts/chart8.xml"/><Relationship Id="rId52" Type="http://schemas.openxmlformats.org/officeDocument/2006/relationships/chart" Target="charts/chart14.xml"/><Relationship Id="rId60" Type="http://schemas.openxmlformats.org/officeDocument/2006/relationships/chart" Target="charts/chart21.xml"/><Relationship Id="rId65" Type="http://schemas.openxmlformats.org/officeDocument/2006/relationships/image" Target="media/image13.png"/><Relationship Id="rId73" Type="http://schemas.openxmlformats.org/officeDocument/2006/relationships/chart" Target="charts/chart31.xml"/><Relationship Id="rId78"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s://www.inegi.org.mx/programas/cndhe/2021/" TargetMode="Externa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8.png"/><Relationship Id="rId34" Type="http://schemas.openxmlformats.org/officeDocument/2006/relationships/hyperlink" Target="https://www.inegi.org.mx/programas/cndhe/2021/" TargetMode="External"/><Relationship Id="rId50" Type="http://schemas.openxmlformats.org/officeDocument/2006/relationships/chart" Target="charts/chart13.xml"/><Relationship Id="rId55" Type="http://schemas.openxmlformats.org/officeDocument/2006/relationships/chart" Target="charts/chart17.xml"/><Relationship Id="rId76" Type="http://schemas.openxmlformats.org/officeDocument/2006/relationships/hyperlink" Target="https://www.inegi.org.mx/programas/cndhf/2021/" TargetMode="External"/><Relationship Id="rId7" Type="http://schemas.openxmlformats.org/officeDocument/2006/relationships/endnotes" Target="endnotes.xml"/><Relationship Id="rId71" Type="http://schemas.openxmlformats.org/officeDocument/2006/relationships/chart" Target="charts/chart29.xml"/><Relationship Id="rId2" Type="http://schemas.openxmlformats.org/officeDocument/2006/relationships/numbering" Target="numbering.xml"/><Relationship Id="rId29" Type="http://schemas.openxmlformats.org/officeDocument/2006/relationships/hyperlink" Target="https://www.youtube.com/user/INEGIInform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riana.callejas\Desktop\Censos_2021\DH_2021\BD%20CNDHF-E_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riana.callejas\Desktop\Censos_2021\DH_2021\BD%20CNDHF-E_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365inegi-my.sharepoint.com/personal/alma_patricio_inegi_org_mx/Documents/Documents/Censos_2021/CNDHF_2021/Excel/BD%20CNDHF-E_20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adriana.callejas\AppData\Local\Microsoft\Windows\INetCache\Content.Outlook\7CXYQ67K\BASECNDHEF.xlsx" TargetMode="External"/><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a.medina\AppData\Local\Microsoft\Windows\INetCache\Content.Outlook\4IGRN0WA\datos_personal_funcion_dh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riana.callejas\Desktop\Censos_2021\DH_2021\BD_DHF-E_20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UAdmvas!$Q$5</c:f>
              <c:strCache>
                <c:ptCount val="1"/>
                <c:pt idx="0">
                  <c:v>Unidades administrativas</c:v>
                </c:pt>
              </c:strCache>
            </c:strRef>
          </c:tx>
          <c:spPr>
            <a:solidFill>
              <a:srgbClr val="EAC479"/>
            </a:solidFill>
            <a:ln>
              <a:noFill/>
            </a:ln>
            <a:effectLst>
              <a:outerShdw blurRad="50800" dist="38100" dir="2700000" algn="tl" rotWithShape="0">
                <a:prstClr val="black">
                  <a:alpha val="40000"/>
                </a:prstClr>
              </a:outerShdw>
            </a:effectLst>
          </c:spPr>
          <c:invertIfNegative val="0"/>
          <c:dPt>
            <c:idx val="0"/>
            <c:invertIfNegative val="0"/>
            <c:bubble3D val="0"/>
            <c:spPr>
              <a:solidFill>
                <a:schemeClr val="accent3"/>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6B42-4B34-895F-3746CF4F7E14}"/>
              </c:ext>
            </c:extLst>
          </c:dPt>
          <c:dPt>
            <c:idx val="20"/>
            <c:invertIfNegative val="0"/>
            <c:bubble3D val="0"/>
            <c:spPr>
              <a:solidFill>
                <a:srgbClr val="C29B6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6B42-4B34-895F-3746CF4F7E14}"/>
              </c:ext>
            </c:extLst>
          </c:dPt>
          <c:dLbls>
            <c:dLbl>
              <c:idx val="0"/>
              <c:tx>
                <c:rich>
                  <a:bodyPr/>
                  <a:lstStyle/>
                  <a:p>
                    <a:r>
                      <a:rPr lang="en-US"/>
                      <a:t>4.5%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42-4B34-895F-3746CF4F7E14}"/>
                </c:ext>
              </c:extLst>
            </c:dLbl>
            <c:dLbl>
              <c:idx val="20"/>
              <c:spPr>
                <a:noFill/>
                <a:ln>
                  <a:noFill/>
                </a:ln>
                <a:effectLst/>
              </c:spPr>
              <c:txPr>
                <a:bodyPr rot="0" spcFirstLastPara="1" vertOverflow="ellipsis" vert="horz" wrap="square" anchor="ctr" anchorCtr="1"/>
                <a:lstStyle/>
                <a:p>
                  <a:pPr>
                    <a:defRPr sz="900" b="1" i="0" u="none" strike="noStrike" kern="1200" baseline="0">
                      <a:solidFill>
                        <a:srgbClr val="40404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3-6B42-4B34-895F-3746CF4F7E14}"/>
                </c:ext>
              </c:extLst>
            </c:dLbl>
            <c:spPr>
              <a:noFill/>
              <a:ln>
                <a:noFill/>
              </a:ln>
              <a:effectLst/>
            </c:spPr>
            <c:txPr>
              <a:bodyPr rot="0" spcFirstLastPara="1" vertOverflow="ellipsis" vert="horz" wrap="square" anchor="ctr" anchorCtr="1"/>
              <a:lstStyle/>
              <a:p>
                <a:pPr>
                  <a:defRPr sz="900" b="0" i="0" u="none" strike="noStrike" kern="1200" baseline="0">
                    <a:solidFill>
                      <a:srgbClr val="40404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UAdmvas!$O$6:$O$26</c:f>
              <c:strCache>
                <c:ptCount val="21"/>
                <c:pt idx="0">
                  <c:v>Otra función</c:v>
                </c:pt>
                <c:pt idx="1">
                  <c:v>Publicaciones</c:v>
                </c:pt>
                <c:pt idx="2">
                  <c:v>Servicios periciales o servicio médico forense</c:v>
                </c:pt>
                <c:pt idx="3">
                  <c:v>Igualdad de género</c:v>
                </c:pt>
                <c:pt idx="4">
                  <c:v>Atención directa a víctimas</c:v>
                </c:pt>
                <c:pt idx="5">
                  <c:v>Archivos y gestión documental</c:v>
                </c:pt>
                <c:pt idx="6">
                  <c:v>Capacitación, formación y evaluación del personal</c:v>
                </c:pt>
                <c:pt idx="7">
                  <c:v>Planeación y evaluación</c:v>
                </c:pt>
                <c:pt idx="8">
                  <c:v>Seguimiento de recomendaciones</c:v>
                </c:pt>
                <c:pt idx="9">
                  <c:v>Asuntos jurídicos</c:v>
                </c:pt>
                <c:pt idx="10">
                  <c:v>Informática y tecnologías de la información </c:v>
                </c:pt>
                <c:pt idx="11">
                  <c:v>Acceso a la información pública*</c:v>
                </c:pt>
                <c:pt idx="12">
                  <c:v>Investigación o estudios en materia de derechos humanos</c:v>
                </c:pt>
                <c:pt idx="13">
                  <c:v>Vinculación y promoción con la sociedad</c:v>
                </c:pt>
                <c:pt idx="14">
                  <c:v>Secretaría técnica</c:v>
                </c:pt>
                <c:pt idx="15">
                  <c:v>Comunicación social y difusión</c:v>
                </c:pt>
                <c:pt idx="16">
                  <c:v>Quejas, orientación y gestoría</c:v>
                </c:pt>
                <c:pt idx="17">
                  <c:v>Secretaría ejecutiva</c:v>
                </c:pt>
                <c:pt idx="18">
                  <c:v>Contraloría interna</c:v>
                </c:pt>
                <c:pt idx="19">
                  <c:v>Apoyo a Presidencia</c:v>
                </c:pt>
                <c:pt idx="20">
                  <c:v>Administración y finanzas</c:v>
                </c:pt>
              </c:strCache>
            </c:strRef>
          </c:cat>
          <c:val>
            <c:numRef>
              <c:f>UAdmvas!$P$6:$P$26</c:f>
              <c:numCache>
                <c:formatCode>0.0%</c:formatCode>
                <c:ptCount val="21"/>
                <c:pt idx="0">
                  <c:v>4.5751633986928102E-2</c:v>
                </c:pt>
                <c:pt idx="1">
                  <c:v>6.5359477124183009E-3</c:v>
                </c:pt>
                <c:pt idx="2">
                  <c:v>6.5359477124183009E-3</c:v>
                </c:pt>
                <c:pt idx="3">
                  <c:v>2.178649237472767E-2</c:v>
                </c:pt>
                <c:pt idx="4">
                  <c:v>2.8322440087145968E-2</c:v>
                </c:pt>
                <c:pt idx="5">
                  <c:v>3.2679738562091505E-2</c:v>
                </c:pt>
                <c:pt idx="6">
                  <c:v>3.4858387799564274E-2</c:v>
                </c:pt>
                <c:pt idx="7">
                  <c:v>3.4858387799564274E-2</c:v>
                </c:pt>
                <c:pt idx="8">
                  <c:v>3.7037037037037035E-2</c:v>
                </c:pt>
                <c:pt idx="9">
                  <c:v>3.9215686274509803E-2</c:v>
                </c:pt>
                <c:pt idx="10">
                  <c:v>3.9215686274509803E-2</c:v>
                </c:pt>
                <c:pt idx="11">
                  <c:v>4.357298474945534E-2</c:v>
                </c:pt>
                <c:pt idx="12">
                  <c:v>4.5751633986928102E-2</c:v>
                </c:pt>
                <c:pt idx="13">
                  <c:v>5.2287581699346407E-2</c:v>
                </c:pt>
                <c:pt idx="14">
                  <c:v>5.4466230936819175E-2</c:v>
                </c:pt>
                <c:pt idx="15">
                  <c:v>6.535947712418301E-2</c:v>
                </c:pt>
                <c:pt idx="16">
                  <c:v>6.7538126361655779E-2</c:v>
                </c:pt>
                <c:pt idx="17">
                  <c:v>7.407407407407407E-2</c:v>
                </c:pt>
                <c:pt idx="18">
                  <c:v>7.8431372549019607E-2</c:v>
                </c:pt>
                <c:pt idx="19">
                  <c:v>8.2788671023965144E-2</c:v>
                </c:pt>
                <c:pt idx="20">
                  <c:v>0.10893246187363835</c:v>
                </c:pt>
              </c:numCache>
            </c:numRef>
          </c:val>
          <c:extLst>
            <c:ext xmlns:c16="http://schemas.microsoft.com/office/drawing/2014/chart" uri="{C3380CC4-5D6E-409C-BE32-E72D297353CC}">
              <c16:uniqueId val="{00000004-6B42-4B34-895F-3746CF4F7E14}"/>
            </c:ext>
          </c:extLst>
        </c:ser>
        <c:dLbls>
          <c:dLblPos val="outEnd"/>
          <c:showLegendKey val="0"/>
          <c:showVal val="1"/>
          <c:showCatName val="0"/>
          <c:showSerName val="0"/>
          <c:showPercent val="0"/>
          <c:showBubbleSize val="0"/>
        </c:dLbls>
        <c:gapWidth val="50"/>
        <c:axId val="1912184431"/>
        <c:axId val="1912191503"/>
      </c:barChart>
      <c:catAx>
        <c:axId val="19121844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rgbClr val="404040"/>
                </a:solidFill>
                <a:latin typeface="Arial" panose="020B0604020202020204" pitchFamily="34" charset="0"/>
                <a:ea typeface="+mn-ea"/>
                <a:cs typeface="Arial" panose="020B0604020202020204" pitchFamily="34" charset="0"/>
              </a:defRPr>
            </a:pPr>
            <a:endParaRPr lang="es-MX"/>
          </a:p>
        </c:txPr>
        <c:crossAx val="1912191503"/>
        <c:crosses val="autoZero"/>
        <c:auto val="1"/>
        <c:lblAlgn val="ctr"/>
        <c:lblOffset val="100"/>
        <c:noMultiLvlLbl val="0"/>
      </c:catAx>
      <c:valAx>
        <c:axId val="1912191503"/>
        <c:scaling>
          <c:orientation val="minMax"/>
        </c:scaling>
        <c:delete val="1"/>
        <c:axPos val="b"/>
        <c:numFmt formatCode="0.0%" sourceLinked="1"/>
        <c:majorTickMark val="none"/>
        <c:minorTickMark val="none"/>
        <c:tickLblPos val="nextTo"/>
        <c:crossAx val="19121844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40404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36777838115065"/>
          <c:y val="3.0399336741743818E-2"/>
          <c:w val="0.87563222161884935"/>
          <c:h val="0.8785421374628849"/>
        </c:manualLayout>
      </c:layout>
      <c:barChart>
        <c:barDir val="bar"/>
        <c:grouping val="stacked"/>
        <c:varyColors val="0"/>
        <c:ser>
          <c:idx val="0"/>
          <c:order val="0"/>
          <c:tx>
            <c:strRef>
              <c:f>'m1'!$E$387</c:f>
              <c:strCache>
                <c:ptCount val="1"/>
                <c:pt idx="0">
                  <c:v>Hombres</c:v>
                </c:pt>
              </c:strCache>
            </c:strRef>
          </c:tx>
          <c:spPr>
            <a:solidFill>
              <a:srgbClr val="87AD8A"/>
            </a:solidFill>
            <a:ln>
              <a:noFill/>
            </a:ln>
            <a:effectLst>
              <a:outerShdw blurRad="50800" dist="38100" dir="2700000" algn="tl" rotWithShape="0">
                <a:prstClr val="black">
                  <a:alpha val="40000"/>
                </a:prst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E4E-404B-AC07-D52AEA595695}"/>
                </c:ext>
              </c:extLst>
            </c:dLbl>
            <c:dLbl>
              <c:idx val="1"/>
              <c:delete val="1"/>
              <c:extLst>
                <c:ext xmlns:c15="http://schemas.microsoft.com/office/drawing/2012/chart" uri="{CE6537A1-D6FC-4f65-9D91-7224C49458BB}"/>
                <c:ext xmlns:c16="http://schemas.microsoft.com/office/drawing/2014/chart" uri="{C3380CC4-5D6E-409C-BE32-E72D297353CC}">
                  <c16:uniqueId val="{00000001-CE4E-404B-AC07-D52AEA595695}"/>
                </c:ext>
              </c:extLst>
            </c:dLbl>
            <c:dLbl>
              <c:idx val="2"/>
              <c:delete val="1"/>
              <c:extLst>
                <c:ext xmlns:c15="http://schemas.microsoft.com/office/drawing/2012/chart" uri="{CE6537A1-D6FC-4f65-9D91-7224C49458BB}"/>
                <c:ext xmlns:c16="http://schemas.microsoft.com/office/drawing/2014/chart" uri="{C3380CC4-5D6E-409C-BE32-E72D297353CC}">
                  <c16:uniqueId val="{00000002-CE4E-404B-AC07-D52AEA595695}"/>
                </c:ext>
              </c:extLst>
            </c:dLbl>
            <c:dLbl>
              <c:idx val="3"/>
              <c:delete val="1"/>
              <c:extLst>
                <c:ext xmlns:c15="http://schemas.microsoft.com/office/drawing/2012/chart" uri="{CE6537A1-D6FC-4f65-9D91-7224C49458BB}"/>
                <c:ext xmlns:c16="http://schemas.microsoft.com/office/drawing/2014/chart" uri="{C3380CC4-5D6E-409C-BE32-E72D297353CC}">
                  <c16:uniqueId val="{00000003-CE4E-404B-AC07-D52AEA595695}"/>
                </c:ext>
              </c:extLst>
            </c:dLbl>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'm1'!$A$388:$A$419</c:f>
              <c:strCache>
                <c:ptCount val="32"/>
                <c:pt idx="0">
                  <c:v>AGS</c:v>
                </c:pt>
                <c:pt idx="1">
                  <c:v>BC</c:v>
                </c:pt>
                <c:pt idx="2">
                  <c:v>CHIH</c:v>
                </c:pt>
                <c:pt idx="3">
                  <c:v>QRO</c:v>
                </c:pt>
                <c:pt idx="4">
                  <c:v>ZAC</c:v>
                </c:pt>
                <c:pt idx="5">
                  <c:v>DGO</c:v>
                </c:pt>
                <c:pt idx="6">
                  <c:v>SLP</c:v>
                </c:pt>
                <c:pt idx="7">
                  <c:v>TAMPS</c:v>
                </c:pt>
                <c:pt idx="8">
                  <c:v>OAX</c:v>
                </c:pt>
                <c:pt idx="9">
                  <c:v>CHIS</c:v>
                </c:pt>
                <c:pt idx="10">
                  <c:v>MEX</c:v>
                </c:pt>
                <c:pt idx="11">
                  <c:v>BCS</c:v>
                </c:pt>
                <c:pt idx="12">
                  <c:v>HGO</c:v>
                </c:pt>
                <c:pt idx="13">
                  <c:v>CDMX</c:v>
                </c:pt>
                <c:pt idx="14">
                  <c:v>GTO</c:v>
                </c:pt>
                <c:pt idx="15">
                  <c:v>SIN</c:v>
                </c:pt>
                <c:pt idx="16">
                  <c:v>COAH</c:v>
                </c:pt>
                <c:pt idx="17">
                  <c:v>CAMP</c:v>
                </c:pt>
                <c:pt idx="18">
                  <c:v>COL</c:v>
                </c:pt>
                <c:pt idx="19">
                  <c:v>MOR</c:v>
                </c:pt>
                <c:pt idx="20">
                  <c:v>NL</c:v>
                </c:pt>
                <c:pt idx="21">
                  <c:v>PUE</c:v>
                </c:pt>
                <c:pt idx="22">
                  <c:v>TLAX</c:v>
                </c:pt>
                <c:pt idx="23">
                  <c:v>VER</c:v>
                </c:pt>
                <c:pt idx="24">
                  <c:v>TAB</c:v>
                </c:pt>
                <c:pt idx="25">
                  <c:v>SON</c:v>
                </c:pt>
                <c:pt idx="26">
                  <c:v>YUC</c:v>
                </c:pt>
                <c:pt idx="27">
                  <c:v>GRO</c:v>
                </c:pt>
                <c:pt idx="28">
                  <c:v>JAL</c:v>
                </c:pt>
                <c:pt idx="29">
                  <c:v>MICH</c:v>
                </c:pt>
                <c:pt idx="30">
                  <c:v>NAY</c:v>
                </c:pt>
                <c:pt idx="31">
                  <c:v>QROO</c:v>
                </c:pt>
              </c:strCache>
            </c:strRef>
          </c:cat>
          <c:val>
            <c:numRef>
              <c:f>'m1'!$E$388:$E$419</c:f>
              <c:numCache>
                <c:formatCode>0.0%</c:formatCode>
                <c:ptCount val="32"/>
                <c:pt idx="0">
                  <c:v>0</c:v>
                </c:pt>
                <c:pt idx="1">
                  <c:v>0</c:v>
                </c:pt>
                <c:pt idx="2">
                  <c:v>0</c:v>
                </c:pt>
                <c:pt idx="3">
                  <c:v>0</c:v>
                </c:pt>
                <c:pt idx="4">
                  <c:v>0.21428571428571427</c:v>
                </c:pt>
                <c:pt idx="5">
                  <c:v>0.25</c:v>
                </c:pt>
                <c:pt idx="6">
                  <c:v>0.33333333333333331</c:v>
                </c:pt>
                <c:pt idx="7">
                  <c:v>0.375</c:v>
                </c:pt>
                <c:pt idx="8">
                  <c:v>0.40740740740740738</c:v>
                </c:pt>
                <c:pt idx="9">
                  <c:v>0.41666666666666669</c:v>
                </c:pt>
                <c:pt idx="10">
                  <c:v>0.48484848484848486</c:v>
                </c:pt>
                <c:pt idx="11">
                  <c:v>0.5</c:v>
                </c:pt>
                <c:pt idx="12">
                  <c:v>0.58823529411764708</c:v>
                </c:pt>
                <c:pt idx="13">
                  <c:v>0.6</c:v>
                </c:pt>
                <c:pt idx="14">
                  <c:v>0.6</c:v>
                </c:pt>
                <c:pt idx="15">
                  <c:v>0.6</c:v>
                </c:pt>
                <c:pt idx="16">
                  <c:v>0.625</c:v>
                </c:pt>
                <c:pt idx="17">
                  <c:v>0.66666666666666663</c:v>
                </c:pt>
                <c:pt idx="18">
                  <c:v>0.66666666666666663</c:v>
                </c:pt>
                <c:pt idx="19">
                  <c:v>0.66666666666666663</c:v>
                </c:pt>
                <c:pt idx="20">
                  <c:v>0.66666666666666663</c:v>
                </c:pt>
                <c:pt idx="21">
                  <c:v>0.66666666666666663</c:v>
                </c:pt>
                <c:pt idx="22">
                  <c:v>0.66666666666666663</c:v>
                </c:pt>
                <c:pt idx="23">
                  <c:v>0.70588235294117652</c:v>
                </c:pt>
                <c:pt idx="24">
                  <c:v>0.75</c:v>
                </c:pt>
                <c:pt idx="25">
                  <c:v>0.8125</c:v>
                </c:pt>
                <c:pt idx="26">
                  <c:v>0.8571428571428571</c:v>
                </c:pt>
                <c:pt idx="27">
                  <c:v>0.88888888888888884</c:v>
                </c:pt>
                <c:pt idx="28">
                  <c:v>1</c:v>
                </c:pt>
                <c:pt idx="29">
                  <c:v>1</c:v>
                </c:pt>
                <c:pt idx="30">
                  <c:v>1</c:v>
                </c:pt>
                <c:pt idx="31">
                  <c:v>1</c:v>
                </c:pt>
              </c:numCache>
            </c:numRef>
          </c:val>
          <c:extLst>
            <c:ext xmlns:c16="http://schemas.microsoft.com/office/drawing/2014/chart" uri="{C3380CC4-5D6E-409C-BE32-E72D297353CC}">
              <c16:uniqueId val="{00000004-CE4E-404B-AC07-D52AEA595695}"/>
            </c:ext>
          </c:extLst>
        </c:ser>
        <c:ser>
          <c:idx val="1"/>
          <c:order val="1"/>
          <c:tx>
            <c:strRef>
              <c:f>'m1'!$F$387</c:f>
              <c:strCache>
                <c:ptCount val="1"/>
                <c:pt idx="0">
                  <c:v>Mujeres</c:v>
                </c:pt>
              </c:strCache>
            </c:strRef>
          </c:tx>
          <c:spPr>
            <a:solidFill>
              <a:srgbClr val="EAC479"/>
            </a:solidFill>
            <a:ln>
              <a:noFill/>
            </a:ln>
            <a:effectLst>
              <a:outerShdw blurRad="50800" dist="38100" dir="2700000" algn="tl" rotWithShape="0">
                <a:prstClr val="black">
                  <a:alpha val="40000"/>
                </a:prstClr>
              </a:outerShdw>
            </a:effectLst>
          </c:spPr>
          <c:invertIfNegative val="0"/>
          <c:dLbls>
            <c:dLbl>
              <c:idx val="28"/>
              <c:delete val="1"/>
              <c:extLst>
                <c:ext xmlns:c15="http://schemas.microsoft.com/office/drawing/2012/chart" uri="{CE6537A1-D6FC-4f65-9D91-7224C49458BB}"/>
                <c:ext xmlns:c16="http://schemas.microsoft.com/office/drawing/2014/chart" uri="{C3380CC4-5D6E-409C-BE32-E72D297353CC}">
                  <c16:uniqueId val="{00000005-CE4E-404B-AC07-D52AEA595695}"/>
                </c:ext>
              </c:extLst>
            </c:dLbl>
            <c:dLbl>
              <c:idx val="29"/>
              <c:delete val="1"/>
              <c:extLst>
                <c:ext xmlns:c15="http://schemas.microsoft.com/office/drawing/2012/chart" uri="{CE6537A1-D6FC-4f65-9D91-7224C49458BB}"/>
                <c:ext xmlns:c16="http://schemas.microsoft.com/office/drawing/2014/chart" uri="{C3380CC4-5D6E-409C-BE32-E72D297353CC}">
                  <c16:uniqueId val="{00000006-CE4E-404B-AC07-D52AEA595695}"/>
                </c:ext>
              </c:extLst>
            </c:dLbl>
            <c:dLbl>
              <c:idx val="30"/>
              <c:delete val="1"/>
              <c:extLst>
                <c:ext xmlns:c15="http://schemas.microsoft.com/office/drawing/2012/chart" uri="{CE6537A1-D6FC-4f65-9D91-7224C49458BB}"/>
                <c:ext xmlns:c16="http://schemas.microsoft.com/office/drawing/2014/chart" uri="{C3380CC4-5D6E-409C-BE32-E72D297353CC}">
                  <c16:uniqueId val="{00000007-CE4E-404B-AC07-D52AEA595695}"/>
                </c:ext>
              </c:extLst>
            </c:dLbl>
            <c:dLbl>
              <c:idx val="31"/>
              <c:delete val="1"/>
              <c:extLst>
                <c:ext xmlns:c15="http://schemas.microsoft.com/office/drawing/2012/chart" uri="{CE6537A1-D6FC-4f65-9D91-7224C49458BB}"/>
                <c:ext xmlns:c16="http://schemas.microsoft.com/office/drawing/2014/chart" uri="{C3380CC4-5D6E-409C-BE32-E72D297353CC}">
                  <c16:uniqueId val="{00000008-CE4E-404B-AC07-D52AEA595695}"/>
                </c:ext>
              </c:extLst>
            </c:dLbl>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'm1'!$A$388:$A$419</c:f>
              <c:strCache>
                <c:ptCount val="32"/>
                <c:pt idx="0">
                  <c:v>AGS</c:v>
                </c:pt>
                <c:pt idx="1">
                  <c:v>BC</c:v>
                </c:pt>
                <c:pt idx="2">
                  <c:v>CHIH</c:v>
                </c:pt>
                <c:pt idx="3">
                  <c:v>QRO</c:v>
                </c:pt>
                <c:pt idx="4">
                  <c:v>ZAC</c:v>
                </c:pt>
                <c:pt idx="5">
                  <c:v>DGO</c:v>
                </c:pt>
                <c:pt idx="6">
                  <c:v>SLP</c:v>
                </c:pt>
                <c:pt idx="7">
                  <c:v>TAMPS</c:v>
                </c:pt>
                <c:pt idx="8">
                  <c:v>OAX</c:v>
                </c:pt>
                <c:pt idx="9">
                  <c:v>CHIS</c:v>
                </c:pt>
                <c:pt idx="10">
                  <c:v>MEX</c:v>
                </c:pt>
                <c:pt idx="11">
                  <c:v>BCS</c:v>
                </c:pt>
                <c:pt idx="12">
                  <c:v>HGO</c:v>
                </c:pt>
                <c:pt idx="13">
                  <c:v>CDMX</c:v>
                </c:pt>
                <c:pt idx="14">
                  <c:v>GTO</c:v>
                </c:pt>
                <c:pt idx="15">
                  <c:v>SIN</c:v>
                </c:pt>
                <c:pt idx="16">
                  <c:v>COAH</c:v>
                </c:pt>
                <c:pt idx="17">
                  <c:v>CAMP</c:v>
                </c:pt>
                <c:pt idx="18">
                  <c:v>COL</c:v>
                </c:pt>
                <c:pt idx="19">
                  <c:v>MOR</c:v>
                </c:pt>
                <c:pt idx="20">
                  <c:v>NL</c:v>
                </c:pt>
                <c:pt idx="21">
                  <c:v>PUE</c:v>
                </c:pt>
                <c:pt idx="22">
                  <c:v>TLAX</c:v>
                </c:pt>
                <c:pt idx="23">
                  <c:v>VER</c:v>
                </c:pt>
                <c:pt idx="24">
                  <c:v>TAB</c:v>
                </c:pt>
                <c:pt idx="25">
                  <c:v>SON</c:v>
                </c:pt>
                <c:pt idx="26">
                  <c:v>YUC</c:v>
                </c:pt>
                <c:pt idx="27">
                  <c:v>GRO</c:v>
                </c:pt>
                <c:pt idx="28">
                  <c:v>JAL</c:v>
                </c:pt>
                <c:pt idx="29">
                  <c:v>MICH</c:v>
                </c:pt>
                <c:pt idx="30">
                  <c:v>NAY</c:v>
                </c:pt>
                <c:pt idx="31">
                  <c:v>QROO</c:v>
                </c:pt>
              </c:strCache>
            </c:strRef>
          </c:cat>
          <c:val>
            <c:numRef>
              <c:f>'m1'!$F$388:$F$419</c:f>
              <c:numCache>
                <c:formatCode>0.0%</c:formatCode>
                <c:ptCount val="32"/>
                <c:pt idx="0">
                  <c:v>1</c:v>
                </c:pt>
                <c:pt idx="1">
                  <c:v>1</c:v>
                </c:pt>
                <c:pt idx="2">
                  <c:v>1</c:v>
                </c:pt>
                <c:pt idx="3">
                  <c:v>1</c:v>
                </c:pt>
                <c:pt idx="4">
                  <c:v>0.7857142857142857</c:v>
                </c:pt>
                <c:pt idx="5">
                  <c:v>0.75</c:v>
                </c:pt>
                <c:pt idx="6">
                  <c:v>0.66666666666666663</c:v>
                </c:pt>
                <c:pt idx="7">
                  <c:v>0.625</c:v>
                </c:pt>
                <c:pt idx="8">
                  <c:v>0.59259259259259256</c:v>
                </c:pt>
                <c:pt idx="9">
                  <c:v>0.58333333333333337</c:v>
                </c:pt>
                <c:pt idx="10">
                  <c:v>0.51515151515151514</c:v>
                </c:pt>
                <c:pt idx="11">
                  <c:v>0.5</c:v>
                </c:pt>
                <c:pt idx="12">
                  <c:v>0.41176470588235292</c:v>
                </c:pt>
                <c:pt idx="13">
                  <c:v>0.4</c:v>
                </c:pt>
                <c:pt idx="14">
                  <c:v>0.4</c:v>
                </c:pt>
                <c:pt idx="15">
                  <c:v>0.4</c:v>
                </c:pt>
                <c:pt idx="16">
                  <c:v>0.375</c:v>
                </c:pt>
                <c:pt idx="17">
                  <c:v>0.33333333333333331</c:v>
                </c:pt>
                <c:pt idx="18">
                  <c:v>0.33333333333333331</c:v>
                </c:pt>
                <c:pt idx="19">
                  <c:v>0.33333333333333331</c:v>
                </c:pt>
                <c:pt idx="20">
                  <c:v>0.33333333333333331</c:v>
                </c:pt>
                <c:pt idx="21">
                  <c:v>0.33333333333333331</c:v>
                </c:pt>
                <c:pt idx="22">
                  <c:v>0.33333333333333331</c:v>
                </c:pt>
                <c:pt idx="23">
                  <c:v>0.29411764705882354</c:v>
                </c:pt>
                <c:pt idx="24">
                  <c:v>0.25</c:v>
                </c:pt>
                <c:pt idx="25">
                  <c:v>0.1875</c:v>
                </c:pt>
                <c:pt idx="26">
                  <c:v>0.14285714285714285</c:v>
                </c:pt>
                <c:pt idx="27">
                  <c:v>0.1111111111111111</c:v>
                </c:pt>
                <c:pt idx="28">
                  <c:v>0</c:v>
                </c:pt>
                <c:pt idx="29">
                  <c:v>0</c:v>
                </c:pt>
                <c:pt idx="30">
                  <c:v>0</c:v>
                </c:pt>
                <c:pt idx="31">
                  <c:v>0</c:v>
                </c:pt>
              </c:numCache>
            </c:numRef>
          </c:val>
          <c:extLst>
            <c:ext xmlns:c16="http://schemas.microsoft.com/office/drawing/2014/chart" uri="{C3380CC4-5D6E-409C-BE32-E72D297353CC}">
              <c16:uniqueId val="{00000009-CE4E-404B-AC07-D52AEA595695}"/>
            </c:ext>
          </c:extLst>
        </c:ser>
        <c:dLbls>
          <c:showLegendKey val="0"/>
          <c:showVal val="0"/>
          <c:showCatName val="0"/>
          <c:showSerName val="0"/>
          <c:showPercent val="0"/>
          <c:showBubbleSize val="0"/>
        </c:dLbls>
        <c:gapWidth val="40"/>
        <c:overlap val="100"/>
        <c:axId val="1588737552"/>
        <c:axId val="1558145920"/>
      </c:barChart>
      <c:catAx>
        <c:axId val="15887375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558145920"/>
        <c:crosses val="autoZero"/>
        <c:auto val="1"/>
        <c:lblAlgn val="ctr"/>
        <c:lblOffset val="100"/>
        <c:noMultiLvlLbl val="0"/>
      </c:catAx>
      <c:valAx>
        <c:axId val="1558145920"/>
        <c:scaling>
          <c:orientation val="minMax"/>
        </c:scaling>
        <c:delete val="1"/>
        <c:axPos val="t"/>
        <c:numFmt formatCode="0.0%" sourceLinked="1"/>
        <c:majorTickMark val="none"/>
        <c:minorTickMark val="none"/>
        <c:tickLblPos val="nextTo"/>
        <c:crossAx val="1588737552"/>
        <c:crosses val="autoZero"/>
        <c:crossBetween val="between"/>
      </c:valAx>
      <c:spPr>
        <a:noFill/>
        <a:ln>
          <a:noFill/>
        </a:ln>
        <a:effectLst/>
      </c:spPr>
    </c:plotArea>
    <c:legend>
      <c:legendPos val="b"/>
      <c:layout>
        <c:manualLayout>
          <c:xMode val="edge"/>
          <c:yMode val="edge"/>
          <c:x val="0.21159494071861706"/>
          <c:y val="0.92363651793767587"/>
          <c:w val="0.53246636196337527"/>
          <c:h val="5.3481107657927275E-2"/>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07426366989487"/>
          <c:y val="0.12431475708694603"/>
          <c:w val="0.40724118542254173"/>
          <c:h val="0.83004427059711094"/>
        </c:manualLayout>
      </c:layout>
      <c:pieChart>
        <c:varyColors val="1"/>
        <c:ser>
          <c:idx val="0"/>
          <c:order val="0"/>
          <c:tx>
            <c:strRef>
              <c:f>'m1'!$J$462</c:f>
              <c:strCache>
                <c:ptCount val="1"/>
                <c:pt idx="0">
                  <c:v>%</c:v>
                </c:pt>
              </c:strCache>
            </c:strRef>
          </c:tx>
          <c:spPr>
            <a:effectLst>
              <a:outerShdw blurRad="50800" dist="38100" dir="2700000" algn="tl" rotWithShape="0">
                <a:prstClr val="black">
                  <a:alpha val="40000"/>
                </a:prstClr>
              </a:outerShdw>
            </a:effectLst>
          </c:spPr>
          <c:dPt>
            <c:idx val="0"/>
            <c:bubble3D val="0"/>
            <c:spPr>
              <a:solidFill>
                <a:srgbClr val="5D7C6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FDC2-4F56-A31F-A59AA87E4ECD}"/>
              </c:ext>
            </c:extLst>
          </c:dPt>
          <c:dPt>
            <c:idx val="1"/>
            <c:bubble3D val="0"/>
            <c:spPr>
              <a:solidFill>
                <a:srgbClr val="87AD8A"/>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FDC2-4F56-A31F-A59AA87E4ECD}"/>
              </c:ext>
            </c:extLst>
          </c:dPt>
          <c:dPt>
            <c:idx val="2"/>
            <c:bubble3D val="0"/>
            <c:spPr>
              <a:solidFill>
                <a:srgbClr val="A9D3A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FDC2-4F56-A31F-A59AA87E4ECD}"/>
              </c:ext>
            </c:extLst>
          </c:dPt>
          <c:dPt>
            <c:idx val="3"/>
            <c:bubble3D val="0"/>
            <c:spPr>
              <a:solidFill>
                <a:schemeClr val="accent3"/>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FDC2-4F56-A31F-A59AA87E4ECD}"/>
              </c:ext>
            </c:extLst>
          </c:dPt>
          <c:dLbls>
            <c:dLbl>
              <c:idx val="0"/>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extLst>
                <c:ext xmlns:c16="http://schemas.microsoft.com/office/drawing/2014/chart" uri="{C3380CC4-5D6E-409C-BE32-E72D297353CC}">
                  <c16:uniqueId val="{00000001-FDC2-4F56-A31F-A59AA87E4ECD}"/>
                </c:ext>
              </c:extLst>
            </c:dLbl>
            <c:dLbl>
              <c:idx val="2"/>
              <c:layout>
                <c:manualLayout>
                  <c:x val="1.7042303841020501E-2"/>
                  <c:y val="0.1065724914941263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C2-4F56-A31F-A59AA87E4ECD}"/>
                </c:ext>
              </c:extLst>
            </c:dLbl>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'm1'!$H$463:$H$466</c:f>
              <c:strCache>
                <c:ptCount val="4"/>
                <c:pt idx="0">
                  <c:v>Visitadores </c:v>
                </c:pt>
                <c:pt idx="1">
                  <c:v>Personal administrativo y de apoyo</c:v>
                </c:pt>
                <c:pt idx="2">
                  <c:v>Peritos</c:v>
                </c:pt>
                <c:pt idx="3">
                  <c:v>Otro</c:v>
                </c:pt>
              </c:strCache>
            </c:strRef>
          </c:cat>
          <c:val>
            <c:numRef>
              <c:f>'m1'!$J$463:$J$466</c:f>
              <c:numCache>
                <c:formatCode>0.0%</c:formatCode>
                <c:ptCount val="4"/>
                <c:pt idx="0">
                  <c:v>0.51159951159951156</c:v>
                </c:pt>
                <c:pt idx="1">
                  <c:v>0.44607244607244606</c:v>
                </c:pt>
                <c:pt idx="2">
                  <c:v>3.0525030525030524E-2</c:v>
                </c:pt>
                <c:pt idx="3">
                  <c:v>9.3610093610093613E-3</c:v>
                </c:pt>
              </c:numCache>
            </c:numRef>
          </c:val>
          <c:extLst>
            <c:ext xmlns:c16="http://schemas.microsoft.com/office/drawing/2014/chart" uri="{C3380CC4-5D6E-409C-BE32-E72D297353CC}">
              <c16:uniqueId val="{00000008-FDC2-4F56-A31F-A59AA87E4EC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31852236927883"/>
          <c:y val="2.5551375623288776E-2"/>
          <c:w val="0.85868147763072122"/>
          <c:h val="0.91617044020652072"/>
        </c:manualLayout>
      </c:layout>
      <c:barChart>
        <c:barDir val="bar"/>
        <c:grouping val="stacked"/>
        <c:varyColors val="0"/>
        <c:ser>
          <c:idx val="0"/>
          <c:order val="0"/>
          <c:tx>
            <c:strRef>
              <c:f>'m1'!$E$422</c:f>
              <c:strCache>
                <c:ptCount val="1"/>
                <c:pt idx="0">
                  <c:v>Hombres</c:v>
                </c:pt>
              </c:strCache>
            </c:strRef>
          </c:tx>
          <c:spPr>
            <a:solidFill>
              <a:srgbClr val="87AD8A"/>
            </a:solidFill>
            <a:ln>
              <a:noFill/>
            </a:ln>
            <a:effectLst>
              <a:outerShdw blurRad="50800" dist="38100" dir="2700000" algn="tl" rotWithShape="0">
                <a:prstClr val="black">
                  <a:alpha val="40000"/>
                </a:prstClr>
              </a:outerShdw>
            </a:effectLst>
          </c:spPr>
          <c:invertIfNegative val="0"/>
          <c:dPt>
            <c:idx val="22"/>
            <c:invertIfNegative val="0"/>
            <c:bubble3D val="0"/>
            <c:spPr>
              <a:solidFill>
                <a:srgbClr val="5D7C6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02EA-4398-BFEE-2A052F89727C}"/>
              </c:ext>
            </c:extLst>
          </c:dPt>
          <c:dLbls>
            <c:dLbl>
              <c:idx val="22"/>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1-02EA-4398-BFEE-2A052F89727C}"/>
                </c:ext>
              </c:extLst>
            </c:dLbl>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'm1'!$A$423:$A$455</c:f>
              <c:strCache>
                <c:ptCount val="33"/>
                <c:pt idx="0">
                  <c:v>ZAC</c:v>
                </c:pt>
                <c:pt idx="1">
                  <c:v>CAMP</c:v>
                </c:pt>
                <c:pt idx="2">
                  <c:v>TAB</c:v>
                </c:pt>
                <c:pt idx="3">
                  <c:v>GRO</c:v>
                </c:pt>
                <c:pt idx="4">
                  <c:v>NL</c:v>
                </c:pt>
                <c:pt idx="5">
                  <c:v>QRO</c:v>
                </c:pt>
                <c:pt idx="6">
                  <c:v>CHIS</c:v>
                </c:pt>
                <c:pt idx="7">
                  <c:v>COAH</c:v>
                </c:pt>
                <c:pt idx="8">
                  <c:v>BCS</c:v>
                </c:pt>
                <c:pt idx="9">
                  <c:v>OAX</c:v>
                </c:pt>
                <c:pt idx="10">
                  <c:v>QROO</c:v>
                </c:pt>
                <c:pt idx="11">
                  <c:v>SLP</c:v>
                </c:pt>
                <c:pt idx="12">
                  <c:v>VER</c:v>
                </c:pt>
                <c:pt idx="13">
                  <c:v>BC</c:v>
                </c:pt>
                <c:pt idx="14">
                  <c:v>SIN</c:v>
                </c:pt>
                <c:pt idx="15">
                  <c:v>MEX</c:v>
                </c:pt>
                <c:pt idx="16">
                  <c:v>CHIH</c:v>
                </c:pt>
                <c:pt idx="17">
                  <c:v>GTO</c:v>
                </c:pt>
                <c:pt idx="18">
                  <c:v>TAMPS</c:v>
                </c:pt>
                <c:pt idx="19">
                  <c:v>MICH</c:v>
                </c:pt>
                <c:pt idx="20">
                  <c:v>CDMX</c:v>
                </c:pt>
                <c:pt idx="21">
                  <c:v>TLAX</c:v>
                </c:pt>
                <c:pt idx="22">
                  <c:v>CNDH </c:v>
                </c:pt>
                <c:pt idx="23">
                  <c:v>JAL</c:v>
                </c:pt>
                <c:pt idx="24">
                  <c:v>DGO</c:v>
                </c:pt>
                <c:pt idx="25">
                  <c:v>HGO</c:v>
                </c:pt>
                <c:pt idx="26">
                  <c:v>PUE</c:v>
                </c:pt>
                <c:pt idx="27">
                  <c:v>COL</c:v>
                </c:pt>
                <c:pt idx="28">
                  <c:v>YUC</c:v>
                </c:pt>
                <c:pt idx="29">
                  <c:v>AGS</c:v>
                </c:pt>
                <c:pt idx="30">
                  <c:v>MOR</c:v>
                </c:pt>
                <c:pt idx="31">
                  <c:v>SON</c:v>
                </c:pt>
                <c:pt idx="32">
                  <c:v>NAY</c:v>
                </c:pt>
              </c:strCache>
            </c:strRef>
          </c:cat>
          <c:val>
            <c:numRef>
              <c:f>'m1'!$E$423:$E$455</c:f>
              <c:numCache>
                <c:formatCode>0.0%</c:formatCode>
                <c:ptCount val="33"/>
                <c:pt idx="0">
                  <c:v>0.19354838709677419</c:v>
                </c:pt>
                <c:pt idx="1">
                  <c:v>0.30434782608695654</c:v>
                </c:pt>
                <c:pt idx="2">
                  <c:v>0.30769230769230771</c:v>
                </c:pt>
                <c:pt idx="3">
                  <c:v>0.32</c:v>
                </c:pt>
                <c:pt idx="4">
                  <c:v>0.32</c:v>
                </c:pt>
                <c:pt idx="5">
                  <c:v>0.32</c:v>
                </c:pt>
                <c:pt idx="6">
                  <c:v>0.33962264150943394</c:v>
                </c:pt>
                <c:pt idx="7">
                  <c:v>0.35555555555555557</c:v>
                </c:pt>
                <c:pt idx="8">
                  <c:v>0.35714285714285715</c:v>
                </c:pt>
                <c:pt idx="9">
                  <c:v>0.37662337662337664</c:v>
                </c:pt>
                <c:pt idx="10">
                  <c:v>0.38636363636363635</c:v>
                </c:pt>
                <c:pt idx="11">
                  <c:v>0.3888888888888889</c:v>
                </c:pt>
                <c:pt idx="12">
                  <c:v>0.38947368421052631</c:v>
                </c:pt>
                <c:pt idx="13">
                  <c:v>0.4</c:v>
                </c:pt>
                <c:pt idx="14">
                  <c:v>0.41176470588235292</c:v>
                </c:pt>
                <c:pt idx="15">
                  <c:v>0.41618497109826591</c:v>
                </c:pt>
                <c:pt idx="16">
                  <c:v>0.42222222222222222</c:v>
                </c:pt>
                <c:pt idx="17">
                  <c:v>0.43181818181818182</c:v>
                </c:pt>
                <c:pt idx="18">
                  <c:v>0.43902439024390244</c:v>
                </c:pt>
                <c:pt idx="19">
                  <c:v>0.44594594594594594</c:v>
                </c:pt>
                <c:pt idx="20">
                  <c:v>0.46153846153846156</c:v>
                </c:pt>
                <c:pt idx="21">
                  <c:v>0.46153846153846156</c:v>
                </c:pt>
                <c:pt idx="22">
                  <c:v>0.4886104783599089</c:v>
                </c:pt>
                <c:pt idx="23">
                  <c:v>0.49333333333333335</c:v>
                </c:pt>
                <c:pt idx="24">
                  <c:v>0.5</c:v>
                </c:pt>
                <c:pt idx="25">
                  <c:v>0.5</c:v>
                </c:pt>
                <c:pt idx="26">
                  <c:v>0.52380952380952384</c:v>
                </c:pt>
                <c:pt idx="27">
                  <c:v>0.54545454545454541</c:v>
                </c:pt>
                <c:pt idx="28">
                  <c:v>0.58064516129032262</c:v>
                </c:pt>
                <c:pt idx="29">
                  <c:v>0.6428571428571429</c:v>
                </c:pt>
                <c:pt idx="30">
                  <c:v>0.66666666666666663</c:v>
                </c:pt>
                <c:pt idx="31">
                  <c:v>0.69230769230769229</c:v>
                </c:pt>
                <c:pt idx="32">
                  <c:v>0.76923076923076927</c:v>
                </c:pt>
              </c:numCache>
            </c:numRef>
          </c:val>
          <c:extLst>
            <c:ext xmlns:c16="http://schemas.microsoft.com/office/drawing/2014/chart" uri="{C3380CC4-5D6E-409C-BE32-E72D297353CC}">
              <c16:uniqueId val="{00000002-02EA-4398-BFEE-2A052F89727C}"/>
            </c:ext>
          </c:extLst>
        </c:ser>
        <c:ser>
          <c:idx val="1"/>
          <c:order val="1"/>
          <c:tx>
            <c:strRef>
              <c:f>'m1'!$F$422</c:f>
              <c:strCache>
                <c:ptCount val="1"/>
                <c:pt idx="0">
                  <c:v>Mujeres</c:v>
                </c:pt>
              </c:strCache>
            </c:strRef>
          </c:tx>
          <c:spPr>
            <a:solidFill>
              <a:srgbClr val="EAC479"/>
            </a:solidFill>
            <a:ln>
              <a:noFill/>
            </a:ln>
            <a:effectLst>
              <a:outerShdw blurRad="50800" dist="38100" dir="2700000" algn="tl" rotWithShape="0">
                <a:prstClr val="black">
                  <a:alpha val="40000"/>
                </a:prstClr>
              </a:outerShdw>
            </a:effectLst>
          </c:spPr>
          <c:invertIfNegative val="0"/>
          <c:dPt>
            <c:idx val="22"/>
            <c:invertIfNegative val="0"/>
            <c:bubble3D val="0"/>
            <c:spPr>
              <a:solidFill>
                <a:srgbClr val="C29B6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4-02EA-4398-BFEE-2A052F89727C}"/>
              </c:ext>
            </c:extLst>
          </c:dPt>
          <c:dLbls>
            <c:dLbl>
              <c:idx val="22"/>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4-02EA-4398-BFEE-2A052F89727C}"/>
                </c:ext>
              </c:extLst>
            </c:dLbl>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'm1'!$A$423:$A$455</c:f>
              <c:strCache>
                <c:ptCount val="33"/>
                <c:pt idx="0">
                  <c:v>ZAC</c:v>
                </c:pt>
                <c:pt idx="1">
                  <c:v>CAMP</c:v>
                </c:pt>
                <c:pt idx="2">
                  <c:v>TAB</c:v>
                </c:pt>
                <c:pt idx="3">
                  <c:v>GRO</c:v>
                </c:pt>
                <c:pt idx="4">
                  <c:v>NL</c:v>
                </c:pt>
                <c:pt idx="5">
                  <c:v>QRO</c:v>
                </c:pt>
                <c:pt idx="6">
                  <c:v>CHIS</c:v>
                </c:pt>
                <c:pt idx="7">
                  <c:v>COAH</c:v>
                </c:pt>
                <c:pt idx="8">
                  <c:v>BCS</c:v>
                </c:pt>
                <c:pt idx="9">
                  <c:v>OAX</c:v>
                </c:pt>
                <c:pt idx="10">
                  <c:v>QROO</c:v>
                </c:pt>
                <c:pt idx="11">
                  <c:v>SLP</c:v>
                </c:pt>
                <c:pt idx="12">
                  <c:v>VER</c:v>
                </c:pt>
                <c:pt idx="13">
                  <c:v>BC</c:v>
                </c:pt>
                <c:pt idx="14">
                  <c:v>SIN</c:v>
                </c:pt>
                <c:pt idx="15">
                  <c:v>MEX</c:v>
                </c:pt>
                <c:pt idx="16">
                  <c:v>CHIH</c:v>
                </c:pt>
                <c:pt idx="17">
                  <c:v>GTO</c:v>
                </c:pt>
                <c:pt idx="18">
                  <c:v>TAMPS</c:v>
                </c:pt>
                <c:pt idx="19">
                  <c:v>MICH</c:v>
                </c:pt>
                <c:pt idx="20">
                  <c:v>CDMX</c:v>
                </c:pt>
                <c:pt idx="21">
                  <c:v>TLAX</c:v>
                </c:pt>
                <c:pt idx="22">
                  <c:v>CNDH </c:v>
                </c:pt>
                <c:pt idx="23">
                  <c:v>JAL</c:v>
                </c:pt>
                <c:pt idx="24">
                  <c:v>DGO</c:v>
                </c:pt>
                <c:pt idx="25">
                  <c:v>HGO</c:v>
                </c:pt>
                <c:pt idx="26">
                  <c:v>PUE</c:v>
                </c:pt>
                <c:pt idx="27">
                  <c:v>COL</c:v>
                </c:pt>
                <c:pt idx="28">
                  <c:v>YUC</c:v>
                </c:pt>
                <c:pt idx="29">
                  <c:v>AGS</c:v>
                </c:pt>
                <c:pt idx="30">
                  <c:v>MOR</c:v>
                </c:pt>
                <c:pt idx="31">
                  <c:v>SON</c:v>
                </c:pt>
                <c:pt idx="32">
                  <c:v>NAY</c:v>
                </c:pt>
              </c:strCache>
            </c:strRef>
          </c:cat>
          <c:val>
            <c:numRef>
              <c:f>'m1'!$F$423:$F$455</c:f>
              <c:numCache>
                <c:formatCode>0.0%</c:formatCode>
                <c:ptCount val="33"/>
                <c:pt idx="0">
                  <c:v>0.80645161290322576</c:v>
                </c:pt>
                <c:pt idx="1">
                  <c:v>0.69565217391304346</c:v>
                </c:pt>
                <c:pt idx="2">
                  <c:v>0.69230769230769229</c:v>
                </c:pt>
                <c:pt idx="3">
                  <c:v>0.68</c:v>
                </c:pt>
                <c:pt idx="4">
                  <c:v>0.68</c:v>
                </c:pt>
                <c:pt idx="5">
                  <c:v>0.68</c:v>
                </c:pt>
                <c:pt idx="6">
                  <c:v>0.660377358490566</c:v>
                </c:pt>
                <c:pt idx="7">
                  <c:v>0.64444444444444449</c:v>
                </c:pt>
                <c:pt idx="8">
                  <c:v>0.6428571428571429</c:v>
                </c:pt>
                <c:pt idx="9">
                  <c:v>0.62337662337662336</c:v>
                </c:pt>
                <c:pt idx="10">
                  <c:v>0.61363636363636365</c:v>
                </c:pt>
                <c:pt idx="11">
                  <c:v>0.61111111111111116</c:v>
                </c:pt>
                <c:pt idx="12">
                  <c:v>0.61052631578947369</c:v>
                </c:pt>
                <c:pt idx="13">
                  <c:v>0.6</c:v>
                </c:pt>
                <c:pt idx="14">
                  <c:v>0.58823529411764708</c:v>
                </c:pt>
                <c:pt idx="15">
                  <c:v>0.58381502890173409</c:v>
                </c:pt>
                <c:pt idx="16">
                  <c:v>0.57777777777777772</c:v>
                </c:pt>
                <c:pt idx="17">
                  <c:v>0.56818181818181823</c:v>
                </c:pt>
                <c:pt idx="18">
                  <c:v>0.56097560975609762</c:v>
                </c:pt>
                <c:pt idx="19">
                  <c:v>0.55405405405405406</c:v>
                </c:pt>
                <c:pt idx="20">
                  <c:v>0.53846153846153844</c:v>
                </c:pt>
                <c:pt idx="21">
                  <c:v>0.53846153846153844</c:v>
                </c:pt>
                <c:pt idx="22">
                  <c:v>0.5113895216400911</c:v>
                </c:pt>
                <c:pt idx="23">
                  <c:v>0.50666666666666671</c:v>
                </c:pt>
                <c:pt idx="24">
                  <c:v>0.5</c:v>
                </c:pt>
                <c:pt idx="25">
                  <c:v>0.5</c:v>
                </c:pt>
                <c:pt idx="26">
                  <c:v>0.47619047619047616</c:v>
                </c:pt>
                <c:pt idx="27">
                  <c:v>0.45454545454545453</c:v>
                </c:pt>
                <c:pt idx="28">
                  <c:v>0.41935483870967744</c:v>
                </c:pt>
                <c:pt idx="29">
                  <c:v>0.35714285714285715</c:v>
                </c:pt>
                <c:pt idx="30">
                  <c:v>0.33333333333333331</c:v>
                </c:pt>
                <c:pt idx="31">
                  <c:v>0.30769230769230771</c:v>
                </c:pt>
                <c:pt idx="32">
                  <c:v>0.23076923076923078</c:v>
                </c:pt>
              </c:numCache>
            </c:numRef>
          </c:val>
          <c:extLst>
            <c:ext xmlns:c16="http://schemas.microsoft.com/office/drawing/2014/chart" uri="{C3380CC4-5D6E-409C-BE32-E72D297353CC}">
              <c16:uniqueId val="{00000005-02EA-4398-BFEE-2A052F89727C}"/>
            </c:ext>
          </c:extLst>
        </c:ser>
        <c:dLbls>
          <c:dLblPos val="ctr"/>
          <c:showLegendKey val="0"/>
          <c:showVal val="1"/>
          <c:showCatName val="0"/>
          <c:showSerName val="0"/>
          <c:showPercent val="0"/>
          <c:showBubbleSize val="0"/>
        </c:dLbls>
        <c:gapWidth val="50"/>
        <c:overlap val="100"/>
        <c:axId val="1513794704"/>
        <c:axId val="1586574864"/>
      </c:barChart>
      <c:catAx>
        <c:axId val="1513794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586574864"/>
        <c:crosses val="autoZero"/>
        <c:auto val="1"/>
        <c:lblAlgn val="ctr"/>
        <c:lblOffset val="100"/>
        <c:noMultiLvlLbl val="0"/>
      </c:catAx>
      <c:valAx>
        <c:axId val="1586574864"/>
        <c:scaling>
          <c:orientation val="minMax"/>
        </c:scaling>
        <c:delete val="1"/>
        <c:axPos val="t"/>
        <c:numFmt formatCode="0.0%" sourceLinked="1"/>
        <c:majorTickMark val="none"/>
        <c:minorTickMark val="none"/>
        <c:tickLblPos val="nextTo"/>
        <c:crossAx val="1513794704"/>
        <c:crosses val="autoZero"/>
        <c:crossBetween val="between"/>
      </c:valAx>
      <c:spPr>
        <a:noFill/>
        <a:ln>
          <a:noFill/>
        </a:ln>
        <a:effectLst/>
      </c:spPr>
    </c:plotArea>
    <c:legend>
      <c:legendPos val="b"/>
      <c:layout>
        <c:manualLayout>
          <c:xMode val="edge"/>
          <c:yMode val="edge"/>
          <c:x val="0.22428110492703071"/>
          <c:y val="0.94588165282698677"/>
          <c:w val="0.52754739474889811"/>
          <c:h val="5.1778002960377427E-2"/>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02602983403484E-2"/>
          <c:y val="6.954974281465591E-2"/>
          <c:w val="0.93899479403319308"/>
          <c:h val="0.65894108437683685"/>
        </c:manualLayout>
      </c:layout>
      <c:barChart>
        <c:barDir val="col"/>
        <c:grouping val="clustered"/>
        <c:varyColors val="0"/>
        <c:ser>
          <c:idx val="1"/>
          <c:order val="1"/>
          <c:tx>
            <c:strRef>
              <c:f>Capacitación!$J$5</c:f>
              <c:strCache>
                <c:ptCount val="1"/>
                <c:pt idx="0">
                  <c:v>CNDH</c:v>
                </c:pt>
              </c:strCache>
            </c:strRef>
          </c:tx>
          <c:spPr>
            <a:solidFill>
              <a:srgbClr val="EA8B5F"/>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Capacitación!$H$6:$H$9</c:f>
              <c:numCache>
                <c:formatCode>General</c:formatCode>
                <c:ptCount val="4"/>
                <c:pt idx="0">
                  <c:v>2017</c:v>
                </c:pt>
                <c:pt idx="1">
                  <c:v>2018</c:v>
                </c:pt>
                <c:pt idx="2">
                  <c:v>2019</c:v>
                </c:pt>
                <c:pt idx="3">
                  <c:v>2020</c:v>
                </c:pt>
              </c:numCache>
            </c:numRef>
          </c:cat>
          <c:val>
            <c:numRef>
              <c:f>Capacitación!$J$6:$J$9</c:f>
              <c:numCache>
                <c:formatCode>_-* #,##0_-;\-* #,##0_-;_-* "-"??_-;_-@_-</c:formatCode>
                <c:ptCount val="4"/>
                <c:pt idx="0">
                  <c:v>6880</c:v>
                </c:pt>
                <c:pt idx="1">
                  <c:v>8474</c:v>
                </c:pt>
                <c:pt idx="2">
                  <c:v>4738</c:v>
                </c:pt>
                <c:pt idx="3">
                  <c:v>2961</c:v>
                </c:pt>
              </c:numCache>
            </c:numRef>
          </c:val>
          <c:extLst>
            <c:ext xmlns:c16="http://schemas.microsoft.com/office/drawing/2014/chart" uri="{C3380CC4-5D6E-409C-BE32-E72D297353CC}">
              <c16:uniqueId val="{00000000-5F30-4AB0-8D14-104B6E059E79}"/>
            </c:ext>
          </c:extLst>
        </c:ser>
        <c:ser>
          <c:idx val="2"/>
          <c:order val="2"/>
          <c:tx>
            <c:strRef>
              <c:f>Capacitación!$K$5</c:f>
              <c:strCache>
                <c:ptCount val="1"/>
                <c:pt idx="0">
                  <c:v>OPDH</c:v>
                </c:pt>
              </c:strCache>
            </c:strRef>
          </c:tx>
          <c:spPr>
            <a:solidFill>
              <a:srgbClr val="5B90A7"/>
            </a:solidFill>
            <a:ln>
              <a:noFill/>
            </a:ln>
            <a:effectLst>
              <a:outerShdw blurRad="50800" dist="38100" dir="2700000" algn="tl" rotWithShape="0">
                <a:prstClr val="black">
                  <a:alpha val="40000"/>
                </a:prstClr>
              </a:outerShdw>
            </a:effectLst>
          </c:spPr>
          <c:invertIfNegative val="0"/>
          <c:dLbls>
            <c:dLbl>
              <c:idx val="0"/>
              <c:layout>
                <c:manualLayout>
                  <c:x val="-2.0264310321154848E-17"/>
                  <c:y val="0.27297454691228618"/>
                </c:manualLayout>
              </c:layout>
              <c:tx>
                <c:rich>
                  <a:bodyPr rot="-5400000" spcFirstLastPara="1" vertOverflow="ellipsis" wrap="square" lIns="38100" tIns="19050" rIns="38100" bIns="19050" anchor="ctr" anchorCtr="0">
                    <a:spAutoFit/>
                  </a:bodyPr>
                  <a:lstStyle/>
                  <a:p>
                    <a:pPr algn="ctr">
                      <a:defRPr lang="es-MX" sz="800" b="0" i="0" u="none" strike="noStrike" kern="1200" baseline="0">
                        <a:solidFill>
                          <a:schemeClr val="bg1"/>
                        </a:solidFill>
                        <a:latin typeface="Arial" panose="020B0604020202020204" pitchFamily="34" charset="0"/>
                        <a:ea typeface="+mn-ea"/>
                        <a:cs typeface="Arial" panose="020B0604020202020204" pitchFamily="34" charset="0"/>
                      </a:defRPr>
                    </a:pPr>
                    <a:r>
                      <a:rPr lang="en-US"/>
                      <a:t>35,938</a:t>
                    </a:r>
                  </a:p>
                </c:rich>
              </c:tx>
              <c:spPr>
                <a:noFill/>
                <a:ln>
                  <a:noFill/>
                </a:ln>
                <a:effectLst/>
              </c:spPr>
              <c:txPr>
                <a:bodyPr rot="-5400000" spcFirstLastPara="1" vertOverflow="ellipsis" wrap="square" lIns="38100" tIns="19050" rIns="38100" bIns="19050" anchor="ctr" anchorCtr="0">
                  <a:spAutoFit/>
                </a:bodyPr>
                <a:lstStyle/>
                <a:p>
                  <a:pPr algn="ctr">
                    <a:defRPr lang="es-MX"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30-4AB0-8D14-104B6E059E79}"/>
                </c:ext>
              </c:extLst>
            </c:dLbl>
            <c:dLbl>
              <c:idx val="1"/>
              <c:layout>
                <c:manualLayout>
                  <c:x val="0"/>
                  <c:y val="0.27444154619991384"/>
                </c:manualLayout>
              </c:layout>
              <c:spPr>
                <a:noFill/>
                <a:ln>
                  <a:noFill/>
                </a:ln>
                <a:effectLst/>
              </c:spPr>
              <c:txPr>
                <a:bodyPr rot="-5400000" spcFirstLastPara="1" vertOverflow="ellipsis" wrap="square" lIns="38100" tIns="19050" rIns="38100" bIns="19050" anchor="ctr" anchorCtr="0">
                  <a:spAutoFit/>
                </a:bodyPr>
                <a:lstStyle/>
                <a:p>
                  <a:pPr algn="ctr">
                    <a:defRPr lang="es-MX"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30-4AB0-8D14-104B6E059E79}"/>
                </c:ext>
              </c:extLst>
            </c:dLbl>
            <c:dLbl>
              <c:idx val="2"/>
              <c:layout>
                <c:manualLayout>
                  <c:x val="-9.2276942481685116E-17"/>
                  <c:y val="0.23471258244275622"/>
                </c:manualLayout>
              </c:layout>
              <c:spPr>
                <a:noFill/>
                <a:ln>
                  <a:noFill/>
                </a:ln>
                <a:effectLst/>
              </c:spPr>
              <c:txPr>
                <a:bodyPr rot="-5400000" spcFirstLastPara="1" vertOverflow="ellipsis" wrap="square" lIns="38100" tIns="19050" rIns="38100" bIns="19050" anchor="ctr" anchorCtr="0">
                  <a:spAutoFit/>
                </a:bodyPr>
                <a:lstStyle/>
                <a:p>
                  <a:pPr algn="ctr">
                    <a:defRPr lang="es-MX"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30-4AB0-8D14-104B6E059E79}"/>
                </c:ext>
              </c:extLst>
            </c:dLbl>
            <c:dLbl>
              <c:idx val="3"/>
              <c:layout>
                <c:manualLayout>
                  <c:x val="0"/>
                  <c:y val="0.26454417655997337"/>
                </c:manualLayout>
              </c:layout>
              <c:spPr>
                <a:noFill/>
                <a:ln>
                  <a:noFill/>
                </a:ln>
                <a:effectLst/>
              </c:spPr>
              <c:txPr>
                <a:bodyPr rot="-5400000" spcFirstLastPara="1" vertOverflow="ellipsis" wrap="square" lIns="38100" tIns="19050" rIns="38100" bIns="19050" anchor="ctr" anchorCtr="0">
                  <a:spAutoFit/>
                </a:bodyPr>
                <a:lstStyle/>
                <a:p>
                  <a:pPr algn="ctr">
                    <a:defRPr lang="es-MX"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30-4AB0-8D14-104B6E059E79}"/>
                </c:ext>
              </c:extLst>
            </c:dLbl>
            <c:spPr>
              <a:noFill/>
              <a:ln>
                <a:noFill/>
              </a:ln>
              <a:effectLst/>
            </c:spPr>
            <c:txPr>
              <a:bodyPr rot="-5400000" spcFirstLastPara="1" vertOverflow="ellipsis" wrap="square" lIns="38100" tIns="19050" rIns="38100" bIns="19050" anchor="ctr" anchorCtr="0">
                <a:spAutoFit/>
              </a:bodyPr>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Capacitación!$H$6:$H$9</c:f>
              <c:numCache>
                <c:formatCode>General</c:formatCode>
                <c:ptCount val="4"/>
                <c:pt idx="0">
                  <c:v>2017</c:v>
                </c:pt>
                <c:pt idx="1">
                  <c:v>2018</c:v>
                </c:pt>
                <c:pt idx="2">
                  <c:v>2019</c:v>
                </c:pt>
                <c:pt idx="3">
                  <c:v>2020</c:v>
                </c:pt>
              </c:numCache>
            </c:numRef>
          </c:cat>
          <c:val>
            <c:numRef>
              <c:f>Capacitación!$K$6:$K$9</c:f>
              <c:numCache>
                <c:formatCode>_-* #,##0_-;\-* #,##0_-;_-* "-"??_-;_-@_-</c:formatCode>
                <c:ptCount val="4"/>
                <c:pt idx="0">
                  <c:v>35939</c:v>
                </c:pt>
                <c:pt idx="1">
                  <c:v>30440</c:v>
                </c:pt>
                <c:pt idx="2">
                  <c:v>37056</c:v>
                </c:pt>
                <c:pt idx="3">
                  <c:v>19862</c:v>
                </c:pt>
              </c:numCache>
            </c:numRef>
          </c:val>
          <c:extLst>
            <c:ext xmlns:c16="http://schemas.microsoft.com/office/drawing/2014/chart" uri="{C3380CC4-5D6E-409C-BE32-E72D297353CC}">
              <c16:uniqueId val="{00000005-5F30-4AB0-8D14-104B6E059E79}"/>
            </c:ext>
          </c:extLst>
        </c:ser>
        <c:dLbls>
          <c:showLegendKey val="0"/>
          <c:showVal val="1"/>
          <c:showCatName val="0"/>
          <c:showSerName val="0"/>
          <c:showPercent val="0"/>
          <c:showBubbleSize val="0"/>
        </c:dLbls>
        <c:gapWidth val="60"/>
        <c:axId val="1783504000"/>
        <c:axId val="1770406016"/>
      </c:barChart>
      <c:lineChart>
        <c:grouping val="standard"/>
        <c:varyColors val="0"/>
        <c:ser>
          <c:idx val="0"/>
          <c:order val="0"/>
          <c:tx>
            <c:strRef>
              <c:f>Capacitación!$I$5</c:f>
              <c:strCache>
                <c:ptCount val="1"/>
                <c:pt idx="0">
                  <c:v>Total</c:v>
                </c:pt>
              </c:strCache>
            </c:strRef>
          </c:tx>
          <c:spPr>
            <a:ln w="28575" cap="rnd">
              <a:solidFill>
                <a:srgbClr val="C29B61"/>
              </a:solidFill>
              <a:round/>
            </a:ln>
            <a:effectLst>
              <a:outerShdw blurRad="50800" dist="38100" dir="2700000" algn="tl" rotWithShape="0">
                <a:prstClr val="black">
                  <a:alpha val="40000"/>
                </a:prstClr>
              </a:outerShdw>
            </a:effectLst>
          </c:spPr>
          <c:marker>
            <c:symbol val="diamond"/>
            <c:size val="10"/>
            <c:spPr>
              <a:solidFill>
                <a:srgbClr val="C29B61"/>
              </a:solidFill>
              <a:ln w="9525">
                <a:solidFill>
                  <a:srgbClr val="C29B61"/>
                </a:solidFill>
              </a:ln>
              <a:effectLst>
                <a:outerShdw blurRad="50800" dist="38100" dir="2700000" algn="tl" rotWithShape="0">
                  <a:prstClr val="black">
                    <a:alpha val="40000"/>
                  </a:prstClr>
                </a:outerShdw>
              </a:effectLst>
            </c:spPr>
          </c:marker>
          <c:dLbls>
            <c:dLbl>
              <c:idx val="0"/>
              <c:layout>
                <c:manualLayout>
                  <c:x val="-5.7746901787602625E-2"/>
                  <c:y val="-6.6867647735983471E-2"/>
                </c:manualLayout>
              </c:layout>
              <c:tx>
                <c:rich>
                  <a:bodyPr/>
                  <a:lstStyle/>
                  <a:p>
                    <a:r>
                      <a:rPr lang="en-US"/>
                      <a:t>42,818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30-4AB0-8D14-104B6E059E79}"/>
                </c:ext>
              </c:extLst>
            </c:dLbl>
            <c:dLbl>
              <c:idx val="1"/>
              <c:layout>
                <c:manualLayout>
                  <c:x val="-5.7708432516456055E-2"/>
                  <c:y val="-5.7638770385899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30-4AB0-8D14-104B6E059E79}"/>
                </c:ext>
              </c:extLst>
            </c:dLbl>
            <c:dLbl>
              <c:idx val="2"/>
              <c:layout>
                <c:manualLayout>
                  <c:x val="-5.9957579360278651E-2"/>
                  <c:y val="-6.45187153463402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30-4AB0-8D14-104B6E059E79}"/>
                </c:ext>
              </c:extLst>
            </c:dLbl>
            <c:dLbl>
              <c:idx val="3"/>
              <c:layout>
                <c:manualLayout>
                  <c:x val="-6.160601373927424E-2"/>
                  <c:y val="-7.1398660306780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30-4AB0-8D14-104B6E059E79}"/>
                </c:ext>
              </c:extLst>
            </c:dLbl>
            <c:spPr>
              <a:noFill/>
              <a:ln>
                <a:noFill/>
              </a:ln>
              <a:effectLst/>
            </c:spPr>
            <c:txPr>
              <a:bodyPr rot="0" spcFirstLastPara="1" vertOverflow="ellipsis" vert="horz" wrap="square" lIns="38100" tIns="19050" rIns="38100" bIns="19050" anchor="ctr" anchorCtr="0">
                <a:spAutoFit/>
              </a:bodyPr>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Capacitación!$H$6:$H$9</c:f>
              <c:numCache>
                <c:formatCode>General</c:formatCode>
                <c:ptCount val="4"/>
                <c:pt idx="0">
                  <c:v>2017</c:v>
                </c:pt>
                <c:pt idx="1">
                  <c:v>2018</c:v>
                </c:pt>
                <c:pt idx="2">
                  <c:v>2019</c:v>
                </c:pt>
                <c:pt idx="3">
                  <c:v>2020</c:v>
                </c:pt>
              </c:numCache>
            </c:numRef>
          </c:cat>
          <c:val>
            <c:numRef>
              <c:f>Capacitación!$I$6:$I$9</c:f>
              <c:numCache>
                <c:formatCode>_-* #,##0_-;\-* #,##0_-;_-* "-"??_-;_-@_-</c:formatCode>
                <c:ptCount val="4"/>
                <c:pt idx="0">
                  <c:v>42819</c:v>
                </c:pt>
                <c:pt idx="1">
                  <c:v>38914</c:v>
                </c:pt>
                <c:pt idx="2">
                  <c:v>41794</c:v>
                </c:pt>
                <c:pt idx="3">
                  <c:v>22823</c:v>
                </c:pt>
              </c:numCache>
            </c:numRef>
          </c:val>
          <c:smooth val="0"/>
          <c:extLst>
            <c:ext xmlns:c16="http://schemas.microsoft.com/office/drawing/2014/chart" uri="{C3380CC4-5D6E-409C-BE32-E72D297353CC}">
              <c16:uniqueId val="{0000000A-5F30-4AB0-8D14-104B6E059E79}"/>
            </c:ext>
          </c:extLst>
        </c:ser>
        <c:dLbls>
          <c:showLegendKey val="0"/>
          <c:showVal val="1"/>
          <c:showCatName val="0"/>
          <c:showSerName val="0"/>
          <c:showPercent val="0"/>
          <c:showBubbleSize val="0"/>
        </c:dLbls>
        <c:marker val="1"/>
        <c:smooth val="0"/>
        <c:axId val="1783504000"/>
        <c:axId val="1770406016"/>
      </c:lineChart>
      <c:catAx>
        <c:axId val="178350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770406016"/>
        <c:crosses val="autoZero"/>
        <c:auto val="1"/>
        <c:lblAlgn val="ctr"/>
        <c:lblOffset val="100"/>
        <c:noMultiLvlLbl val="0"/>
      </c:catAx>
      <c:valAx>
        <c:axId val="1770406016"/>
        <c:scaling>
          <c:orientation val="minMax"/>
        </c:scaling>
        <c:delete val="1"/>
        <c:axPos val="l"/>
        <c:numFmt formatCode="_-* #,##0_-;\-* #,##0_-;_-* &quot;-&quot;??_-;_-@_-" sourceLinked="1"/>
        <c:majorTickMark val="none"/>
        <c:minorTickMark val="none"/>
        <c:tickLblPos val="nextTo"/>
        <c:crossAx val="1783504000"/>
        <c:crosses val="autoZero"/>
        <c:crossBetween val="between"/>
      </c:valAx>
      <c:spPr>
        <a:noFill/>
        <a:ln>
          <a:noFill/>
        </a:ln>
        <a:effectLst/>
      </c:spPr>
    </c:plotArea>
    <c:legend>
      <c:legendPos val="b"/>
      <c:layout>
        <c:manualLayout>
          <c:xMode val="edge"/>
          <c:yMode val="edge"/>
          <c:x val="0.26316366360497973"/>
          <c:y val="0.85841344135388653"/>
          <c:w val="0.47921838226159008"/>
          <c:h val="0.14158655864611353"/>
        </c:manualLayout>
      </c:layout>
      <c:overlay val="0"/>
      <c:spPr>
        <a:noFill/>
        <a:ln>
          <a:noFill/>
        </a:ln>
        <a:effectLst/>
      </c:spPr>
      <c:txPr>
        <a:bodyPr rot="0" spcFirstLastPara="1" vertOverflow="ellipsis" vert="horz" wrap="square" anchor="ctr" anchorCtr="1"/>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174323349255875"/>
          <c:y val="2.5048881017766936E-2"/>
          <c:w val="0.47776428391254383"/>
          <c:h val="0.95480225988700562"/>
        </c:manualLayout>
      </c:layout>
      <c:barChart>
        <c:barDir val="bar"/>
        <c:grouping val="clustered"/>
        <c:varyColors val="0"/>
        <c:ser>
          <c:idx val="0"/>
          <c:order val="0"/>
          <c:tx>
            <c:strRef>
              <c:f>'m2'!$G$40</c:f>
              <c:strCache>
                <c:ptCount val="1"/>
                <c:pt idx="0">
                  <c:v>TOTAL </c:v>
                </c:pt>
              </c:strCache>
            </c:strRef>
          </c:tx>
          <c:spPr>
            <a:solidFill>
              <a:srgbClr val="AF8D95"/>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804053"/>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6C9C-4AA4-9652-58E3C682615E}"/>
              </c:ext>
            </c:extLst>
          </c:dPt>
          <c:dPt>
            <c:idx val="30"/>
            <c:invertIfNegative val="0"/>
            <c:bubble3D val="0"/>
            <c:spPr>
              <a:solidFill>
                <a:schemeClr val="accent3"/>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6C9C-4AA4-9652-58E3C682615E}"/>
              </c:ext>
            </c:extLst>
          </c:dPt>
          <c:dLbls>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'm2'!$F$41:$F$71</c:f>
              <c:strCache>
                <c:ptCount val="31"/>
                <c:pt idx="0">
                  <c:v>Derechos de las niñas, niños y adolescentes</c:v>
                </c:pt>
                <c:pt idx="1">
                  <c:v>Introducción a la operación y funcionamiento*</c:v>
                </c:pt>
                <c:pt idx="2">
                  <c:v>Igualdad de género</c:v>
                </c:pt>
                <c:pt idx="3">
                  <c:v>Violencia contra la mujer</c:v>
                </c:pt>
                <c:pt idx="4">
                  <c:v>Derecho a la no discriminación</c:v>
                </c:pt>
                <c:pt idx="5">
                  <c:v>Seguridad ciudadana, actuación policial y uso de la fuerza</c:v>
                </c:pt>
                <c:pt idx="6">
                  <c:v>Derecho a la educación</c:v>
                </c:pt>
                <c:pt idx="7">
                  <c:v>Derechos de las personas con discapacidad</c:v>
                </c:pt>
                <c:pt idx="8">
                  <c:v>Derecho de acceso a la salud</c:v>
                </c:pt>
                <c:pt idx="9">
                  <c:v>Prevención social de la violencia y delincuencia </c:v>
                </c:pt>
                <c:pt idx="10">
                  <c:v>Derecho internacional de los Derechos Humanos</c:v>
                </c:pt>
                <c:pt idx="11">
                  <c:v>Derechos de los jóvenes</c:v>
                </c:pt>
                <c:pt idx="12">
                  <c:v>Derechos de las personas con COVID-19</c:v>
                </c:pt>
                <c:pt idx="13">
                  <c:v>Derechos de los pueblos y comunidades indígenas</c:v>
                </c:pt>
                <c:pt idx="14">
                  <c:v>Atención a víctimas de trata de personas</c:v>
                </c:pt>
                <c:pt idx="15">
                  <c:v>Impartición de justicia con enfoque de Derechos Humanos</c:v>
                </c:pt>
                <c:pt idx="16">
                  <c:v>Derechos de la población de la diversidad sexual</c:v>
                </c:pt>
                <c:pt idx="17">
                  <c:v>Cuidado del medio ambiente</c:v>
                </c:pt>
                <c:pt idx="18">
                  <c:v>Derechos de las personas adultas mayores</c:v>
                </c:pt>
                <c:pt idx="19">
                  <c:v>Derechos de la población en contexto de movilidad</c:v>
                </c:pt>
                <c:pt idx="20">
                  <c:v>Acoso y hostigamiento sexual</c:v>
                </c:pt>
                <c:pt idx="21">
                  <c:v>Derecho humano al desarrollo (incluye Agenda 2030)</c:v>
                </c:pt>
                <c:pt idx="22">
                  <c:v>Derecho a la libertad de expresión</c:v>
                </c:pt>
                <c:pt idx="23">
                  <c:v>Derechos de las personas privadas de la libertad</c:v>
                </c:pt>
                <c:pt idx="24">
                  <c:v>Derechos de las personas que viven con VIH</c:v>
                </c:pt>
                <c:pt idx="25">
                  <c:v>Protocolo de Estambul</c:v>
                </c:pt>
                <c:pt idx="26">
                  <c:v>Desplazamiento forzado interno</c:v>
                </c:pt>
                <c:pt idx="27">
                  <c:v>Desaparición de personas</c:v>
                </c:pt>
                <c:pt idx="28">
                  <c:v>Derechos de las personas afromexicanas**</c:v>
                </c:pt>
                <c:pt idx="29">
                  <c:v>Derechos de las personas con adicciones</c:v>
                </c:pt>
                <c:pt idx="30">
                  <c:v>Otro tema </c:v>
                </c:pt>
              </c:strCache>
            </c:strRef>
          </c:cat>
          <c:val>
            <c:numRef>
              <c:f>'m2'!$G$41:$G$71</c:f>
              <c:numCache>
                <c:formatCode>#,##0</c:formatCode>
                <c:ptCount val="31"/>
                <c:pt idx="0">
                  <c:v>3233</c:v>
                </c:pt>
                <c:pt idx="1">
                  <c:v>1089</c:v>
                </c:pt>
                <c:pt idx="2">
                  <c:v>911</c:v>
                </c:pt>
                <c:pt idx="3">
                  <c:v>880</c:v>
                </c:pt>
                <c:pt idx="4">
                  <c:v>786</c:v>
                </c:pt>
                <c:pt idx="5">
                  <c:v>721</c:v>
                </c:pt>
                <c:pt idx="6">
                  <c:v>719</c:v>
                </c:pt>
                <c:pt idx="7">
                  <c:v>655</c:v>
                </c:pt>
                <c:pt idx="8">
                  <c:v>642</c:v>
                </c:pt>
                <c:pt idx="9">
                  <c:v>615</c:v>
                </c:pt>
                <c:pt idx="10">
                  <c:v>530</c:v>
                </c:pt>
                <c:pt idx="11">
                  <c:v>483</c:v>
                </c:pt>
                <c:pt idx="12">
                  <c:v>373</c:v>
                </c:pt>
                <c:pt idx="13">
                  <c:v>369</c:v>
                </c:pt>
                <c:pt idx="14">
                  <c:v>365</c:v>
                </c:pt>
                <c:pt idx="15">
                  <c:v>331</c:v>
                </c:pt>
                <c:pt idx="16">
                  <c:v>286</c:v>
                </c:pt>
                <c:pt idx="17">
                  <c:v>276</c:v>
                </c:pt>
                <c:pt idx="18">
                  <c:v>241</c:v>
                </c:pt>
                <c:pt idx="19">
                  <c:v>234</c:v>
                </c:pt>
                <c:pt idx="20">
                  <c:v>214</c:v>
                </c:pt>
                <c:pt idx="21">
                  <c:v>177</c:v>
                </c:pt>
                <c:pt idx="22">
                  <c:v>175</c:v>
                </c:pt>
                <c:pt idx="23">
                  <c:v>156</c:v>
                </c:pt>
                <c:pt idx="24">
                  <c:v>143</c:v>
                </c:pt>
                <c:pt idx="25">
                  <c:v>106</c:v>
                </c:pt>
                <c:pt idx="26">
                  <c:v>67</c:v>
                </c:pt>
                <c:pt idx="27">
                  <c:v>51</c:v>
                </c:pt>
                <c:pt idx="28">
                  <c:v>46</c:v>
                </c:pt>
                <c:pt idx="29">
                  <c:v>38</c:v>
                </c:pt>
                <c:pt idx="30">
                  <c:v>7836</c:v>
                </c:pt>
              </c:numCache>
            </c:numRef>
          </c:val>
          <c:extLst>
            <c:ext xmlns:c16="http://schemas.microsoft.com/office/drawing/2014/chart" uri="{C3380CC4-5D6E-409C-BE32-E72D297353CC}">
              <c16:uniqueId val="{00000004-6C9C-4AA4-9652-58E3C682615E}"/>
            </c:ext>
          </c:extLst>
        </c:ser>
        <c:dLbls>
          <c:showLegendKey val="0"/>
          <c:showVal val="0"/>
          <c:showCatName val="0"/>
          <c:showSerName val="0"/>
          <c:showPercent val="0"/>
          <c:showBubbleSize val="0"/>
        </c:dLbls>
        <c:gapWidth val="50"/>
        <c:axId val="1498528384"/>
        <c:axId val="1511618848"/>
      </c:barChart>
      <c:catAx>
        <c:axId val="1498528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511618848"/>
        <c:crosses val="autoZero"/>
        <c:auto val="1"/>
        <c:lblAlgn val="ctr"/>
        <c:lblOffset val="100"/>
        <c:noMultiLvlLbl val="0"/>
      </c:catAx>
      <c:valAx>
        <c:axId val="1511618848"/>
        <c:scaling>
          <c:orientation val="minMax"/>
        </c:scaling>
        <c:delete val="1"/>
        <c:axPos val="t"/>
        <c:numFmt formatCode="#,##0" sourceLinked="1"/>
        <c:majorTickMark val="none"/>
        <c:minorTickMark val="none"/>
        <c:tickLblPos val="nextTo"/>
        <c:crossAx val="1498528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140469740282426E-2"/>
          <c:y val="1.8382352941176471E-2"/>
          <c:w val="0.98685953025971762"/>
          <c:h val="0.45957957001698319"/>
        </c:manualLayout>
      </c:layout>
      <c:barChart>
        <c:barDir val="col"/>
        <c:grouping val="clustered"/>
        <c:varyColors val="0"/>
        <c:ser>
          <c:idx val="0"/>
          <c:order val="0"/>
          <c:tx>
            <c:strRef>
              <c:f>Capacitación!$BH$5</c:f>
              <c:strCache>
                <c:ptCount val="1"/>
                <c:pt idx="0">
                  <c:v>2019</c:v>
                </c:pt>
              </c:strCache>
            </c:strRef>
          </c:tx>
          <c:spPr>
            <a:solidFill>
              <a:srgbClr val="EA8B5F"/>
            </a:solidFill>
            <a:ln>
              <a:noFill/>
            </a:ln>
            <a:effectLst>
              <a:outerShdw blurRad="50800" dist="38100" dir="2700000" algn="tl" rotWithShape="0">
                <a:prstClr val="black">
                  <a:alpha val="40000"/>
                </a:prstClr>
              </a:outerShdw>
            </a:effectLst>
          </c:spPr>
          <c:invertIfNegative val="0"/>
          <c:dLbls>
            <c:dLbl>
              <c:idx val="0"/>
              <c:layout>
                <c:manualLayout>
                  <c:x val="0"/>
                  <c:y val="1.01060081497594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A7-425D-B2E2-358C22548EAB}"/>
                </c:ext>
              </c:extLst>
            </c:dLbl>
            <c:spPr>
              <a:noFill/>
              <a:ln>
                <a:noFill/>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Capacitación!$BG$6:$BG$15</c:f>
              <c:strCache>
                <c:ptCount val="10"/>
                <c:pt idx="0">
                  <c:v>Secretaría de la 
Defensa Nacional </c:v>
                </c:pt>
                <c:pt idx="1">
                  <c:v>Órganos constitucionales 
autónomos federales</c:v>
                </c:pt>
                <c:pt idx="2">
                  <c:v>Procuraduría General de 
Justicia o Fiscalía General*</c:v>
                </c:pt>
                <c:pt idx="3">
                  <c:v>Órganos constitucionales 
autónomos estatales</c:v>
                </c:pt>
                <c:pt idx="4">
                  <c:v>Sistema Penitenciario Federal</c:v>
                </c:pt>
                <c:pt idx="5">
                  <c:v>Secretaría de Educación 
Pública u homóloga</c:v>
                </c:pt>
                <c:pt idx="6">
                  <c:v>Instituto Mexicano del 
Seguro Social</c:v>
                </c:pt>
                <c:pt idx="7">
                  <c:v>Secretaría de Gobierno 
u homóloga**</c:v>
                </c:pt>
                <c:pt idx="8">
                  <c:v>Instituto Nacional de Migración </c:v>
                </c:pt>
                <c:pt idx="9">
                  <c:v>Poder Judicial Estatal***</c:v>
                </c:pt>
              </c:strCache>
            </c:strRef>
          </c:cat>
          <c:val>
            <c:numRef>
              <c:f>Capacitación!$BH$6:$BH$15</c:f>
              <c:numCache>
                <c:formatCode>_-* #,##0_-;\-* #,##0_-;_-* "-"??_-;_-@_-</c:formatCode>
                <c:ptCount val="10"/>
                <c:pt idx="0">
                  <c:v>195706</c:v>
                </c:pt>
                <c:pt idx="1">
                  <c:v>1570</c:v>
                </c:pt>
                <c:pt idx="2">
                  <c:v>40054</c:v>
                </c:pt>
                <c:pt idx="3">
                  <c:v>11170</c:v>
                </c:pt>
                <c:pt idx="4">
                  <c:v>4161</c:v>
                </c:pt>
                <c:pt idx="5">
                  <c:v>3863</c:v>
                </c:pt>
                <c:pt idx="6">
                  <c:v>14015</c:v>
                </c:pt>
                <c:pt idx="7">
                  <c:v>7453</c:v>
                </c:pt>
                <c:pt idx="8">
                  <c:v>1391</c:v>
                </c:pt>
                <c:pt idx="9">
                  <c:v>7407</c:v>
                </c:pt>
              </c:numCache>
            </c:numRef>
          </c:val>
          <c:extLst>
            <c:ext xmlns:c16="http://schemas.microsoft.com/office/drawing/2014/chart" uri="{C3380CC4-5D6E-409C-BE32-E72D297353CC}">
              <c16:uniqueId val="{00000001-19A7-425D-B2E2-358C22548EAB}"/>
            </c:ext>
          </c:extLst>
        </c:ser>
        <c:ser>
          <c:idx val="1"/>
          <c:order val="1"/>
          <c:tx>
            <c:strRef>
              <c:f>Capacitación!$BI$5</c:f>
              <c:strCache>
                <c:ptCount val="1"/>
                <c:pt idx="0">
                  <c:v>2020</c:v>
                </c:pt>
              </c:strCache>
            </c:strRef>
          </c:tx>
          <c:spPr>
            <a:solidFill>
              <a:srgbClr val="285172"/>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Capacitación!$BG$6:$BG$15</c:f>
              <c:strCache>
                <c:ptCount val="10"/>
                <c:pt idx="0">
                  <c:v>Secretaría de la 
Defensa Nacional </c:v>
                </c:pt>
                <c:pt idx="1">
                  <c:v>Órganos constitucionales 
autónomos federales</c:v>
                </c:pt>
                <c:pt idx="2">
                  <c:v>Procuraduría General de 
Justicia o Fiscalía General*</c:v>
                </c:pt>
                <c:pt idx="3">
                  <c:v>Órganos constitucionales 
autónomos estatales</c:v>
                </c:pt>
                <c:pt idx="4">
                  <c:v>Sistema Penitenciario Federal</c:v>
                </c:pt>
                <c:pt idx="5">
                  <c:v>Secretaría de Educación 
Pública u homóloga</c:v>
                </c:pt>
                <c:pt idx="6">
                  <c:v>Instituto Mexicano del 
Seguro Social</c:v>
                </c:pt>
                <c:pt idx="7">
                  <c:v>Secretaría de Gobierno 
u homóloga**</c:v>
                </c:pt>
                <c:pt idx="8">
                  <c:v>Instituto Nacional de Migración </c:v>
                </c:pt>
                <c:pt idx="9">
                  <c:v>Poder Judicial Estatal***</c:v>
                </c:pt>
              </c:strCache>
            </c:strRef>
          </c:cat>
          <c:val>
            <c:numRef>
              <c:f>Capacitación!$BI$6:$BI$15</c:f>
              <c:numCache>
                <c:formatCode>_-* #,##0_-;\-* #,##0_-;_-* "-"??_-;_-@_-</c:formatCode>
                <c:ptCount val="10"/>
                <c:pt idx="0">
                  <c:v>45109</c:v>
                </c:pt>
                <c:pt idx="1">
                  <c:v>43182</c:v>
                </c:pt>
                <c:pt idx="2">
                  <c:v>24388</c:v>
                </c:pt>
                <c:pt idx="3">
                  <c:v>14959</c:v>
                </c:pt>
                <c:pt idx="4">
                  <c:v>8611</c:v>
                </c:pt>
                <c:pt idx="5">
                  <c:v>6220</c:v>
                </c:pt>
                <c:pt idx="6">
                  <c:v>5870</c:v>
                </c:pt>
                <c:pt idx="7">
                  <c:v>5626</c:v>
                </c:pt>
                <c:pt idx="8">
                  <c:v>3112</c:v>
                </c:pt>
                <c:pt idx="9">
                  <c:v>2830</c:v>
                </c:pt>
              </c:numCache>
            </c:numRef>
          </c:val>
          <c:extLst>
            <c:ext xmlns:c16="http://schemas.microsoft.com/office/drawing/2014/chart" uri="{C3380CC4-5D6E-409C-BE32-E72D297353CC}">
              <c16:uniqueId val="{00000003-19A7-425D-B2E2-358C22548EAB}"/>
            </c:ext>
          </c:extLst>
        </c:ser>
        <c:dLbls>
          <c:dLblPos val="outEnd"/>
          <c:showLegendKey val="0"/>
          <c:showVal val="1"/>
          <c:showCatName val="0"/>
          <c:showSerName val="0"/>
          <c:showPercent val="0"/>
          <c:showBubbleSize val="0"/>
        </c:dLbls>
        <c:gapWidth val="50"/>
        <c:overlap val="-27"/>
        <c:axId val="1717996688"/>
        <c:axId val="1718004592"/>
      </c:barChart>
      <c:catAx>
        <c:axId val="171799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718004592"/>
        <c:crosses val="autoZero"/>
        <c:auto val="1"/>
        <c:lblAlgn val="ctr"/>
        <c:lblOffset val="100"/>
        <c:noMultiLvlLbl val="0"/>
      </c:catAx>
      <c:valAx>
        <c:axId val="1718004592"/>
        <c:scaling>
          <c:orientation val="minMax"/>
        </c:scaling>
        <c:delete val="1"/>
        <c:axPos val="l"/>
        <c:numFmt formatCode="_-* #,##0_-;\-* #,##0_-;_-* &quot;-&quot;??_-;_-@_-" sourceLinked="1"/>
        <c:majorTickMark val="none"/>
        <c:minorTickMark val="none"/>
        <c:tickLblPos val="nextTo"/>
        <c:crossAx val="1717996688"/>
        <c:crosses val="autoZero"/>
        <c:crossBetween val="between"/>
      </c:valAx>
      <c:spPr>
        <a:noFill/>
        <a:ln>
          <a:noFill/>
        </a:ln>
        <a:effectLst/>
      </c:spPr>
    </c:plotArea>
    <c:legend>
      <c:legendPos val="b"/>
      <c:layout>
        <c:manualLayout>
          <c:xMode val="edge"/>
          <c:yMode val="edge"/>
          <c:x val="0.81137608440244668"/>
          <c:y val="1.1926140811345934E-3"/>
          <c:w val="0.17479372367893944"/>
          <c:h val="0.15343442823323555"/>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40404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2000">
          <a:solidFill>
            <a:srgbClr val="40404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68943193364376E-2"/>
          <c:y val="0.11569272802729871"/>
          <c:w val="0.96485377875726952"/>
          <c:h val="0.33254400488874392"/>
        </c:manualLayout>
      </c:layout>
      <c:barChart>
        <c:barDir val="col"/>
        <c:grouping val="clustered"/>
        <c:varyColors val="0"/>
        <c:ser>
          <c:idx val="0"/>
          <c:order val="0"/>
          <c:tx>
            <c:strRef>
              <c:f>SPEvCap!$L$36</c:f>
              <c:strCache>
                <c:ptCount val="1"/>
                <c:pt idx="0">
                  <c:v>2019</c:v>
                </c:pt>
              </c:strCache>
            </c:strRef>
          </c:tx>
          <c:spPr>
            <a:solidFill>
              <a:srgbClr val="EA8B5F"/>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EA8B5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07D3-4D85-82EB-9A22E6C5F6F8}"/>
              </c:ext>
            </c:extLst>
          </c:dPt>
          <c:dLbls>
            <c:spPr>
              <a:noFill/>
              <a:ln>
                <a:noFill/>
              </a:ln>
              <a:effectLst/>
            </c:spPr>
            <c:txPr>
              <a:bodyPr rot="-5400000" spcFirstLastPara="1" vertOverflow="ellipsis"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(SPEvCap!$K$37,SPEvCap!$K$40:$K$46,SPEvCap!$K$49:$K$50)</c:f>
              <c:strCache>
                <c:ptCount val="10"/>
                <c:pt idx="0">
                  <c:v>Secretaría de Educación Pública u homóloga de la entidad federativa</c:v>
                </c:pt>
                <c:pt idx="1">
                  <c:v>Institución encargada de la función de seguridad pública y/o vialidad de los municipios o demarcaciones territoriales</c:v>
                </c:pt>
                <c:pt idx="2">
                  <c:v>Organismos constitucionales autónomos estatales</c:v>
                </c:pt>
                <c:pt idx="3">
                  <c:v>Secretaría de Salud u homóloga de la entidad federativa</c:v>
                </c:pt>
                <c:pt idx="4">
                  <c:v>Institución encargada de la función de seguridad pública de la entidad federativa*</c:v>
                </c:pt>
                <c:pt idx="5">
                  <c:v>Secretaría de Gobierno u homóloga de la entidad federativa**</c:v>
                </c:pt>
                <c:pt idx="6">
                  <c:v>Presidente(a) municipal o alcalde(sa)</c:v>
                </c:pt>
                <c:pt idx="7">
                  <c:v>Comisión Estatal de Atención a Víctimas u homóloga de la entidad federativa</c:v>
                </c:pt>
                <c:pt idx="8">
                  <c:v>Procuraduría General de Justicia o Fiscalía General  de la entidad federativa***</c:v>
                </c:pt>
                <c:pt idx="9">
                  <c:v>Sistema Penitenciario Estatal</c:v>
                </c:pt>
              </c:strCache>
              <c:extLst/>
            </c:strRef>
          </c:cat>
          <c:val>
            <c:numRef>
              <c:f>(SPEvCap!$L$37,SPEvCap!$L$40:$L$46,SPEvCap!$L$49:$L$50)</c:f>
              <c:numCache>
                <c:formatCode>#,##0</c:formatCode>
                <c:ptCount val="10"/>
                <c:pt idx="0">
                  <c:v>71282</c:v>
                </c:pt>
                <c:pt idx="1">
                  <c:v>33107</c:v>
                </c:pt>
                <c:pt idx="2">
                  <c:v>10443</c:v>
                </c:pt>
                <c:pt idx="3">
                  <c:v>44984</c:v>
                </c:pt>
                <c:pt idx="4">
                  <c:v>42068</c:v>
                </c:pt>
                <c:pt idx="5">
                  <c:v>15494</c:v>
                </c:pt>
                <c:pt idx="6">
                  <c:v>14269</c:v>
                </c:pt>
                <c:pt idx="7">
                  <c:v>678</c:v>
                </c:pt>
                <c:pt idx="8">
                  <c:v>13130</c:v>
                </c:pt>
                <c:pt idx="9">
                  <c:v>13773</c:v>
                </c:pt>
              </c:numCache>
              <c:extLst/>
            </c:numRef>
          </c:val>
          <c:extLst>
            <c:ext xmlns:c16="http://schemas.microsoft.com/office/drawing/2014/chart" uri="{C3380CC4-5D6E-409C-BE32-E72D297353CC}">
              <c16:uniqueId val="{00000002-07D3-4D85-82EB-9A22E6C5F6F8}"/>
            </c:ext>
          </c:extLst>
        </c:ser>
        <c:ser>
          <c:idx val="1"/>
          <c:order val="1"/>
          <c:tx>
            <c:strRef>
              <c:f>SPEvCap!$M$36</c:f>
              <c:strCache>
                <c:ptCount val="1"/>
                <c:pt idx="0">
                  <c:v>2020</c:v>
                </c:pt>
              </c:strCache>
            </c:strRef>
          </c:tx>
          <c:spPr>
            <a:solidFill>
              <a:srgbClr val="285172"/>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285172"/>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4-07D3-4D85-82EB-9A22E6C5F6F8}"/>
              </c:ext>
            </c:extLst>
          </c:dPt>
          <c:dLbls>
            <c:spPr>
              <a:noFill/>
              <a:ln>
                <a:noFill/>
              </a:ln>
              <a:effectLst/>
            </c:spPr>
            <c:txPr>
              <a:bodyPr rot="-5400000" spcFirstLastPara="1" vertOverflow="ellipsis"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(SPEvCap!$K$37,SPEvCap!$K$40:$K$46,SPEvCap!$K$49:$K$50)</c:f>
              <c:strCache>
                <c:ptCount val="10"/>
                <c:pt idx="0">
                  <c:v>Secretaría de Educación Pública u homóloga de la entidad federativa</c:v>
                </c:pt>
                <c:pt idx="1">
                  <c:v>Institución encargada de la función de seguridad pública y/o vialidad de los municipios o demarcaciones territoriales</c:v>
                </c:pt>
                <c:pt idx="2">
                  <c:v>Organismos constitucionales autónomos estatales</c:v>
                </c:pt>
                <c:pt idx="3">
                  <c:v>Secretaría de Salud u homóloga de la entidad federativa</c:v>
                </c:pt>
                <c:pt idx="4">
                  <c:v>Institución encargada de la función de seguridad pública de la entidad federativa*</c:v>
                </c:pt>
                <c:pt idx="5">
                  <c:v>Secretaría de Gobierno u homóloga de la entidad federativa**</c:v>
                </c:pt>
                <c:pt idx="6">
                  <c:v>Presidente(a) municipal o alcalde(sa)</c:v>
                </c:pt>
                <c:pt idx="7">
                  <c:v>Comisión Estatal de Atención a Víctimas u homóloga de la entidad federativa</c:v>
                </c:pt>
                <c:pt idx="8">
                  <c:v>Procuraduría General de Justicia o Fiscalía General  de la entidad federativa***</c:v>
                </c:pt>
                <c:pt idx="9">
                  <c:v>Sistema Penitenciario Estatal</c:v>
                </c:pt>
              </c:strCache>
              <c:extLst/>
            </c:strRef>
          </c:cat>
          <c:val>
            <c:numRef>
              <c:f>(SPEvCap!$M$37,SPEvCap!$M$40:$M$46,SPEvCap!$M$49:$M$50)</c:f>
              <c:numCache>
                <c:formatCode>#,##0</c:formatCode>
                <c:ptCount val="10"/>
                <c:pt idx="0">
                  <c:v>199482</c:v>
                </c:pt>
                <c:pt idx="1">
                  <c:v>27950</c:v>
                </c:pt>
                <c:pt idx="2">
                  <c:v>26912</c:v>
                </c:pt>
                <c:pt idx="3">
                  <c:v>26347</c:v>
                </c:pt>
                <c:pt idx="4">
                  <c:v>24269</c:v>
                </c:pt>
                <c:pt idx="5">
                  <c:v>21971</c:v>
                </c:pt>
                <c:pt idx="6">
                  <c:v>21619</c:v>
                </c:pt>
                <c:pt idx="7">
                  <c:v>16027</c:v>
                </c:pt>
                <c:pt idx="8">
                  <c:v>11399</c:v>
                </c:pt>
                <c:pt idx="9">
                  <c:v>8034</c:v>
                </c:pt>
              </c:numCache>
              <c:extLst/>
            </c:numRef>
          </c:val>
          <c:extLst>
            <c:ext xmlns:c16="http://schemas.microsoft.com/office/drawing/2014/chart" uri="{C3380CC4-5D6E-409C-BE32-E72D297353CC}">
              <c16:uniqueId val="{00000005-07D3-4D85-82EB-9A22E6C5F6F8}"/>
            </c:ext>
          </c:extLst>
        </c:ser>
        <c:dLbls>
          <c:dLblPos val="outEnd"/>
          <c:showLegendKey val="0"/>
          <c:showVal val="1"/>
          <c:showCatName val="0"/>
          <c:showSerName val="0"/>
          <c:showPercent val="0"/>
          <c:showBubbleSize val="0"/>
        </c:dLbls>
        <c:gapWidth val="80"/>
        <c:overlap val="-27"/>
        <c:axId val="755313455"/>
        <c:axId val="755314287"/>
      </c:barChart>
      <c:catAx>
        <c:axId val="755313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755314287"/>
        <c:crosses val="autoZero"/>
        <c:auto val="1"/>
        <c:lblAlgn val="ctr"/>
        <c:lblOffset val="100"/>
        <c:noMultiLvlLbl val="0"/>
      </c:catAx>
      <c:valAx>
        <c:axId val="755314287"/>
        <c:scaling>
          <c:orientation val="minMax"/>
        </c:scaling>
        <c:delete val="1"/>
        <c:axPos val="l"/>
        <c:numFmt formatCode="#,##0" sourceLinked="1"/>
        <c:majorTickMark val="none"/>
        <c:minorTickMark val="none"/>
        <c:tickLblPos val="nextTo"/>
        <c:crossAx val="755313455"/>
        <c:crosses val="autoZero"/>
        <c:crossBetween val="between"/>
      </c:valAx>
      <c:spPr>
        <a:noFill/>
        <a:ln w="25400">
          <a:noFill/>
        </a:ln>
        <a:effectLst/>
      </c:spPr>
    </c:plotArea>
    <c:legend>
      <c:legendPos val="b"/>
      <c:layout>
        <c:manualLayout>
          <c:xMode val="edge"/>
          <c:yMode val="edge"/>
          <c:x val="0.80473765820817889"/>
          <c:y val="2.1805013621650642E-2"/>
          <c:w val="0.16533503004687772"/>
          <c:h val="0.12757044996929157"/>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r">
        <a:defRPr lang="en-US" sz="1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821997846882009E-2"/>
          <c:y val="2.7892287453082757E-2"/>
          <c:w val="0.95859160473685956"/>
          <c:h val="0.75012677437088349"/>
        </c:manualLayout>
      </c:layout>
      <c:barChart>
        <c:barDir val="col"/>
        <c:grouping val="clustered"/>
        <c:varyColors val="0"/>
        <c:ser>
          <c:idx val="1"/>
          <c:order val="1"/>
          <c:tx>
            <c:strRef>
              <c:f>'m2'!$D$139</c:f>
              <c:strCache>
                <c:ptCount val="1"/>
                <c:pt idx="0">
                  <c:v>CNDH</c:v>
                </c:pt>
              </c:strCache>
            </c:strRef>
          </c:tx>
          <c:spPr>
            <a:solidFill>
              <a:srgbClr val="EA8B5F"/>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MX" sz="800" b="1" i="0" u="none" strike="noStrike" kern="1200" baseline="0">
                    <a:solidFill>
                      <a:srgbClr val="EA8B5F"/>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'm2'!$B$140:$B$143</c:f>
              <c:numCache>
                <c:formatCode>General</c:formatCode>
                <c:ptCount val="4"/>
                <c:pt idx="0">
                  <c:v>2017</c:v>
                </c:pt>
                <c:pt idx="1">
                  <c:v>2018</c:v>
                </c:pt>
                <c:pt idx="2">
                  <c:v>2019</c:v>
                </c:pt>
                <c:pt idx="3">
                  <c:v>2020</c:v>
                </c:pt>
              </c:numCache>
            </c:numRef>
          </c:cat>
          <c:val>
            <c:numRef>
              <c:f>'m2'!$D$140:$D$143</c:f>
              <c:numCache>
                <c:formatCode>#,##0</c:formatCode>
                <c:ptCount val="4"/>
                <c:pt idx="0">
                  <c:v>21699</c:v>
                </c:pt>
                <c:pt idx="1">
                  <c:v>34494</c:v>
                </c:pt>
                <c:pt idx="2">
                  <c:v>49835</c:v>
                </c:pt>
                <c:pt idx="3">
                  <c:v>37120</c:v>
                </c:pt>
              </c:numCache>
            </c:numRef>
          </c:val>
          <c:extLst>
            <c:ext xmlns:c16="http://schemas.microsoft.com/office/drawing/2014/chart" uri="{C3380CC4-5D6E-409C-BE32-E72D297353CC}">
              <c16:uniqueId val="{00000000-E270-4FED-9548-BBDE7BE56673}"/>
            </c:ext>
          </c:extLst>
        </c:ser>
        <c:ser>
          <c:idx val="2"/>
          <c:order val="2"/>
          <c:tx>
            <c:strRef>
              <c:f>'m2'!$E$139</c:f>
              <c:strCache>
                <c:ptCount val="1"/>
                <c:pt idx="0">
                  <c:v>OPDH</c:v>
                </c:pt>
              </c:strCache>
            </c:strRef>
          </c:tx>
          <c:spPr>
            <a:solidFill>
              <a:srgbClr val="804053"/>
            </a:solidFill>
            <a:ln>
              <a:noFill/>
            </a:ln>
            <a:effectLst>
              <a:outerShdw blurRad="50800" dist="38100" dir="2700000" algn="tl" rotWithShape="0">
                <a:prstClr val="black">
                  <a:alpha val="40000"/>
                </a:prstClr>
              </a:outerShdw>
            </a:effectLst>
          </c:spPr>
          <c:invertIfNegative val="0"/>
          <c:dLbls>
            <c:dLbl>
              <c:idx val="0"/>
              <c:layout>
                <c:manualLayout>
                  <c:x val="0"/>
                  <c:y val="0.10618529333687285"/>
                </c:manualLayout>
              </c:layout>
              <c:spPr>
                <a:noFill/>
                <a:ln>
                  <a:noFill/>
                </a:ln>
                <a:effectLst/>
              </c:spPr>
              <c:txPr>
                <a:bodyPr rot="0" spcFirstLastPara="1" vertOverflow="ellipsis" vert="horz" wrap="square" lIns="38100" tIns="19050" rIns="38100" bIns="19050" anchor="ctr" anchorCtr="0">
                  <a:spAutoFit/>
                </a:bodyPr>
                <a:lstStyle/>
                <a:p>
                  <a:pPr algn="ctr">
                    <a:defRPr lang="es-MX"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70-4FED-9548-BBDE7BE56673}"/>
                </c:ext>
              </c:extLst>
            </c:dLbl>
            <c:dLbl>
              <c:idx val="1"/>
              <c:layout>
                <c:manualLayout>
                  <c:x val="0"/>
                  <c:y val="9.5566764003185561E-2"/>
                </c:manualLayout>
              </c:layout>
              <c:spPr>
                <a:noFill/>
                <a:ln>
                  <a:noFill/>
                </a:ln>
                <a:effectLst/>
              </c:spPr>
              <c:txPr>
                <a:bodyPr rot="0" spcFirstLastPara="1" vertOverflow="ellipsis" vert="horz" wrap="square" lIns="38100" tIns="19050" rIns="38100" bIns="19050" anchor="ctr" anchorCtr="0">
                  <a:spAutoFit/>
                </a:bodyPr>
                <a:lstStyle/>
                <a:p>
                  <a:pPr algn="ctr">
                    <a:defRPr lang="es-MX"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70-4FED-9548-BBDE7BE56673}"/>
                </c:ext>
              </c:extLst>
            </c:dLbl>
            <c:dLbl>
              <c:idx val="2"/>
              <c:layout>
                <c:manualLayout>
                  <c:x val="-8.0994572774679877E-17"/>
                  <c:y val="9.0257499336341945E-2"/>
                </c:manualLayout>
              </c:layout>
              <c:spPr>
                <a:noFill/>
                <a:ln>
                  <a:noFill/>
                </a:ln>
                <a:effectLst/>
              </c:spPr>
              <c:txPr>
                <a:bodyPr rot="0" spcFirstLastPara="1" vertOverflow="ellipsis" vert="horz" wrap="square" lIns="38100" tIns="19050" rIns="38100" bIns="19050" anchor="ctr" anchorCtr="0">
                  <a:spAutoFit/>
                </a:bodyPr>
                <a:lstStyle/>
                <a:p>
                  <a:pPr algn="ctr">
                    <a:defRPr lang="es-MX"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70-4FED-9548-BBDE7BE56673}"/>
                </c:ext>
              </c:extLst>
            </c:dLbl>
            <c:dLbl>
              <c:idx val="3"/>
              <c:layout>
                <c:manualLayout>
                  <c:x val="0"/>
                  <c:y val="0.10087602867002921"/>
                </c:manualLayout>
              </c:layout>
              <c:spPr>
                <a:noFill/>
                <a:ln>
                  <a:noFill/>
                </a:ln>
                <a:effectLst/>
              </c:spPr>
              <c:txPr>
                <a:bodyPr rot="0" spcFirstLastPara="1" vertOverflow="ellipsis" vert="horz" wrap="square" lIns="38100" tIns="19050" rIns="38100" bIns="19050" anchor="ctr" anchorCtr="0">
                  <a:spAutoFit/>
                </a:bodyPr>
                <a:lstStyle/>
                <a:p>
                  <a:pPr algn="ctr">
                    <a:defRPr lang="es-MX"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70-4FED-9548-BBDE7BE56673}"/>
                </c:ext>
              </c:extLst>
            </c:dLbl>
            <c:spPr>
              <a:noFill/>
              <a:ln>
                <a:noFill/>
              </a:ln>
              <a:effectLst/>
            </c:spPr>
            <c:txPr>
              <a:bodyPr rot="0" spcFirstLastPara="1" vertOverflow="ellipsis" vert="horz" wrap="square" lIns="38100" tIns="19050" rIns="38100" bIns="19050" anchor="ctr" anchorCtr="0">
                <a:spAutoFit/>
              </a:bodyPr>
              <a:lstStyle/>
              <a:p>
                <a:pPr algn="ctr">
                  <a:defRPr lang="es-MX" sz="800" b="1" i="0" u="none" strike="noStrike" kern="1200" baseline="0">
                    <a:solidFill>
                      <a:srgbClr val="804053"/>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'm2'!$B$140:$B$143</c:f>
              <c:numCache>
                <c:formatCode>General</c:formatCode>
                <c:ptCount val="4"/>
                <c:pt idx="0">
                  <c:v>2017</c:v>
                </c:pt>
                <c:pt idx="1">
                  <c:v>2018</c:v>
                </c:pt>
                <c:pt idx="2">
                  <c:v>2019</c:v>
                </c:pt>
                <c:pt idx="3">
                  <c:v>2020</c:v>
                </c:pt>
              </c:numCache>
            </c:numRef>
          </c:cat>
          <c:val>
            <c:numRef>
              <c:f>'m2'!$E$140:$E$143</c:f>
              <c:numCache>
                <c:formatCode>#,##0</c:formatCode>
                <c:ptCount val="4"/>
                <c:pt idx="0">
                  <c:v>223002</c:v>
                </c:pt>
                <c:pt idx="1">
                  <c:v>264561</c:v>
                </c:pt>
                <c:pt idx="2">
                  <c:v>323747</c:v>
                </c:pt>
                <c:pt idx="3">
                  <c:v>169646</c:v>
                </c:pt>
              </c:numCache>
            </c:numRef>
          </c:val>
          <c:extLst>
            <c:ext xmlns:c16="http://schemas.microsoft.com/office/drawing/2014/chart" uri="{C3380CC4-5D6E-409C-BE32-E72D297353CC}">
              <c16:uniqueId val="{00000001-E270-4FED-9548-BBDE7BE56673}"/>
            </c:ext>
          </c:extLst>
        </c:ser>
        <c:dLbls>
          <c:showLegendKey val="0"/>
          <c:showVal val="0"/>
          <c:showCatName val="0"/>
          <c:showSerName val="0"/>
          <c:showPercent val="0"/>
          <c:showBubbleSize val="0"/>
        </c:dLbls>
        <c:gapWidth val="50"/>
        <c:axId val="1843439327"/>
        <c:axId val="1666268351"/>
      </c:barChart>
      <c:lineChart>
        <c:grouping val="standard"/>
        <c:varyColors val="0"/>
        <c:ser>
          <c:idx val="0"/>
          <c:order val="0"/>
          <c:tx>
            <c:strRef>
              <c:f>'m2'!$C$139</c:f>
              <c:strCache>
                <c:ptCount val="1"/>
                <c:pt idx="0">
                  <c:v>Total </c:v>
                </c:pt>
              </c:strCache>
            </c:strRef>
          </c:tx>
          <c:spPr>
            <a:ln w="28575" cap="rnd">
              <a:solidFill>
                <a:schemeClr val="bg1">
                  <a:lumMod val="75000"/>
                </a:schemeClr>
              </a:solidFill>
              <a:round/>
            </a:ln>
            <a:effectLst>
              <a:outerShdw blurRad="50800" dist="38100" dir="2700000" algn="tl" rotWithShape="0">
                <a:prstClr val="black">
                  <a:alpha val="40000"/>
                </a:prstClr>
              </a:outerShdw>
            </a:effectLst>
          </c:spPr>
          <c:marker>
            <c:symbol val="diamond"/>
            <c:size val="6"/>
            <c:spPr>
              <a:solidFill>
                <a:schemeClr val="bg1">
                  <a:lumMod val="75000"/>
                </a:schemeClr>
              </a:solidFill>
              <a:ln w="9525">
                <a:solidFill>
                  <a:schemeClr val="bg1">
                    <a:lumMod val="75000"/>
                  </a:schemeClr>
                </a:solidFill>
              </a:ln>
              <a:effectLst>
                <a:outerShdw blurRad="50800" dist="38100" dir="2700000" algn="tl" rotWithShape="0">
                  <a:prstClr val="black">
                    <a:alpha val="40000"/>
                  </a:prstClr>
                </a:outerShdw>
              </a:effectLst>
            </c:spPr>
          </c:marker>
          <c:dLbls>
            <c:dLbl>
              <c:idx val="0"/>
              <c:layout>
                <c:manualLayout>
                  <c:x val="-4.9590645105743493E-2"/>
                  <c:y val="-3.9399760456011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70-4FED-9548-BBDE7BE56673}"/>
                </c:ext>
              </c:extLst>
            </c:dLbl>
            <c:dLbl>
              <c:idx val="1"/>
              <c:layout>
                <c:manualLayout>
                  <c:x val="-5.5237255382838656E-2"/>
                  <c:y val="-4.4709025122855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70-4FED-9548-BBDE7BE56673}"/>
                </c:ext>
              </c:extLst>
            </c:dLbl>
            <c:dLbl>
              <c:idx val="2"/>
              <c:layout>
                <c:manualLayout>
                  <c:x val="-4.7381676693991862E-2"/>
                  <c:y val="-3.8510981189735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70-4FED-9548-BBDE7BE56673}"/>
                </c:ext>
              </c:extLst>
            </c:dLbl>
            <c:dLbl>
              <c:idx val="3"/>
              <c:layout>
                <c:manualLayout>
                  <c:x val="-7.2021066949136325E-3"/>
                  <c:y val="-1.7273922522360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70-4FED-9548-BBDE7BE56673}"/>
                </c:ext>
              </c:extLst>
            </c:dLbl>
            <c:spPr>
              <a:noFill/>
              <a:ln>
                <a:noFill/>
              </a:ln>
              <a:effectLst/>
            </c:spPr>
            <c:txPr>
              <a:bodyPr rot="0" spcFirstLastPara="1" vertOverflow="ellipsis" vert="horz" wrap="square" lIns="38100" tIns="19050" rIns="38100" bIns="19050" anchor="ctr" anchorCtr="0">
                <a:spAutoFit/>
              </a:bodyPr>
              <a:lstStyle/>
              <a:p>
                <a:pPr algn="ctr">
                  <a:defRPr lang="es-MX" sz="8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'm2'!$B$140:$B$143</c:f>
              <c:numCache>
                <c:formatCode>General</c:formatCode>
                <c:ptCount val="4"/>
                <c:pt idx="0">
                  <c:v>2017</c:v>
                </c:pt>
                <c:pt idx="1">
                  <c:v>2018</c:v>
                </c:pt>
                <c:pt idx="2">
                  <c:v>2019</c:v>
                </c:pt>
                <c:pt idx="3">
                  <c:v>2020</c:v>
                </c:pt>
              </c:numCache>
            </c:numRef>
          </c:cat>
          <c:val>
            <c:numRef>
              <c:f>'m2'!$C$140:$C$143</c:f>
              <c:numCache>
                <c:formatCode>#,##0</c:formatCode>
                <c:ptCount val="4"/>
                <c:pt idx="0">
                  <c:v>244701</c:v>
                </c:pt>
                <c:pt idx="1">
                  <c:v>299055</c:v>
                </c:pt>
                <c:pt idx="2">
                  <c:v>373582</c:v>
                </c:pt>
                <c:pt idx="3">
                  <c:v>206766</c:v>
                </c:pt>
              </c:numCache>
            </c:numRef>
          </c:val>
          <c:smooth val="0"/>
          <c:extLst>
            <c:ext xmlns:c16="http://schemas.microsoft.com/office/drawing/2014/chart" uri="{C3380CC4-5D6E-409C-BE32-E72D297353CC}">
              <c16:uniqueId val="{00000006-E270-4FED-9548-BBDE7BE56673}"/>
            </c:ext>
          </c:extLst>
        </c:ser>
        <c:dLbls>
          <c:showLegendKey val="0"/>
          <c:showVal val="0"/>
          <c:showCatName val="0"/>
          <c:showSerName val="0"/>
          <c:showPercent val="0"/>
          <c:showBubbleSize val="0"/>
        </c:dLbls>
        <c:marker val="1"/>
        <c:smooth val="0"/>
        <c:axId val="1843439327"/>
        <c:axId val="1666268351"/>
      </c:lineChart>
      <c:catAx>
        <c:axId val="1843439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666268351"/>
        <c:crosses val="autoZero"/>
        <c:auto val="1"/>
        <c:lblAlgn val="ctr"/>
        <c:lblOffset val="100"/>
        <c:noMultiLvlLbl val="0"/>
      </c:catAx>
      <c:valAx>
        <c:axId val="1666268351"/>
        <c:scaling>
          <c:orientation val="minMax"/>
        </c:scaling>
        <c:delete val="1"/>
        <c:axPos val="l"/>
        <c:numFmt formatCode="#,##0" sourceLinked="1"/>
        <c:majorTickMark val="none"/>
        <c:minorTickMark val="none"/>
        <c:tickLblPos val="nextTo"/>
        <c:crossAx val="1843439327"/>
        <c:crosses val="autoZero"/>
        <c:crossBetween val="between"/>
      </c:valAx>
      <c:spPr>
        <a:noFill/>
        <a:ln>
          <a:noFill/>
        </a:ln>
        <a:effectLst/>
      </c:spPr>
    </c:plotArea>
    <c:legend>
      <c:legendPos val="b"/>
      <c:layout>
        <c:manualLayout>
          <c:xMode val="edge"/>
          <c:yMode val="edge"/>
          <c:x val="0.27063428701630982"/>
          <c:y val="0.94127270335808022"/>
          <c:w val="0.48517364752865139"/>
          <c:h val="4.942986749089230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191602459012927E-2"/>
          <c:y val="7.4852352969858871E-2"/>
          <c:w val="0.45915243360605912"/>
          <c:h val="0.8024182049490014"/>
        </c:manualLayout>
      </c:layout>
      <c:pieChart>
        <c:varyColors val="1"/>
        <c:ser>
          <c:idx val="0"/>
          <c:order val="0"/>
          <c:tx>
            <c:strRef>
              <c:f>'m2'!$B$146</c:f>
              <c:strCache>
                <c:ptCount val="1"/>
                <c:pt idx="0">
                  <c:v>%</c:v>
                </c:pt>
              </c:strCache>
            </c:strRef>
          </c:tx>
          <c:spPr>
            <a:effectLst>
              <a:outerShdw blurRad="50800" dist="38100" dir="2700000" algn="tl" rotWithShape="0">
                <a:prstClr val="black">
                  <a:alpha val="40000"/>
                </a:prstClr>
              </a:outerShdw>
            </a:effectLst>
          </c:spPr>
          <c:dPt>
            <c:idx val="0"/>
            <c:bubble3D val="0"/>
            <c:spPr>
              <a:solidFill>
                <a:srgbClr val="5D7C6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C021-4BD9-B9DD-4B45CEE0DC78}"/>
              </c:ext>
            </c:extLst>
          </c:dPt>
          <c:dPt>
            <c:idx val="1"/>
            <c:bubble3D val="0"/>
            <c:spPr>
              <a:solidFill>
                <a:srgbClr val="87AD8A"/>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C021-4BD9-B9DD-4B45CEE0DC78}"/>
              </c:ext>
            </c:extLst>
          </c:dPt>
          <c:dPt>
            <c:idx val="2"/>
            <c:bubble3D val="0"/>
            <c:spPr>
              <a:solidFill>
                <a:srgbClr val="A9D3A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C021-4BD9-B9DD-4B45CEE0DC78}"/>
              </c:ext>
            </c:extLst>
          </c:dPt>
          <c:dPt>
            <c:idx val="3"/>
            <c:bubble3D val="0"/>
            <c:spPr>
              <a:solidFill>
                <a:srgbClr val="EAC479"/>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C021-4BD9-B9DD-4B45CEE0DC78}"/>
              </c:ext>
            </c:extLst>
          </c:dPt>
          <c:dPt>
            <c:idx val="4"/>
            <c:bubble3D val="0"/>
            <c:spPr>
              <a:solidFill>
                <a:srgbClr val="F2D9B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C021-4BD9-B9DD-4B45CEE0DC78}"/>
              </c:ext>
            </c:extLst>
          </c:dPt>
          <c:dPt>
            <c:idx val="5"/>
            <c:bubble3D val="0"/>
            <c:spPr>
              <a:solidFill>
                <a:srgbClr val="AF8D9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B-C021-4BD9-B9DD-4B45CEE0DC78}"/>
              </c:ext>
            </c:extLst>
          </c:dPt>
          <c:dPt>
            <c:idx val="6"/>
            <c:bubble3D val="0"/>
            <c:spPr>
              <a:solidFill>
                <a:schemeClr val="accent3"/>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D-C021-4BD9-B9DD-4B45CEE0DC78}"/>
              </c:ext>
            </c:extLst>
          </c:dPt>
          <c:dLbls>
            <c:dLbl>
              <c:idx val="0"/>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6="http://schemas.microsoft.com/office/drawing/2014/chart" uri="{C3380CC4-5D6E-409C-BE32-E72D297353CC}">
                  <c16:uniqueId val="{00000001-C021-4BD9-B9DD-4B45CEE0DC78}"/>
                </c:ext>
              </c:extLst>
            </c:dLbl>
            <c:dLbl>
              <c:idx val="3"/>
              <c:layout>
                <c:manualLayout>
                  <c:x val="4.5714903190597839E-3"/>
                  <c:y val="2.9913571235817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21-4BD9-B9DD-4B45CEE0DC78}"/>
                </c:ext>
              </c:extLst>
            </c:dLbl>
            <c:dLbl>
              <c:idx val="4"/>
              <c:layout>
                <c:manualLayout>
                  <c:x val="2.8858832837282901E-3"/>
                  <c:y val="1.5243573276744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21-4BD9-B9DD-4B45CEE0DC78}"/>
                </c:ext>
              </c:extLst>
            </c:dLbl>
            <c:dLbl>
              <c:idx val="5"/>
              <c:layout>
                <c:manualLayout>
                  <c:x val="2.7851254593175855E-2"/>
                  <c:y val="8.0918428503523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21-4BD9-B9DD-4B45CEE0DC78}"/>
                </c:ext>
              </c:extLst>
            </c:dLbl>
            <c:dLbl>
              <c:idx val="6"/>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6="http://schemas.microsoft.com/office/drawing/2014/chart" uri="{C3380CC4-5D6E-409C-BE32-E72D297353CC}">
                  <c16:uniqueId val="{0000000D-C021-4BD9-B9DD-4B45CEE0DC78}"/>
                </c:ext>
              </c:extLst>
            </c:dLbl>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1"/>
            <c:leaderLines>
              <c:spPr>
                <a:ln w="9525">
                  <a:solidFill>
                    <a:srgbClr val="AF8D95"/>
                  </a:solidFill>
                </a:ln>
                <a:effectLst/>
              </c:spPr>
            </c:leaderLines>
            <c:extLst>
              <c:ext xmlns:c15="http://schemas.microsoft.com/office/drawing/2012/chart" uri="{CE6537A1-D6FC-4f65-9D91-7224C49458BB}"/>
            </c:extLst>
          </c:dLbls>
          <c:cat>
            <c:strRef>
              <c:f>'m2'!$A$147:$A$153</c:f>
              <c:strCache>
                <c:ptCount val="7"/>
                <c:pt idx="0">
                  <c:v>Asesoría u orientación integral</c:v>
                </c:pt>
                <c:pt idx="1">
                  <c:v>Atención mediante gestiones con la autoridad</c:v>
                </c:pt>
                <c:pt idx="2">
                  <c:v>Atención mediante oficios o expedientes de canalización, colaboración o intervención*</c:v>
                </c:pt>
                <c:pt idx="3">
                  <c:v>Atención psicológica y/o psicosocial</c:v>
                </c:pt>
                <c:pt idx="4">
                  <c:v>Canalización o remisión a otro OPDH</c:v>
                </c:pt>
                <c:pt idx="5">
                  <c:v>Acompañamiento y trabajo de campo</c:v>
                </c:pt>
                <c:pt idx="6">
                  <c:v>Otro</c:v>
                </c:pt>
              </c:strCache>
            </c:strRef>
          </c:cat>
          <c:val>
            <c:numRef>
              <c:f>'m2'!$B$147:$B$153</c:f>
              <c:numCache>
                <c:formatCode>0.0%</c:formatCode>
                <c:ptCount val="7"/>
                <c:pt idx="0">
                  <c:v>0.5560488668349729</c:v>
                </c:pt>
                <c:pt idx="1">
                  <c:v>0.1874969772593173</c:v>
                </c:pt>
                <c:pt idx="2">
                  <c:v>0.11551705793022063</c:v>
                </c:pt>
                <c:pt idx="3">
                  <c:v>2.8786164069527873E-2</c:v>
                </c:pt>
                <c:pt idx="4">
                  <c:v>2.6895137498428173E-2</c:v>
                </c:pt>
                <c:pt idx="5">
                  <c:v>1.9925906580385556E-2</c:v>
                </c:pt>
                <c:pt idx="6">
                  <c:v>6.5329889827147603E-2</c:v>
                </c:pt>
              </c:numCache>
            </c:numRef>
          </c:val>
          <c:extLst>
            <c:ext xmlns:c16="http://schemas.microsoft.com/office/drawing/2014/chart" uri="{C3380CC4-5D6E-409C-BE32-E72D297353CC}">
              <c16:uniqueId val="{0000000E-C021-4BD9-B9DD-4B45CEE0DC7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188630490956064"/>
          <c:y val="5.1344945518173861E-2"/>
          <c:w val="0.36896861638671202"/>
          <c:h val="0.94865509198383602"/>
        </c:manualLayout>
      </c:layout>
      <c:overlay val="0"/>
      <c:spPr>
        <a:noFill/>
        <a:ln>
          <a:noFill/>
        </a:ln>
        <a:effectLst/>
      </c:spPr>
      <c:txPr>
        <a:bodyPr rot="0" spcFirstLastPara="1" vertOverflow="ellipsis" vert="horz" wrap="square" anchor="ctr" anchorCtr="1"/>
        <a:lstStyle/>
        <a:p>
          <a:pP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371932433868054E-2"/>
          <c:y val="6.024096385542169E-3"/>
          <c:w val="0.95325613513226393"/>
          <c:h val="0.72934019542737882"/>
        </c:manualLayout>
      </c:layout>
      <c:barChart>
        <c:barDir val="col"/>
        <c:grouping val="clustered"/>
        <c:varyColors val="0"/>
        <c:ser>
          <c:idx val="0"/>
          <c:order val="0"/>
          <c:tx>
            <c:strRef>
              <c:f>HistSQ!$P$3</c:f>
              <c:strCache>
                <c:ptCount val="1"/>
                <c:pt idx="0">
                  <c:v>CNDH</c:v>
                </c:pt>
              </c:strCache>
            </c:strRef>
          </c:tx>
          <c:spPr>
            <a:solidFill>
              <a:srgbClr val="5D7C60"/>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HistSQ!$O$4:$O$8</c:f>
              <c:numCache>
                <c:formatCode>General</c:formatCode>
                <c:ptCount val="5"/>
                <c:pt idx="0">
                  <c:v>2016</c:v>
                </c:pt>
                <c:pt idx="1">
                  <c:v>2017</c:v>
                </c:pt>
                <c:pt idx="2">
                  <c:v>2018</c:v>
                </c:pt>
                <c:pt idx="3">
                  <c:v>2019</c:v>
                </c:pt>
                <c:pt idx="4">
                  <c:v>2020</c:v>
                </c:pt>
              </c:numCache>
            </c:numRef>
          </c:cat>
          <c:val>
            <c:numRef>
              <c:f>HistSQ!$P$4:$P$8</c:f>
              <c:numCache>
                <c:formatCode>#,##0</c:formatCode>
                <c:ptCount val="5"/>
                <c:pt idx="0">
                  <c:v>45690</c:v>
                </c:pt>
                <c:pt idx="1">
                  <c:v>45639</c:v>
                </c:pt>
                <c:pt idx="2">
                  <c:v>44274</c:v>
                </c:pt>
                <c:pt idx="3">
                  <c:v>55824</c:v>
                </c:pt>
                <c:pt idx="4">
                  <c:v>58722</c:v>
                </c:pt>
              </c:numCache>
            </c:numRef>
          </c:val>
          <c:extLst>
            <c:ext xmlns:c16="http://schemas.microsoft.com/office/drawing/2014/chart" uri="{C3380CC4-5D6E-409C-BE32-E72D297353CC}">
              <c16:uniqueId val="{00000000-A04D-48A7-8958-7EDEE8D0016A}"/>
            </c:ext>
          </c:extLst>
        </c:ser>
        <c:ser>
          <c:idx val="1"/>
          <c:order val="1"/>
          <c:tx>
            <c:strRef>
              <c:f>HistSQ!$Q$3</c:f>
              <c:strCache>
                <c:ptCount val="1"/>
                <c:pt idx="0">
                  <c:v>OPDH</c:v>
                </c:pt>
              </c:strCache>
            </c:strRef>
          </c:tx>
          <c:spPr>
            <a:solidFill>
              <a:srgbClr val="285172"/>
            </a:solidFill>
            <a:ln>
              <a:noFill/>
            </a:ln>
            <a:effectLst>
              <a:outerShdw blurRad="50800" dist="38100" dir="2700000" algn="tl" rotWithShape="0">
                <a:prstClr val="black">
                  <a:alpha val="40000"/>
                </a:prstClr>
              </a:outerShdw>
            </a:effectLst>
          </c:spPr>
          <c:invertIfNegative val="0"/>
          <c:dLbls>
            <c:dLbl>
              <c:idx val="0"/>
              <c:layout>
                <c:manualLayout>
                  <c:x val="0"/>
                  <c:y val="1.80722891566265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4D-48A7-8958-7EDEE8D0016A}"/>
                </c:ext>
              </c:extLst>
            </c:dLbl>
            <c:dLbl>
              <c:idx val="1"/>
              <c:layout>
                <c:manualLayout>
                  <c:x val="-3.8952770737381898E-17"/>
                  <c:y val="1.80722891566265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4D-48A7-8958-7EDEE8D0016A}"/>
                </c:ext>
              </c:extLst>
            </c:dLbl>
            <c:dLbl>
              <c:idx val="2"/>
              <c:layout>
                <c:manualLayout>
                  <c:x val="-7.7905541474763797E-17"/>
                  <c:y val="1.8072289156626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4D-48A7-8958-7EDEE8D0016A}"/>
                </c:ext>
              </c:extLst>
            </c:dLbl>
            <c:dLbl>
              <c:idx val="3"/>
              <c:layout>
                <c:manualLayout>
                  <c:x val="7.7905541474763797E-17"/>
                  <c:y val="1.8072289156626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4D-48A7-8958-7EDEE8D0016A}"/>
                </c:ext>
              </c:extLst>
            </c:dLbl>
            <c:dLbl>
              <c:idx val="4"/>
              <c:layout>
                <c:manualLayout>
                  <c:x val="-1.5581108294952759E-16"/>
                  <c:y val="1.20481927710842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4D-48A7-8958-7EDEE8D0016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HistSQ!$O$4:$O$8</c:f>
              <c:numCache>
                <c:formatCode>General</c:formatCode>
                <c:ptCount val="5"/>
                <c:pt idx="0">
                  <c:v>2016</c:v>
                </c:pt>
                <c:pt idx="1">
                  <c:v>2017</c:v>
                </c:pt>
                <c:pt idx="2">
                  <c:v>2018</c:v>
                </c:pt>
                <c:pt idx="3">
                  <c:v>2019</c:v>
                </c:pt>
                <c:pt idx="4">
                  <c:v>2020</c:v>
                </c:pt>
              </c:numCache>
            </c:numRef>
          </c:cat>
          <c:val>
            <c:numRef>
              <c:f>HistSQ!$Q$4:$Q$8</c:f>
              <c:numCache>
                <c:formatCode>#,##0</c:formatCode>
                <c:ptCount val="5"/>
                <c:pt idx="0">
                  <c:v>172078</c:v>
                </c:pt>
                <c:pt idx="1">
                  <c:v>156822</c:v>
                </c:pt>
                <c:pt idx="2">
                  <c:v>147816</c:v>
                </c:pt>
                <c:pt idx="3">
                  <c:v>160325</c:v>
                </c:pt>
                <c:pt idx="4">
                  <c:v>106166</c:v>
                </c:pt>
              </c:numCache>
            </c:numRef>
          </c:val>
          <c:extLst>
            <c:ext xmlns:c16="http://schemas.microsoft.com/office/drawing/2014/chart" uri="{C3380CC4-5D6E-409C-BE32-E72D297353CC}">
              <c16:uniqueId val="{00000001-A04D-48A7-8958-7EDEE8D0016A}"/>
            </c:ext>
          </c:extLst>
        </c:ser>
        <c:dLbls>
          <c:dLblPos val="outEnd"/>
          <c:showLegendKey val="0"/>
          <c:showVal val="1"/>
          <c:showCatName val="0"/>
          <c:showSerName val="0"/>
          <c:showPercent val="0"/>
          <c:showBubbleSize val="0"/>
        </c:dLbls>
        <c:gapWidth val="80"/>
        <c:overlap val="-27"/>
        <c:axId val="1897220575"/>
        <c:axId val="1897226399"/>
      </c:barChart>
      <c:lineChart>
        <c:grouping val="standard"/>
        <c:varyColors val="0"/>
        <c:ser>
          <c:idx val="2"/>
          <c:order val="2"/>
          <c:tx>
            <c:strRef>
              <c:f>HistSQ!$R$3</c:f>
              <c:strCache>
                <c:ptCount val="1"/>
                <c:pt idx="0">
                  <c:v>Total</c:v>
                </c:pt>
              </c:strCache>
            </c:strRef>
          </c:tx>
          <c:spPr>
            <a:ln w="31750" cap="rnd">
              <a:solidFill>
                <a:srgbClr val="C29B61"/>
              </a:solidFill>
              <a:round/>
            </a:ln>
            <a:effectLst>
              <a:outerShdw blurRad="50800" dist="38100" dir="2700000" algn="tl" rotWithShape="0">
                <a:prstClr val="black">
                  <a:alpha val="40000"/>
                </a:prstClr>
              </a:outerShdw>
            </a:effectLst>
          </c:spPr>
          <c:marker>
            <c:symbol val="diamond"/>
            <c:size val="8"/>
            <c:spPr>
              <a:solidFill>
                <a:srgbClr val="C29B61"/>
              </a:solidFill>
              <a:ln w="9525">
                <a:no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HistSQ!$O$4:$O$8</c:f>
              <c:numCache>
                <c:formatCode>General</c:formatCode>
                <c:ptCount val="5"/>
                <c:pt idx="0">
                  <c:v>2016</c:v>
                </c:pt>
                <c:pt idx="1">
                  <c:v>2017</c:v>
                </c:pt>
                <c:pt idx="2">
                  <c:v>2018</c:v>
                </c:pt>
                <c:pt idx="3">
                  <c:v>2019</c:v>
                </c:pt>
                <c:pt idx="4">
                  <c:v>2020</c:v>
                </c:pt>
              </c:numCache>
            </c:numRef>
          </c:cat>
          <c:val>
            <c:numRef>
              <c:f>HistSQ!$R$4:$R$8</c:f>
              <c:numCache>
                <c:formatCode>#,##0</c:formatCode>
                <c:ptCount val="5"/>
                <c:pt idx="0">
                  <c:v>217768</c:v>
                </c:pt>
                <c:pt idx="1">
                  <c:v>202461</c:v>
                </c:pt>
                <c:pt idx="2">
                  <c:v>192090</c:v>
                </c:pt>
                <c:pt idx="3">
                  <c:v>216149</c:v>
                </c:pt>
                <c:pt idx="4">
                  <c:v>164888</c:v>
                </c:pt>
              </c:numCache>
            </c:numRef>
          </c:val>
          <c:smooth val="0"/>
          <c:extLst>
            <c:ext xmlns:c16="http://schemas.microsoft.com/office/drawing/2014/chart" uri="{C3380CC4-5D6E-409C-BE32-E72D297353CC}">
              <c16:uniqueId val="{00000002-A04D-48A7-8958-7EDEE8D0016A}"/>
            </c:ext>
          </c:extLst>
        </c:ser>
        <c:dLbls>
          <c:showLegendKey val="0"/>
          <c:showVal val="1"/>
          <c:showCatName val="0"/>
          <c:showSerName val="0"/>
          <c:showPercent val="0"/>
          <c:showBubbleSize val="0"/>
        </c:dLbls>
        <c:marker val="1"/>
        <c:smooth val="0"/>
        <c:axId val="1897220575"/>
        <c:axId val="1897226399"/>
      </c:lineChart>
      <c:catAx>
        <c:axId val="1897220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897226399"/>
        <c:crosses val="autoZero"/>
        <c:auto val="1"/>
        <c:lblAlgn val="ctr"/>
        <c:lblOffset val="100"/>
        <c:noMultiLvlLbl val="0"/>
      </c:catAx>
      <c:valAx>
        <c:axId val="1897226399"/>
        <c:scaling>
          <c:orientation val="minMax"/>
        </c:scaling>
        <c:delete val="1"/>
        <c:axPos val="l"/>
        <c:numFmt formatCode="#,##0" sourceLinked="1"/>
        <c:majorTickMark val="none"/>
        <c:minorTickMark val="none"/>
        <c:tickLblPos val="nextTo"/>
        <c:crossAx val="1897220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2400">
          <a:solidFill>
            <a:schemeClr val="tx1"/>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910898965791568E-2"/>
          <c:y val="5.2732731151081021E-2"/>
          <c:w val="0.97414478918058867"/>
          <c:h val="0.65170094540857981"/>
        </c:manualLayout>
      </c:layout>
      <c:barChart>
        <c:barDir val="col"/>
        <c:grouping val="clustered"/>
        <c:varyColors val="0"/>
        <c:ser>
          <c:idx val="0"/>
          <c:order val="0"/>
          <c:tx>
            <c:strRef>
              <c:f>'m1'!$B$51</c:f>
              <c:strCache>
                <c:ptCount val="1"/>
                <c:pt idx="0">
                  <c:v>Centrales</c:v>
                </c:pt>
              </c:strCache>
            </c:strRef>
          </c:tx>
          <c:spPr>
            <a:solidFill>
              <a:srgbClr val="EA8B5F"/>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D1622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7CCA-4E73-BD4D-673E503C5233}"/>
              </c:ext>
            </c:extLst>
          </c:dPt>
          <c:dLbls>
            <c:spPr>
              <a:noFill/>
              <a:ln>
                <a:noFill/>
              </a:ln>
              <a:effectLst/>
            </c:spPr>
            <c:txPr>
              <a:bodyPr rot="-5400000" spcFirstLastPara="1" vertOverflow="ellipsis" wrap="square" lIns="38100" tIns="19050" rIns="38100" bIns="19050" anchor="ctr" anchorCtr="0">
                <a:spAutoFit/>
              </a:bodyPr>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'm1'!$A$52:$A$84</c:f>
              <c:strCache>
                <c:ptCount val="33"/>
                <c:pt idx="0">
                  <c:v>CNDH</c:v>
                </c:pt>
                <c:pt idx="1">
                  <c:v>JAL</c:v>
                </c:pt>
                <c:pt idx="2">
                  <c:v>MEX</c:v>
                </c:pt>
                <c:pt idx="3">
                  <c:v>HGO</c:v>
                </c:pt>
                <c:pt idx="4">
                  <c:v>OAX</c:v>
                </c:pt>
                <c:pt idx="5">
                  <c:v>DGO</c:v>
                </c:pt>
                <c:pt idx="6">
                  <c:v>QROO</c:v>
                </c:pt>
                <c:pt idx="7">
                  <c:v>SON</c:v>
                </c:pt>
                <c:pt idx="8">
                  <c:v>CHIS</c:v>
                </c:pt>
                <c:pt idx="9">
                  <c:v>TLAX</c:v>
                </c:pt>
                <c:pt idx="10">
                  <c:v>VER</c:v>
                </c:pt>
                <c:pt idx="11">
                  <c:v>ZAC</c:v>
                </c:pt>
                <c:pt idx="12">
                  <c:v>COAH</c:v>
                </c:pt>
                <c:pt idx="13">
                  <c:v>MICH</c:v>
                </c:pt>
                <c:pt idx="14">
                  <c:v>TAMPS</c:v>
                </c:pt>
                <c:pt idx="15">
                  <c:v>BC</c:v>
                </c:pt>
                <c:pt idx="16">
                  <c:v>GRO</c:v>
                </c:pt>
                <c:pt idx="17">
                  <c:v>CHIH</c:v>
                </c:pt>
                <c:pt idx="18">
                  <c:v>PUE</c:v>
                </c:pt>
                <c:pt idx="19">
                  <c:v>SLP</c:v>
                </c:pt>
                <c:pt idx="20">
                  <c:v>BCS</c:v>
                </c:pt>
                <c:pt idx="21">
                  <c:v>GTO</c:v>
                </c:pt>
                <c:pt idx="22">
                  <c:v>SIN</c:v>
                </c:pt>
                <c:pt idx="23">
                  <c:v>MOR</c:v>
                </c:pt>
                <c:pt idx="24">
                  <c:v>CAMP</c:v>
                </c:pt>
                <c:pt idx="25">
                  <c:v>QRO</c:v>
                </c:pt>
                <c:pt idx="26">
                  <c:v>YUC</c:v>
                </c:pt>
                <c:pt idx="27">
                  <c:v>NL</c:v>
                </c:pt>
                <c:pt idx="28">
                  <c:v>TAB</c:v>
                </c:pt>
                <c:pt idx="29">
                  <c:v>AGS</c:v>
                </c:pt>
                <c:pt idx="30">
                  <c:v>COL</c:v>
                </c:pt>
                <c:pt idx="31">
                  <c:v>CDMX</c:v>
                </c:pt>
                <c:pt idx="32">
                  <c:v>NAY</c:v>
                </c:pt>
              </c:strCache>
            </c:strRef>
          </c:cat>
          <c:val>
            <c:numRef>
              <c:f>'m1'!$B$52:$B$84</c:f>
              <c:numCache>
                <c:formatCode>#,##0</c:formatCode>
                <c:ptCount val="33"/>
                <c:pt idx="0">
                  <c:v>9</c:v>
                </c:pt>
                <c:pt idx="1">
                  <c:v>1</c:v>
                </c:pt>
                <c:pt idx="2">
                  <c:v>2</c:v>
                </c:pt>
                <c:pt idx="3">
                  <c:v>4</c:v>
                </c:pt>
                <c:pt idx="4">
                  <c:v>2</c:v>
                </c:pt>
                <c:pt idx="5">
                  <c:v>1</c:v>
                </c:pt>
                <c:pt idx="6">
                  <c:v>4</c:v>
                </c:pt>
                <c:pt idx="7">
                  <c:v>1</c:v>
                </c:pt>
                <c:pt idx="8">
                  <c:v>2</c:v>
                </c:pt>
                <c:pt idx="9">
                  <c:v>1</c:v>
                </c:pt>
                <c:pt idx="10">
                  <c:v>1</c:v>
                </c:pt>
                <c:pt idx="11">
                  <c:v>1</c:v>
                </c:pt>
                <c:pt idx="12">
                  <c:v>1</c:v>
                </c:pt>
                <c:pt idx="13">
                  <c:v>1</c:v>
                </c:pt>
                <c:pt idx="14">
                  <c:v>1</c:v>
                </c:pt>
                <c:pt idx="15">
                  <c:v>1</c:v>
                </c:pt>
                <c:pt idx="16">
                  <c:v>1</c:v>
                </c:pt>
                <c:pt idx="17">
                  <c:v>1</c:v>
                </c:pt>
                <c:pt idx="18">
                  <c:v>1</c:v>
                </c:pt>
                <c:pt idx="19">
                  <c:v>2</c:v>
                </c:pt>
                <c:pt idx="20">
                  <c:v>1</c:v>
                </c:pt>
                <c:pt idx="21">
                  <c:v>1</c:v>
                </c:pt>
                <c:pt idx="22">
                  <c:v>1</c:v>
                </c:pt>
                <c:pt idx="23">
                  <c:v>1</c:v>
                </c:pt>
                <c:pt idx="24">
                  <c:v>2</c:v>
                </c:pt>
                <c:pt idx="25">
                  <c:v>1</c:v>
                </c:pt>
                <c:pt idx="26">
                  <c:v>1</c:v>
                </c:pt>
                <c:pt idx="27">
                  <c:v>1</c:v>
                </c:pt>
                <c:pt idx="28">
                  <c:v>1</c:v>
                </c:pt>
                <c:pt idx="29">
                  <c:v>1</c:v>
                </c:pt>
                <c:pt idx="30">
                  <c:v>1</c:v>
                </c:pt>
                <c:pt idx="31">
                  <c:v>1</c:v>
                </c:pt>
                <c:pt idx="32">
                  <c:v>1</c:v>
                </c:pt>
              </c:numCache>
            </c:numRef>
          </c:val>
          <c:extLst>
            <c:ext xmlns:c16="http://schemas.microsoft.com/office/drawing/2014/chart" uri="{C3380CC4-5D6E-409C-BE32-E72D297353CC}">
              <c16:uniqueId val="{00000002-7CCA-4E73-BD4D-673E503C5233}"/>
            </c:ext>
          </c:extLst>
        </c:ser>
        <c:ser>
          <c:idx val="1"/>
          <c:order val="1"/>
          <c:tx>
            <c:strRef>
              <c:f>'m1'!$C$51</c:f>
              <c:strCache>
                <c:ptCount val="1"/>
                <c:pt idx="0">
                  <c:v>Foráneas</c:v>
                </c:pt>
              </c:strCache>
            </c:strRef>
          </c:tx>
          <c:spPr>
            <a:solidFill>
              <a:srgbClr val="285172"/>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18305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4-7CCA-4E73-BD4D-673E503C5233}"/>
              </c:ext>
            </c:extLst>
          </c:dPt>
          <c:dLbls>
            <c:spPr>
              <a:noFill/>
              <a:ln>
                <a:noFill/>
              </a:ln>
              <a:effectLst/>
            </c:spPr>
            <c:txPr>
              <a:bodyPr rot="-5400000" spcFirstLastPara="1" vertOverflow="ellipsis" wrap="square" lIns="38100" tIns="19050" rIns="38100" bIns="19050" anchor="ctr" anchorCtr="0">
                <a:spAutoFit/>
              </a:bodyPr>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'm1'!$A$52:$A$84</c:f>
              <c:strCache>
                <c:ptCount val="33"/>
                <c:pt idx="0">
                  <c:v>CNDH</c:v>
                </c:pt>
                <c:pt idx="1">
                  <c:v>JAL</c:v>
                </c:pt>
                <c:pt idx="2">
                  <c:v>MEX</c:v>
                </c:pt>
                <c:pt idx="3">
                  <c:v>HGO</c:v>
                </c:pt>
                <c:pt idx="4">
                  <c:v>OAX</c:v>
                </c:pt>
                <c:pt idx="5">
                  <c:v>DGO</c:v>
                </c:pt>
                <c:pt idx="6">
                  <c:v>QROO</c:v>
                </c:pt>
                <c:pt idx="7">
                  <c:v>SON</c:v>
                </c:pt>
                <c:pt idx="8">
                  <c:v>CHIS</c:v>
                </c:pt>
                <c:pt idx="9">
                  <c:v>TLAX</c:v>
                </c:pt>
                <c:pt idx="10">
                  <c:v>VER</c:v>
                </c:pt>
                <c:pt idx="11">
                  <c:v>ZAC</c:v>
                </c:pt>
                <c:pt idx="12">
                  <c:v>COAH</c:v>
                </c:pt>
                <c:pt idx="13">
                  <c:v>MICH</c:v>
                </c:pt>
                <c:pt idx="14">
                  <c:v>TAMPS</c:v>
                </c:pt>
                <c:pt idx="15">
                  <c:v>BC</c:v>
                </c:pt>
                <c:pt idx="16">
                  <c:v>GRO</c:v>
                </c:pt>
                <c:pt idx="17">
                  <c:v>CHIH</c:v>
                </c:pt>
                <c:pt idx="18">
                  <c:v>PUE</c:v>
                </c:pt>
                <c:pt idx="19">
                  <c:v>SLP</c:v>
                </c:pt>
                <c:pt idx="20">
                  <c:v>BCS</c:v>
                </c:pt>
                <c:pt idx="21">
                  <c:v>GTO</c:v>
                </c:pt>
                <c:pt idx="22">
                  <c:v>SIN</c:v>
                </c:pt>
                <c:pt idx="23">
                  <c:v>MOR</c:v>
                </c:pt>
                <c:pt idx="24">
                  <c:v>CAMP</c:v>
                </c:pt>
                <c:pt idx="25">
                  <c:v>QRO</c:v>
                </c:pt>
                <c:pt idx="26">
                  <c:v>YUC</c:v>
                </c:pt>
                <c:pt idx="27">
                  <c:v>NL</c:v>
                </c:pt>
                <c:pt idx="28">
                  <c:v>TAB</c:v>
                </c:pt>
                <c:pt idx="29">
                  <c:v>AGS</c:v>
                </c:pt>
                <c:pt idx="30">
                  <c:v>COL</c:v>
                </c:pt>
                <c:pt idx="31">
                  <c:v>CDMX</c:v>
                </c:pt>
                <c:pt idx="32">
                  <c:v>NAY</c:v>
                </c:pt>
              </c:strCache>
            </c:strRef>
          </c:cat>
          <c:val>
            <c:numRef>
              <c:f>'m1'!$C$52:$C$84</c:f>
              <c:numCache>
                <c:formatCode>#,##0</c:formatCode>
                <c:ptCount val="33"/>
                <c:pt idx="0">
                  <c:v>16</c:v>
                </c:pt>
                <c:pt idx="1">
                  <c:v>20</c:v>
                </c:pt>
                <c:pt idx="2">
                  <c:v>16</c:v>
                </c:pt>
                <c:pt idx="3">
                  <c:v>12</c:v>
                </c:pt>
                <c:pt idx="4">
                  <c:v>14</c:v>
                </c:pt>
                <c:pt idx="5">
                  <c:v>11</c:v>
                </c:pt>
                <c:pt idx="6">
                  <c:v>8</c:v>
                </c:pt>
                <c:pt idx="7">
                  <c:v>10</c:v>
                </c:pt>
                <c:pt idx="8">
                  <c:v>8</c:v>
                </c:pt>
                <c:pt idx="9">
                  <c:v>9</c:v>
                </c:pt>
                <c:pt idx="10">
                  <c:v>8</c:v>
                </c:pt>
                <c:pt idx="11">
                  <c:v>8</c:v>
                </c:pt>
                <c:pt idx="12">
                  <c:v>7</c:v>
                </c:pt>
                <c:pt idx="13">
                  <c:v>7</c:v>
                </c:pt>
                <c:pt idx="14">
                  <c:v>7</c:v>
                </c:pt>
                <c:pt idx="15">
                  <c:v>6</c:v>
                </c:pt>
                <c:pt idx="16">
                  <c:v>6</c:v>
                </c:pt>
                <c:pt idx="17">
                  <c:v>5</c:v>
                </c:pt>
                <c:pt idx="18">
                  <c:v>5</c:v>
                </c:pt>
                <c:pt idx="19">
                  <c:v>4</c:v>
                </c:pt>
                <c:pt idx="20">
                  <c:v>4</c:v>
                </c:pt>
                <c:pt idx="21">
                  <c:v>4</c:v>
                </c:pt>
                <c:pt idx="22">
                  <c:v>4</c:v>
                </c:pt>
                <c:pt idx="23">
                  <c:v>3</c:v>
                </c:pt>
                <c:pt idx="24">
                  <c:v>1</c:v>
                </c:pt>
                <c:pt idx="25">
                  <c:v>2</c:v>
                </c:pt>
                <c:pt idx="26">
                  <c:v>2</c:v>
                </c:pt>
                <c:pt idx="27">
                  <c:v>1</c:v>
                </c:pt>
                <c:pt idx="28">
                  <c:v>1</c:v>
                </c:pt>
                <c:pt idx="29">
                  <c:v>0</c:v>
                </c:pt>
                <c:pt idx="30">
                  <c:v>0</c:v>
                </c:pt>
                <c:pt idx="31">
                  <c:v>0</c:v>
                </c:pt>
                <c:pt idx="32">
                  <c:v>0</c:v>
                </c:pt>
              </c:numCache>
            </c:numRef>
          </c:val>
          <c:extLst>
            <c:ext xmlns:c16="http://schemas.microsoft.com/office/drawing/2014/chart" uri="{C3380CC4-5D6E-409C-BE32-E72D297353CC}">
              <c16:uniqueId val="{00000005-7CCA-4E73-BD4D-673E503C5233}"/>
            </c:ext>
          </c:extLst>
        </c:ser>
        <c:dLbls>
          <c:dLblPos val="outEnd"/>
          <c:showLegendKey val="0"/>
          <c:showVal val="1"/>
          <c:showCatName val="0"/>
          <c:showSerName val="0"/>
          <c:showPercent val="0"/>
          <c:showBubbleSize val="0"/>
        </c:dLbls>
        <c:gapWidth val="50"/>
        <c:overlap val="-27"/>
        <c:axId val="884853200"/>
        <c:axId val="1493018560"/>
      </c:barChart>
      <c:catAx>
        <c:axId val="88485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493018560"/>
        <c:crosses val="autoZero"/>
        <c:auto val="1"/>
        <c:lblAlgn val="ctr"/>
        <c:lblOffset val="100"/>
        <c:noMultiLvlLbl val="0"/>
      </c:catAx>
      <c:valAx>
        <c:axId val="1493018560"/>
        <c:scaling>
          <c:orientation val="minMax"/>
        </c:scaling>
        <c:delete val="1"/>
        <c:axPos val="l"/>
        <c:numFmt formatCode="#,##0" sourceLinked="1"/>
        <c:majorTickMark val="none"/>
        <c:minorTickMark val="none"/>
        <c:tickLblPos val="nextTo"/>
        <c:crossAx val="884853200"/>
        <c:crosses val="autoZero"/>
        <c:crossBetween val="between"/>
      </c:valAx>
      <c:spPr>
        <a:noFill/>
        <a:ln>
          <a:noFill/>
        </a:ln>
        <a:effectLst/>
      </c:spPr>
    </c:plotArea>
    <c:legend>
      <c:legendPos val="b"/>
      <c:layout>
        <c:manualLayout>
          <c:xMode val="edge"/>
          <c:yMode val="edge"/>
          <c:x val="0.70384617793897486"/>
          <c:y val="7.5999262633976772E-2"/>
          <c:w val="0.27559467744015692"/>
          <c:h val="0.17670613996122353"/>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43870653450951E-3"/>
          <c:y val="0.19638496964529181"/>
          <c:w val="0.96242911251620189"/>
          <c:h val="0.45713080281208507"/>
        </c:manualLayout>
      </c:layout>
      <c:barChart>
        <c:barDir val="col"/>
        <c:grouping val="clustered"/>
        <c:varyColors val="0"/>
        <c:ser>
          <c:idx val="0"/>
          <c:order val="0"/>
          <c:tx>
            <c:strRef>
              <c:f>'m2'!$B$240</c:f>
              <c:strCache>
                <c:ptCount val="1"/>
                <c:pt idx="0">
                  <c:v>2019</c:v>
                </c:pt>
              </c:strCache>
            </c:strRef>
          </c:tx>
          <c:spPr>
            <a:solidFill>
              <a:srgbClr val="EA8B5F"/>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'm2'!$C$237:$K$239</c:f>
              <c:multiLvlStrCache>
                <c:ptCount val="9"/>
                <c:lvl>
                  <c:pt idx="4">
                    <c:v>A la CNDH</c:v>
                  </c:pt>
                  <c:pt idx="5">
                    <c:v>A otro OPDH</c:v>
                  </c:pt>
                  <c:pt idx="6">
                    <c:v>A otras instituciones</c:v>
                  </c:pt>
                </c:lvl>
                <c:lvl>
                  <c:pt idx="1">
                    <c:v>Improcedentes</c:v>
                  </c:pt>
                  <c:pt idx="2">
                    <c:v>Archivadas</c:v>
                  </c:pt>
                  <c:pt idx="3">
                    <c:v>Orientadas</c:v>
                  </c:pt>
                  <c:pt idx="4">
                    <c:v>Canalizadas</c:v>
                  </c:pt>
                  <c:pt idx="7">
                    <c:v>Otro motivo</c:v>
                  </c:pt>
                </c:lvl>
                <c:lvl>
                  <c:pt idx="0">
                    <c:v>Aceptadas</c:v>
                  </c:pt>
                  <c:pt idx="1">
                    <c:v>Desechadas</c:v>
                  </c:pt>
                  <c:pt idx="8">
                    <c:v>Pendientes</c:v>
                  </c:pt>
                </c:lvl>
              </c:multiLvlStrCache>
            </c:multiLvlStrRef>
          </c:cat>
          <c:val>
            <c:numRef>
              <c:f>'m2'!$C$240:$K$240</c:f>
              <c:numCache>
                <c:formatCode>#,##0</c:formatCode>
                <c:ptCount val="9"/>
                <c:pt idx="0">
                  <c:v>114146</c:v>
                </c:pt>
                <c:pt idx="1">
                  <c:v>2990</c:v>
                </c:pt>
                <c:pt idx="2">
                  <c:v>6032</c:v>
                </c:pt>
                <c:pt idx="3">
                  <c:v>74417</c:v>
                </c:pt>
                <c:pt idx="4">
                  <c:v>2876</c:v>
                </c:pt>
                <c:pt idx="5">
                  <c:v>380</c:v>
                </c:pt>
                <c:pt idx="6">
                  <c:v>3333</c:v>
                </c:pt>
                <c:pt idx="7">
                  <c:v>11270</c:v>
                </c:pt>
                <c:pt idx="8">
                  <c:v>705</c:v>
                </c:pt>
              </c:numCache>
            </c:numRef>
          </c:val>
          <c:extLst>
            <c:ext xmlns:c16="http://schemas.microsoft.com/office/drawing/2014/chart" uri="{C3380CC4-5D6E-409C-BE32-E72D297353CC}">
              <c16:uniqueId val="{00000000-E585-4321-A7DA-82BDDB9833E1}"/>
            </c:ext>
          </c:extLst>
        </c:ser>
        <c:ser>
          <c:idx val="1"/>
          <c:order val="1"/>
          <c:tx>
            <c:strRef>
              <c:f>'m2'!$B$241</c:f>
              <c:strCache>
                <c:ptCount val="1"/>
                <c:pt idx="0">
                  <c:v>2020</c:v>
                </c:pt>
              </c:strCache>
            </c:strRef>
          </c:tx>
          <c:spPr>
            <a:solidFill>
              <a:srgbClr val="285172"/>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'm2'!$C$237:$K$239</c:f>
              <c:multiLvlStrCache>
                <c:ptCount val="9"/>
                <c:lvl>
                  <c:pt idx="4">
                    <c:v>A la CNDH</c:v>
                  </c:pt>
                  <c:pt idx="5">
                    <c:v>A otro OPDH</c:v>
                  </c:pt>
                  <c:pt idx="6">
                    <c:v>A otras instituciones</c:v>
                  </c:pt>
                </c:lvl>
                <c:lvl>
                  <c:pt idx="1">
                    <c:v>Improcedentes</c:v>
                  </c:pt>
                  <c:pt idx="2">
                    <c:v>Archivadas</c:v>
                  </c:pt>
                  <c:pt idx="3">
                    <c:v>Orientadas</c:v>
                  </c:pt>
                  <c:pt idx="4">
                    <c:v>Canalizadas</c:v>
                  </c:pt>
                  <c:pt idx="7">
                    <c:v>Otro motivo</c:v>
                  </c:pt>
                </c:lvl>
                <c:lvl>
                  <c:pt idx="0">
                    <c:v>Aceptadas</c:v>
                  </c:pt>
                  <c:pt idx="1">
                    <c:v>Desechadas</c:v>
                  </c:pt>
                  <c:pt idx="8">
                    <c:v>Pendientes</c:v>
                  </c:pt>
                </c:lvl>
              </c:multiLvlStrCache>
            </c:multiLvlStrRef>
          </c:cat>
          <c:val>
            <c:numRef>
              <c:f>'m2'!$C$241:$K$241</c:f>
              <c:numCache>
                <c:formatCode>#,##0</c:formatCode>
                <c:ptCount val="9"/>
                <c:pt idx="0">
                  <c:v>109632</c:v>
                </c:pt>
                <c:pt idx="1">
                  <c:v>2129</c:v>
                </c:pt>
                <c:pt idx="2">
                  <c:v>2822</c:v>
                </c:pt>
                <c:pt idx="3">
                  <c:v>38373</c:v>
                </c:pt>
                <c:pt idx="4">
                  <c:v>1803</c:v>
                </c:pt>
                <c:pt idx="5">
                  <c:v>131</c:v>
                </c:pt>
                <c:pt idx="6">
                  <c:v>2462</c:v>
                </c:pt>
                <c:pt idx="7">
                  <c:v>7161</c:v>
                </c:pt>
                <c:pt idx="8">
                  <c:v>375</c:v>
                </c:pt>
              </c:numCache>
            </c:numRef>
          </c:val>
          <c:extLst>
            <c:ext xmlns:c16="http://schemas.microsoft.com/office/drawing/2014/chart" uri="{C3380CC4-5D6E-409C-BE32-E72D297353CC}">
              <c16:uniqueId val="{00000001-E585-4321-A7DA-82BDDB9833E1}"/>
            </c:ext>
          </c:extLst>
        </c:ser>
        <c:dLbls>
          <c:dLblPos val="outEnd"/>
          <c:showLegendKey val="0"/>
          <c:showVal val="1"/>
          <c:showCatName val="0"/>
          <c:showSerName val="0"/>
          <c:showPercent val="0"/>
          <c:showBubbleSize val="0"/>
        </c:dLbls>
        <c:gapWidth val="50"/>
        <c:overlap val="-27"/>
        <c:axId val="1783473935"/>
        <c:axId val="1787426207"/>
      </c:barChart>
      <c:catAx>
        <c:axId val="1783473935"/>
        <c:scaling>
          <c:orientation val="minMax"/>
        </c:scaling>
        <c:delete val="0"/>
        <c:axPos val="b"/>
        <c:numFmt formatCode="General" sourceLinked="1"/>
        <c:majorTickMark val="none"/>
        <c:minorTickMark val="none"/>
        <c:tickLblPos val="nextTo"/>
        <c:spPr>
          <a:noFill/>
          <a:ln w="9525" cap="flat" cmpd="sng" algn="ctr">
            <a:solidFill>
              <a:schemeClr val="accent3"/>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787426207"/>
        <c:crosses val="autoZero"/>
        <c:auto val="1"/>
        <c:lblAlgn val="ctr"/>
        <c:lblOffset val="100"/>
        <c:noMultiLvlLbl val="0"/>
      </c:catAx>
      <c:valAx>
        <c:axId val="1787426207"/>
        <c:scaling>
          <c:orientation val="minMax"/>
        </c:scaling>
        <c:delete val="1"/>
        <c:axPos val="l"/>
        <c:numFmt formatCode="#,##0" sourceLinked="1"/>
        <c:majorTickMark val="none"/>
        <c:minorTickMark val="none"/>
        <c:tickLblPos val="nextTo"/>
        <c:crossAx val="1783473935"/>
        <c:crosses val="autoZero"/>
        <c:crossBetween val="between"/>
      </c:valAx>
      <c:spPr>
        <a:noFill/>
        <a:ln>
          <a:noFill/>
        </a:ln>
        <a:effectLst/>
      </c:spPr>
    </c:plotArea>
    <c:legend>
      <c:legendPos val="b"/>
      <c:layout>
        <c:manualLayout>
          <c:xMode val="edge"/>
          <c:yMode val="edge"/>
          <c:x val="0.76512776186027798"/>
          <c:y val="8.4927697873826188E-2"/>
          <c:w val="0.16309799264691743"/>
          <c:h val="0.12549840780162463"/>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156431391316391E-2"/>
          <c:y val="0.14063910197688376"/>
          <c:w val="0.96168713721736721"/>
          <c:h val="0.6473293028274858"/>
        </c:manualLayout>
      </c:layout>
      <c:barChart>
        <c:barDir val="col"/>
        <c:grouping val="clustered"/>
        <c:varyColors val="0"/>
        <c:ser>
          <c:idx val="0"/>
          <c:order val="0"/>
          <c:tx>
            <c:strRef>
              <c:f>'m2'!$B$268</c:f>
              <c:strCache>
                <c:ptCount val="1"/>
                <c:pt idx="0">
                  <c:v>2019</c:v>
                </c:pt>
              </c:strCache>
            </c:strRef>
          </c:tx>
          <c:spPr>
            <a:solidFill>
              <a:srgbClr val="EA8B5F"/>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'm2'!$A$269:$A$272</c:f>
              <c:strCache>
                <c:ptCount val="4"/>
                <c:pt idx="0">
                  <c:v>Expedientes atendidos</c:v>
                </c:pt>
                <c:pt idx="1">
                  <c:v>Expedientes calificados</c:v>
                </c:pt>
                <c:pt idx="2">
                  <c:v>Expedientes concluidos</c:v>
                </c:pt>
                <c:pt idx="3">
                  <c:v>Expedientes pendientes de concluir</c:v>
                </c:pt>
              </c:strCache>
            </c:strRef>
          </c:cat>
          <c:val>
            <c:numRef>
              <c:f>'m2'!$B$269:$B$272</c:f>
              <c:numCache>
                <c:formatCode>#,##0</c:formatCode>
                <c:ptCount val="4"/>
                <c:pt idx="0">
                  <c:v>112739</c:v>
                </c:pt>
                <c:pt idx="1">
                  <c:v>112739</c:v>
                </c:pt>
                <c:pt idx="2">
                  <c:v>71112</c:v>
                </c:pt>
                <c:pt idx="3">
                  <c:v>34695</c:v>
                </c:pt>
              </c:numCache>
            </c:numRef>
          </c:val>
          <c:extLst>
            <c:ext xmlns:c16="http://schemas.microsoft.com/office/drawing/2014/chart" uri="{C3380CC4-5D6E-409C-BE32-E72D297353CC}">
              <c16:uniqueId val="{00000000-CF76-4C23-A275-559F36325F8A}"/>
            </c:ext>
          </c:extLst>
        </c:ser>
        <c:ser>
          <c:idx val="1"/>
          <c:order val="1"/>
          <c:tx>
            <c:strRef>
              <c:f>'m2'!$C$268</c:f>
              <c:strCache>
                <c:ptCount val="1"/>
                <c:pt idx="0">
                  <c:v>2020</c:v>
                </c:pt>
              </c:strCache>
            </c:strRef>
          </c:tx>
          <c:spPr>
            <a:solidFill>
              <a:srgbClr val="285172"/>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'm2'!$A$269:$A$272</c:f>
              <c:strCache>
                <c:ptCount val="4"/>
                <c:pt idx="0">
                  <c:v>Expedientes atendidos</c:v>
                </c:pt>
                <c:pt idx="1">
                  <c:v>Expedientes calificados</c:v>
                </c:pt>
                <c:pt idx="2">
                  <c:v>Expedientes concluidos</c:v>
                </c:pt>
                <c:pt idx="3">
                  <c:v>Expedientes pendientes de concluir</c:v>
                </c:pt>
              </c:strCache>
            </c:strRef>
          </c:cat>
          <c:val>
            <c:numRef>
              <c:f>'m2'!$C$269:$C$272</c:f>
              <c:numCache>
                <c:formatCode>#,##0</c:formatCode>
                <c:ptCount val="4"/>
                <c:pt idx="0">
                  <c:v>101001</c:v>
                </c:pt>
                <c:pt idx="1">
                  <c:v>101001</c:v>
                </c:pt>
                <c:pt idx="2">
                  <c:v>54890</c:v>
                </c:pt>
                <c:pt idx="3">
                  <c:v>35216</c:v>
                </c:pt>
              </c:numCache>
            </c:numRef>
          </c:val>
          <c:extLst>
            <c:ext xmlns:c16="http://schemas.microsoft.com/office/drawing/2014/chart" uri="{C3380CC4-5D6E-409C-BE32-E72D297353CC}">
              <c16:uniqueId val="{00000001-CF76-4C23-A275-559F36325F8A}"/>
            </c:ext>
          </c:extLst>
        </c:ser>
        <c:dLbls>
          <c:showLegendKey val="0"/>
          <c:showVal val="0"/>
          <c:showCatName val="0"/>
          <c:showSerName val="0"/>
          <c:showPercent val="0"/>
          <c:showBubbleSize val="0"/>
        </c:dLbls>
        <c:gapWidth val="50"/>
        <c:overlap val="-27"/>
        <c:axId val="1851182351"/>
        <c:axId val="1850738495"/>
      </c:barChart>
      <c:catAx>
        <c:axId val="1851182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850738495"/>
        <c:crosses val="autoZero"/>
        <c:auto val="1"/>
        <c:lblAlgn val="ctr"/>
        <c:lblOffset val="100"/>
        <c:noMultiLvlLbl val="0"/>
      </c:catAx>
      <c:valAx>
        <c:axId val="1850738495"/>
        <c:scaling>
          <c:orientation val="minMax"/>
        </c:scaling>
        <c:delete val="1"/>
        <c:axPos val="l"/>
        <c:numFmt formatCode="#,##0" sourceLinked="1"/>
        <c:majorTickMark val="none"/>
        <c:minorTickMark val="none"/>
        <c:tickLblPos val="nextTo"/>
        <c:crossAx val="1851182351"/>
        <c:crosses val="autoZero"/>
        <c:crossBetween val="between"/>
      </c:valAx>
      <c:spPr>
        <a:noFill/>
        <a:ln>
          <a:noFill/>
        </a:ln>
        <a:effectLst/>
      </c:spPr>
    </c:plotArea>
    <c:legend>
      <c:legendPos val="b"/>
      <c:layout>
        <c:manualLayout>
          <c:xMode val="edge"/>
          <c:yMode val="edge"/>
          <c:x val="0.78603719666126848"/>
          <c:y val="0.12930676488845769"/>
          <c:w val="0.17154344341310837"/>
          <c:h val="0.12452466628974238"/>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'm2'!$A$312</c:f>
              <c:strCache>
                <c:ptCount val="1"/>
                <c:pt idx="0">
                  <c:v>2019</c:v>
                </c:pt>
              </c:strCache>
            </c:strRef>
          </c:tx>
          <c:spPr>
            <a:solidFill>
              <a:srgbClr val="EA8B5F"/>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'm2'!$B$311:$E$311</c:f>
              <c:strCache>
                <c:ptCount val="4"/>
                <c:pt idx="0">
                  <c:v>Calificados como presuntamente violatorios de derechos humanos</c:v>
                </c:pt>
                <c:pt idx="1">
                  <c:v>Incompetencia del organismo público de derechos humanos</c:v>
                </c:pt>
                <c:pt idx="2">
                  <c:v>Pendientes de calificar por falta de información</c:v>
                </c:pt>
                <c:pt idx="3">
                  <c:v>Otra calificación</c:v>
                </c:pt>
              </c:strCache>
            </c:strRef>
          </c:cat>
          <c:val>
            <c:numRef>
              <c:f>'m2'!$B$312:$E$312</c:f>
              <c:numCache>
                <c:formatCode>#,##0</c:formatCode>
                <c:ptCount val="4"/>
                <c:pt idx="0">
                  <c:v>104153</c:v>
                </c:pt>
                <c:pt idx="1">
                  <c:v>2749</c:v>
                </c:pt>
                <c:pt idx="2">
                  <c:v>1500</c:v>
                </c:pt>
                <c:pt idx="3">
                  <c:v>4337</c:v>
                </c:pt>
              </c:numCache>
            </c:numRef>
          </c:val>
          <c:extLst>
            <c:ext xmlns:c16="http://schemas.microsoft.com/office/drawing/2014/chart" uri="{C3380CC4-5D6E-409C-BE32-E72D297353CC}">
              <c16:uniqueId val="{00000000-2247-4867-9228-E8BA7EF63F53}"/>
            </c:ext>
          </c:extLst>
        </c:ser>
        <c:ser>
          <c:idx val="1"/>
          <c:order val="1"/>
          <c:tx>
            <c:strRef>
              <c:f>'m2'!$A$313</c:f>
              <c:strCache>
                <c:ptCount val="1"/>
                <c:pt idx="0">
                  <c:v>2020</c:v>
                </c:pt>
              </c:strCache>
            </c:strRef>
          </c:tx>
          <c:spPr>
            <a:solidFill>
              <a:srgbClr val="285172"/>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'm2'!$B$311:$E$311</c:f>
              <c:strCache>
                <c:ptCount val="4"/>
                <c:pt idx="0">
                  <c:v>Calificados como presuntamente violatorios de derechos humanos</c:v>
                </c:pt>
                <c:pt idx="1">
                  <c:v>Incompetencia del organismo público de derechos humanos</c:v>
                </c:pt>
                <c:pt idx="2">
                  <c:v>Pendientes de calificar por falta de información</c:v>
                </c:pt>
                <c:pt idx="3">
                  <c:v>Otra calificación</c:v>
                </c:pt>
              </c:strCache>
            </c:strRef>
          </c:cat>
          <c:val>
            <c:numRef>
              <c:f>'m2'!$B$313:$E$313</c:f>
              <c:numCache>
                <c:formatCode>#,##0</c:formatCode>
                <c:ptCount val="4"/>
                <c:pt idx="0">
                  <c:v>85903</c:v>
                </c:pt>
                <c:pt idx="1">
                  <c:v>2359</c:v>
                </c:pt>
                <c:pt idx="2">
                  <c:v>1080</c:v>
                </c:pt>
                <c:pt idx="3">
                  <c:v>10303</c:v>
                </c:pt>
              </c:numCache>
            </c:numRef>
          </c:val>
          <c:extLst>
            <c:ext xmlns:c16="http://schemas.microsoft.com/office/drawing/2014/chart" uri="{C3380CC4-5D6E-409C-BE32-E72D297353CC}">
              <c16:uniqueId val="{00000001-2247-4867-9228-E8BA7EF63F53}"/>
            </c:ext>
          </c:extLst>
        </c:ser>
        <c:dLbls>
          <c:dLblPos val="outEnd"/>
          <c:showLegendKey val="0"/>
          <c:showVal val="1"/>
          <c:showCatName val="0"/>
          <c:showSerName val="0"/>
          <c:showPercent val="0"/>
          <c:showBubbleSize val="0"/>
        </c:dLbls>
        <c:gapWidth val="60"/>
        <c:overlap val="-27"/>
        <c:axId val="2019009439"/>
        <c:axId val="1965237455"/>
      </c:barChart>
      <c:catAx>
        <c:axId val="2019009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965237455"/>
        <c:crosses val="autoZero"/>
        <c:auto val="1"/>
        <c:lblAlgn val="ctr"/>
        <c:lblOffset val="100"/>
        <c:noMultiLvlLbl val="0"/>
      </c:catAx>
      <c:valAx>
        <c:axId val="1965237455"/>
        <c:scaling>
          <c:orientation val="minMax"/>
        </c:scaling>
        <c:delete val="1"/>
        <c:axPos val="l"/>
        <c:numFmt formatCode="#,##0" sourceLinked="1"/>
        <c:majorTickMark val="none"/>
        <c:minorTickMark val="none"/>
        <c:tickLblPos val="nextTo"/>
        <c:crossAx val="2019009439"/>
        <c:crosses val="autoZero"/>
        <c:crossBetween val="between"/>
      </c:valAx>
      <c:spPr>
        <a:noFill/>
        <a:ln>
          <a:noFill/>
        </a:ln>
        <a:effectLst/>
      </c:spPr>
    </c:plotArea>
    <c:legend>
      <c:legendPos val="b"/>
      <c:layout>
        <c:manualLayout>
          <c:xMode val="edge"/>
          <c:yMode val="edge"/>
          <c:x val="0.67980172024747376"/>
          <c:y val="9.7518041992754267E-2"/>
          <c:w val="0.20558125307161229"/>
          <c:h val="9.8090376046687786E-2"/>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76226355326277E-2"/>
          <c:y val="0"/>
          <c:w val="0.93888888888888888"/>
          <c:h val="0.79670254100333515"/>
        </c:manualLayout>
      </c:layout>
      <c:barChart>
        <c:barDir val="col"/>
        <c:grouping val="clustered"/>
        <c:varyColors val="0"/>
        <c:ser>
          <c:idx val="0"/>
          <c:order val="0"/>
          <c:tx>
            <c:strRef>
              <c:f>HHPV!$C$2</c:f>
              <c:strCache>
                <c:ptCount val="1"/>
                <c:pt idx="0">
                  <c:v>CNDH</c:v>
                </c:pt>
              </c:strCache>
            </c:strRef>
          </c:tx>
          <c:spPr>
            <a:solidFill>
              <a:srgbClr val="5D7C60"/>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HHPV!$B$3:$B$7</c:f>
              <c:numCache>
                <c:formatCode>General</c:formatCode>
                <c:ptCount val="5"/>
                <c:pt idx="0">
                  <c:v>2016</c:v>
                </c:pt>
                <c:pt idx="1">
                  <c:v>2017</c:v>
                </c:pt>
                <c:pt idx="2">
                  <c:v>2018</c:v>
                </c:pt>
                <c:pt idx="3">
                  <c:v>2019</c:v>
                </c:pt>
                <c:pt idx="4">
                  <c:v>2020</c:v>
                </c:pt>
              </c:numCache>
            </c:numRef>
          </c:cat>
          <c:val>
            <c:numRef>
              <c:f>HHPV!$C$3:$C$7</c:f>
              <c:numCache>
                <c:formatCode>#,##0</c:formatCode>
                <c:ptCount val="5"/>
                <c:pt idx="0">
                  <c:v>14959</c:v>
                </c:pt>
                <c:pt idx="1">
                  <c:v>24183</c:v>
                </c:pt>
                <c:pt idx="2">
                  <c:v>24476</c:v>
                </c:pt>
                <c:pt idx="3">
                  <c:v>28471</c:v>
                </c:pt>
                <c:pt idx="4">
                  <c:v>26743</c:v>
                </c:pt>
              </c:numCache>
            </c:numRef>
          </c:val>
          <c:extLst>
            <c:ext xmlns:c16="http://schemas.microsoft.com/office/drawing/2014/chart" uri="{C3380CC4-5D6E-409C-BE32-E72D297353CC}">
              <c16:uniqueId val="{00000000-0915-4598-9C0D-88ACA671AF95}"/>
            </c:ext>
          </c:extLst>
        </c:ser>
        <c:ser>
          <c:idx val="1"/>
          <c:order val="1"/>
          <c:tx>
            <c:strRef>
              <c:f>HHPV!$D$2</c:f>
              <c:strCache>
                <c:ptCount val="1"/>
                <c:pt idx="0">
                  <c:v>OPDH</c:v>
                </c:pt>
              </c:strCache>
            </c:strRef>
          </c:tx>
          <c:spPr>
            <a:solidFill>
              <a:srgbClr val="285172"/>
            </a:solidFill>
            <a:ln>
              <a:noFill/>
            </a:ln>
            <a:effectLst>
              <a:outerShdw blurRad="50800" dist="38100" dir="2700000" algn="tl" rotWithShape="0">
                <a:prstClr val="black">
                  <a:alpha val="40000"/>
                </a:prstClr>
              </a:outerShdw>
            </a:effectLst>
          </c:spPr>
          <c:invertIfNegative val="0"/>
          <c:dLbls>
            <c:dLbl>
              <c:idx val="0"/>
              <c:layout>
                <c:manualLayout>
                  <c:x val="0"/>
                  <c:y val="0.24017467248908297"/>
                </c:manualLayout>
              </c:layout>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15-4598-9C0D-88ACA671AF95}"/>
                </c:ext>
              </c:extLst>
            </c:dLbl>
            <c:dLbl>
              <c:idx val="1"/>
              <c:layout>
                <c:manualLayout>
                  <c:x val="0"/>
                  <c:y val="0.22925764192139733"/>
                </c:manualLayout>
              </c:layout>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15-4598-9C0D-88ACA671AF95}"/>
                </c:ext>
              </c:extLst>
            </c:dLbl>
            <c:dLbl>
              <c:idx val="2"/>
              <c:layout>
                <c:manualLayout>
                  <c:x val="0"/>
                  <c:y val="0.22925764192139739"/>
                </c:manualLayout>
              </c:layout>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15-4598-9C0D-88ACA671AF95}"/>
                </c:ext>
              </c:extLst>
            </c:dLbl>
            <c:dLbl>
              <c:idx val="3"/>
              <c:layout>
                <c:manualLayout>
                  <c:x val="-1.5266469488954963E-16"/>
                  <c:y val="0.22925764192139744"/>
                </c:manualLayout>
              </c:layout>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15-4598-9C0D-88ACA671AF95}"/>
                </c:ext>
              </c:extLst>
            </c:dLbl>
            <c:dLbl>
              <c:idx val="4"/>
              <c:layout>
                <c:manualLayout>
                  <c:x val="0"/>
                  <c:y val="0.21288209606986896"/>
                </c:manualLayout>
              </c:layout>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15-4598-9C0D-88ACA671AF95}"/>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HHPV!$B$3:$B$7</c:f>
              <c:numCache>
                <c:formatCode>General</c:formatCode>
                <c:ptCount val="5"/>
                <c:pt idx="0">
                  <c:v>2016</c:v>
                </c:pt>
                <c:pt idx="1">
                  <c:v>2017</c:v>
                </c:pt>
                <c:pt idx="2">
                  <c:v>2018</c:v>
                </c:pt>
                <c:pt idx="3">
                  <c:v>2019</c:v>
                </c:pt>
                <c:pt idx="4">
                  <c:v>2020</c:v>
                </c:pt>
              </c:numCache>
            </c:numRef>
          </c:cat>
          <c:val>
            <c:numRef>
              <c:f>HHPV!$D$3:$D$7</c:f>
              <c:numCache>
                <c:formatCode>#,##0</c:formatCode>
                <c:ptCount val="5"/>
                <c:pt idx="0">
                  <c:v>134984</c:v>
                </c:pt>
                <c:pt idx="1">
                  <c:v>134575</c:v>
                </c:pt>
                <c:pt idx="2">
                  <c:v>142933</c:v>
                </c:pt>
                <c:pt idx="3">
                  <c:v>157322</c:v>
                </c:pt>
                <c:pt idx="4">
                  <c:v>225323</c:v>
                </c:pt>
              </c:numCache>
            </c:numRef>
          </c:val>
          <c:extLst>
            <c:ext xmlns:c16="http://schemas.microsoft.com/office/drawing/2014/chart" uri="{C3380CC4-5D6E-409C-BE32-E72D297353CC}">
              <c16:uniqueId val="{00000001-0915-4598-9C0D-88ACA671AF95}"/>
            </c:ext>
          </c:extLst>
        </c:ser>
        <c:dLbls>
          <c:dLblPos val="outEnd"/>
          <c:showLegendKey val="0"/>
          <c:showVal val="1"/>
          <c:showCatName val="0"/>
          <c:showSerName val="0"/>
          <c:showPercent val="0"/>
          <c:showBubbleSize val="0"/>
        </c:dLbls>
        <c:gapWidth val="80"/>
        <c:overlap val="-27"/>
        <c:axId val="694486096"/>
        <c:axId val="694489424"/>
      </c:barChart>
      <c:lineChart>
        <c:grouping val="standard"/>
        <c:varyColors val="0"/>
        <c:ser>
          <c:idx val="2"/>
          <c:order val="2"/>
          <c:tx>
            <c:strRef>
              <c:f>HHPV!$E$2</c:f>
              <c:strCache>
                <c:ptCount val="1"/>
                <c:pt idx="0">
                  <c:v>Total</c:v>
                </c:pt>
              </c:strCache>
            </c:strRef>
          </c:tx>
          <c:spPr>
            <a:ln w="25400" cap="rnd">
              <a:solidFill>
                <a:srgbClr val="C29B61"/>
              </a:solidFill>
              <a:round/>
            </a:ln>
            <a:effectLst>
              <a:outerShdw blurRad="50800" dist="38100" dir="2700000" algn="tl" rotWithShape="0">
                <a:prstClr val="black">
                  <a:alpha val="40000"/>
                </a:prstClr>
              </a:outerShdw>
            </a:effectLst>
          </c:spPr>
          <c:marker>
            <c:symbol val="diamond"/>
            <c:size val="10"/>
            <c:spPr>
              <a:solidFill>
                <a:srgbClr val="C29B61"/>
              </a:solidFill>
              <a:ln w="9525">
                <a:no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HHPV!$B$3:$B$7</c:f>
              <c:numCache>
                <c:formatCode>General</c:formatCode>
                <c:ptCount val="5"/>
                <c:pt idx="0">
                  <c:v>2016</c:v>
                </c:pt>
                <c:pt idx="1">
                  <c:v>2017</c:v>
                </c:pt>
                <c:pt idx="2">
                  <c:v>2018</c:v>
                </c:pt>
                <c:pt idx="3">
                  <c:v>2019</c:v>
                </c:pt>
                <c:pt idx="4">
                  <c:v>2020</c:v>
                </c:pt>
              </c:numCache>
            </c:numRef>
          </c:cat>
          <c:val>
            <c:numRef>
              <c:f>HHPV!$E$3:$E$7</c:f>
              <c:numCache>
                <c:formatCode>#,##0</c:formatCode>
                <c:ptCount val="5"/>
                <c:pt idx="0">
                  <c:v>149943</c:v>
                </c:pt>
                <c:pt idx="1">
                  <c:v>158758</c:v>
                </c:pt>
                <c:pt idx="2">
                  <c:v>167409</c:v>
                </c:pt>
                <c:pt idx="3">
                  <c:v>185793</c:v>
                </c:pt>
                <c:pt idx="4">
                  <c:v>252066</c:v>
                </c:pt>
              </c:numCache>
            </c:numRef>
          </c:val>
          <c:smooth val="0"/>
          <c:extLst>
            <c:ext xmlns:c16="http://schemas.microsoft.com/office/drawing/2014/chart" uri="{C3380CC4-5D6E-409C-BE32-E72D297353CC}">
              <c16:uniqueId val="{00000002-0915-4598-9C0D-88ACA671AF95}"/>
            </c:ext>
          </c:extLst>
        </c:ser>
        <c:dLbls>
          <c:showLegendKey val="0"/>
          <c:showVal val="1"/>
          <c:showCatName val="0"/>
          <c:showSerName val="0"/>
          <c:showPercent val="0"/>
          <c:showBubbleSize val="0"/>
        </c:dLbls>
        <c:marker val="1"/>
        <c:smooth val="0"/>
        <c:axId val="694486096"/>
        <c:axId val="694489424"/>
      </c:lineChart>
      <c:catAx>
        <c:axId val="69448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694489424"/>
        <c:crosses val="autoZero"/>
        <c:auto val="1"/>
        <c:lblAlgn val="ctr"/>
        <c:lblOffset val="100"/>
        <c:noMultiLvlLbl val="0"/>
      </c:catAx>
      <c:valAx>
        <c:axId val="694489424"/>
        <c:scaling>
          <c:orientation val="minMax"/>
        </c:scaling>
        <c:delete val="1"/>
        <c:axPos val="l"/>
        <c:numFmt formatCode="#,##0" sourceLinked="1"/>
        <c:majorTickMark val="none"/>
        <c:minorTickMark val="none"/>
        <c:tickLblPos val="nextTo"/>
        <c:crossAx val="694486096"/>
        <c:crosses val="autoZero"/>
        <c:crossBetween val="between"/>
      </c:valAx>
      <c:spPr>
        <a:noFill/>
        <a:ln>
          <a:noFill/>
        </a:ln>
        <a:effectLst/>
      </c:spPr>
    </c:plotArea>
    <c:legend>
      <c:legendPos val="b"/>
      <c:layout>
        <c:manualLayout>
          <c:xMode val="edge"/>
          <c:yMode val="edge"/>
          <c:x val="0.32011222132155931"/>
          <c:y val="0.91293926004882575"/>
          <c:w val="0.35977539343441339"/>
          <c:h val="8.70607399511742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2400">
          <a:latin typeface="Arial" panose="020B0604020202020204" pitchFamily="34" charset="0"/>
          <a:cs typeface="Arial" panose="020B0604020202020204" pitchFamily="34" charset="0"/>
        </a:defRPr>
      </a:pPr>
      <a:endParaRPr lang="es-MX"/>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847581652686063E-2"/>
          <c:y val="0.16386835029767621"/>
          <c:w val="0.96430483669462785"/>
          <c:h val="0.3528874591895525"/>
        </c:manualLayout>
      </c:layout>
      <c:barChart>
        <c:barDir val="col"/>
        <c:grouping val="clustered"/>
        <c:varyColors val="0"/>
        <c:ser>
          <c:idx val="0"/>
          <c:order val="0"/>
          <c:tx>
            <c:strRef>
              <c:f>'m2'!$J$354</c:f>
              <c:strCache>
                <c:ptCount val="1"/>
                <c:pt idx="0">
                  <c:v>2019</c:v>
                </c:pt>
              </c:strCache>
            </c:strRef>
          </c:tx>
          <c:spPr>
            <a:solidFill>
              <a:srgbClr val="EA8B5F"/>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'm2'!$I$355:$I$364</c:f>
              <c:strCache>
                <c:ptCount val="10"/>
                <c:pt idx="0">
                  <c:v>Violación al principio de legalidad en el desempeño de la función pública</c:v>
                </c:pt>
                <c:pt idx="1">
                  <c:v>Daño ambiental</c:v>
                </c:pt>
                <c:pt idx="2">
                  <c:v>Detención arbitraria</c:v>
                </c:pt>
                <c:pt idx="3">
                  <c:v>Negativa o inadecuada prestación de servicios públicos</c:v>
                </c:pt>
                <c:pt idx="4">
                  <c:v>Omisión en la fundamentación y motivación de un acto de autoridad</c:v>
                </c:pt>
                <c:pt idx="5">
                  <c:v>Omisión de la prestación de atención médica</c:v>
                </c:pt>
                <c:pt idx="6">
                  <c:v>Tratos crueles, inhumanos o degradantes</c:v>
                </c:pt>
                <c:pt idx="7">
                  <c:v>Tortura</c:v>
                </c:pt>
                <c:pt idx="8">
                  <c:v>Omisión en el suministro de medicamentos</c:v>
                </c:pt>
                <c:pt idx="9">
                  <c:v>Transgresión del derecho a la protección de la propiedad</c:v>
                </c:pt>
              </c:strCache>
            </c:strRef>
          </c:cat>
          <c:val>
            <c:numRef>
              <c:f>'m2'!$J$355:$J$364</c:f>
              <c:numCache>
                <c:formatCode>#,##0</c:formatCode>
                <c:ptCount val="10"/>
                <c:pt idx="0">
                  <c:v>17541</c:v>
                </c:pt>
                <c:pt idx="1">
                  <c:v>4768</c:v>
                </c:pt>
                <c:pt idx="2">
                  <c:v>8036</c:v>
                </c:pt>
                <c:pt idx="3">
                  <c:v>10088</c:v>
                </c:pt>
                <c:pt idx="4">
                  <c:v>5353</c:v>
                </c:pt>
                <c:pt idx="5">
                  <c:v>5762</c:v>
                </c:pt>
                <c:pt idx="6">
                  <c:v>7132</c:v>
                </c:pt>
                <c:pt idx="7">
                  <c:v>3298</c:v>
                </c:pt>
                <c:pt idx="8">
                  <c:v>1531</c:v>
                </c:pt>
                <c:pt idx="9">
                  <c:v>2099</c:v>
                </c:pt>
              </c:numCache>
            </c:numRef>
          </c:val>
          <c:extLst>
            <c:ext xmlns:c16="http://schemas.microsoft.com/office/drawing/2014/chart" uri="{C3380CC4-5D6E-409C-BE32-E72D297353CC}">
              <c16:uniqueId val="{00000000-2D09-4E86-A9C3-BFB8D8BB6B5B}"/>
            </c:ext>
          </c:extLst>
        </c:ser>
        <c:ser>
          <c:idx val="1"/>
          <c:order val="1"/>
          <c:tx>
            <c:strRef>
              <c:f>'m2'!$K$354</c:f>
              <c:strCache>
                <c:ptCount val="1"/>
                <c:pt idx="0">
                  <c:v>2020</c:v>
                </c:pt>
              </c:strCache>
            </c:strRef>
          </c:tx>
          <c:spPr>
            <a:solidFill>
              <a:srgbClr val="285172"/>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'm2'!$I$355:$I$364</c:f>
              <c:strCache>
                <c:ptCount val="10"/>
                <c:pt idx="0">
                  <c:v>Violación al principio de legalidad en el desempeño de la función pública</c:v>
                </c:pt>
                <c:pt idx="1">
                  <c:v>Daño ambiental</c:v>
                </c:pt>
                <c:pt idx="2">
                  <c:v>Detención arbitraria</c:v>
                </c:pt>
                <c:pt idx="3">
                  <c:v>Negativa o inadecuada prestación de servicios públicos</c:v>
                </c:pt>
                <c:pt idx="4">
                  <c:v>Omisión en la fundamentación y motivación de un acto de autoridad</c:v>
                </c:pt>
                <c:pt idx="5">
                  <c:v>Omisión de la prestación de atención médica</c:v>
                </c:pt>
                <c:pt idx="6">
                  <c:v>Tratos crueles, inhumanos o degradantes</c:v>
                </c:pt>
                <c:pt idx="7">
                  <c:v>Tortura</c:v>
                </c:pt>
                <c:pt idx="8">
                  <c:v>Omisión en el suministro de medicamentos</c:v>
                </c:pt>
                <c:pt idx="9">
                  <c:v>Transgresión del derecho a la protección de la propiedad</c:v>
                </c:pt>
              </c:strCache>
            </c:strRef>
          </c:cat>
          <c:val>
            <c:numRef>
              <c:f>'m2'!$K$355:$K$364</c:f>
              <c:numCache>
                <c:formatCode>#,##0</c:formatCode>
                <c:ptCount val="10"/>
                <c:pt idx="0">
                  <c:v>59960</c:v>
                </c:pt>
                <c:pt idx="1">
                  <c:v>36523</c:v>
                </c:pt>
                <c:pt idx="2">
                  <c:v>6724</c:v>
                </c:pt>
                <c:pt idx="3">
                  <c:v>5482</c:v>
                </c:pt>
                <c:pt idx="4">
                  <c:v>5243</c:v>
                </c:pt>
                <c:pt idx="5">
                  <c:v>4398</c:v>
                </c:pt>
                <c:pt idx="6">
                  <c:v>3938</c:v>
                </c:pt>
                <c:pt idx="7">
                  <c:v>2128</c:v>
                </c:pt>
                <c:pt idx="8">
                  <c:v>2009</c:v>
                </c:pt>
                <c:pt idx="9">
                  <c:v>1879</c:v>
                </c:pt>
              </c:numCache>
            </c:numRef>
          </c:val>
          <c:extLst>
            <c:ext xmlns:c16="http://schemas.microsoft.com/office/drawing/2014/chart" uri="{C3380CC4-5D6E-409C-BE32-E72D297353CC}">
              <c16:uniqueId val="{00000001-2D09-4E86-A9C3-BFB8D8BB6B5B}"/>
            </c:ext>
          </c:extLst>
        </c:ser>
        <c:dLbls>
          <c:dLblPos val="outEnd"/>
          <c:showLegendKey val="0"/>
          <c:showVal val="1"/>
          <c:showCatName val="0"/>
          <c:showSerName val="0"/>
          <c:showPercent val="0"/>
          <c:showBubbleSize val="0"/>
        </c:dLbls>
        <c:gapWidth val="80"/>
        <c:overlap val="-27"/>
        <c:axId val="435987279"/>
        <c:axId val="455811183"/>
      </c:barChart>
      <c:catAx>
        <c:axId val="435987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455811183"/>
        <c:crosses val="autoZero"/>
        <c:auto val="1"/>
        <c:lblAlgn val="ctr"/>
        <c:lblOffset val="100"/>
        <c:noMultiLvlLbl val="0"/>
      </c:catAx>
      <c:valAx>
        <c:axId val="455811183"/>
        <c:scaling>
          <c:orientation val="minMax"/>
        </c:scaling>
        <c:delete val="1"/>
        <c:axPos val="l"/>
        <c:numFmt formatCode="#,##0" sourceLinked="1"/>
        <c:majorTickMark val="none"/>
        <c:minorTickMark val="none"/>
        <c:tickLblPos val="nextTo"/>
        <c:crossAx val="435987279"/>
        <c:crosses val="autoZero"/>
        <c:crossBetween val="between"/>
      </c:valAx>
      <c:spPr>
        <a:noFill/>
        <a:ln>
          <a:noFill/>
        </a:ln>
        <a:effectLst/>
      </c:spPr>
    </c:plotArea>
    <c:legend>
      <c:legendPos val="b"/>
      <c:layout>
        <c:manualLayout>
          <c:xMode val="edge"/>
          <c:yMode val="edge"/>
          <c:x val="0.75189124064329071"/>
          <c:y val="6.1348155796247918E-3"/>
          <c:w val="0.16144536538420018"/>
          <c:h val="0.11595001929660129"/>
        </c:manualLayout>
      </c:layout>
      <c:overlay val="0"/>
      <c:spPr>
        <a:noFill/>
        <a:ln>
          <a:noFill/>
        </a:ln>
        <a:effectLst/>
      </c:spPr>
      <c:txPr>
        <a:bodyPr rot="0" spcFirstLastPara="1" vertOverflow="ellipsis" vert="horz" wrap="square" anchor="ctr" anchorCtr="1"/>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039842664082584E-2"/>
          <c:y val="6.8857942436261574E-2"/>
          <c:w val="0.96992031467183482"/>
          <c:h val="0.50687244806459564"/>
        </c:manualLayout>
      </c:layout>
      <c:barChart>
        <c:barDir val="col"/>
        <c:grouping val="clustered"/>
        <c:varyColors val="0"/>
        <c:ser>
          <c:idx val="0"/>
          <c:order val="0"/>
          <c:tx>
            <c:strRef>
              <c:f>'m2'!$A$605</c:f>
              <c:strCache>
                <c:ptCount val="1"/>
                <c:pt idx="0">
                  <c:v>2019</c:v>
                </c:pt>
              </c:strCache>
            </c:strRef>
          </c:tx>
          <c:spPr>
            <a:solidFill>
              <a:srgbClr val="EA8B5F"/>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'm2'!$B$603:$F$604</c:f>
              <c:multiLvlStrCache>
                <c:ptCount val="5"/>
                <c:lvl>
                  <c:pt idx="0">
                    <c:v>Hombres</c:v>
                  </c:pt>
                  <c:pt idx="1">
                    <c:v>Mujeres</c:v>
                  </c:pt>
                  <c:pt idx="2">
                    <c:v>No
identificado</c:v>
                  </c:pt>
                  <c:pt idx="3">
                    <c:v> </c:v>
                  </c:pt>
                  <c:pt idx="4">
                    <c:v> </c:v>
                  </c:pt>
                </c:lvl>
                <c:lvl>
                  <c:pt idx="0">
                    <c:v>Personas físicas</c:v>
                  </c:pt>
                  <c:pt idx="3">
                    <c:v>Colectivos /
Grupos</c:v>
                  </c:pt>
                  <c:pt idx="4">
                    <c:v>No
identificada</c:v>
                  </c:pt>
                </c:lvl>
              </c:multiLvlStrCache>
            </c:multiLvlStrRef>
          </c:cat>
          <c:val>
            <c:numRef>
              <c:f>'m2'!$B$605:$F$605</c:f>
              <c:numCache>
                <c:formatCode>#,##0</c:formatCode>
                <c:ptCount val="5"/>
                <c:pt idx="0">
                  <c:v>75483</c:v>
                </c:pt>
                <c:pt idx="1">
                  <c:v>57387</c:v>
                </c:pt>
                <c:pt idx="2">
                  <c:v>1595</c:v>
                </c:pt>
                <c:pt idx="3">
                  <c:v>3111</c:v>
                </c:pt>
                <c:pt idx="4">
                  <c:v>272</c:v>
                </c:pt>
              </c:numCache>
            </c:numRef>
          </c:val>
          <c:extLst>
            <c:ext xmlns:c16="http://schemas.microsoft.com/office/drawing/2014/chart" uri="{C3380CC4-5D6E-409C-BE32-E72D297353CC}">
              <c16:uniqueId val="{00000000-3ABA-4EFD-9104-7467999B1861}"/>
            </c:ext>
          </c:extLst>
        </c:ser>
        <c:ser>
          <c:idx val="1"/>
          <c:order val="1"/>
          <c:tx>
            <c:strRef>
              <c:f>'m2'!$A$606</c:f>
              <c:strCache>
                <c:ptCount val="1"/>
                <c:pt idx="0">
                  <c:v>2020</c:v>
                </c:pt>
              </c:strCache>
            </c:strRef>
          </c:tx>
          <c:spPr>
            <a:solidFill>
              <a:srgbClr val="285172"/>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'm2'!$B$603:$F$604</c:f>
              <c:multiLvlStrCache>
                <c:ptCount val="5"/>
                <c:lvl>
                  <c:pt idx="0">
                    <c:v>Hombres</c:v>
                  </c:pt>
                  <c:pt idx="1">
                    <c:v>Mujeres</c:v>
                  </c:pt>
                  <c:pt idx="2">
                    <c:v>No
identificado</c:v>
                  </c:pt>
                  <c:pt idx="3">
                    <c:v> </c:v>
                  </c:pt>
                  <c:pt idx="4">
                    <c:v> </c:v>
                  </c:pt>
                </c:lvl>
                <c:lvl>
                  <c:pt idx="0">
                    <c:v>Personas físicas</c:v>
                  </c:pt>
                  <c:pt idx="3">
                    <c:v>Colectivos /
Grupos</c:v>
                  </c:pt>
                  <c:pt idx="4">
                    <c:v>No
identificada</c:v>
                  </c:pt>
                </c:lvl>
              </c:multiLvlStrCache>
            </c:multiLvlStrRef>
          </c:cat>
          <c:val>
            <c:numRef>
              <c:f>'m2'!$B$606:$F$606</c:f>
              <c:numCache>
                <c:formatCode>#,##0</c:formatCode>
                <c:ptCount val="5"/>
                <c:pt idx="0">
                  <c:v>60928</c:v>
                </c:pt>
                <c:pt idx="1">
                  <c:v>45873</c:v>
                </c:pt>
                <c:pt idx="2">
                  <c:v>3055</c:v>
                </c:pt>
                <c:pt idx="3">
                  <c:v>2332</c:v>
                </c:pt>
                <c:pt idx="4">
                  <c:v>87</c:v>
                </c:pt>
              </c:numCache>
            </c:numRef>
          </c:val>
          <c:extLst>
            <c:ext xmlns:c16="http://schemas.microsoft.com/office/drawing/2014/chart" uri="{C3380CC4-5D6E-409C-BE32-E72D297353CC}">
              <c16:uniqueId val="{00000001-3ABA-4EFD-9104-7467999B1861}"/>
            </c:ext>
          </c:extLst>
        </c:ser>
        <c:dLbls>
          <c:dLblPos val="outEnd"/>
          <c:showLegendKey val="0"/>
          <c:showVal val="1"/>
          <c:showCatName val="0"/>
          <c:showSerName val="0"/>
          <c:showPercent val="0"/>
          <c:showBubbleSize val="0"/>
        </c:dLbls>
        <c:gapWidth val="60"/>
        <c:overlap val="-27"/>
        <c:axId val="605586239"/>
        <c:axId val="487656847"/>
      </c:barChart>
      <c:catAx>
        <c:axId val="605586239"/>
        <c:scaling>
          <c:orientation val="minMax"/>
        </c:scaling>
        <c:delete val="0"/>
        <c:axPos val="b"/>
        <c:numFmt formatCode="General" sourceLinked="1"/>
        <c:majorTickMark val="none"/>
        <c:minorTickMark val="none"/>
        <c:tickLblPos val="nextTo"/>
        <c:spPr>
          <a:noFill/>
          <a:ln w="9525" cap="flat" cmpd="sng" algn="ctr">
            <a:solidFill>
              <a:schemeClr val="accent3"/>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487656847"/>
        <c:crosses val="autoZero"/>
        <c:auto val="1"/>
        <c:lblAlgn val="ctr"/>
        <c:lblOffset val="100"/>
        <c:noMultiLvlLbl val="0"/>
      </c:catAx>
      <c:valAx>
        <c:axId val="487656847"/>
        <c:scaling>
          <c:orientation val="minMax"/>
        </c:scaling>
        <c:delete val="1"/>
        <c:axPos val="l"/>
        <c:numFmt formatCode="#,##0" sourceLinked="1"/>
        <c:majorTickMark val="none"/>
        <c:minorTickMark val="none"/>
        <c:tickLblPos val="nextTo"/>
        <c:crossAx val="605586239"/>
        <c:crosses val="autoZero"/>
        <c:crossBetween val="between"/>
      </c:valAx>
      <c:spPr>
        <a:noFill/>
        <a:ln>
          <a:noFill/>
        </a:ln>
        <a:effectLst/>
      </c:spPr>
    </c:plotArea>
    <c:legend>
      <c:legendPos val="b"/>
      <c:layout>
        <c:manualLayout>
          <c:xMode val="edge"/>
          <c:yMode val="edge"/>
          <c:x val="0.73863291981816637"/>
          <c:y val="7.3513595610675248E-2"/>
          <c:w val="0.18368345848660808"/>
          <c:h val="0.16375247397872733"/>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6502284889239"/>
          <c:y val="2.1165688555301612E-2"/>
          <c:w val="0.39522361196687528"/>
          <c:h val="0.97809093584023488"/>
        </c:manualLayout>
      </c:layout>
      <c:barChart>
        <c:barDir val="bar"/>
        <c:grouping val="clustered"/>
        <c:varyColors val="0"/>
        <c:ser>
          <c:idx val="0"/>
          <c:order val="0"/>
          <c:tx>
            <c:strRef>
              <c:f>InstPR!$J$2</c:f>
              <c:strCache>
                <c:ptCount val="1"/>
                <c:pt idx="0">
                  <c:v>2020</c:v>
                </c:pt>
              </c:strCache>
            </c:strRef>
          </c:tx>
          <c:spPr>
            <a:solidFill>
              <a:srgbClr val="285172"/>
            </a:solidFill>
            <a:ln>
              <a:noFill/>
            </a:ln>
            <a:effectLst>
              <a:outerShdw blurRad="50800" dist="38100" dir="2700000" algn="tl" rotWithShape="0">
                <a:prstClr val="black">
                  <a:alpha val="40000"/>
                </a:prstClr>
              </a:outerShdw>
            </a:effectLst>
          </c:spPr>
          <c:invertIfNegative val="0"/>
          <c:dPt>
            <c:idx val="4"/>
            <c:invertIfNegative val="0"/>
            <c:bubble3D val="0"/>
            <c:spPr>
              <a:solidFill>
                <a:srgbClr val="285172"/>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A6F8-48B1-A3E1-9426DD51E33B}"/>
              </c:ext>
            </c:extLst>
          </c:dPt>
          <c:dLbls>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(InstPR!$I$45:$I$48,InstPR!$I$50)</c:f>
              <c:strCache>
                <c:ptCount val="5"/>
                <c:pt idx="0">
                  <c:v>Sistema Penitenciario Federal</c:v>
                </c:pt>
                <c:pt idx="1">
                  <c:v>Secretaría de Bienestar</c:v>
                </c:pt>
                <c:pt idx="2">
                  <c:v>Instituto Nacional de Migración </c:v>
                </c:pt>
                <c:pt idx="3">
                  <c:v>Instituto de Seguridad y Servicios Sociales de los Trabajadores del Estado</c:v>
                </c:pt>
                <c:pt idx="4">
                  <c:v>Instituto Mexicano del Seguro Social</c:v>
                </c:pt>
              </c:strCache>
              <c:extLst/>
            </c:strRef>
          </c:cat>
          <c:val>
            <c:numRef>
              <c:f>(InstPR!$J$45:$J$48,InstPR!$J$50)</c:f>
              <c:numCache>
                <c:formatCode>#,##0</c:formatCode>
                <c:ptCount val="5"/>
                <c:pt idx="0">
                  <c:v>1044</c:v>
                </c:pt>
                <c:pt idx="1">
                  <c:v>1285</c:v>
                </c:pt>
                <c:pt idx="2">
                  <c:v>1325</c:v>
                </c:pt>
                <c:pt idx="3">
                  <c:v>1867</c:v>
                </c:pt>
                <c:pt idx="4">
                  <c:v>4636</c:v>
                </c:pt>
              </c:numCache>
              <c:extLst/>
            </c:numRef>
          </c:val>
          <c:extLst>
            <c:ext xmlns:c16="http://schemas.microsoft.com/office/drawing/2014/chart" uri="{C3380CC4-5D6E-409C-BE32-E72D297353CC}">
              <c16:uniqueId val="{00000002-A6F8-48B1-A3E1-9426DD51E33B}"/>
            </c:ext>
          </c:extLst>
        </c:ser>
        <c:ser>
          <c:idx val="1"/>
          <c:order val="1"/>
          <c:tx>
            <c:strRef>
              <c:f>InstPR!$K$2</c:f>
              <c:strCache>
                <c:ptCount val="1"/>
                <c:pt idx="0">
                  <c:v>2019</c:v>
                </c:pt>
              </c:strCache>
            </c:strRef>
          </c:tx>
          <c:spPr>
            <a:solidFill>
              <a:srgbClr val="EA8B5F"/>
            </a:solidFill>
            <a:ln>
              <a:noFill/>
            </a:ln>
            <a:effectLst>
              <a:outerShdw blurRad="50800" dist="38100" dir="2700000" algn="tl" rotWithShape="0">
                <a:prstClr val="black">
                  <a:alpha val="40000"/>
                </a:prstClr>
              </a:outerShdw>
            </a:effectLst>
          </c:spPr>
          <c:invertIfNegative val="0"/>
          <c:dPt>
            <c:idx val="4"/>
            <c:invertIfNegative val="0"/>
            <c:bubble3D val="0"/>
            <c:spPr>
              <a:solidFill>
                <a:srgbClr val="EA8B5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4-A6F8-48B1-A3E1-9426DD51E33B}"/>
              </c:ext>
            </c:extLst>
          </c:dPt>
          <c:dLbls>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(InstPR!$I$45:$I$48,InstPR!$I$50)</c:f>
              <c:strCache>
                <c:ptCount val="5"/>
                <c:pt idx="0">
                  <c:v>Sistema Penitenciario Federal</c:v>
                </c:pt>
                <c:pt idx="1">
                  <c:v>Secretaría de Bienestar</c:v>
                </c:pt>
                <c:pt idx="2">
                  <c:v>Instituto Nacional de Migración </c:v>
                </c:pt>
                <c:pt idx="3">
                  <c:v>Instituto de Seguridad y Servicios Sociales de los Trabajadores del Estado</c:v>
                </c:pt>
                <c:pt idx="4">
                  <c:v>Instituto Mexicano del Seguro Social</c:v>
                </c:pt>
              </c:strCache>
              <c:extLst/>
            </c:strRef>
          </c:cat>
          <c:val>
            <c:numRef>
              <c:f>(InstPR!$K$45:$K$48,InstPR!$K$50)</c:f>
              <c:numCache>
                <c:formatCode>#,##0</c:formatCode>
                <c:ptCount val="5"/>
                <c:pt idx="0">
                  <c:v>188</c:v>
                </c:pt>
                <c:pt idx="1">
                  <c:v>736</c:v>
                </c:pt>
                <c:pt idx="2">
                  <c:v>957</c:v>
                </c:pt>
                <c:pt idx="3">
                  <c:v>2165</c:v>
                </c:pt>
                <c:pt idx="4">
                  <c:v>4498</c:v>
                </c:pt>
              </c:numCache>
              <c:extLst/>
            </c:numRef>
          </c:val>
          <c:extLst>
            <c:ext xmlns:c16="http://schemas.microsoft.com/office/drawing/2014/chart" uri="{C3380CC4-5D6E-409C-BE32-E72D297353CC}">
              <c16:uniqueId val="{00000005-A6F8-48B1-A3E1-9426DD51E33B}"/>
            </c:ext>
          </c:extLst>
        </c:ser>
        <c:dLbls>
          <c:dLblPos val="outEnd"/>
          <c:showLegendKey val="0"/>
          <c:showVal val="1"/>
          <c:showCatName val="0"/>
          <c:showSerName val="0"/>
          <c:showPercent val="0"/>
          <c:showBubbleSize val="0"/>
        </c:dLbls>
        <c:gapWidth val="80"/>
        <c:axId val="1071079392"/>
        <c:axId val="1071078560"/>
      </c:barChart>
      <c:catAx>
        <c:axId val="107107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071078560"/>
        <c:crosses val="autoZero"/>
        <c:auto val="1"/>
        <c:lblAlgn val="ctr"/>
        <c:lblOffset val="100"/>
        <c:noMultiLvlLbl val="0"/>
      </c:catAx>
      <c:valAx>
        <c:axId val="1071078560"/>
        <c:scaling>
          <c:orientation val="minMax"/>
        </c:scaling>
        <c:delete val="1"/>
        <c:axPos val="b"/>
        <c:numFmt formatCode="#,##0" sourceLinked="1"/>
        <c:majorTickMark val="none"/>
        <c:minorTickMark val="none"/>
        <c:tickLblPos val="nextTo"/>
        <c:crossAx val="1071079392"/>
        <c:crosses val="autoZero"/>
        <c:crossBetween val="between"/>
      </c:valAx>
      <c:spPr>
        <a:noFill/>
        <a:ln>
          <a:noFill/>
        </a:ln>
        <a:effectLst/>
      </c:spPr>
    </c:plotArea>
    <c:legend>
      <c:legendPos val="b"/>
      <c:layout>
        <c:manualLayout>
          <c:xMode val="edge"/>
          <c:yMode val="edge"/>
          <c:x val="0.85756986127054768"/>
          <c:y val="0.4720809168581257"/>
          <c:w val="9.6406701834352806E-2"/>
          <c:h val="0.1893298041493302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lgn="r">
        <a:defRPr lang="en-US" sz="2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41256957779157"/>
          <c:y val="4.4835047463530203E-2"/>
          <c:w val="0.43842136545872495"/>
          <c:h val="0.87676704515676651"/>
        </c:manualLayout>
      </c:layout>
      <c:barChart>
        <c:barDir val="bar"/>
        <c:grouping val="clustered"/>
        <c:varyColors val="0"/>
        <c:ser>
          <c:idx val="0"/>
          <c:order val="0"/>
          <c:tx>
            <c:strRef>
              <c:f>'m2'!$F$811</c:f>
              <c:strCache>
                <c:ptCount val="1"/>
                <c:pt idx="0">
                  <c:v>2019</c:v>
                </c:pt>
              </c:strCache>
            </c:strRef>
          </c:tx>
          <c:spPr>
            <a:solidFill>
              <a:srgbClr val="EA8B5F"/>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'm2'!$E$812:$E$816</c:f>
              <c:strCache>
                <c:ptCount val="5"/>
                <c:pt idx="0">
                  <c:v>Presidente(a) municipal o alcalde(sa)</c:v>
                </c:pt>
                <c:pt idx="1">
                  <c:v>Procuraduría General de Justicia o Fiscalía General*</c:v>
                </c:pt>
                <c:pt idx="2">
                  <c:v>Institución encargada de la función de seguridad pública y/o vialidad </c:v>
                </c:pt>
                <c:pt idx="3">
                  <c:v>Institución encargada de la función de seguridad pública**</c:v>
                </c:pt>
                <c:pt idx="4">
                  <c:v>Secretaría de Educación Pública u homóloga</c:v>
                </c:pt>
              </c:strCache>
            </c:strRef>
          </c:cat>
          <c:val>
            <c:numRef>
              <c:f>'m2'!$F$812:$F$816</c:f>
              <c:numCache>
                <c:formatCode>#,##0</c:formatCode>
                <c:ptCount val="5"/>
                <c:pt idx="0">
                  <c:v>10929</c:v>
                </c:pt>
                <c:pt idx="1">
                  <c:v>19459</c:v>
                </c:pt>
                <c:pt idx="2">
                  <c:v>9223</c:v>
                </c:pt>
                <c:pt idx="3">
                  <c:v>9214</c:v>
                </c:pt>
                <c:pt idx="4">
                  <c:v>8839</c:v>
                </c:pt>
              </c:numCache>
            </c:numRef>
          </c:val>
          <c:extLst>
            <c:ext xmlns:c16="http://schemas.microsoft.com/office/drawing/2014/chart" uri="{C3380CC4-5D6E-409C-BE32-E72D297353CC}">
              <c16:uniqueId val="{00000000-1E87-47B6-8A2F-BE9433D00BAE}"/>
            </c:ext>
          </c:extLst>
        </c:ser>
        <c:ser>
          <c:idx val="1"/>
          <c:order val="1"/>
          <c:tx>
            <c:strRef>
              <c:f>'m2'!$G$811</c:f>
              <c:strCache>
                <c:ptCount val="1"/>
                <c:pt idx="0">
                  <c:v>2020</c:v>
                </c:pt>
              </c:strCache>
            </c:strRef>
          </c:tx>
          <c:spPr>
            <a:solidFill>
              <a:srgbClr val="285172"/>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'm2'!$E$812:$E$816</c:f>
              <c:strCache>
                <c:ptCount val="5"/>
                <c:pt idx="0">
                  <c:v>Presidente(a) municipal o alcalde(sa)</c:v>
                </c:pt>
                <c:pt idx="1">
                  <c:v>Procuraduría General de Justicia o Fiscalía General*</c:v>
                </c:pt>
                <c:pt idx="2">
                  <c:v>Institución encargada de la función de seguridad pública y/o vialidad </c:v>
                </c:pt>
                <c:pt idx="3">
                  <c:v>Institución encargada de la función de seguridad pública**</c:v>
                </c:pt>
                <c:pt idx="4">
                  <c:v>Secretaría de Educación Pública u homóloga</c:v>
                </c:pt>
              </c:strCache>
            </c:strRef>
          </c:cat>
          <c:val>
            <c:numRef>
              <c:f>'m2'!$G$812:$G$816</c:f>
              <c:numCache>
                <c:formatCode>#,##0</c:formatCode>
                <c:ptCount val="5"/>
                <c:pt idx="0">
                  <c:v>32404</c:v>
                </c:pt>
                <c:pt idx="1">
                  <c:v>15368</c:v>
                </c:pt>
                <c:pt idx="2">
                  <c:v>7890</c:v>
                </c:pt>
                <c:pt idx="3">
                  <c:v>7349</c:v>
                </c:pt>
                <c:pt idx="4">
                  <c:v>5869</c:v>
                </c:pt>
              </c:numCache>
            </c:numRef>
          </c:val>
          <c:extLst>
            <c:ext xmlns:c16="http://schemas.microsoft.com/office/drawing/2014/chart" uri="{C3380CC4-5D6E-409C-BE32-E72D297353CC}">
              <c16:uniqueId val="{00000001-1E87-47B6-8A2F-BE9433D00BAE}"/>
            </c:ext>
          </c:extLst>
        </c:ser>
        <c:dLbls>
          <c:dLblPos val="outEnd"/>
          <c:showLegendKey val="0"/>
          <c:showVal val="1"/>
          <c:showCatName val="0"/>
          <c:showSerName val="0"/>
          <c:showPercent val="0"/>
          <c:showBubbleSize val="0"/>
        </c:dLbls>
        <c:gapWidth val="50"/>
        <c:axId val="1021408991"/>
        <c:axId val="675775007"/>
      </c:barChart>
      <c:catAx>
        <c:axId val="1021408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675775007"/>
        <c:crosses val="autoZero"/>
        <c:auto val="1"/>
        <c:lblAlgn val="ctr"/>
        <c:lblOffset val="100"/>
        <c:noMultiLvlLbl val="0"/>
      </c:catAx>
      <c:valAx>
        <c:axId val="675775007"/>
        <c:scaling>
          <c:orientation val="minMax"/>
        </c:scaling>
        <c:delete val="1"/>
        <c:axPos val="t"/>
        <c:numFmt formatCode="#,##0" sourceLinked="1"/>
        <c:majorTickMark val="none"/>
        <c:minorTickMark val="none"/>
        <c:tickLblPos val="nextTo"/>
        <c:crossAx val="1021408991"/>
        <c:crosses val="autoZero"/>
        <c:crossBetween val="between"/>
      </c:valAx>
      <c:spPr>
        <a:noFill/>
        <a:ln>
          <a:noFill/>
        </a:ln>
        <a:effectLst/>
      </c:spPr>
    </c:plotArea>
    <c:legend>
      <c:legendPos val="b"/>
      <c:layout>
        <c:manualLayout>
          <c:xMode val="edge"/>
          <c:yMode val="edge"/>
          <c:x val="0.83726904526129708"/>
          <c:y val="0.5592781715513514"/>
          <c:w val="0.13289705690651579"/>
          <c:h val="0.174498866718199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939728922800599"/>
          <c:y val="5.8024728041070339E-2"/>
          <c:w val="0.35327225111836058"/>
          <c:h val="0.90072202166064985"/>
        </c:manualLayout>
      </c:layout>
      <c:barChart>
        <c:barDir val="bar"/>
        <c:grouping val="clustered"/>
        <c:varyColors val="0"/>
        <c:ser>
          <c:idx val="0"/>
          <c:order val="0"/>
          <c:spPr>
            <a:solidFill>
              <a:srgbClr val="EAC479"/>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C29B6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3354-462F-89DD-6C0DA409231B}"/>
              </c:ext>
            </c:extLst>
          </c:dPt>
          <c:dLbls>
            <c:spPr>
              <a:noFill/>
              <a:ln>
                <a:noFill/>
              </a:ln>
              <a:effectLst/>
            </c:spPr>
            <c:txPr>
              <a:bodyPr rot="0" spcFirstLastPara="1" vertOverflow="ellipsis" vert="horz" wrap="square" lIns="38100" tIns="19050" rIns="38100" bIns="19050" anchor="ctr" anchorCtr="0">
                <a:spAutoFit/>
              </a:bodyPr>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'[BD_DHF-E_2021.xlsx]m2'!$A$875:$A$884</c:f>
              <c:strCache>
                <c:ptCount val="10"/>
                <c:pt idx="0">
                  <c:v>Por haberse solucionado el expediente de queja durante el trámite respectivo</c:v>
                </c:pt>
                <c:pt idx="1">
                  <c:v>Por orientación jurídica al quejoso y/o agraviado</c:v>
                </c:pt>
                <c:pt idx="2">
                  <c:v>Por no existir materia para seguir conociendo del expediente de queja</c:v>
                </c:pt>
                <c:pt idx="3">
                  <c:v>Por acuerdo de acumulación de expedientes</c:v>
                </c:pt>
                <c:pt idx="4">
                  <c:v>Por falta de interés del quejoso y/o agraviado en la continuación del procedimiento</c:v>
                </c:pt>
                <c:pt idx="5">
                  <c:v>Por haberse dictado la recomendación correspondiente</c:v>
                </c:pt>
                <c:pt idx="6">
                  <c:v>Por haberse solucionado el expediente de queja mediante los procedimientos de conciliación</c:v>
                </c:pt>
                <c:pt idx="7">
                  <c:v>Por desistimiento del quejoso y/o agraviado</c:v>
                </c:pt>
                <c:pt idx="8">
                  <c:v>Por no competencia para conocer de la queja planteada</c:v>
                </c:pt>
                <c:pt idx="9">
                  <c:v>Otro tipo de conclusión</c:v>
                </c:pt>
              </c:strCache>
            </c:strRef>
          </c:cat>
          <c:val>
            <c:numRef>
              <c:f>'[BD_DHF-E_2021.xlsx]m2'!$B$875:$B$884</c:f>
              <c:numCache>
                <c:formatCode>#,##0</c:formatCode>
                <c:ptCount val="10"/>
                <c:pt idx="0">
                  <c:v>5024</c:v>
                </c:pt>
                <c:pt idx="1">
                  <c:v>3341</c:v>
                </c:pt>
                <c:pt idx="2">
                  <c:v>1170</c:v>
                </c:pt>
                <c:pt idx="3">
                  <c:v>395</c:v>
                </c:pt>
                <c:pt idx="4">
                  <c:v>76</c:v>
                </c:pt>
                <c:pt idx="5">
                  <c:v>75</c:v>
                </c:pt>
                <c:pt idx="6">
                  <c:v>63</c:v>
                </c:pt>
                <c:pt idx="7">
                  <c:v>43</c:v>
                </c:pt>
                <c:pt idx="8">
                  <c:v>6</c:v>
                </c:pt>
                <c:pt idx="9">
                  <c:v>11</c:v>
                </c:pt>
              </c:numCache>
            </c:numRef>
          </c:val>
          <c:extLst>
            <c:ext xmlns:c16="http://schemas.microsoft.com/office/drawing/2014/chart" uri="{C3380CC4-5D6E-409C-BE32-E72D297353CC}">
              <c16:uniqueId val="{00000002-3354-462F-89DD-6C0DA409231B}"/>
            </c:ext>
          </c:extLst>
        </c:ser>
        <c:dLbls>
          <c:dLblPos val="outEnd"/>
          <c:showLegendKey val="0"/>
          <c:showVal val="1"/>
          <c:showCatName val="0"/>
          <c:showSerName val="0"/>
          <c:showPercent val="0"/>
          <c:showBubbleSize val="0"/>
        </c:dLbls>
        <c:gapWidth val="50"/>
        <c:axId val="267214176"/>
        <c:axId val="227763568"/>
      </c:barChart>
      <c:catAx>
        <c:axId val="267214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27763568"/>
        <c:crosses val="autoZero"/>
        <c:auto val="1"/>
        <c:lblAlgn val="ctr"/>
        <c:lblOffset val="100"/>
        <c:noMultiLvlLbl val="0"/>
      </c:catAx>
      <c:valAx>
        <c:axId val="227763568"/>
        <c:scaling>
          <c:orientation val="minMax"/>
        </c:scaling>
        <c:delete val="1"/>
        <c:axPos val="t"/>
        <c:numFmt formatCode="#,##0" sourceLinked="1"/>
        <c:majorTickMark val="none"/>
        <c:minorTickMark val="none"/>
        <c:tickLblPos val="nextTo"/>
        <c:crossAx val="267214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'm2'!$C$920</c:f>
              <c:strCache>
                <c:ptCount val="1"/>
                <c:pt idx="0">
                  <c:v>CNDH</c:v>
                </c:pt>
              </c:strCache>
            </c:strRef>
          </c:tx>
          <c:spPr>
            <a:solidFill>
              <a:srgbClr val="5D7C60"/>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'm2'!$A$921:$A$925</c:f>
              <c:numCache>
                <c:formatCode>General</c:formatCode>
                <c:ptCount val="5"/>
                <c:pt idx="0">
                  <c:v>2016</c:v>
                </c:pt>
                <c:pt idx="1">
                  <c:v>2017</c:v>
                </c:pt>
                <c:pt idx="2">
                  <c:v>2018</c:v>
                </c:pt>
                <c:pt idx="3">
                  <c:v>2019</c:v>
                </c:pt>
                <c:pt idx="4">
                  <c:v>2020</c:v>
                </c:pt>
              </c:numCache>
            </c:numRef>
          </c:cat>
          <c:val>
            <c:numRef>
              <c:f>'m2'!$C$921:$C$925</c:f>
              <c:numCache>
                <c:formatCode>#,##0</c:formatCode>
                <c:ptCount val="5"/>
                <c:pt idx="0">
                  <c:v>476</c:v>
                </c:pt>
                <c:pt idx="1">
                  <c:v>772</c:v>
                </c:pt>
                <c:pt idx="2">
                  <c:v>933</c:v>
                </c:pt>
                <c:pt idx="3">
                  <c:v>1055</c:v>
                </c:pt>
                <c:pt idx="4">
                  <c:v>389</c:v>
                </c:pt>
              </c:numCache>
            </c:numRef>
          </c:val>
          <c:extLst>
            <c:ext xmlns:c16="http://schemas.microsoft.com/office/drawing/2014/chart" uri="{C3380CC4-5D6E-409C-BE32-E72D297353CC}">
              <c16:uniqueId val="{00000000-D1B8-467E-83F7-FA5FFD791AAC}"/>
            </c:ext>
          </c:extLst>
        </c:ser>
        <c:ser>
          <c:idx val="2"/>
          <c:order val="2"/>
          <c:tx>
            <c:strRef>
              <c:f>'m2'!$D$920</c:f>
              <c:strCache>
                <c:ptCount val="1"/>
                <c:pt idx="0">
                  <c:v>OPDH </c:v>
                </c:pt>
              </c:strCache>
            </c:strRef>
          </c:tx>
          <c:spPr>
            <a:solidFill>
              <a:srgbClr val="D1622F"/>
            </a:solidFill>
            <a:ln>
              <a:noFill/>
            </a:ln>
            <a:effectLst>
              <a:outerShdw blurRad="50800" dist="38100" dir="2700000" algn="tl" rotWithShape="0">
                <a:prstClr val="black">
                  <a:alpha val="40000"/>
                </a:prstClr>
              </a:outerShdw>
            </a:effectLst>
          </c:spPr>
          <c:invertIfNegative val="0"/>
          <c:dLbls>
            <c:dLbl>
              <c:idx val="0"/>
              <c:layout>
                <c:manualLayout>
                  <c:x val="-2.1388049002855556E-17"/>
                  <c:y val="0.147677631396331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B8-467E-83F7-FA5FFD791AAC}"/>
                </c:ext>
              </c:extLst>
            </c:dLbl>
            <c:dLbl>
              <c:idx val="1"/>
              <c:layout>
                <c:manualLayout>
                  <c:x val="-5.3617926215938416E-17"/>
                  <c:y val="0.245868481030756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B8-467E-83F7-FA5FFD791AAC}"/>
                </c:ext>
              </c:extLst>
            </c:dLbl>
            <c:dLbl>
              <c:idx val="2"/>
              <c:layout>
                <c:manualLayout>
                  <c:x val="0"/>
                  <c:y val="0.161969015079847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B8-467E-83F7-FA5FFD791AAC}"/>
                </c:ext>
              </c:extLst>
            </c:dLbl>
            <c:dLbl>
              <c:idx val="3"/>
              <c:layout>
                <c:manualLayout>
                  <c:x val="0"/>
                  <c:y val="0.195315577008051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B8-467E-83F7-FA5FFD791AAC}"/>
                </c:ext>
              </c:extLst>
            </c:dLbl>
            <c:dLbl>
              <c:idx val="4"/>
              <c:layout>
                <c:manualLayout>
                  <c:x val="1.0723585243187683E-16"/>
                  <c:y val="0.241104618891028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B8-467E-83F7-FA5FFD791AAC}"/>
                </c:ext>
              </c:extLst>
            </c:dLbl>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'm2'!$A$921:$A$925</c:f>
              <c:numCache>
                <c:formatCode>General</c:formatCode>
                <c:ptCount val="5"/>
                <c:pt idx="0">
                  <c:v>2016</c:v>
                </c:pt>
                <c:pt idx="1">
                  <c:v>2017</c:v>
                </c:pt>
                <c:pt idx="2">
                  <c:v>2018</c:v>
                </c:pt>
                <c:pt idx="3">
                  <c:v>2019</c:v>
                </c:pt>
                <c:pt idx="4">
                  <c:v>2020</c:v>
                </c:pt>
              </c:numCache>
            </c:numRef>
          </c:cat>
          <c:val>
            <c:numRef>
              <c:f>'m2'!$D$921:$D$925</c:f>
              <c:numCache>
                <c:formatCode>#,##0</c:formatCode>
                <c:ptCount val="5"/>
                <c:pt idx="0">
                  <c:v>27317</c:v>
                </c:pt>
                <c:pt idx="1">
                  <c:v>21186</c:v>
                </c:pt>
                <c:pt idx="2">
                  <c:v>26119</c:v>
                </c:pt>
                <c:pt idx="3">
                  <c:v>25221</c:v>
                </c:pt>
                <c:pt idx="4">
                  <c:v>14663</c:v>
                </c:pt>
              </c:numCache>
            </c:numRef>
          </c:val>
          <c:extLst>
            <c:ext xmlns:c16="http://schemas.microsoft.com/office/drawing/2014/chart" uri="{C3380CC4-5D6E-409C-BE32-E72D297353CC}">
              <c16:uniqueId val="{00000006-D1B8-467E-83F7-FA5FFD791AAC}"/>
            </c:ext>
          </c:extLst>
        </c:ser>
        <c:dLbls>
          <c:showLegendKey val="0"/>
          <c:showVal val="0"/>
          <c:showCatName val="0"/>
          <c:showSerName val="0"/>
          <c:showPercent val="0"/>
          <c:showBubbleSize val="0"/>
        </c:dLbls>
        <c:gapWidth val="50"/>
        <c:axId val="339801296"/>
        <c:axId val="475911440"/>
      </c:barChart>
      <c:lineChart>
        <c:grouping val="standard"/>
        <c:varyColors val="0"/>
        <c:ser>
          <c:idx val="0"/>
          <c:order val="0"/>
          <c:tx>
            <c:strRef>
              <c:f>'m2'!$B$920</c:f>
              <c:strCache>
                <c:ptCount val="1"/>
                <c:pt idx="0">
                  <c:v>Total </c:v>
                </c:pt>
              </c:strCache>
            </c:strRef>
          </c:tx>
          <c:spPr>
            <a:ln w="28575" cap="rnd">
              <a:solidFill>
                <a:schemeClr val="accent3"/>
              </a:solidFill>
              <a:round/>
            </a:ln>
            <a:effectLst>
              <a:outerShdw blurRad="50800" dist="38100" dir="2700000" algn="tl" rotWithShape="0">
                <a:prstClr val="black">
                  <a:alpha val="40000"/>
                </a:prstClr>
              </a:outerShdw>
            </a:effectLst>
          </c:spPr>
          <c:marker>
            <c:symbol val="diamond"/>
            <c:size val="6"/>
            <c:spPr>
              <a:solidFill>
                <a:schemeClr val="accent3"/>
              </a:solidFill>
              <a:ln w="9525">
                <a:solidFill>
                  <a:schemeClr val="accent3"/>
                </a:solidFill>
              </a:ln>
              <a:effectLst>
                <a:outerShdw blurRad="50800" dist="38100" dir="2700000" algn="tl" rotWithShape="0">
                  <a:prstClr val="black">
                    <a:alpha val="40000"/>
                  </a:prstClr>
                </a:outerShdw>
              </a:effectLst>
            </c:spPr>
          </c:marker>
          <c:dLbls>
            <c:dLbl>
              <c:idx val="0"/>
              <c:layout>
                <c:manualLayout>
                  <c:x val="-6.563478932388922E-2"/>
                  <c:y val="-6.3694164868342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B8-467E-83F7-FA5FFD791AAC}"/>
                </c:ext>
              </c:extLst>
            </c:dLbl>
            <c:dLbl>
              <c:idx val="1"/>
              <c:layout>
                <c:manualLayout>
                  <c:x val="-5.5439841736659196E-2"/>
                  <c:y val="-6.2907470456009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B8-467E-83F7-FA5FFD791AAC}"/>
                </c:ext>
              </c:extLst>
            </c:dLbl>
            <c:dLbl>
              <c:idx val="2"/>
              <c:layout>
                <c:manualLayout>
                  <c:x val="-6.4210906539398108E-2"/>
                  <c:y val="-7.009007148810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B8-467E-83F7-FA5FFD791AAC}"/>
                </c:ext>
              </c:extLst>
            </c:dLbl>
            <c:dLbl>
              <c:idx val="3"/>
              <c:layout>
                <c:manualLayout>
                  <c:x val="-3.3575317981113253E-2"/>
                  <c:y val="-6.3694164868342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B8-467E-83F7-FA5FFD791AAC}"/>
                </c:ext>
              </c:extLst>
            </c:dLbl>
            <c:dLbl>
              <c:idx val="4"/>
              <c:layout>
                <c:manualLayout>
                  <c:x val="-3.2151435196622044E-2"/>
                  <c:y val="-5.0902351628815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B8-467E-83F7-FA5FFD791AAC}"/>
                </c:ext>
              </c:extLst>
            </c:dLbl>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'm2'!$A$921:$A$925</c:f>
              <c:numCache>
                <c:formatCode>General</c:formatCode>
                <c:ptCount val="5"/>
                <c:pt idx="0">
                  <c:v>2016</c:v>
                </c:pt>
                <c:pt idx="1">
                  <c:v>2017</c:v>
                </c:pt>
                <c:pt idx="2">
                  <c:v>2018</c:v>
                </c:pt>
                <c:pt idx="3">
                  <c:v>2019</c:v>
                </c:pt>
                <c:pt idx="4">
                  <c:v>2020</c:v>
                </c:pt>
              </c:numCache>
            </c:numRef>
          </c:cat>
          <c:val>
            <c:numRef>
              <c:f>'m2'!$B$921:$B$925</c:f>
              <c:numCache>
                <c:formatCode>#,##0</c:formatCode>
                <c:ptCount val="5"/>
                <c:pt idx="0">
                  <c:v>27793</c:v>
                </c:pt>
                <c:pt idx="1">
                  <c:v>21958</c:v>
                </c:pt>
                <c:pt idx="2">
                  <c:v>27052</c:v>
                </c:pt>
                <c:pt idx="3">
                  <c:v>26276</c:v>
                </c:pt>
                <c:pt idx="4">
                  <c:v>15052</c:v>
                </c:pt>
              </c:numCache>
            </c:numRef>
          </c:val>
          <c:smooth val="0"/>
          <c:extLst>
            <c:ext xmlns:c16="http://schemas.microsoft.com/office/drawing/2014/chart" uri="{C3380CC4-5D6E-409C-BE32-E72D297353CC}">
              <c16:uniqueId val="{0000000C-D1B8-467E-83F7-FA5FFD791AAC}"/>
            </c:ext>
          </c:extLst>
        </c:ser>
        <c:dLbls>
          <c:showLegendKey val="0"/>
          <c:showVal val="0"/>
          <c:showCatName val="0"/>
          <c:showSerName val="0"/>
          <c:showPercent val="0"/>
          <c:showBubbleSize val="0"/>
        </c:dLbls>
        <c:marker val="1"/>
        <c:smooth val="0"/>
        <c:axId val="339801296"/>
        <c:axId val="475911440"/>
      </c:lineChart>
      <c:catAx>
        <c:axId val="33980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475911440"/>
        <c:crosses val="autoZero"/>
        <c:auto val="1"/>
        <c:lblAlgn val="ctr"/>
        <c:lblOffset val="100"/>
        <c:noMultiLvlLbl val="0"/>
      </c:catAx>
      <c:valAx>
        <c:axId val="475911440"/>
        <c:scaling>
          <c:orientation val="minMax"/>
        </c:scaling>
        <c:delete val="1"/>
        <c:axPos val="l"/>
        <c:numFmt formatCode="#,##0" sourceLinked="1"/>
        <c:majorTickMark val="none"/>
        <c:minorTickMark val="none"/>
        <c:tickLblPos val="nextTo"/>
        <c:crossAx val="33980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82217847769031"/>
          <c:y val="3.316249623153452E-2"/>
          <c:w val="0.85573337707786523"/>
          <c:h val="0.86750217799501017"/>
        </c:manualLayout>
      </c:layout>
      <c:barChart>
        <c:barDir val="bar"/>
        <c:grouping val="stacked"/>
        <c:varyColors val="0"/>
        <c:ser>
          <c:idx val="0"/>
          <c:order val="0"/>
          <c:tx>
            <c:strRef>
              <c:f>'m1'!$E$104</c:f>
              <c:strCache>
                <c:ptCount val="1"/>
                <c:pt idx="0">
                  <c:v>Hombres </c:v>
                </c:pt>
              </c:strCache>
            </c:strRef>
          </c:tx>
          <c:spPr>
            <a:solidFill>
              <a:srgbClr val="87AD8A"/>
            </a:solidFill>
            <a:ln>
              <a:noFill/>
            </a:ln>
            <a:effectLst>
              <a:outerShdw blurRad="50800" dist="38100" dir="2700000" algn="tl" rotWithShape="0">
                <a:prstClr val="black">
                  <a:alpha val="40000"/>
                </a:prst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C89-45F4-B940-1C6FCB238BEF}"/>
                </c:ext>
              </c:extLst>
            </c:dLbl>
            <c:dLbl>
              <c:idx val="1"/>
              <c:delete val="1"/>
              <c:extLst>
                <c:ext xmlns:c15="http://schemas.microsoft.com/office/drawing/2012/chart" uri="{CE6537A1-D6FC-4f65-9D91-7224C49458BB}"/>
                <c:ext xmlns:c16="http://schemas.microsoft.com/office/drawing/2014/chart" uri="{C3380CC4-5D6E-409C-BE32-E72D297353CC}">
                  <c16:uniqueId val="{00000001-BC89-45F4-B940-1C6FCB238BEF}"/>
                </c:ext>
              </c:extLst>
            </c:dLbl>
            <c:dLbl>
              <c:idx val="2"/>
              <c:delete val="1"/>
              <c:extLst>
                <c:ext xmlns:c15="http://schemas.microsoft.com/office/drawing/2012/chart" uri="{CE6537A1-D6FC-4f65-9D91-7224C49458BB}"/>
                <c:ext xmlns:c16="http://schemas.microsoft.com/office/drawing/2014/chart" uri="{C3380CC4-5D6E-409C-BE32-E72D297353CC}">
                  <c16:uniqueId val="{00000002-BC89-45F4-B940-1C6FCB238BEF}"/>
                </c:ext>
              </c:extLst>
            </c:dLbl>
            <c:spPr>
              <a:noFill/>
              <a:ln>
                <a:noFill/>
              </a:ln>
              <a:effectLst/>
            </c:spPr>
            <c:txPr>
              <a:bodyPr rot="0" spcFirstLastPara="1" vertOverflow="ellipsis" vert="horz" wrap="square" lIns="38100" tIns="19050" rIns="38100" bIns="19050" anchor="ctr" anchorCtr="0">
                <a:spAutoFit/>
              </a:bodyPr>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'm1'!$A$105:$A$134</c:f>
              <c:strCache>
                <c:ptCount val="30"/>
                <c:pt idx="0">
                  <c:v>CNDH</c:v>
                </c:pt>
                <c:pt idx="1">
                  <c:v>VER</c:v>
                </c:pt>
                <c:pt idx="2">
                  <c:v>ZAC</c:v>
                </c:pt>
                <c:pt idx="3">
                  <c:v>MEX</c:v>
                </c:pt>
                <c:pt idx="4">
                  <c:v>NL</c:v>
                </c:pt>
                <c:pt idx="5">
                  <c:v>DGO</c:v>
                </c:pt>
                <c:pt idx="6">
                  <c:v>CDMX</c:v>
                </c:pt>
                <c:pt idx="7">
                  <c:v>JAL</c:v>
                </c:pt>
                <c:pt idx="8">
                  <c:v>SIN</c:v>
                </c:pt>
                <c:pt idx="9">
                  <c:v>BCS</c:v>
                </c:pt>
                <c:pt idx="10">
                  <c:v>MOR</c:v>
                </c:pt>
                <c:pt idx="11">
                  <c:v>OAX</c:v>
                </c:pt>
                <c:pt idx="12">
                  <c:v>PUE</c:v>
                </c:pt>
                <c:pt idx="13">
                  <c:v>QRO</c:v>
                </c:pt>
                <c:pt idx="14">
                  <c:v>SLP</c:v>
                </c:pt>
                <c:pt idx="15">
                  <c:v>TAMPS</c:v>
                </c:pt>
                <c:pt idx="16">
                  <c:v>CAMP</c:v>
                </c:pt>
                <c:pt idx="17">
                  <c:v>COL</c:v>
                </c:pt>
                <c:pt idx="18">
                  <c:v>CHIH</c:v>
                </c:pt>
                <c:pt idx="19">
                  <c:v>GTO</c:v>
                </c:pt>
                <c:pt idx="20">
                  <c:v>MICH</c:v>
                </c:pt>
                <c:pt idx="21">
                  <c:v>NAY</c:v>
                </c:pt>
                <c:pt idx="22">
                  <c:v>TLAX</c:v>
                </c:pt>
                <c:pt idx="23">
                  <c:v>YUC</c:v>
                </c:pt>
                <c:pt idx="24">
                  <c:v>AGS</c:v>
                </c:pt>
                <c:pt idx="25">
                  <c:v>QROO</c:v>
                </c:pt>
                <c:pt idx="26">
                  <c:v>HGO</c:v>
                </c:pt>
                <c:pt idx="27">
                  <c:v>GRO</c:v>
                </c:pt>
                <c:pt idx="28">
                  <c:v>BC</c:v>
                </c:pt>
                <c:pt idx="29">
                  <c:v>SON</c:v>
                </c:pt>
              </c:strCache>
            </c:strRef>
          </c:cat>
          <c:val>
            <c:numRef>
              <c:f>'m1'!$E$105:$E$134</c:f>
              <c:numCache>
                <c:formatCode>0.0%</c:formatCode>
                <c:ptCount val="30"/>
                <c:pt idx="0" formatCode="#,##0">
                  <c:v>0</c:v>
                </c:pt>
                <c:pt idx="1">
                  <c:v>0</c:v>
                </c:pt>
                <c:pt idx="2">
                  <c:v>0</c:v>
                </c:pt>
                <c:pt idx="3">
                  <c:v>0.2857142857142857</c:v>
                </c:pt>
                <c:pt idx="4">
                  <c:v>0.33333333333333331</c:v>
                </c:pt>
                <c:pt idx="5">
                  <c:v>0.42857142857142855</c:v>
                </c:pt>
                <c:pt idx="6">
                  <c:v>0.44444444444444442</c:v>
                </c:pt>
                <c:pt idx="7">
                  <c:v>0.44444444444444442</c:v>
                </c:pt>
                <c:pt idx="8">
                  <c:v>0.45454545454545453</c:v>
                </c:pt>
                <c:pt idx="9">
                  <c:v>0.5</c:v>
                </c:pt>
                <c:pt idx="10">
                  <c:v>0.5</c:v>
                </c:pt>
                <c:pt idx="11">
                  <c:v>0.5</c:v>
                </c:pt>
                <c:pt idx="12">
                  <c:v>0.5</c:v>
                </c:pt>
                <c:pt idx="13">
                  <c:v>0.5</c:v>
                </c:pt>
                <c:pt idx="14">
                  <c:v>0.5</c:v>
                </c:pt>
                <c:pt idx="15">
                  <c:v>0.5</c:v>
                </c:pt>
                <c:pt idx="16">
                  <c:v>0.54545454545454541</c:v>
                </c:pt>
                <c:pt idx="17">
                  <c:v>0.54545454545454541</c:v>
                </c:pt>
                <c:pt idx="18">
                  <c:v>0.6</c:v>
                </c:pt>
                <c:pt idx="19">
                  <c:v>0.6</c:v>
                </c:pt>
                <c:pt idx="20">
                  <c:v>0.6</c:v>
                </c:pt>
                <c:pt idx="21">
                  <c:v>0.6</c:v>
                </c:pt>
                <c:pt idx="22">
                  <c:v>0.6</c:v>
                </c:pt>
                <c:pt idx="23">
                  <c:v>0.66666666666666663</c:v>
                </c:pt>
                <c:pt idx="24">
                  <c:v>0.7142857142857143</c:v>
                </c:pt>
                <c:pt idx="25">
                  <c:v>0.7142857142857143</c:v>
                </c:pt>
                <c:pt idx="26">
                  <c:v>0.75</c:v>
                </c:pt>
                <c:pt idx="27">
                  <c:v>0.8</c:v>
                </c:pt>
                <c:pt idx="28">
                  <c:v>0.83333333333333337</c:v>
                </c:pt>
                <c:pt idx="29">
                  <c:v>1</c:v>
                </c:pt>
              </c:numCache>
            </c:numRef>
          </c:val>
          <c:extLst>
            <c:ext xmlns:c16="http://schemas.microsoft.com/office/drawing/2014/chart" uri="{C3380CC4-5D6E-409C-BE32-E72D297353CC}">
              <c16:uniqueId val="{00000003-BC89-45F4-B940-1C6FCB238BEF}"/>
            </c:ext>
          </c:extLst>
        </c:ser>
        <c:ser>
          <c:idx val="1"/>
          <c:order val="1"/>
          <c:tx>
            <c:strRef>
              <c:f>'m1'!$F$104</c:f>
              <c:strCache>
                <c:ptCount val="1"/>
                <c:pt idx="0">
                  <c:v>Mujeres </c:v>
                </c:pt>
              </c:strCache>
            </c:strRef>
          </c:tx>
          <c:spPr>
            <a:solidFill>
              <a:srgbClr val="EAC479"/>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C29B6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6-BC89-45F4-B940-1C6FCB238BEF}"/>
              </c:ext>
            </c:extLst>
          </c:dPt>
          <c:dLbls>
            <c:dLbl>
              <c:idx val="0"/>
              <c:spPr>
                <a:noFill/>
                <a:ln>
                  <a:noFill/>
                </a:ln>
                <a:effectLst/>
              </c:spPr>
              <c:txPr>
                <a:bodyPr rot="0" spcFirstLastPara="1" vertOverflow="ellipsis" vert="horz" wrap="square" lIns="38100" tIns="19050" rIns="38100" bIns="19050" anchor="ctr" anchorCtr="0">
                  <a:spAutoFit/>
                </a:bodyPr>
                <a:lstStyle/>
                <a:p>
                  <a:pPr algn="ctr">
                    <a:defRPr lang="es-MX"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6="http://schemas.microsoft.com/office/drawing/2014/chart" uri="{C3380CC4-5D6E-409C-BE32-E72D297353CC}">
                  <c16:uniqueId val="{00000006-BC89-45F4-B940-1C6FCB238BEF}"/>
                </c:ext>
              </c:extLst>
            </c:dLbl>
            <c:dLbl>
              <c:idx val="29"/>
              <c:delete val="1"/>
              <c:extLst>
                <c:ext xmlns:c15="http://schemas.microsoft.com/office/drawing/2012/chart" uri="{CE6537A1-D6FC-4f65-9D91-7224C49458BB}"/>
                <c:ext xmlns:c16="http://schemas.microsoft.com/office/drawing/2014/chart" uri="{C3380CC4-5D6E-409C-BE32-E72D297353CC}">
                  <c16:uniqueId val="{00000004-BC89-45F4-B940-1C6FCB238BEF}"/>
                </c:ext>
              </c:extLst>
            </c:dLbl>
            <c:spPr>
              <a:noFill/>
              <a:ln>
                <a:noFill/>
              </a:ln>
              <a:effectLst/>
            </c:spPr>
            <c:txPr>
              <a:bodyPr rot="0" spcFirstLastPara="1" vertOverflow="ellipsis" vert="horz" wrap="square" lIns="38100" tIns="19050" rIns="38100" bIns="19050" anchor="ctr" anchorCtr="0">
                <a:spAutoFit/>
              </a:bodyPr>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'm1'!$A$105:$A$134</c:f>
              <c:strCache>
                <c:ptCount val="30"/>
                <c:pt idx="0">
                  <c:v>CNDH</c:v>
                </c:pt>
                <c:pt idx="1">
                  <c:v>VER</c:v>
                </c:pt>
                <c:pt idx="2">
                  <c:v>ZAC</c:v>
                </c:pt>
                <c:pt idx="3">
                  <c:v>MEX</c:v>
                </c:pt>
                <c:pt idx="4">
                  <c:v>NL</c:v>
                </c:pt>
                <c:pt idx="5">
                  <c:v>DGO</c:v>
                </c:pt>
                <c:pt idx="6">
                  <c:v>CDMX</c:v>
                </c:pt>
                <c:pt idx="7">
                  <c:v>JAL</c:v>
                </c:pt>
                <c:pt idx="8">
                  <c:v>SIN</c:v>
                </c:pt>
                <c:pt idx="9">
                  <c:v>BCS</c:v>
                </c:pt>
                <c:pt idx="10">
                  <c:v>MOR</c:v>
                </c:pt>
                <c:pt idx="11">
                  <c:v>OAX</c:v>
                </c:pt>
                <c:pt idx="12">
                  <c:v>PUE</c:v>
                </c:pt>
                <c:pt idx="13">
                  <c:v>QRO</c:v>
                </c:pt>
                <c:pt idx="14">
                  <c:v>SLP</c:v>
                </c:pt>
                <c:pt idx="15">
                  <c:v>TAMPS</c:v>
                </c:pt>
                <c:pt idx="16">
                  <c:v>CAMP</c:v>
                </c:pt>
                <c:pt idx="17">
                  <c:v>COL</c:v>
                </c:pt>
                <c:pt idx="18">
                  <c:v>CHIH</c:v>
                </c:pt>
                <c:pt idx="19">
                  <c:v>GTO</c:v>
                </c:pt>
                <c:pt idx="20">
                  <c:v>MICH</c:v>
                </c:pt>
                <c:pt idx="21">
                  <c:v>NAY</c:v>
                </c:pt>
                <c:pt idx="22">
                  <c:v>TLAX</c:v>
                </c:pt>
                <c:pt idx="23">
                  <c:v>YUC</c:v>
                </c:pt>
                <c:pt idx="24">
                  <c:v>AGS</c:v>
                </c:pt>
                <c:pt idx="25">
                  <c:v>QROO</c:v>
                </c:pt>
                <c:pt idx="26">
                  <c:v>HGO</c:v>
                </c:pt>
                <c:pt idx="27">
                  <c:v>GRO</c:v>
                </c:pt>
                <c:pt idx="28">
                  <c:v>BC</c:v>
                </c:pt>
                <c:pt idx="29">
                  <c:v>SON</c:v>
                </c:pt>
              </c:strCache>
            </c:strRef>
          </c:cat>
          <c:val>
            <c:numRef>
              <c:f>'m1'!$F$105:$F$134</c:f>
              <c:numCache>
                <c:formatCode>0.0%</c:formatCode>
                <c:ptCount val="30"/>
                <c:pt idx="0" formatCode="0%">
                  <c:v>1</c:v>
                </c:pt>
                <c:pt idx="1">
                  <c:v>1</c:v>
                </c:pt>
                <c:pt idx="2">
                  <c:v>1</c:v>
                </c:pt>
                <c:pt idx="3">
                  <c:v>0.7142857142857143</c:v>
                </c:pt>
                <c:pt idx="4">
                  <c:v>0.66666666666666663</c:v>
                </c:pt>
                <c:pt idx="5">
                  <c:v>0.5714285714285714</c:v>
                </c:pt>
                <c:pt idx="6">
                  <c:v>0.55555555555555558</c:v>
                </c:pt>
                <c:pt idx="7">
                  <c:v>0.55555555555555558</c:v>
                </c:pt>
                <c:pt idx="8">
                  <c:v>0.54545454545454541</c:v>
                </c:pt>
                <c:pt idx="9">
                  <c:v>0.5</c:v>
                </c:pt>
                <c:pt idx="10">
                  <c:v>0.5</c:v>
                </c:pt>
                <c:pt idx="11">
                  <c:v>0.5</c:v>
                </c:pt>
                <c:pt idx="12">
                  <c:v>0.5</c:v>
                </c:pt>
                <c:pt idx="13">
                  <c:v>0.5</c:v>
                </c:pt>
                <c:pt idx="14">
                  <c:v>0.5</c:v>
                </c:pt>
                <c:pt idx="15">
                  <c:v>0.5</c:v>
                </c:pt>
                <c:pt idx="16">
                  <c:v>0.45454545454545453</c:v>
                </c:pt>
                <c:pt idx="17">
                  <c:v>0.45454545454545453</c:v>
                </c:pt>
                <c:pt idx="18">
                  <c:v>0.4</c:v>
                </c:pt>
                <c:pt idx="19">
                  <c:v>0.4</c:v>
                </c:pt>
                <c:pt idx="20">
                  <c:v>0.4</c:v>
                </c:pt>
                <c:pt idx="21">
                  <c:v>0.4</c:v>
                </c:pt>
                <c:pt idx="22">
                  <c:v>0.4</c:v>
                </c:pt>
                <c:pt idx="23">
                  <c:v>0.33333333333333331</c:v>
                </c:pt>
                <c:pt idx="24">
                  <c:v>0.2857142857142857</c:v>
                </c:pt>
                <c:pt idx="25">
                  <c:v>0.2857142857142857</c:v>
                </c:pt>
                <c:pt idx="26">
                  <c:v>0.25</c:v>
                </c:pt>
                <c:pt idx="27">
                  <c:v>0.2</c:v>
                </c:pt>
                <c:pt idx="28">
                  <c:v>0.16666666666666666</c:v>
                </c:pt>
                <c:pt idx="29">
                  <c:v>0</c:v>
                </c:pt>
              </c:numCache>
            </c:numRef>
          </c:val>
          <c:extLst>
            <c:ext xmlns:c16="http://schemas.microsoft.com/office/drawing/2014/chart" uri="{C3380CC4-5D6E-409C-BE32-E72D297353CC}">
              <c16:uniqueId val="{00000005-BC89-45F4-B940-1C6FCB238BEF}"/>
            </c:ext>
          </c:extLst>
        </c:ser>
        <c:dLbls>
          <c:showLegendKey val="0"/>
          <c:showVal val="0"/>
          <c:showCatName val="0"/>
          <c:showSerName val="0"/>
          <c:showPercent val="0"/>
          <c:showBubbleSize val="0"/>
        </c:dLbls>
        <c:gapWidth val="50"/>
        <c:overlap val="100"/>
        <c:axId val="1484027168"/>
        <c:axId val="1528027280"/>
      </c:barChart>
      <c:catAx>
        <c:axId val="1484027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528027280"/>
        <c:crosses val="autoZero"/>
        <c:auto val="1"/>
        <c:lblAlgn val="ctr"/>
        <c:lblOffset val="100"/>
        <c:noMultiLvlLbl val="0"/>
      </c:catAx>
      <c:valAx>
        <c:axId val="1528027280"/>
        <c:scaling>
          <c:orientation val="minMax"/>
        </c:scaling>
        <c:delete val="1"/>
        <c:axPos val="t"/>
        <c:numFmt formatCode="#,##0" sourceLinked="1"/>
        <c:majorTickMark val="none"/>
        <c:minorTickMark val="none"/>
        <c:tickLblPos val="nextTo"/>
        <c:crossAx val="1484027168"/>
        <c:crosses val="autoZero"/>
        <c:crossBetween val="between"/>
      </c:valAx>
      <c:spPr>
        <a:noFill/>
        <a:ln>
          <a:noFill/>
        </a:ln>
        <a:effectLst/>
      </c:spPr>
    </c:plotArea>
    <c:legend>
      <c:legendPos val="b"/>
      <c:layout>
        <c:manualLayout>
          <c:xMode val="edge"/>
          <c:yMode val="edge"/>
          <c:x val="0.22233245844269467"/>
          <c:y val="0.91750690031574489"/>
          <c:w val="0.43033486439195107"/>
          <c:h val="5.1181803687402355E-2"/>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58437794458889"/>
          <c:y val="0.1226748393321732"/>
          <c:w val="0.38623124268159598"/>
          <c:h val="0.81482537604024885"/>
        </c:manualLayout>
      </c:layout>
      <c:pieChart>
        <c:varyColors val="1"/>
        <c:ser>
          <c:idx val="0"/>
          <c:order val="0"/>
          <c:tx>
            <c:strRef>
              <c:f>'m2'!$N$912</c:f>
              <c:strCache>
                <c:ptCount val="1"/>
                <c:pt idx="0">
                  <c:v>%</c:v>
                </c:pt>
              </c:strCache>
            </c:strRef>
          </c:tx>
          <c:spPr>
            <a:effectLst>
              <a:outerShdw blurRad="50800" dist="38100" dir="2700000" algn="tl" rotWithShape="0">
                <a:prstClr val="black">
                  <a:alpha val="40000"/>
                </a:prstClr>
              </a:outerShdw>
            </a:effectLst>
          </c:spPr>
          <c:dPt>
            <c:idx val="0"/>
            <c:bubble3D val="0"/>
            <c:spPr>
              <a:solidFill>
                <a:srgbClr val="18305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C600-4852-BD3C-2368F5944669}"/>
              </c:ext>
            </c:extLst>
          </c:dPt>
          <c:dPt>
            <c:idx val="1"/>
            <c:bubble3D val="0"/>
            <c:spPr>
              <a:solidFill>
                <a:srgbClr val="285172"/>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C600-4852-BD3C-2368F5944669}"/>
              </c:ext>
            </c:extLst>
          </c:dPt>
          <c:dPt>
            <c:idx val="2"/>
            <c:bubble3D val="0"/>
            <c:spPr>
              <a:solidFill>
                <a:srgbClr val="5B90A7"/>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C600-4852-BD3C-2368F5944669}"/>
              </c:ext>
            </c:extLst>
          </c:dPt>
          <c:dPt>
            <c:idx val="3"/>
            <c:bubble3D val="0"/>
            <c:spPr>
              <a:solidFill>
                <a:srgbClr val="F2D9B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C600-4852-BD3C-2368F5944669}"/>
              </c:ext>
            </c:extLst>
          </c:dPt>
          <c:dPt>
            <c:idx val="4"/>
            <c:bubble3D val="0"/>
            <c:spPr>
              <a:solidFill>
                <a:schemeClr val="accent3"/>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C600-4852-BD3C-2368F5944669}"/>
              </c:ext>
            </c:extLst>
          </c:dPt>
          <c:dLbls>
            <c:dLbl>
              <c:idx val="0"/>
              <c:layout>
                <c:manualLayout>
                  <c:x val="-0.13639155376654316"/>
                  <c:y val="-9.4425949199346826E-2"/>
                </c:manualLayout>
              </c:layout>
              <c:spPr>
                <a:noFill/>
                <a:ln>
                  <a:noFill/>
                </a:ln>
                <a:effectLst/>
              </c:spPr>
              <c:txPr>
                <a:bodyPr rot="0" spcFirstLastPara="1" vertOverflow="ellipsis" vert="horz" wrap="square" anchor="ctr" anchorCtr="1"/>
                <a:lstStyle/>
                <a:p>
                  <a:pPr>
                    <a:defRPr lang="es-MX"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extLst>
                <c:ext xmlns:c15="http://schemas.microsoft.com/office/drawing/2012/chart" uri="{CE6537A1-D6FC-4f65-9D91-7224C49458BB}">
                  <c15:layout>
                    <c:manualLayout>
                      <c:w val="0.12656153187345898"/>
                      <c:h val="9.0119435396308359E-2"/>
                    </c:manualLayout>
                  </c15:layout>
                </c:ext>
                <c:ext xmlns:c16="http://schemas.microsoft.com/office/drawing/2014/chart" uri="{C3380CC4-5D6E-409C-BE32-E72D297353CC}">
                  <c16:uniqueId val="{00000001-C600-4852-BD3C-2368F5944669}"/>
                </c:ext>
              </c:extLst>
            </c:dLbl>
            <c:dLbl>
              <c:idx val="1"/>
              <c:layout>
                <c:manualLayout>
                  <c:x val="0.11698703249828458"/>
                  <c:y val="3.434472971008917E-3"/>
                </c:manualLayout>
              </c:layout>
              <c:spPr>
                <a:noFill/>
                <a:ln>
                  <a:noFill/>
                </a:ln>
                <a:effectLst/>
              </c:spPr>
              <c:txPr>
                <a:bodyPr rot="0" spcFirstLastPara="1" vertOverflow="ellipsis" vert="horz" wrap="square" anchor="ctr" anchorCtr="1"/>
                <a:lstStyle/>
                <a:p>
                  <a:pPr>
                    <a:defRPr lang="es-MX"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00-4852-BD3C-2368F5944669}"/>
                </c:ext>
              </c:extLst>
            </c:dLbl>
            <c:spPr>
              <a:noFill/>
              <a:ln>
                <a:noFill/>
              </a:ln>
              <a:effectLst/>
            </c:spPr>
            <c:txPr>
              <a:bodyPr rot="0" spcFirstLastPara="1" vertOverflow="ellipsis" vert="horz" wrap="square" anchor="ctr" anchorCtr="1"/>
              <a:lstStyle/>
              <a:p>
                <a:pP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'm2'!$L$913:$L$917</c:f>
              <c:strCache>
                <c:ptCount val="5"/>
                <c:pt idx="0">
                  <c:v>Medidas precautorias o cautelares</c:v>
                </c:pt>
                <c:pt idx="1">
                  <c:v>Conciliaciones</c:v>
                </c:pt>
                <c:pt idx="2">
                  <c:v>Recomendaciones</c:v>
                </c:pt>
                <c:pt idx="3">
                  <c:v>Acciones de inconstitucionalidad</c:v>
                </c:pt>
                <c:pt idx="4">
                  <c:v>Otra medida o acción </c:v>
                </c:pt>
              </c:strCache>
            </c:strRef>
          </c:cat>
          <c:val>
            <c:numRef>
              <c:f>'m2'!$N$913:$N$917</c:f>
              <c:numCache>
                <c:formatCode>0.0%</c:formatCode>
                <c:ptCount val="5"/>
                <c:pt idx="0">
                  <c:v>0.58277969705022592</c:v>
                </c:pt>
                <c:pt idx="1">
                  <c:v>0.32009035344140313</c:v>
                </c:pt>
                <c:pt idx="2">
                  <c:v>8.5104969439277173E-2</c:v>
                </c:pt>
                <c:pt idx="3">
                  <c:v>2.1923996811055008E-3</c:v>
                </c:pt>
                <c:pt idx="4">
                  <c:v>9.8325803879883069E-3</c:v>
                </c:pt>
              </c:numCache>
            </c:numRef>
          </c:val>
          <c:extLst>
            <c:ext xmlns:c16="http://schemas.microsoft.com/office/drawing/2014/chart" uri="{C3380CC4-5D6E-409C-BE32-E72D297353CC}">
              <c16:uniqueId val="{0000000A-C600-4852-BD3C-2368F594466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417018554359831"/>
          <c:y val="7.8431003045705966E-2"/>
          <c:w val="0.30616977067023332"/>
          <c:h val="0.87806786118100055"/>
        </c:manualLayout>
      </c:layout>
      <c:overlay val="0"/>
      <c:spPr>
        <a:noFill/>
        <a:ln>
          <a:noFill/>
        </a:ln>
        <a:effectLst/>
      </c:spPr>
      <c:txPr>
        <a:bodyPr rot="0" spcFirstLastPara="1" vertOverflow="ellipsis" vert="horz" wrap="square" anchor="ctr" anchorCtr="1"/>
        <a:lstStyle/>
        <a:p>
          <a:pP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6481290344028"/>
          <c:y val="3.0467514738152818E-2"/>
          <c:w val="0.51435174156850894"/>
          <c:h val="0.90661662587586667"/>
        </c:manualLayout>
      </c:layout>
      <c:barChart>
        <c:barDir val="bar"/>
        <c:grouping val="clustered"/>
        <c:varyColors val="0"/>
        <c:ser>
          <c:idx val="0"/>
          <c:order val="0"/>
          <c:tx>
            <c:strRef>
              <c:f>SPSanc!$E$17</c:f>
              <c:strCache>
                <c:ptCount val="1"/>
                <c:pt idx="0">
                  <c:v>2020</c:v>
                </c:pt>
              </c:strCache>
            </c:strRef>
          </c:tx>
          <c:spPr>
            <a:solidFill>
              <a:srgbClr val="804053"/>
            </a:solidFill>
            <a:ln>
              <a:noFill/>
            </a:ln>
            <a:effectLst>
              <a:outerShdw blurRad="50800" dist="38100" dir="2700000" algn="tl" rotWithShape="0">
                <a:prstClr val="black">
                  <a:alpha val="40000"/>
                </a:prstClr>
              </a:outerShdw>
            </a:effectLst>
          </c:spPr>
          <c:invertIfNegative val="0"/>
          <c:dPt>
            <c:idx val="8"/>
            <c:invertIfNegative val="0"/>
            <c:bubble3D val="0"/>
            <c:spPr>
              <a:solidFill>
                <a:srgbClr val="511427"/>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EF3C-4448-A1CD-4A19FDF4194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SPSanc!$D$18:$D$26</c:f>
              <c:strCache>
                <c:ptCount val="9"/>
                <c:pt idx="0">
                  <c:v>Otro tipo de sanción</c:v>
                </c:pt>
                <c:pt idx="1">
                  <c:v>Sanciones económicas</c:v>
                </c:pt>
                <c:pt idx="2">
                  <c:v>Sanciones penales y/o privativas de la libertad</c:v>
                </c:pt>
                <c:pt idx="3">
                  <c:v>Inhabilitación temporal</c:v>
                </c:pt>
                <c:pt idx="4">
                  <c:v>Cambio de adscripción</c:v>
                </c:pt>
                <c:pt idx="5">
                  <c:v>Destitución o remoción</c:v>
                </c:pt>
                <c:pt idx="6">
                  <c:v>Arresto</c:v>
                </c:pt>
                <c:pt idx="7">
                  <c:v>Suspensión del empleo, cargo o comisión</c:v>
                </c:pt>
                <c:pt idx="8">
                  <c:v>Amonestación o apercibimiento</c:v>
                </c:pt>
              </c:strCache>
            </c:strRef>
          </c:cat>
          <c:val>
            <c:numRef>
              <c:f>SPSanc!$E$18:$E$26</c:f>
              <c:numCache>
                <c:formatCode>#,##0</c:formatCode>
                <c:ptCount val="9"/>
                <c:pt idx="0">
                  <c:v>235</c:v>
                </c:pt>
                <c:pt idx="1">
                  <c:v>3</c:v>
                </c:pt>
                <c:pt idx="2">
                  <c:v>4</c:v>
                </c:pt>
                <c:pt idx="3">
                  <c:v>8</c:v>
                </c:pt>
                <c:pt idx="4">
                  <c:v>13</c:v>
                </c:pt>
                <c:pt idx="5">
                  <c:v>20</c:v>
                </c:pt>
                <c:pt idx="6">
                  <c:v>25</c:v>
                </c:pt>
                <c:pt idx="7">
                  <c:v>45</c:v>
                </c:pt>
                <c:pt idx="8">
                  <c:v>137</c:v>
                </c:pt>
              </c:numCache>
            </c:numRef>
          </c:val>
          <c:extLst>
            <c:ext xmlns:c16="http://schemas.microsoft.com/office/drawing/2014/chart" uri="{C3380CC4-5D6E-409C-BE32-E72D297353CC}">
              <c16:uniqueId val="{00000002-EF3C-4448-A1CD-4A19FDF4194C}"/>
            </c:ext>
          </c:extLst>
        </c:ser>
        <c:ser>
          <c:idx val="1"/>
          <c:order val="1"/>
          <c:tx>
            <c:strRef>
              <c:f>SPSanc!$F$17</c:f>
              <c:strCache>
                <c:ptCount val="1"/>
                <c:pt idx="0">
                  <c:v>2019</c:v>
                </c:pt>
              </c:strCache>
            </c:strRef>
          </c:tx>
          <c:spPr>
            <a:solidFill>
              <a:srgbClr val="EA8B5F"/>
            </a:solidFill>
            <a:ln>
              <a:noFill/>
            </a:ln>
            <a:effectLst>
              <a:outerShdw blurRad="50800" dist="38100" dir="2700000" algn="tl" rotWithShape="0">
                <a:prstClr val="black">
                  <a:alpha val="40000"/>
                </a:prstClr>
              </a:outerShdw>
            </a:effectLst>
          </c:spPr>
          <c:invertIfNegative val="0"/>
          <c:dPt>
            <c:idx val="8"/>
            <c:invertIfNegative val="0"/>
            <c:bubble3D val="0"/>
            <c:spPr>
              <a:solidFill>
                <a:srgbClr val="D1622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4-EF3C-4448-A1CD-4A19FDF4194C}"/>
              </c:ext>
            </c:extLst>
          </c:dPt>
          <c:dLbls>
            <c:dLbl>
              <c:idx val="2"/>
              <c:tx>
                <c:rich>
                  <a:bodyPr/>
                  <a:lstStyle/>
                  <a:p>
                    <a:r>
                      <a:rPr lang="en-US"/>
                      <a:t>*</a:t>
                    </a:r>
                    <a:endParaRPr lang="en-US" dirty="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3C-4448-A1CD-4A19FDF4194C}"/>
                </c:ext>
              </c:extLst>
            </c:dLbl>
            <c:dLbl>
              <c:idx val="4"/>
              <c:tx>
                <c:rich>
                  <a:bodyPr/>
                  <a:lstStyle/>
                  <a:p>
                    <a:r>
                      <a:rPr lang="en-US"/>
                      <a:t>*</a:t>
                    </a:r>
                    <a:endParaRPr lang="en-US" dirty="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3C-4448-A1CD-4A19FDF4194C}"/>
                </c:ext>
              </c:extLst>
            </c:dLbl>
            <c:dLbl>
              <c:idx val="6"/>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3C-4448-A1CD-4A19FDF4194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SPSanc!$D$18:$D$26</c:f>
              <c:strCache>
                <c:ptCount val="9"/>
                <c:pt idx="0">
                  <c:v>Otro tipo de sanción</c:v>
                </c:pt>
                <c:pt idx="1">
                  <c:v>Sanciones económicas</c:v>
                </c:pt>
                <c:pt idx="2">
                  <c:v>Sanciones penales y/o privativas de la libertad</c:v>
                </c:pt>
                <c:pt idx="3">
                  <c:v>Inhabilitación temporal</c:v>
                </c:pt>
                <c:pt idx="4">
                  <c:v>Cambio de adscripción</c:v>
                </c:pt>
                <c:pt idx="5">
                  <c:v>Destitución o remoción</c:v>
                </c:pt>
                <c:pt idx="6">
                  <c:v>Arresto</c:v>
                </c:pt>
                <c:pt idx="7">
                  <c:v>Suspensión del empleo, cargo o comisión</c:v>
                </c:pt>
                <c:pt idx="8">
                  <c:v>Amonestación o apercibimiento</c:v>
                </c:pt>
              </c:strCache>
            </c:strRef>
          </c:cat>
          <c:val>
            <c:numRef>
              <c:f>SPSanc!$F$18:$F$26</c:f>
              <c:numCache>
                <c:formatCode>#,##0</c:formatCode>
                <c:ptCount val="9"/>
                <c:pt idx="0">
                  <c:v>235</c:v>
                </c:pt>
                <c:pt idx="1">
                  <c:v>8</c:v>
                </c:pt>
                <c:pt idx="2">
                  <c:v>0</c:v>
                </c:pt>
                <c:pt idx="3">
                  <c:v>13</c:v>
                </c:pt>
                <c:pt idx="4">
                  <c:v>0</c:v>
                </c:pt>
                <c:pt idx="5">
                  <c:v>20</c:v>
                </c:pt>
                <c:pt idx="6">
                  <c:v>0</c:v>
                </c:pt>
                <c:pt idx="7">
                  <c:v>135</c:v>
                </c:pt>
                <c:pt idx="8">
                  <c:v>402</c:v>
                </c:pt>
              </c:numCache>
            </c:numRef>
          </c:val>
          <c:extLst>
            <c:ext xmlns:c16="http://schemas.microsoft.com/office/drawing/2014/chart" uri="{C3380CC4-5D6E-409C-BE32-E72D297353CC}">
              <c16:uniqueId val="{00000008-EF3C-4448-A1CD-4A19FDF4194C}"/>
            </c:ext>
          </c:extLst>
        </c:ser>
        <c:dLbls>
          <c:dLblPos val="outEnd"/>
          <c:showLegendKey val="0"/>
          <c:showVal val="1"/>
          <c:showCatName val="0"/>
          <c:showSerName val="0"/>
          <c:showPercent val="0"/>
          <c:showBubbleSize val="0"/>
        </c:dLbls>
        <c:gapWidth val="80"/>
        <c:axId val="1626072191"/>
        <c:axId val="1626073439"/>
      </c:barChart>
      <c:catAx>
        <c:axId val="16260721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626073439"/>
        <c:crosses val="autoZero"/>
        <c:auto val="1"/>
        <c:lblAlgn val="ctr"/>
        <c:lblOffset val="100"/>
        <c:noMultiLvlLbl val="0"/>
      </c:catAx>
      <c:valAx>
        <c:axId val="1626073439"/>
        <c:scaling>
          <c:orientation val="minMax"/>
        </c:scaling>
        <c:delete val="1"/>
        <c:axPos val="b"/>
        <c:numFmt formatCode="#,##0" sourceLinked="1"/>
        <c:majorTickMark val="none"/>
        <c:minorTickMark val="none"/>
        <c:tickLblPos val="nextTo"/>
        <c:crossAx val="1626072191"/>
        <c:crosses val="autoZero"/>
        <c:crossBetween val="between"/>
      </c:valAx>
      <c:spPr>
        <a:noFill/>
        <a:ln>
          <a:noFill/>
        </a:ln>
        <a:effectLst/>
      </c:spPr>
    </c:plotArea>
    <c:legend>
      <c:legendPos val="b"/>
      <c:layout>
        <c:manualLayout>
          <c:xMode val="edge"/>
          <c:yMode val="edge"/>
          <c:x val="0.81733275424330898"/>
          <c:y val="0.39078015248093989"/>
          <c:w val="0.15138491041286875"/>
          <c:h val="0.142099905141737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2000">
          <a:latin typeface="Arial" panose="020B0604020202020204" pitchFamily="34" charset="0"/>
          <a:cs typeface="Arial" panose="020B0604020202020204" pitchFamily="34" charset="0"/>
        </a:defRPr>
      </a:pPr>
      <a:endParaRPr lang="es-MX"/>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409854995921447"/>
          <c:y val="5.5965403205291274E-2"/>
          <c:w val="0.4946381276022464"/>
          <c:h val="0.89850151330931005"/>
        </c:manualLayout>
      </c:layout>
      <c:barChart>
        <c:barDir val="bar"/>
        <c:grouping val="clustered"/>
        <c:varyColors val="0"/>
        <c:ser>
          <c:idx val="0"/>
          <c:order val="0"/>
          <c:tx>
            <c:strRef>
              <c:f>'m2'!$G$940</c:f>
              <c:strCache>
                <c:ptCount val="1"/>
                <c:pt idx="0">
                  <c:v>2019</c:v>
                </c:pt>
              </c:strCache>
            </c:strRef>
          </c:tx>
          <c:spPr>
            <a:solidFill>
              <a:srgbClr val="EA8B5F"/>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'm2'!$F$941:$F$946</c:f>
              <c:strCache>
                <c:ptCount val="6"/>
                <c:pt idx="0">
                  <c:v>Institución encargada de la función de seguridad pública*</c:v>
                </c:pt>
                <c:pt idx="1">
                  <c:v>Procuraduría General de Justicia o Fiscalía General**</c:v>
                </c:pt>
                <c:pt idx="2">
                  <c:v>Instituto Mexicano del Seguro Social</c:v>
                </c:pt>
                <c:pt idx="3">
                  <c:v>Fiscalía General de la República</c:v>
                </c:pt>
                <c:pt idx="4">
                  <c:v>Secretaría de Gobierno u homóloga***</c:v>
                </c:pt>
                <c:pt idx="5">
                  <c:v>Sistema para el Desarrollo Integral de la Familia u homólogo</c:v>
                </c:pt>
              </c:strCache>
            </c:strRef>
          </c:cat>
          <c:val>
            <c:numRef>
              <c:f>'m2'!$G$941:$G$946</c:f>
              <c:numCache>
                <c:formatCode>General</c:formatCode>
                <c:ptCount val="6"/>
                <c:pt idx="0">
                  <c:v>0</c:v>
                </c:pt>
                <c:pt idx="1">
                  <c:v>25</c:v>
                </c:pt>
                <c:pt idx="2">
                  <c:v>14</c:v>
                </c:pt>
                <c:pt idx="3">
                  <c:v>4</c:v>
                </c:pt>
                <c:pt idx="4">
                  <c:v>0</c:v>
                </c:pt>
                <c:pt idx="5">
                  <c:v>0</c:v>
                </c:pt>
              </c:numCache>
            </c:numRef>
          </c:val>
          <c:extLst>
            <c:ext xmlns:c16="http://schemas.microsoft.com/office/drawing/2014/chart" uri="{C3380CC4-5D6E-409C-BE32-E72D297353CC}">
              <c16:uniqueId val="{00000000-DF80-4A48-A841-AAAA1E755D48}"/>
            </c:ext>
          </c:extLst>
        </c:ser>
        <c:ser>
          <c:idx val="1"/>
          <c:order val="1"/>
          <c:tx>
            <c:strRef>
              <c:f>'m2'!$H$940</c:f>
              <c:strCache>
                <c:ptCount val="1"/>
                <c:pt idx="0">
                  <c:v>2020</c:v>
                </c:pt>
              </c:strCache>
            </c:strRef>
          </c:tx>
          <c:spPr>
            <a:solidFill>
              <a:srgbClr val="285172"/>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'm2'!$F$941:$F$946</c:f>
              <c:strCache>
                <c:ptCount val="6"/>
                <c:pt idx="0">
                  <c:v>Institución encargada de la función de seguridad pública*</c:v>
                </c:pt>
                <c:pt idx="1">
                  <c:v>Procuraduría General de Justicia o Fiscalía General**</c:v>
                </c:pt>
                <c:pt idx="2">
                  <c:v>Instituto Mexicano del Seguro Social</c:v>
                </c:pt>
                <c:pt idx="3">
                  <c:v>Fiscalía General de la República</c:v>
                </c:pt>
                <c:pt idx="4">
                  <c:v>Secretaría de Gobierno u homóloga***</c:v>
                </c:pt>
                <c:pt idx="5">
                  <c:v>Sistema para el Desarrollo Integral de la Familia u homólogo</c:v>
                </c:pt>
              </c:strCache>
            </c:strRef>
          </c:cat>
          <c:val>
            <c:numRef>
              <c:f>'m2'!$H$941:$H$946</c:f>
              <c:numCache>
                <c:formatCode>General</c:formatCode>
                <c:ptCount val="6"/>
                <c:pt idx="0">
                  <c:v>17</c:v>
                </c:pt>
                <c:pt idx="1">
                  <c:v>6</c:v>
                </c:pt>
                <c:pt idx="2">
                  <c:v>2</c:v>
                </c:pt>
                <c:pt idx="3">
                  <c:v>1</c:v>
                </c:pt>
                <c:pt idx="4">
                  <c:v>1</c:v>
                </c:pt>
                <c:pt idx="5">
                  <c:v>1</c:v>
                </c:pt>
              </c:numCache>
            </c:numRef>
          </c:val>
          <c:extLst>
            <c:ext xmlns:c16="http://schemas.microsoft.com/office/drawing/2014/chart" uri="{C3380CC4-5D6E-409C-BE32-E72D297353CC}">
              <c16:uniqueId val="{00000001-DF80-4A48-A841-AAAA1E755D48}"/>
            </c:ext>
          </c:extLst>
        </c:ser>
        <c:dLbls>
          <c:dLblPos val="outEnd"/>
          <c:showLegendKey val="0"/>
          <c:showVal val="1"/>
          <c:showCatName val="0"/>
          <c:showSerName val="0"/>
          <c:showPercent val="0"/>
          <c:showBubbleSize val="0"/>
        </c:dLbls>
        <c:gapWidth val="50"/>
        <c:axId val="417646752"/>
        <c:axId val="472031792"/>
      </c:barChart>
      <c:catAx>
        <c:axId val="417646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472031792"/>
        <c:crosses val="autoZero"/>
        <c:auto val="1"/>
        <c:lblAlgn val="ctr"/>
        <c:lblOffset val="100"/>
        <c:noMultiLvlLbl val="0"/>
      </c:catAx>
      <c:valAx>
        <c:axId val="472031792"/>
        <c:scaling>
          <c:orientation val="minMax"/>
        </c:scaling>
        <c:delete val="1"/>
        <c:axPos val="t"/>
        <c:numFmt formatCode="General" sourceLinked="1"/>
        <c:majorTickMark val="none"/>
        <c:minorTickMark val="none"/>
        <c:tickLblPos val="nextTo"/>
        <c:crossAx val="417646752"/>
        <c:crosses val="autoZero"/>
        <c:crossBetween val="between"/>
      </c:valAx>
      <c:spPr>
        <a:noFill/>
        <a:ln>
          <a:noFill/>
        </a:ln>
        <a:effectLst/>
      </c:spPr>
    </c:plotArea>
    <c:legend>
      <c:legendPos val="b"/>
      <c:layout>
        <c:manualLayout>
          <c:xMode val="edge"/>
          <c:yMode val="edge"/>
          <c:x val="0.77895650285093676"/>
          <c:y val="0.5759760711729216"/>
          <c:w val="0.12622470811838177"/>
          <c:h val="0.13398063878378841"/>
        </c:manualLayout>
      </c:layout>
      <c:overlay val="0"/>
      <c:spPr>
        <a:noFill/>
        <a:ln>
          <a:noFill/>
        </a:ln>
        <a:effectLst/>
      </c:spPr>
      <c:txPr>
        <a:bodyPr rot="0" spcFirstLastPara="1" vertOverflow="ellipsis" vert="horz" wrap="square" anchor="ctr" anchorCtr="1"/>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87865071082982"/>
          <c:y val="5.542957923910305E-2"/>
          <c:w val="0.49812134928917018"/>
          <c:h val="0.87427801683519735"/>
        </c:manualLayout>
      </c:layout>
      <c:barChart>
        <c:barDir val="bar"/>
        <c:grouping val="clustered"/>
        <c:varyColors val="0"/>
        <c:ser>
          <c:idx val="0"/>
          <c:order val="0"/>
          <c:tx>
            <c:strRef>
              <c:f>SPSInst!$U$3</c:f>
              <c:strCache>
                <c:ptCount val="1"/>
                <c:pt idx="0">
                  <c:v>2020</c:v>
                </c:pt>
              </c:strCache>
            </c:strRef>
          </c:tx>
          <c:spPr>
            <a:solidFill>
              <a:srgbClr val="285172"/>
            </a:solidFill>
            <a:ln>
              <a:noFill/>
            </a:ln>
            <a:effectLst>
              <a:outerShdw blurRad="50800" dist="38100" dir="2700000" algn="tl" rotWithShape="0">
                <a:prstClr val="black">
                  <a:alpha val="40000"/>
                </a:prstClr>
              </a:outerShdw>
            </a:effectLst>
          </c:spPr>
          <c:invertIfNegative val="0"/>
          <c:dPt>
            <c:idx val="4"/>
            <c:invertIfNegative val="0"/>
            <c:bubble3D val="0"/>
            <c:spPr>
              <a:solidFill>
                <a:srgbClr val="285172"/>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CC09-4B85-8BDA-B68CC07AF305}"/>
              </c:ext>
            </c:extLst>
          </c:dPt>
          <c:dLbls>
            <c:spPr>
              <a:noFill/>
              <a:ln>
                <a:noFill/>
              </a:ln>
              <a:effectLst/>
            </c:spPr>
            <c:txPr>
              <a:bodyPr rot="0" spcFirstLastPara="1" vertOverflow="ellipsis" vert="horz" wrap="square" lIns="38100" tIns="19050" rIns="38100" bIns="19050" anchor="ctr" anchorCtr="0">
                <a:spAutoFit/>
              </a:bodyPr>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SPSInst!$T$49:$T$53</c:f>
              <c:strCache>
                <c:ptCount val="5"/>
                <c:pt idx="0">
                  <c:v>Presidente(a) municipal o alcalde(sa)</c:v>
                </c:pt>
                <c:pt idx="1">
                  <c:v>Secretaría de Educación Pública u homóloga</c:v>
                </c:pt>
                <c:pt idx="2">
                  <c:v>Institución encargada de la función de seguridad pública**</c:v>
                </c:pt>
                <c:pt idx="3">
                  <c:v>Procuraduría General de Justicia o Fiscalía General*</c:v>
                </c:pt>
                <c:pt idx="4">
                  <c:v>Institución encargada de la función de seguridad pública y/o vialidad</c:v>
                </c:pt>
              </c:strCache>
            </c:strRef>
          </c:cat>
          <c:val>
            <c:numRef>
              <c:f>SPSInst!$U$49:$U$53</c:f>
              <c:numCache>
                <c:formatCode>General</c:formatCode>
                <c:ptCount val="5"/>
                <c:pt idx="0">
                  <c:v>22</c:v>
                </c:pt>
                <c:pt idx="1">
                  <c:v>39</c:v>
                </c:pt>
                <c:pt idx="2">
                  <c:v>52</c:v>
                </c:pt>
                <c:pt idx="3">
                  <c:v>59</c:v>
                </c:pt>
                <c:pt idx="4">
                  <c:v>208</c:v>
                </c:pt>
              </c:numCache>
            </c:numRef>
          </c:val>
          <c:extLst>
            <c:ext xmlns:c16="http://schemas.microsoft.com/office/drawing/2014/chart" uri="{C3380CC4-5D6E-409C-BE32-E72D297353CC}">
              <c16:uniqueId val="{00000002-CC09-4B85-8BDA-B68CC07AF305}"/>
            </c:ext>
          </c:extLst>
        </c:ser>
        <c:ser>
          <c:idx val="1"/>
          <c:order val="1"/>
          <c:tx>
            <c:strRef>
              <c:f>SPSInst!$V$3</c:f>
              <c:strCache>
                <c:ptCount val="1"/>
                <c:pt idx="0">
                  <c:v>2019</c:v>
                </c:pt>
              </c:strCache>
            </c:strRef>
          </c:tx>
          <c:spPr>
            <a:solidFill>
              <a:srgbClr val="EA8B5F"/>
            </a:solidFill>
            <a:ln>
              <a:noFill/>
            </a:ln>
            <a:effectLst>
              <a:outerShdw blurRad="50800" dist="38100" dir="2700000" algn="tl" rotWithShape="0">
                <a:prstClr val="black">
                  <a:alpha val="40000"/>
                </a:prstClr>
              </a:outerShdw>
            </a:effectLst>
          </c:spPr>
          <c:invertIfNegative val="0"/>
          <c:dPt>
            <c:idx val="4"/>
            <c:invertIfNegative val="0"/>
            <c:bubble3D val="0"/>
            <c:spPr>
              <a:solidFill>
                <a:srgbClr val="EA8B5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4-CC09-4B85-8BDA-B68CC07AF305}"/>
              </c:ext>
            </c:extLst>
          </c:dPt>
          <c:dLbls>
            <c:spPr>
              <a:noFill/>
              <a:ln>
                <a:noFill/>
              </a:ln>
              <a:effectLst/>
            </c:spPr>
            <c:txPr>
              <a:bodyPr rot="0" spcFirstLastPara="1" vertOverflow="ellipsis" vert="horz" wrap="square" lIns="38100" tIns="19050" rIns="38100" bIns="19050" anchor="ctr" anchorCtr="0">
                <a:spAutoFit/>
              </a:bodyPr>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SPSInst!$T$49:$T$53</c:f>
              <c:strCache>
                <c:ptCount val="5"/>
                <c:pt idx="0">
                  <c:v>Presidente(a) municipal o alcalde(sa)</c:v>
                </c:pt>
                <c:pt idx="1">
                  <c:v>Secretaría de Educación Pública u homóloga</c:v>
                </c:pt>
                <c:pt idx="2">
                  <c:v>Institución encargada de la función de seguridad pública**</c:v>
                </c:pt>
                <c:pt idx="3">
                  <c:v>Procuraduría General de Justicia o Fiscalía General*</c:v>
                </c:pt>
                <c:pt idx="4">
                  <c:v>Institución encargada de la función de seguridad pública y/o vialidad</c:v>
                </c:pt>
              </c:strCache>
            </c:strRef>
          </c:cat>
          <c:val>
            <c:numRef>
              <c:f>SPSInst!$V$49:$V$53</c:f>
              <c:numCache>
                <c:formatCode>General</c:formatCode>
                <c:ptCount val="5"/>
                <c:pt idx="0">
                  <c:v>73</c:v>
                </c:pt>
                <c:pt idx="1">
                  <c:v>29</c:v>
                </c:pt>
                <c:pt idx="2">
                  <c:v>194</c:v>
                </c:pt>
                <c:pt idx="3">
                  <c:v>61</c:v>
                </c:pt>
                <c:pt idx="4">
                  <c:v>321</c:v>
                </c:pt>
              </c:numCache>
            </c:numRef>
          </c:val>
          <c:extLst>
            <c:ext xmlns:c16="http://schemas.microsoft.com/office/drawing/2014/chart" uri="{C3380CC4-5D6E-409C-BE32-E72D297353CC}">
              <c16:uniqueId val="{00000005-CC09-4B85-8BDA-B68CC07AF305}"/>
            </c:ext>
          </c:extLst>
        </c:ser>
        <c:dLbls>
          <c:dLblPos val="outEnd"/>
          <c:showLegendKey val="0"/>
          <c:showVal val="1"/>
          <c:showCatName val="0"/>
          <c:showSerName val="0"/>
          <c:showPercent val="0"/>
          <c:showBubbleSize val="0"/>
        </c:dLbls>
        <c:gapWidth val="80"/>
        <c:axId val="1655654015"/>
        <c:axId val="1655654431"/>
      </c:barChart>
      <c:catAx>
        <c:axId val="1655654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655654431"/>
        <c:crosses val="autoZero"/>
        <c:auto val="1"/>
        <c:lblAlgn val="ctr"/>
        <c:lblOffset val="100"/>
        <c:noMultiLvlLbl val="0"/>
      </c:catAx>
      <c:valAx>
        <c:axId val="1655654431"/>
        <c:scaling>
          <c:orientation val="minMax"/>
        </c:scaling>
        <c:delete val="1"/>
        <c:axPos val="b"/>
        <c:numFmt formatCode="General" sourceLinked="1"/>
        <c:majorTickMark val="none"/>
        <c:minorTickMark val="none"/>
        <c:tickLblPos val="nextTo"/>
        <c:crossAx val="1655654015"/>
        <c:crosses val="autoZero"/>
        <c:crossBetween val="between"/>
      </c:valAx>
      <c:spPr>
        <a:noFill/>
        <a:ln>
          <a:noFill/>
        </a:ln>
        <a:effectLst/>
      </c:spPr>
    </c:plotArea>
    <c:legend>
      <c:legendPos val="b"/>
      <c:layout>
        <c:manualLayout>
          <c:xMode val="edge"/>
          <c:yMode val="edge"/>
          <c:x val="0.83432610080366443"/>
          <c:y val="0.57697391000728082"/>
          <c:w val="0.16567389919633541"/>
          <c:h val="0.15926903645714807"/>
        </c:manualLayout>
      </c:layout>
      <c:overlay val="0"/>
      <c:spPr>
        <a:noFill/>
        <a:ln>
          <a:noFill/>
        </a:ln>
        <a:effectLst/>
      </c:spPr>
      <c:txPr>
        <a:bodyPr rot="0" spcFirstLastPara="1" vertOverflow="ellipsis" vert="horz" wrap="square" anchor="ctr" anchorCtr="1"/>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80097310452855E-2"/>
          <c:y val="0"/>
          <c:w val="0.96986169433215086"/>
          <c:h val="0.75521873356648228"/>
        </c:manualLayout>
      </c:layout>
      <c:barChart>
        <c:barDir val="col"/>
        <c:grouping val="clustered"/>
        <c:varyColors val="0"/>
        <c:ser>
          <c:idx val="0"/>
          <c:order val="0"/>
          <c:tx>
            <c:strRef>
              <c:f>'m1'!$N$156</c:f>
              <c:strCache>
                <c:ptCount val="1"/>
                <c:pt idx="0">
                  <c:v>CNDH</c:v>
                </c:pt>
              </c:strCache>
            </c:strRef>
          </c:tx>
          <c:spPr>
            <a:solidFill>
              <a:srgbClr val="5B90A7"/>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'm1'!$M$157:$M$161</c:f>
              <c:numCache>
                <c:formatCode>0</c:formatCode>
                <c:ptCount val="5"/>
                <c:pt idx="0">
                  <c:v>2016</c:v>
                </c:pt>
                <c:pt idx="1">
                  <c:v>2017</c:v>
                </c:pt>
                <c:pt idx="2">
                  <c:v>2018</c:v>
                </c:pt>
                <c:pt idx="3">
                  <c:v>2019</c:v>
                </c:pt>
                <c:pt idx="4">
                  <c:v>2020</c:v>
                </c:pt>
              </c:numCache>
            </c:numRef>
          </c:cat>
          <c:val>
            <c:numRef>
              <c:f>'m1'!$N$157:$N$161</c:f>
              <c:numCache>
                <c:formatCode>#,##0</c:formatCode>
                <c:ptCount val="5"/>
                <c:pt idx="0">
                  <c:v>1620</c:v>
                </c:pt>
                <c:pt idx="1">
                  <c:v>1657</c:v>
                </c:pt>
                <c:pt idx="2">
                  <c:v>1750</c:v>
                </c:pt>
                <c:pt idx="3">
                  <c:v>1740</c:v>
                </c:pt>
                <c:pt idx="4">
                  <c:v>1689</c:v>
                </c:pt>
              </c:numCache>
            </c:numRef>
          </c:val>
          <c:extLst>
            <c:ext xmlns:c16="http://schemas.microsoft.com/office/drawing/2014/chart" uri="{C3380CC4-5D6E-409C-BE32-E72D297353CC}">
              <c16:uniqueId val="{00000000-2B63-4783-B67D-C2984BFA0818}"/>
            </c:ext>
          </c:extLst>
        </c:ser>
        <c:ser>
          <c:idx val="1"/>
          <c:order val="1"/>
          <c:tx>
            <c:strRef>
              <c:f>'m1'!$O$156</c:f>
              <c:strCache>
                <c:ptCount val="1"/>
                <c:pt idx="0">
                  <c:v>OPDH</c:v>
                </c:pt>
              </c:strCache>
            </c:strRef>
          </c:tx>
          <c:spPr>
            <a:solidFill>
              <a:srgbClr val="C29B61"/>
            </a:solidFill>
            <a:ln>
              <a:noFill/>
            </a:ln>
            <a:effectLst>
              <a:outerShdw blurRad="50800" dist="38100" dir="2700000" algn="tl" rotWithShape="0">
                <a:prstClr val="black">
                  <a:alpha val="40000"/>
                </a:prstClr>
              </a:outerShdw>
            </a:effectLst>
          </c:spPr>
          <c:invertIfNegative val="0"/>
          <c:dLbls>
            <c:dLbl>
              <c:idx val="0"/>
              <c:layout>
                <c:manualLayout>
                  <c:x val="-2.1527361191320976E-3"/>
                  <c:y val="1.7513762783667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63-4783-B67D-C2984BFA0818}"/>
                </c:ext>
              </c:extLst>
            </c:dLbl>
            <c:dLbl>
              <c:idx val="1"/>
              <c:layout>
                <c:manualLayout>
                  <c:x val="0"/>
                  <c:y val="1.7513762783667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63-4783-B67D-C2984BFA0818}"/>
                </c:ext>
              </c:extLst>
            </c:dLbl>
            <c:dLbl>
              <c:idx val="2"/>
              <c:layout>
                <c:manualLayout>
                  <c:x val="-4.3054722382642342E-3"/>
                  <c:y val="2.9189604639446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63-4783-B67D-C2984BFA0818}"/>
                </c:ext>
              </c:extLst>
            </c:dLbl>
            <c:dLbl>
              <c:idx val="3"/>
              <c:layout>
                <c:manualLayout>
                  <c:x val="0"/>
                  <c:y val="2.9189604639446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63-4783-B67D-C2984BFA0818}"/>
                </c:ext>
              </c:extLst>
            </c:dLbl>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'm1'!$M$157:$M$161</c:f>
              <c:numCache>
                <c:formatCode>0</c:formatCode>
                <c:ptCount val="5"/>
                <c:pt idx="0">
                  <c:v>2016</c:v>
                </c:pt>
                <c:pt idx="1">
                  <c:v>2017</c:v>
                </c:pt>
                <c:pt idx="2">
                  <c:v>2018</c:v>
                </c:pt>
                <c:pt idx="3">
                  <c:v>2019</c:v>
                </c:pt>
                <c:pt idx="4">
                  <c:v>2020</c:v>
                </c:pt>
              </c:numCache>
            </c:numRef>
          </c:cat>
          <c:val>
            <c:numRef>
              <c:f>'m1'!$O$157:$O$161</c:f>
              <c:numCache>
                <c:formatCode>#,##0</c:formatCode>
                <c:ptCount val="5"/>
                <c:pt idx="0">
                  <c:v>3992</c:v>
                </c:pt>
                <c:pt idx="1">
                  <c:v>3940</c:v>
                </c:pt>
                <c:pt idx="2">
                  <c:v>4009</c:v>
                </c:pt>
                <c:pt idx="3">
                  <c:v>4149</c:v>
                </c:pt>
                <c:pt idx="4">
                  <c:v>4155</c:v>
                </c:pt>
              </c:numCache>
            </c:numRef>
          </c:val>
          <c:extLst>
            <c:ext xmlns:c16="http://schemas.microsoft.com/office/drawing/2014/chart" uri="{C3380CC4-5D6E-409C-BE32-E72D297353CC}">
              <c16:uniqueId val="{00000005-2B63-4783-B67D-C2984BFA0818}"/>
            </c:ext>
          </c:extLst>
        </c:ser>
        <c:dLbls>
          <c:showLegendKey val="0"/>
          <c:showVal val="1"/>
          <c:showCatName val="0"/>
          <c:showSerName val="0"/>
          <c:showPercent val="0"/>
          <c:showBubbleSize val="0"/>
        </c:dLbls>
        <c:gapWidth val="90"/>
        <c:overlap val="-27"/>
        <c:axId val="1485240927"/>
        <c:axId val="1425906207"/>
      </c:barChart>
      <c:lineChart>
        <c:grouping val="standard"/>
        <c:varyColors val="0"/>
        <c:ser>
          <c:idx val="2"/>
          <c:order val="2"/>
          <c:tx>
            <c:strRef>
              <c:f>'m1'!$P$156</c:f>
              <c:strCache>
                <c:ptCount val="1"/>
                <c:pt idx="0">
                  <c:v>Total </c:v>
                </c:pt>
              </c:strCache>
            </c:strRef>
          </c:tx>
          <c:spPr>
            <a:ln w="28575" cap="rnd">
              <a:solidFill>
                <a:schemeClr val="accent3"/>
              </a:solidFill>
              <a:round/>
            </a:ln>
            <a:effectLst>
              <a:outerShdw blurRad="50800" dist="38100" dir="2700000" algn="tl" rotWithShape="0">
                <a:prstClr val="black">
                  <a:alpha val="40000"/>
                </a:prstClr>
              </a:outerShdw>
            </a:effectLst>
          </c:spPr>
          <c:marker>
            <c:symbol val="diamond"/>
            <c:size val="5"/>
            <c:spPr>
              <a:solidFill>
                <a:schemeClr val="accent3"/>
              </a:solidFill>
              <a:ln w="9525">
                <a:solidFill>
                  <a:schemeClr val="accent3"/>
                </a:solidFill>
              </a:ln>
              <a:effectLst>
                <a:outerShdw blurRad="50800" dist="38100" dir="2700000" algn="tl" rotWithShape="0">
                  <a:prstClr val="black">
                    <a:alpha val="40000"/>
                  </a:prstClr>
                </a:outerShdw>
              </a:effectLst>
            </c:spPr>
          </c:marker>
          <c:dLbls>
            <c:dLbl>
              <c:idx val="0"/>
              <c:layout>
                <c:manualLayout>
                  <c:x val="-4.7360194620905724E-2"/>
                  <c:y val="-4.6703367423114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63-4783-B67D-C2984BFA0818}"/>
                </c:ext>
              </c:extLst>
            </c:dLbl>
            <c:dLbl>
              <c:idx val="1"/>
              <c:layout>
                <c:manualLayout>
                  <c:x val="-5.1665666859169908E-2"/>
                  <c:y val="-5.8379209278892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63-4783-B67D-C2984BFA0818}"/>
                </c:ext>
              </c:extLst>
            </c:dLbl>
            <c:dLbl>
              <c:idx val="2"/>
              <c:layout>
                <c:manualLayout>
                  <c:x val="-5.3818402978301948E-2"/>
                  <c:y val="-5.2541288351003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63-4783-B67D-C2984BFA0818}"/>
                </c:ext>
              </c:extLst>
            </c:dLbl>
            <c:dLbl>
              <c:idx val="3"/>
              <c:layout>
                <c:manualLayout>
                  <c:x val="-5.3818402978301948E-2"/>
                  <c:y val="-5.8379209278892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63-4783-B67D-C2984BFA0818}"/>
                </c:ext>
              </c:extLst>
            </c:dLbl>
            <c:dLbl>
              <c:idx val="4"/>
              <c:layout>
                <c:manualLayout>
                  <c:x val="-5.5971139097434182E-2"/>
                  <c:y val="-6.4217130206781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B63-4783-B67D-C2984BFA0818}"/>
                </c:ext>
              </c:extLst>
            </c:dLbl>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'm1'!$M$157:$M$161</c:f>
              <c:numCache>
                <c:formatCode>0</c:formatCode>
                <c:ptCount val="5"/>
                <c:pt idx="0">
                  <c:v>2016</c:v>
                </c:pt>
                <c:pt idx="1">
                  <c:v>2017</c:v>
                </c:pt>
                <c:pt idx="2">
                  <c:v>2018</c:v>
                </c:pt>
                <c:pt idx="3">
                  <c:v>2019</c:v>
                </c:pt>
                <c:pt idx="4">
                  <c:v>2020</c:v>
                </c:pt>
              </c:numCache>
            </c:numRef>
          </c:cat>
          <c:val>
            <c:numRef>
              <c:f>'m1'!$P$157:$P$161</c:f>
              <c:numCache>
                <c:formatCode>#,##0</c:formatCode>
                <c:ptCount val="5"/>
                <c:pt idx="0">
                  <c:v>5612</c:v>
                </c:pt>
                <c:pt idx="1">
                  <c:v>5597</c:v>
                </c:pt>
                <c:pt idx="2">
                  <c:v>5759</c:v>
                </c:pt>
                <c:pt idx="3">
                  <c:v>5889</c:v>
                </c:pt>
                <c:pt idx="4">
                  <c:v>5844</c:v>
                </c:pt>
              </c:numCache>
            </c:numRef>
          </c:val>
          <c:smooth val="0"/>
          <c:extLst>
            <c:ext xmlns:c16="http://schemas.microsoft.com/office/drawing/2014/chart" uri="{C3380CC4-5D6E-409C-BE32-E72D297353CC}">
              <c16:uniqueId val="{0000000B-2B63-4783-B67D-C2984BFA0818}"/>
            </c:ext>
          </c:extLst>
        </c:ser>
        <c:dLbls>
          <c:showLegendKey val="0"/>
          <c:showVal val="1"/>
          <c:showCatName val="0"/>
          <c:showSerName val="0"/>
          <c:showPercent val="0"/>
          <c:showBubbleSize val="0"/>
        </c:dLbls>
        <c:marker val="1"/>
        <c:smooth val="0"/>
        <c:axId val="1485240927"/>
        <c:axId val="1425906207"/>
      </c:lineChart>
      <c:catAx>
        <c:axId val="148524092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425906207"/>
        <c:crosses val="autoZero"/>
        <c:auto val="1"/>
        <c:lblAlgn val="ctr"/>
        <c:lblOffset val="100"/>
        <c:noMultiLvlLbl val="0"/>
      </c:catAx>
      <c:valAx>
        <c:axId val="1425906207"/>
        <c:scaling>
          <c:orientation val="minMax"/>
        </c:scaling>
        <c:delete val="1"/>
        <c:axPos val="l"/>
        <c:numFmt formatCode="#,##0" sourceLinked="1"/>
        <c:majorTickMark val="none"/>
        <c:minorTickMark val="none"/>
        <c:tickLblPos val="nextTo"/>
        <c:crossAx val="1485240927"/>
        <c:crosses val="autoZero"/>
        <c:crossBetween val="between"/>
      </c:valAx>
      <c:spPr>
        <a:noFill/>
        <a:ln>
          <a:noFill/>
        </a:ln>
        <a:effectLst/>
      </c:spPr>
    </c:plotArea>
    <c:legend>
      <c:legendPos val="b"/>
      <c:layout>
        <c:manualLayout>
          <c:xMode val="edge"/>
          <c:yMode val="edge"/>
          <c:x val="0.29911936465422989"/>
          <c:y val="0.90102465658945907"/>
          <c:w val="0.40176127069154033"/>
          <c:h val="9.313592735214668E-2"/>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33705456629242"/>
          <c:y val="1.6567631648274447E-2"/>
          <c:w val="0.89266294543370761"/>
          <c:h val="0.91618563943447573"/>
        </c:manualLayout>
      </c:layout>
      <c:barChart>
        <c:barDir val="bar"/>
        <c:grouping val="stacked"/>
        <c:varyColors val="0"/>
        <c:ser>
          <c:idx val="0"/>
          <c:order val="0"/>
          <c:tx>
            <c:strRef>
              <c:f>'m1'!$H$178</c:f>
              <c:strCache>
                <c:ptCount val="1"/>
                <c:pt idx="0">
                  <c:v>Hombres</c:v>
                </c:pt>
              </c:strCache>
            </c:strRef>
          </c:tx>
          <c:spPr>
            <a:solidFill>
              <a:srgbClr val="87AD8A"/>
            </a:solidFill>
            <a:ln>
              <a:noFill/>
            </a:ln>
            <a:effectLst>
              <a:outerShdw blurRad="50800" dist="38100" dir="2700000" algn="tl" rotWithShape="0">
                <a:prstClr val="black">
                  <a:alpha val="40000"/>
                </a:prstClr>
              </a:outerShdw>
            </a:effectLst>
          </c:spPr>
          <c:invertIfNegative val="0"/>
          <c:dPt>
            <c:idx val="26"/>
            <c:invertIfNegative val="0"/>
            <c:bubble3D val="0"/>
            <c:spPr>
              <a:solidFill>
                <a:srgbClr val="5D7C6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D6CB-4870-9681-C9F81B2C35FE}"/>
              </c:ext>
            </c:extLst>
          </c:dPt>
          <c:dLbls>
            <c:dLbl>
              <c:idx val="26"/>
              <c:spPr>
                <a:noFill/>
                <a:ln>
                  <a:noFill/>
                </a:ln>
                <a:effectLst/>
              </c:spPr>
              <c:txPr>
                <a:bodyPr rot="0" spcFirstLastPara="1" vertOverflow="ellipsis" vert="horz" wrap="square" lIns="38100" tIns="19050" rIns="38100" bIns="19050" anchor="ctr" anchorCtr="0">
                  <a:spAutoFit/>
                </a:bodyPr>
                <a:lstStyle/>
                <a:p>
                  <a:pPr algn="ctr">
                    <a:defRPr lang="es-MX"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1-D6CB-4870-9681-C9F81B2C35FE}"/>
                </c:ext>
              </c:extLst>
            </c:dLbl>
            <c:spPr>
              <a:noFill/>
              <a:ln>
                <a:noFill/>
              </a:ln>
              <a:effectLst/>
            </c:spPr>
            <c:txPr>
              <a:bodyPr rot="0" spcFirstLastPara="1" vertOverflow="ellipsis" vert="horz" wrap="square" lIns="38100" tIns="19050" rIns="38100" bIns="19050" anchor="ctr" anchorCtr="0">
                <a:spAutoFit/>
              </a:bodyPr>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'm1'!$G$179:$G$211</c:f>
              <c:strCache>
                <c:ptCount val="33"/>
                <c:pt idx="0">
                  <c:v>ZAC</c:v>
                </c:pt>
                <c:pt idx="1">
                  <c:v>QRO</c:v>
                </c:pt>
                <c:pt idx="2">
                  <c:v>GRO</c:v>
                </c:pt>
                <c:pt idx="3">
                  <c:v>SLP</c:v>
                </c:pt>
                <c:pt idx="4">
                  <c:v>CHIS</c:v>
                </c:pt>
                <c:pt idx="5">
                  <c:v>BC</c:v>
                </c:pt>
                <c:pt idx="6">
                  <c:v>SIN</c:v>
                </c:pt>
                <c:pt idx="7">
                  <c:v>DGO</c:v>
                </c:pt>
                <c:pt idx="8">
                  <c:v>QROO</c:v>
                </c:pt>
                <c:pt idx="9">
                  <c:v>OAX</c:v>
                </c:pt>
                <c:pt idx="10">
                  <c:v>COAH</c:v>
                </c:pt>
                <c:pt idx="11">
                  <c:v>TAMPS</c:v>
                </c:pt>
                <c:pt idx="12">
                  <c:v>NL</c:v>
                </c:pt>
                <c:pt idx="13">
                  <c:v>CAMP</c:v>
                </c:pt>
                <c:pt idx="14">
                  <c:v>VER</c:v>
                </c:pt>
                <c:pt idx="15">
                  <c:v>TLAX</c:v>
                </c:pt>
                <c:pt idx="16">
                  <c:v>TAB</c:v>
                </c:pt>
                <c:pt idx="17">
                  <c:v>CDMX</c:v>
                </c:pt>
                <c:pt idx="18">
                  <c:v>NAY</c:v>
                </c:pt>
                <c:pt idx="19">
                  <c:v>MEX</c:v>
                </c:pt>
                <c:pt idx="20">
                  <c:v>MICH</c:v>
                </c:pt>
                <c:pt idx="21">
                  <c:v>PUE</c:v>
                </c:pt>
                <c:pt idx="22">
                  <c:v>COL</c:v>
                </c:pt>
                <c:pt idx="23">
                  <c:v>AGS</c:v>
                </c:pt>
                <c:pt idx="24">
                  <c:v>CHIH</c:v>
                </c:pt>
                <c:pt idx="25">
                  <c:v>HGO</c:v>
                </c:pt>
                <c:pt idx="26">
                  <c:v>CNDH</c:v>
                </c:pt>
                <c:pt idx="27">
                  <c:v>GTO</c:v>
                </c:pt>
                <c:pt idx="28">
                  <c:v>YUC</c:v>
                </c:pt>
                <c:pt idx="29">
                  <c:v>JAL</c:v>
                </c:pt>
                <c:pt idx="30">
                  <c:v>MOR</c:v>
                </c:pt>
                <c:pt idx="31">
                  <c:v>BCS</c:v>
                </c:pt>
                <c:pt idx="32">
                  <c:v>SON</c:v>
                </c:pt>
              </c:strCache>
            </c:strRef>
          </c:cat>
          <c:val>
            <c:numRef>
              <c:f>'m1'!$H$179:$H$211</c:f>
              <c:numCache>
                <c:formatCode>0.0%</c:formatCode>
                <c:ptCount val="33"/>
                <c:pt idx="0">
                  <c:v>0.24444444444444444</c:v>
                </c:pt>
                <c:pt idx="1">
                  <c:v>0.33333333333333331</c:v>
                </c:pt>
                <c:pt idx="2">
                  <c:v>0.35754189944134079</c:v>
                </c:pt>
                <c:pt idx="3">
                  <c:v>0.37777777777777777</c:v>
                </c:pt>
                <c:pt idx="4">
                  <c:v>0.38686131386861317</c:v>
                </c:pt>
                <c:pt idx="5">
                  <c:v>0.40157480314960631</c:v>
                </c:pt>
                <c:pt idx="6">
                  <c:v>0.40579710144927539</c:v>
                </c:pt>
                <c:pt idx="7">
                  <c:v>0.41538461538461541</c:v>
                </c:pt>
                <c:pt idx="8">
                  <c:v>0.42028985507246375</c:v>
                </c:pt>
                <c:pt idx="9">
                  <c:v>0.42499999999999999</c:v>
                </c:pt>
                <c:pt idx="10">
                  <c:v>0.42857142857142855</c:v>
                </c:pt>
                <c:pt idx="11">
                  <c:v>0.43023255813953487</c:v>
                </c:pt>
                <c:pt idx="12">
                  <c:v>0.43396226415094341</c:v>
                </c:pt>
                <c:pt idx="13">
                  <c:v>0.43939393939393939</c:v>
                </c:pt>
                <c:pt idx="14">
                  <c:v>0.44067796610169491</c:v>
                </c:pt>
                <c:pt idx="15">
                  <c:v>0.44444444444444442</c:v>
                </c:pt>
                <c:pt idx="16">
                  <c:v>0.45454545454545453</c:v>
                </c:pt>
                <c:pt idx="17">
                  <c:v>0.45767575322812054</c:v>
                </c:pt>
                <c:pt idx="18">
                  <c:v>0.45833333333333331</c:v>
                </c:pt>
                <c:pt idx="19">
                  <c:v>0.46491228070175439</c:v>
                </c:pt>
                <c:pt idx="20">
                  <c:v>0.46733668341708545</c:v>
                </c:pt>
                <c:pt idx="21">
                  <c:v>0.47142857142857142</c:v>
                </c:pt>
                <c:pt idx="22">
                  <c:v>0.48</c:v>
                </c:pt>
                <c:pt idx="23">
                  <c:v>0.48571428571428571</c:v>
                </c:pt>
                <c:pt idx="24">
                  <c:v>0.49019607843137253</c:v>
                </c:pt>
                <c:pt idx="25">
                  <c:v>0.50467289719626163</c:v>
                </c:pt>
                <c:pt idx="26">
                  <c:v>0.51036116044997037</c:v>
                </c:pt>
                <c:pt idx="27">
                  <c:v>0.51219512195121952</c:v>
                </c:pt>
                <c:pt idx="28">
                  <c:v>0.52459016393442626</c:v>
                </c:pt>
                <c:pt idx="29">
                  <c:v>0.53203342618384397</c:v>
                </c:pt>
                <c:pt idx="30">
                  <c:v>0.54716981132075471</c:v>
                </c:pt>
                <c:pt idx="31">
                  <c:v>0.54838709677419351</c:v>
                </c:pt>
                <c:pt idx="32">
                  <c:v>0.60256410256410253</c:v>
                </c:pt>
              </c:numCache>
            </c:numRef>
          </c:val>
          <c:extLst>
            <c:ext xmlns:c16="http://schemas.microsoft.com/office/drawing/2014/chart" uri="{C3380CC4-5D6E-409C-BE32-E72D297353CC}">
              <c16:uniqueId val="{00000002-D6CB-4870-9681-C9F81B2C35FE}"/>
            </c:ext>
          </c:extLst>
        </c:ser>
        <c:ser>
          <c:idx val="1"/>
          <c:order val="1"/>
          <c:tx>
            <c:strRef>
              <c:f>'m1'!$I$178</c:f>
              <c:strCache>
                <c:ptCount val="1"/>
                <c:pt idx="0">
                  <c:v>Mujeres</c:v>
                </c:pt>
              </c:strCache>
            </c:strRef>
          </c:tx>
          <c:spPr>
            <a:solidFill>
              <a:srgbClr val="EAC479"/>
            </a:solidFill>
            <a:ln>
              <a:noFill/>
            </a:ln>
            <a:effectLst>
              <a:outerShdw blurRad="50800" dist="38100" dir="2700000" algn="tl" rotWithShape="0">
                <a:prstClr val="black">
                  <a:alpha val="40000"/>
                </a:prstClr>
              </a:outerShdw>
            </a:effectLst>
          </c:spPr>
          <c:invertIfNegative val="0"/>
          <c:dPt>
            <c:idx val="26"/>
            <c:invertIfNegative val="0"/>
            <c:bubble3D val="0"/>
            <c:spPr>
              <a:solidFill>
                <a:srgbClr val="C29B6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4-D6CB-4870-9681-C9F81B2C35FE}"/>
              </c:ext>
            </c:extLst>
          </c:dPt>
          <c:dLbls>
            <c:dLbl>
              <c:idx val="26"/>
              <c:spPr>
                <a:noFill/>
                <a:ln>
                  <a:noFill/>
                </a:ln>
                <a:effectLst/>
              </c:spPr>
              <c:txPr>
                <a:bodyPr rot="0" spcFirstLastPara="1" vertOverflow="ellipsis" vert="horz" wrap="square" lIns="38100" tIns="19050" rIns="38100" bIns="19050" anchor="ctr" anchorCtr="0">
                  <a:spAutoFit/>
                </a:bodyPr>
                <a:lstStyle/>
                <a:p>
                  <a:pPr algn="ctr">
                    <a:defRPr lang="es-MX"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4-D6CB-4870-9681-C9F81B2C35FE}"/>
                </c:ext>
              </c:extLst>
            </c:dLbl>
            <c:spPr>
              <a:noFill/>
              <a:ln>
                <a:noFill/>
              </a:ln>
              <a:effectLst/>
            </c:spPr>
            <c:txPr>
              <a:bodyPr rot="0" spcFirstLastPara="1" vertOverflow="ellipsis" vert="horz" wrap="square" lIns="38100" tIns="19050" rIns="38100" bIns="19050" anchor="ctr" anchorCtr="0">
                <a:spAutoFit/>
              </a:bodyPr>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'm1'!$G$179:$G$211</c:f>
              <c:strCache>
                <c:ptCount val="33"/>
                <c:pt idx="0">
                  <c:v>ZAC</c:v>
                </c:pt>
                <c:pt idx="1">
                  <c:v>QRO</c:v>
                </c:pt>
                <c:pt idx="2">
                  <c:v>GRO</c:v>
                </c:pt>
                <c:pt idx="3">
                  <c:v>SLP</c:v>
                </c:pt>
                <c:pt idx="4">
                  <c:v>CHIS</c:v>
                </c:pt>
                <c:pt idx="5">
                  <c:v>BC</c:v>
                </c:pt>
                <c:pt idx="6">
                  <c:v>SIN</c:v>
                </c:pt>
                <c:pt idx="7">
                  <c:v>DGO</c:v>
                </c:pt>
                <c:pt idx="8">
                  <c:v>QROO</c:v>
                </c:pt>
                <c:pt idx="9">
                  <c:v>OAX</c:v>
                </c:pt>
                <c:pt idx="10">
                  <c:v>COAH</c:v>
                </c:pt>
                <c:pt idx="11">
                  <c:v>TAMPS</c:v>
                </c:pt>
                <c:pt idx="12">
                  <c:v>NL</c:v>
                </c:pt>
                <c:pt idx="13">
                  <c:v>CAMP</c:v>
                </c:pt>
                <c:pt idx="14">
                  <c:v>VER</c:v>
                </c:pt>
                <c:pt idx="15">
                  <c:v>TLAX</c:v>
                </c:pt>
                <c:pt idx="16">
                  <c:v>TAB</c:v>
                </c:pt>
                <c:pt idx="17">
                  <c:v>CDMX</c:v>
                </c:pt>
                <c:pt idx="18">
                  <c:v>NAY</c:v>
                </c:pt>
                <c:pt idx="19">
                  <c:v>MEX</c:v>
                </c:pt>
                <c:pt idx="20">
                  <c:v>MICH</c:v>
                </c:pt>
                <c:pt idx="21">
                  <c:v>PUE</c:v>
                </c:pt>
                <c:pt idx="22">
                  <c:v>COL</c:v>
                </c:pt>
                <c:pt idx="23">
                  <c:v>AGS</c:v>
                </c:pt>
                <c:pt idx="24">
                  <c:v>CHIH</c:v>
                </c:pt>
                <c:pt idx="25">
                  <c:v>HGO</c:v>
                </c:pt>
                <c:pt idx="26">
                  <c:v>CNDH</c:v>
                </c:pt>
                <c:pt idx="27">
                  <c:v>GTO</c:v>
                </c:pt>
                <c:pt idx="28">
                  <c:v>YUC</c:v>
                </c:pt>
                <c:pt idx="29">
                  <c:v>JAL</c:v>
                </c:pt>
                <c:pt idx="30">
                  <c:v>MOR</c:v>
                </c:pt>
                <c:pt idx="31">
                  <c:v>BCS</c:v>
                </c:pt>
                <c:pt idx="32">
                  <c:v>SON</c:v>
                </c:pt>
              </c:strCache>
            </c:strRef>
          </c:cat>
          <c:val>
            <c:numRef>
              <c:f>'m1'!$I$179:$I$211</c:f>
              <c:numCache>
                <c:formatCode>0.0%</c:formatCode>
                <c:ptCount val="33"/>
                <c:pt idx="0">
                  <c:v>0.75555555555555554</c:v>
                </c:pt>
                <c:pt idx="1">
                  <c:v>0.66666666666666663</c:v>
                </c:pt>
                <c:pt idx="2">
                  <c:v>0.64245810055865926</c:v>
                </c:pt>
                <c:pt idx="3">
                  <c:v>0.62222222222222223</c:v>
                </c:pt>
                <c:pt idx="4">
                  <c:v>0.61313868613138689</c:v>
                </c:pt>
                <c:pt idx="5">
                  <c:v>0.59842519685039375</c:v>
                </c:pt>
                <c:pt idx="6">
                  <c:v>0.59420289855072461</c:v>
                </c:pt>
                <c:pt idx="7">
                  <c:v>0.58461538461538465</c:v>
                </c:pt>
                <c:pt idx="8">
                  <c:v>0.57971014492753625</c:v>
                </c:pt>
                <c:pt idx="9">
                  <c:v>0.57499999999999996</c:v>
                </c:pt>
                <c:pt idx="10">
                  <c:v>0.5714285714285714</c:v>
                </c:pt>
                <c:pt idx="11">
                  <c:v>0.56976744186046513</c:v>
                </c:pt>
                <c:pt idx="12">
                  <c:v>0.56603773584905659</c:v>
                </c:pt>
                <c:pt idx="13">
                  <c:v>0.56060606060606055</c:v>
                </c:pt>
                <c:pt idx="14">
                  <c:v>0.55932203389830504</c:v>
                </c:pt>
                <c:pt idx="15">
                  <c:v>0.55555555555555558</c:v>
                </c:pt>
                <c:pt idx="16">
                  <c:v>0.54545454545454541</c:v>
                </c:pt>
                <c:pt idx="17">
                  <c:v>0.54232424677187951</c:v>
                </c:pt>
                <c:pt idx="18">
                  <c:v>0.54166666666666663</c:v>
                </c:pt>
                <c:pt idx="19">
                  <c:v>0.53508771929824561</c:v>
                </c:pt>
                <c:pt idx="20">
                  <c:v>0.53266331658291455</c:v>
                </c:pt>
                <c:pt idx="21">
                  <c:v>0.52857142857142858</c:v>
                </c:pt>
                <c:pt idx="22">
                  <c:v>0.52</c:v>
                </c:pt>
                <c:pt idx="23">
                  <c:v>0.51428571428571423</c:v>
                </c:pt>
                <c:pt idx="24">
                  <c:v>0.50980392156862742</c:v>
                </c:pt>
                <c:pt idx="25">
                  <c:v>0.49532710280373832</c:v>
                </c:pt>
                <c:pt idx="26">
                  <c:v>0.48963883955002963</c:v>
                </c:pt>
                <c:pt idx="27">
                  <c:v>0.48780487804878048</c:v>
                </c:pt>
                <c:pt idx="28">
                  <c:v>0.47540983606557374</c:v>
                </c:pt>
                <c:pt idx="29">
                  <c:v>0.46796657381615597</c:v>
                </c:pt>
                <c:pt idx="30">
                  <c:v>0.45283018867924529</c:v>
                </c:pt>
                <c:pt idx="31">
                  <c:v>0.45161290322580644</c:v>
                </c:pt>
                <c:pt idx="32">
                  <c:v>0.39743589743589741</c:v>
                </c:pt>
              </c:numCache>
            </c:numRef>
          </c:val>
          <c:extLst>
            <c:ext xmlns:c16="http://schemas.microsoft.com/office/drawing/2014/chart" uri="{C3380CC4-5D6E-409C-BE32-E72D297353CC}">
              <c16:uniqueId val="{00000005-D6CB-4870-9681-C9F81B2C35FE}"/>
            </c:ext>
          </c:extLst>
        </c:ser>
        <c:dLbls>
          <c:dLblPos val="ctr"/>
          <c:showLegendKey val="0"/>
          <c:showVal val="1"/>
          <c:showCatName val="0"/>
          <c:showSerName val="0"/>
          <c:showPercent val="0"/>
          <c:showBubbleSize val="0"/>
        </c:dLbls>
        <c:gapWidth val="30"/>
        <c:overlap val="100"/>
        <c:axId val="1514877855"/>
        <c:axId val="1438876719"/>
      </c:barChart>
      <c:catAx>
        <c:axId val="15148778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438876719"/>
        <c:crosses val="autoZero"/>
        <c:auto val="1"/>
        <c:lblAlgn val="ctr"/>
        <c:lblOffset val="100"/>
        <c:noMultiLvlLbl val="0"/>
      </c:catAx>
      <c:valAx>
        <c:axId val="1438876719"/>
        <c:scaling>
          <c:orientation val="minMax"/>
        </c:scaling>
        <c:delete val="1"/>
        <c:axPos val="t"/>
        <c:numFmt formatCode="0.0%" sourceLinked="1"/>
        <c:majorTickMark val="none"/>
        <c:minorTickMark val="none"/>
        <c:tickLblPos val="nextTo"/>
        <c:crossAx val="1514877855"/>
        <c:crosses val="autoZero"/>
        <c:crossBetween val="between"/>
      </c:valAx>
      <c:spPr>
        <a:noFill/>
        <a:ln>
          <a:noFill/>
        </a:ln>
        <a:effectLst/>
      </c:spPr>
    </c:plotArea>
    <c:legend>
      <c:legendPos val="b"/>
      <c:layout>
        <c:manualLayout>
          <c:xMode val="edge"/>
          <c:yMode val="edge"/>
          <c:x val="0.33271307819392487"/>
          <c:y val="0.95231376279307367"/>
          <c:w val="0.29485189723677785"/>
          <c:h val="4.58188094198653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90046751968501"/>
          <c:y val="2.7113630761646537E-2"/>
          <c:w val="0.37235994914698162"/>
          <c:h val="0.94577273847670695"/>
        </c:manualLayout>
      </c:layout>
      <c:barChart>
        <c:barDir val="bar"/>
        <c:grouping val="clustered"/>
        <c:varyColors val="0"/>
        <c:ser>
          <c:idx val="0"/>
          <c:order val="0"/>
          <c:spPr>
            <a:solidFill>
              <a:srgbClr val="EA8B5F"/>
            </a:solidFill>
            <a:ln>
              <a:noFill/>
            </a:ln>
            <a:effectLst>
              <a:outerShdw blurRad="50800" dist="38100" dir="2700000" algn="tl" rotWithShape="0">
                <a:prstClr val="black">
                  <a:alpha val="40000"/>
                </a:prstClr>
              </a:outerShdw>
            </a:effectLst>
          </c:spPr>
          <c:invertIfNegative val="0"/>
          <c:dPt>
            <c:idx val="20"/>
            <c:invertIfNegative val="0"/>
            <c:bubble3D val="0"/>
            <c:spPr>
              <a:solidFill>
                <a:srgbClr val="D1622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E5DF-4E04-A6E5-D72B3ADA02A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Hoja1!$B$2:$B$22</c:f>
              <c:strCache>
                <c:ptCount val="21"/>
                <c:pt idx="0">
                  <c:v>Publicaciones</c:v>
                </c:pt>
                <c:pt idx="1">
                  <c:v>Servicios periciales o servicio médico forense</c:v>
                </c:pt>
                <c:pt idx="2">
                  <c:v>Igualdad de género</c:v>
                </c:pt>
                <c:pt idx="3">
                  <c:v>Acceso a la información pública y protección de datos personales</c:v>
                </c:pt>
                <c:pt idx="4">
                  <c:v>Archivos y gestión documental</c:v>
                </c:pt>
                <c:pt idx="5">
                  <c:v>Informática y tecnologías de la información </c:v>
                </c:pt>
                <c:pt idx="6">
                  <c:v>Otra función</c:v>
                </c:pt>
                <c:pt idx="7">
                  <c:v>Atención directa a víctimas</c:v>
                </c:pt>
                <c:pt idx="8">
                  <c:v>Planeación y evaluación</c:v>
                </c:pt>
                <c:pt idx="9">
                  <c:v>Asuntos jurídicos</c:v>
                </c:pt>
                <c:pt idx="10">
                  <c:v>Seguimiento de recomendaciones</c:v>
                </c:pt>
                <c:pt idx="11">
                  <c:v>Capacitación, formación y evaluación del personal</c:v>
                </c:pt>
                <c:pt idx="12">
                  <c:v>Contraloría interna</c:v>
                </c:pt>
                <c:pt idx="13">
                  <c:v>Investigación o estudios en materia de derechos humanos</c:v>
                </c:pt>
                <c:pt idx="14">
                  <c:v>Comunicación social y difusión</c:v>
                </c:pt>
                <c:pt idx="15">
                  <c:v>Secretaría técnica u homóloga</c:v>
                </c:pt>
                <c:pt idx="16">
                  <c:v>Vinculación y promoción con la sociedad</c:v>
                </c:pt>
                <c:pt idx="17">
                  <c:v>Apoyo a la Presidencia</c:v>
                </c:pt>
                <c:pt idx="18">
                  <c:v>Secretaría ejecutiva u homóloga</c:v>
                </c:pt>
                <c:pt idx="19">
                  <c:v>Quejas, orientación y gestoría</c:v>
                </c:pt>
                <c:pt idx="20">
                  <c:v>Administración y finanzas</c:v>
                </c:pt>
              </c:strCache>
            </c:strRef>
          </c:cat>
          <c:val>
            <c:numRef>
              <c:f>Hoja1!$C$2:$C$22</c:f>
              <c:numCache>
                <c:formatCode>0.0%</c:formatCode>
                <c:ptCount val="21"/>
                <c:pt idx="0">
                  <c:v>1.7610801291458762E-3</c:v>
                </c:pt>
                <c:pt idx="1">
                  <c:v>1.7610801291458762E-3</c:v>
                </c:pt>
                <c:pt idx="2">
                  <c:v>8.8054006457293811E-3</c:v>
                </c:pt>
                <c:pt idx="3">
                  <c:v>1.1153507484590548E-2</c:v>
                </c:pt>
                <c:pt idx="4">
                  <c:v>1.1447020839448195E-2</c:v>
                </c:pt>
                <c:pt idx="5">
                  <c:v>1.7023774581743468E-2</c:v>
                </c:pt>
                <c:pt idx="6">
                  <c:v>0.02</c:v>
                </c:pt>
                <c:pt idx="7">
                  <c:v>2.0839448194892869E-2</c:v>
                </c:pt>
                <c:pt idx="8">
                  <c:v>2.7590255356618725E-2</c:v>
                </c:pt>
                <c:pt idx="9">
                  <c:v>2.9351335485764601E-2</c:v>
                </c:pt>
                <c:pt idx="10">
                  <c:v>3.2579982389198708E-2</c:v>
                </c:pt>
                <c:pt idx="11">
                  <c:v>3.375403580862929E-2</c:v>
                </c:pt>
                <c:pt idx="12">
                  <c:v>4.050484297035515E-2</c:v>
                </c:pt>
                <c:pt idx="13">
                  <c:v>4.78426768417963E-2</c:v>
                </c:pt>
                <c:pt idx="14">
                  <c:v>4.8136190196653945E-2</c:v>
                </c:pt>
                <c:pt idx="15">
                  <c:v>5.0190783680657471E-2</c:v>
                </c:pt>
                <c:pt idx="16">
                  <c:v>5.1071323745230407E-2</c:v>
                </c:pt>
                <c:pt idx="17">
                  <c:v>5.3125917229233932E-2</c:v>
                </c:pt>
                <c:pt idx="18">
                  <c:v>7.9542119166422079E-2</c:v>
                </c:pt>
                <c:pt idx="19">
                  <c:v>0.12591722923393014</c:v>
                </c:pt>
                <c:pt idx="20">
                  <c:v>0.28588200763134725</c:v>
                </c:pt>
              </c:numCache>
            </c:numRef>
          </c:val>
          <c:extLst>
            <c:ext xmlns:c16="http://schemas.microsoft.com/office/drawing/2014/chart" uri="{C3380CC4-5D6E-409C-BE32-E72D297353CC}">
              <c16:uniqueId val="{00000002-E5DF-4E04-A6E5-D72B3ADA02A7}"/>
            </c:ext>
          </c:extLst>
        </c:ser>
        <c:dLbls>
          <c:showLegendKey val="0"/>
          <c:showVal val="0"/>
          <c:showCatName val="0"/>
          <c:showSerName val="0"/>
          <c:showPercent val="0"/>
          <c:showBubbleSize val="0"/>
        </c:dLbls>
        <c:gapWidth val="45"/>
        <c:axId val="1885055584"/>
        <c:axId val="1885056416"/>
      </c:barChart>
      <c:catAx>
        <c:axId val="188505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885056416"/>
        <c:crosses val="autoZero"/>
        <c:auto val="1"/>
        <c:lblAlgn val="ctr"/>
        <c:lblOffset val="100"/>
        <c:noMultiLvlLbl val="0"/>
      </c:catAx>
      <c:valAx>
        <c:axId val="1885056416"/>
        <c:scaling>
          <c:orientation val="minMax"/>
        </c:scaling>
        <c:delete val="1"/>
        <c:axPos val="b"/>
        <c:numFmt formatCode="0.0%" sourceLinked="1"/>
        <c:majorTickMark val="none"/>
        <c:minorTickMark val="none"/>
        <c:tickLblPos val="nextTo"/>
        <c:crossAx val="1885055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635457545444756E-2"/>
          <c:y val="2.8723673735253672E-2"/>
          <c:w val="0.96472908490911047"/>
          <c:h val="0.7099299780940137"/>
        </c:manualLayout>
      </c:layout>
      <c:barChart>
        <c:barDir val="col"/>
        <c:grouping val="clustered"/>
        <c:varyColors val="0"/>
        <c:ser>
          <c:idx val="0"/>
          <c:order val="0"/>
          <c:tx>
            <c:strRef>
              <c:f>'m1'!$B$254</c:f>
              <c:strCache>
                <c:ptCount val="1"/>
                <c:pt idx="0">
                  <c:v>CNDH</c:v>
                </c:pt>
              </c:strCache>
            </c:strRef>
          </c:tx>
          <c:spPr>
            <a:solidFill>
              <a:srgbClr val="5B90A7"/>
            </a:solidFill>
            <a:ln>
              <a:noFill/>
            </a:ln>
            <a:effectLst>
              <a:outerShdw blurRad="50800" dist="38100" dir="2700000" algn="tl" rotWithShape="0">
                <a:prstClr val="black">
                  <a:alpha val="40000"/>
                </a:prstClr>
              </a:outerShdw>
            </a:effectLst>
          </c:spPr>
          <c:invertIfNegative val="0"/>
          <c:dLbls>
            <c:dLbl>
              <c:idx val="0"/>
              <c:layout>
                <c:manualLayout>
                  <c:x val="0"/>
                  <c:y val="1.9499512512187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70-4289-8C2F-5AFA1E0E9BFC}"/>
                </c:ext>
              </c:extLst>
            </c:dLbl>
            <c:dLbl>
              <c:idx val="1"/>
              <c:layout>
                <c:manualLayout>
                  <c:x val="0"/>
                  <c:y val="1.9499512512187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70-4289-8C2F-5AFA1E0E9BFC}"/>
                </c:ext>
              </c:extLst>
            </c:dLbl>
            <c:dLbl>
              <c:idx val="2"/>
              <c:layout>
                <c:manualLayout>
                  <c:x val="0"/>
                  <c:y val="1.9499512512187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F70-4289-8C2F-5AFA1E0E9BFC}"/>
                </c:ext>
              </c:extLst>
            </c:dLbl>
            <c:dLbl>
              <c:idx val="3"/>
              <c:layout>
                <c:manualLayout>
                  <c:x val="0"/>
                  <c:y val="1.9499512512187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F70-4289-8C2F-5AFA1E0E9BFC}"/>
                </c:ext>
              </c:extLst>
            </c:dLbl>
            <c:dLbl>
              <c:idx val="4"/>
              <c:layout>
                <c:manualLayout>
                  <c:x val="0"/>
                  <c:y val="1.2999675008124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F70-4289-8C2F-5AFA1E0E9BFC}"/>
                </c:ext>
              </c:extLst>
            </c:dLbl>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'm1'!$A$255:$A$259</c:f>
              <c:numCache>
                <c:formatCode>0</c:formatCode>
                <c:ptCount val="5"/>
                <c:pt idx="0">
                  <c:v>2016</c:v>
                </c:pt>
                <c:pt idx="1">
                  <c:v>2017</c:v>
                </c:pt>
                <c:pt idx="2">
                  <c:v>2018</c:v>
                </c:pt>
                <c:pt idx="3">
                  <c:v>2019</c:v>
                </c:pt>
                <c:pt idx="4">
                  <c:v>2020</c:v>
                </c:pt>
              </c:numCache>
            </c:numRef>
          </c:cat>
          <c:val>
            <c:numRef>
              <c:f>'m1'!$B$255:$B$259</c:f>
              <c:numCache>
                <c:formatCode>#,##0.0</c:formatCode>
                <c:ptCount val="5"/>
                <c:pt idx="0">
                  <c:v>1517.6684729999999</c:v>
                </c:pt>
                <c:pt idx="1">
                  <c:v>1655.1154915</c:v>
                </c:pt>
                <c:pt idx="2">
                  <c:v>1940.13909831</c:v>
                </c:pt>
                <c:pt idx="3">
                  <c:v>1765.341267</c:v>
                </c:pt>
                <c:pt idx="4">
                  <c:v>1392.986619</c:v>
                </c:pt>
              </c:numCache>
            </c:numRef>
          </c:val>
          <c:extLst>
            <c:ext xmlns:c16="http://schemas.microsoft.com/office/drawing/2014/chart" uri="{C3380CC4-5D6E-409C-BE32-E72D297353CC}">
              <c16:uniqueId val="{00000000-AF70-4289-8C2F-5AFA1E0E9BFC}"/>
            </c:ext>
          </c:extLst>
        </c:ser>
        <c:ser>
          <c:idx val="1"/>
          <c:order val="1"/>
          <c:tx>
            <c:strRef>
              <c:f>'m1'!$C$254</c:f>
              <c:strCache>
                <c:ptCount val="1"/>
                <c:pt idx="0">
                  <c:v>OPDH</c:v>
                </c:pt>
              </c:strCache>
            </c:strRef>
          </c:tx>
          <c:spPr>
            <a:solidFill>
              <a:srgbClr val="C29B61"/>
            </a:solidFill>
            <a:ln>
              <a:noFill/>
            </a:ln>
            <a:effectLst>
              <a:outerShdw blurRad="50800" dist="38100" dir="2700000" algn="tl" rotWithShape="0">
                <a:prstClr val="black">
                  <a:alpha val="40000"/>
                </a:prstClr>
              </a:outerShdw>
            </a:effectLst>
          </c:spPr>
          <c:invertIfNegative val="0"/>
          <c:dLbls>
            <c:dLbl>
              <c:idx val="0"/>
              <c:layout>
                <c:manualLayout>
                  <c:x val="0"/>
                  <c:y val="2.5999350016249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70-4289-8C2F-5AFA1E0E9BFC}"/>
                </c:ext>
              </c:extLst>
            </c:dLbl>
            <c:dLbl>
              <c:idx val="1"/>
              <c:layout>
                <c:manualLayout>
                  <c:x val="0"/>
                  <c:y val="1.9499512512187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70-4289-8C2F-5AFA1E0E9BFC}"/>
                </c:ext>
              </c:extLst>
            </c:dLbl>
            <c:dLbl>
              <c:idx val="2"/>
              <c:layout>
                <c:manualLayout>
                  <c:x val="0"/>
                  <c:y val="1.2999675008124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F70-4289-8C2F-5AFA1E0E9BFC}"/>
                </c:ext>
              </c:extLst>
            </c:dLbl>
            <c:dLbl>
              <c:idx val="3"/>
              <c:layout>
                <c:manualLayout>
                  <c:x val="0"/>
                  <c:y val="1.9499512512187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F70-4289-8C2F-5AFA1E0E9BFC}"/>
                </c:ext>
              </c:extLst>
            </c:dLbl>
            <c:dLbl>
              <c:idx val="4"/>
              <c:layout>
                <c:manualLayout>
                  <c:x val="0"/>
                  <c:y val="1.2999675008124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F70-4289-8C2F-5AFA1E0E9BFC}"/>
                </c:ext>
              </c:extLst>
            </c:dLbl>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'm1'!$A$255:$A$259</c:f>
              <c:numCache>
                <c:formatCode>0</c:formatCode>
                <c:ptCount val="5"/>
                <c:pt idx="0">
                  <c:v>2016</c:v>
                </c:pt>
                <c:pt idx="1">
                  <c:v>2017</c:v>
                </c:pt>
                <c:pt idx="2">
                  <c:v>2018</c:v>
                </c:pt>
                <c:pt idx="3">
                  <c:v>2019</c:v>
                </c:pt>
                <c:pt idx="4">
                  <c:v>2020</c:v>
                </c:pt>
              </c:numCache>
            </c:numRef>
          </c:cat>
          <c:val>
            <c:numRef>
              <c:f>'m1'!$C$255:$C$259</c:f>
              <c:numCache>
                <c:formatCode>#,##0.0</c:formatCode>
                <c:ptCount val="5"/>
                <c:pt idx="0">
                  <c:v>1745.1684274499999</c:v>
                </c:pt>
                <c:pt idx="1">
                  <c:v>1839.1109560799996</c:v>
                </c:pt>
                <c:pt idx="2">
                  <c:v>1965.4860588999998</c:v>
                </c:pt>
                <c:pt idx="3">
                  <c:v>2082.1845770199993</c:v>
                </c:pt>
                <c:pt idx="4">
                  <c:v>2037.72311898</c:v>
                </c:pt>
              </c:numCache>
            </c:numRef>
          </c:val>
          <c:extLst>
            <c:ext xmlns:c16="http://schemas.microsoft.com/office/drawing/2014/chart" uri="{C3380CC4-5D6E-409C-BE32-E72D297353CC}">
              <c16:uniqueId val="{00000001-AF70-4289-8C2F-5AFA1E0E9BFC}"/>
            </c:ext>
          </c:extLst>
        </c:ser>
        <c:dLbls>
          <c:showLegendKey val="0"/>
          <c:showVal val="1"/>
          <c:showCatName val="0"/>
          <c:showSerName val="0"/>
          <c:showPercent val="0"/>
          <c:showBubbleSize val="0"/>
        </c:dLbls>
        <c:gapWidth val="60"/>
        <c:overlap val="-27"/>
        <c:axId val="1371301743"/>
        <c:axId val="1681272367"/>
      </c:barChart>
      <c:lineChart>
        <c:grouping val="standard"/>
        <c:varyColors val="0"/>
        <c:ser>
          <c:idx val="2"/>
          <c:order val="2"/>
          <c:tx>
            <c:strRef>
              <c:f>'m1'!$D$254</c:f>
              <c:strCache>
                <c:ptCount val="1"/>
                <c:pt idx="0">
                  <c:v>Total </c:v>
                </c:pt>
              </c:strCache>
            </c:strRef>
          </c:tx>
          <c:spPr>
            <a:ln w="28575" cap="rnd">
              <a:solidFill>
                <a:schemeClr val="bg1">
                  <a:lumMod val="75000"/>
                </a:schemeClr>
              </a:solidFill>
              <a:round/>
            </a:ln>
            <a:effectLst/>
          </c:spPr>
          <c:marker>
            <c:symbol val="circle"/>
            <c:size val="5"/>
            <c:spPr>
              <a:solidFill>
                <a:schemeClr val="bg1">
                  <a:lumMod val="75000"/>
                </a:schemeClr>
              </a:solidFill>
              <a:ln w="9525">
                <a:solidFill>
                  <a:schemeClr val="bg1">
                    <a:lumMod val="75000"/>
                  </a:schemeClr>
                </a:solidFill>
              </a:ln>
              <a:effectLst/>
            </c:spPr>
          </c:marker>
          <c:dLbls>
            <c:dLbl>
              <c:idx val="0"/>
              <c:layout>
                <c:manualLayout>
                  <c:x val="-3.7449287423280971E-2"/>
                  <c:y val="-4.5498862528436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70-4289-8C2F-5AFA1E0E9BFC}"/>
                </c:ext>
              </c:extLst>
            </c:dLbl>
            <c:dLbl>
              <c:idx val="1"/>
              <c:layout>
                <c:manualLayout>
                  <c:x val="-4.3594394450693699E-2"/>
                  <c:y val="-5.8919427524389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70-4289-8C2F-5AFA1E0E9BFC}"/>
                </c:ext>
              </c:extLst>
            </c:dLbl>
            <c:dLbl>
              <c:idx val="2"/>
              <c:layout>
                <c:manualLayout>
                  <c:x val="-4.1610319359201155E-2"/>
                  <c:y val="-6.4998375040624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70-4289-8C2F-5AFA1E0E9BFC}"/>
                </c:ext>
              </c:extLst>
            </c:dLbl>
            <c:dLbl>
              <c:idx val="3"/>
              <c:layout>
                <c:manualLayout>
                  <c:x val="-3.9529803391241104E-2"/>
                  <c:y val="-5.8498537536561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70-4289-8C2F-5AFA1E0E9BFC}"/>
                </c:ext>
              </c:extLst>
            </c:dLbl>
            <c:dLbl>
              <c:idx val="4"/>
              <c:layout>
                <c:manualLayout>
                  <c:x val="-4.7851867263081244E-2"/>
                  <c:y val="-6.4998375040623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70-4289-8C2F-5AFA1E0E9BFC}"/>
                </c:ext>
              </c:extLst>
            </c:dLbl>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'm1'!$A$255:$A$259</c:f>
              <c:numCache>
                <c:formatCode>0</c:formatCode>
                <c:ptCount val="5"/>
                <c:pt idx="0">
                  <c:v>2016</c:v>
                </c:pt>
                <c:pt idx="1">
                  <c:v>2017</c:v>
                </c:pt>
                <c:pt idx="2">
                  <c:v>2018</c:v>
                </c:pt>
                <c:pt idx="3">
                  <c:v>2019</c:v>
                </c:pt>
                <c:pt idx="4">
                  <c:v>2020</c:v>
                </c:pt>
              </c:numCache>
            </c:numRef>
          </c:cat>
          <c:val>
            <c:numRef>
              <c:f>'m1'!$D$255:$D$259</c:f>
              <c:numCache>
                <c:formatCode>#,##0.0</c:formatCode>
                <c:ptCount val="5"/>
                <c:pt idx="0">
                  <c:v>3262.83690045</c:v>
                </c:pt>
                <c:pt idx="1">
                  <c:v>3494.2264475800002</c:v>
                </c:pt>
                <c:pt idx="2">
                  <c:v>3905.62515721</c:v>
                </c:pt>
                <c:pt idx="3">
                  <c:v>3847.5258440200005</c:v>
                </c:pt>
                <c:pt idx="4">
                  <c:v>3430.7097379799993</c:v>
                </c:pt>
              </c:numCache>
            </c:numRef>
          </c:val>
          <c:smooth val="0"/>
          <c:extLst>
            <c:ext xmlns:c16="http://schemas.microsoft.com/office/drawing/2014/chart" uri="{C3380CC4-5D6E-409C-BE32-E72D297353CC}">
              <c16:uniqueId val="{00000002-AF70-4289-8C2F-5AFA1E0E9BFC}"/>
            </c:ext>
          </c:extLst>
        </c:ser>
        <c:dLbls>
          <c:showLegendKey val="0"/>
          <c:showVal val="1"/>
          <c:showCatName val="0"/>
          <c:showSerName val="0"/>
          <c:showPercent val="0"/>
          <c:showBubbleSize val="0"/>
        </c:dLbls>
        <c:marker val="1"/>
        <c:smooth val="0"/>
        <c:axId val="1371301743"/>
        <c:axId val="1681272367"/>
      </c:lineChart>
      <c:catAx>
        <c:axId val="1371301743"/>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681272367"/>
        <c:crosses val="autoZero"/>
        <c:auto val="1"/>
        <c:lblAlgn val="ctr"/>
        <c:lblOffset val="100"/>
        <c:noMultiLvlLbl val="0"/>
      </c:catAx>
      <c:valAx>
        <c:axId val="1681272367"/>
        <c:scaling>
          <c:orientation val="minMax"/>
        </c:scaling>
        <c:delete val="1"/>
        <c:axPos val="l"/>
        <c:numFmt formatCode="#,##0.0" sourceLinked="1"/>
        <c:majorTickMark val="none"/>
        <c:minorTickMark val="none"/>
        <c:tickLblPos val="nextTo"/>
        <c:crossAx val="1371301743"/>
        <c:crosses val="autoZero"/>
        <c:crossBetween val="between"/>
      </c:valAx>
      <c:spPr>
        <a:noFill/>
        <a:ln>
          <a:noFill/>
        </a:ln>
        <a:effectLst/>
      </c:spPr>
    </c:plotArea>
    <c:legend>
      <c:legendPos val="b"/>
      <c:layout>
        <c:manualLayout>
          <c:xMode val="edge"/>
          <c:yMode val="edge"/>
          <c:x val="0.24698579779764618"/>
          <c:y val="0.85859216792014525"/>
          <c:w val="0.51199276966816543"/>
          <c:h val="0.14140783207985475"/>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666266580646116E-2"/>
          <c:y val="0.12876903356668967"/>
          <c:w val="0.96866746683870775"/>
          <c:h val="0.61228900501927419"/>
        </c:manualLayout>
      </c:layout>
      <c:barChart>
        <c:barDir val="col"/>
        <c:grouping val="clustered"/>
        <c:varyColors val="0"/>
        <c:ser>
          <c:idx val="0"/>
          <c:order val="0"/>
          <c:tx>
            <c:strRef>
              <c:f>'m1'!$C$262</c:f>
              <c:strCache>
                <c:ptCount val="1"/>
                <c:pt idx="0">
                  <c:v>MILLONES DE PESOS </c:v>
                </c:pt>
              </c:strCache>
            </c:strRef>
          </c:tx>
          <c:spPr>
            <a:solidFill>
              <a:srgbClr val="5B90A7"/>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285172"/>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576A-431E-87DC-924DE9D691F2}"/>
              </c:ext>
            </c:extLst>
          </c:dPt>
          <c:dLbls>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'm1'!$A$263:$A$295</c:f>
              <c:strCache>
                <c:ptCount val="33"/>
                <c:pt idx="0">
                  <c:v>CNDH</c:v>
                </c:pt>
                <c:pt idx="1">
                  <c:v>CDMX</c:v>
                </c:pt>
                <c:pt idx="2">
                  <c:v>MEX</c:v>
                </c:pt>
                <c:pt idx="3">
                  <c:v>JAL</c:v>
                </c:pt>
                <c:pt idx="4">
                  <c:v>GTO</c:v>
                </c:pt>
                <c:pt idx="5">
                  <c:v>GRO</c:v>
                </c:pt>
                <c:pt idx="6">
                  <c:v>CHIH</c:v>
                </c:pt>
                <c:pt idx="7">
                  <c:v>MICH</c:v>
                </c:pt>
                <c:pt idx="8">
                  <c:v>QROO</c:v>
                </c:pt>
                <c:pt idx="9">
                  <c:v>NL</c:v>
                </c:pt>
                <c:pt idx="10">
                  <c:v>VER</c:v>
                </c:pt>
                <c:pt idx="11">
                  <c:v>CHIS</c:v>
                </c:pt>
                <c:pt idx="12">
                  <c:v>SLP</c:v>
                </c:pt>
                <c:pt idx="13">
                  <c:v>HGO</c:v>
                </c:pt>
                <c:pt idx="14">
                  <c:v>PUE</c:v>
                </c:pt>
                <c:pt idx="15">
                  <c:v>BC</c:v>
                </c:pt>
                <c:pt idx="16">
                  <c:v>OAX</c:v>
                </c:pt>
                <c:pt idx="17">
                  <c:v>ZAC</c:v>
                </c:pt>
                <c:pt idx="18">
                  <c:v>YUC</c:v>
                </c:pt>
                <c:pt idx="19">
                  <c:v>COAH</c:v>
                </c:pt>
                <c:pt idx="20">
                  <c:v>SON</c:v>
                </c:pt>
                <c:pt idx="21">
                  <c:v>QRO</c:v>
                </c:pt>
                <c:pt idx="22">
                  <c:v>CAMP</c:v>
                </c:pt>
                <c:pt idx="23">
                  <c:v>TAMPS</c:v>
                </c:pt>
                <c:pt idx="24">
                  <c:v>SIN</c:v>
                </c:pt>
                <c:pt idx="25">
                  <c:v>DGO</c:v>
                </c:pt>
                <c:pt idx="26">
                  <c:v>TLAX</c:v>
                </c:pt>
                <c:pt idx="27">
                  <c:v>AGS</c:v>
                </c:pt>
                <c:pt idx="28">
                  <c:v>TAB</c:v>
                </c:pt>
                <c:pt idx="29">
                  <c:v>NAY</c:v>
                </c:pt>
                <c:pt idx="30">
                  <c:v>MOR</c:v>
                </c:pt>
                <c:pt idx="31">
                  <c:v>BCS</c:v>
                </c:pt>
                <c:pt idx="32">
                  <c:v>COL</c:v>
                </c:pt>
              </c:strCache>
            </c:strRef>
          </c:cat>
          <c:val>
            <c:numRef>
              <c:f>'m1'!$C$263:$C$295</c:f>
              <c:numCache>
                <c:formatCode>#,##0.0</c:formatCode>
                <c:ptCount val="33"/>
                <c:pt idx="0">
                  <c:v>1392.986619</c:v>
                </c:pt>
                <c:pt idx="1">
                  <c:v>432.22802488000002</c:v>
                </c:pt>
                <c:pt idx="2">
                  <c:v>243.86308790999999</c:v>
                </c:pt>
                <c:pt idx="3">
                  <c:v>145.81825559000001</c:v>
                </c:pt>
                <c:pt idx="4">
                  <c:v>103.67383029999999</c:v>
                </c:pt>
                <c:pt idx="5">
                  <c:v>82.340404620000001</c:v>
                </c:pt>
                <c:pt idx="6">
                  <c:v>76.959318159999995</c:v>
                </c:pt>
                <c:pt idx="7">
                  <c:v>71.844210849999996</c:v>
                </c:pt>
                <c:pt idx="8">
                  <c:v>67.89480451</c:v>
                </c:pt>
                <c:pt idx="9">
                  <c:v>67.639183000000003</c:v>
                </c:pt>
                <c:pt idx="10">
                  <c:v>64.094806520000006</c:v>
                </c:pt>
                <c:pt idx="11">
                  <c:v>56.610520229999999</c:v>
                </c:pt>
                <c:pt idx="12">
                  <c:v>47.477764000000001</c:v>
                </c:pt>
                <c:pt idx="13">
                  <c:v>47.083040179999998</c:v>
                </c:pt>
                <c:pt idx="14">
                  <c:v>43.865271180000001</c:v>
                </c:pt>
                <c:pt idx="15">
                  <c:v>43.208697000000001</c:v>
                </c:pt>
                <c:pt idx="16">
                  <c:v>40.604284</c:v>
                </c:pt>
                <c:pt idx="17">
                  <c:v>39.165636999999997</c:v>
                </c:pt>
                <c:pt idx="18">
                  <c:v>36.971398619999995</c:v>
                </c:pt>
                <c:pt idx="19">
                  <c:v>36.72945378</c:v>
                </c:pt>
                <c:pt idx="20">
                  <c:v>35.014209000000001</c:v>
                </c:pt>
                <c:pt idx="21">
                  <c:v>32.167780710000002</c:v>
                </c:pt>
                <c:pt idx="22">
                  <c:v>30.077745960000001</c:v>
                </c:pt>
                <c:pt idx="23">
                  <c:v>29.549011</c:v>
                </c:pt>
                <c:pt idx="24">
                  <c:v>23.763860000000001</c:v>
                </c:pt>
                <c:pt idx="25">
                  <c:v>23.170276000000001</c:v>
                </c:pt>
                <c:pt idx="26">
                  <c:v>22.48716271</c:v>
                </c:pt>
                <c:pt idx="27">
                  <c:v>19.46913236</c:v>
                </c:pt>
                <c:pt idx="28">
                  <c:v>19.348712980000002</c:v>
                </c:pt>
                <c:pt idx="29">
                  <c:v>17.91895293</c:v>
                </c:pt>
                <c:pt idx="30">
                  <c:v>15.8</c:v>
                </c:pt>
                <c:pt idx="31">
                  <c:v>11.384283</c:v>
                </c:pt>
                <c:pt idx="32">
                  <c:v>9.5</c:v>
                </c:pt>
              </c:numCache>
            </c:numRef>
          </c:val>
          <c:extLst>
            <c:ext xmlns:c16="http://schemas.microsoft.com/office/drawing/2014/chart" uri="{C3380CC4-5D6E-409C-BE32-E72D297353CC}">
              <c16:uniqueId val="{00000002-576A-431E-87DC-924DE9D691F2}"/>
            </c:ext>
          </c:extLst>
        </c:ser>
        <c:dLbls>
          <c:dLblPos val="outEnd"/>
          <c:showLegendKey val="0"/>
          <c:showVal val="1"/>
          <c:showCatName val="0"/>
          <c:showSerName val="0"/>
          <c:showPercent val="0"/>
          <c:showBubbleSize val="0"/>
        </c:dLbls>
        <c:gapWidth val="50"/>
        <c:axId val="1655831023"/>
        <c:axId val="1379198159"/>
      </c:barChart>
      <c:catAx>
        <c:axId val="1655831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379198159"/>
        <c:crosses val="autoZero"/>
        <c:auto val="1"/>
        <c:lblAlgn val="ctr"/>
        <c:lblOffset val="100"/>
        <c:noMultiLvlLbl val="0"/>
      </c:catAx>
      <c:valAx>
        <c:axId val="1379198159"/>
        <c:scaling>
          <c:orientation val="minMax"/>
        </c:scaling>
        <c:delete val="1"/>
        <c:axPos val="l"/>
        <c:numFmt formatCode="#,##0.0" sourceLinked="1"/>
        <c:majorTickMark val="none"/>
        <c:minorTickMark val="none"/>
        <c:tickLblPos val="nextTo"/>
        <c:crossAx val="16558310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02867869433726E-2"/>
          <c:y val="0.10953902327704244"/>
          <c:w val="0.95411408906038164"/>
          <c:h val="0.60451740657018516"/>
        </c:manualLayout>
      </c:layout>
      <c:barChart>
        <c:barDir val="col"/>
        <c:grouping val="clustered"/>
        <c:varyColors val="0"/>
        <c:ser>
          <c:idx val="0"/>
          <c:order val="0"/>
          <c:spPr>
            <a:solidFill>
              <a:srgbClr val="5B90A7"/>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285172"/>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E87F-488C-984D-6679CEE8498D}"/>
              </c:ext>
            </c:extLst>
          </c:dPt>
          <c:dPt>
            <c:idx val="4"/>
            <c:invertIfNegative val="0"/>
            <c:bubble3D val="0"/>
            <c:spPr>
              <a:solidFill>
                <a:schemeClr val="bg1">
                  <a:lumMod val="75000"/>
                </a:schemeClr>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E87F-488C-984D-6679CEE8498D}"/>
              </c:ext>
            </c:extLst>
          </c:dPt>
          <c:dLbls>
            <c:dLbl>
              <c:idx val="4"/>
              <c:tx>
                <c:rich>
                  <a:bodyPr/>
                  <a:lstStyle/>
                  <a:p>
                    <a:r>
                      <a:rPr lang="en-US"/>
                      <a:t>3.6%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7F-488C-984D-6679CEE8498D}"/>
                </c:ext>
              </c:extLst>
            </c:dLbl>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'm1'!$D$345:$D$349</c:f>
              <c:strCache>
                <c:ptCount val="5"/>
                <c:pt idx="0">
                  <c:v>Visitaduría general o subprocuraduría</c:v>
                </c:pt>
                <c:pt idx="1">
                  <c:v>Visitaduría regional</c:v>
                </c:pt>
                <c:pt idx="2">
                  <c:v>Visitaduría adjunta o auxiliar</c:v>
                </c:pt>
                <c:pt idx="3">
                  <c:v>Visitaduría itinerante</c:v>
                </c:pt>
                <c:pt idx="4">
                  <c:v>Otra</c:v>
                </c:pt>
              </c:strCache>
            </c:strRef>
          </c:cat>
          <c:val>
            <c:numRef>
              <c:f>'m1'!$E$345:$E$349</c:f>
              <c:numCache>
                <c:formatCode>0.0%</c:formatCode>
                <c:ptCount val="5"/>
                <c:pt idx="0">
                  <c:v>0.38827838827838829</c:v>
                </c:pt>
                <c:pt idx="1">
                  <c:v>0.37362637362637363</c:v>
                </c:pt>
                <c:pt idx="2">
                  <c:v>0.19780219780219779</c:v>
                </c:pt>
                <c:pt idx="3">
                  <c:v>3.663003663003663E-3</c:v>
                </c:pt>
                <c:pt idx="4">
                  <c:v>3.6630036630036632E-2</c:v>
                </c:pt>
              </c:numCache>
            </c:numRef>
          </c:val>
          <c:extLst>
            <c:ext xmlns:c16="http://schemas.microsoft.com/office/drawing/2014/chart" uri="{C3380CC4-5D6E-409C-BE32-E72D297353CC}">
              <c16:uniqueId val="{00000004-E87F-488C-984D-6679CEE8498D}"/>
            </c:ext>
          </c:extLst>
        </c:ser>
        <c:dLbls>
          <c:dLblPos val="outEnd"/>
          <c:showLegendKey val="0"/>
          <c:showVal val="1"/>
          <c:showCatName val="0"/>
          <c:showSerName val="0"/>
          <c:showPercent val="0"/>
          <c:showBubbleSize val="0"/>
        </c:dLbls>
        <c:gapWidth val="50"/>
        <c:overlap val="-27"/>
        <c:axId val="1654290127"/>
        <c:axId val="1681302735"/>
      </c:barChart>
      <c:catAx>
        <c:axId val="165429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681302735"/>
        <c:crosses val="autoZero"/>
        <c:auto val="1"/>
        <c:lblAlgn val="ctr"/>
        <c:lblOffset val="100"/>
        <c:noMultiLvlLbl val="0"/>
      </c:catAx>
      <c:valAx>
        <c:axId val="1681302735"/>
        <c:scaling>
          <c:orientation val="minMax"/>
        </c:scaling>
        <c:delete val="1"/>
        <c:axPos val="l"/>
        <c:numFmt formatCode="0.0%" sourceLinked="1"/>
        <c:majorTickMark val="none"/>
        <c:minorTickMark val="none"/>
        <c:tickLblPos val="nextTo"/>
        <c:crossAx val="16542901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19E4C538-D831-4732-AD64-D19D1DC08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5093</Words>
  <Characters>28015</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Comunicado. Resultados de los Censos Nacionales de Derechos Humanos en los ámbitos Federal y Estatal (CNDHF-E) 2021</vt:lpstr>
    </vt:vector>
  </TitlesOfParts>
  <Company>Microsoft</Company>
  <LinksUpToDate>false</LinksUpToDate>
  <CharactersWithSpaces>33042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Resultados de los Censos Nacionales de Derechos Humanos en los ámbitos Federal y Estatal (CNDHF-E) 2021</dc:title>
  <dc:creator>INEGI</dc:creator>
  <cp:lastModifiedBy>GUILLEN MEDINA MOISES</cp:lastModifiedBy>
  <cp:revision>8</cp:revision>
  <cp:lastPrinted>2021-12-10T01:02:00Z</cp:lastPrinted>
  <dcterms:created xsi:type="dcterms:W3CDTF">2021-12-09T22:23:00Z</dcterms:created>
  <dcterms:modified xsi:type="dcterms:W3CDTF">2021-12-10T01:03:00Z</dcterms:modified>
</cp:coreProperties>
</file>