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CD1E" w14:textId="77777777" w:rsidR="0079184D" w:rsidRDefault="0079184D" w:rsidP="003673C7">
      <w:pPr>
        <w:shd w:val="clear" w:color="auto" w:fill="FFFFFF"/>
        <w:spacing w:after="0" w:line="240" w:lineRule="auto"/>
        <w:ind w:left="-567" w:right="-660"/>
        <w:jc w:val="center"/>
        <w:outlineLvl w:val="1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</w:p>
    <w:p w14:paraId="6369F507" w14:textId="00FB9EDB" w:rsidR="007410D8" w:rsidRDefault="007410D8" w:rsidP="003673C7">
      <w:pPr>
        <w:shd w:val="clear" w:color="auto" w:fill="FFFFFF"/>
        <w:spacing w:after="0" w:line="240" w:lineRule="auto"/>
        <w:ind w:left="-567" w:right="-660"/>
        <w:jc w:val="center"/>
        <w:outlineLvl w:val="1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680A0F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PRESENTA </w:t>
      </w:r>
      <w:r w:rsidR="000D5C7D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EL </w:t>
      </w:r>
      <w:r w:rsidR="00C42E1A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INEGI </w:t>
      </w:r>
      <w:r w:rsidRPr="00680A0F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SU CALENDARIO DE DIFUSIÓN DE INFORMACIÓN ESTADÍSTICA, GEOGRÁFICA Y DE INTERÉS NACIONAL DEL PRIMER SEMESTRE DE 2022 </w:t>
      </w:r>
    </w:p>
    <w:p w14:paraId="72E9F491" w14:textId="77777777" w:rsidR="00C42E1A" w:rsidRDefault="00C42E1A" w:rsidP="00C42E1A">
      <w:pPr>
        <w:ind w:right="49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</w:p>
    <w:p w14:paraId="14585584" w14:textId="77777777" w:rsidR="00086896" w:rsidRPr="000D5C7D" w:rsidRDefault="00086896" w:rsidP="00FD6A84">
      <w:pPr>
        <w:pStyle w:val="Prrafodelista"/>
        <w:numPr>
          <w:ilvl w:val="0"/>
          <w:numId w:val="8"/>
        </w:numPr>
        <w:ind w:left="0" w:right="-93" w:hanging="284"/>
        <w:jc w:val="both"/>
        <w:rPr>
          <w:rFonts w:ascii="Arial" w:hAnsi="Arial" w:cs="Arial"/>
          <w:bCs/>
          <w:color w:val="000000" w:themeColor="text1"/>
        </w:rPr>
      </w:pPr>
      <w:r w:rsidRPr="000D5C7D">
        <w:rPr>
          <w:rFonts w:ascii="Arial" w:hAnsi="Arial" w:cs="Arial"/>
          <w:bCs/>
          <w:color w:val="000000" w:themeColor="text1"/>
        </w:rPr>
        <w:t>La Junta de Gobierno del Instituto aprobó, además, cambios al calendario del segundo semestre de 2021.</w:t>
      </w:r>
    </w:p>
    <w:p w14:paraId="1BD55FBA" w14:textId="15A88042" w:rsidR="00FD6A84" w:rsidRPr="000D5C7D" w:rsidRDefault="00FD6A84" w:rsidP="00FD6A84">
      <w:pPr>
        <w:pStyle w:val="Prrafodelista"/>
        <w:numPr>
          <w:ilvl w:val="0"/>
          <w:numId w:val="8"/>
        </w:numPr>
        <w:ind w:left="0" w:right="-93" w:hanging="284"/>
        <w:jc w:val="both"/>
        <w:rPr>
          <w:rFonts w:ascii="Arial" w:hAnsi="Arial" w:cs="Arial"/>
          <w:bCs/>
          <w:color w:val="000000" w:themeColor="text1"/>
        </w:rPr>
      </w:pPr>
      <w:r w:rsidRPr="000D5C7D">
        <w:rPr>
          <w:rFonts w:ascii="Arial" w:hAnsi="Arial" w:cs="Arial"/>
          <w:color w:val="000000" w:themeColor="text1"/>
          <w:lang w:val="es-ES_tradnl"/>
        </w:rPr>
        <w:t>Por primera v</w:t>
      </w:r>
      <w:r w:rsidR="00094107" w:rsidRPr="000D5C7D">
        <w:rPr>
          <w:rFonts w:ascii="Arial" w:hAnsi="Arial" w:cs="Arial"/>
          <w:color w:val="000000" w:themeColor="text1"/>
          <w:lang w:val="es-ES_tradnl"/>
        </w:rPr>
        <w:t>e</w:t>
      </w:r>
      <w:r w:rsidRPr="000D5C7D">
        <w:rPr>
          <w:rFonts w:ascii="Arial" w:hAnsi="Arial" w:cs="Arial"/>
          <w:color w:val="000000" w:themeColor="text1"/>
          <w:lang w:val="es-ES_tradnl"/>
        </w:rPr>
        <w:t xml:space="preserve">z, el INEGI 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 xml:space="preserve">presentará información preliminar 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 xml:space="preserve">trimestral 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>de las defunciones registradas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>; e</w:t>
      </w:r>
      <w:r w:rsidR="00A86858" w:rsidRPr="000D5C7D">
        <w:rPr>
          <w:rFonts w:ascii="Arial" w:hAnsi="Arial" w:cs="Arial"/>
          <w:color w:val="000000" w:themeColor="text1"/>
          <w:shd w:val="clear" w:color="auto" w:fill="FFFFFF"/>
        </w:rPr>
        <w:t xml:space="preserve">n 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 xml:space="preserve">agosto </w:t>
      </w:r>
      <w:r w:rsidR="0079184D" w:rsidRPr="000D5C7D">
        <w:rPr>
          <w:rFonts w:ascii="Arial" w:hAnsi="Arial" w:cs="Arial"/>
          <w:color w:val="000000" w:themeColor="text1"/>
          <w:shd w:val="clear" w:color="auto" w:fill="FFFFFF"/>
        </w:rPr>
        <w:t xml:space="preserve">próximo 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 xml:space="preserve">ofrecerá datos de defunciones  </w:t>
      </w:r>
      <w:r w:rsidR="00DD5664" w:rsidRPr="000D5C7D">
        <w:rPr>
          <w:rFonts w:ascii="Arial" w:hAnsi="Arial" w:cs="Arial"/>
          <w:color w:val="000000" w:themeColor="text1"/>
          <w:shd w:val="clear" w:color="auto" w:fill="FFFFFF"/>
        </w:rPr>
        <w:t xml:space="preserve">registradas 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 xml:space="preserve">durante el 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>primer trimestre</w:t>
      </w:r>
      <w:r w:rsidR="0079184D" w:rsidRPr="000D5C7D">
        <w:rPr>
          <w:rFonts w:ascii="Arial" w:hAnsi="Arial" w:cs="Arial"/>
          <w:color w:val="000000" w:themeColor="text1"/>
          <w:shd w:val="clear" w:color="auto" w:fill="FFFFFF"/>
        </w:rPr>
        <w:t xml:space="preserve"> de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 xml:space="preserve"> este mismo</w:t>
      </w:r>
      <w:r w:rsidR="0079184D" w:rsidRPr="000D5C7D">
        <w:rPr>
          <w:rFonts w:ascii="Arial" w:hAnsi="Arial" w:cs="Arial"/>
          <w:color w:val="000000" w:themeColor="text1"/>
          <w:shd w:val="clear" w:color="auto" w:fill="FFFFFF"/>
        </w:rPr>
        <w:t xml:space="preserve"> año</w:t>
      </w:r>
      <w:r w:rsidR="00A86858" w:rsidRPr="000D5C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>y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86858" w:rsidRPr="000D5C7D">
        <w:rPr>
          <w:rFonts w:ascii="Arial" w:hAnsi="Arial" w:cs="Arial"/>
          <w:color w:val="000000" w:themeColor="text1"/>
          <w:shd w:val="clear" w:color="auto" w:fill="FFFFFF"/>
        </w:rPr>
        <w:t xml:space="preserve">en 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 xml:space="preserve">febrero </w:t>
      </w:r>
      <w:r w:rsidR="00DD5664" w:rsidRPr="000D5C7D">
        <w:rPr>
          <w:rFonts w:ascii="Arial" w:hAnsi="Arial" w:cs="Arial"/>
          <w:color w:val="000000" w:themeColor="text1"/>
          <w:shd w:val="clear" w:color="auto" w:fill="FFFFFF"/>
        </w:rPr>
        <w:t xml:space="preserve">de 2022 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 xml:space="preserve">se conocerá la información del </w:t>
      </w:r>
      <w:r w:rsidRPr="000D5C7D">
        <w:rPr>
          <w:rFonts w:ascii="Arial" w:hAnsi="Arial" w:cs="Arial"/>
          <w:color w:val="000000" w:themeColor="text1"/>
          <w:shd w:val="clear" w:color="auto" w:fill="FFFFFF"/>
        </w:rPr>
        <w:t>tercer trimestre</w:t>
      </w:r>
      <w:r w:rsidR="004838A7" w:rsidRPr="000D5C7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86858" w:rsidRPr="000D5C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63C633F1" w14:textId="77777777" w:rsidR="00086896" w:rsidRPr="008275E6" w:rsidRDefault="00086896" w:rsidP="003673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C3886E" w14:textId="33A376A5" w:rsidR="00307973" w:rsidRPr="008275E6" w:rsidRDefault="003673C7" w:rsidP="00C8104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Para brindar mayor oportunidad </w:t>
      </w:r>
      <w:r w:rsidR="00C42E1A" w:rsidRPr="008275E6">
        <w:rPr>
          <w:rFonts w:ascii="Arial" w:hAnsi="Arial" w:cs="Arial"/>
          <w:color w:val="000000" w:themeColor="text1"/>
          <w:sz w:val="24"/>
          <w:szCs w:val="24"/>
        </w:rPr>
        <w:t>en la difusión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5E6">
        <w:rPr>
          <w:rFonts w:ascii="Arial" w:hAnsi="Arial" w:cs="Arial"/>
          <w:sz w:val="24"/>
          <w:szCs w:val="24"/>
        </w:rPr>
        <w:t>y atendiendo las mejores prácticas internacionales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>, e</w:t>
      </w:r>
      <w:r w:rsidR="00086896" w:rsidRPr="008275E6">
        <w:rPr>
          <w:rFonts w:ascii="Arial" w:hAnsi="Arial" w:cs="Arial"/>
          <w:sz w:val="24"/>
          <w:szCs w:val="24"/>
        </w:rPr>
        <w:t>l INEGI pone a disposición de los usuarios su</w:t>
      </w:r>
      <w:r w:rsidR="00D464DB" w:rsidRPr="008275E6">
        <w:rPr>
          <w:rFonts w:ascii="Arial" w:hAnsi="Arial" w:cs="Arial"/>
          <w:sz w:val="24"/>
          <w:szCs w:val="24"/>
        </w:rPr>
        <w:t xml:space="preserve"> Calendario de Difusión de Información Estadística</w:t>
      </w:r>
      <w:r w:rsidR="00086896" w:rsidRPr="008275E6">
        <w:rPr>
          <w:rFonts w:ascii="Arial" w:hAnsi="Arial" w:cs="Arial"/>
          <w:sz w:val="24"/>
          <w:szCs w:val="24"/>
        </w:rPr>
        <w:t>,</w:t>
      </w:r>
      <w:r w:rsidR="00D464DB" w:rsidRPr="008275E6">
        <w:rPr>
          <w:rFonts w:ascii="Arial" w:hAnsi="Arial" w:cs="Arial"/>
          <w:sz w:val="24"/>
          <w:szCs w:val="24"/>
        </w:rPr>
        <w:t xml:space="preserve"> Geográfica</w:t>
      </w:r>
      <w:r w:rsidR="00086896" w:rsidRPr="008275E6">
        <w:rPr>
          <w:rFonts w:ascii="Arial" w:hAnsi="Arial" w:cs="Arial"/>
          <w:sz w:val="24"/>
          <w:szCs w:val="24"/>
        </w:rPr>
        <w:t xml:space="preserve"> y de Interés Nacional del primer semestre de </w:t>
      </w:r>
      <w:r w:rsidR="00D464DB" w:rsidRPr="008275E6">
        <w:rPr>
          <w:rFonts w:ascii="Arial" w:hAnsi="Arial" w:cs="Arial"/>
          <w:sz w:val="24"/>
          <w:szCs w:val="24"/>
        </w:rPr>
        <w:t>202</w:t>
      </w:r>
      <w:r w:rsidR="00086896" w:rsidRPr="008275E6">
        <w:rPr>
          <w:rFonts w:ascii="Arial" w:hAnsi="Arial" w:cs="Arial"/>
          <w:sz w:val="24"/>
          <w:szCs w:val="24"/>
        </w:rPr>
        <w:t>2.</w:t>
      </w:r>
    </w:p>
    <w:p w14:paraId="7955C2AB" w14:textId="77777777" w:rsidR="00307973" w:rsidRPr="008275E6" w:rsidRDefault="00307973" w:rsidP="003673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1A0ABC" w14:textId="38A59F7B" w:rsidR="00D459BC" w:rsidRPr="008275E6" w:rsidRDefault="00D459BC" w:rsidP="003673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75E6">
        <w:rPr>
          <w:rFonts w:ascii="Arial" w:hAnsi="Arial" w:cs="Arial"/>
          <w:color w:val="000000" w:themeColor="text1"/>
          <w:sz w:val="24"/>
          <w:szCs w:val="24"/>
        </w:rPr>
        <w:t>E</w:t>
      </w:r>
      <w:r w:rsidR="001E69E6" w:rsidRPr="008275E6">
        <w:rPr>
          <w:rFonts w:ascii="Arial" w:hAnsi="Arial" w:cs="Arial"/>
          <w:color w:val="000000" w:themeColor="text1"/>
          <w:sz w:val="24"/>
          <w:szCs w:val="24"/>
        </w:rPr>
        <w:t xml:space="preserve">l calendario contiene las fechas </w:t>
      </w:r>
      <w:r w:rsidR="00A32726" w:rsidRPr="008275E6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A32726">
        <w:rPr>
          <w:rFonts w:ascii="Arial" w:hAnsi="Arial" w:cs="Arial"/>
          <w:color w:val="000000" w:themeColor="text1"/>
          <w:sz w:val="24"/>
          <w:szCs w:val="24"/>
        </w:rPr>
        <w:t>actualización</w:t>
      </w:r>
      <w:r w:rsidR="007F1C9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1E69E6" w:rsidRPr="008275E6">
        <w:rPr>
          <w:rFonts w:ascii="Arial" w:hAnsi="Arial" w:cs="Arial"/>
          <w:color w:val="000000" w:themeColor="text1"/>
          <w:sz w:val="24"/>
          <w:szCs w:val="24"/>
        </w:rPr>
        <w:t>difusión de resultados de 70 programas o indicadores; 31 de ellos con Información de Interés Nacional (IIN) y 39 con información estadística o geográfica.</w:t>
      </w:r>
    </w:p>
    <w:p w14:paraId="041ACECE" w14:textId="77777777" w:rsidR="001E69E6" w:rsidRPr="008275E6" w:rsidRDefault="001E69E6" w:rsidP="003673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C55A8" w14:textId="44E3FEEF" w:rsidR="007A45DA" w:rsidRPr="008275E6" w:rsidRDefault="00730351" w:rsidP="003673C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8275E6">
        <w:rPr>
          <w:rFonts w:ascii="Arial" w:hAnsi="Arial" w:cs="Arial"/>
          <w:color w:val="000000" w:themeColor="text1"/>
          <w:sz w:val="24"/>
          <w:szCs w:val="24"/>
        </w:rPr>
        <w:t>L</w:t>
      </w:r>
      <w:r w:rsidR="00086896" w:rsidRPr="008275E6">
        <w:rPr>
          <w:rFonts w:ascii="Arial" w:hAnsi="Arial" w:cs="Arial"/>
          <w:sz w:val="24"/>
          <w:szCs w:val="24"/>
        </w:rPr>
        <w:t>a Junta de Gobierno del INEGI</w:t>
      </w:r>
      <w:r w:rsidR="00C42E1A" w:rsidRPr="008275E6">
        <w:rPr>
          <w:rFonts w:ascii="Arial" w:hAnsi="Arial" w:cs="Arial"/>
          <w:sz w:val="24"/>
          <w:szCs w:val="24"/>
        </w:rPr>
        <w:t xml:space="preserve">, </w:t>
      </w:r>
      <w:r w:rsidR="003673C7" w:rsidRPr="008275E6">
        <w:rPr>
          <w:rFonts w:ascii="Arial" w:hAnsi="Arial" w:cs="Arial"/>
          <w:sz w:val="24"/>
          <w:szCs w:val="24"/>
        </w:rPr>
        <w:t>encabezada por su presidente</w:t>
      </w:r>
      <w:r w:rsidR="00553089" w:rsidRPr="008275E6">
        <w:rPr>
          <w:rFonts w:ascii="Arial" w:hAnsi="Arial" w:cs="Arial"/>
          <w:sz w:val="24"/>
          <w:szCs w:val="24"/>
        </w:rPr>
        <w:t xml:space="preserve"> </w:t>
      </w:r>
      <w:r w:rsidR="003673C7" w:rsidRPr="008275E6">
        <w:rPr>
          <w:rFonts w:ascii="Arial" w:hAnsi="Arial" w:cs="Arial"/>
          <w:sz w:val="24"/>
          <w:szCs w:val="24"/>
        </w:rPr>
        <w:t xml:space="preserve">Julio Santaella, </w:t>
      </w:r>
      <w:r w:rsidR="00086896" w:rsidRPr="008275E6">
        <w:rPr>
          <w:rFonts w:ascii="Arial" w:hAnsi="Arial" w:cs="Arial"/>
          <w:sz w:val="24"/>
          <w:szCs w:val="24"/>
        </w:rPr>
        <w:t>aprobó</w:t>
      </w:r>
      <w:r w:rsidR="003673C7" w:rsidRPr="008275E6">
        <w:rPr>
          <w:rFonts w:ascii="Arial" w:hAnsi="Arial" w:cs="Arial"/>
          <w:sz w:val="24"/>
          <w:szCs w:val="24"/>
        </w:rPr>
        <w:t xml:space="preserve"> </w:t>
      </w:r>
      <w:r w:rsidR="00B40DC9" w:rsidRPr="008275E6">
        <w:rPr>
          <w:rFonts w:ascii="Arial" w:hAnsi="Arial" w:cs="Arial"/>
          <w:sz w:val="24"/>
          <w:szCs w:val="24"/>
        </w:rPr>
        <w:t xml:space="preserve">además </w:t>
      </w:r>
      <w:r w:rsidR="00086896" w:rsidRPr="008275E6">
        <w:rPr>
          <w:rFonts w:ascii="Arial" w:hAnsi="Arial" w:cs="Arial"/>
          <w:sz w:val="24"/>
          <w:szCs w:val="24"/>
        </w:rPr>
        <w:t>m</w:t>
      </w:r>
      <w:r w:rsidR="00A76909" w:rsidRPr="008275E6">
        <w:rPr>
          <w:rFonts w:ascii="Arial" w:hAnsi="Arial" w:cs="Arial"/>
          <w:sz w:val="24"/>
          <w:szCs w:val="24"/>
        </w:rPr>
        <w:t xml:space="preserve">odificaciones al </w:t>
      </w:r>
      <w:r w:rsidR="00B40DC9" w:rsidRPr="008275E6">
        <w:rPr>
          <w:rFonts w:ascii="Arial" w:hAnsi="Arial" w:cs="Arial"/>
          <w:sz w:val="24"/>
          <w:szCs w:val="24"/>
        </w:rPr>
        <w:t>c</w:t>
      </w:r>
      <w:r w:rsidR="00A76909" w:rsidRPr="008275E6">
        <w:rPr>
          <w:rFonts w:ascii="Arial" w:hAnsi="Arial" w:cs="Arial"/>
          <w:sz w:val="24"/>
          <w:szCs w:val="24"/>
        </w:rPr>
        <w:t xml:space="preserve">alendario </w:t>
      </w:r>
      <w:r w:rsidR="003673C7" w:rsidRPr="008275E6">
        <w:rPr>
          <w:rFonts w:ascii="Arial" w:hAnsi="Arial" w:cs="Arial"/>
          <w:sz w:val="24"/>
          <w:szCs w:val="24"/>
        </w:rPr>
        <w:t xml:space="preserve">del </w:t>
      </w:r>
      <w:r w:rsidR="00086896" w:rsidRPr="008275E6">
        <w:rPr>
          <w:rFonts w:ascii="Arial" w:hAnsi="Arial" w:cs="Arial"/>
          <w:sz w:val="24"/>
          <w:szCs w:val="24"/>
        </w:rPr>
        <w:t>s</w:t>
      </w:r>
      <w:r w:rsidR="00A76909" w:rsidRPr="008275E6">
        <w:rPr>
          <w:rFonts w:ascii="Arial" w:hAnsi="Arial" w:cs="Arial"/>
          <w:sz w:val="24"/>
          <w:szCs w:val="24"/>
        </w:rPr>
        <w:t>egundo semestre de 2021</w:t>
      </w:r>
      <w:r w:rsidR="00867DC7" w:rsidRPr="008275E6">
        <w:rPr>
          <w:rFonts w:ascii="Arial" w:hAnsi="Arial" w:cs="Arial"/>
          <w:sz w:val="24"/>
          <w:szCs w:val="24"/>
        </w:rPr>
        <w:t xml:space="preserve">, entre las que </w:t>
      </w:r>
      <w:r w:rsidR="00A32726" w:rsidRPr="008275E6">
        <w:rPr>
          <w:rFonts w:ascii="Arial" w:hAnsi="Arial" w:cs="Arial"/>
          <w:sz w:val="24"/>
          <w:szCs w:val="24"/>
        </w:rPr>
        <w:t>destacan el</w:t>
      </w:r>
      <w:r w:rsidR="00867DC7" w:rsidRPr="008275E6">
        <w:rPr>
          <w:rFonts w:ascii="Arial" w:hAnsi="Arial" w:cs="Arial"/>
          <w:sz w:val="24"/>
          <w:szCs w:val="24"/>
        </w:rPr>
        <w:t xml:space="preserve"> incremento en la oferta de información</w:t>
      </w:r>
      <w:r w:rsidR="001E69E6" w:rsidRPr="008275E6">
        <w:rPr>
          <w:rFonts w:ascii="Arial" w:hAnsi="Arial" w:cs="Arial"/>
          <w:sz w:val="24"/>
          <w:szCs w:val="24"/>
        </w:rPr>
        <w:t xml:space="preserve"> sobre </w:t>
      </w:r>
      <w:r w:rsidR="00867DC7" w:rsidRPr="008275E6">
        <w:rPr>
          <w:rFonts w:ascii="Arial" w:hAnsi="Arial" w:cs="Arial"/>
          <w:sz w:val="24"/>
          <w:szCs w:val="24"/>
        </w:rPr>
        <w:t xml:space="preserve">defunciones registradas y la inclusión de información sobre la </w:t>
      </w:r>
      <w:r w:rsidR="00867DC7" w:rsidRPr="008275E6">
        <w:rPr>
          <w:rFonts w:ascii="Arial" w:hAnsi="Arial" w:cs="Arial"/>
          <w:bCs/>
          <w:sz w:val="24"/>
          <w:szCs w:val="24"/>
        </w:rPr>
        <w:t>Desagregación Sectorial del Indicador Oportuno de la Actividad Económica.</w:t>
      </w:r>
    </w:p>
    <w:p w14:paraId="23EED6F0" w14:textId="77777777" w:rsidR="003673C7" w:rsidRPr="008275E6" w:rsidRDefault="003673C7" w:rsidP="00C8104C">
      <w:pPr>
        <w:spacing w:after="0" w:line="240" w:lineRule="auto"/>
        <w:ind w:right="-518"/>
        <w:jc w:val="both"/>
        <w:rPr>
          <w:rFonts w:ascii="Arial" w:hAnsi="Arial" w:cs="Arial"/>
          <w:bCs/>
          <w:sz w:val="24"/>
          <w:szCs w:val="24"/>
        </w:rPr>
      </w:pPr>
    </w:p>
    <w:p w14:paraId="1CB884EA" w14:textId="79B7FB13" w:rsidR="00094107" w:rsidRPr="008275E6" w:rsidRDefault="007A45DA" w:rsidP="0009410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>P</w:t>
      </w:r>
      <w:r w:rsidR="00307973"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>or primera vez y</w:t>
      </w:r>
      <w:r w:rsidR="00307973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debido a la relevancia de contar con información </w:t>
      </w:r>
      <w:r w:rsidR="00B21499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preliminar 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las defunciones registradas en México</w:t>
      </w:r>
      <w:r w:rsidR="0079184D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D56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previamente considerado por el Instituto y detonado por las necesidades de información derivadas de</w:t>
      </w:r>
      <w:r w:rsidR="00307973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la emergencia sanitaria por 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</w:t>
      </w:r>
      <w:r w:rsidR="00307973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Covid-19, se presentará información </w:t>
      </w:r>
      <w:r w:rsidR="00867DC7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trimestral </w:t>
      </w:r>
      <w:r w:rsidR="0032219F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preliminar </w:t>
      </w:r>
      <w:r w:rsidR="00307973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las defunciones registradas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r w:rsidR="0032219F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cinco meses de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concluido el trimestre</w:t>
      </w:r>
      <w:r w:rsidR="001E69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32219F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</w:t>
      </w:r>
      <w:r w:rsidR="00867DC7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difu</w:t>
      </w:r>
      <w:r w:rsidR="0032219F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sión se hará</w:t>
      </w:r>
      <w:r w:rsidR="00867DC7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2219F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la siguiente manera</w:t>
      </w:r>
      <w:r w:rsidR="00307973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6DCFC2AC" w14:textId="77777777" w:rsidR="00094107" w:rsidRPr="008275E6" w:rsidRDefault="00094107" w:rsidP="0009410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66C2D21" w14:textId="77777777" w:rsidR="00094107" w:rsidRPr="008275E6" w:rsidRDefault="00B21499" w:rsidP="00094107">
      <w:pPr>
        <w:pStyle w:val="Prrafodelista"/>
        <w:numPr>
          <w:ilvl w:val="0"/>
          <w:numId w:val="10"/>
        </w:numPr>
        <w:ind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275E6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>gosto de 2021</w:t>
      </w:r>
      <w:r w:rsidRPr="008275E6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 xml:space="preserve">se dará a conocer información correspondiente al primer trimestre de este </w:t>
      </w:r>
      <w:r w:rsidR="001E69E6" w:rsidRPr="008275E6">
        <w:rPr>
          <w:rFonts w:ascii="Arial" w:hAnsi="Arial" w:cs="Arial"/>
          <w:color w:val="000000" w:themeColor="text1"/>
          <w:shd w:val="clear" w:color="auto" w:fill="FFFFFF"/>
        </w:rPr>
        <w:t xml:space="preserve">mismo 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 xml:space="preserve">año. </w:t>
      </w:r>
    </w:p>
    <w:p w14:paraId="0F0C3384" w14:textId="77777777" w:rsidR="00094107" w:rsidRPr="008275E6" w:rsidRDefault="00307973" w:rsidP="00094107">
      <w:pPr>
        <w:pStyle w:val="Prrafodelista"/>
        <w:numPr>
          <w:ilvl w:val="0"/>
          <w:numId w:val="10"/>
        </w:numPr>
        <w:ind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275E6">
        <w:rPr>
          <w:rFonts w:ascii="Arial" w:hAnsi="Arial" w:cs="Arial"/>
          <w:color w:val="000000" w:themeColor="text1"/>
          <w:shd w:val="clear" w:color="auto" w:fill="FFFFFF"/>
        </w:rPr>
        <w:t>Enero de 2022</w:t>
      </w:r>
      <w:r w:rsidR="00B21499" w:rsidRPr="008275E6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8275E6">
        <w:rPr>
          <w:rFonts w:ascii="Arial" w:hAnsi="Arial" w:cs="Arial"/>
          <w:color w:val="000000" w:themeColor="text1"/>
          <w:shd w:val="clear" w:color="auto" w:fill="FFFFFF"/>
        </w:rPr>
        <w:t>se difundirá información de las de</w:t>
      </w:r>
      <w:r w:rsidR="00C95F24" w:rsidRPr="008275E6">
        <w:rPr>
          <w:rFonts w:ascii="Arial" w:hAnsi="Arial" w:cs="Arial"/>
          <w:color w:val="000000" w:themeColor="text1"/>
          <w:shd w:val="clear" w:color="auto" w:fill="FFFFFF"/>
        </w:rPr>
        <w:t>f</w:t>
      </w:r>
      <w:r w:rsidRPr="008275E6">
        <w:rPr>
          <w:rFonts w:ascii="Arial" w:hAnsi="Arial" w:cs="Arial"/>
          <w:color w:val="000000" w:themeColor="text1"/>
          <w:shd w:val="clear" w:color="auto" w:fill="FFFFFF"/>
        </w:rPr>
        <w:t>unciones registr</w:t>
      </w:r>
      <w:r w:rsidR="00C95F24" w:rsidRPr="008275E6">
        <w:rPr>
          <w:rFonts w:ascii="Arial" w:hAnsi="Arial" w:cs="Arial"/>
          <w:color w:val="000000" w:themeColor="text1"/>
          <w:shd w:val="clear" w:color="auto" w:fill="FFFFFF"/>
        </w:rPr>
        <w:t>a</w:t>
      </w:r>
      <w:r w:rsidRPr="008275E6">
        <w:rPr>
          <w:rFonts w:ascii="Arial" w:hAnsi="Arial" w:cs="Arial"/>
          <w:color w:val="000000" w:themeColor="text1"/>
          <w:shd w:val="clear" w:color="auto" w:fill="FFFFFF"/>
        </w:rPr>
        <w:t>das durante el primer semestre de 2021</w:t>
      </w:r>
      <w:r w:rsidR="008275E6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2211156" w14:textId="77777777" w:rsidR="00867DC7" w:rsidRPr="008275E6" w:rsidRDefault="00B21499" w:rsidP="00867DC7">
      <w:pPr>
        <w:pStyle w:val="Prrafodelista"/>
        <w:numPr>
          <w:ilvl w:val="0"/>
          <w:numId w:val="10"/>
        </w:numPr>
        <w:ind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275E6">
        <w:rPr>
          <w:rFonts w:ascii="Arial" w:hAnsi="Arial" w:cs="Arial"/>
          <w:color w:val="000000" w:themeColor="text1"/>
          <w:shd w:val="clear" w:color="auto" w:fill="FFFFFF"/>
        </w:rPr>
        <w:t>F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>ebrero</w:t>
      </w:r>
      <w:r w:rsidRPr="008275E6">
        <w:rPr>
          <w:rFonts w:ascii="Arial" w:hAnsi="Arial" w:cs="Arial"/>
          <w:color w:val="000000" w:themeColor="text1"/>
          <w:shd w:val="clear" w:color="auto" w:fill="FFFFFF"/>
        </w:rPr>
        <w:t xml:space="preserve"> de 2022</w:t>
      </w:r>
      <w:r w:rsidR="001E69E6" w:rsidRPr="008275E6">
        <w:rPr>
          <w:rFonts w:ascii="Arial" w:hAnsi="Arial" w:cs="Arial"/>
          <w:color w:val="000000" w:themeColor="text1"/>
          <w:shd w:val="clear" w:color="auto" w:fill="FFFFFF"/>
        </w:rPr>
        <w:t>:</w:t>
      </w:r>
      <w:r w:rsidRPr="008275E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>se complem</w:t>
      </w:r>
      <w:r w:rsidR="00C95F24" w:rsidRPr="008275E6">
        <w:rPr>
          <w:rFonts w:ascii="Arial" w:hAnsi="Arial" w:cs="Arial"/>
          <w:color w:val="000000" w:themeColor="text1"/>
          <w:shd w:val="clear" w:color="auto" w:fill="FFFFFF"/>
        </w:rPr>
        <w:t>en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 xml:space="preserve">tará la información con datos </w:t>
      </w:r>
      <w:r w:rsidR="001E69E6" w:rsidRPr="008275E6">
        <w:rPr>
          <w:rFonts w:ascii="Arial" w:hAnsi="Arial" w:cs="Arial"/>
          <w:color w:val="000000" w:themeColor="text1"/>
          <w:shd w:val="clear" w:color="auto" w:fill="FFFFFF"/>
        </w:rPr>
        <w:t>del</w:t>
      </w:r>
      <w:r w:rsidR="00307973" w:rsidRPr="008275E6">
        <w:rPr>
          <w:rFonts w:ascii="Arial" w:hAnsi="Arial" w:cs="Arial"/>
          <w:color w:val="000000" w:themeColor="text1"/>
          <w:shd w:val="clear" w:color="auto" w:fill="FFFFFF"/>
        </w:rPr>
        <w:t xml:space="preserve"> tercer trimestre de 2021.</w:t>
      </w:r>
    </w:p>
    <w:p w14:paraId="29A30DE6" w14:textId="77777777" w:rsidR="00867DC7" w:rsidRPr="008275E6" w:rsidRDefault="00867DC7" w:rsidP="00867DC7">
      <w:pPr>
        <w:pStyle w:val="Prrafodelista"/>
        <w:ind w:left="-207"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F58FB7B" w14:textId="74FF8339" w:rsidR="00307973" w:rsidRPr="008275E6" w:rsidRDefault="00867DC7" w:rsidP="00867DC7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Será en diciembre de este año cuando la Junta de Gobierno 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dé a conocer el calendario de difusión de información </w:t>
      </w: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 segundo semestre de 2022 en la que se inclu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irá la fecha de entrega de resultados d</w:t>
      </w: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</w:t>
      </w: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reporte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anual preliminar y 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anual </w:t>
      </w:r>
      <w:r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definitivo sobre defunciones </w:t>
      </w:r>
      <w:r w:rsidR="00DD56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registradas</w:t>
      </w:r>
      <w:r w:rsidR="00DD5664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75E6" w:rsidRPr="008275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correspondientes a 2021.</w:t>
      </w:r>
    </w:p>
    <w:p w14:paraId="43B49019" w14:textId="77777777" w:rsidR="008275E6" w:rsidRDefault="008275E6" w:rsidP="00867D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0108F703" w14:textId="77777777" w:rsidR="008275E6" w:rsidRDefault="008275E6" w:rsidP="00867D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4FF8DF18" w14:textId="77777777" w:rsidR="008275E6" w:rsidRDefault="008275E6" w:rsidP="00867D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9936D9F" w14:textId="77777777" w:rsidR="008275E6" w:rsidRDefault="008275E6" w:rsidP="00867D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47E119CB" w14:textId="181E7964" w:rsidR="00307973" w:rsidRPr="008275E6" w:rsidRDefault="00307973" w:rsidP="00867DC7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>La información que se d</w:t>
      </w:r>
      <w:r w:rsidR="000D5C7D">
        <w:rPr>
          <w:rFonts w:ascii="Arial" w:hAnsi="Arial" w:cs="Arial"/>
          <w:color w:val="000000" w:themeColor="text1"/>
          <w:sz w:val="24"/>
          <w:szCs w:val="24"/>
          <w:lang w:val="es-ES_tradnl"/>
        </w:rPr>
        <w:t>ará</w:t>
      </w:r>
      <w:r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 conocer en agosto de 2021 y febrero de 2022 incluirá </w:t>
      </w:r>
      <w:r w:rsidR="00A32726"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>datos de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>muertes registradas por edad, sexo y entidad federativa, sin referencia de causa básica de la defunción.</w:t>
      </w:r>
      <w:r w:rsidR="00867DC7" w:rsidRPr="008275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36B3"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>La información</w:t>
      </w:r>
      <w:r w:rsidRPr="008275E6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enero de 2022 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>incluirá dato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nacional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es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preliminar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es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con desagregación por sexo y principal causa </w:t>
      </w:r>
      <w:r w:rsidR="00F66AFE">
        <w:rPr>
          <w:rFonts w:ascii="Arial" w:hAnsi="Arial" w:cs="Arial"/>
          <w:color w:val="000000" w:themeColor="text1"/>
          <w:sz w:val="24"/>
          <w:szCs w:val="24"/>
        </w:rPr>
        <w:t xml:space="preserve">básica 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>de muerte, así como dato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estatal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es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preliminar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es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desagregado</w:t>
      </w:r>
      <w:r w:rsidR="00C95F24" w:rsidRPr="008275E6">
        <w:rPr>
          <w:rFonts w:ascii="Arial" w:hAnsi="Arial" w:cs="Arial"/>
          <w:color w:val="000000" w:themeColor="text1"/>
          <w:sz w:val="24"/>
          <w:szCs w:val="24"/>
        </w:rPr>
        <w:t>s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 por sexo</w:t>
      </w:r>
      <w:r w:rsidR="00867DC7" w:rsidRPr="008275E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A760F5" w14:textId="77777777" w:rsidR="00307973" w:rsidRPr="008275E6" w:rsidRDefault="00307973" w:rsidP="00C95F24">
      <w:pPr>
        <w:spacing w:after="0" w:line="240" w:lineRule="auto"/>
        <w:ind w:right="-518"/>
        <w:jc w:val="both"/>
        <w:rPr>
          <w:rFonts w:ascii="Arial" w:hAnsi="Arial" w:cs="Arial"/>
          <w:bCs/>
          <w:sz w:val="24"/>
          <w:szCs w:val="24"/>
        </w:rPr>
      </w:pPr>
    </w:p>
    <w:p w14:paraId="2D3F532C" w14:textId="77777777" w:rsidR="00AD703B" w:rsidRPr="008275E6" w:rsidRDefault="00C95F24" w:rsidP="00307973">
      <w:pPr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  <w:bookmarkStart w:id="0" w:name="_Hlk75513771"/>
      <w:r w:rsidRPr="008275E6">
        <w:rPr>
          <w:rFonts w:ascii="Arial" w:hAnsi="Arial" w:cs="Arial"/>
          <w:sz w:val="24"/>
          <w:szCs w:val="24"/>
        </w:rPr>
        <w:t>También s</w:t>
      </w:r>
      <w:r w:rsidR="00307973" w:rsidRPr="008275E6">
        <w:rPr>
          <w:rFonts w:ascii="Arial" w:hAnsi="Arial" w:cs="Arial"/>
          <w:sz w:val="24"/>
          <w:szCs w:val="24"/>
        </w:rPr>
        <w:t xml:space="preserve">e incorpora </w:t>
      </w:r>
      <w:r w:rsidRPr="008275E6">
        <w:rPr>
          <w:rFonts w:ascii="Arial" w:hAnsi="Arial" w:cs="Arial"/>
          <w:sz w:val="24"/>
          <w:szCs w:val="24"/>
        </w:rPr>
        <w:t xml:space="preserve">al calendario </w:t>
      </w:r>
      <w:r w:rsidR="00307973" w:rsidRPr="008275E6">
        <w:rPr>
          <w:rFonts w:ascii="Arial" w:hAnsi="Arial" w:cs="Arial"/>
          <w:sz w:val="24"/>
          <w:szCs w:val="24"/>
        </w:rPr>
        <w:t xml:space="preserve">el programa </w:t>
      </w:r>
      <w:r w:rsidR="00307973" w:rsidRPr="008275E6">
        <w:rPr>
          <w:rFonts w:ascii="Arial" w:hAnsi="Arial" w:cs="Arial"/>
          <w:bCs/>
          <w:sz w:val="24"/>
          <w:szCs w:val="24"/>
        </w:rPr>
        <w:t xml:space="preserve">Desagregación Sectorial del Indicador Oportuno de la Actividad Económica, </w:t>
      </w:r>
      <w:r w:rsidR="00AD703B" w:rsidRPr="008275E6">
        <w:rPr>
          <w:rFonts w:ascii="Arial" w:hAnsi="Arial" w:cs="Arial"/>
          <w:bCs/>
          <w:sz w:val="24"/>
          <w:szCs w:val="24"/>
        </w:rPr>
        <w:t xml:space="preserve">ejercicio de estadística experimental que permite a los usuarios tener </w:t>
      </w:r>
      <w:r w:rsidR="00D459BC" w:rsidRPr="008275E6">
        <w:rPr>
          <w:rFonts w:ascii="Arial" w:hAnsi="Arial" w:cs="Arial"/>
          <w:bCs/>
          <w:sz w:val="24"/>
          <w:szCs w:val="24"/>
        </w:rPr>
        <w:t xml:space="preserve">con mayor oportunidad </w:t>
      </w:r>
      <w:r w:rsidR="00AD703B" w:rsidRPr="008275E6">
        <w:rPr>
          <w:rFonts w:ascii="Arial" w:hAnsi="Arial" w:cs="Arial"/>
          <w:bCs/>
          <w:sz w:val="24"/>
          <w:szCs w:val="24"/>
        </w:rPr>
        <w:t xml:space="preserve">una idea de los cambios en los niveles de </w:t>
      </w:r>
      <w:r w:rsidR="00D459BC" w:rsidRPr="008275E6">
        <w:rPr>
          <w:rFonts w:ascii="Arial" w:hAnsi="Arial" w:cs="Arial"/>
          <w:bCs/>
          <w:sz w:val="24"/>
          <w:szCs w:val="24"/>
        </w:rPr>
        <w:t xml:space="preserve">la </w:t>
      </w:r>
      <w:r w:rsidR="00AD703B" w:rsidRPr="008275E6">
        <w:rPr>
          <w:rFonts w:ascii="Arial" w:hAnsi="Arial" w:cs="Arial"/>
          <w:bCs/>
          <w:sz w:val="24"/>
          <w:szCs w:val="24"/>
        </w:rPr>
        <w:t>actividad económica</w:t>
      </w:r>
      <w:r w:rsidR="00D459BC" w:rsidRPr="008275E6">
        <w:rPr>
          <w:rFonts w:ascii="Arial" w:hAnsi="Arial" w:cs="Arial"/>
          <w:bCs/>
          <w:sz w:val="24"/>
          <w:szCs w:val="24"/>
        </w:rPr>
        <w:t>.</w:t>
      </w:r>
    </w:p>
    <w:p w14:paraId="7166935A" w14:textId="77777777" w:rsidR="00AD703B" w:rsidRPr="008275E6" w:rsidRDefault="00AD703B" w:rsidP="00307973">
      <w:pPr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</w:p>
    <w:p w14:paraId="072FD1C5" w14:textId="77777777" w:rsidR="00AD703B" w:rsidRPr="008275E6" w:rsidRDefault="00AD703B" w:rsidP="00AD703B">
      <w:pPr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  <w:r w:rsidRPr="008275E6">
        <w:rPr>
          <w:rFonts w:ascii="Arial" w:hAnsi="Arial" w:cs="Arial"/>
          <w:bCs/>
          <w:sz w:val="24"/>
          <w:szCs w:val="24"/>
        </w:rPr>
        <w:t xml:space="preserve">La Desagregación Sectorial del Indicador Oportuno de la Actividad Económica dará a conocer sus estimaciones </w:t>
      </w:r>
      <w:r w:rsidR="00D459BC" w:rsidRPr="008275E6">
        <w:rPr>
          <w:rFonts w:ascii="Arial" w:hAnsi="Arial" w:cs="Arial"/>
          <w:bCs/>
          <w:sz w:val="24"/>
          <w:szCs w:val="24"/>
        </w:rPr>
        <w:t xml:space="preserve">a </w:t>
      </w:r>
      <w:r w:rsidRPr="008275E6">
        <w:rPr>
          <w:rFonts w:ascii="Arial" w:hAnsi="Arial" w:cs="Arial"/>
          <w:bCs/>
          <w:sz w:val="24"/>
          <w:szCs w:val="24"/>
        </w:rPr>
        <w:t>cuatro semanas del cierre de</w:t>
      </w:r>
      <w:r w:rsidR="00D459BC" w:rsidRPr="008275E6">
        <w:rPr>
          <w:rFonts w:ascii="Arial" w:hAnsi="Arial" w:cs="Arial"/>
          <w:bCs/>
          <w:sz w:val="24"/>
          <w:szCs w:val="24"/>
        </w:rPr>
        <w:t xml:space="preserve">l último </w:t>
      </w:r>
      <w:r w:rsidRPr="008275E6">
        <w:rPr>
          <w:rFonts w:ascii="Arial" w:hAnsi="Arial" w:cs="Arial"/>
          <w:bCs/>
          <w:sz w:val="24"/>
          <w:szCs w:val="24"/>
        </w:rPr>
        <w:t xml:space="preserve">mes </w:t>
      </w:r>
      <w:r w:rsidR="00D459BC" w:rsidRPr="008275E6">
        <w:rPr>
          <w:rFonts w:ascii="Arial" w:hAnsi="Arial" w:cs="Arial"/>
          <w:bCs/>
          <w:sz w:val="24"/>
          <w:szCs w:val="24"/>
        </w:rPr>
        <w:t xml:space="preserve">de cada trimestre </w:t>
      </w:r>
      <w:r w:rsidRPr="008275E6">
        <w:rPr>
          <w:rFonts w:ascii="Arial" w:hAnsi="Arial" w:cs="Arial"/>
          <w:bCs/>
          <w:sz w:val="24"/>
          <w:szCs w:val="24"/>
        </w:rPr>
        <w:t xml:space="preserve">y se adelantará en </w:t>
      </w:r>
      <w:r w:rsidR="00D459BC" w:rsidRPr="008275E6">
        <w:rPr>
          <w:rFonts w:ascii="Arial" w:hAnsi="Arial" w:cs="Arial"/>
          <w:bCs/>
          <w:sz w:val="24"/>
          <w:szCs w:val="24"/>
        </w:rPr>
        <w:t>cuatro</w:t>
      </w:r>
      <w:r w:rsidRPr="008275E6">
        <w:rPr>
          <w:rFonts w:ascii="Arial" w:hAnsi="Arial" w:cs="Arial"/>
          <w:bCs/>
          <w:sz w:val="24"/>
          <w:szCs w:val="24"/>
        </w:rPr>
        <w:t xml:space="preserve"> semanas a los datos del Indicador Global de la Actividad Económica.</w:t>
      </w:r>
    </w:p>
    <w:p w14:paraId="508F1F99" w14:textId="77777777" w:rsidR="00AD703B" w:rsidRPr="008275E6" w:rsidRDefault="00AD703B" w:rsidP="00307973">
      <w:pPr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</w:p>
    <w:p w14:paraId="1DBC10CB" w14:textId="77777777" w:rsidR="00AD703B" w:rsidRPr="008275E6" w:rsidRDefault="00AD703B" w:rsidP="00AD703B">
      <w:pPr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  <w:r w:rsidRPr="008275E6">
        <w:rPr>
          <w:rFonts w:ascii="Arial" w:hAnsi="Arial" w:cs="Arial"/>
          <w:bCs/>
          <w:sz w:val="24"/>
          <w:szCs w:val="24"/>
        </w:rPr>
        <w:t>Ofrecerá resultados con un desglose de 86 actividades productivas y presentará variaciones estimadas del empleo formal por actividad, por niveles de ingreso y por tamaños de empresas</w:t>
      </w:r>
      <w:r w:rsidR="00D459BC" w:rsidRPr="008275E6">
        <w:rPr>
          <w:rFonts w:ascii="Arial" w:hAnsi="Arial" w:cs="Arial"/>
          <w:bCs/>
          <w:sz w:val="24"/>
          <w:szCs w:val="24"/>
        </w:rPr>
        <w:t>,</w:t>
      </w:r>
      <w:r w:rsidRPr="008275E6">
        <w:rPr>
          <w:rFonts w:ascii="Arial" w:hAnsi="Arial" w:cs="Arial"/>
          <w:bCs/>
          <w:sz w:val="24"/>
          <w:szCs w:val="24"/>
        </w:rPr>
        <w:t xml:space="preserve"> así como su distribución geográfica por entidad federativa.</w:t>
      </w:r>
    </w:p>
    <w:bookmarkEnd w:id="0"/>
    <w:p w14:paraId="52DCF7EA" w14:textId="77777777" w:rsidR="007A45DA" w:rsidRPr="008275E6" w:rsidRDefault="007A45DA" w:rsidP="00FD6A84">
      <w:pPr>
        <w:spacing w:after="0" w:line="240" w:lineRule="auto"/>
        <w:ind w:right="-518"/>
        <w:jc w:val="both"/>
        <w:rPr>
          <w:rFonts w:ascii="Arial" w:hAnsi="Arial" w:cs="Arial"/>
          <w:sz w:val="24"/>
          <w:szCs w:val="24"/>
        </w:rPr>
      </w:pPr>
    </w:p>
    <w:p w14:paraId="021FA062" w14:textId="77777777" w:rsidR="00D73AF2" w:rsidRPr="008275E6" w:rsidRDefault="00D73AF2" w:rsidP="003673C7">
      <w:pPr>
        <w:spacing w:after="0" w:line="240" w:lineRule="auto"/>
        <w:ind w:left="-567" w:right="-518"/>
        <w:jc w:val="both"/>
        <w:rPr>
          <w:rStyle w:val="Hipervnculo"/>
          <w:rFonts w:ascii="Arial" w:hAnsi="Arial" w:cs="Arial"/>
          <w:sz w:val="24"/>
          <w:szCs w:val="24"/>
        </w:rPr>
      </w:pP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La consulta del Calendario de Difusión de Información Estadística, Geográfica y de Interés Nacional puede realizarse en el sitio del Instituto: </w:t>
      </w:r>
      <w:r w:rsidRPr="008275E6">
        <w:rPr>
          <w:rFonts w:ascii="Arial" w:hAnsi="Arial" w:cs="Arial"/>
          <w:sz w:val="24"/>
          <w:szCs w:val="24"/>
        </w:rPr>
        <w:t>(</w:t>
      </w:r>
      <w:hyperlink r:id="rId8" w:history="1">
        <w:r w:rsidRPr="008275E6">
          <w:rPr>
            <w:rStyle w:val="Hipervnculo"/>
            <w:rFonts w:ascii="Arial" w:hAnsi="Arial" w:cs="Arial"/>
            <w:sz w:val="24"/>
            <w:szCs w:val="24"/>
          </w:rPr>
          <w:t>https://www.inegi.org.mx</w:t>
        </w:r>
      </w:hyperlink>
      <w:r w:rsidRPr="008275E6">
        <w:rPr>
          <w:rFonts w:ascii="Arial" w:hAnsi="Arial" w:cs="Arial"/>
          <w:sz w:val="24"/>
          <w:szCs w:val="24"/>
        </w:rPr>
        <w:t xml:space="preserve">) </w:t>
      </w:r>
      <w:r w:rsidRPr="008275E6">
        <w:rPr>
          <w:rFonts w:ascii="Arial" w:hAnsi="Arial" w:cs="Arial"/>
          <w:color w:val="000000" w:themeColor="text1"/>
          <w:sz w:val="24"/>
          <w:szCs w:val="24"/>
        </w:rPr>
        <w:t xml:space="preserve">o directamente en la siguiente  página: </w:t>
      </w:r>
      <w:hyperlink r:id="rId9" w:history="1">
        <w:r w:rsidRPr="008275E6">
          <w:rPr>
            <w:rStyle w:val="Hipervnculo"/>
            <w:rFonts w:ascii="Arial" w:hAnsi="Arial" w:cs="Arial"/>
            <w:sz w:val="24"/>
            <w:szCs w:val="24"/>
          </w:rPr>
          <w:t>https://www.inegi.org.mx/app/saladeprensa/calendario/default.html</w:t>
        </w:r>
      </w:hyperlink>
      <w:r w:rsidRPr="008275E6">
        <w:rPr>
          <w:rStyle w:val="Hipervnculo"/>
          <w:rFonts w:ascii="Arial" w:hAnsi="Arial" w:cs="Arial"/>
          <w:sz w:val="24"/>
          <w:szCs w:val="24"/>
        </w:rPr>
        <w:t>.</w:t>
      </w:r>
    </w:p>
    <w:p w14:paraId="125870F3" w14:textId="77777777" w:rsidR="007410D8" w:rsidRPr="008275E6" w:rsidRDefault="007410D8" w:rsidP="003673C7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  <w:lang w:val="es-419"/>
        </w:rPr>
      </w:pPr>
    </w:p>
    <w:p w14:paraId="65F1C73C" w14:textId="77777777" w:rsidR="00477B3F" w:rsidRDefault="00477B3F" w:rsidP="00477B3F">
      <w:pPr>
        <w:spacing w:after="0" w:line="240" w:lineRule="auto"/>
        <w:ind w:left="-284" w:right="-279"/>
        <w:jc w:val="center"/>
        <w:rPr>
          <w:rFonts w:ascii="Arial" w:hAnsi="Arial" w:cs="Arial"/>
          <w:sz w:val="24"/>
          <w:szCs w:val="24"/>
          <w:lang w:val="es-419"/>
        </w:rPr>
      </w:pPr>
      <w:r w:rsidRPr="00477B3F">
        <w:rPr>
          <w:rFonts w:ascii="Arial" w:hAnsi="Arial" w:cs="Arial"/>
          <w:b/>
          <w:sz w:val="24"/>
          <w:szCs w:val="24"/>
          <w:lang w:val="es-419"/>
        </w:rPr>
        <w:t>-</w:t>
      </w:r>
      <w:proofErr w:type="spellStart"/>
      <w:r w:rsidRPr="00477B3F">
        <w:rPr>
          <w:rFonts w:ascii="Arial" w:hAnsi="Arial" w:cs="Arial"/>
          <w:b/>
          <w:sz w:val="24"/>
          <w:szCs w:val="24"/>
          <w:lang w:val="es-419"/>
        </w:rPr>
        <w:t>oOo</w:t>
      </w:r>
      <w:proofErr w:type="spellEnd"/>
      <w:r>
        <w:rPr>
          <w:rFonts w:ascii="Arial" w:hAnsi="Arial" w:cs="Arial"/>
          <w:sz w:val="24"/>
          <w:szCs w:val="24"/>
          <w:lang w:val="es-419"/>
        </w:rPr>
        <w:t>-</w:t>
      </w:r>
    </w:p>
    <w:p w14:paraId="0775390B" w14:textId="77777777" w:rsidR="00477B3F" w:rsidRDefault="00477B3F" w:rsidP="00477B3F">
      <w:pPr>
        <w:spacing w:after="0" w:line="240" w:lineRule="auto"/>
        <w:ind w:left="-284" w:right="-279"/>
        <w:jc w:val="center"/>
        <w:rPr>
          <w:rFonts w:ascii="Arial" w:hAnsi="Arial" w:cs="Arial"/>
          <w:sz w:val="24"/>
          <w:szCs w:val="24"/>
          <w:lang w:val="es-419"/>
        </w:rPr>
      </w:pPr>
    </w:p>
    <w:p w14:paraId="371A1238" w14:textId="77777777" w:rsidR="00477B3F" w:rsidRPr="000236B4" w:rsidRDefault="00477B3F" w:rsidP="003673C7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  <w:lang w:val="es-419"/>
        </w:rPr>
      </w:pPr>
    </w:p>
    <w:p w14:paraId="7E39C329" w14:textId="77777777" w:rsidR="007410D8" w:rsidRPr="000236B4" w:rsidRDefault="007410D8" w:rsidP="003673C7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</w:rPr>
      </w:pPr>
      <w:r w:rsidRPr="000236B4">
        <w:rPr>
          <w:rFonts w:ascii="Arial" w:hAnsi="Arial" w:cs="Arial"/>
        </w:rPr>
        <w:t xml:space="preserve">Para consultas de medios y periodistas, contactar a: </w:t>
      </w:r>
      <w:hyperlink r:id="rId10" w:history="1">
        <w:r w:rsidRPr="000236B4">
          <w:rPr>
            <w:rStyle w:val="Hipervnculo"/>
            <w:rFonts w:ascii="Arial" w:hAnsi="Arial" w:cs="Arial"/>
          </w:rPr>
          <w:t>comunicacionsocial@inegi.org.mx</w:t>
        </w:r>
      </w:hyperlink>
    </w:p>
    <w:p w14:paraId="0900ED6A" w14:textId="77777777" w:rsidR="007410D8" w:rsidRPr="000236B4" w:rsidRDefault="007410D8" w:rsidP="003673C7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</w:rPr>
      </w:pPr>
      <w:r w:rsidRPr="000236B4">
        <w:rPr>
          <w:rFonts w:ascii="Arial" w:hAnsi="Arial" w:cs="Arial"/>
        </w:rPr>
        <w:t xml:space="preserve">o llamar al teléfono (55) 52-78-10-00, </w:t>
      </w:r>
      <w:proofErr w:type="spellStart"/>
      <w:r w:rsidRPr="000236B4">
        <w:rPr>
          <w:rFonts w:ascii="Arial" w:hAnsi="Arial" w:cs="Arial"/>
        </w:rPr>
        <w:t>exts</w:t>
      </w:r>
      <w:proofErr w:type="spellEnd"/>
      <w:r w:rsidRPr="000236B4">
        <w:rPr>
          <w:rFonts w:ascii="Arial" w:hAnsi="Arial" w:cs="Arial"/>
        </w:rPr>
        <w:t>. 1134, 1260 y 1241.</w:t>
      </w:r>
    </w:p>
    <w:p w14:paraId="03A0B62E" w14:textId="77777777" w:rsidR="007410D8" w:rsidRPr="00FB7B7A" w:rsidRDefault="007410D8" w:rsidP="003673C7">
      <w:pPr>
        <w:spacing w:after="0" w:line="240" w:lineRule="auto"/>
        <w:ind w:left="-284" w:right="-279"/>
        <w:contextualSpacing/>
        <w:jc w:val="center"/>
        <w:rPr>
          <w:rFonts w:ascii="Arial" w:hAnsi="Arial" w:cs="Arial"/>
          <w:sz w:val="24"/>
          <w:szCs w:val="24"/>
        </w:rPr>
      </w:pPr>
    </w:p>
    <w:p w14:paraId="4779BECE" w14:textId="77777777" w:rsidR="007410D8" w:rsidRPr="00FB7B7A" w:rsidRDefault="007410D8" w:rsidP="003673C7">
      <w:pPr>
        <w:spacing w:after="0" w:line="240" w:lineRule="auto"/>
        <w:ind w:left="-284" w:right="-279"/>
        <w:contextualSpacing/>
        <w:jc w:val="center"/>
        <w:rPr>
          <w:rFonts w:ascii="Arial" w:hAnsi="Arial" w:cs="Arial"/>
          <w:sz w:val="24"/>
          <w:szCs w:val="24"/>
        </w:rPr>
      </w:pPr>
      <w:r w:rsidRPr="00FB7B7A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2499B23D" w14:textId="77777777" w:rsidR="007410D8" w:rsidRPr="00FB7B7A" w:rsidRDefault="007410D8" w:rsidP="007410D8">
      <w:pPr>
        <w:ind w:left="-284" w:right="-279"/>
        <w:contextualSpacing/>
        <w:jc w:val="both"/>
        <w:rPr>
          <w:sz w:val="20"/>
          <w:szCs w:val="20"/>
        </w:rPr>
      </w:pPr>
    </w:p>
    <w:p w14:paraId="375799FD" w14:textId="77777777" w:rsidR="007410D8" w:rsidRPr="00FB7B7A" w:rsidRDefault="007410D8" w:rsidP="007410D8">
      <w:pPr>
        <w:ind w:left="1416" w:right="-518"/>
        <w:contextualSpacing/>
        <w:rPr>
          <w:sz w:val="20"/>
          <w:szCs w:val="20"/>
        </w:rPr>
      </w:pPr>
    </w:p>
    <w:p w14:paraId="36BB51DB" w14:textId="77777777" w:rsidR="007410D8" w:rsidRDefault="007410D8" w:rsidP="007410D8">
      <w:pPr>
        <w:ind w:left="1416"/>
        <w:rPr>
          <w:lang w:val="es-419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7564EDAE" wp14:editId="3BFF24B2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2" cy="32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62F9D80" wp14:editId="2BBA135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1C85A4CA" wp14:editId="4E0F903B">
            <wp:extent cx="321276" cy="324093"/>
            <wp:effectExtent l="0" t="0" r="3175" b="0"/>
            <wp:docPr id="12" name="Imagen 12" descr="C:\Users\saladeprensa\Desktop\NVOS LOGOS\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61CFFC6" wp14:editId="618D2EB0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0044F507" wp14:editId="7078ADE9">
            <wp:extent cx="2323070" cy="319707"/>
            <wp:effectExtent l="0" t="0" r="1270" b="4445"/>
            <wp:docPr id="14" name="Imagen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1B52" w14:textId="77777777" w:rsidR="0007110B" w:rsidRDefault="0007110B" w:rsidP="007410D8">
      <w:pPr>
        <w:ind w:firstLine="708"/>
      </w:pPr>
    </w:p>
    <w:sectPr w:rsidR="0007110B" w:rsidSect="007A45DA">
      <w:headerReference w:type="default" r:id="rId16"/>
      <w:footerReference w:type="default" r:id="rId17"/>
      <w:pgSz w:w="12240" w:h="15840" w:code="1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960F" w14:textId="77777777" w:rsidR="00AA5FD5" w:rsidRDefault="00AA5FD5" w:rsidP="007410D8">
      <w:pPr>
        <w:spacing w:after="0" w:line="240" w:lineRule="auto"/>
      </w:pPr>
      <w:r>
        <w:separator/>
      </w:r>
    </w:p>
  </w:endnote>
  <w:endnote w:type="continuationSeparator" w:id="0">
    <w:p w14:paraId="059B4C3D" w14:textId="77777777" w:rsidR="00AA5FD5" w:rsidRDefault="00AA5FD5" w:rsidP="0074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858E" w14:textId="77777777" w:rsidR="00B40DC9" w:rsidRPr="007410D8" w:rsidRDefault="00B40DC9" w:rsidP="007410D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410D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D353" w14:textId="77777777" w:rsidR="00AA5FD5" w:rsidRDefault="00AA5FD5" w:rsidP="007410D8">
      <w:pPr>
        <w:spacing w:after="0" w:line="240" w:lineRule="auto"/>
      </w:pPr>
      <w:r>
        <w:separator/>
      </w:r>
    </w:p>
  </w:footnote>
  <w:footnote w:type="continuationSeparator" w:id="0">
    <w:p w14:paraId="3FA4C43D" w14:textId="77777777" w:rsidR="00AA5FD5" w:rsidRDefault="00AA5FD5" w:rsidP="0074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C9ED" w14:textId="496B3943" w:rsidR="00B40DC9" w:rsidRPr="00FB7B7A" w:rsidRDefault="00B40DC9" w:rsidP="007410D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0E75C8"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5B404F3" wp14:editId="362E8D42">
          <wp:simplePos x="0" y="0"/>
          <wp:positionH relativeFrom="margin">
            <wp:posOffset>-285750</wp:posOffset>
          </wp:positionH>
          <wp:positionV relativeFrom="topMargin">
            <wp:posOffset>364490</wp:posOffset>
          </wp:positionV>
          <wp:extent cx="771525" cy="8007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B7A">
      <w:rPr>
        <w:b/>
        <w:color w:val="002060"/>
      </w:rPr>
      <w:t xml:space="preserve"> </w:t>
    </w:r>
    <w:r w:rsidRPr="00FB7B7A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2836A0">
      <w:rPr>
        <w:rFonts w:ascii="Arial" w:hAnsi="Arial" w:cs="Arial"/>
        <w:b/>
        <w:color w:val="002060"/>
        <w:sz w:val="24"/>
        <w:szCs w:val="24"/>
      </w:rPr>
      <w:t>3</w:t>
    </w:r>
    <w:r w:rsidR="008B3011">
      <w:rPr>
        <w:rFonts w:ascii="Arial" w:hAnsi="Arial" w:cs="Arial"/>
        <w:b/>
        <w:color w:val="002060"/>
        <w:sz w:val="24"/>
        <w:szCs w:val="24"/>
      </w:rPr>
      <w:t>60</w:t>
    </w:r>
    <w:r w:rsidRPr="00FB7B7A">
      <w:rPr>
        <w:rFonts w:ascii="Arial" w:hAnsi="Arial" w:cs="Arial"/>
        <w:b/>
        <w:color w:val="002060"/>
        <w:sz w:val="24"/>
        <w:szCs w:val="24"/>
      </w:rPr>
      <w:t>/2</w:t>
    </w:r>
    <w:r>
      <w:rPr>
        <w:rFonts w:ascii="Arial" w:hAnsi="Arial" w:cs="Arial"/>
        <w:b/>
        <w:color w:val="002060"/>
        <w:sz w:val="24"/>
        <w:szCs w:val="24"/>
      </w:rPr>
      <w:t>1</w:t>
    </w:r>
  </w:p>
  <w:p w14:paraId="58EB69C1" w14:textId="79056E19" w:rsidR="00B40DC9" w:rsidRPr="000E3420" w:rsidRDefault="00B40DC9" w:rsidP="007410D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</w:t>
    </w:r>
    <w:r w:rsidR="008B4B27">
      <w:rPr>
        <w:rFonts w:ascii="Arial" w:hAnsi="Arial" w:cs="Arial"/>
        <w:b/>
        <w:color w:val="002060"/>
        <w:sz w:val="24"/>
        <w:szCs w:val="24"/>
        <w:lang w:val="pt-BR"/>
      </w:rPr>
      <w:t>8</w:t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>JUNIO</w:t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 DE 202</w:t>
    </w:r>
    <w:r>
      <w:rPr>
        <w:rFonts w:ascii="Arial" w:hAnsi="Arial" w:cs="Arial"/>
        <w:b/>
        <w:color w:val="002060"/>
        <w:sz w:val="24"/>
        <w:szCs w:val="24"/>
        <w:lang w:val="pt-BR"/>
      </w:rPr>
      <w:t>1</w:t>
    </w:r>
  </w:p>
  <w:p w14:paraId="5A44F73D" w14:textId="3EE9783C" w:rsidR="00B40DC9" w:rsidRPr="000E3420" w:rsidRDefault="00B40DC9" w:rsidP="007410D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0E3420">
      <w:rPr>
        <w:rFonts w:ascii="Arial" w:hAnsi="Arial" w:cs="Arial"/>
        <w:b/>
        <w:color w:val="002060"/>
        <w:sz w:val="24"/>
        <w:szCs w:val="24"/>
      </w:rPr>
      <w:fldChar w:fldCharType="begin"/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0E3420">
      <w:rPr>
        <w:rFonts w:ascii="Arial" w:hAnsi="Arial" w:cs="Arial"/>
        <w:color w:val="002060"/>
        <w:sz w:val="24"/>
        <w:szCs w:val="24"/>
      </w:rPr>
      <w:fldChar w:fldCharType="separate"/>
    </w:r>
    <w:r w:rsidR="00A32726">
      <w:rPr>
        <w:rFonts w:ascii="Arial" w:hAnsi="Arial" w:cs="Arial"/>
        <w:b/>
        <w:noProof/>
        <w:color w:val="002060"/>
        <w:sz w:val="24"/>
        <w:szCs w:val="24"/>
        <w:lang w:val="pt-BR"/>
      </w:rPr>
      <w:t>1</w:t>
    </w:r>
    <w:r w:rsidRPr="000E3420">
      <w:rPr>
        <w:rFonts w:ascii="Arial" w:hAnsi="Arial" w:cs="Arial"/>
        <w:color w:val="002060"/>
        <w:sz w:val="24"/>
        <w:szCs w:val="24"/>
      </w:rPr>
      <w:fldChar w:fldCharType="end"/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t>/2</w:t>
    </w:r>
  </w:p>
  <w:p w14:paraId="22CDCF1B" w14:textId="77777777" w:rsidR="00B40DC9" w:rsidRDefault="00B40D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079"/>
    <w:multiLevelType w:val="hybridMultilevel"/>
    <w:tmpl w:val="9DE27A16"/>
    <w:lvl w:ilvl="0" w:tplc="35D0D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A0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23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63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87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49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AD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2F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82DD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1E01"/>
    <w:multiLevelType w:val="hybridMultilevel"/>
    <w:tmpl w:val="68FE36DC"/>
    <w:lvl w:ilvl="0" w:tplc="16589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25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6D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4C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8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E7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6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A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62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A82E73"/>
    <w:multiLevelType w:val="hybridMultilevel"/>
    <w:tmpl w:val="FD068D4A"/>
    <w:lvl w:ilvl="0" w:tplc="620A791E">
      <w:numFmt w:val="bullet"/>
      <w:lvlText w:val="-"/>
      <w:lvlJc w:val="left"/>
      <w:pPr>
        <w:ind w:left="-5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" w15:restartNumberingAfterBreak="0">
    <w:nsid w:val="47136391"/>
    <w:multiLevelType w:val="hybridMultilevel"/>
    <w:tmpl w:val="FB2A1E50"/>
    <w:lvl w:ilvl="0" w:tplc="4BB0F78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5171574"/>
    <w:multiLevelType w:val="hybridMultilevel"/>
    <w:tmpl w:val="8CFC3594"/>
    <w:lvl w:ilvl="0" w:tplc="CA280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8B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A2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AF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8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C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C1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6A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CE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63031E"/>
    <w:multiLevelType w:val="hybridMultilevel"/>
    <w:tmpl w:val="8C901132"/>
    <w:lvl w:ilvl="0" w:tplc="080A0001">
      <w:start w:val="1"/>
      <w:numFmt w:val="bullet"/>
      <w:lvlText w:val=""/>
      <w:lvlJc w:val="left"/>
      <w:pPr>
        <w:ind w:left="-6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6" w15:restartNumberingAfterBreak="0">
    <w:nsid w:val="58556EE7"/>
    <w:multiLevelType w:val="hybridMultilevel"/>
    <w:tmpl w:val="DB7E2CDC"/>
    <w:lvl w:ilvl="0" w:tplc="5A3AC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85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8E2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05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AF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60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66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05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2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2C749E"/>
    <w:multiLevelType w:val="hybridMultilevel"/>
    <w:tmpl w:val="495817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640A8"/>
    <w:multiLevelType w:val="hybridMultilevel"/>
    <w:tmpl w:val="32F439F4"/>
    <w:lvl w:ilvl="0" w:tplc="81ECE0F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6876B16"/>
    <w:multiLevelType w:val="hybridMultilevel"/>
    <w:tmpl w:val="FBAA41E6"/>
    <w:lvl w:ilvl="0" w:tplc="95126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02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69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86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87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25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A2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EC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01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09"/>
    <w:rsid w:val="0007110B"/>
    <w:rsid w:val="00071D3B"/>
    <w:rsid w:val="00086896"/>
    <w:rsid w:val="00094107"/>
    <w:rsid w:val="000B379F"/>
    <w:rsid w:val="000C4CB7"/>
    <w:rsid w:val="000D5C7D"/>
    <w:rsid w:val="000F33D9"/>
    <w:rsid w:val="00112570"/>
    <w:rsid w:val="001E69E6"/>
    <w:rsid w:val="001E7F1A"/>
    <w:rsid w:val="002836A0"/>
    <w:rsid w:val="002E4E87"/>
    <w:rsid w:val="002F1443"/>
    <w:rsid w:val="00307973"/>
    <w:rsid w:val="0032219F"/>
    <w:rsid w:val="003673C7"/>
    <w:rsid w:val="003F78E2"/>
    <w:rsid w:val="00430C03"/>
    <w:rsid w:val="00440F31"/>
    <w:rsid w:val="00477B3F"/>
    <w:rsid w:val="004838A7"/>
    <w:rsid w:val="00495FFD"/>
    <w:rsid w:val="004D0E38"/>
    <w:rsid w:val="005146A5"/>
    <w:rsid w:val="00525B29"/>
    <w:rsid w:val="00553089"/>
    <w:rsid w:val="005636B3"/>
    <w:rsid w:val="00637031"/>
    <w:rsid w:val="0064070E"/>
    <w:rsid w:val="00680A0F"/>
    <w:rsid w:val="006B4B78"/>
    <w:rsid w:val="006D6064"/>
    <w:rsid w:val="00730351"/>
    <w:rsid w:val="007410D8"/>
    <w:rsid w:val="0079184D"/>
    <w:rsid w:val="007A45DA"/>
    <w:rsid w:val="007F1C99"/>
    <w:rsid w:val="008275E6"/>
    <w:rsid w:val="00867DC7"/>
    <w:rsid w:val="008B3011"/>
    <w:rsid w:val="008B4B27"/>
    <w:rsid w:val="008F21A2"/>
    <w:rsid w:val="00920E95"/>
    <w:rsid w:val="00941FA2"/>
    <w:rsid w:val="00960FC6"/>
    <w:rsid w:val="00961E2E"/>
    <w:rsid w:val="009D18EF"/>
    <w:rsid w:val="00A0413D"/>
    <w:rsid w:val="00A27C7B"/>
    <w:rsid w:val="00A32726"/>
    <w:rsid w:val="00A76909"/>
    <w:rsid w:val="00A86858"/>
    <w:rsid w:val="00AA5FD5"/>
    <w:rsid w:val="00AD703B"/>
    <w:rsid w:val="00B21499"/>
    <w:rsid w:val="00B40DC9"/>
    <w:rsid w:val="00B67CB6"/>
    <w:rsid w:val="00C42E1A"/>
    <w:rsid w:val="00C8104C"/>
    <w:rsid w:val="00C95F24"/>
    <w:rsid w:val="00D3531B"/>
    <w:rsid w:val="00D459BC"/>
    <w:rsid w:val="00D464DB"/>
    <w:rsid w:val="00D73AF2"/>
    <w:rsid w:val="00DD5664"/>
    <w:rsid w:val="00E33A43"/>
    <w:rsid w:val="00E365D3"/>
    <w:rsid w:val="00E86BF7"/>
    <w:rsid w:val="00F2711B"/>
    <w:rsid w:val="00F66AFE"/>
    <w:rsid w:val="00FB489B"/>
    <w:rsid w:val="00FC74A3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A8F7"/>
  <w15:chartTrackingRefBased/>
  <w15:docId w15:val="{7A69BDC1-A5DE-4B4C-AE55-CB2B1A4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41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69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741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10D8"/>
  </w:style>
  <w:style w:type="paragraph" w:styleId="Piedepgina">
    <w:name w:val="footer"/>
    <w:basedOn w:val="Normal"/>
    <w:link w:val="PiedepginaCar"/>
    <w:uiPriority w:val="99"/>
    <w:unhideWhenUsed/>
    <w:rsid w:val="00741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0D8"/>
  </w:style>
  <w:style w:type="paragraph" w:styleId="NormalWeb">
    <w:name w:val="Normal (Web)"/>
    <w:basedOn w:val="Normal"/>
    <w:uiPriority w:val="99"/>
    <w:unhideWhenUsed/>
    <w:rsid w:val="0074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7410D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410D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37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37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379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6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D5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6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6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66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3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5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5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0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1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6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2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egi.org.mx/app/saladeprensa/calendario/default.html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D132-7BE2-42B9-AB0A-265E6907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3</cp:revision>
  <dcterms:created xsi:type="dcterms:W3CDTF">2021-06-28T13:58:00Z</dcterms:created>
  <dcterms:modified xsi:type="dcterms:W3CDTF">2021-06-28T14:16:00Z</dcterms:modified>
</cp:coreProperties>
</file>